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A157CB" w:rsidP="00D54D50">
      <w:pPr>
        <w:pStyle w:val="Title"/>
      </w:pPr>
      <w:r>
        <w:t>Proposed Radiation Safety Regula</w:t>
      </w:r>
      <w:bookmarkStart w:id="0" w:name="_GoBack"/>
      <w:bookmarkEnd w:id="0"/>
      <w:r>
        <w:t>tions</w:t>
      </w:r>
    </w:p>
    <w:p w:rsidR="00C86248" w:rsidRDefault="00A157CB" w:rsidP="00343365">
      <w:pPr>
        <w:pStyle w:val="Subhead"/>
      </w:pPr>
      <w:r>
        <w:t>A consultation document</w:t>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A157CB">
        <w:t>2016</w:t>
      </w:r>
      <w:r w:rsidR="00442C1C">
        <w:t xml:space="preserve">. </w:t>
      </w:r>
      <w:r w:rsidR="00A157CB">
        <w:rPr>
          <w:i/>
        </w:rPr>
        <w:t>Proposed Radiation Safety Regulations: A consultation document</w:t>
      </w:r>
      <w:r w:rsidR="00442C1C">
        <w:t>. Wellington: Ministry of Health.</w:t>
      </w:r>
    </w:p>
    <w:p w:rsidR="00C86248" w:rsidRDefault="00C86248">
      <w:pPr>
        <w:pStyle w:val="Imprint"/>
      </w:pPr>
      <w:r>
        <w:t xml:space="preserve">Published in </w:t>
      </w:r>
      <w:r w:rsidR="00A157CB">
        <w:t>May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AF0845" w:rsidRPr="00AF0845">
        <w:t>978-0-947515-09-6</w:t>
      </w:r>
      <w:r w:rsidR="00442C1C">
        <w:t xml:space="preserve"> </w:t>
      </w:r>
      <w:r>
        <w:t>(</w:t>
      </w:r>
      <w:r w:rsidR="00442C1C">
        <w:t>online</w:t>
      </w:r>
      <w:r>
        <w:t>)</w:t>
      </w:r>
      <w:r w:rsidR="00082CD6">
        <w:br/>
      </w:r>
      <w:r w:rsidR="00082CD6" w:rsidRPr="009C0F2D">
        <w:t xml:space="preserve">HP </w:t>
      </w:r>
      <w:r w:rsidR="00AF0845">
        <w:t>6404</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6498CD7F" wp14:editId="5510713A">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72D4B414" wp14:editId="650D66B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DE3B20" w:rsidRDefault="00A157CB" w:rsidP="0021763B">
      <w:pPr>
        <w:pStyle w:val="Heading1"/>
      </w:pPr>
      <w:bookmarkStart w:id="1" w:name="_Toc450059018"/>
      <w:bookmarkStart w:id="2" w:name="_Toc405792991"/>
      <w:bookmarkStart w:id="3" w:name="_Toc405793224"/>
      <w:r>
        <w:lastRenderedPageBreak/>
        <w:t>We want your input</w:t>
      </w:r>
      <w:bookmarkEnd w:id="1"/>
    </w:p>
    <w:p w:rsidR="00000745" w:rsidRDefault="00000745" w:rsidP="00000745">
      <w:r w:rsidRPr="009E2A1C">
        <w:t xml:space="preserve">This </w:t>
      </w:r>
      <w:r>
        <w:t>consultation</w:t>
      </w:r>
      <w:r w:rsidRPr="009E2A1C">
        <w:t xml:space="preserve"> document </w:t>
      </w:r>
      <w:r>
        <w:t xml:space="preserve">and its accompanying </w:t>
      </w:r>
      <w:r w:rsidR="00F810AB">
        <w:t>submission form</w:t>
      </w:r>
      <w:r>
        <w:t xml:space="preserve"> are being published to gather public input into the proposed Radiation Safety Regulations. The Regulations will be made under sections 91 to 93 of the Radiation Safety Act 2016.</w:t>
      </w:r>
      <w:r w:rsidRPr="00000745">
        <w:rPr>
          <w:rStyle w:val="FootnoteReference"/>
        </w:rPr>
        <w:footnoteReference w:id="1"/>
      </w:r>
      <w:r>
        <w:t xml:space="preserve"> The Regulations are required in order to give full effect to the Act, and they need to be in place before the Act comes into force on </w:t>
      </w:r>
      <w:r w:rsidRPr="004501E1">
        <w:t>7</w:t>
      </w:r>
      <w:r>
        <w:t> </w:t>
      </w:r>
      <w:r w:rsidRPr="004501E1">
        <w:t>March 2017</w:t>
      </w:r>
      <w:r>
        <w:t>.</w:t>
      </w:r>
    </w:p>
    <w:p w:rsidR="00000745" w:rsidRDefault="00000745" w:rsidP="00000745"/>
    <w:p w:rsidR="00000745" w:rsidRDefault="00000745" w:rsidP="00000745">
      <w:r>
        <w:t>This document outlines the options available for the proposed Regulations and identifies the Ministry of Health</w:t>
      </w:r>
      <w:r w:rsidR="00823DC8">
        <w:t>’</w:t>
      </w:r>
      <w:r>
        <w:t>s preferred options. The preferred options are presented simply to promote discussion: no decisions have been made yet.</w:t>
      </w:r>
    </w:p>
    <w:p w:rsidR="00000745" w:rsidRDefault="00000745" w:rsidP="00000745"/>
    <w:p w:rsidR="00000745" w:rsidRDefault="00000745" w:rsidP="00000745">
      <w:r w:rsidRPr="00AC2039">
        <w:t xml:space="preserve">All the </w:t>
      </w:r>
      <w:r>
        <w:t>r</w:t>
      </w:r>
      <w:r w:rsidRPr="00AC2039">
        <w:t>egulation</w:t>
      </w:r>
      <w:r>
        <w:t>-</w:t>
      </w:r>
      <w:r w:rsidRPr="00AC2039">
        <w:t>making provisions in sections 91</w:t>
      </w:r>
      <w:r>
        <w:t xml:space="preserve"> to </w:t>
      </w:r>
      <w:r w:rsidRPr="00AC2039">
        <w:t>93 of the Act are discussed in this consultation document.</w:t>
      </w:r>
      <w:r>
        <w:t xml:space="preserve"> </w:t>
      </w:r>
      <w:r w:rsidRPr="00AC2039">
        <w:t xml:space="preserve">However, discussion points </w:t>
      </w:r>
      <w:r>
        <w:t xml:space="preserve">are presented </w:t>
      </w:r>
      <w:r w:rsidRPr="00AC2039">
        <w:t>based on topic areas and do not follow the order of provisions in the Act.</w:t>
      </w:r>
      <w:r>
        <w:t xml:space="preserve"> </w:t>
      </w:r>
      <w:r w:rsidRPr="00AC2039">
        <w:t xml:space="preserve">The </w:t>
      </w:r>
      <w:r>
        <w:t>r</w:t>
      </w:r>
      <w:r w:rsidRPr="00AC2039">
        <w:t>egulation</w:t>
      </w:r>
      <w:r>
        <w:t>-</w:t>
      </w:r>
      <w:r w:rsidRPr="00AC2039">
        <w:t>making provisions of the Act are listed against a summary of the Ministry of Health</w:t>
      </w:r>
      <w:r w:rsidR="00823DC8">
        <w:t>’</w:t>
      </w:r>
      <w:r w:rsidRPr="00AC2039">
        <w:t>s preferred options in the Index to this document.</w:t>
      </w:r>
    </w:p>
    <w:p w:rsidR="00000745" w:rsidRDefault="00000745" w:rsidP="00000745"/>
    <w:p w:rsidR="00000745" w:rsidRDefault="00000745" w:rsidP="00000745">
      <w:r>
        <w:t xml:space="preserve">The Ministry of Health is seeking public submissions on the proposed Regulations by </w:t>
      </w:r>
      <w:r w:rsidR="00CC2718">
        <w:t>Wednesday 22 June 2016</w:t>
      </w:r>
      <w:r>
        <w:t>. S</w:t>
      </w:r>
      <w:r w:rsidRPr="009E2A1C">
        <w:t>ubmiss</w:t>
      </w:r>
      <w:r>
        <w:t>ions need to be on the topic of Regulations</w:t>
      </w:r>
      <w:r w:rsidRPr="009E2A1C">
        <w:t xml:space="preserve"> to be made under the</w:t>
      </w:r>
      <w:r>
        <w:t xml:space="preserve"> Act</w:t>
      </w:r>
      <w:r w:rsidRPr="009E2A1C">
        <w:t xml:space="preserve"> in order to be considered within the scope of this consultatio</w:t>
      </w:r>
      <w:r>
        <w:t xml:space="preserve">n. All submissions that are in </w:t>
      </w:r>
      <w:r w:rsidRPr="009E2A1C">
        <w:t xml:space="preserve">scope </w:t>
      </w:r>
      <w:r>
        <w:t xml:space="preserve">and received before the submission deadline </w:t>
      </w:r>
      <w:r w:rsidRPr="009E2A1C">
        <w:t>will be considered</w:t>
      </w:r>
      <w:r>
        <w:t>.</w:t>
      </w:r>
    </w:p>
    <w:p w:rsidR="00000745" w:rsidRDefault="00000745" w:rsidP="00000745"/>
    <w:p w:rsidR="00000745" w:rsidRDefault="00000745" w:rsidP="00000745">
      <w:r>
        <w:t xml:space="preserve">Full </w:t>
      </w:r>
      <w:r w:rsidR="00F810AB">
        <w:t xml:space="preserve">guidelines </w:t>
      </w:r>
      <w:r>
        <w:t xml:space="preserve">for making a submission can be found in the </w:t>
      </w:r>
      <w:r w:rsidR="00F810AB">
        <w:t>submission form</w:t>
      </w:r>
      <w:r>
        <w:t xml:space="preserve"> published alongside this consultation document. The </w:t>
      </w:r>
      <w:r w:rsidR="00F810AB">
        <w:t>submission form</w:t>
      </w:r>
      <w:r>
        <w:t xml:space="preserve"> also lists the consultation questions found throughout this document to help submitters complete the submission process. Submitters do not have to use the </w:t>
      </w:r>
      <w:r w:rsidR="00F810AB">
        <w:t>submission form</w:t>
      </w:r>
      <w:r>
        <w:t>.</w:t>
      </w:r>
    </w:p>
    <w:p w:rsidR="00DE3B20" w:rsidRDefault="00DE3B20" w:rsidP="00000745"/>
    <w:p w:rsidR="00D5172C" w:rsidRDefault="00D5172C" w:rsidP="00000745">
      <w:pPr>
        <w:sectPr w:rsidR="00D5172C"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D5172C" w:rsidRDefault="00D5172C" w:rsidP="00000745"/>
    <w:p w:rsidR="00D5172C" w:rsidRDefault="00D5172C" w:rsidP="00000745">
      <w:pPr>
        <w:sectPr w:rsidR="00D5172C" w:rsidSect="009D5125">
          <w:footerReference w:type="even" r:id="rId19"/>
          <w:pgSz w:w="11907" w:h="16840" w:code="9"/>
          <w:pgMar w:top="851" w:right="1134" w:bottom="1134" w:left="1134" w:header="284" w:footer="567" w:gutter="284"/>
          <w:pgNumType w:fmt="lowerRoman"/>
          <w:cols w:space="720"/>
        </w:sectPr>
      </w:pPr>
    </w:p>
    <w:p w:rsidR="00C86248" w:rsidRDefault="00C86248">
      <w:pPr>
        <w:pStyle w:val="IntroHead"/>
      </w:pPr>
      <w:r>
        <w:lastRenderedPageBreak/>
        <w:t>Contents</w:t>
      </w:r>
      <w:bookmarkEnd w:id="2"/>
      <w:bookmarkEnd w:id="3"/>
    </w:p>
    <w:p w:rsidR="00E443F3"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E443F3">
        <w:rPr>
          <w:noProof/>
        </w:rPr>
        <w:t>We want your input</w:t>
      </w:r>
      <w:r w:rsidR="00E443F3">
        <w:rPr>
          <w:noProof/>
        </w:rPr>
        <w:tab/>
      </w:r>
      <w:r w:rsidR="00E443F3">
        <w:rPr>
          <w:noProof/>
        </w:rPr>
        <w:fldChar w:fldCharType="begin"/>
      </w:r>
      <w:r w:rsidR="00E443F3">
        <w:rPr>
          <w:noProof/>
        </w:rPr>
        <w:instrText xml:space="preserve"> PAGEREF _Toc450059018 \h </w:instrText>
      </w:r>
      <w:r w:rsidR="00E443F3">
        <w:rPr>
          <w:noProof/>
        </w:rPr>
      </w:r>
      <w:r w:rsidR="00E443F3">
        <w:rPr>
          <w:noProof/>
        </w:rPr>
        <w:fldChar w:fldCharType="separate"/>
      </w:r>
      <w:r w:rsidR="009A44D8">
        <w:rPr>
          <w:noProof/>
        </w:rPr>
        <w:t>iii</w:t>
      </w:r>
      <w:r w:rsidR="00E443F3">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_Toc450059019 \h </w:instrText>
      </w:r>
      <w:r>
        <w:rPr>
          <w:noProof/>
        </w:rPr>
      </w:r>
      <w:r>
        <w:rPr>
          <w:noProof/>
        </w:rPr>
        <w:fldChar w:fldCharType="separate"/>
      </w:r>
      <w:r w:rsidR="009A44D8">
        <w:rPr>
          <w:noProof/>
        </w:rPr>
        <w:t>1</w:t>
      </w:r>
      <w:r>
        <w:rPr>
          <w:noProof/>
        </w:rPr>
        <w:fldChar w:fldCharType="end"/>
      </w:r>
    </w:p>
    <w:p w:rsidR="00E443F3" w:rsidRDefault="00E443F3">
      <w:pPr>
        <w:pStyle w:val="TOC2"/>
        <w:rPr>
          <w:rFonts w:asciiTheme="minorHAnsi" w:eastAsiaTheme="minorEastAsia" w:hAnsiTheme="minorHAnsi" w:cstheme="minorBidi"/>
          <w:noProof/>
          <w:szCs w:val="22"/>
          <w:lang w:eastAsia="en-NZ"/>
        </w:rPr>
      </w:pPr>
      <w:r>
        <w:rPr>
          <w:noProof/>
        </w:rPr>
        <w:t>The Radiation Safety Act 2016</w:t>
      </w:r>
      <w:r>
        <w:rPr>
          <w:noProof/>
        </w:rPr>
        <w:tab/>
      </w:r>
      <w:r>
        <w:rPr>
          <w:noProof/>
        </w:rPr>
        <w:fldChar w:fldCharType="begin"/>
      </w:r>
      <w:r>
        <w:rPr>
          <w:noProof/>
        </w:rPr>
        <w:instrText xml:space="preserve"> PAGEREF _Toc450059020 \h </w:instrText>
      </w:r>
      <w:r>
        <w:rPr>
          <w:noProof/>
        </w:rPr>
      </w:r>
      <w:r>
        <w:rPr>
          <w:noProof/>
        </w:rPr>
        <w:fldChar w:fldCharType="separate"/>
      </w:r>
      <w:r w:rsidR="009A44D8">
        <w:rPr>
          <w:noProof/>
        </w:rPr>
        <w:t>1</w:t>
      </w:r>
      <w:r>
        <w:rPr>
          <w:noProof/>
        </w:rPr>
        <w:fldChar w:fldCharType="end"/>
      </w:r>
    </w:p>
    <w:p w:rsidR="00E443F3" w:rsidRDefault="00E443F3">
      <w:pPr>
        <w:pStyle w:val="TOC2"/>
        <w:rPr>
          <w:rFonts w:asciiTheme="minorHAnsi" w:eastAsiaTheme="minorEastAsia" w:hAnsiTheme="minorHAnsi" w:cstheme="minorBidi"/>
          <w:noProof/>
          <w:szCs w:val="22"/>
          <w:lang w:eastAsia="en-NZ"/>
        </w:rPr>
      </w:pPr>
      <w:r>
        <w:rPr>
          <w:noProof/>
        </w:rPr>
        <w:t>Definitions</w:t>
      </w:r>
      <w:r>
        <w:rPr>
          <w:noProof/>
        </w:rPr>
        <w:tab/>
      </w:r>
      <w:r>
        <w:rPr>
          <w:noProof/>
        </w:rPr>
        <w:fldChar w:fldCharType="begin"/>
      </w:r>
      <w:r>
        <w:rPr>
          <w:noProof/>
        </w:rPr>
        <w:instrText xml:space="preserve"> PAGEREF _Toc450059021 \h </w:instrText>
      </w:r>
      <w:r>
        <w:rPr>
          <w:noProof/>
        </w:rPr>
      </w:r>
      <w:r>
        <w:rPr>
          <w:noProof/>
        </w:rPr>
        <w:fldChar w:fldCharType="separate"/>
      </w:r>
      <w:r w:rsidR="009A44D8">
        <w:rPr>
          <w:noProof/>
        </w:rPr>
        <w:t>2</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Authorisations (source licences, use licences and consents)</w:t>
      </w:r>
      <w:r>
        <w:rPr>
          <w:noProof/>
        </w:rPr>
        <w:tab/>
      </w:r>
      <w:r>
        <w:rPr>
          <w:noProof/>
        </w:rPr>
        <w:fldChar w:fldCharType="begin"/>
      </w:r>
      <w:r>
        <w:rPr>
          <w:noProof/>
        </w:rPr>
        <w:instrText xml:space="preserve"> PAGEREF _Toc450059022 \h </w:instrText>
      </w:r>
      <w:r>
        <w:rPr>
          <w:noProof/>
        </w:rPr>
      </w:r>
      <w:r>
        <w:rPr>
          <w:noProof/>
        </w:rPr>
        <w:fldChar w:fldCharType="separate"/>
      </w:r>
      <w:r w:rsidR="009A44D8">
        <w:rPr>
          <w:noProof/>
        </w:rPr>
        <w:t>4</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(a)</w:t>
      </w:r>
      <w:r>
        <w:rPr>
          <w:rFonts w:asciiTheme="minorHAnsi" w:eastAsiaTheme="minorEastAsia" w:hAnsiTheme="minorHAnsi" w:cstheme="minorBidi"/>
          <w:noProof/>
          <w:szCs w:val="22"/>
          <w:lang w:eastAsia="en-NZ"/>
        </w:rPr>
        <w:tab/>
      </w:r>
      <w:r>
        <w:rPr>
          <w:noProof/>
        </w:rPr>
        <w:t>Application forms</w:t>
      </w:r>
      <w:r>
        <w:rPr>
          <w:noProof/>
        </w:rPr>
        <w:tab/>
      </w:r>
      <w:r>
        <w:rPr>
          <w:noProof/>
        </w:rPr>
        <w:fldChar w:fldCharType="begin"/>
      </w:r>
      <w:r>
        <w:rPr>
          <w:noProof/>
        </w:rPr>
        <w:instrText xml:space="preserve"> PAGEREF _Toc450059023 \h </w:instrText>
      </w:r>
      <w:r>
        <w:rPr>
          <w:noProof/>
        </w:rPr>
      </w:r>
      <w:r>
        <w:rPr>
          <w:noProof/>
        </w:rPr>
        <w:fldChar w:fldCharType="separate"/>
      </w:r>
      <w:r w:rsidR="009A44D8">
        <w:rPr>
          <w:noProof/>
        </w:rPr>
        <w:t>4</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(b)</w:t>
      </w:r>
      <w:r>
        <w:rPr>
          <w:rFonts w:asciiTheme="minorHAnsi" w:eastAsiaTheme="minorEastAsia" w:hAnsiTheme="minorHAnsi" w:cstheme="minorBidi"/>
          <w:noProof/>
          <w:szCs w:val="22"/>
          <w:lang w:eastAsia="en-NZ"/>
        </w:rPr>
        <w:tab/>
      </w:r>
      <w:r>
        <w:rPr>
          <w:noProof/>
        </w:rPr>
        <w:t>Users and activities where a use licence is not required</w:t>
      </w:r>
      <w:r>
        <w:rPr>
          <w:noProof/>
        </w:rPr>
        <w:tab/>
      </w:r>
      <w:r>
        <w:rPr>
          <w:noProof/>
        </w:rPr>
        <w:fldChar w:fldCharType="begin"/>
      </w:r>
      <w:r>
        <w:rPr>
          <w:noProof/>
        </w:rPr>
        <w:instrText xml:space="preserve"> PAGEREF _Toc450059024 \h </w:instrText>
      </w:r>
      <w:r>
        <w:rPr>
          <w:noProof/>
        </w:rPr>
      </w:r>
      <w:r>
        <w:rPr>
          <w:noProof/>
        </w:rPr>
        <w:fldChar w:fldCharType="separate"/>
      </w:r>
      <w:r w:rsidR="009A44D8">
        <w:rPr>
          <w:noProof/>
        </w:rPr>
        <w:t>5</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(c)</w:t>
      </w:r>
      <w:r>
        <w:rPr>
          <w:rFonts w:asciiTheme="minorHAnsi" w:eastAsiaTheme="minorEastAsia" w:hAnsiTheme="minorHAnsi" w:cstheme="minorBidi"/>
          <w:noProof/>
          <w:szCs w:val="22"/>
          <w:lang w:eastAsia="en-NZ"/>
        </w:rPr>
        <w:tab/>
      </w:r>
      <w:r>
        <w:rPr>
          <w:noProof/>
        </w:rPr>
        <w:t>Maximum periods for authorisations</w:t>
      </w:r>
      <w:r>
        <w:rPr>
          <w:noProof/>
        </w:rPr>
        <w:tab/>
      </w:r>
      <w:r>
        <w:rPr>
          <w:noProof/>
        </w:rPr>
        <w:fldChar w:fldCharType="begin"/>
      </w:r>
      <w:r>
        <w:rPr>
          <w:noProof/>
        </w:rPr>
        <w:instrText xml:space="preserve"> PAGEREF _Toc450059025 \h </w:instrText>
      </w:r>
      <w:r>
        <w:rPr>
          <w:noProof/>
        </w:rPr>
      </w:r>
      <w:r>
        <w:rPr>
          <w:noProof/>
        </w:rPr>
        <w:fldChar w:fldCharType="separate"/>
      </w:r>
      <w:r w:rsidR="009A44D8">
        <w:rPr>
          <w:noProof/>
        </w:rPr>
        <w:t>7</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(d)</w:t>
      </w:r>
      <w:r>
        <w:rPr>
          <w:rFonts w:asciiTheme="minorHAnsi" w:eastAsiaTheme="minorEastAsia" w:hAnsiTheme="minorHAnsi" w:cstheme="minorBidi"/>
          <w:noProof/>
          <w:szCs w:val="22"/>
          <w:lang w:eastAsia="en-NZ"/>
        </w:rPr>
        <w:tab/>
      </w:r>
      <w:r>
        <w:rPr>
          <w:noProof/>
        </w:rPr>
        <w:t>Radiation safety plans</w:t>
      </w:r>
      <w:r>
        <w:rPr>
          <w:noProof/>
        </w:rPr>
        <w:tab/>
      </w:r>
      <w:r>
        <w:rPr>
          <w:noProof/>
        </w:rPr>
        <w:fldChar w:fldCharType="begin"/>
      </w:r>
      <w:r>
        <w:rPr>
          <w:noProof/>
        </w:rPr>
        <w:instrText xml:space="preserve"> PAGEREF _Toc450059026 \h </w:instrText>
      </w:r>
      <w:r>
        <w:rPr>
          <w:noProof/>
        </w:rPr>
      </w:r>
      <w:r>
        <w:rPr>
          <w:noProof/>
        </w:rPr>
        <w:fldChar w:fldCharType="separate"/>
      </w:r>
      <w:r w:rsidR="009A44D8">
        <w:rPr>
          <w:noProof/>
        </w:rPr>
        <w:t>8</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Fees for authorisation and compliance verification</w:t>
      </w:r>
      <w:r>
        <w:rPr>
          <w:noProof/>
        </w:rPr>
        <w:tab/>
      </w:r>
      <w:r>
        <w:rPr>
          <w:noProof/>
        </w:rPr>
        <w:fldChar w:fldCharType="begin"/>
      </w:r>
      <w:r>
        <w:rPr>
          <w:noProof/>
        </w:rPr>
        <w:instrText xml:space="preserve"> PAGEREF _Toc450059027 \h </w:instrText>
      </w:r>
      <w:r>
        <w:rPr>
          <w:noProof/>
        </w:rPr>
      </w:r>
      <w:r>
        <w:rPr>
          <w:noProof/>
        </w:rPr>
        <w:fldChar w:fldCharType="separate"/>
      </w:r>
      <w:r w:rsidR="009A44D8">
        <w:rPr>
          <w:noProof/>
        </w:rPr>
        <w:t>9</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(a)</w:t>
      </w:r>
      <w:r>
        <w:rPr>
          <w:rFonts w:asciiTheme="minorHAnsi" w:eastAsiaTheme="minorEastAsia" w:hAnsiTheme="minorHAnsi" w:cstheme="minorBidi"/>
          <w:noProof/>
          <w:szCs w:val="22"/>
          <w:lang w:eastAsia="en-NZ"/>
        </w:rPr>
        <w:tab/>
      </w:r>
      <w:r>
        <w:rPr>
          <w:noProof/>
        </w:rPr>
        <w:t>Scope of fees payable under the Act</w:t>
      </w:r>
      <w:r>
        <w:rPr>
          <w:noProof/>
        </w:rPr>
        <w:tab/>
      </w:r>
      <w:r>
        <w:rPr>
          <w:noProof/>
        </w:rPr>
        <w:fldChar w:fldCharType="begin"/>
      </w:r>
      <w:r>
        <w:rPr>
          <w:noProof/>
        </w:rPr>
        <w:instrText xml:space="preserve"> PAGEREF _Toc450059028 \h </w:instrText>
      </w:r>
      <w:r>
        <w:rPr>
          <w:noProof/>
        </w:rPr>
      </w:r>
      <w:r>
        <w:rPr>
          <w:noProof/>
        </w:rPr>
        <w:fldChar w:fldCharType="separate"/>
      </w:r>
      <w:r w:rsidR="009A44D8">
        <w:rPr>
          <w:noProof/>
        </w:rPr>
        <w:t>9</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(b)</w:t>
      </w:r>
      <w:r>
        <w:rPr>
          <w:rFonts w:asciiTheme="minorHAnsi" w:eastAsiaTheme="minorEastAsia" w:hAnsiTheme="minorHAnsi" w:cstheme="minorBidi"/>
          <w:noProof/>
          <w:szCs w:val="22"/>
          <w:lang w:eastAsia="en-NZ"/>
        </w:rPr>
        <w:tab/>
      </w:r>
      <w:r>
        <w:rPr>
          <w:noProof/>
        </w:rPr>
        <w:t>Fees under the current radiation protection framework</w:t>
      </w:r>
      <w:r>
        <w:rPr>
          <w:noProof/>
        </w:rPr>
        <w:tab/>
      </w:r>
      <w:r>
        <w:rPr>
          <w:noProof/>
        </w:rPr>
        <w:fldChar w:fldCharType="begin"/>
      </w:r>
      <w:r>
        <w:rPr>
          <w:noProof/>
        </w:rPr>
        <w:instrText xml:space="preserve"> PAGEREF _Toc450059029 \h </w:instrText>
      </w:r>
      <w:r>
        <w:rPr>
          <w:noProof/>
        </w:rPr>
      </w:r>
      <w:r>
        <w:rPr>
          <w:noProof/>
        </w:rPr>
        <w:fldChar w:fldCharType="separate"/>
      </w:r>
      <w:r w:rsidR="009A44D8">
        <w:rPr>
          <w:noProof/>
        </w:rPr>
        <w:t>9</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(c)</w:t>
      </w:r>
      <w:r>
        <w:rPr>
          <w:rFonts w:asciiTheme="minorHAnsi" w:eastAsiaTheme="minorEastAsia" w:hAnsiTheme="minorHAnsi" w:cstheme="minorBidi"/>
          <w:noProof/>
          <w:szCs w:val="22"/>
          <w:lang w:eastAsia="en-NZ"/>
        </w:rPr>
        <w:tab/>
      </w:r>
      <w:r>
        <w:rPr>
          <w:noProof/>
        </w:rPr>
        <w:t>Expected costs under the Act</w:t>
      </w:r>
      <w:r>
        <w:rPr>
          <w:noProof/>
        </w:rPr>
        <w:tab/>
      </w:r>
      <w:r>
        <w:rPr>
          <w:noProof/>
        </w:rPr>
        <w:fldChar w:fldCharType="begin"/>
      </w:r>
      <w:r>
        <w:rPr>
          <w:noProof/>
        </w:rPr>
        <w:instrText xml:space="preserve"> PAGEREF _Toc450059030 \h </w:instrText>
      </w:r>
      <w:r>
        <w:rPr>
          <w:noProof/>
        </w:rPr>
      </w:r>
      <w:r>
        <w:rPr>
          <w:noProof/>
        </w:rPr>
        <w:fldChar w:fldCharType="separate"/>
      </w:r>
      <w:r w:rsidR="009A44D8">
        <w:rPr>
          <w:noProof/>
        </w:rPr>
        <w:t>9</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(d)</w:t>
      </w:r>
      <w:r>
        <w:rPr>
          <w:rFonts w:asciiTheme="minorHAnsi" w:eastAsiaTheme="minorEastAsia" w:hAnsiTheme="minorHAnsi" w:cstheme="minorBidi"/>
          <w:noProof/>
          <w:szCs w:val="22"/>
          <w:lang w:eastAsia="en-NZ"/>
        </w:rPr>
        <w:tab/>
      </w:r>
      <w:r>
        <w:rPr>
          <w:noProof/>
        </w:rPr>
        <w:t>Distribution of fees across authorisation types</w:t>
      </w:r>
      <w:r>
        <w:rPr>
          <w:noProof/>
        </w:rPr>
        <w:tab/>
      </w:r>
      <w:r>
        <w:rPr>
          <w:noProof/>
        </w:rPr>
        <w:fldChar w:fldCharType="begin"/>
      </w:r>
      <w:r>
        <w:rPr>
          <w:noProof/>
        </w:rPr>
        <w:instrText xml:space="preserve"> PAGEREF _Toc450059031 \h </w:instrText>
      </w:r>
      <w:r>
        <w:rPr>
          <w:noProof/>
        </w:rPr>
      </w:r>
      <w:r>
        <w:rPr>
          <w:noProof/>
        </w:rPr>
        <w:fldChar w:fldCharType="separate"/>
      </w:r>
      <w:r w:rsidR="009A44D8">
        <w:rPr>
          <w:noProof/>
        </w:rPr>
        <w:t>11</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(e)</w:t>
      </w:r>
      <w:r>
        <w:rPr>
          <w:rFonts w:asciiTheme="minorHAnsi" w:eastAsiaTheme="minorEastAsia" w:hAnsiTheme="minorHAnsi" w:cstheme="minorBidi"/>
          <w:noProof/>
          <w:szCs w:val="22"/>
          <w:lang w:eastAsia="en-NZ"/>
        </w:rPr>
        <w:tab/>
      </w:r>
      <w:r>
        <w:rPr>
          <w:noProof/>
        </w:rPr>
        <w:t>Proposed source licence fees and ‘compliance verification entities’</w:t>
      </w:r>
      <w:r>
        <w:rPr>
          <w:noProof/>
        </w:rPr>
        <w:tab/>
      </w:r>
      <w:r>
        <w:rPr>
          <w:noProof/>
        </w:rPr>
        <w:fldChar w:fldCharType="begin"/>
      </w:r>
      <w:r>
        <w:rPr>
          <w:noProof/>
        </w:rPr>
        <w:instrText xml:space="preserve"> PAGEREF _Toc450059032 \h </w:instrText>
      </w:r>
      <w:r>
        <w:rPr>
          <w:noProof/>
        </w:rPr>
      </w:r>
      <w:r>
        <w:rPr>
          <w:noProof/>
        </w:rPr>
        <w:fldChar w:fldCharType="separate"/>
      </w:r>
      <w:r w:rsidR="009A44D8">
        <w:rPr>
          <w:noProof/>
        </w:rPr>
        <w:t>12</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(f)</w:t>
      </w:r>
      <w:r>
        <w:rPr>
          <w:rFonts w:asciiTheme="minorHAnsi" w:eastAsiaTheme="minorEastAsia" w:hAnsiTheme="minorHAnsi" w:cstheme="minorBidi"/>
          <w:noProof/>
          <w:szCs w:val="22"/>
          <w:lang w:eastAsia="en-NZ"/>
        </w:rPr>
        <w:tab/>
      </w:r>
      <w:r>
        <w:rPr>
          <w:noProof/>
        </w:rPr>
        <w:t>Proposed use licence fees</w:t>
      </w:r>
      <w:r>
        <w:rPr>
          <w:noProof/>
        </w:rPr>
        <w:tab/>
      </w:r>
      <w:r>
        <w:rPr>
          <w:noProof/>
        </w:rPr>
        <w:fldChar w:fldCharType="begin"/>
      </w:r>
      <w:r>
        <w:rPr>
          <w:noProof/>
        </w:rPr>
        <w:instrText xml:space="preserve"> PAGEREF _Toc450059033 \h </w:instrText>
      </w:r>
      <w:r>
        <w:rPr>
          <w:noProof/>
        </w:rPr>
      </w:r>
      <w:r>
        <w:rPr>
          <w:noProof/>
        </w:rPr>
        <w:fldChar w:fldCharType="separate"/>
      </w:r>
      <w:r w:rsidR="009A44D8">
        <w:rPr>
          <w:noProof/>
        </w:rPr>
        <w:t>15</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(g)</w:t>
      </w:r>
      <w:r>
        <w:rPr>
          <w:rFonts w:asciiTheme="minorHAnsi" w:eastAsiaTheme="minorEastAsia" w:hAnsiTheme="minorHAnsi" w:cstheme="minorBidi"/>
          <w:noProof/>
          <w:szCs w:val="22"/>
          <w:lang w:eastAsia="en-NZ"/>
        </w:rPr>
        <w:tab/>
      </w:r>
      <w:r>
        <w:rPr>
          <w:noProof/>
        </w:rPr>
        <w:t>Proposed consent fees</w:t>
      </w:r>
      <w:r>
        <w:rPr>
          <w:noProof/>
        </w:rPr>
        <w:tab/>
      </w:r>
      <w:r>
        <w:rPr>
          <w:noProof/>
        </w:rPr>
        <w:fldChar w:fldCharType="begin"/>
      </w:r>
      <w:r>
        <w:rPr>
          <w:noProof/>
        </w:rPr>
        <w:instrText xml:space="preserve"> PAGEREF _Toc450059034 \h </w:instrText>
      </w:r>
      <w:r>
        <w:rPr>
          <w:noProof/>
        </w:rPr>
      </w:r>
      <w:r>
        <w:rPr>
          <w:noProof/>
        </w:rPr>
        <w:fldChar w:fldCharType="separate"/>
      </w:r>
      <w:r w:rsidR="009A44D8">
        <w:rPr>
          <w:noProof/>
        </w:rPr>
        <w:t>16</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(h)</w:t>
      </w:r>
      <w:r>
        <w:rPr>
          <w:rFonts w:asciiTheme="minorHAnsi" w:eastAsiaTheme="minorEastAsia" w:hAnsiTheme="minorHAnsi" w:cstheme="minorBidi"/>
          <w:noProof/>
          <w:szCs w:val="22"/>
          <w:lang w:eastAsia="en-NZ"/>
        </w:rPr>
        <w:tab/>
      </w:r>
      <w:r>
        <w:rPr>
          <w:noProof/>
        </w:rPr>
        <w:t>Historical fees take and the ‘memorandum account’</w:t>
      </w:r>
      <w:r>
        <w:rPr>
          <w:noProof/>
        </w:rPr>
        <w:tab/>
      </w:r>
      <w:r>
        <w:rPr>
          <w:noProof/>
        </w:rPr>
        <w:fldChar w:fldCharType="begin"/>
      </w:r>
      <w:r>
        <w:rPr>
          <w:noProof/>
        </w:rPr>
        <w:instrText xml:space="preserve"> PAGEREF _Toc450059035 \h </w:instrText>
      </w:r>
      <w:r>
        <w:rPr>
          <w:noProof/>
        </w:rPr>
      </w:r>
      <w:r>
        <w:rPr>
          <w:noProof/>
        </w:rPr>
        <w:fldChar w:fldCharType="separate"/>
      </w:r>
      <w:r w:rsidR="009A44D8">
        <w:rPr>
          <w:noProof/>
        </w:rPr>
        <w:t>17</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Exemptions, restrictions and prohibitions</w:t>
      </w:r>
      <w:r>
        <w:rPr>
          <w:noProof/>
        </w:rPr>
        <w:tab/>
      </w:r>
      <w:r>
        <w:rPr>
          <w:noProof/>
        </w:rPr>
        <w:fldChar w:fldCharType="begin"/>
      </w:r>
      <w:r>
        <w:rPr>
          <w:noProof/>
        </w:rPr>
        <w:instrText xml:space="preserve"> PAGEREF _Toc450059036 \h </w:instrText>
      </w:r>
      <w:r>
        <w:rPr>
          <w:noProof/>
        </w:rPr>
      </w:r>
      <w:r>
        <w:rPr>
          <w:noProof/>
        </w:rPr>
        <w:fldChar w:fldCharType="separate"/>
      </w:r>
      <w:r w:rsidR="009A44D8">
        <w:rPr>
          <w:noProof/>
        </w:rPr>
        <w:t>19</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(a)</w:t>
      </w:r>
      <w:r>
        <w:rPr>
          <w:rFonts w:asciiTheme="minorHAnsi" w:eastAsiaTheme="minorEastAsia" w:hAnsiTheme="minorHAnsi" w:cstheme="minorBidi"/>
          <w:noProof/>
          <w:szCs w:val="22"/>
          <w:lang w:eastAsia="en-NZ"/>
        </w:rPr>
        <w:tab/>
      </w:r>
      <w:r>
        <w:rPr>
          <w:noProof/>
        </w:rPr>
        <w:t>Radiation sources temporarily entering New Zealand by ship or aircraft</w:t>
      </w:r>
      <w:r>
        <w:rPr>
          <w:noProof/>
        </w:rPr>
        <w:tab/>
      </w:r>
      <w:r>
        <w:rPr>
          <w:noProof/>
        </w:rPr>
        <w:fldChar w:fldCharType="begin"/>
      </w:r>
      <w:r>
        <w:rPr>
          <w:noProof/>
        </w:rPr>
        <w:instrText xml:space="preserve"> PAGEREF _Toc450059037 \h </w:instrText>
      </w:r>
      <w:r>
        <w:rPr>
          <w:noProof/>
        </w:rPr>
      </w:r>
      <w:r>
        <w:rPr>
          <w:noProof/>
        </w:rPr>
        <w:fldChar w:fldCharType="separate"/>
      </w:r>
      <w:r w:rsidR="009A44D8">
        <w:rPr>
          <w:noProof/>
        </w:rPr>
        <w:t>19</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(b)</w:t>
      </w:r>
      <w:r>
        <w:rPr>
          <w:rFonts w:asciiTheme="minorHAnsi" w:eastAsiaTheme="minorEastAsia" w:hAnsiTheme="minorHAnsi" w:cstheme="minorBidi"/>
          <w:noProof/>
          <w:szCs w:val="22"/>
          <w:lang w:eastAsia="en-NZ"/>
        </w:rPr>
        <w:tab/>
      </w:r>
      <w:r>
        <w:rPr>
          <w:noProof/>
        </w:rPr>
        <w:t>Low-exposure and low-probability scenarios</w:t>
      </w:r>
      <w:r>
        <w:rPr>
          <w:noProof/>
        </w:rPr>
        <w:tab/>
      </w:r>
      <w:r>
        <w:rPr>
          <w:noProof/>
        </w:rPr>
        <w:fldChar w:fldCharType="begin"/>
      </w:r>
      <w:r>
        <w:rPr>
          <w:noProof/>
        </w:rPr>
        <w:instrText xml:space="preserve"> PAGEREF _Toc450059038 \h </w:instrText>
      </w:r>
      <w:r>
        <w:rPr>
          <w:noProof/>
        </w:rPr>
      </w:r>
      <w:r>
        <w:rPr>
          <w:noProof/>
        </w:rPr>
        <w:fldChar w:fldCharType="separate"/>
      </w:r>
      <w:r w:rsidR="009A44D8">
        <w:rPr>
          <w:noProof/>
        </w:rPr>
        <w:t>20</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(c)</w:t>
      </w:r>
      <w:r>
        <w:rPr>
          <w:rFonts w:asciiTheme="minorHAnsi" w:eastAsiaTheme="minorEastAsia" w:hAnsiTheme="minorHAnsi" w:cstheme="minorBidi"/>
          <w:noProof/>
          <w:szCs w:val="22"/>
          <w:lang w:eastAsia="en-NZ"/>
        </w:rPr>
        <w:tab/>
      </w:r>
      <w:r>
        <w:rPr>
          <w:noProof/>
        </w:rPr>
        <w:t>Regulation is unlikely to be worthwhile</w:t>
      </w:r>
      <w:r>
        <w:rPr>
          <w:noProof/>
        </w:rPr>
        <w:tab/>
      </w:r>
      <w:r>
        <w:rPr>
          <w:noProof/>
        </w:rPr>
        <w:fldChar w:fldCharType="begin"/>
      </w:r>
      <w:r>
        <w:rPr>
          <w:noProof/>
        </w:rPr>
        <w:instrText xml:space="preserve"> PAGEREF _Toc450059039 \h </w:instrText>
      </w:r>
      <w:r>
        <w:rPr>
          <w:noProof/>
        </w:rPr>
      </w:r>
      <w:r>
        <w:rPr>
          <w:noProof/>
        </w:rPr>
        <w:fldChar w:fldCharType="separate"/>
      </w:r>
      <w:r w:rsidR="009A44D8">
        <w:rPr>
          <w:noProof/>
        </w:rPr>
        <w:t>22</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(d)</w:t>
      </w:r>
      <w:r>
        <w:rPr>
          <w:rFonts w:asciiTheme="minorHAnsi" w:eastAsiaTheme="minorEastAsia" w:hAnsiTheme="minorHAnsi" w:cstheme="minorBidi"/>
          <w:noProof/>
          <w:szCs w:val="22"/>
          <w:lang w:eastAsia="en-NZ"/>
        </w:rPr>
        <w:tab/>
      </w:r>
      <w:r>
        <w:rPr>
          <w:noProof/>
        </w:rPr>
        <w:t>Prohibitions</w:t>
      </w:r>
      <w:r>
        <w:rPr>
          <w:noProof/>
        </w:rPr>
        <w:tab/>
      </w:r>
      <w:r>
        <w:rPr>
          <w:noProof/>
        </w:rPr>
        <w:fldChar w:fldCharType="begin"/>
      </w:r>
      <w:r>
        <w:rPr>
          <w:noProof/>
        </w:rPr>
        <w:instrText xml:space="preserve"> PAGEREF _Toc450059040 \h </w:instrText>
      </w:r>
      <w:r>
        <w:rPr>
          <w:noProof/>
        </w:rPr>
      </w:r>
      <w:r>
        <w:rPr>
          <w:noProof/>
        </w:rPr>
        <w:fldChar w:fldCharType="separate"/>
      </w:r>
      <w:r w:rsidR="009A44D8">
        <w:rPr>
          <w:noProof/>
        </w:rPr>
        <w:t>23</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(e)</w:t>
      </w:r>
      <w:r>
        <w:rPr>
          <w:rFonts w:asciiTheme="minorHAnsi" w:eastAsiaTheme="minorEastAsia" w:hAnsiTheme="minorHAnsi" w:cstheme="minorBidi"/>
          <w:noProof/>
          <w:szCs w:val="22"/>
          <w:lang w:eastAsia="en-NZ"/>
        </w:rPr>
        <w:tab/>
      </w:r>
      <w:r>
        <w:rPr>
          <w:noProof/>
        </w:rPr>
        <w:t>Operations of the armed forces</w:t>
      </w:r>
      <w:r>
        <w:rPr>
          <w:noProof/>
        </w:rPr>
        <w:tab/>
      </w:r>
      <w:r>
        <w:rPr>
          <w:noProof/>
        </w:rPr>
        <w:fldChar w:fldCharType="begin"/>
      </w:r>
      <w:r>
        <w:rPr>
          <w:noProof/>
        </w:rPr>
        <w:instrText xml:space="preserve"> PAGEREF _Toc450059041 \h </w:instrText>
      </w:r>
      <w:r>
        <w:rPr>
          <w:noProof/>
        </w:rPr>
      </w:r>
      <w:r>
        <w:rPr>
          <w:noProof/>
        </w:rPr>
        <w:fldChar w:fldCharType="separate"/>
      </w:r>
      <w:r w:rsidR="009A44D8">
        <w:rPr>
          <w:noProof/>
        </w:rPr>
        <w:t>23</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Incidents and emergencies</w:t>
      </w:r>
      <w:r>
        <w:rPr>
          <w:noProof/>
        </w:rPr>
        <w:tab/>
      </w:r>
      <w:r>
        <w:rPr>
          <w:noProof/>
        </w:rPr>
        <w:fldChar w:fldCharType="begin"/>
      </w:r>
      <w:r>
        <w:rPr>
          <w:noProof/>
        </w:rPr>
        <w:instrText xml:space="preserve"> PAGEREF _Toc450059042 \h </w:instrText>
      </w:r>
      <w:r>
        <w:rPr>
          <w:noProof/>
        </w:rPr>
      </w:r>
      <w:r>
        <w:rPr>
          <w:noProof/>
        </w:rPr>
        <w:fldChar w:fldCharType="separate"/>
      </w:r>
      <w:r w:rsidR="009A44D8">
        <w:rPr>
          <w:noProof/>
        </w:rPr>
        <w:t>25</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Labelling, signage and other controls</w:t>
      </w:r>
      <w:r>
        <w:rPr>
          <w:noProof/>
        </w:rPr>
        <w:tab/>
      </w:r>
      <w:r>
        <w:rPr>
          <w:noProof/>
        </w:rPr>
        <w:fldChar w:fldCharType="begin"/>
      </w:r>
      <w:r>
        <w:rPr>
          <w:noProof/>
        </w:rPr>
        <w:instrText xml:space="preserve"> PAGEREF _Toc450059043 \h </w:instrText>
      </w:r>
      <w:r>
        <w:rPr>
          <w:noProof/>
        </w:rPr>
      </w:r>
      <w:r>
        <w:rPr>
          <w:noProof/>
        </w:rPr>
        <w:fldChar w:fldCharType="separate"/>
      </w:r>
      <w:r w:rsidR="009A44D8">
        <w:rPr>
          <w:noProof/>
        </w:rPr>
        <w:t>26</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Registration of controlled radiation sources</w:t>
      </w:r>
      <w:r>
        <w:rPr>
          <w:noProof/>
        </w:rPr>
        <w:tab/>
      </w:r>
      <w:r>
        <w:rPr>
          <w:noProof/>
        </w:rPr>
        <w:fldChar w:fldCharType="begin"/>
      </w:r>
      <w:r>
        <w:rPr>
          <w:noProof/>
        </w:rPr>
        <w:instrText xml:space="preserve"> PAGEREF _Toc450059044 \h </w:instrText>
      </w:r>
      <w:r>
        <w:rPr>
          <w:noProof/>
        </w:rPr>
      </w:r>
      <w:r>
        <w:rPr>
          <w:noProof/>
        </w:rPr>
        <w:fldChar w:fldCharType="separate"/>
      </w:r>
      <w:r w:rsidR="009A44D8">
        <w:rPr>
          <w:noProof/>
        </w:rPr>
        <w:t>27</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(a)</w:t>
      </w:r>
      <w:r>
        <w:rPr>
          <w:rFonts w:asciiTheme="minorHAnsi" w:eastAsiaTheme="minorEastAsia" w:hAnsiTheme="minorHAnsi" w:cstheme="minorBidi"/>
          <w:noProof/>
          <w:szCs w:val="22"/>
          <w:lang w:eastAsia="en-NZ"/>
        </w:rPr>
        <w:tab/>
      </w:r>
      <w:r>
        <w:rPr>
          <w:noProof/>
        </w:rPr>
        <w:t>Registration</w:t>
      </w:r>
      <w:r>
        <w:rPr>
          <w:noProof/>
        </w:rPr>
        <w:tab/>
      </w:r>
      <w:r>
        <w:rPr>
          <w:noProof/>
        </w:rPr>
        <w:fldChar w:fldCharType="begin"/>
      </w:r>
      <w:r>
        <w:rPr>
          <w:noProof/>
        </w:rPr>
        <w:instrText xml:space="preserve"> PAGEREF _Toc450059045 \h </w:instrText>
      </w:r>
      <w:r>
        <w:rPr>
          <w:noProof/>
        </w:rPr>
      </w:r>
      <w:r>
        <w:rPr>
          <w:noProof/>
        </w:rPr>
        <w:fldChar w:fldCharType="separate"/>
      </w:r>
      <w:r w:rsidR="009A44D8">
        <w:rPr>
          <w:noProof/>
        </w:rPr>
        <w:t>27</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(b)</w:t>
      </w:r>
      <w:r>
        <w:rPr>
          <w:rFonts w:asciiTheme="minorHAnsi" w:eastAsiaTheme="minorEastAsia" w:hAnsiTheme="minorHAnsi" w:cstheme="minorBidi"/>
          <w:noProof/>
          <w:szCs w:val="22"/>
          <w:lang w:eastAsia="en-NZ"/>
        </w:rPr>
        <w:tab/>
      </w:r>
      <w:r>
        <w:rPr>
          <w:noProof/>
        </w:rPr>
        <w:t>Unsealed radioactive material requiring registration</w:t>
      </w:r>
      <w:r>
        <w:rPr>
          <w:noProof/>
        </w:rPr>
        <w:tab/>
      </w:r>
      <w:r>
        <w:rPr>
          <w:noProof/>
        </w:rPr>
        <w:fldChar w:fldCharType="begin"/>
      </w:r>
      <w:r>
        <w:rPr>
          <w:noProof/>
        </w:rPr>
        <w:instrText xml:space="preserve"> PAGEREF _Toc450059046 \h </w:instrText>
      </w:r>
      <w:r>
        <w:rPr>
          <w:noProof/>
        </w:rPr>
      </w:r>
      <w:r>
        <w:rPr>
          <w:noProof/>
        </w:rPr>
        <w:fldChar w:fldCharType="separate"/>
      </w:r>
      <w:r w:rsidR="009A44D8">
        <w:rPr>
          <w:noProof/>
        </w:rPr>
        <w:t>28</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Nuclear material</w:t>
      </w:r>
      <w:r>
        <w:rPr>
          <w:noProof/>
        </w:rPr>
        <w:tab/>
      </w:r>
      <w:r>
        <w:rPr>
          <w:noProof/>
        </w:rPr>
        <w:fldChar w:fldCharType="begin"/>
      </w:r>
      <w:r>
        <w:rPr>
          <w:noProof/>
        </w:rPr>
        <w:instrText xml:space="preserve"> PAGEREF _Toc450059047 \h </w:instrText>
      </w:r>
      <w:r>
        <w:rPr>
          <w:noProof/>
        </w:rPr>
      </w:r>
      <w:r>
        <w:rPr>
          <w:noProof/>
        </w:rPr>
        <w:fldChar w:fldCharType="separate"/>
      </w:r>
      <w:r w:rsidR="009A44D8">
        <w:rPr>
          <w:noProof/>
        </w:rPr>
        <w:t>29</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8</w:t>
      </w:r>
      <w:r>
        <w:rPr>
          <w:rFonts w:asciiTheme="minorHAnsi" w:eastAsiaTheme="minorEastAsia" w:hAnsiTheme="minorHAnsi" w:cstheme="minorBidi"/>
          <w:b w:val="0"/>
          <w:noProof/>
          <w:szCs w:val="22"/>
          <w:lang w:eastAsia="en-NZ"/>
        </w:rPr>
        <w:tab/>
      </w:r>
      <w:r>
        <w:rPr>
          <w:noProof/>
        </w:rPr>
        <w:t>Inspection, compliance and enforcement</w:t>
      </w:r>
      <w:r>
        <w:rPr>
          <w:noProof/>
        </w:rPr>
        <w:tab/>
      </w:r>
      <w:r>
        <w:rPr>
          <w:noProof/>
        </w:rPr>
        <w:fldChar w:fldCharType="begin"/>
      </w:r>
      <w:r>
        <w:rPr>
          <w:noProof/>
        </w:rPr>
        <w:instrText xml:space="preserve"> PAGEREF _Toc450059048 \h </w:instrText>
      </w:r>
      <w:r>
        <w:rPr>
          <w:noProof/>
        </w:rPr>
      </w:r>
      <w:r>
        <w:rPr>
          <w:noProof/>
        </w:rPr>
        <w:fldChar w:fldCharType="separate"/>
      </w:r>
      <w:r w:rsidR="009A44D8">
        <w:rPr>
          <w:noProof/>
        </w:rPr>
        <w:t>30</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(a)</w:t>
      </w:r>
      <w:r>
        <w:rPr>
          <w:rFonts w:asciiTheme="minorHAnsi" w:eastAsiaTheme="minorEastAsia" w:hAnsiTheme="minorHAnsi" w:cstheme="minorBidi"/>
          <w:noProof/>
          <w:szCs w:val="22"/>
          <w:lang w:eastAsia="en-NZ"/>
        </w:rPr>
        <w:tab/>
      </w:r>
      <w:r>
        <w:rPr>
          <w:noProof/>
        </w:rPr>
        <w:t>Record keeping</w:t>
      </w:r>
      <w:r>
        <w:rPr>
          <w:noProof/>
        </w:rPr>
        <w:tab/>
      </w:r>
      <w:r>
        <w:rPr>
          <w:noProof/>
        </w:rPr>
        <w:fldChar w:fldCharType="begin"/>
      </w:r>
      <w:r>
        <w:rPr>
          <w:noProof/>
        </w:rPr>
        <w:instrText xml:space="preserve"> PAGEREF _Toc450059049 \h </w:instrText>
      </w:r>
      <w:r>
        <w:rPr>
          <w:noProof/>
        </w:rPr>
      </w:r>
      <w:r>
        <w:rPr>
          <w:noProof/>
        </w:rPr>
        <w:fldChar w:fldCharType="separate"/>
      </w:r>
      <w:r w:rsidR="009A44D8">
        <w:rPr>
          <w:noProof/>
        </w:rPr>
        <w:t>30</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(b)</w:t>
      </w:r>
      <w:r>
        <w:rPr>
          <w:rFonts w:asciiTheme="minorHAnsi" w:eastAsiaTheme="minorEastAsia" w:hAnsiTheme="minorHAnsi" w:cstheme="minorBidi"/>
          <w:noProof/>
          <w:szCs w:val="22"/>
          <w:lang w:eastAsia="en-NZ"/>
        </w:rPr>
        <w:tab/>
      </w:r>
      <w:r>
        <w:rPr>
          <w:noProof/>
        </w:rPr>
        <w:t>Warrants of appointment</w:t>
      </w:r>
      <w:r>
        <w:rPr>
          <w:noProof/>
        </w:rPr>
        <w:tab/>
      </w:r>
      <w:r>
        <w:rPr>
          <w:noProof/>
        </w:rPr>
        <w:fldChar w:fldCharType="begin"/>
      </w:r>
      <w:r>
        <w:rPr>
          <w:noProof/>
        </w:rPr>
        <w:instrText xml:space="preserve"> PAGEREF _Toc450059050 \h </w:instrText>
      </w:r>
      <w:r>
        <w:rPr>
          <w:noProof/>
        </w:rPr>
      </w:r>
      <w:r>
        <w:rPr>
          <w:noProof/>
        </w:rPr>
        <w:fldChar w:fldCharType="separate"/>
      </w:r>
      <w:r w:rsidR="009A44D8">
        <w:rPr>
          <w:noProof/>
        </w:rPr>
        <w:t>31</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lastRenderedPageBreak/>
        <w:t>(c)</w:t>
      </w:r>
      <w:r>
        <w:rPr>
          <w:rFonts w:asciiTheme="minorHAnsi" w:eastAsiaTheme="minorEastAsia" w:hAnsiTheme="minorHAnsi" w:cstheme="minorBidi"/>
          <w:noProof/>
          <w:szCs w:val="22"/>
          <w:lang w:eastAsia="en-NZ"/>
        </w:rPr>
        <w:tab/>
      </w:r>
      <w:r>
        <w:rPr>
          <w:noProof/>
        </w:rPr>
        <w:t>Compliance orders</w:t>
      </w:r>
      <w:r>
        <w:rPr>
          <w:noProof/>
        </w:rPr>
        <w:tab/>
      </w:r>
      <w:r>
        <w:rPr>
          <w:noProof/>
        </w:rPr>
        <w:fldChar w:fldCharType="begin"/>
      </w:r>
      <w:r>
        <w:rPr>
          <w:noProof/>
        </w:rPr>
        <w:instrText xml:space="preserve"> PAGEREF _Toc450059051 \h </w:instrText>
      </w:r>
      <w:r>
        <w:rPr>
          <w:noProof/>
        </w:rPr>
      </w:r>
      <w:r>
        <w:rPr>
          <w:noProof/>
        </w:rPr>
        <w:fldChar w:fldCharType="separate"/>
      </w:r>
      <w:r w:rsidR="009A44D8">
        <w:rPr>
          <w:noProof/>
        </w:rPr>
        <w:t>31</w:t>
      </w:r>
      <w:r>
        <w:rPr>
          <w:noProof/>
        </w:rPr>
        <w:fldChar w:fldCharType="end"/>
      </w:r>
    </w:p>
    <w:p w:rsidR="00E443F3" w:rsidRDefault="00E443F3">
      <w:pPr>
        <w:pStyle w:val="TOC2"/>
        <w:tabs>
          <w:tab w:val="left" w:pos="1134"/>
        </w:tabs>
        <w:rPr>
          <w:rFonts w:asciiTheme="minorHAnsi" w:eastAsiaTheme="minorEastAsia" w:hAnsiTheme="minorHAnsi" w:cstheme="minorBidi"/>
          <w:noProof/>
          <w:szCs w:val="22"/>
          <w:lang w:eastAsia="en-NZ"/>
        </w:rPr>
      </w:pPr>
      <w:r>
        <w:rPr>
          <w:noProof/>
        </w:rPr>
        <w:t>(d)</w:t>
      </w:r>
      <w:r>
        <w:rPr>
          <w:rFonts w:asciiTheme="minorHAnsi" w:eastAsiaTheme="minorEastAsia" w:hAnsiTheme="minorHAnsi" w:cstheme="minorBidi"/>
          <w:noProof/>
          <w:szCs w:val="22"/>
          <w:lang w:eastAsia="en-NZ"/>
        </w:rPr>
        <w:tab/>
      </w:r>
      <w:r>
        <w:rPr>
          <w:noProof/>
        </w:rPr>
        <w:t>Forms</w:t>
      </w:r>
      <w:r>
        <w:rPr>
          <w:noProof/>
        </w:rPr>
        <w:tab/>
      </w:r>
      <w:r>
        <w:rPr>
          <w:noProof/>
        </w:rPr>
        <w:fldChar w:fldCharType="begin"/>
      </w:r>
      <w:r>
        <w:rPr>
          <w:noProof/>
        </w:rPr>
        <w:instrText xml:space="preserve"> PAGEREF _Toc450059052 \h </w:instrText>
      </w:r>
      <w:r>
        <w:rPr>
          <w:noProof/>
        </w:rPr>
      </w:r>
      <w:r>
        <w:rPr>
          <w:noProof/>
        </w:rPr>
        <w:fldChar w:fldCharType="separate"/>
      </w:r>
      <w:r w:rsidR="009A44D8">
        <w:rPr>
          <w:noProof/>
        </w:rPr>
        <w:t>32</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9</w:t>
      </w:r>
      <w:r>
        <w:rPr>
          <w:rFonts w:asciiTheme="minorHAnsi" w:eastAsiaTheme="minorEastAsia" w:hAnsiTheme="minorHAnsi" w:cstheme="minorBidi"/>
          <w:b w:val="0"/>
          <w:noProof/>
          <w:szCs w:val="22"/>
          <w:lang w:eastAsia="en-NZ"/>
        </w:rPr>
        <w:tab/>
      </w:r>
      <w:r>
        <w:rPr>
          <w:noProof/>
        </w:rPr>
        <w:t>Radiation Safety Advisory Council</w:t>
      </w:r>
      <w:r>
        <w:rPr>
          <w:noProof/>
        </w:rPr>
        <w:tab/>
      </w:r>
      <w:r>
        <w:rPr>
          <w:noProof/>
        </w:rPr>
        <w:fldChar w:fldCharType="begin"/>
      </w:r>
      <w:r>
        <w:rPr>
          <w:noProof/>
        </w:rPr>
        <w:instrText xml:space="preserve"> PAGEREF _Toc450059053 \h </w:instrText>
      </w:r>
      <w:r>
        <w:rPr>
          <w:noProof/>
        </w:rPr>
      </w:r>
      <w:r>
        <w:rPr>
          <w:noProof/>
        </w:rPr>
        <w:fldChar w:fldCharType="separate"/>
      </w:r>
      <w:r w:rsidR="009A44D8">
        <w:rPr>
          <w:noProof/>
        </w:rPr>
        <w:t>33</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10</w:t>
      </w:r>
      <w:r>
        <w:rPr>
          <w:rFonts w:asciiTheme="minorHAnsi" w:eastAsiaTheme="minorEastAsia" w:hAnsiTheme="minorHAnsi" w:cstheme="minorBidi"/>
          <w:b w:val="0"/>
          <w:noProof/>
          <w:szCs w:val="22"/>
          <w:lang w:eastAsia="en-NZ"/>
        </w:rPr>
        <w:tab/>
      </w:r>
      <w:r>
        <w:rPr>
          <w:noProof/>
        </w:rPr>
        <w:t>Other matters to give full effect to the Act or its administration</w:t>
      </w:r>
      <w:r>
        <w:rPr>
          <w:noProof/>
        </w:rPr>
        <w:tab/>
      </w:r>
      <w:r>
        <w:rPr>
          <w:noProof/>
        </w:rPr>
        <w:fldChar w:fldCharType="begin"/>
      </w:r>
      <w:r>
        <w:rPr>
          <w:noProof/>
        </w:rPr>
        <w:instrText xml:space="preserve"> PAGEREF _Toc450059054 \h </w:instrText>
      </w:r>
      <w:r>
        <w:rPr>
          <w:noProof/>
        </w:rPr>
      </w:r>
      <w:r>
        <w:rPr>
          <w:noProof/>
        </w:rPr>
        <w:fldChar w:fldCharType="separate"/>
      </w:r>
      <w:r w:rsidR="009A44D8">
        <w:rPr>
          <w:noProof/>
        </w:rPr>
        <w:t>34</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Index of regulation-making provisions in the Act and the discussion points in this consultation document</w:t>
      </w:r>
      <w:r>
        <w:rPr>
          <w:noProof/>
        </w:rPr>
        <w:tab/>
      </w:r>
      <w:r>
        <w:rPr>
          <w:noProof/>
        </w:rPr>
        <w:fldChar w:fldCharType="begin"/>
      </w:r>
      <w:r>
        <w:rPr>
          <w:noProof/>
        </w:rPr>
        <w:instrText xml:space="preserve"> PAGEREF _Toc450059055 \h </w:instrText>
      </w:r>
      <w:r>
        <w:rPr>
          <w:noProof/>
        </w:rPr>
      </w:r>
      <w:r>
        <w:rPr>
          <w:noProof/>
        </w:rPr>
        <w:fldChar w:fldCharType="separate"/>
      </w:r>
      <w:r w:rsidR="009A44D8">
        <w:rPr>
          <w:noProof/>
        </w:rPr>
        <w:t>35</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_Toc450059056 \h </w:instrText>
      </w:r>
      <w:r>
        <w:rPr>
          <w:noProof/>
        </w:rPr>
      </w:r>
      <w:r>
        <w:rPr>
          <w:noProof/>
        </w:rPr>
        <w:fldChar w:fldCharType="separate"/>
      </w:r>
      <w:r w:rsidR="009A44D8">
        <w:rPr>
          <w:noProof/>
        </w:rPr>
        <w:t>37</w:t>
      </w:r>
      <w:r>
        <w:rPr>
          <w:noProof/>
        </w:rPr>
        <w:fldChar w:fldCharType="end"/>
      </w:r>
    </w:p>
    <w:p w:rsidR="00E443F3" w:rsidRDefault="00E443F3">
      <w:pPr>
        <w:pStyle w:val="TOC1"/>
        <w:rPr>
          <w:rFonts w:asciiTheme="minorHAnsi" w:eastAsiaTheme="minorEastAsia" w:hAnsiTheme="minorHAnsi" w:cstheme="minorBidi"/>
          <w:b w:val="0"/>
          <w:noProof/>
          <w:szCs w:val="22"/>
          <w:lang w:eastAsia="en-NZ"/>
        </w:rPr>
      </w:pPr>
      <w:r>
        <w:rPr>
          <w:noProof/>
        </w:rPr>
        <w:t>Proposed Radiation Safety Regulations: Submission form</w:t>
      </w:r>
      <w:r>
        <w:rPr>
          <w:noProof/>
        </w:rPr>
        <w:tab/>
      </w:r>
      <w:r>
        <w:rPr>
          <w:noProof/>
        </w:rPr>
        <w:fldChar w:fldCharType="begin"/>
      </w:r>
      <w:r>
        <w:rPr>
          <w:noProof/>
        </w:rPr>
        <w:instrText xml:space="preserve"> PAGEREF _Toc450059057 \h </w:instrText>
      </w:r>
      <w:r>
        <w:rPr>
          <w:noProof/>
        </w:rPr>
      </w:r>
      <w:r>
        <w:rPr>
          <w:noProof/>
        </w:rPr>
        <w:fldChar w:fldCharType="separate"/>
      </w:r>
      <w:r w:rsidR="009A44D8">
        <w:rPr>
          <w:noProof/>
        </w:rPr>
        <w:t>38</w:t>
      </w:r>
      <w:r>
        <w:rPr>
          <w:noProof/>
        </w:rPr>
        <w:fldChar w:fldCharType="end"/>
      </w:r>
    </w:p>
    <w:p w:rsidR="00C86248" w:rsidRDefault="00C86248">
      <w:r>
        <w:rPr>
          <w:b/>
        </w:rPr>
        <w:fldChar w:fldCharType="end"/>
      </w:r>
    </w:p>
    <w:p w:rsidR="00C86248" w:rsidRDefault="00C86248"/>
    <w:p w:rsidR="00C86248" w:rsidRDefault="00C86248" w:rsidP="003B1D10">
      <w:pPr>
        <w:pStyle w:val="TOC1"/>
        <w:keepNext/>
      </w:pPr>
      <w:r>
        <w:t>List of Tables</w:t>
      </w:r>
    </w:p>
    <w:p w:rsidR="00E443F3"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E443F3">
        <w:rPr>
          <w:noProof/>
        </w:rPr>
        <w:t xml:space="preserve">Table 1: </w:t>
      </w:r>
      <w:r w:rsidR="00E443F3">
        <w:rPr>
          <w:noProof/>
        </w:rPr>
        <w:tab/>
        <w:t>Definitions of technical and scientific terms used in this consultation document</w:t>
      </w:r>
      <w:r w:rsidR="00E443F3">
        <w:rPr>
          <w:noProof/>
        </w:rPr>
        <w:tab/>
      </w:r>
      <w:r w:rsidR="00E443F3">
        <w:rPr>
          <w:noProof/>
        </w:rPr>
        <w:fldChar w:fldCharType="begin"/>
      </w:r>
      <w:r w:rsidR="00E443F3">
        <w:rPr>
          <w:noProof/>
        </w:rPr>
        <w:instrText xml:space="preserve"> PAGEREF _Toc450059059 \h </w:instrText>
      </w:r>
      <w:r w:rsidR="00E443F3">
        <w:rPr>
          <w:noProof/>
        </w:rPr>
      </w:r>
      <w:r w:rsidR="00E443F3">
        <w:rPr>
          <w:noProof/>
        </w:rPr>
        <w:fldChar w:fldCharType="separate"/>
      </w:r>
      <w:r w:rsidR="009A44D8">
        <w:rPr>
          <w:noProof/>
        </w:rPr>
        <w:t>2</w:t>
      </w:r>
      <w:r w:rsidR="00E443F3">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 xml:space="preserve">Table 2: </w:t>
      </w:r>
      <w:r>
        <w:rPr>
          <w:noProof/>
        </w:rPr>
        <w:tab/>
        <w:t>Proposed groups and their activities that do not require a use licence</w:t>
      </w:r>
      <w:r>
        <w:rPr>
          <w:noProof/>
        </w:rPr>
        <w:tab/>
      </w:r>
      <w:r>
        <w:rPr>
          <w:noProof/>
        </w:rPr>
        <w:fldChar w:fldCharType="begin"/>
      </w:r>
      <w:r>
        <w:rPr>
          <w:noProof/>
        </w:rPr>
        <w:instrText xml:space="preserve"> PAGEREF _Toc450059060 \h </w:instrText>
      </w:r>
      <w:r>
        <w:rPr>
          <w:noProof/>
        </w:rPr>
      </w:r>
      <w:r>
        <w:rPr>
          <w:noProof/>
        </w:rPr>
        <w:fldChar w:fldCharType="separate"/>
      </w:r>
      <w:r w:rsidR="009A44D8">
        <w:rPr>
          <w:noProof/>
        </w:rPr>
        <w:t>6</w:t>
      </w:r>
      <w:r>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 xml:space="preserve">Table 3: </w:t>
      </w:r>
      <w:r>
        <w:rPr>
          <w:noProof/>
        </w:rPr>
        <w:tab/>
        <w:t>Breakdown of annual costs for authorisations, renewals and compliance verification activities under the Act (exclusive of GST)</w:t>
      </w:r>
      <w:r>
        <w:rPr>
          <w:noProof/>
        </w:rPr>
        <w:tab/>
      </w:r>
      <w:r>
        <w:rPr>
          <w:noProof/>
        </w:rPr>
        <w:fldChar w:fldCharType="begin"/>
      </w:r>
      <w:r>
        <w:rPr>
          <w:noProof/>
        </w:rPr>
        <w:instrText xml:space="preserve"> PAGEREF _Toc450059061 \h </w:instrText>
      </w:r>
      <w:r>
        <w:rPr>
          <w:noProof/>
        </w:rPr>
      </w:r>
      <w:r>
        <w:rPr>
          <w:noProof/>
        </w:rPr>
        <w:fldChar w:fldCharType="separate"/>
      </w:r>
      <w:r w:rsidR="009A44D8">
        <w:rPr>
          <w:noProof/>
        </w:rPr>
        <w:t>10</w:t>
      </w:r>
      <w:r>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 xml:space="preserve">Table 4: </w:t>
      </w:r>
      <w:r>
        <w:rPr>
          <w:noProof/>
        </w:rPr>
        <w:tab/>
        <w:t>Proposed distribution of annual fees across authorisation types under the Act (exclusive of GST)</w:t>
      </w:r>
      <w:r>
        <w:rPr>
          <w:noProof/>
        </w:rPr>
        <w:tab/>
      </w:r>
      <w:r>
        <w:rPr>
          <w:noProof/>
        </w:rPr>
        <w:fldChar w:fldCharType="begin"/>
      </w:r>
      <w:r>
        <w:rPr>
          <w:noProof/>
        </w:rPr>
        <w:instrText xml:space="preserve"> PAGEREF _Toc450059062 \h </w:instrText>
      </w:r>
      <w:r>
        <w:rPr>
          <w:noProof/>
        </w:rPr>
      </w:r>
      <w:r>
        <w:rPr>
          <w:noProof/>
        </w:rPr>
        <w:fldChar w:fldCharType="separate"/>
      </w:r>
      <w:r w:rsidR="009A44D8">
        <w:rPr>
          <w:noProof/>
        </w:rPr>
        <w:t>11</w:t>
      </w:r>
      <w:r>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 xml:space="preserve">Table 5: </w:t>
      </w:r>
      <w:r>
        <w:rPr>
          <w:noProof/>
        </w:rPr>
        <w:tab/>
        <w:t>Frequency of current and expected compliance verification inspections</w:t>
      </w:r>
      <w:r>
        <w:rPr>
          <w:noProof/>
        </w:rPr>
        <w:tab/>
      </w:r>
      <w:r>
        <w:rPr>
          <w:noProof/>
        </w:rPr>
        <w:fldChar w:fldCharType="begin"/>
      </w:r>
      <w:r>
        <w:rPr>
          <w:noProof/>
        </w:rPr>
        <w:instrText xml:space="preserve"> PAGEREF _Toc450059063 \h </w:instrText>
      </w:r>
      <w:r>
        <w:rPr>
          <w:noProof/>
        </w:rPr>
      </w:r>
      <w:r>
        <w:rPr>
          <w:noProof/>
        </w:rPr>
        <w:fldChar w:fldCharType="separate"/>
      </w:r>
      <w:r w:rsidR="009A44D8">
        <w:rPr>
          <w:noProof/>
        </w:rPr>
        <w:t>12</w:t>
      </w:r>
      <w:r>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 xml:space="preserve">Table 6: </w:t>
      </w:r>
      <w:r>
        <w:rPr>
          <w:noProof/>
        </w:rPr>
        <w:tab/>
        <w:t>Proposed annual source licence fees under the Act (exclusive of GST)</w:t>
      </w:r>
      <w:r>
        <w:rPr>
          <w:noProof/>
        </w:rPr>
        <w:tab/>
      </w:r>
      <w:r>
        <w:rPr>
          <w:noProof/>
        </w:rPr>
        <w:fldChar w:fldCharType="begin"/>
      </w:r>
      <w:r>
        <w:rPr>
          <w:noProof/>
        </w:rPr>
        <w:instrText xml:space="preserve"> PAGEREF _Toc450059064 \h </w:instrText>
      </w:r>
      <w:r>
        <w:rPr>
          <w:noProof/>
        </w:rPr>
      </w:r>
      <w:r>
        <w:rPr>
          <w:noProof/>
        </w:rPr>
        <w:fldChar w:fldCharType="separate"/>
      </w:r>
      <w:r w:rsidR="009A44D8">
        <w:rPr>
          <w:noProof/>
        </w:rPr>
        <w:t>14</w:t>
      </w:r>
      <w:r>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 xml:space="preserve">Table 7: </w:t>
      </w:r>
      <w:r>
        <w:rPr>
          <w:noProof/>
        </w:rPr>
        <w:tab/>
        <w:t>Proposed consent fees under the Act (exclusive of GST)</w:t>
      </w:r>
      <w:r>
        <w:rPr>
          <w:noProof/>
        </w:rPr>
        <w:tab/>
      </w:r>
      <w:r>
        <w:rPr>
          <w:noProof/>
        </w:rPr>
        <w:fldChar w:fldCharType="begin"/>
      </w:r>
      <w:r>
        <w:rPr>
          <w:noProof/>
        </w:rPr>
        <w:instrText xml:space="preserve"> PAGEREF _Toc450059065 \h </w:instrText>
      </w:r>
      <w:r>
        <w:rPr>
          <w:noProof/>
        </w:rPr>
      </w:r>
      <w:r>
        <w:rPr>
          <w:noProof/>
        </w:rPr>
        <w:fldChar w:fldCharType="separate"/>
      </w:r>
      <w:r w:rsidR="009A44D8">
        <w:rPr>
          <w:noProof/>
        </w:rPr>
        <w:t>16</w:t>
      </w:r>
      <w:r>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 xml:space="preserve">Table 8: </w:t>
      </w:r>
      <w:r>
        <w:rPr>
          <w:noProof/>
        </w:rPr>
        <w:tab/>
        <w:t>Proposed partial exemption from full source licence fees for first six years under the Act (exclusive of GST)</w:t>
      </w:r>
      <w:r>
        <w:rPr>
          <w:noProof/>
        </w:rPr>
        <w:tab/>
      </w:r>
      <w:r>
        <w:rPr>
          <w:noProof/>
        </w:rPr>
        <w:fldChar w:fldCharType="begin"/>
      </w:r>
      <w:r>
        <w:rPr>
          <w:noProof/>
        </w:rPr>
        <w:instrText xml:space="preserve"> PAGEREF _Toc450059066 \h </w:instrText>
      </w:r>
      <w:r>
        <w:rPr>
          <w:noProof/>
        </w:rPr>
      </w:r>
      <w:r>
        <w:rPr>
          <w:noProof/>
        </w:rPr>
        <w:fldChar w:fldCharType="separate"/>
      </w:r>
      <w:r w:rsidR="009A44D8">
        <w:rPr>
          <w:noProof/>
        </w:rPr>
        <w:t>18</w:t>
      </w:r>
      <w:r>
        <w:rPr>
          <w:noProof/>
        </w:rPr>
        <w:fldChar w:fldCharType="end"/>
      </w:r>
    </w:p>
    <w:p w:rsidR="00E443F3" w:rsidRDefault="00E443F3">
      <w:pPr>
        <w:pStyle w:val="TOC3"/>
        <w:rPr>
          <w:rFonts w:asciiTheme="minorHAnsi" w:eastAsiaTheme="minorEastAsia" w:hAnsiTheme="minorHAnsi" w:cstheme="minorBidi"/>
          <w:noProof/>
          <w:szCs w:val="22"/>
          <w:lang w:eastAsia="en-NZ"/>
        </w:rPr>
      </w:pPr>
      <w:r>
        <w:rPr>
          <w:noProof/>
        </w:rPr>
        <w:t>Table 9:</w:t>
      </w:r>
      <w:r>
        <w:rPr>
          <w:noProof/>
        </w:rPr>
        <w:tab/>
        <w:t>Radionuclides exempted under section 91(1)(a)(iii) of the Act</w:t>
      </w:r>
      <w:r>
        <w:rPr>
          <w:noProof/>
        </w:rPr>
        <w:tab/>
      </w:r>
      <w:r>
        <w:rPr>
          <w:noProof/>
        </w:rPr>
        <w:fldChar w:fldCharType="begin"/>
      </w:r>
      <w:r>
        <w:rPr>
          <w:noProof/>
        </w:rPr>
        <w:instrText xml:space="preserve"> PAGEREF _Toc450059067 \h </w:instrText>
      </w:r>
      <w:r>
        <w:rPr>
          <w:noProof/>
        </w:rPr>
      </w:r>
      <w:r>
        <w:rPr>
          <w:noProof/>
        </w:rPr>
        <w:fldChar w:fldCharType="separate"/>
      </w:r>
      <w:r w:rsidR="009A44D8">
        <w:rPr>
          <w:noProof/>
        </w:rPr>
        <w:t>20</w:t>
      </w:r>
      <w:r>
        <w:rPr>
          <w:noProof/>
        </w:rPr>
        <w:fldChar w:fldCharType="end"/>
      </w:r>
    </w:p>
    <w:p w:rsidR="00C86248" w:rsidRDefault="00C86248" w:rsidP="0030382F">
      <w:r>
        <w:fldChar w:fldCharType="end"/>
      </w:r>
    </w:p>
    <w:p w:rsidR="00C86248" w:rsidRDefault="00C86248" w:rsidP="0086388B"/>
    <w:p w:rsidR="00C86248" w:rsidRDefault="00C86248">
      <w:pPr>
        <w:sectPr w:rsidR="00C86248" w:rsidSect="009D5125">
          <w:footerReference w:type="even" r:id="rId20"/>
          <w:pgSz w:w="11907" w:h="16840" w:code="9"/>
          <w:pgMar w:top="851" w:right="1134" w:bottom="1134" w:left="1134" w:header="284" w:footer="567" w:gutter="284"/>
          <w:pgNumType w:fmt="lowerRoman"/>
          <w:cols w:space="720"/>
        </w:sectPr>
      </w:pPr>
    </w:p>
    <w:p w:rsidR="008C2973" w:rsidRDefault="0086388B" w:rsidP="00823DC8">
      <w:pPr>
        <w:pStyle w:val="Heading1"/>
      </w:pPr>
      <w:bookmarkStart w:id="4" w:name="_Toc450059019"/>
      <w:r>
        <w:lastRenderedPageBreak/>
        <w:t>Introduction</w:t>
      </w:r>
      <w:bookmarkEnd w:id="4"/>
    </w:p>
    <w:p w:rsidR="00823DC8" w:rsidRDefault="00000745" w:rsidP="00823DC8">
      <w:pPr>
        <w:pStyle w:val="Heading2"/>
      </w:pPr>
      <w:bookmarkStart w:id="5" w:name="_Toc449001260"/>
      <w:bookmarkStart w:id="6" w:name="_Toc450059020"/>
      <w:r>
        <w:t>The Radiation Safety Act 2016</w:t>
      </w:r>
      <w:bookmarkEnd w:id="5"/>
      <w:bookmarkEnd w:id="6"/>
    </w:p>
    <w:p w:rsidR="00823DC8" w:rsidRDefault="00000745" w:rsidP="00823DC8">
      <w:r w:rsidRPr="009E2A1C">
        <w:t xml:space="preserve">The </w:t>
      </w:r>
      <w:r>
        <w:t xml:space="preserve">Radiation Safety Act 2016 (the Act) </w:t>
      </w:r>
      <w:r w:rsidRPr="009E2A1C">
        <w:t>repeal</w:t>
      </w:r>
      <w:r>
        <w:t>s</w:t>
      </w:r>
      <w:r w:rsidRPr="009E2A1C">
        <w:t xml:space="preserve"> and replace</w:t>
      </w:r>
      <w:r>
        <w:t>s</w:t>
      </w:r>
      <w:r w:rsidRPr="009E2A1C">
        <w:t xml:space="preserve"> the Radiation Protection Act 1965, the Radiation Protection </w:t>
      </w:r>
      <w:r>
        <w:t>Regulations</w:t>
      </w:r>
      <w:r w:rsidRPr="009E2A1C">
        <w:t xml:space="preserve"> 1982 and the Radiation Protection (Appeals) </w:t>
      </w:r>
      <w:r>
        <w:t>Regulations</w:t>
      </w:r>
      <w:r w:rsidRPr="009E2A1C">
        <w:t xml:space="preserve"> 1974.</w:t>
      </w:r>
      <w:r>
        <w:t xml:space="preserve"> </w:t>
      </w:r>
      <w:r w:rsidRPr="009E2A1C">
        <w:t xml:space="preserve">Much of what is covered in the Radiation Protection (Appeals) </w:t>
      </w:r>
      <w:r>
        <w:t>Regulations</w:t>
      </w:r>
      <w:r w:rsidRPr="009E2A1C">
        <w:t xml:space="preserve"> has been carried over in</w:t>
      </w:r>
      <w:r>
        <w:t>to</w:t>
      </w:r>
      <w:r w:rsidRPr="009E2A1C">
        <w:t xml:space="preserve"> the Appeals subpart (</w:t>
      </w:r>
      <w:r>
        <w:t>sections</w:t>
      </w:r>
      <w:r w:rsidRPr="009E2A1C">
        <w:t xml:space="preserve"> </w:t>
      </w:r>
      <w:r>
        <w:t>48−52</w:t>
      </w:r>
      <w:r w:rsidRPr="009E2A1C">
        <w:t xml:space="preserve">) of </w:t>
      </w:r>
      <w:r>
        <w:t>the Act</w:t>
      </w:r>
      <w:r w:rsidRPr="009E2A1C">
        <w:t>.</w:t>
      </w:r>
      <w:r>
        <w:t xml:space="preserve"> </w:t>
      </w:r>
      <w:r w:rsidRPr="009E2A1C">
        <w:t xml:space="preserve">The </w:t>
      </w:r>
      <w:r>
        <w:t>main provisions of the Act</w:t>
      </w:r>
      <w:r w:rsidRPr="009E2A1C">
        <w:t xml:space="preserve"> will come into force </w:t>
      </w:r>
      <w:r>
        <w:t xml:space="preserve">on </w:t>
      </w:r>
      <w:r w:rsidRPr="000119CF">
        <w:t>7 March 2017</w:t>
      </w:r>
      <w:r>
        <w:t>.</w:t>
      </w:r>
    </w:p>
    <w:p w:rsidR="00000745" w:rsidRDefault="00000745" w:rsidP="00823DC8"/>
    <w:p w:rsidR="00823DC8" w:rsidRDefault="00000745" w:rsidP="00823DC8">
      <w:r w:rsidRPr="00AC2039">
        <w:t>The Act brings New Zealand radiation safety law into line with international recommendations and guidelines.</w:t>
      </w:r>
      <w:r>
        <w:t xml:space="preserve"> </w:t>
      </w:r>
      <w:r w:rsidRPr="00AC2039">
        <w:t xml:space="preserve">In doing so, </w:t>
      </w:r>
      <w:r>
        <w:t>it</w:t>
      </w:r>
      <w:r w:rsidRPr="00AC2039">
        <w:t xml:space="preserve"> establishes a framework for protecting the health and safety of people and protecting the environment from the harmful effects of </w:t>
      </w:r>
      <w:r w:rsidRPr="001B7CE8">
        <w:t>ionising radiation while allowing for its safe and beneficial use.</w:t>
      </w:r>
      <w:r w:rsidRPr="001C03A3">
        <w:t xml:space="preserve"> The Act also enables New Zealand to meet its international obligations on radiation protection, safety, security and nuclear non-proliferation.</w:t>
      </w:r>
    </w:p>
    <w:p w:rsidR="00000745" w:rsidRPr="001C03A3" w:rsidRDefault="00000745" w:rsidP="00823DC8"/>
    <w:p w:rsidR="00823DC8" w:rsidRDefault="00000745" w:rsidP="00823DC8">
      <w:r w:rsidRPr="001C03A3">
        <w:t xml:space="preserve">The Act establishes fundamental requirements for safety, security, transport, storage and disposal (see sections 9−12) that must be complied with by every person who deals with a radiation source. The technical requirements specifying how to comply with the fundamental requirements may be outlined in </w:t>
      </w:r>
      <w:r>
        <w:t>c</w:t>
      </w:r>
      <w:r w:rsidRPr="001B7CE8">
        <w:t xml:space="preserve">odes of </w:t>
      </w:r>
      <w:r>
        <w:t>p</w:t>
      </w:r>
      <w:r w:rsidRPr="001B7CE8">
        <w:t>ractice</w:t>
      </w:r>
      <w:r w:rsidRPr="001C03A3">
        <w:t xml:space="preserve"> issued under section 86 of the Act and will therefore not be specified in Regulations. Codes of </w:t>
      </w:r>
      <w:r>
        <w:t>p</w:t>
      </w:r>
      <w:r w:rsidRPr="001C03A3">
        <w:t>ractice will be issued for each specific area of radiation practice</w:t>
      </w:r>
      <w:r>
        <w:t>,</w:t>
      </w:r>
      <w:r w:rsidRPr="001C03A3">
        <w:t xml:space="preserve"> and consultation on their content is expected to start in the second half of 2016.</w:t>
      </w:r>
    </w:p>
    <w:p w:rsidR="00000745" w:rsidRPr="001C03A3" w:rsidRDefault="00000745" w:rsidP="00823DC8"/>
    <w:p w:rsidR="00823DC8" w:rsidRDefault="00000745" w:rsidP="00823DC8">
      <w:r w:rsidRPr="00AC2039">
        <w:t>The Act and any Regulations made under the Act apply to the relatively small number of people who deal with ionising radiation.</w:t>
      </w:r>
      <w:r>
        <w:t xml:space="preserve"> </w:t>
      </w:r>
      <w:r w:rsidRPr="00AC2039">
        <w:t>In almost all instances where people are dealing with radiation sources, the Act and its Regulations will apply alongside other applicable law that may have parallel and/or additional duties and requirements.</w:t>
      </w:r>
      <w:r>
        <w:t xml:space="preserve"> </w:t>
      </w:r>
      <w:r w:rsidRPr="00AC2039">
        <w:t>Other applicable law may include</w:t>
      </w:r>
      <w:r w:rsidR="0027725E">
        <w:t xml:space="preserve"> the following</w:t>
      </w:r>
      <w:r>
        <w:t>:</w:t>
      </w:r>
    </w:p>
    <w:p w:rsidR="00000745" w:rsidRDefault="00000745" w:rsidP="00823DC8">
      <w:pPr>
        <w:pStyle w:val="Bullet"/>
      </w:pPr>
      <w:r w:rsidRPr="00FC295A">
        <w:t>Health and Safety at Work Act 2015</w:t>
      </w:r>
    </w:p>
    <w:p w:rsidR="00000745" w:rsidRDefault="00000745" w:rsidP="00823DC8">
      <w:pPr>
        <w:pStyle w:val="Bullet"/>
      </w:pPr>
      <w:r w:rsidRPr="00FA29A5">
        <w:t>Resource Management Act 1991</w:t>
      </w:r>
    </w:p>
    <w:p w:rsidR="00000745" w:rsidRDefault="00000745" w:rsidP="00823DC8">
      <w:pPr>
        <w:pStyle w:val="Bullet"/>
      </w:pPr>
      <w:r w:rsidRPr="00FA29A5">
        <w:t>Customs and Excise Act 1996</w:t>
      </w:r>
    </w:p>
    <w:p w:rsidR="00000745" w:rsidRDefault="00000745" w:rsidP="00823DC8">
      <w:pPr>
        <w:pStyle w:val="Bullet"/>
      </w:pPr>
      <w:r w:rsidRPr="00FA29A5">
        <w:t>Medicines Act 1981</w:t>
      </w:r>
    </w:p>
    <w:p w:rsidR="00000745" w:rsidRDefault="00000745" w:rsidP="00823DC8">
      <w:pPr>
        <w:pStyle w:val="Bullet"/>
      </w:pPr>
      <w:r w:rsidRPr="00FA29A5">
        <w:t>Health Practitioners</w:t>
      </w:r>
      <w:r w:rsidRPr="004431B9">
        <w:t xml:space="preserve"> Competence Assurance Act 2003</w:t>
      </w:r>
    </w:p>
    <w:p w:rsidR="0027725E" w:rsidRDefault="00000745" w:rsidP="00823DC8">
      <w:pPr>
        <w:pStyle w:val="Bullet"/>
      </w:pPr>
      <w:r w:rsidRPr="00FA29A5">
        <w:t>Terrorism Suppression Act 2012</w:t>
      </w:r>
    </w:p>
    <w:p w:rsidR="00823DC8" w:rsidRDefault="00000745" w:rsidP="002F1412">
      <w:pPr>
        <w:pStyle w:val="Bullet"/>
      </w:pPr>
      <w:r w:rsidRPr="00FC295A">
        <w:t>any Regulations made under these Acts.</w:t>
      </w:r>
    </w:p>
    <w:p w:rsidR="00000745" w:rsidRDefault="00000745" w:rsidP="00823DC8"/>
    <w:p w:rsidR="00823DC8" w:rsidRDefault="00000745" w:rsidP="00823DC8">
      <w:r w:rsidRPr="00AC2039">
        <w:t>In very limited situations the legislation mentioned in section 7 of the Act may also apply.</w:t>
      </w:r>
      <w:r>
        <w:t xml:space="preserve"> </w:t>
      </w:r>
      <w:r w:rsidRPr="00AC2039">
        <w:t>Complying with New Zealand law will ensure the international obligations mentioned in section</w:t>
      </w:r>
      <w:r w:rsidR="00823DC8">
        <w:t> </w:t>
      </w:r>
      <w:r w:rsidRPr="00AC2039">
        <w:t>3(b) of the Act are being met.</w:t>
      </w:r>
    </w:p>
    <w:p w:rsidR="00000745" w:rsidRDefault="00000745" w:rsidP="00823DC8"/>
    <w:p w:rsidR="00823DC8" w:rsidRDefault="00000745" w:rsidP="00823DC8">
      <w:r>
        <w:t>This consultation document discusses only the matters that can be covered in Regulations under sections 91−93 of the Act. Each discussion point begins with background information on the relevant regulation-making provision from the Act.</w:t>
      </w:r>
    </w:p>
    <w:p w:rsidR="00823DC8" w:rsidRDefault="00823DC8" w:rsidP="00823DC8"/>
    <w:p w:rsidR="00823DC8" w:rsidRDefault="00000745" w:rsidP="00823DC8">
      <w:pPr>
        <w:pStyle w:val="Heading2"/>
      </w:pPr>
      <w:bookmarkStart w:id="7" w:name="_Toc449001261"/>
      <w:bookmarkStart w:id="8" w:name="_Toc450059021"/>
      <w:r w:rsidRPr="009E2A1C">
        <w:lastRenderedPageBreak/>
        <w:t>Definitions</w:t>
      </w:r>
      <w:bookmarkEnd w:id="7"/>
      <w:bookmarkEnd w:id="8"/>
    </w:p>
    <w:p w:rsidR="00823DC8" w:rsidRDefault="00000745" w:rsidP="00823DC8">
      <w:r>
        <w:t>This consultation document uses technical and scientific terms derived from the Act. To make the document more useful, these terms are signalled in the text using bold type on first mention, and they are also defined in Table 1. The definitions in Table 1 should be used only for the purposes of this consultation document.</w:t>
      </w:r>
    </w:p>
    <w:p w:rsidR="00000745" w:rsidRDefault="00000745" w:rsidP="00823DC8"/>
    <w:p w:rsidR="00000745" w:rsidRPr="00823DC8" w:rsidRDefault="00000745" w:rsidP="00823DC8">
      <w:pPr>
        <w:pStyle w:val="Table"/>
      </w:pPr>
      <w:bookmarkStart w:id="9" w:name="_Toc450059059"/>
      <w:r w:rsidRPr="001B7CE8">
        <w:t>Table 1: Definitions of technical and scientific terms used in this consultation document</w:t>
      </w:r>
      <w:bookmarkEnd w:id="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6095"/>
        <w:gridCol w:w="1418"/>
      </w:tblGrid>
      <w:tr w:rsidR="00000745" w:rsidRPr="00823DC8" w:rsidTr="00D15E14">
        <w:trPr>
          <w:cantSplit/>
          <w:tblHeader/>
        </w:trPr>
        <w:tc>
          <w:tcPr>
            <w:tcW w:w="1843" w:type="dxa"/>
            <w:tcBorders>
              <w:top w:val="single" w:sz="4" w:space="0" w:color="auto"/>
              <w:bottom w:val="single" w:sz="4" w:space="0" w:color="auto"/>
            </w:tcBorders>
            <w:shd w:val="clear" w:color="auto" w:fill="auto"/>
            <w:noWrap/>
            <w:hideMark/>
          </w:tcPr>
          <w:p w:rsidR="00000745" w:rsidRPr="00823DC8" w:rsidRDefault="00000745" w:rsidP="00D15E14">
            <w:pPr>
              <w:pStyle w:val="TableText"/>
              <w:ind w:right="142"/>
              <w:rPr>
                <w:b/>
                <w:lang w:eastAsia="en-NZ"/>
              </w:rPr>
            </w:pPr>
            <w:r w:rsidRPr="00823DC8">
              <w:rPr>
                <w:b/>
                <w:lang w:eastAsia="en-NZ"/>
              </w:rPr>
              <w:t>Term</w:t>
            </w:r>
          </w:p>
        </w:tc>
        <w:tc>
          <w:tcPr>
            <w:tcW w:w="6095" w:type="dxa"/>
            <w:tcBorders>
              <w:top w:val="single" w:sz="4" w:space="0" w:color="auto"/>
              <w:bottom w:val="single" w:sz="4" w:space="0" w:color="auto"/>
            </w:tcBorders>
            <w:shd w:val="clear" w:color="auto" w:fill="auto"/>
            <w:noWrap/>
            <w:hideMark/>
          </w:tcPr>
          <w:p w:rsidR="00000745" w:rsidRPr="00823DC8" w:rsidRDefault="00000745" w:rsidP="00D15E14">
            <w:pPr>
              <w:pStyle w:val="TableText"/>
              <w:ind w:right="142"/>
              <w:rPr>
                <w:b/>
                <w:lang w:eastAsia="en-NZ"/>
              </w:rPr>
            </w:pPr>
            <w:r w:rsidRPr="00823DC8">
              <w:rPr>
                <w:b/>
                <w:lang w:eastAsia="en-NZ"/>
              </w:rPr>
              <w:t>Definition</w:t>
            </w:r>
          </w:p>
        </w:tc>
        <w:tc>
          <w:tcPr>
            <w:tcW w:w="1418" w:type="dxa"/>
            <w:tcBorders>
              <w:top w:val="single" w:sz="4" w:space="0" w:color="auto"/>
              <w:bottom w:val="single" w:sz="4" w:space="0" w:color="auto"/>
            </w:tcBorders>
            <w:shd w:val="clear" w:color="auto" w:fill="auto"/>
            <w:noWrap/>
            <w:hideMark/>
          </w:tcPr>
          <w:p w:rsidR="00000745" w:rsidRPr="00823DC8" w:rsidRDefault="00000745" w:rsidP="00823DC8">
            <w:pPr>
              <w:pStyle w:val="TableText"/>
              <w:rPr>
                <w:b/>
                <w:lang w:eastAsia="en-NZ"/>
              </w:rPr>
            </w:pPr>
            <w:r w:rsidRPr="00823DC8">
              <w:rPr>
                <w:b/>
                <w:lang w:eastAsia="en-NZ"/>
              </w:rPr>
              <w:t>Use in the Act</w:t>
            </w:r>
          </w:p>
        </w:tc>
      </w:tr>
      <w:tr w:rsidR="00000745" w:rsidRPr="00F950F4" w:rsidTr="00D15E14">
        <w:trPr>
          <w:cantSplit/>
        </w:trPr>
        <w:tc>
          <w:tcPr>
            <w:tcW w:w="1843" w:type="dxa"/>
            <w:tcBorders>
              <w:top w:val="single" w:sz="4" w:space="0" w:color="auto"/>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Authorisation</w:t>
            </w:r>
          </w:p>
        </w:tc>
        <w:tc>
          <w:tcPr>
            <w:tcW w:w="6095" w:type="dxa"/>
            <w:tcBorders>
              <w:top w:val="single" w:sz="4" w:space="0" w:color="auto"/>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Pr>
                <w:lang w:eastAsia="en-NZ"/>
              </w:rPr>
              <w:t>A s</w:t>
            </w:r>
            <w:r w:rsidRPr="005D23D3">
              <w:rPr>
                <w:lang w:eastAsia="en-NZ"/>
              </w:rPr>
              <w:t>ource licence, use licence or consent</w:t>
            </w:r>
            <w:r>
              <w:rPr>
                <w:lang w:eastAsia="en-NZ"/>
              </w:rPr>
              <w:t>.</w:t>
            </w:r>
          </w:p>
        </w:tc>
        <w:tc>
          <w:tcPr>
            <w:tcW w:w="1418" w:type="dxa"/>
            <w:tcBorders>
              <w:top w:val="single" w:sz="4" w:space="0" w:color="auto"/>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 xml:space="preserve">Codes of </w:t>
            </w:r>
            <w:r>
              <w:rPr>
                <w:lang w:eastAsia="en-NZ"/>
              </w:rPr>
              <w:t>p</w:t>
            </w:r>
            <w:r w:rsidRPr="00F950F4">
              <w:rPr>
                <w:lang w:eastAsia="en-NZ"/>
              </w:rPr>
              <w:t>ractice</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 xml:space="preserve">These </w:t>
            </w:r>
            <w:r w:rsidRPr="005D23D3">
              <w:rPr>
                <w:lang w:eastAsia="en-NZ"/>
              </w:rPr>
              <w:t>specify technical requirements that a person who deals with a radiation source must comply with in order to comply with the fundamental requirements.</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s86</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Compliance verification</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The process</w:t>
            </w:r>
            <w:r w:rsidRPr="00F950F4">
              <w:rPr>
                <w:lang w:eastAsia="en-NZ"/>
              </w:rPr>
              <w:t xml:space="preserve"> of monitoring compliance with the radiation safety requirement</w:t>
            </w:r>
            <w:r>
              <w:rPr>
                <w:lang w:eastAsia="en-NZ"/>
              </w:rPr>
              <w:t>s in the Act.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s37</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Consent</w:t>
            </w:r>
          </w:p>
        </w:tc>
        <w:tc>
          <w:tcPr>
            <w:tcW w:w="609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Pr>
                <w:lang w:eastAsia="en-NZ"/>
              </w:rPr>
              <w:t>An authorisation to import or export radioactive material.</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Controlled radiation source</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 xml:space="preserve">Any irradiating apparatus, any sealed radioactive material, any nuclear material (whether sealed or unsealed), </w:t>
            </w:r>
            <w:r>
              <w:rPr>
                <w:lang w:eastAsia="en-NZ"/>
              </w:rPr>
              <w:t xml:space="preserve">or </w:t>
            </w:r>
            <w:r w:rsidRPr="00F950F4">
              <w:rPr>
                <w:lang w:eastAsia="en-NZ"/>
              </w:rPr>
              <w:t>any unsealed radioactive material of a kind that regulations require to be registered</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s30(2)</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Deal with</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M</w:t>
            </w:r>
            <w:r w:rsidRPr="00F950F4">
              <w:rPr>
                <w:lang w:eastAsia="en-NZ"/>
              </w:rPr>
              <w:t>anufacture, possess, control, manage, use, transport, store, export, import, sell, supply o</w:t>
            </w:r>
            <w:r>
              <w:rPr>
                <w:lang w:eastAsia="en-NZ"/>
              </w:rPr>
              <w:t>r dispose of a radiation source</w:t>
            </w:r>
            <w:r w:rsidRPr="00F950F4">
              <w:rPr>
                <w:lang w:eastAsia="en-NZ"/>
              </w:rPr>
              <w:t xml:space="preserve"> or carry out any other activity or practice involving the radiation source</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Pr>
                <w:lang w:eastAsia="en-NZ"/>
              </w:rPr>
              <w:t>Director</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The person appointed as the Director for Radiation Safety under section</w:t>
            </w:r>
            <w:r w:rsidR="00D15E14">
              <w:rPr>
                <w:lang w:eastAsia="en-NZ"/>
              </w:rPr>
              <w:t> </w:t>
            </w:r>
            <w:r>
              <w:rPr>
                <w:lang w:eastAsia="en-NZ"/>
              </w:rPr>
              <w:t>76 of the Act.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s76</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Effective dose</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The tissue-weighted sum of equivalent doses in all specified tissues and organs of the body</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Enforcement officer</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A person appointed under section 36 to carry out compliance verification activities.</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s36(1)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Equivalent dose</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The radiation-weighted dose in a tissue or organ of the body</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Fundamental requirements</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9A4BC4">
              <w:rPr>
                <w:lang w:eastAsia="en-NZ"/>
              </w:rPr>
              <w:t>Every person who deals with a radiation source must ensure that people and the environment are protected</w:t>
            </w:r>
            <w:r>
              <w:rPr>
                <w:lang w:eastAsia="en-NZ"/>
              </w:rPr>
              <w:t>,</w:t>
            </w:r>
            <w:r w:rsidRPr="009A4BC4">
              <w:rPr>
                <w:lang w:eastAsia="en-NZ"/>
              </w:rPr>
              <w:t xml:space="preserve"> now and in the future</w:t>
            </w:r>
            <w:r>
              <w:rPr>
                <w:lang w:eastAsia="en-NZ"/>
              </w:rPr>
              <w:t>,</w:t>
            </w:r>
            <w:r w:rsidRPr="009A4BC4">
              <w:rPr>
                <w:lang w:eastAsia="en-NZ"/>
              </w:rPr>
              <w:t xml:space="preserve"> from the adverse effects of the radiation source by complying with the fundamental requirements set out in sections 9 to 12 of the Act</w:t>
            </w:r>
            <w:r>
              <w:rPr>
                <w:lang w:eastAsia="en-NZ"/>
              </w:rPr>
              <w:t>.</w:t>
            </w:r>
            <w:r w:rsidRPr="00E316DE">
              <w:rPr>
                <w:lang w:eastAsia="en-NZ"/>
              </w:rPr>
              <w:t xml:space="preserve"> </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Pr>
                <w:lang w:eastAsia="en-NZ"/>
              </w:rPr>
              <w:t>s8</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tcPr>
          <w:p w:rsidR="00000745" w:rsidRPr="00F950F4" w:rsidRDefault="00000745" w:rsidP="00D15E14">
            <w:pPr>
              <w:pStyle w:val="TableText"/>
              <w:ind w:right="142"/>
              <w:rPr>
                <w:lang w:eastAsia="en-NZ"/>
              </w:rPr>
            </w:pPr>
            <w:r>
              <w:rPr>
                <w:lang w:eastAsia="en-NZ"/>
              </w:rPr>
              <w:t>IAEA</w:t>
            </w:r>
          </w:p>
        </w:tc>
        <w:tc>
          <w:tcPr>
            <w:tcW w:w="6095" w:type="dxa"/>
            <w:tcBorders>
              <w:top w:val="single" w:sz="4" w:space="0" w:color="A6A6A6" w:themeColor="background1" w:themeShade="A6"/>
              <w:bottom w:val="single" w:sz="4" w:space="0" w:color="A6A6A6" w:themeColor="background1" w:themeShade="A6"/>
            </w:tcBorders>
            <w:shd w:val="clear" w:color="auto" w:fill="auto"/>
          </w:tcPr>
          <w:p w:rsidR="00000745" w:rsidRPr="009A4BC4" w:rsidRDefault="00000745" w:rsidP="00D15E14">
            <w:pPr>
              <w:pStyle w:val="TableText"/>
              <w:ind w:right="142"/>
              <w:rPr>
                <w:lang w:eastAsia="en-NZ"/>
              </w:rPr>
            </w:pPr>
            <w:r>
              <w:rPr>
                <w:lang w:eastAsia="en-NZ"/>
              </w:rPr>
              <w:t>The International Atomic Energy Agency</w:t>
            </w:r>
            <w:r w:rsidR="00F810AB">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tcPr>
          <w:p w:rsidR="00000745" w:rsidRDefault="00000745" w:rsidP="00823DC8">
            <w:pPr>
              <w:pStyle w:val="TableText"/>
              <w:rPr>
                <w:lang w:eastAsia="en-NZ"/>
              </w:rPr>
            </w:pPr>
            <w:r>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Irradiating apparatus</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 xml:space="preserve">Electrical equipment that is designed to generate ionising radiation such as X-rays, neutrons, electrons, or other charged particles; or </w:t>
            </w:r>
            <w:r>
              <w:rPr>
                <w:lang w:eastAsia="en-NZ"/>
              </w:rPr>
              <w:t xml:space="preserve">that </w:t>
            </w:r>
            <w:r w:rsidRPr="00F950F4">
              <w:rPr>
                <w:lang w:eastAsia="en-NZ"/>
              </w:rPr>
              <w:t>produces ionising radiation as a by-product resulting in a dose equivalent rate of or exceeding 1 microsievert per hour at a point 0.1 metres from any accessible surface and that has a maximum energy of or exceeding 5</w:t>
            </w:r>
            <w:r w:rsidR="00D15E14">
              <w:rPr>
                <w:lang w:eastAsia="en-NZ"/>
              </w:rPr>
              <w:t> </w:t>
            </w:r>
            <w:r w:rsidRPr="00F950F4">
              <w:rPr>
                <w:lang w:eastAsia="en-NZ"/>
              </w:rPr>
              <w:t>kiloelectronvolts</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Nuclear material</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 xml:space="preserve">Any </w:t>
            </w:r>
            <w:r w:rsidRPr="001B7CE8">
              <w:rPr>
                <w:lang w:eastAsia="en-NZ"/>
              </w:rPr>
              <w:t>source material or special fissionable material</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Radiation safety plan</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A plan submitted under section 18 of the Act</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Radiation safety requirements</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The requirements of the Act, its regulations</w:t>
            </w:r>
            <w:r>
              <w:rPr>
                <w:lang w:eastAsia="en-NZ"/>
              </w:rPr>
              <w:t xml:space="preserve">, </w:t>
            </w:r>
            <w:r w:rsidRPr="00F950F4">
              <w:rPr>
                <w:lang w:eastAsia="en-NZ"/>
              </w:rPr>
              <w:t>codes of practice, radiation safety plan</w:t>
            </w:r>
            <w:r>
              <w:rPr>
                <w:lang w:eastAsia="en-NZ"/>
              </w:rPr>
              <w:t>s</w:t>
            </w:r>
            <w:r w:rsidRPr="00F950F4">
              <w:rPr>
                <w:lang w:eastAsia="en-NZ"/>
              </w:rPr>
              <w:t>, the conditions of authorisation</w:t>
            </w:r>
            <w:r>
              <w:rPr>
                <w:lang w:eastAsia="en-NZ"/>
              </w:rPr>
              <w:t>s</w:t>
            </w:r>
            <w:r w:rsidRPr="00F950F4">
              <w:rPr>
                <w:lang w:eastAsia="en-NZ"/>
              </w:rPr>
              <w:t>, and the conditions of exemption</w:t>
            </w:r>
            <w:r>
              <w:rPr>
                <w:lang w:eastAsia="en-NZ"/>
              </w:rPr>
              <w:t>s</w:t>
            </w:r>
            <w:r w:rsidRPr="00F950F4">
              <w:rPr>
                <w:lang w:eastAsia="en-NZ"/>
              </w:rPr>
              <w:t xml:space="preserve"> granted under section 86(3)</w:t>
            </w:r>
            <w:r w:rsidR="00D15E14">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Radiation source</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R</w:t>
            </w:r>
            <w:r w:rsidRPr="00F950F4">
              <w:rPr>
                <w:lang w:eastAsia="en-NZ"/>
              </w:rPr>
              <w:t>adioactive material to which the Act applies or an irradiating apparatus</w:t>
            </w:r>
            <w:r w:rsidR="00F810AB">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Radioactive material</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A</w:t>
            </w:r>
            <w:r w:rsidRPr="00F950F4">
              <w:rPr>
                <w:lang w:eastAsia="en-NZ"/>
              </w:rPr>
              <w:t>ny material that spontaneously emits ionising radiation, including any naturally occurring radioactive material or any nuclear material</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Radionuclide</w:t>
            </w:r>
            <w:r>
              <w:rPr>
                <w:lang w:eastAsia="en-NZ"/>
              </w:rPr>
              <w:t>s</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C248A4">
              <w:rPr>
                <w:lang w:eastAsia="en-NZ"/>
              </w:rPr>
              <w:t>Radioactive isotopes referred to in Schedule 2 of the Act</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Schedule 2</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Sealed radioactive material</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 xml:space="preserve">Radioactive material that is permanently sealed in a capsule or </w:t>
            </w:r>
            <w:r>
              <w:rPr>
                <w:lang w:eastAsia="en-NZ"/>
              </w:rPr>
              <w:t xml:space="preserve">is </w:t>
            </w:r>
            <w:r w:rsidRPr="00F950F4">
              <w:rPr>
                <w:lang w:eastAsia="en-NZ"/>
              </w:rPr>
              <w:t>closely bonded and in solid form</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Source licence</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This a</w:t>
            </w:r>
            <w:r w:rsidRPr="00F950F4">
              <w:rPr>
                <w:lang w:eastAsia="en-NZ"/>
              </w:rPr>
              <w:t>uthorises a person to manage and control a radiation source</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s17(1)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lastRenderedPageBreak/>
              <w:t>Source material</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9A4BC4" w:rsidRDefault="00000745" w:rsidP="00D15E14">
            <w:pPr>
              <w:pStyle w:val="TableText"/>
              <w:ind w:right="142"/>
              <w:rPr>
                <w:lang w:eastAsia="en-NZ"/>
              </w:rPr>
            </w:pPr>
            <w:r w:rsidRPr="009A4BC4">
              <w:rPr>
                <w:lang w:eastAsia="en-NZ"/>
              </w:rPr>
              <w:t>Uranium containing a mixture of isotopes occurring in nature, uranium depleted in the isotope 235, or thorium and any of that material that is in the form of metal, alloy, chemical compound, or concentrate</w:t>
            </w:r>
            <w:r>
              <w:rPr>
                <w:lang w:eastAsia="en-NZ"/>
              </w:rPr>
              <w:t>,</w:t>
            </w:r>
            <w:r w:rsidRPr="009A4BC4">
              <w:rPr>
                <w:lang w:eastAsia="en-NZ"/>
              </w:rPr>
              <w:t xml:space="preserve"> and any material prescribed under section 91(1)(c) of the Act</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s5(2)</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Special fissionable material</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9A4BC4" w:rsidRDefault="00000745" w:rsidP="00D15E14">
            <w:pPr>
              <w:pStyle w:val="TableText"/>
              <w:ind w:right="142"/>
              <w:rPr>
                <w:lang w:eastAsia="en-NZ"/>
              </w:rPr>
            </w:pPr>
            <w:r w:rsidRPr="009A4BC4">
              <w:rPr>
                <w:lang w:eastAsia="en-NZ"/>
              </w:rPr>
              <w:t>Plutonium-239, uranium-233, or uranium enriched in the isotopes 235 or 233</w:t>
            </w:r>
            <w:r>
              <w:rPr>
                <w:lang w:eastAsia="en-NZ"/>
              </w:rPr>
              <w:t>,</w:t>
            </w:r>
            <w:r w:rsidRPr="009A4BC4">
              <w:rPr>
                <w:lang w:eastAsia="en-NZ"/>
              </w:rPr>
              <w:t xml:space="preserve"> or both or any combination of that material or any material prescribed under section 91(1)(c) of the Act</w:t>
            </w:r>
            <w:r w:rsidR="00D15E14">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s5(2)</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Unsealed radioactive material</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sidRPr="00F950F4">
              <w:rPr>
                <w:lang w:eastAsia="en-NZ"/>
              </w:rPr>
              <w:t>Radioactive material that is not a sealed radioactive material</w:t>
            </w:r>
            <w:r>
              <w:rPr>
                <w:lang w:eastAsia="en-NZ"/>
              </w:rPr>
              <w:t>.</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s5(1)</w:t>
            </w:r>
          </w:p>
        </w:tc>
      </w:tr>
      <w:tr w:rsidR="00000745" w:rsidRPr="00F950F4" w:rsidTr="00D15E14">
        <w:trPr>
          <w:cantSplit/>
        </w:trPr>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Use licence</w:t>
            </w:r>
          </w:p>
        </w:tc>
        <w:tc>
          <w:tcPr>
            <w:tcW w:w="6095" w:type="dxa"/>
            <w:tcBorders>
              <w:top w:val="single" w:sz="4" w:space="0" w:color="A6A6A6" w:themeColor="background1" w:themeShade="A6"/>
              <w:bottom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This a</w:t>
            </w:r>
            <w:r w:rsidRPr="00F950F4">
              <w:rPr>
                <w:lang w:eastAsia="en-NZ"/>
              </w:rPr>
              <w:t>uthorise</w:t>
            </w:r>
            <w:r>
              <w:rPr>
                <w:lang w:eastAsia="en-NZ"/>
              </w:rPr>
              <w:t>s</w:t>
            </w:r>
            <w:r w:rsidRPr="00F950F4">
              <w:rPr>
                <w:lang w:eastAsia="en-NZ"/>
              </w:rPr>
              <w:t xml:space="preserve"> the licence holder to use </w:t>
            </w:r>
            <w:r>
              <w:rPr>
                <w:lang w:eastAsia="en-NZ"/>
              </w:rPr>
              <w:t xml:space="preserve">one or more </w:t>
            </w:r>
            <w:r w:rsidRPr="00F950F4">
              <w:rPr>
                <w:lang w:eastAsia="en-NZ"/>
              </w:rPr>
              <w:t>radiation source</w:t>
            </w:r>
            <w:r>
              <w:rPr>
                <w:lang w:eastAsia="en-NZ"/>
              </w:rPr>
              <w:t>s.</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s21(1)</w:t>
            </w:r>
          </w:p>
        </w:tc>
      </w:tr>
      <w:tr w:rsidR="00000745" w:rsidRPr="00F950F4" w:rsidTr="00D15E14">
        <w:trPr>
          <w:cantSplit/>
        </w:trPr>
        <w:tc>
          <w:tcPr>
            <w:tcW w:w="1843" w:type="dxa"/>
            <w:tcBorders>
              <w:top w:val="single" w:sz="4" w:space="0" w:color="A6A6A6" w:themeColor="background1" w:themeShade="A6"/>
            </w:tcBorders>
            <w:shd w:val="clear" w:color="auto" w:fill="auto"/>
            <w:noWrap/>
            <w:hideMark/>
          </w:tcPr>
          <w:p w:rsidR="00000745" w:rsidRPr="00F950F4" w:rsidRDefault="00000745" w:rsidP="00D15E14">
            <w:pPr>
              <w:pStyle w:val="TableText"/>
              <w:ind w:right="142"/>
              <w:rPr>
                <w:lang w:eastAsia="en-NZ"/>
              </w:rPr>
            </w:pPr>
            <w:r w:rsidRPr="00F950F4">
              <w:rPr>
                <w:lang w:eastAsia="en-NZ"/>
              </w:rPr>
              <w:t>Warrant of appointment</w:t>
            </w:r>
          </w:p>
        </w:tc>
        <w:tc>
          <w:tcPr>
            <w:tcW w:w="6095" w:type="dxa"/>
            <w:tcBorders>
              <w:top w:val="single" w:sz="4" w:space="0" w:color="A6A6A6" w:themeColor="background1" w:themeShade="A6"/>
            </w:tcBorders>
            <w:shd w:val="clear" w:color="auto" w:fill="auto"/>
            <w:hideMark/>
          </w:tcPr>
          <w:p w:rsidR="00000745" w:rsidRPr="00F950F4" w:rsidRDefault="00000745" w:rsidP="00D15E14">
            <w:pPr>
              <w:pStyle w:val="TableText"/>
              <w:ind w:right="142"/>
              <w:rPr>
                <w:lang w:eastAsia="en-NZ"/>
              </w:rPr>
            </w:pPr>
            <w:r>
              <w:rPr>
                <w:lang w:eastAsia="en-NZ"/>
              </w:rPr>
              <w:t>A w</w:t>
            </w:r>
            <w:r w:rsidRPr="00F950F4">
              <w:rPr>
                <w:lang w:eastAsia="en-NZ"/>
              </w:rPr>
              <w:t xml:space="preserve">arrant </w:t>
            </w:r>
            <w:r>
              <w:rPr>
                <w:lang w:eastAsia="en-NZ"/>
              </w:rPr>
              <w:t xml:space="preserve">issued </w:t>
            </w:r>
            <w:r w:rsidRPr="00F950F4">
              <w:rPr>
                <w:lang w:eastAsia="en-NZ"/>
              </w:rPr>
              <w:t>to every person appointed as an enforcement officer</w:t>
            </w:r>
            <w:r>
              <w:rPr>
                <w:lang w:eastAsia="en-NZ"/>
              </w:rPr>
              <w:t>.</w:t>
            </w:r>
          </w:p>
        </w:tc>
        <w:tc>
          <w:tcPr>
            <w:tcW w:w="1418" w:type="dxa"/>
            <w:tcBorders>
              <w:top w:val="single" w:sz="4" w:space="0" w:color="A6A6A6" w:themeColor="background1" w:themeShade="A6"/>
            </w:tcBorders>
            <w:shd w:val="clear" w:color="auto" w:fill="auto"/>
            <w:noWrap/>
            <w:hideMark/>
          </w:tcPr>
          <w:p w:rsidR="00000745" w:rsidRPr="00F950F4" w:rsidRDefault="00000745" w:rsidP="00823DC8">
            <w:pPr>
              <w:pStyle w:val="TableText"/>
              <w:rPr>
                <w:lang w:eastAsia="en-NZ"/>
              </w:rPr>
            </w:pPr>
            <w:r w:rsidRPr="00F950F4">
              <w:rPr>
                <w:lang w:eastAsia="en-NZ"/>
              </w:rPr>
              <w:t>s36(4)</w:t>
            </w:r>
            <w:r>
              <w:rPr>
                <w:lang w:eastAsia="en-NZ"/>
              </w:rPr>
              <w:t>−</w:t>
            </w:r>
            <w:r w:rsidRPr="00F950F4">
              <w:rPr>
                <w:lang w:eastAsia="en-NZ"/>
              </w:rPr>
              <w:t>(7)</w:t>
            </w:r>
          </w:p>
        </w:tc>
      </w:tr>
    </w:tbl>
    <w:p w:rsidR="00000745" w:rsidRDefault="00000745" w:rsidP="00000745">
      <w:pPr>
        <w:rPr>
          <w:rFonts w:cs="Arial"/>
          <w:szCs w:val="24"/>
        </w:rPr>
      </w:pPr>
    </w:p>
    <w:p w:rsidR="00000745" w:rsidRPr="009E2A1C" w:rsidRDefault="00000745" w:rsidP="00000745">
      <w:pPr>
        <w:rPr>
          <w:szCs w:val="24"/>
        </w:rPr>
      </w:pPr>
      <w:r w:rsidRPr="009E2A1C">
        <w:rPr>
          <w:szCs w:val="24"/>
        </w:rPr>
        <w:br w:type="page"/>
      </w:r>
    </w:p>
    <w:p w:rsidR="00000745" w:rsidRPr="00463F23" w:rsidRDefault="00000745" w:rsidP="002F4AA4">
      <w:pPr>
        <w:pStyle w:val="Heading1"/>
      </w:pPr>
      <w:bookmarkStart w:id="10" w:name="_Toc449001262"/>
      <w:bookmarkStart w:id="11" w:name="_Toc450059022"/>
      <w:r>
        <w:lastRenderedPageBreak/>
        <w:t>1</w:t>
      </w:r>
      <w:r>
        <w:tab/>
      </w:r>
      <w:r w:rsidRPr="009E2A1C">
        <w:t>Authorisations</w:t>
      </w:r>
      <w:r w:rsidR="00C84917">
        <w:t xml:space="preserve"> </w:t>
      </w:r>
      <w:r w:rsidRPr="009E2A1C">
        <w:t>(source licences, use licences and consents)</w:t>
      </w:r>
      <w:bookmarkEnd w:id="10"/>
      <w:bookmarkEnd w:id="11"/>
    </w:p>
    <w:p w:rsidR="00823DC8" w:rsidRDefault="00000745" w:rsidP="002F4AA4">
      <w:pPr>
        <w:pStyle w:val="Heading2"/>
      </w:pPr>
      <w:bookmarkStart w:id="12" w:name="_Toc449001263"/>
      <w:bookmarkStart w:id="13" w:name="_Toc450059023"/>
      <w:r>
        <w:t>(a)</w:t>
      </w:r>
      <w:r w:rsidR="002F4AA4">
        <w:tab/>
      </w:r>
      <w:r>
        <w:t>Application f</w:t>
      </w:r>
      <w:r w:rsidRPr="009E2A1C">
        <w:t>orms</w:t>
      </w:r>
      <w:bookmarkEnd w:id="12"/>
      <w:bookmarkEnd w:id="13"/>
    </w:p>
    <w:p w:rsidR="00000745" w:rsidRPr="003322FC" w:rsidRDefault="00000745" w:rsidP="002F4AA4">
      <w:pPr>
        <w:pStyle w:val="Heading3"/>
      </w:pPr>
      <w:r w:rsidRPr="003322FC">
        <w:t>Background</w:t>
      </w:r>
    </w:p>
    <w:p w:rsidR="00823DC8" w:rsidRDefault="00000745" w:rsidP="002F4AA4">
      <w:r w:rsidRPr="00A8254C">
        <w:t>Pe</w:t>
      </w:r>
      <w:r>
        <w:t>ople or organisations that</w:t>
      </w:r>
      <w:r w:rsidRPr="00A8254C">
        <w:t xml:space="preserve"> </w:t>
      </w:r>
      <w:r w:rsidRPr="00A8254C">
        <w:rPr>
          <w:b/>
        </w:rPr>
        <w:t>deal with</w:t>
      </w:r>
      <w:r w:rsidRPr="00A8254C">
        <w:t xml:space="preserve"> radiation sources must obtain the appropriate </w:t>
      </w:r>
      <w:r w:rsidRPr="00A8254C">
        <w:rPr>
          <w:b/>
        </w:rPr>
        <w:t>authorisation</w:t>
      </w:r>
      <w:r w:rsidRPr="00A8254C">
        <w:t>.</w:t>
      </w:r>
      <w:r>
        <w:t xml:space="preserve"> The requirements for </w:t>
      </w:r>
      <w:r w:rsidRPr="009E2A1C">
        <w:t xml:space="preserve">authorisations are set out in </w:t>
      </w:r>
      <w:r>
        <w:t>sections 13−29 of the Act</w:t>
      </w:r>
      <w:r w:rsidRPr="009E2A1C">
        <w:t>.</w:t>
      </w:r>
      <w:r>
        <w:t xml:space="preserve"> These provisions specify the matters the Director must be satisfied with in order to grant authorisations. The provisions also allow the Director wide discretion in considering and setting conditions when granting authorisations. Section 29 specifically allows the Director to request further relevant information from an applicant.</w:t>
      </w:r>
    </w:p>
    <w:p w:rsidR="00000745" w:rsidRDefault="00000745" w:rsidP="002F4AA4"/>
    <w:p w:rsidR="00823DC8" w:rsidRDefault="00000745" w:rsidP="002F4AA4">
      <w:r>
        <w:t>Section 91(1)</w:t>
      </w:r>
      <w:r w:rsidRPr="009E2A1C">
        <w:t xml:space="preserve">(g) allows for </w:t>
      </w:r>
      <w:r>
        <w:t>Regulations</w:t>
      </w:r>
      <w:r w:rsidRPr="009E2A1C">
        <w:t xml:space="preserve"> to prescribe the information that must be included in applications for the granting or renewal of authorisations.</w:t>
      </w:r>
    </w:p>
    <w:p w:rsidR="00000745" w:rsidRDefault="00000745" w:rsidP="002F4AA4"/>
    <w:p w:rsidR="00000745" w:rsidRDefault="00000745" w:rsidP="002F4AA4">
      <w:pPr>
        <w:pStyle w:val="Heading3"/>
      </w:pPr>
      <w:r w:rsidRPr="00111127">
        <w:t>Preferred option</w:t>
      </w:r>
    </w:p>
    <w:p w:rsidR="00823DC8" w:rsidRPr="002F4AA4" w:rsidRDefault="00000745" w:rsidP="002F4AA4">
      <w:pPr>
        <w:rPr>
          <w:i/>
        </w:rPr>
      </w:pPr>
      <w:r w:rsidRPr="002F4AA4">
        <w:rPr>
          <w:i/>
        </w:rPr>
        <w:t>No further information is prescribed in Regulations for inclusion in application forms.</w:t>
      </w:r>
    </w:p>
    <w:p w:rsidR="002F4AA4" w:rsidRDefault="002F4AA4" w:rsidP="002F4AA4"/>
    <w:p w:rsidR="00823DC8" w:rsidRDefault="00000745" w:rsidP="002F4AA4">
      <w:r w:rsidRPr="009E2A1C">
        <w:t>This approach provides the most flexibility</w:t>
      </w:r>
      <w:r>
        <w:t xml:space="preserve"> for obtaining the necessary information to consider an application and any conditions that may need to apply. In line with current practice of the Office of Radiation Safety, the information required for applications will continue to be available on the internet for use by applicants.</w:t>
      </w:r>
    </w:p>
    <w:p w:rsidR="00000745" w:rsidRDefault="00000745" w:rsidP="002F4AA4"/>
    <w:p w:rsidR="00000745" w:rsidRPr="00111127" w:rsidRDefault="00000745" w:rsidP="002F4AA4">
      <w:pPr>
        <w:pStyle w:val="Heading3"/>
      </w:pPr>
      <w:r>
        <w:t>Alternative option</w:t>
      </w:r>
      <w:r w:rsidRPr="00111127">
        <w:t xml:space="preserve"> 1</w:t>
      </w:r>
    </w:p>
    <w:p w:rsidR="00823DC8" w:rsidRPr="002F4AA4" w:rsidRDefault="003459BC" w:rsidP="002F4AA4">
      <w:pPr>
        <w:rPr>
          <w:i/>
        </w:rPr>
      </w:pPr>
      <w:r>
        <w:rPr>
          <w:i/>
        </w:rPr>
        <w:t>A</w:t>
      </w:r>
      <w:r w:rsidR="00000745" w:rsidRPr="002F4AA4">
        <w:rPr>
          <w:i/>
        </w:rPr>
        <w:t xml:space="preserve"> single application form for each authorisation type</w:t>
      </w:r>
      <w:r>
        <w:rPr>
          <w:i/>
        </w:rPr>
        <w:t xml:space="preserve"> is prescribed by Regulations</w:t>
      </w:r>
      <w:r w:rsidR="00000745" w:rsidRPr="002F4AA4">
        <w:rPr>
          <w:i/>
        </w:rPr>
        <w:t>.</w:t>
      </w:r>
    </w:p>
    <w:p w:rsidR="002F4AA4" w:rsidRDefault="002F4AA4" w:rsidP="002F4AA4"/>
    <w:p w:rsidR="00823DC8" w:rsidRDefault="00000745" w:rsidP="002F4AA4">
      <w:r w:rsidRPr="009E2A1C">
        <w:t xml:space="preserve">The range of activities </w:t>
      </w:r>
      <w:r>
        <w:t xml:space="preserve">involved in use licences, source licences and consents </w:t>
      </w:r>
      <w:r w:rsidRPr="009E2A1C">
        <w:t>is very wide and authorisations are considered on a case-by-case basis.</w:t>
      </w:r>
      <w:r>
        <w:t xml:space="preserve"> </w:t>
      </w:r>
      <w:r w:rsidRPr="009E2A1C">
        <w:t>This means that single application form</w:t>
      </w:r>
      <w:r>
        <w:t>s</w:t>
      </w:r>
      <w:r w:rsidRPr="009E2A1C">
        <w:t xml:space="preserve"> </w:t>
      </w:r>
      <w:r>
        <w:t xml:space="preserve">for each authorisation type </w:t>
      </w:r>
      <w:r w:rsidRPr="009E2A1C">
        <w:t>w</w:t>
      </w:r>
      <w:r>
        <w:t>ould need to</w:t>
      </w:r>
      <w:r w:rsidRPr="009E2A1C">
        <w:t xml:space="preserve"> be </w:t>
      </w:r>
      <w:r>
        <w:t>very</w:t>
      </w:r>
      <w:r w:rsidRPr="009E2A1C">
        <w:t xml:space="preserve"> large</w:t>
      </w:r>
      <w:r>
        <w:t>,</w:t>
      </w:r>
      <w:r w:rsidRPr="009E2A1C">
        <w:t xml:space="preserve"> comprehensive document</w:t>
      </w:r>
      <w:r>
        <w:t>s</w:t>
      </w:r>
      <w:r w:rsidRPr="009E2A1C">
        <w:t xml:space="preserve"> </w:t>
      </w:r>
      <w:r>
        <w:t>in</w:t>
      </w:r>
      <w:r w:rsidRPr="009E2A1C">
        <w:t xml:space="preserve"> which most items w</w:t>
      </w:r>
      <w:r>
        <w:t>ould</w:t>
      </w:r>
      <w:r w:rsidRPr="009E2A1C">
        <w:t xml:space="preserve"> not apply to a particular applicant.</w:t>
      </w:r>
    </w:p>
    <w:p w:rsidR="00000745" w:rsidRDefault="00000745" w:rsidP="002F4AA4"/>
    <w:p w:rsidR="00000745" w:rsidRPr="00111127" w:rsidRDefault="00000745" w:rsidP="002F4AA4">
      <w:pPr>
        <w:pStyle w:val="Heading3"/>
      </w:pPr>
      <w:r>
        <w:t>Alternative option</w:t>
      </w:r>
      <w:r w:rsidRPr="00111127">
        <w:t xml:space="preserve"> 2</w:t>
      </w:r>
    </w:p>
    <w:p w:rsidR="00823DC8" w:rsidRPr="002F4AA4" w:rsidRDefault="003459BC" w:rsidP="002F4AA4">
      <w:pPr>
        <w:rPr>
          <w:i/>
        </w:rPr>
      </w:pPr>
      <w:r>
        <w:rPr>
          <w:i/>
        </w:rPr>
        <w:t>M</w:t>
      </w:r>
      <w:r w:rsidR="00000745" w:rsidRPr="002F4AA4">
        <w:rPr>
          <w:i/>
        </w:rPr>
        <w:t>any application forms</w:t>
      </w:r>
      <w:r>
        <w:rPr>
          <w:i/>
        </w:rPr>
        <w:t xml:space="preserve"> are prescribed by </w:t>
      </w:r>
      <w:r w:rsidRPr="002F4AA4">
        <w:rPr>
          <w:i/>
        </w:rPr>
        <w:t>Regulations</w:t>
      </w:r>
      <w:r w:rsidR="00000745" w:rsidRPr="002F4AA4">
        <w:rPr>
          <w:i/>
        </w:rPr>
        <w:t>.</w:t>
      </w:r>
    </w:p>
    <w:p w:rsidR="002F4AA4" w:rsidRDefault="002F4AA4" w:rsidP="002F4AA4"/>
    <w:p w:rsidR="00823DC8" w:rsidRDefault="00000745" w:rsidP="002F4AA4">
      <w:r w:rsidRPr="009E2A1C">
        <w:t xml:space="preserve">This approach is likely </w:t>
      </w:r>
      <w:r>
        <w:t xml:space="preserve">to </w:t>
      </w:r>
      <w:r w:rsidRPr="009E2A1C">
        <w:t>produce a s</w:t>
      </w:r>
      <w:r>
        <w:t>teady stream of updates to the Regulations,</w:t>
      </w:r>
      <w:r w:rsidRPr="009E2A1C">
        <w:t xml:space="preserve"> as particular applications forms </w:t>
      </w:r>
      <w:r>
        <w:t xml:space="preserve">would </w:t>
      </w:r>
      <w:r w:rsidRPr="009E2A1C">
        <w:t>need to be updated to accommodate changes in radiation practices</w:t>
      </w:r>
      <w:r>
        <w:t xml:space="preserve"> and </w:t>
      </w:r>
      <w:r w:rsidRPr="009E2A1C">
        <w:t>authorisation requirements over time.</w:t>
      </w:r>
    </w:p>
    <w:p w:rsidR="00000745" w:rsidRDefault="00000745" w:rsidP="002F4AA4"/>
    <w:p w:rsidR="00000745" w:rsidRPr="00111127" w:rsidRDefault="00000745" w:rsidP="002F4AA4">
      <w:pPr>
        <w:pStyle w:val="Heading3"/>
      </w:pPr>
      <w:r>
        <w:lastRenderedPageBreak/>
        <w:t>Alternative option</w:t>
      </w:r>
      <w:r w:rsidRPr="00111127">
        <w:t xml:space="preserve"> 3</w:t>
      </w:r>
    </w:p>
    <w:p w:rsidR="00823DC8" w:rsidRPr="002F4AA4" w:rsidRDefault="003459BC" w:rsidP="002F4AA4">
      <w:pPr>
        <w:rPr>
          <w:i/>
        </w:rPr>
      </w:pPr>
      <w:r>
        <w:rPr>
          <w:i/>
        </w:rPr>
        <w:t>M</w:t>
      </w:r>
      <w:r w:rsidR="00000745" w:rsidRPr="002F4AA4">
        <w:rPr>
          <w:i/>
        </w:rPr>
        <w:t>inimum application requirements (the information to be included in all applications only)</w:t>
      </w:r>
      <w:r>
        <w:rPr>
          <w:i/>
        </w:rPr>
        <w:t xml:space="preserve"> are prescribed by Regulations, </w:t>
      </w:r>
      <w:r w:rsidR="00000745" w:rsidRPr="002F4AA4">
        <w:rPr>
          <w:i/>
        </w:rPr>
        <w:t>leaving the Director</w:t>
      </w:r>
      <w:r w:rsidR="00000745" w:rsidRPr="002F4AA4">
        <w:rPr>
          <w:b/>
          <w:i/>
        </w:rPr>
        <w:t xml:space="preserve"> </w:t>
      </w:r>
      <w:r w:rsidR="00000745" w:rsidRPr="002F4AA4">
        <w:rPr>
          <w:i/>
        </w:rPr>
        <w:t>to determine the final content of application forms.</w:t>
      </w:r>
    </w:p>
    <w:p w:rsidR="00000745" w:rsidRDefault="00000745" w:rsidP="002F4AA4"/>
    <w:p w:rsidR="00000745" w:rsidRDefault="00000745" w:rsidP="002F4AA4">
      <w:pPr>
        <w:pStyle w:val="BoxHeading"/>
      </w:pPr>
      <w:r w:rsidRPr="001B7CE8">
        <w:t>Consultation questions</w:t>
      </w:r>
    </w:p>
    <w:p w:rsidR="00823DC8" w:rsidRDefault="002F4AA4" w:rsidP="002F4AA4">
      <w:pPr>
        <w:pStyle w:val="Box"/>
        <w:ind w:left="851" w:hanging="567"/>
      </w:pPr>
      <w:r>
        <w:t>1.</w:t>
      </w:r>
      <w:r>
        <w:tab/>
      </w:r>
      <w:r w:rsidR="00000745">
        <w:t>D</w:t>
      </w:r>
      <w:r w:rsidR="00000745" w:rsidRPr="009E2A1C">
        <w:t xml:space="preserve">o you think it would </w:t>
      </w:r>
      <w:r w:rsidR="00000745">
        <w:t xml:space="preserve">add value </w:t>
      </w:r>
      <w:r w:rsidR="00000745" w:rsidRPr="009E2A1C">
        <w:t xml:space="preserve">if application requirements </w:t>
      </w:r>
      <w:r w:rsidR="00000745">
        <w:t>we</w:t>
      </w:r>
      <w:r w:rsidR="00000745" w:rsidRPr="009E2A1C">
        <w:t xml:space="preserve">re prescribed in </w:t>
      </w:r>
      <w:r w:rsidR="00000745">
        <w:t>Regulations</w:t>
      </w:r>
      <w:r w:rsidR="00000745" w:rsidRPr="009E2A1C">
        <w:t>?</w:t>
      </w:r>
    </w:p>
    <w:p w:rsidR="00823DC8" w:rsidRDefault="002F4AA4" w:rsidP="002F4AA4">
      <w:pPr>
        <w:pStyle w:val="Box"/>
        <w:ind w:left="851" w:hanging="567"/>
      </w:pPr>
      <w:r>
        <w:t>2.</w:t>
      </w:r>
      <w:r>
        <w:tab/>
      </w:r>
      <w:r w:rsidR="00000745">
        <w:t>If application requirements were prescribed in Regulations,</w:t>
      </w:r>
      <w:r w:rsidR="00000745" w:rsidRPr="009E2A1C">
        <w:t xml:space="preserve"> </w:t>
      </w:r>
      <w:r w:rsidR="00000745">
        <w:t>would</w:t>
      </w:r>
      <w:r w:rsidR="00000745" w:rsidRPr="009E2A1C">
        <w:t xml:space="preserve"> you prefer minimum requirements (requiring the Director </w:t>
      </w:r>
      <w:r w:rsidR="00000745">
        <w:t xml:space="preserve">of Radiation Safety </w:t>
      </w:r>
      <w:r w:rsidR="00000745" w:rsidRPr="009E2A1C">
        <w:t xml:space="preserve">to </w:t>
      </w:r>
      <w:r w:rsidR="00000745">
        <w:t xml:space="preserve">set </w:t>
      </w:r>
      <w:r w:rsidR="00000745" w:rsidRPr="009E2A1C">
        <w:t xml:space="preserve">additional requirements </w:t>
      </w:r>
      <w:r w:rsidR="00000745">
        <w:t>for specific situations</w:t>
      </w:r>
      <w:r w:rsidR="00000745" w:rsidRPr="009E2A1C">
        <w:t>) or should the full requirements be prescribed?</w:t>
      </w:r>
    </w:p>
    <w:p w:rsidR="00823DC8" w:rsidRDefault="002F4AA4" w:rsidP="002F4AA4">
      <w:pPr>
        <w:pStyle w:val="Box"/>
        <w:ind w:left="851" w:hanging="567"/>
      </w:pPr>
      <w:r>
        <w:t>3.</w:t>
      </w:r>
      <w:r>
        <w:tab/>
      </w:r>
      <w:r w:rsidR="00000745">
        <w:t>Do you have any further comments, suggestions or alternative options?</w:t>
      </w:r>
    </w:p>
    <w:p w:rsidR="00823DC8" w:rsidRDefault="00000745" w:rsidP="002F4AA4">
      <w:pPr>
        <w:pStyle w:val="Box"/>
      </w:pPr>
      <w:r>
        <w:t xml:space="preserve">Please use the submission </w:t>
      </w:r>
      <w:r w:rsidR="00F810AB">
        <w:t xml:space="preserve">form </w:t>
      </w:r>
      <w:r>
        <w:t>to respond to these questions.</w:t>
      </w:r>
    </w:p>
    <w:p w:rsidR="00000745" w:rsidRPr="009E2A1C" w:rsidRDefault="00000745" w:rsidP="002F4AA4"/>
    <w:p w:rsidR="00000745" w:rsidRPr="009E2A1C" w:rsidRDefault="00000745" w:rsidP="002F4AA4">
      <w:pPr>
        <w:pStyle w:val="Heading2"/>
      </w:pPr>
      <w:bookmarkStart w:id="14" w:name="_Toc449001264"/>
      <w:bookmarkStart w:id="15" w:name="_Toc450059024"/>
      <w:r>
        <w:t>(b)</w:t>
      </w:r>
      <w:r w:rsidR="002F4AA4">
        <w:tab/>
      </w:r>
      <w:r>
        <w:t>Users and activities where a u</w:t>
      </w:r>
      <w:r w:rsidRPr="009E2A1C">
        <w:t xml:space="preserve">se licence </w:t>
      </w:r>
      <w:r>
        <w:t>is not required</w:t>
      </w:r>
      <w:bookmarkEnd w:id="14"/>
      <w:bookmarkEnd w:id="15"/>
    </w:p>
    <w:p w:rsidR="00823DC8" w:rsidRDefault="00000745" w:rsidP="002F4AA4">
      <w:pPr>
        <w:pStyle w:val="Heading3"/>
      </w:pPr>
      <w:r w:rsidRPr="003322FC">
        <w:t>Background</w:t>
      </w:r>
    </w:p>
    <w:p w:rsidR="00823DC8" w:rsidRDefault="00000745" w:rsidP="002F4AA4">
      <w:r>
        <w:t>Section 13</w:t>
      </w:r>
      <w:r w:rsidRPr="009E2A1C">
        <w:t xml:space="preserve">(b) of the </w:t>
      </w:r>
      <w:r>
        <w:t>Act</w:t>
      </w:r>
      <w:r w:rsidRPr="009E2A1C">
        <w:t xml:space="preserve"> requires users of </w:t>
      </w:r>
      <w:r w:rsidRPr="00415579">
        <w:rPr>
          <w:b/>
        </w:rPr>
        <w:t>radiation sources</w:t>
      </w:r>
      <w:r w:rsidRPr="009E2A1C">
        <w:t xml:space="preserve"> to obtain a </w:t>
      </w:r>
      <w:r w:rsidRPr="00415579">
        <w:rPr>
          <w:b/>
        </w:rPr>
        <w:t xml:space="preserve">use </w:t>
      </w:r>
      <w:r w:rsidRPr="00363A87">
        <w:rPr>
          <w:b/>
        </w:rPr>
        <w:t>licence</w:t>
      </w:r>
      <w:r w:rsidRPr="00363A87">
        <w:t>. However, section 16(a) allows for the use of radiation sources without a use</w:t>
      </w:r>
      <w:r w:rsidRPr="009E2A1C">
        <w:t xml:space="preserve"> licence for any activities prescribed by </w:t>
      </w:r>
      <w:r>
        <w:t>Regulations. The people and the activities they can perform without a use licence can be prescribed under section 91</w:t>
      </w:r>
      <w:r w:rsidRPr="009E2A1C">
        <w:t>(1)(h) and (i).</w:t>
      </w:r>
      <w:r>
        <w:t xml:space="preserve"> A person performing activities without having to meet the</w:t>
      </w:r>
      <w:r w:rsidRPr="009E2A1C">
        <w:t xml:space="preserve"> requirement to obtain a </w:t>
      </w:r>
      <w:r>
        <w:t xml:space="preserve">use </w:t>
      </w:r>
      <w:r w:rsidRPr="009E2A1C">
        <w:t xml:space="preserve">licence under these </w:t>
      </w:r>
      <w:r>
        <w:t>Regulations</w:t>
      </w:r>
      <w:r w:rsidRPr="009E2A1C">
        <w:t xml:space="preserve"> will still be subject to the </w:t>
      </w:r>
      <w:r w:rsidRPr="00107113">
        <w:rPr>
          <w:b/>
        </w:rPr>
        <w:t>fundamental requirements</w:t>
      </w:r>
      <w:r w:rsidRPr="009E2A1C">
        <w:t xml:space="preserve"> of the </w:t>
      </w:r>
      <w:r>
        <w:t xml:space="preserve">Act </w:t>
      </w:r>
      <w:r w:rsidRPr="00C248A4">
        <w:t xml:space="preserve">and any </w:t>
      </w:r>
      <w:r>
        <w:rPr>
          <w:b/>
        </w:rPr>
        <w:t>c</w:t>
      </w:r>
      <w:r w:rsidRPr="00C248A4">
        <w:rPr>
          <w:b/>
        </w:rPr>
        <w:t xml:space="preserve">odes of </w:t>
      </w:r>
      <w:r>
        <w:rPr>
          <w:b/>
        </w:rPr>
        <w:t>p</w:t>
      </w:r>
      <w:r w:rsidRPr="00C248A4">
        <w:rPr>
          <w:b/>
        </w:rPr>
        <w:t>ractice</w:t>
      </w:r>
      <w:r w:rsidRPr="00C248A4">
        <w:t xml:space="preserve"> that apply.</w:t>
      </w:r>
    </w:p>
    <w:p w:rsidR="00000745" w:rsidRDefault="00000745" w:rsidP="002F4AA4"/>
    <w:p w:rsidR="00823DC8" w:rsidRDefault="00000745" w:rsidP="002F4AA4">
      <w:pPr>
        <w:pStyle w:val="Heading3"/>
      </w:pPr>
      <w:r w:rsidRPr="00141CF0">
        <w:t>Preferred option</w:t>
      </w:r>
    </w:p>
    <w:p w:rsidR="00823DC8" w:rsidRPr="00EF0FE1" w:rsidRDefault="00000745" w:rsidP="00EF0FE1">
      <w:pPr>
        <w:rPr>
          <w:i/>
        </w:rPr>
      </w:pPr>
      <w:r w:rsidRPr="00EF0FE1">
        <w:rPr>
          <w:i/>
        </w:rPr>
        <w:t>Regulations list the groups of people and the activities they can perform without having to meet the requirement to obtain a use licence.</w:t>
      </w:r>
    </w:p>
    <w:p w:rsidR="00EF0FE1" w:rsidRDefault="00EF0FE1" w:rsidP="00EF0FE1"/>
    <w:p w:rsidR="00823DC8" w:rsidRDefault="00000745" w:rsidP="00EF0FE1">
      <w:r>
        <w:t xml:space="preserve">Groups will require a verifiable </w:t>
      </w:r>
      <w:r w:rsidRPr="00C248A4">
        <w:t xml:space="preserve">means of ensuring that all </w:t>
      </w:r>
      <w:r>
        <w:t xml:space="preserve">members who can perform activities under these Regulations have obtained </w:t>
      </w:r>
      <w:r w:rsidRPr="00C248A4">
        <w:t>radiation safety and security training and knowledge that would otherwise be required to obtain a use licence.</w:t>
      </w:r>
    </w:p>
    <w:p w:rsidR="00000745" w:rsidRDefault="00000745" w:rsidP="00EF0FE1"/>
    <w:p w:rsidR="00823DC8" w:rsidRDefault="00000745" w:rsidP="00EF0FE1">
      <w:pPr>
        <w:rPr>
          <w:highlight w:val="cyan"/>
        </w:rPr>
      </w:pPr>
      <w:r>
        <w:t>T</w:t>
      </w:r>
      <w:r w:rsidRPr="00C248A4">
        <w:t xml:space="preserve">he </w:t>
      </w:r>
      <w:r>
        <w:t xml:space="preserve">proposed groups and the activities they can perform without having to meet the requirement of obtaining a use licence </w:t>
      </w:r>
      <w:r w:rsidRPr="00C248A4">
        <w:t>are listed in Table 2.</w:t>
      </w:r>
    </w:p>
    <w:p w:rsidR="00000745" w:rsidRDefault="00000745" w:rsidP="00EF0FE1">
      <w:pPr>
        <w:rPr>
          <w:highlight w:val="cyan"/>
        </w:rPr>
      </w:pPr>
    </w:p>
    <w:p w:rsidR="00000745" w:rsidRPr="00EF0FE1" w:rsidRDefault="00000745" w:rsidP="00EF0FE1">
      <w:pPr>
        <w:pStyle w:val="Table"/>
        <w:rPr>
          <w:highlight w:val="cyan"/>
        </w:rPr>
      </w:pPr>
      <w:bookmarkStart w:id="16" w:name="_Toc450059060"/>
      <w:r w:rsidRPr="001B7CE8">
        <w:lastRenderedPageBreak/>
        <w:t>Table 2: Proposed groups and their activities that do not require a use licence</w:t>
      </w:r>
      <w:bookmarkEnd w:id="1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2268"/>
        <w:gridCol w:w="2268"/>
        <w:gridCol w:w="2693"/>
      </w:tblGrid>
      <w:tr w:rsidR="00000745" w:rsidRPr="00EF0FE1" w:rsidTr="00EF0FE1">
        <w:trPr>
          <w:cantSplit/>
          <w:tblHeader/>
        </w:trPr>
        <w:tc>
          <w:tcPr>
            <w:tcW w:w="2127" w:type="dxa"/>
            <w:tcBorders>
              <w:top w:val="single" w:sz="4" w:space="0" w:color="auto"/>
              <w:bottom w:val="single" w:sz="4" w:space="0" w:color="auto"/>
            </w:tcBorders>
            <w:shd w:val="clear" w:color="auto" w:fill="auto"/>
            <w:noWrap/>
            <w:hideMark/>
          </w:tcPr>
          <w:p w:rsidR="00000745" w:rsidRPr="00EF0FE1" w:rsidRDefault="00000745" w:rsidP="00EF0FE1">
            <w:pPr>
              <w:pStyle w:val="TableText"/>
              <w:keepNext/>
              <w:ind w:right="142"/>
              <w:rPr>
                <w:b/>
                <w:lang w:eastAsia="en-NZ"/>
              </w:rPr>
            </w:pPr>
            <w:r w:rsidRPr="00EF0FE1">
              <w:rPr>
                <w:b/>
                <w:lang w:eastAsia="en-NZ"/>
              </w:rPr>
              <w:t>Authority</w:t>
            </w:r>
          </w:p>
        </w:tc>
        <w:tc>
          <w:tcPr>
            <w:tcW w:w="2268" w:type="dxa"/>
            <w:tcBorders>
              <w:top w:val="single" w:sz="4" w:space="0" w:color="auto"/>
              <w:bottom w:val="single" w:sz="4" w:space="0" w:color="auto"/>
            </w:tcBorders>
            <w:shd w:val="clear" w:color="auto" w:fill="auto"/>
            <w:noWrap/>
            <w:hideMark/>
          </w:tcPr>
          <w:p w:rsidR="00000745" w:rsidRPr="00EF0FE1" w:rsidRDefault="00000745" w:rsidP="00EF0FE1">
            <w:pPr>
              <w:pStyle w:val="TableText"/>
              <w:ind w:right="142"/>
              <w:rPr>
                <w:b/>
                <w:lang w:eastAsia="en-NZ"/>
              </w:rPr>
            </w:pPr>
            <w:r w:rsidRPr="00EF0FE1">
              <w:rPr>
                <w:b/>
                <w:lang w:eastAsia="en-NZ"/>
              </w:rPr>
              <w:t>Group</w:t>
            </w:r>
          </w:p>
        </w:tc>
        <w:tc>
          <w:tcPr>
            <w:tcW w:w="2268" w:type="dxa"/>
            <w:tcBorders>
              <w:top w:val="single" w:sz="4" w:space="0" w:color="auto"/>
              <w:bottom w:val="single" w:sz="4" w:space="0" w:color="auto"/>
            </w:tcBorders>
            <w:shd w:val="clear" w:color="auto" w:fill="auto"/>
            <w:noWrap/>
            <w:hideMark/>
          </w:tcPr>
          <w:p w:rsidR="00000745" w:rsidRPr="00EF0FE1" w:rsidRDefault="00000745" w:rsidP="00EF0FE1">
            <w:pPr>
              <w:pStyle w:val="TableText"/>
              <w:ind w:right="142"/>
              <w:rPr>
                <w:b/>
                <w:lang w:eastAsia="en-NZ"/>
              </w:rPr>
            </w:pPr>
            <w:r w:rsidRPr="00EF0FE1">
              <w:rPr>
                <w:b/>
                <w:lang w:eastAsia="en-NZ"/>
              </w:rPr>
              <w:t>Criteria</w:t>
            </w:r>
          </w:p>
        </w:tc>
        <w:tc>
          <w:tcPr>
            <w:tcW w:w="2693" w:type="dxa"/>
            <w:tcBorders>
              <w:top w:val="single" w:sz="4" w:space="0" w:color="auto"/>
              <w:bottom w:val="single" w:sz="4" w:space="0" w:color="auto"/>
            </w:tcBorders>
            <w:shd w:val="clear" w:color="auto" w:fill="auto"/>
            <w:noWrap/>
            <w:hideMark/>
          </w:tcPr>
          <w:p w:rsidR="00000745" w:rsidRPr="00EF0FE1" w:rsidRDefault="00000745" w:rsidP="00EF0FE1">
            <w:pPr>
              <w:pStyle w:val="TableText"/>
              <w:rPr>
                <w:b/>
                <w:lang w:eastAsia="en-NZ"/>
              </w:rPr>
            </w:pPr>
            <w:r w:rsidRPr="00EF0FE1">
              <w:rPr>
                <w:b/>
                <w:lang w:eastAsia="en-NZ"/>
              </w:rPr>
              <w:t>Activity</w:t>
            </w:r>
          </w:p>
        </w:tc>
      </w:tr>
      <w:tr w:rsidR="00000745" w:rsidRPr="006236EF" w:rsidTr="00EF0FE1">
        <w:trPr>
          <w:cantSplit/>
        </w:trPr>
        <w:tc>
          <w:tcPr>
            <w:tcW w:w="2127" w:type="dxa"/>
            <w:tcBorders>
              <w:top w:val="single" w:sz="4" w:space="0" w:color="auto"/>
              <w:bottom w:val="single" w:sz="4" w:space="0" w:color="A6A6A6" w:themeColor="background1" w:themeShade="A6"/>
            </w:tcBorders>
            <w:shd w:val="clear" w:color="auto" w:fill="auto"/>
            <w:noWrap/>
            <w:hideMark/>
          </w:tcPr>
          <w:p w:rsidR="00000745" w:rsidRPr="006236EF" w:rsidRDefault="00000745" w:rsidP="00EF0FE1">
            <w:pPr>
              <w:pStyle w:val="TableText"/>
              <w:keepNext/>
              <w:ind w:right="142"/>
              <w:rPr>
                <w:lang w:eastAsia="en-NZ"/>
              </w:rPr>
            </w:pPr>
            <w:r w:rsidRPr="006236EF">
              <w:rPr>
                <w:lang w:eastAsia="en-NZ"/>
              </w:rPr>
              <w:t>Medical Council of New</w:t>
            </w:r>
            <w:r w:rsidR="00EF0FE1">
              <w:rPr>
                <w:lang w:eastAsia="en-NZ"/>
              </w:rPr>
              <w:t> </w:t>
            </w:r>
            <w:r w:rsidRPr="006236EF">
              <w:rPr>
                <w:lang w:eastAsia="en-NZ"/>
              </w:rPr>
              <w:t>Zealand</w:t>
            </w:r>
          </w:p>
        </w:tc>
        <w:tc>
          <w:tcPr>
            <w:tcW w:w="2268" w:type="dxa"/>
            <w:tcBorders>
              <w:top w:val="single" w:sz="4" w:space="0" w:color="auto"/>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V</w:t>
            </w:r>
            <w:r w:rsidRPr="006236EF">
              <w:rPr>
                <w:lang w:eastAsia="en-NZ"/>
              </w:rPr>
              <w:t>ocational scope of practice</w:t>
            </w:r>
            <w:r>
              <w:rPr>
                <w:lang w:eastAsia="en-NZ"/>
              </w:rPr>
              <w:t>:</w:t>
            </w:r>
            <w:r w:rsidRPr="006236EF">
              <w:rPr>
                <w:lang w:eastAsia="en-NZ"/>
              </w:rPr>
              <w:t xml:space="preserve"> </w:t>
            </w:r>
            <w:r>
              <w:rPr>
                <w:lang w:eastAsia="en-NZ"/>
              </w:rPr>
              <w:t>d</w:t>
            </w:r>
            <w:r w:rsidRPr="006236EF">
              <w:rPr>
                <w:lang w:eastAsia="en-NZ"/>
              </w:rPr>
              <w:t xml:space="preserve">iagnostic and </w:t>
            </w:r>
            <w:r>
              <w:rPr>
                <w:lang w:eastAsia="en-NZ"/>
              </w:rPr>
              <w:t>i</w:t>
            </w:r>
            <w:r w:rsidRPr="006236EF">
              <w:rPr>
                <w:lang w:eastAsia="en-NZ"/>
              </w:rPr>
              <w:t xml:space="preserve">nterventional </w:t>
            </w:r>
            <w:r>
              <w:rPr>
                <w:lang w:eastAsia="en-NZ"/>
              </w:rPr>
              <w:t>r</w:t>
            </w:r>
            <w:r w:rsidRPr="006236EF">
              <w:rPr>
                <w:lang w:eastAsia="en-NZ"/>
              </w:rPr>
              <w:t>adiology</w:t>
            </w:r>
          </w:p>
        </w:tc>
        <w:tc>
          <w:tcPr>
            <w:tcW w:w="2268" w:type="dxa"/>
            <w:tcBorders>
              <w:top w:val="single" w:sz="4" w:space="0" w:color="auto"/>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uto"/>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irradiating apparatus for medical diagnostic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keepNext/>
              <w:ind w:right="142"/>
              <w:rPr>
                <w:lang w:eastAsia="en-NZ"/>
              </w:rPr>
            </w:pPr>
            <w:r w:rsidRPr="006236EF">
              <w:rPr>
                <w:lang w:eastAsia="en-NZ"/>
              </w:rPr>
              <w:t>Medical Council of New</w:t>
            </w:r>
            <w:r w:rsidR="00EF0FE1">
              <w:rPr>
                <w:lang w:eastAsia="en-NZ"/>
              </w:rPr>
              <w:t> </w:t>
            </w:r>
            <w:r w:rsidRPr="006236EF">
              <w:rPr>
                <w:lang w:eastAsia="en-NZ"/>
              </w:rPr>
              <w:t>Zealand</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V</w:t>
            </w:r>
            <w:r w:rsidRPr="006236EF">
              <w:rPr>
                <w:lang w:eastAsia="en-NZ"/>
              </w:rPr>
              <w:t>ocational scope of practice</w:t>
            </w:r>
            <w:r>
              <w:rPr>
                <w:lang w:eastAsia="en-NZ"/>
              </w:rPr>
              <w:t>:</w:t>
            </w:r>
            <w:r w:rsidRPr="006236EF">
              <w:rPr>
                <w:lang w:eastAsia="en-NZ"/>
              </w:rPr>
              <w:t xml:space="preserve"> </w:t>
            </w:r>
            <w:r>
              <w:rPr>
                <w:lang w:eastAsia="en-NZ"/>
              </w:rPr>
              <w:t>r</w:t>
            </w:r>
            <w:r w:rsidRPr="006236EF">
              <w:rPr>
                <w:lang w:eastAsia="en-NZ"/>
              </w:rPr>
              <w:t xml:space="preserve">adiation </w:t>
            </w:r>
            <w:r>
              <w:rPr>
                <w:lang w:eastAsia="en-NZ"/>
              </w:rPr>
              <w:t>o</w:t>
            </w:r>
            <w:r w:rsidRPr="006236EF">
              <w:rPr>
                <w:lang w:eastAsia="en-NZ"/>
              </w:rPr>
              <w:t>ncology</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irradiating apparatus or radioactive material for medical therapeutic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Dental Council</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V</w:t>
            </w:r>
            <w:r w:rsidRPr="006236EF">
              <w:rPr>
                <w:lang w:eastAsia="en-NZ"/>
              </w:rPr>
              <w:t>ocational scope of practice</w:t>
            </w:r>
            <w:r>
              <w:rPr>
                <w:lang w:eastAsia="en-NZ"/>
              </w:rPr>
              <w:t>:</w:t>
            </w:r>
            <w:r w:rsidRPr="006236EF">
              <w:rPr>
                <w:lang w:eastAsia="en-NZ"/>
              </w:rPr>
              <w:t xml:space="preserve"> </w:t>
            </w:r>
            <w:r>
              <w:rPr>
                <w:lang w:eastAsia="en-NZ"/>
              </w:rPr>
              <w:t>g</w:t>
            </w:r>
            <w:r w:rsidRPr="006236EF">
              <w:rPr>
                <w:lang w:eastAsia="en-NZ"/>
              </w:rPr>
              <w:t xml:space="preserve">eneral </w:t>
            </w:r>
            <w:r>
              <w:rPr>
                <w:lang w:eastAsia="en-NZ"/>
              </w:rPr>
              <w:t>d</w:t>
            </w:r>
            <w:r w:rsidRPr="006236EF">
              <w:rPr>
                <w:lang w:eastAsia="en-NZ"/>
              </w:rPr>
              <w:t xml:space="preserve">ental </w:t>
            </w:r>
            <w:r>
              <w:rPr>
                <w:lang w:eastAsia="en-NZ"/>
              </w:rPr>
              <w:t>p</w:t>
            </w:r>
            <w:r w:rsidRPr="006236EF">
              <w:rPr>
                <w:lang w:eastAsia="en-NZ"/>
              </w:rPr>
              <w:t>ractice</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irradiating apparatus for dental diagnostic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Dental Council</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V</w:t>
            </w:r>
            <w:r w:rsidRPr="006236EF">
              <w:rPr>
                <w:lang w:eastAsia="en-NZ"/>
              </w:rPr>
              <w:t>ocational scope of practice</w:t>
            </w:r>
            <w:r>
              <w:rPr>
                <w:lang w:eastAsia="en-NZ"/>
              </w:rPr>
              <w:t>:</w:t>
            </w:r>
            <w:r w:rsidRPr="006236EF">
              <w:rPr>
                <w:lang w:eastAsia="en-NZ"/>
              </w:rPr>
              <w:t xml:space="preserve"> </w:t>
            </w:r>
            <w:r>
              <w:rPr>
                <w:lang w:eastAsia="en-NZ"/>
              </w:rPr>
              <w:t>d</w:t>
            </w:r>
            <w:r w:rsidRPr="006236EF">
              <w:rPr>
                <w:lang w:eastAsia="en-NZ"/>
              </w:rPr>
              <w:t xml:space="preserve">ental </w:t>
            </w:r>
            <w:r>
              <w:rPr>
                <w:lang w:eastAsia="en-NZ"/>
              </w:rPr>
              <w:t>t</w:t>
            </w:r>
            <w:r w:rsidRPr="006236EF">
              <w:rPr>
                <w:lang w:eastAsia="en-NZ"/>
              </w:rPr>
              <w:t xml:space="preserve">herapy </w:t>
            </w:r>
            <w:r>
              <w:rPr>
                <w:lang w:eastAsia="en-NZ"/>
              </w:rPr>
              <w:t>p</w:t>
            </w:r>
            <w:r w:rsidRPr="006236EF">
              <w:rPr>
                <w:lang w:eastAsia="en-NZ"/>
              </w:rPr>
              <w:t>ractice</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 xml:space="preserve">se of irradiating apparatus for the taking </w:t>
            </w:r>
            <w:r w:rsidRPr="00E12EC1">
              <w:rPr>
                <w:lang w:eastAsia="en-NZ"/>
              </w:rPr>
              <w:t>of periapical and bitewing</w:t>
            </w:r>
            <w:r w:rsidRPr="006236EF">
              <w:rPr>
                <w:lang w:eastAsia="en-NZ"/>
              </w:rPr>
              <w:t xml:space="preserve"> radiographs for dental diagnostic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Dental Council</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V</w:t>
            </w:r>
            <w:r w:rsidRPr="006236EF">
              <w:rPr>
                <w:lang w:eastAsia="en-NZ"/>
              </w:rPr>
              <w:t>ocational scope of practice</w:t>
            </w:r>
            <w:r>
              <w:rPr>
                <w:lang w:eastAsia="en-NZ"/>
              </w:rPr>
              <w:t>:</w:t>
            </w:r>
            <w:r w:rsidRPr="006236EF">
              <w:rPr>
                <w:lang w:eastAsia="en-NZ"/>
              </w:rPr>
              <w:t xml:space="preserve"> </w:t>
            </w:r>
            <w:r>
              <w:rPr>
                <w:lang w:eastAsia="en-NZ"/>
              </w:rPr>
              <w:t>d</w:t>
            </w:r>
            <w:r w:rsidRPr="006236EF">
              <w:rPr>
                <w:lang w:eastAsia="en-NZ"/>
              </w:rPr>
              <w:t xml:space="preserve">ental </w:t>
            </w:r>
            <w:r>
              <w:rPr>
                <w:lang w:eastAsia="en-NZ"/>
              </w:rPr>
              <w:t>h</w:t>
            </w:r>
            <w:r w:rsidRPr="006236EF">
              <w:rPr>
                <w:lang w:eastAsia="en-NZ"/>
              </w:rPr>
              <w:t xml:space="preserve">ygiene </w:t>
            </w:r>
            <w:r>
              <w:rPr>
                <w:lang w:eastAsia="en-NZ"/>
              </w:rPr>
              <w:t>p</w:t>
            </w:r>
            <w:r w:rsidRPr="006236EF">
              <w:rPr>
                <w:lang w:eastAsia="en-NZ"/>
              </w:rPr>
              <w:t>ractice</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irradiating apparatus for taking of periapical, bitewing and extra-oral radiographs for dental diagnostic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Dental Council</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V</w:t>
            </w:r>
            <w:r w:rsidRPr="006236EF">
              <w:rPr>
                <w:lang w:eastAsia="en-NZ"/>
              </w:rPr>
              <w:t>ocational scope of practice</w:t>
            </w:r>
            <w:r>
              <w:rPr>
                <w:lang w:eastAsia="en-NZ"/>
              </w:rPr>
              <w:t>:</w:t>
            </w:r>
            <w:r w:rsidRPr="006236EF">
              <w:rPr>
                <w:lang w:eastAsia="en-NZ"/>
              </w:rPr>
              <w:t xml:space="preserve"> </w:t>
            </w:r>
            <w:r>
              <w:rPr>
                <w:lang w:eastAsia="en-NZ"/>
              </w:rPr>
              <w:t>o</w:t>
            </w:r>
            <w:r w:rsidRPr="006236EF">
              <w:rPr>
                <w:lang w:eastAsia="en-NZ"/>
              </w:rPr>
              <w:t xml:space="preserve">rthodontic </w:t>
            </w:r>
            <w:r>
              <w:rPr>
                <w:lang w:eastAsia="en-NZ"/>
              </w:rPr>
              <w:t>a</w:t>
            </w:r>
            <w:r w:rsidRPr="006236EF">
              <w:rPr>
                <w:lang w:eastAsia="en-NZ"/>
              </w:rPr>
              <w:t xml:space="preserve">uxiliary </w:t>
            </w:r>
            <w:r>
              <w:rPr>
                <w:lang w:eastAsia="en-NZ"/>
              </w:rPr>
              <w:t>p</w:t>
            </w:r>
            <w:r w:rsidRPr="006236EF">
              <w:rPr>
                <w:lang w:eastAsia="en-NZ"/>
              </w:rPr>
              <w:t>ractice</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irradiating apparatus for taking of intra-oral and extra-oral radiographs for dental diagnostic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New Zealand Medical Radiation Technologists Board</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S</w:t>
            </w:r>
            <w:r w:rsidRPr="006236EF">
              <w:rPr>
                <w:lang w:eastAsia="en-NZ"/>
              </w:rPr>
              <w:t>cope of practice</w:t>
            </w:r>
            <w:r>
              <w:rPr>
                <w:lang w:eastAsia="en-NZ"/>
              </w:rPr>
              <w:t>:</w:t>
            </w:r>
            <w:r w:rsidRPr="006236EF">
              <w:rPr>
                <w:lang w:eastAsia="en-NZ"/>
              </w:rPr>
              <w:t xml:space="preserve"> </w:t>
            </w:r>
            <w:r>
              <w:rPr>
                <w:lang w:eastAsia="en-NZ"/>
              </w:rPr>
              <w:t>m</w:t>
            </w:r>
            <w:r w:rsidRPr="006236EF">
              <w:rPr>
                <w:lang w:eastAsia="en-NZ"/>
              </w:rPr>
              <w:t xml:space="preserve">edical </w:t>
            </w:r>
            <w:r>
              <w:rPr>
                <w:lang w:eastAsia="en-NZ"/>
              </w:rPr>
              <w:t>i</w:t>
            </w:r>
            <w:r w:rsidRPr="006236EF">
              <w:rPr>
                <w:lang w:eastAsia="en-NZ"/>
              </w:rPr>
              <w:t xml:space="preserve">maging </w:t>
            </w:r>
            <w:r>
              <w:rPr>
                <w:lang w:eastAsia="en-NZ"/>
              </w:rPr>
              <w:t>t</w:t>
            </w:r>
            <w:r w:rsidRPr="006236EF">
              <w:rPr>
                <w:lang w:eastAsia="en-NZ"/>
              </w:rPr>
              <w:t>echnologist</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irradiating apparatus for medical diagnostic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New Zealand Medical Radiation Technologists Board</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S</w:t>
            </w:r>
            <w:r w:rsidRPr="006236EF">
              <w:rPr>
                <w:lang w:eastAsia="en-NZ"/>
              </w:rPr>
              <w:t>cope of practice</w:t>
            </w:r>
            <w:r>
              <w:rPr>
                <w:lang w:eastAsia="en-NZ"/>
              </w:rPr>
              <w:t>:</w:t>
            </w:r>
            <w:r w:rsidRPr="006236EF">
              <w:rPr>
                <w:lang w:eastAsia="en-NZ"/>
              </w:rPr>
              <w:t xml:space="preserve"> </w:t>
            </w:r>
            <w:r>
              <w:rPr>
                <w:lang w:eastAsia="en-NZ"/>
              </w:rPr>
              <w:t>n</w:t>
            </w:r>
            <w:r w:rsidRPr="006236EF">
              <w:rPr>
                <w:lang w:eastAsia="en-NZ"/>
              </w:rPr>
              <w:t xml:space="preserve">uclear </w:t>
            </w:r>
            <w:r>
              <w:rPr>
                <w:lang w:eastAsia="en-NZ"/>
              </w:rPr>
              <w:t>m</w:t>
            </w:r>
            <w:r w:rsidRPr="006236EF">
              <w:rPr>
                <w:lang w:eastAsia="en-NZ"/>
              </w:rPr>
              <w:t xml:space="preserve">edicine </w:t>
            </w:r>
            <w:r>
              <w:rPr>
                <w:lang w:eastAsia="en-NZ"/>
              </w:rPr>
              <w:t>t</w:t>
            </w:r>
            <w:r w:rsidRPr="006236EF">
              <w:rPr>
                <w:lang w:eastAsia="en-NZ"/>
              </w:rPr>
              <w:t>echnologist</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A</w:t>
            </w:r>
            <w:r w:rsidRPr="006236EF">
              <w:rPr>
                <w:lang w:eastAsia="en-NZ"/>
              </w:rPr>
              <w:t>dministration of radiopharmaceuticals and use of irradiating apparatus and radioactive material for nuclear medicine purposes</w:t>
            </w:r>
          </w:p>
        </w:tc>
      </w:tr>
      <w:tr w:rsidR="00000745" w:rsidRPr="006236EF" w:rsidTr="00EF0FE1">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New Zealand Medical Radiation Technologists Board</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S</w:t>
            </w:r>
            <w:r w:rsidRPr="006236EF">
              <w:rPr>
                <w:lang w:eastAsia="en-NZ"/>
              </w:rPr>
              <w:t>cope of practice</w:t>
            </w:r>
            <w:r>
              <w:rPr>
                <w:lang w:eastAsia="en-NZ"/>
              </w:rPr>
              <w:t>:</w:t>
            </w:r>
            <w:r w:rsidRPr="006236EF">
              <w:rPr>
                <w:lang w:eastAsia="en-NZ"/>
              </w:rPr>
              <w:t xml:space="preserve"> </w:t>
            </w:r>
            <w:r>
              <w:rPr>
                <w:lang w:eastAsia="en-NZ"/>
              </w:rPr>
              <w:t>r</w:t>
            </w:r>
            <w:r w:rsidRPr="006236EF">
              <w:rPr>
                <w:lang w:eastAsia="en-NZ"/>
              </w:rPr>
              <w:t xml:space="preserve">adiation </w:t>
            </w:r>
            <w:r>
              <w:rPr>
                <w:lang w:eastAsia="en-NZ"/>
              </w:rPr>
              <w:t>t</w:t>
            </w:r>
            <w:r w:rsidRPr="006236EF">
              <w:rPr>
                <w:lang w:eastAsia="en-NZ"/>
              </w:rPr>
              <w:t>herapist</w:t>
            </w: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radiation sources for the delivery of radiation treatment for medical therapeutic purposes</w:t>
            </w:r>
          </w:p>
        </w:tc>
      </w:tr>
      <w:tr w:rsidR="00000745" w:rsidRPr="006236EF" w:rsidTr="00EF0FE1">
        <w:trPr>
          <w:cantSplit/>
        </w:trPr>
        <w:tc>
          <w:tcPr>
            <w:tcW w:w="2127" w:type="dxa"/>
            <w:tcBorders>
              <w:top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Veterinary Council of New Zealand</w:t>
            </w:r>
          </w:p>
        </w:tc>
        <w:tc>
          <w:tcPr>
            <w:tcW w:w="2268" w:type="dxa"/>
            <w:tcBorders>
              <w:top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sidRPr="006236EF">
              <w:rPr>
                <w:lang w:eastAsia="en-NZ"/>
              </w:rPr>
              <w:t>Veterinarian</w:t>
            </w:r>
          </w:p>
        </w:tc>
        <w:tc>
          <w:tcPr>
            <w:tcW w:w="2268" w:type="dxa"/>
            <w:tcBorders>
              <w:top w:val="single" w:sz="4" w:space="0" w:color="A6A6A6" w:themeColor="background1" w:themeShade="A6"/>
            </w:tcBorders>
            <w:shd w:val="clear" w:color="auto" w:fill="auto"/>
            <w:noWrap/>
            <w:hideMark/>
          </w:tcPr>
          <w:p w:rsidR="00000745" w:rsidRPr="006236EF" w:rsidRDefault="00000745" w:rsidP="00EF0FE1">
            <w:pPr>
              <w:pStyle w:val="TableText"/>
              <w:ind w:right="142"/>
              <w:rPr>
                <w:lang w:eastAsia="en-NZ"/>
              </w:rPr>
            </w:pPr>
            <w:r>
              <w:rPr>
                <w:lang w:eastAsia="en-NZ"/>
              </w:rPr>
              <w:t>C</w:t>
            </w:r>
            <w:r w:rsidRPr="006236EF">
              <w:rPr>
                <w:lang w:eastAsia="en-NZ"/>
              </w:rPr>
              <w:t>urrent registration and practi</w:t>
            </w:r>
            <w:r>
              <w:rPr>
                <w:lang w:eastAsia="en-NZ"/>
              </w:rPr>
              <w:t>s</w:t>
            </w:r>
            <w:r w:rsidRPr="006236EF">
              <w:rPr>
                <w:lang w:eastAsia="en-NZ"/>
              </w:rPr>
              <w:t>ing certificate</w:t>
            </w:r>
          </w:p>
        </w:tc>
        <w:tc>
          <w:tcPr>
            <w:tcW w:w="2693" w:type="dxa"/>
            <w:tcBorders>
              <w:top w:val="single" w:sz="4" w:space="0" w:color="A6A6A6" w:themeColor="background1" w:themeShade="A6"/>
            </w:tcBorders>
            <w:shd w:val="clear" w:color="auto" w:fill="auto"/>
            <w:noWrap/>
            <w:hideMark/>
          </w:tcPr>
          <w:p w:rsidR="00000745" w:rsidRPr="006236EF" w:rsidRDefault="00000745" w:rsidP="00EF0FE1">
            <w:pPr>
              <w:pStyle w:val="TableText"/>
              <w:rPr>
                <w:lang w:eastAsia="en-NZ"/>
              </w:rPr>
            </w:pPr>
            <w:r>
              <w:rPr>
                <w:lang w:eastAsia="en-NZ"/>
              </w:rPr>
              <w:t>U</w:t>
            </w:r>
            <w:r w:rsidRPr="006236EF">
              <w:rPr>
                <w:lang w:eastAsia="en-NZ"/>
              </w:rPr>
              <w:t>se of irradiating apparatus for veterinary purposes</w:t>
            </w:r>
          </w:p>
        </w:tc>
      </w:tr>
    </w:tbl>
    <w:p w:rsidR="00000745" w:rsidRDefault="00000745" w:rsidP="00EF0FE1"/>
    <w:p w:rsidR="00823DC8" w:rsidRDefault="00000745" w:rsidP="00EF0FE1">
      <w:pPr>
        <w:pStyle w:val="Heading3"/>
      </w:pPr>
      <w:r>
        <w:t>Alternative option</w:t>
      </w:r>
    </w:p>
    <w:p w:rsidR="00823DC8" w:rsidRDefault="00000745" w:rsidP="00EF0FE1">
      <w:r w:rsidRPr="00C248A4">
        <w:t>One of the purposes of the Act is to establish a framework to protect the health and safety of people and protect the environment from the harmful effects of ionising radiation while allowing for its safe and beneficial use.</w:t>
      </w:r>
      <w:r>
        <w:t xml:space="preserve"> </w:t>
      </w:r>
      <w:r w:rsidRPr="00C248A4">
        <w:t xml:space="preserve">Any </w:t>
      </w:r>
      <w:r>
        <w:t>groups (and activities) that do</w:t>
      </w:r>
      <w:r w:rsidRPr="00C248A4">
        <w:t xml:space="preserve"> not </w:t>
      </w:r>
      <w:r>
        <w:t>meet</w:t>
      </w:r>
      <w:r w:rsidRPr="00C248A4">
        <w:t xml:space="preserve"> the standard</w:t>
      </w:r>
      <w:r>
        <w:t>s</w:t>
      </w:r>
      <w:r w:rsidRPr="00C248A4">
        <w:t xml:space="preserve"> of radiation safety and security training and knowledge required to obtain a use licence would </w:t>
      </w:r>
      <w:r>
        <w:t>fall</w:t>
      </w:r>
      <w:r w:rsidRPr="00C248A4">
        <w:t xml:space="preserve"> outside of the scope of the Act.</w:t>
      </w:r>
      <w:r>
        <w:t xml:space="preserve"> </w:t>
      </w:r>
      <w:r w:rsidRPr="00C248A4">
        <w:t xml:space="preserve">Therefore, no </w:t>
      </w:r>
      <w:r>
        <w:t>a</w:t>
      </w:r>
      <w:r w:rsidRPr="00C248A4">
        <w:t>lternative option is proposed.</w:t>
      </w:r>
    </w:p>
    <w:p w:rsidR="00000745" w:rsidRDefault="00000745" w:rsidP="00EF0FE1"/>
    <w:p w:rsidR="00000745" w:rsidRPr="00A00212" w:rsidRDefault="00000745" w:rsidP="00EF0FE1">
      <w:pPr>
        <w:pStyle w:val="Heading3"/>
      </w:pPr>
      <w:r w:rsidRPr="00A00212">
        <w:t>Note</w:t>
      </w:r>
    </w:p>
    <w:p w:rsidR="00823DC8" w:rsidRDefault="00000745" w:rsidP="00EF0FE1">
      <w:r>
        <w:t xml:space="preserve">Radiation user groups that are not included under these Regulations when the new Act comes into force can work with the Office of Radiation Safety on the requirements to become included. If successful, a recommendation can be made to amend the Regulations to include further groups and the activities they can perform. The preferred option </w:t>
      </w:r>
      <w:r w:rsidRPr="005F6A18">
        <w:t xml:space="preserve">is designed to include </w:t>
      </w:r>
      <w:r>
        <w:t>the groups (and the activities</w:t>
      </w:r>
      <w:r w:rsidRPr="005F6A18">
        <w:t xml:space="preserve"> </w:t>
      </w:r>
      <w:r>
        <w:t xml:space="preserve">they can perform) where verification of the required radiation safety and security training and knowledge can be easily demonstrated prior to </w:t>
      </w:r>
      <w:r w:rsidRPr="005F6A18">
        <w:t xml:space="preserve">the </w:t>
      </w:r>
      <w:r>
        <w:t>Act</w:t>
      </w:r>
      <w:r w:rsidRPr="005F6A18">
        <w:t xml:space="preserve"> </w:t>
      </w:r>
      <w:r>
        <w:t>to coming</w:t>
      </w:r>
      <w:r w:rsidRPr="005F6A18">
        <w:t xml:space="preserve"> into force.</w:t>
      </w:r>
    </w:p>
    <w:p w:rsidR="00000745" w:rsidRDefault="00000745" w:rsidP="00EF0FE1"/>
    <w:p w:rsidR="00000745" w:rsidRDefault="00000745" w:rsidP="00EF0FE1">
      <w:pPr>
        <w:pStyle w:val="BoxHeading"/>
      </w:pPr>
      <w:r w:rsidRPr="001B7CE8">
        <w:lastRenderedPageBreak/>
        <w:t>Consultation questions</w:t>
      </w:r>
    </w:p>
    <w:p w:rsidR="00823DC8" w:rsidRDefault="00EF0FE1" w:rsidP="00EF0FE1">
      <w:pPr>
        <w:pStyle w:val="Box"/>
        <w:ind w:left="851" w:hanging="567"/>
      </w:pPr>
      <w:r>
        <w:t>4.</w:t>
      </w:r>
      <w:r>
        <w:tab/>
      </w:r>
      <w:r w:rsidR="00000745" w:rsidRPr="00F677BC">
        <w:t xml:space="preserve">Do you think the proposed </w:t>
      </w:r>
      <w:r w:rsidR="00000745">
        <w:t>basis</w:t>
      </w:r>
      <w:r w:rsidR="00000745" w:rsidRPr="00F677BC">
        <w:t xml:space="preserve"> for exemptions is likely to maintain radiation safety and security?</w:t>
      </w:r>
    </w:p>
    <w:p w:rsidR="00823DC8" w:rsidRDefault="00EF0FE1" w:rsidP="00EF0FE1">
      <w:pPr>
        <w:pStyle w:val="Box"/>
        <w:ind w:left="851" w:hanging="567"/>
      </w:pPr>
      <w:r>
        <w:t>5.</w:t>
      </w:r>
      <w:r>
        <w:tab/>
      </w:r>
      <w:r w:rsidR="00000745" w:rsidRPr="00F677BC">
        <w:t xml:space="preserve">Do you think there are any other </w:t>
      </w:r>
      <w:r w:rsidR="00000745">
        <w:t xml:space="preserve">areas of </w:t>
      </w:r>
      <w:r w:rsidR="00000745" w:rsidRPr="00F677BC">
        <w:t>radiation practices that are likely to be able to meet the criteria for an exemption?</w:t>
      </w:r>
    </w:p>
    <w:p w:rsidR="00823DC8" w:rsidRDefault="00EF0FE1" w:rsidP="00EF0FE1">
      <w:pPr>
        <w:pStyle w:val="Box"/>
        <w:ind w:left="851" w:hanging="567"/>
      </w:pPr>
      <w:r>
        <w:t>6.</w:t>
      </w:r>
      <w:r>
        <w:tab/>
      </w:r>
      <w:r w:rsidR="00000745">
        <w:t>Do you have any further comments, suggestions or alternative options?</w:t>
      </w:r>
    </w:p>
    <w:p w:rsidR="00823DC8" w:rsidRDefault="00000745" w:rsidP="00EF0FE1">
      <w:pPr>
        <w:pStyle w:val="Box"/>
      </w:pPr>
      <w:r>
        <w:t xml:space="preserve">Please use the </w:t>
      </w:r>
      <w:r w:rsidR="00F810AB">
        <w:t>submission form</w:t>
      </w:r>
      <w:r>
        <w:t xml:space="preserve"> to respond to these questions.</w:t>
      </w:r>
    </w:p>
    <w:p w:rsidR="00000745" w:rsidRPr="002F1412" w:rsidRDefault="00000745" w:rsidP="00EF0FE1">
      <w:pPr>
        <w:rPr>
          <w:sz w:val="20"/>
        </w:rPr>
      </w:pPr>
    </w:p>
    <w:p w:rsidR="00000745" w:rsidRPr="009E2A1C" w:rsidRDefault="00000745" w:rsidP="00EF0FE1">
      <w:pPr>
        <w:pStyle w:val="Heading2"/>
        <w:rPr>
          <w:rFonts w:cs="Arial"/>
        </w:rPr>
      </w:pPr>
      <w:bookmarkStart w:id="17" w:name="_Toc449001265"/>
      <w:bookmarkStart w:id="18" w:name="_Toc450059025"/>
      <w:r>
        <w:t>(c)</w:t>
      </w:r>
      <w:r w:rsidR="00EF0FE1">
        <w:tab/>
      </w:r>
      <w:r w:rsidRPr="009E2A1C">
        <w:t>Maximum periods for authorisations</w:t>
      </w:r>
      <w:bookmarkEnd w:id="17"/>
      <w:bookmarkEnd w:id="18"/>
    </w:p>
    <w:p w:rsidR="00823DC8" w:rsidRDefault="00000745" w:rsidP="00EF0FE1">
      <w:pPr>
        <w:pStyle w:val="Heading3"/>
      </w:pPr>
      <w:r w:rsidRPr="00A00212">
        <w:t>Background</w:t>
      </w:r>
    </w:p>
    <w:p w:rsidR="00823DC8" w:rsidRDefault="00000745" w:rsidP="00EF0FE1">
      <w:pPr>
        <w:rPr>
          <w:rFonts w:cs="Arial"/>
        </w:rPr>
      </w:pPr>
      <w:r>
        <w:t>Section</w:t>
      </w:r>
      <w:r w:rsidRPr="009E2A1C">
        <w:t xml:space="preserve"> </w:t>
      </w:r>
      <w:r>
        <w:t>91(1)</w:t>
      </w:r>
      <w:r w:rsidRPr="00200AD6">
        <w:t>(l)</w:t>
      </w:r>
      <w:r w:rsidRPr="009E2A1C">
        <w:t xml:space="preserve"> of the </w:t>
      </w:r>
      <w:r>
        <w:t>Act</w:t>
      </w:r>
      <w:r w:rsidRPr="009E2A1C">
        <w:t xml:space="preserve"> allows for </w:t>
      </w:r>
      <w:r>
        <w:t>Regulations</w:t>
      </w:r>
      <w:r w:rsidRPr="009E2A1C">
        <w:t xml:space="preserve"> to set the maximum periods for </w:t>
      </w:r>
      <w:r w:rsidRPr="00105116">
        <w:t>which authorisations may be granted. Different issues a</w:t>
      </w:r>
      <w:r>
        <w:t>rise from</w:t>
      </w:r>
      <w:r w:rsidRPr="00105116">
        <w:t xml:space="preserve"> the different types of</w:t>
      </w:r>
      <w:r w:rsidRPr="009E2A1C">
        <w:t xml:space="preserve"> authorisations</w:t>
      </w:r>
      <w:r>
        <w:t>,</w:t>
      </w:r>
      <w:r w:rsidRPr="009E2A1C">
        <w:t xml:space="preserve"> and provisions allow for different periods to be set for different authorisations.</w:t>
      </w:r>
      <w:r>
        <w:t xml:space="preserve"> </w:t>
      </w:r>
      <w:r w:rsidRPr="009E2A1C">
        <w:rPr>
          <w:rFonts w:cs="Arial"/>
        </w:rPr>
        <w:t xml:space="preserve">More information can be found in </w:t>
      </w:r>
      <w:r>
        <w:rPr>
          <w:rFonts w:cs="Arial"/>
        </w:rPr>
        <w:t>section</w:t>
      </w:r>
      <w:r w:rsidRPr="009E2A1C">
        <w:rPr>
          <w:rFonts w:cs="Arial"/>
        </w:rPr>
        <w:t xml:space="preserve"> </w:t>
      </w:r>
      <w:r>
        <w:rPr>
          <w:rFonts w:cs="Arial"/>
        </w:rPr>
        <w:t>26</w:t>
      </w:r>
      <w:r w:rsidRPr="009E2A1C">
        <w:rPr>
          <w:rFonts w:cs="Arial"/>
        </w:rPr>
        <w:t>.</w:t>
      </w:r>
    </w:p>
    <w:p w:rsidR="00000745" w:rsidRDefault="00000745" w:rsidP="00EF0FE1"/>
    <w:p w:rsidR="00000745" w:rsidRPr="006F71C7" w:rsidRDefault="00000745" w:rsidP="00EF0FE1">
      <w:pPr>
        <w:pStyle w:val="Heading3"/>
      </w:pPr>
      <w:r w:rsidRPr="006F71C7">
        <w:t>Preferred option</w:t>
      </w:r>
    </w:p>
    <w:p w:rsidR="00823DC8" w:rsidRPr="00EF0FE1" w:rsidRDefault="00000745" w:rsidP="00EF0FE1">
      <w:pPr>
        <w:rPr>
          <w:i/>
        </w:rPr>
      </w:pPr>
      <w:r w:rsidRPr="00EF0FE1">
        <w:rPr>
          <w:i/>
        </w:rPr>
        <w:t>Regulations stipulate that source licences and use licences can be issued for a maximum period of three years and consents can be issued for a maximum period of one year.</w:t>
      </w:r>
    </w:p>
    <w:p w:rsidR="00EF0FE1" w:rsidRDefault="00EF0FE1" w:rsidP="00EF0FE1"/>
    <w:p w:rsidR="00823DC8" w:rsidRDefault="00000745" w:rsidP="00EF0FE1">
      <w:r>
        <w:t xml:space="preserve">This does not prevent licences or consents being issued for shorter periods of time as determined by the </w:t>
      </w:r>
      <w:r>
        <w:rPr>
          <w:b/>
        </w:rPr>
        <w:t>Director</w:t>
      </w:r>
      <w:r>
        <w:t xml:space="preserve"> under section 26(1).</w:t>
      </w:r>
      <w:r w:rsidR="00823DC8">
        <w:t xml:space="preserve"> </w:t>
      </w:r>
      <w:r>
        <w:t>The nature of matters covered by licences and consents is significantly different, and therefore different maximum periods are justified.</w:t>
      </w:r>
    </w:p>
    <w:p w:rsidR="00000745" w:rsidRDefault="00000745" w:rsidP="00EF0FE1"/>
    <w:p w:rsidR="00823DC8" w:rsidRDefault="00000745" w:rsidP="00EF0FE1">
      <w:r>
        <w:t>Any risks associated with authorisation periods can be managed through other provisions in the Act, such as</w:t>
      </w:r>
      <w:r w:rsidRPr="009E2A1C">
        <w:t xml:space="preserve"> provisions to</w:t>
      </w:r>
      <w:r>
        <w:t>:</w:t>
      </w:r>
    </w:p>
    <w:p w:rsidR="00000745" w:rsidRDefault="00000745" w:rsidP="00EF0FE1">
      <w:pPr>
        <w:pStyle w:val="Bullet"/>
      </w:pPr>
      <w:r w:rsidRPr="009E2A1C">
        <w:t>monitor compliance (</w:t>
      </w:r>
      <w:r>
        <w:t>sections</w:t>
      </w:r>
      <w:r w:rsidRPr="009E2A1C">
        <w:t xml:space="preserve"> </w:t>
      </w:r>
      <w:r>
        <w:t>37 and 38</w:t>
      </w:r>
      <w:r w:rsidRPr="009E2A1C">
        <w:t>)</w:t>
      </w:r>
    </w:p>
    <w:p w:rsidR="00000745" w:rsidRDefault="00000745" w:rsidP="00EF0FE1">
      <w:pPr>
        <w:pStyle w:val="Bullet"/>
      </w:pPr>
      <w:r w:rsidRPr="009E2A1C">
        <w:t>suspend, vary or cancel authorisations (</w:t>
      </w:r>
      <w:r>
        <w:t>section</w:t>
      </w:r>
      <w:r w:rsidRPr="009E2A1C">
        <w:t xml:space="preserve"> </w:t>
      </w:r>
      <w:r>
        <w:t>27</w:t>
      </w:r>
      <w:r w:rsidRPr="009E2A1C">
        <w:t>)</w:t>
      </w:r>
    </w:p>
    <w:p w:rsidR="00823DC8" w:rsidRDefault="00000745" w:rsidP="00EF0FE1">
      <w:pPr>
        <w:pStyle w:val="Bullet"/>
      </w:pPr>
      <w:r w:rsidRPr="009E2A1C">
        <w:t>issue compliance or</w:t>
      </w:r>
      <w:r>
        <w:t>ders (section 44)</w:t>
      </w:r>
    </w:p>
    <w:p w:rsidR="00694266" w:rsidRDefault="00000745">
      <w:pPr>
        <w:pStyle w:val="Bullet"/>
      </w:pPr>
      <w:r>
        <w:t>enforce</w:t>
      </w:r>
      <w:r w:rsidRPr="009E2A1C">
        <w:t xml:space="preserve"> offences (</w:t>
      </w:r>
      <w:r>
        <w:t>sections 62−75</w:t>
      </w:r>
      <w:r w:rsidRPr="009E2A1C">
        <w:t>).</w:t>
      </w:r>
    </w:p>
    <w:p w:rsidR="00694266" w:rsidRPr="002F1412" w:rsidRDefault="00694266" w:rsidP="002F1412">
      <w:pPr>
        <w:pStyle w:val="Bullet"/>
        <w:numPr>
          <w:ilvl w:val="0"/>
          <w:numId w:val="0"/>
        </w:numPr>
        <w:spacing w:before="0"/>
        <w:rPr>
          <w:sz w:val="20"/>
        </w:rPr>
      </w:pPr>
    </w:p>
    <w:p w:rsidR="00823DC8" w:rsidRDefault="00000745" w:rsidP="002F1412">
      <w:pPr>
        <w:pStyle w:val="Heading3"/>
        <w:spacing w:before="0"/>
      </w:pPr>
      <w:r>
        <w:t>Alternative option</w:t>
      </w:r>
    </w:p>
    <w:p w:rsidR="00823DC8" w:rsidRDefault="00000745" w:rsidP="00EF0FE1">
      <w:pPr>
        <w:keepNext/>
        <w:rPr>
          <w:i/>
        </w:rPr>
      </w:pPr>
      <w:r w:rsidRPr="00EF0FE1">
        <w:rPr>
          <w:i/>
        </w:rPr>
        <w:t>No maximum period is specified in Regulations.</w:t>
      </w:r>
    </w:p>
    <w:p w:rsidR="00694266" w:rsidRPr="00EF0FE1" w:rsidRDefault="00694266" w:rsidP="00EF0FE1">
      <w:pPr>
        <w:keepNext/>
        <w:rPr>
          <w:i/>
        </w:rPr>
      </w:pPr>
    </w:p>
    <w:p w:rsidR="00823DC8" w:rsidRDefault="00000745" w:rsidP="002F1412">
      <w:pPr>
        <w:keepNext/>
        <w:spacing w:after="240"/>
      </w:pPr>
      <w:r>
        <w:t xml:space="preserve">This means that the duration of </w:t>
      </w:r>
      <w:r w:rsidRPr="00C248A4">
        <w:t>authorisations would be at the discretion of the</w:t>
      </w:r>
      <w:r>
        <w:rPr>
          <w:b/>
        </w:rPr>
        <w:t xml:space="preserve"> </w:t>
      </w:r>
      <w:r w:rsidRPr="001B7CE8">
        <w:t>Director</w:t>
      </w:r>
      <w:r w:rsidRPr="00105116">
        <w:t>.</w:t>
      </w:r>
    </w:p>
    <w:p w:rsidR="00000745" w:rsidRDefault="00000745" w:rsidP="00663689">
      <w:pPr>
        <w:pStyle w:val="BoxHeading"/>
        <w:keepNext/>
      </w:pPr>
      <w:r w:rsidRPr="001B7CE8">
        <w:t>Consultation questions</w:t>
      </w:r>
    </w:p>
    <w:p w:rsidR="00823DC8" w:rsidRDefault="00EF0FE1" w:rsidP="00663689">
      <w:pPr>
        <w:pStyle w:val="Box"/>
        <w:keepNext/>
        <w:ind w:left="851" w:hanging="567"/>
      </w:pPr>
      <w:r>
        <w:t>7.</w:t>
      </w:r>
      <w:r>
        <w:tab/>
      </w:r>
      <w:r w:rsidR="00000745">
        <w:t>D</w:t>
      </w:r>
      <w:r w:rsidR="00000745" w:rsidRPr="009E2A1C">
        <w:t xml:space="preserve">o you think </w:t>
      </w:r>
      <w:r w:rsidR="00000745">
        <w:t xml:space="preserve">the proposed </w:t>
      </w:r>
      <w:r w:rsidR="00000745" w:rsidRPr="009E2A1C">
        <w:t xml:space="preserve">maximum </w:t>
      </w:r>
      <w:r w:rsidR="00000745">
        <w:t>period of</w:t>
      </w:r>
      <w:r w:rsidR="00000745" w:rsidRPr="009E2A1C">
        <w:t xml:space="preserve"> </w:t>
      </w:r>
      <w:r w:rsidR="00000745">
        <w:t>three</w:t>
      </w:r>
      <w:r w:rsidR="00000745" w:rsidRPr="009E2A1C">
        <w:t xml:space="preserve"> years for </w:t>
      </w:r>
      <w:r w:rsidR="00000745">
        <w:t xml:space="preserve">source and </w:t>
      </w:r>
      <w:r w:rsidR="00000745" w:rsidRPr="009E2A1C">
        <w:t>use licences is</w:t>
      </w:r>
      <w:r w:rsidR="00000745">
        <w:t xml:space="preserve"> justified?</w:t>
      </w:r>
    </w:p>
    <w:p w:rsidR="00823DC8" w:rsidRDefault="00EF0FE1" w:rsidP="00663689">
      <w:pPr>
        <w:pStyle w:val="Box"/>
        <w:keepNext/>
        <w:ind w:left="851" w:hanging="567"/>
      </w:pPr>
      <w:r>
        <w:t>8.</w:t>
      </w:r>
      <w:r>
        <w:tab/>
      </w:r>
      <w:r w:rsidR="00000745">
        <w:t>D</w:t>
      </w:r>
      <w:r w:rsidR="00000745" w:rsidRPr="009E2A1C">
        <w:t xml:space="preserve">o you think </w:t>
      </w:r>
      <w:r w:rsidR="00000745">
        <w:t xml:space="preserve">the proposed </w:t>
      </w:r>
      <w:r w:rsidR="00000745" w:rsidRPr="009E2A1C">
        <w:t xml:space="preserve">maximum </w:t>
      </w:r>
      <w:r w:rsidR="00000745">
        <w:t>period of</w:t>
      </w:r>
      <w:r w:rsidR="00000745" w:rsidRPr="009E2A1C">
        <w:t xml:space="preserve"> </w:t>
      </w:r>
      <w:r w:rsidR="00000745">
        <w:t>one</w:t>
      </w:r>
      <w:r w:rsidR="00000745" w:rsidRPr="009E2A1C">
        <w:t xml:space="preserve"> year for consents is</w:t>
      </w:r>
      <w:r w:rsidR="00000745">
        <w:t xml:space="preserve"> justified?</w:t>
      </w:r>
    </w:p>
    <w:p w:rsidR="00823DC8" w:rsidRDefault="00EF0FE1" w:rsidP="00663689">
      <w:pPr>
        <w:pStyle w:val="Box"/>
        <w:keepNext/>
        <w:ind w:left="851" w:hanging="567"/>
      </w:pPr>
      <w:r>
        <w:t>9.</w:t>
      </w:r>
      <w:r>
        <w:tab/>
      </w:r>
      <w:r w:rsidR="00000745">
        <w:t>Do you have any further comments, suggestions or alternative options?</w:t>
      </w:r>
    </w:p>
    <w:p w:rsidR="00000745" w:rsidRDefault="00000745" w:rsidP="00EF0FE1">
      <w:pPr>
        <w:pStyle w:val="Box"/>
      </w:pPr>
      <w:r>
        <w:t xml:space="preserve">Please use the </w:t>
      </w:r>
      <w:r w:rsidR="00F810AB">
        <w:t>submission form</w:t>
      </w:r>
      <w:r>
        <w:t xml:space="preserve"> to respond to these questions.</w:t>
      </w:r>
    </w:p>
    <w:p w:rsidR="00823DC8" w:rsidRDefault="00000745" w:rsidP="00EF0FE1">
      <w:pPr>
        <w:pStyle w:val="Heading2"/>
      </w:pPr>
      <w:bookmarkStart w:id="19" w:name="_Toc449001266"/>
      <w:bookmarkStart w:id="20" w:name="_Toc450059026"/>
      <w:r>
        <w:lastRenderedPageBreak/>
        <w:t>(d)</w:t>
      </w:r>
      <w:r w:rsidR="00EF0FE1">
        <w:tab/>
      </w:r>
      <w:r w:rsidRPr="009E2A1C">
        <w:t xml:space="preserve">Radiation </w:t>
      </w:r>
      <w:r>
        <w:t>s</w:t>
      </w:r>
      <w:r w:rsidRPr="009E2A1C">
        <w:t xml:space="preserve">afety </w:t>
      </w:r>
      <w:r>
        <w:t>p</w:t>
      </w:r>
      <w:r w:rsidRPr="009E2A1C">
        <w:t>lans</w:t>
      </w:r>
      <w:bookmarkEnd w:id="19"/>
      <w:bookmarkEnd w:id="20"/>
    </w:p>
    <w:p w:rsidR="00823DC8" w:rsidRDefault="00000745" w:rsidP="00EF0FE1">
      <w:pPr>
        <w:pStyle w:val="Heading3"/>
      </w:pPr>
      <w:r w:rsidRPr="007E26BD">
        <w:t>Background</w:t>
      </w:r>
    </w:p>
    <w:p w:rsidR="00823DC8" w:rsidRDefault="00000745" w:rsidP="00EF0FE1">
      <w:r>
        <w:t>Section 91</w:t>
      </w:r>
      <w:r w:rsidRPr="00856649">
        <w:t>(1)(e)</w:t>
      </w:r>
      <w:r w:rsidRPr="009E2A1C">
        <w:t xml:space="preserve"> of the </w:t>
      </w:r>
      <w:r>
        <w:t>Act</w:t>
      </w:r>
      <w:r w:rsidRPr="009E2A1C">
        <w:t xml:space="preserve"> allows for </w:t>
      </w:r>
      <w:r>
        <w:t>Regulations</w:t>
      </w:r>
      <w:r w:rsidRPr="009E2A1C">
        <w:t xml:space="preserve"> prescribing further requirements for </w:t>
      </w:r>
      <w:r w:rsidRPr="001217D8">
        <w:rPr>
          <w:b/>
        </w:rPr>
        <w:t>radiation safety plans</w:t>
      </w:r>
      <w:r w:rsidRPr="009E2A1C">
        <w:t>.</w:t>
      </w:r>
      <w:r>
        <w:t xml:space="preserve"> </w:t>
      </w:r>
      <w:r w:rsidRPr="00105116">
        <w:t>The Director</w:t>
      </w:r>
      <w:r w:rsidRPr="009E2A1C">
        <w:t xml:space="preserve"> may require </w:t>
      </w:r>
      <w:r w:rsidRPr="007E26BD">
        <w:rPr>
          <w:b/>
        </w:rPr>
        <w:t>source licence</w:t>
      </w:r>
      <w:r w:rsidRPr="00EF0FE1">
        <w:t xml:space="preserve"> </w:t>
      </w:r>
      <w:r w:rsidRPr="001B7CE8">
        <w:t>holders</w:t>
      </w:r>
      <w:r w:rsidRPr="009E2A1C">
        <w:t xml:space="preserve"> to maintain and update </w:t>
      </w:r>
      <w:r>
        <w:t>such p</w:t>
      </w:r>
      <w:r w:rsidRPr="009E2A1C">
        <w:t>lans.</w:t>
      </w:r>
      <w:r>
        <w:t xml:space="preserve"> </w:t>
      </w:r>
      <w:r w:rsidRPr="009E2A1C">
        <w:t xml:space="preserve">Plans relate to a </w:t>
      </w:r>
      <w:r w:rsidRPr="00105116">
        <w:t>specified radiation source</w:t>
      </w:r>
      <w:r>
        <w:t xml:space="preserve"> or sources. The Act already specifies reasonably detailed requirements for plans in section 18.</w:t>
      </w:r>
    </w:p>
    <w:p w:rsidR="00000745" w:rsidRDefault="00000745" w:rsidP="00EF0FE1"/>
    <w:p w:rsidR="00000745" w:rsidRPr="008C6A31" w:rsidRDefault="00000745" w:rsidP="00EF0FE1">
      <w:pPr>
        <w:pStyle w:val="Heading3"/>
      </w:pPr>
      <w:r w:rsidRPr="008C6A31">
        <w:t>Preferred option</w:t>
      </w:r>
    </w:p>
    <w:p w:rsidR="00823DC8" w:rsidRPr="00EF0FE1" w:rsidRDefault="00000745" w:rsidP="00EF0FE1">
      <w:pPr>
        <w:rPr>
          <w:i/>
        </w:rPr>
      </w:pPr>
      <w:r w:rsidRPr="00EF0FE1">
        <w:rPr>
          <w:i/>
        </w:rPr>
        <w:t>Any requirements for plans that are in addition to those specified in section 18 of the Act are outlined in individual codes of practice rather than in Regulations. Therefore, no Regulations specifying further requirements for plans are proposed at this time.</w:t>
      </w:r>
    </w:p>
    <w:p w:rsidR="00000745" w:rsidRDefault="00000745" w:rsidP="00EF0FE1"/>
    <w:p w:rsidR="00823DC8" w:rsidRDefault="00000745" w:rsidP="00EF0FE1">
      <w:r>
        <w:t>The Ministry of Health</w:t>
      </w:r>
      <w:r w:rsidR="00823DC8">
        <w:t>’</w:t>
      </w:r>
      <w:r>
        <w:t>s view is</w:t>
      </w:r>
      <w:r w:rsidRPr="009E2A1C">
        <w:t xml:space="preserve"> that </w:t>
      </w:r>
      <w:r>
        <w:t>t</w:t>
      </w:r>
      <w:r w:rsidRPr="009E2A1C">
        <w:t xml:space="preserve">his will allow the contents of </w:t>
      </w:r>
      <w:r>
        <w:t>p</w:t>
      </w:r>
      <w:r w:rsidRPr="009E2A1C">
        <w:t>lans to be more specifically tailored to the radiation sources and their intended use.</w:t>
      </w:r>
      <w:r>
        <w:t xml:space="preserve"> </w:t>
      </w:r>
      <w:r w:rsidRPr="009E2A1C">
        <w:t>T</w:t>
      </w:r>
      <w:r>
        <w:t>he</w:t>
      </w:r>
      <w:r w:rsidRPr="009E2A1C">
        <w:t xml:space="preserve"> requirements </w:t>
      </w:r>
      <w:r>
        <w:t xml:space="preserve">for plans </w:t>
      </w:r>
      <w:r w:rsidRPr="009E2A1C">
        <w:t>will vary widely depending on the nature of the radiation source and its intended use.</w:t>
      </w:r>
      <w:r>
        <w:t xml:space="preserve"> </w:t>
      </w:r>
      <w:r w:rsidRPr="009E2A1C">
        <w:t xml:space="preserve">Therefore, </w:t>
      </w:r>
      <w:r>
        <w:t>individual codes of practice offer a better means of specifying any additional requirements.</w:t>
      </w:r>
    </w:p>
    <w:p w:rsidR="00000745" w:rsidRDefault="00000745" w:rsidP="00EF0FE1"/>
    <w:p w:rsidR="00823DC8" w:rsidRDefault="00000745" w:rsidP="00EF0FE1">
      <w:pPr>
        <w:pStyle w:val="Heading3"/>
      </w:pPr>
      <w:r>
        <w:t>Alternative option</w:t>
      </w:r>
    </w:p>
    <w:p w:rsidR="00823DC8" w:rsidRDefault="00000745" w:rsidP="00EF0FE1">
      <w:r w:rsidRPr="004345E4">
        <w:t xml:space="preserve">Additional requirements for </w:t>
      </w:r>
      <w:r>
        <w:t>p</w:t>
      </w:r>
      <w:r w:rsidRPr="004345E4">
        <w:t>lans could be specified by source type, use and application in Regulations.</w:t>
      </w:r>
      <w:r>
        <w:t xml:space="preserve"> </w:t>
      </w:r>
      <w:r w:rsidRPr="004345E4">
        <w:t>The Ministry of Health expects international recommendations on radiation safety and security to be updated on a reasonably regular basis.</w:t>
      </w:r>
      <w:r>
        <w:t xml:space="preserve"> </w:t>
      </w:r>
      <w:r w:rsidRPr="004345E4">
        <w:t>When international recommendations</w:t>
      </w:r>
      <w:r>
        <w:t xml:space="preserve"> change</w:t>
      </w:r>
      <w:r w:rsidRPr="004345E4">
        <w:t xml:space="preserve">, it is a more straightforward process to amend the relevant </w:t>
      </w:r>
      <w:r>
        <w:t>c</w:t>
      </w:r>
      <w:r w:rsidRPr="004345E4">
        <w:t xml:space="preserve">odes of </w:t>
      </w:r>
      <w:r>
        <w:t>p</w:t>
      </w:r>
      <w:r w:rsidRPr="004345E4">
        <w:t>ractice as opposed to amending the relevant Regulations.</w:t>
      </w:r>
    </w:p>
    <w:p w:rsidR="00000745" w:rsidRDefault="00000745" w:rsidP="00EF0FE1"/>
    <w:p w:rsidR="00000745" w:rsidRPr="001B7CE8" w:rsidRDefault="00000745" w:rsidP="00EF0FE1">
      <w:pPr>
        <w:pStyle w:val="BoxHeading"/>
        <w:keepNext/>
      </w:pPr>
      <w:r w:rsidRPr="001B7CE8">
        <w:t>Consultation questions</w:t>
      </w:r>
    </w:p>
    <w:p w:rsidR="00823DC8" w:rsidRDefault="00EF0FE1" w:rsidP="00EF0FE1">
      <w:pPr>
        <w:pStyle w:val="Box"/>
        <w:keepNext/>
        <w:ind w:left="851" w:hanging="567"/>
      </w:pPr>
      <w:r>
        <w:t>10.</w:t>
      </w:r>
      <w:r>
        <w:tab/>
      </w:r>
      <w:r w:rsidR="00000745">
        <w:t>D</w:t>
      </w:r>
      <w:r w:rsidR="00000745" w:rsidRPr="009E2A1C">
        <w:t xml:space="preserve">o you </w:t>
      </w:r>
      <w:r w:rsidR="00000745">
        <w:t>think</w:t>
      </w:r>
      <w:r w:rsidR="00000745" w:rsidRPr="009E2A1C">
        <w:t xml:space="preserve"> </w:t>
      </w:r>
      <w:r w:rsidR="00000745">
        <w:t xml:space="preserve">additional </w:t>
      </w:r>
      <w:r w:rsidR="00000745" w:rsidRPr="009E2A1C">
        <w:t xml:space="preserve">requirements for radiation safety plans </w:t>
      </w:r>
      <w:r w:rsidR="00000745">
        <w:t>are best placed in individual codes of practice or</w:t>
      </w:r>
      <w:r w:rsidR="00000745" w:rsidRPr="009E2A1C">
        <w:t xml:space="preserve"> in </w:t>
      </w:r>
      <w:r w:rsidR="00000745">
        <w:t>Regulations? Please provide reasons for your answer.</w:t>
      </w:r>
    </w:p>
    <w:p w:rsidR="00823DC8" w:rsidRDefault="00EF0FE1" w:rsidP="00EF0FE1">
      <w:pPr>
        <w:pStyle w:val="Box"/>
        <w:keepNext/>
        <w:ind w:left="851" w:hanging="567"/>
      </w:pPr>
      <w:r>
        <w:t>11.</w:t>
      </w:r>
      <w:r>
        <w:tab/>
      </w:r>
      <w:r w:rsidR="00000745">
        <w:t>Do you have any further comments, suggestions or alternative options?</w:t>
      </w:r>
    </w:p>
    <w:p w:rsidR="00000745" w:rsidRDefault="00000745" w:rsidP="00EF0FE1">
      <w:pPr>
        <w:pStyle w:val="Box"/>
      </w:pPr>
      <w:r>
        <w:t xml:space="preserve">Please use the </w:t>
      </w:r>
      <w:r w:rsidR="00F810AB">
        <w:t>submission form</w:t>
      </w:r>
      <w:r>
        <w:t xml:space="preserve"> to respond to these questions.</w:t>
      </w:r>
    </w:p>
    <w:p w:rsidR="00000745" w:rsidRDefault="00000745" w:rsidP="00EF0FE1"/>
    <w:p w:rsidR="00EF0FE1" w:rsidRDefault="00EF0FE1" w:rsidP="00EF0FE1">
      <w:bookmarkStart w:id="21" w:name="_Toc449001267"/>
      <w:r>
        <w:br w:type="page"/>
      </w:r>
    </w:p>
    <w:p w:rsidR="00000745" w:rsidRPr="00C37273" w:rsidRDefault="00000745" w:rsidP="00EF0FE1">
      <w:pPr>
        <w:pStyle w:val="Heading1"/>
      </w:pPr>
      <w:bookmarkStart w:id="22" w:name="_Toc450059027"/>
      <w:r>
        <w:lastRenderedPageBreak/>
        <w:t>2</w:t>
      </w:r>
      <w:r>
        <w:tab/>
      </w:r>
      <w:r w:rsidR="00694266">
        <w:t>Fees for a</w:t>
      </w:r>
      <w:r w:rsidRPr="009E2A1C">
        <w:t xml:space="preserve">uthorisation </w:t>
      </w:r>
      <w:r>
        <w:t>and compliance verification</w:t>
      </w:r>
      <w:bookmarkEnd w:id="21"/>
      <w:bookmarkEnd w:id="22"/>
    </w:p>
    <w:p w:rsidR="00000745" w:rsidRPr="003E4175" w:rsidRDefault="00000745" w:rsidP="00964B95">
      <w:pPr>
        <w:pStyle w:val="Heading2"/>
      </w:pPr>
      <w:bookmarkStart w:id="23" w:name="_Toc449001268"/>
      <w:bookmarkStart w:id="24" w:name="_Toc450059028"/>
      <w:r>
        <w:t>(a)</w:t>
      </w:r>
      <w:r w:rsidR="00964B95">
        <w:tab/>
      </w:r>
      <w:r>
        <w:t>Scope of fees payable under the Act</w:t>
      </w:r>
      <w:bookmarkEnd w:id="23"/>
      <w:bookmarkEnd w:id="24"/>
    </w:p>
    <w:p w:rsidR="00823DC8" w:rsidRDefault="00000745" w:rsidP="00964B95">
      <w:r>
        <w:t>Sections 14(c) and 28(1)</w:t>
      </w:r>
      <w:r w:rsidRPr="003E4175">
        <w:t>(c)</w:t>
      </w:r>
      <w:r w:rsidRPr="009E2A1C">
        <w:t xml:space="preserve"> of the </w:t>
      </w:r>
      <w:r>
        <w:t>Act</w:t>
      </w:r>
      <w:r w:rsidRPr="009E2A1C">
        <w:t xml:space="preserve"> require applications </w:t>
      </w:r>
      <w:r>
        <w:t>for the issue and renewal</w:t>
      </w:r>
      <w:r w:rsidRPr="009E2A1C">
        <w:t xml:space="preserve"> of </w:t>
      </w:r>
      <w:r w:rsidRPr="001B7CE8">
        <w:t>authorisations</w:t>
      </w:r>
      <w:r w:rsidRPr="009E2A1C">
        <w:t xml:space="preserve"> to be accompanied by the prescribed fee.</w:t>
      </w:r>
      <w:r>
        <w:t xml:space="preserve"> </w:t>
      </w:r>
      <w:r w:rsidRPr="009E2A1C">
        <w:t xml:space="preserve">The prescribed fees are </w:t>
      </w:r>
      <w:r w:rsidRPr="004431B9">
        <w:t>set in Regulations made under section 92.</w:t>
      </w:r>
    </w:p>
    <w:p w:rsidR="00000745" w:rsidRDefault="00000745" w:rsidP="00964B95"/>
    <w:p w:rsidR="00823DC8" w:rsidRDefault="00000745" w:rsidP="00964B95">
      <w:r>
        <w:t xml:space="preserve">As well as cost recovery for issuing authorisations, section 92 also allows for the recovery of the direct or indirect costs of </w:t>
      </w:r>
      <w:r w:rsidRPr="00F10DF7">
        <w:t>verif</w:t>
      </w:r>
      <w:r>
        <w:t xml:space="preserve">ying compliance with the </w:t>
      </w:r>
      <w:r w:rsidRPr="001B7CE8">
        <w:rPr>
          <w:b/>
        </w:rPr>
        <w:t>radiation safety requirements</w:t>
      </w:r>
      <w:r>
        <w:t xml:space="preserve">. This section also allows </w:t>
      </w:r>
      <w:r w:rsidRPr="009E2A1C">
        <w:t xml:space="preserve">for </w:t>
      </w:r>
      <w:r>
        <w:t xml:space="preserve">different </w:t>
      </w:r>
      <w:r w:rsidRPr="009E2A1C">
        <w:t xml:space="preserve">fees </w:t>
      </w:r>
      <w:r>
        <w:t>depending on authorisation type, establishes principles for calculating fees, and allows for exemptions and refunds from all or parts of fees.</w:t>
      </w:r>
    </w:p>
    <w:p w:rsidR="00000745" w:rsidRDefault="00000745" w:rsidP="00964B95"/>
    <w:p w:rsidR="00823DC8" w:rsidRDefault="00000745" w:rsidP="00964B95">
      <w:r>
        <w:t>For the purposes of this consultation, t</w:t>
      </w:r>
      <w:r w:rsidRPr="009E2A1C">
        <w:t xml:space="preserve">he term </w:t>
      </w:r>
      <w:r w:rsidR="00823DC8">
        <w:t>‘</w:t>
      </w:r>
      <w:r w:rsidRPr="009E2A1C">
        <w:t>verifying compliance</w:t>
      </w:r>
      <w:r w:rsidR="00823DC8">
        <w:t>’</w:t>
      </w:r>
      <w:r>
        <w:t xml:space="preserve"> </w:t>
      </w:r>
      <w:r w:rsidRPr="009E2A1C">
        <w:t>refers to routine audit activities</w:t>
      </w:r>
      <w:r>
        <w:t xml:space="preserve"> only. The costs associated with any case-by-case</w:t>
      </w:r>
      <w:r w:rsidRPr="009E2A1C">
        <w:t xml:space="preserve"> investigations into </w:t>
      </w:r>
      <w:r>
        <w:t xml:space="preserve">specific instances of </w:t>
      </w:r>
      <w:r w:rsidRPr="009E2A1C">
        <w:t>potential non-compliance</w:t>
      </w:r>
      <w:r>
        <w:t xml:space="preserve"> will not be recovered by fees set under section 92</w:t>
      </w:r>
      <w:r w:rsidRPr="009E2A1C">
        <w:t>.</w:t>
      </w:r>
    </w:p>
    <w:p w:rsidR="00000745" w:rsidRDefault="00000745" w:rsidP="00964B95"/>
    <w:p w:rsidR="00823DC8" w:rsidRDefault="00000745" w:rsidP="00964B95">
      <w:r>
        <w:t>Section 92 also stipulates that only actual and reasonable compliance verification costs can be recovered in fees.</w:t>
      </w:r>
    </w:p>
    <w:p w:rsidR="00000745" w:rsidRDefault="00000745" w:rsidP="00964B95"/>
    <w:p w:rsidR="00000745" w:rsidRPr="00BE1DAA" w:rsidRDefault="00000745" w:rsidP="00964B95">
      <w:pPr>
        <w:pStyle w:val="Heading2"/>
      </w:pPr>
      <w:bookmarkStart w:id="25" w:name="_Toc449001269"/>
      <w:bookmarkStart w:id="26" w:name="_Toc450059029"/>
      <w:r>
        <w:t>(b)</w:t>
      </w:r>
      <w:r w:rsidR="00964B95">
        <w:tab/>
      </w:r>
      <w:r>
        <w:t>Fees under the current radiation protection framework</w:t>
      </w:r>
      <w:bookmarkEnd w:id="25"/>
      <w:bookmarkEnd w:id="26"/>
    </w:p>
    <w:p w:rsidR="00823DC8" w:rsidRDefault="00000745" w:rsidP="00964B95">
      <w:r>
        <w:t xml:space="preserve">The fees taken under the current radiation protection framework </w:t>
      </w:r>
      <w:r w:rsidRPr="00883DBD">
        <w:t xml:space="preserve">are reported against the costs of </w:t>
      </w:r>
      <w:r w:rsidR="00823DC8">
        <w:t>‘</w:t>
      </w:r>
      <w:r>
        <w:t>licensing</w:t>
      </w:r>
      <w:r w:rsidRPr="00883DBD">
        <w:t xml:space="preserve"> activities</w:t>
      </w:r>
      <w:r w:rsidR="00823DC8">
        <w:t>’</w:t>
      </w:r>
      <w:r>
        <w:t>,</w:t>
      </w:r>
      <w:r w:rsidRPr="00883DBD">
        <w:t xml:space="preserve"> and </w:t>
      </w:r>
      <w:r>
        <w:t xml:space="preserve">they </w:t>
      </w:r>
      <w:r w:rsidRPr="00883DBD">
        <w:t xml:space="preserve">average </w:t>
      </w:r>
      <w:r w:rsidRPr="00883DBD">
        <w:rPr>
          <w:rFonts w:cs="Arial"/>
        </w:rPr>
        <w:t>$783,125</w:t>
      </w:r>
      <w:r w:rsidRPr="00964B95">
        <w:rPr>
          <w:rStyle w:val="FootnoteReference"/>
        </w:rPr>
        <w:footnoteReference w:id="2"/>
      </w:r>
      <w:r w:rsidRPr="00883DBD">
        <w:rPr>
          <w:rFonts w:cs="Arial"/>
        </w:rPr>
        <w:t xml:space="preserve"> per year.</w:t>
      </w:r>
      <w:r>
        <w:rPr>
          <w:rFonts w:cs="Arial"/>
        </w:rPr>
        <w:t xml:space="preserve"> </w:t>
      </w:r>
      <w:r w:rsidRPr="00883DBD">
        <w:rPr>
          <w:rFonts w:cs="Arial"/>
        </w:rPr>
        <w:t xml:space="preserve">These costs (and fees) </w:t>
      </w:r>
      <w:r w:rsidRPr="00883DBD">
        <w:t>do not reflect the current costs of compliance verification activities.</w:t>
      </w:r>
      <w:r>
        <w:t xml:space="preserve"> </w:t>
      </w:r>
      <w:r w:rsidRPr="00883DBD">
        <w:t>Because</w:t>
      </w:r>
      <w:r>
        <w:t xml:space="preserve"> the fees proposed in this document will fully recover the cost of both authorisation (licensing) activities and compliance verification, the total fees payable under the Act will increase.</w:t>
      </w:r>
    </w:p>
    <w:p w:rsidR="00000745" w:rsidRDefault="00000745" w:rsidP="00964B95"/>
    <w:p w:rsidR="00000745" w:rsidRPr="00BE1DAA" w:rsidRDefault="00000745" w:rsidP="00964B95">
      <w:pPr>
        <w:pStyle w:val="Heading2"/>
      </w:pPr>
      <w:bookmarkStart w:id="27" w:name="_Toc449001270"/>
      <w:bookmarkStart w:id="28" w:name="_Toc450059030"/>
      <w:r>
        <w:t>(c)</w:t>
      </w:r>
      <w:r w:rsidR="00964B95">
        <w:tab/>
      </w:r>
      <w:r>
        <w:t>Expected costs under the Act</w:t>
      </w:r>
      <w:bookmarkEnd w:id="27"/>
      <w:bookmarkEnd w:id="28"/>
    </w:p>
    <w:p w:rsidR="00000745" w:rsidRPr="00EB23D4" w:rsidRDefault="00000745" w:rsidP="00964B95">
      <w:pPr>
        <w:pStyle w:val="Heading3"/>
      </w:pPr>
      <w:r w:rsidRPr="00EB23D4">
        <w:t>Background</w:t>
      </w:r>
    </w:p>
    <w:p w:rsidR="00823DC8" w:rsidRDefault="00000745" w:rsidP="00663689">
      <w:pPr>
        <w:keepNext/>
        <w:keepLines/>
        <w:rPr>
          <w:highlight w:val="cyan"/>
        </w:rPr>
      </w:pPr>
      <w:r w:rsidRPr="00310F03">
        <w:t>The Ministry of Health</w:t>
      </w:r>
      <w:r w:rsidR="00823DC8">
        <w:t>’</w:t>
      </w:r>
      <w:r w:rsidRPr="00310F03">
        <w:t>s Office of Radiation Safety processes all applications for licences and consents</w:t>
      </w:r>
      <w:r>
        <w:t>,</w:t>
      </w:r>
      <w:r w:rsidRPr="00310F03">
        <w:t xml:space="preserve"> at </w:t>
      </w:r>
      <w:r>
        <w:t xml:space="preserve">a cost of </w:t>
      </w:r>
      <w:r w:rsidRPr="00310F03">
        <w:t>approximately $450,000 per year.</w:t>
      </w:r>
      <w:r>
        <w:t xml:space="preserve"> </w:t>
      </w:r>
      <w:r w:rsidRPr="00310F03">
        <w:t xml:space="preserve">The Office of Radiation Safety will also contract external science advice on aspects of regulation at </w:t>
      </w:r>
      <w:r>
        <w:t xml:space="preserve">a cost of </w:t>
      </w:r>
      <w:r w:rsidRPr="00310F03">
        <w:t>approximately $100,000 per year and audit services (compliance verification) at $887,700 per year.</w:t>
      </w:r>
    </w:p>
    <w:p w:rsidR="00000745" w:rsidRPr="00F10DF7" w:rsidRDefault="00000745" w:rsidP="00964B95">
      <w:pPr>
        <w:rPr>
          <w:highlight w:val="cyan"/>
        </w:rPr>
      </w:pPr>
    </w:p>
    <w:p w:rsidR="00823DC8" w:rsidRDefault="00000745" w:rsidP="00964B95">
      <w:pPr>
        <w:rPr>
          <w:highlight w:val="cyan"/>
        </w:rPr>
      </w:pPr>
      <w:r w:rsidRPr="00310F03">
        <w:lastRenderedPageBreak/>
        <w:t xml:space="preserve">These arrangements </w:t>
      </w:r>
      <w:r w:rsidRPr="00AC2039">
        <w:t>will ensure</w:t>
      </w:r>
      <w:r>
        <w:t xml:space="preserve"> </w:t>
      </w:r>
      <w:r w:rsidRPr="00310F03">
        <w:t xml:space="preserve">that the functions of </w:t>
      </w:r>
      <w:r w:rsidRPr="001B7CE8">
        <w:t>the Director</w:t>
      </w:r>
      <w:r w:rsidRPr="00310F03">
        <w:t xml:space="preserve">, </w:t>
      </w:r>
      <w:r w:rsidRPr="00310F03">
        <w:rPr>
          <w:b/>
        </w:rPr>
        <w:t>enforcement officers</w:t>
      </w:r>
      <w:r w:rsidRPr="00310F03">
        <w:t>, assessing and granting authorisations</w:t>
      </w:r>
      <w:r>
        <w:t>,</w:t>
      </w:r>
      <w:r w:rsidRPr="00310F03">
        <w:t xml:space="preserve"> and the necessary science knowledge and experience are all available to meet the requirements of the Act.</w:t>
      </w:r>
    </w:p>
    <w:p w:rsidR="00000745" w:rsidRPr="00F10DF7" w:rsidRDefault="00000745" w:rsidP="00964B95">
      <w:pPr>
        <w:rPr>
          <w:highlight w:val="cyan"/>
        </w:rPr>
      </w:pPr>
    </w:p>
    <w:p w:rsidR="00823DC8" w:rsidRDefault="00000745" w:rsidP="00964B95">
      <w:r w:rsidRPr="00310F03">
        <w:t>The total operating cost is approximately $1.44 million per year.</w:t>
      </w:r>
      <w:r>
        <w:t xml:space="preserve"> </w:t>
      </w:r>
      <w:r w:rsidRPr="00310F03">
        <w:t>A breakdown of these costs is provided in Table 3.</w:t>
      </w:r>
    </w:p>
    <w:p w:rsidR="00000745" w:rsidRDefault="00000745" w:rsidP="00964B95"/>
    <w:p w:rsidR="00000745" w:rsidRPr="00964B95" w:rsidRDefault="00000745" w:rsidP="00964B95">
      <w:pPr>
        <w:pStyle w:val="Table"/>
      </w:pPr>
      <w:bookmarkStart w:id="29" w:name="_Toc450059061"/>
      <w:r w:rsidRPr="001B7CE8">
        <w:t>Table 3: Breakdown of annual costs for authorisations, renewals and compliance verification activities under the Act (exclusive of GST)</w:t>
      </w:r>
      <w:bookmarkEnd w:id="2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35"/>
        <w:gridCol w:w="2835"/>
        <w:gridCol w:w="2268"/>
        <w:gridCol w:w="1418"/>
      </w:tblGrid>
      <w:tr w:rsidR="00000745" w:rsidRPr="00964B95" w:rsidTr="00964B95">
        <w:trPr>
          <w:cantSplit/>
        </w:trPr>
        <w:tc>
          <w:tcPr>
            <w:tcW w:w="2835" w:type="dxa"/>
            <w:tcBorders>
              <w:top w:val="single" w:sz="4" w:space="0" w:color="auto"/>
              <w:bottom w:val="single" w:sz="4" w:space="0" w:color="auto"/>
            </w:tcBorders>
            <w:shd w:val="clear" w:color="auto" w:fill="auto"/>
            <w:noWrap/>
            <w:hideMark/>
          </w:tcPr>
          <w:p w:rsidR="00000745" w:rsidRPr="00964B95" w:rsidRDefault="00000745" w:rsidP="00964B95">
            <w:pPr>
              <w:pStyle w:val="TableText"/>
              <w:rPr>
                <w:b/>
                <w:lang w:eastAsia="en-NZ"/>
              </w:rPr>
            </w:pPr>
            <w:r w:rsidRPr="00964B95">
              <w:rPr>
                <w:b/>
                <w:lang w:eastAsia="en-NZ"/>
              </w:rPr>
              <w:t>Item</w:t>
            </w:r>
          </w:p>
        </w:tc>
        <w:tc>
          <w:tcPr>
            <w:tcW w:w="2835" w:type="dxa"/>
            <w:tcBorders>
              <w:top w:val="single" w:sz="4" w:space="0" w:color="auto"/>
              <w:bottom w:val="single" w:sz="4" w:space="0" w:color="auto"/>
            </w:tcBorders>
            <w:shd w:val="clear" w:color="auto" w:fill="auto"/>
            <w:noWrap/>
            <w:hideMark/>
          </w:tcPr>
          <w:p w:rsidR="00000745" w:rsidRPr="00964B95" w:rsidRDefault="00000745" w:rsidP="00964B95">
            <w:pPr>
              <w:pStyle w:val="TableText"/>
              <w:jc w:val="center"/>
              <w:rPr>
                <w:b/>
                <w:lang w:eastAsia="en-NZ"/>
              </w:rPr>
            </w:pPr>
            <w:r w:rsidRPr="00964B95">
              <w:rPr>
                <w:b/>
                <w:lang w:eastAsia="en-NZ"/>
              </w:rPr>
              <w:t>Authorisation</w:t>
            </w:r>
            <w:r w:rsidR="00964B95">
              <w:rPr>
                <w:b/>
                <w:lang w:eastAsia="en-NZ"/>
              </w:rPr>
              <w:br/>
            </w:r>
            <w:r w:rsidRPr="00964B95">
              <w:rPr>
                <w:b/>
                <w:lang w:eastAsia="en-NZ"/>
              </w:rPr>
              <w:t>component</w:t>
            </w:r>
          </w:p>
        </w:tc>
        <w:tc>
          <w:tcPr>
            <w:tcW w:w="2268" w:type="dxa"/>
            <w:tcBorders>
              <w:top w:val="single" w:sz="4" w:space="0" w:color="auto"/>
              <w:bottom w:val="single" w:sz="4" w:space="0" w:color="auto"/>
            </w:tcBorders>
            <w:shd w:val="clear" w:color="auto" w:fill="auto"/>
            <w:noWrap/>
            <w:hideMark/>
          </w:tcPr>
          <w:p w:rsidR="00000745" w:rsidRPr="00964B95" w:rsidRDefault="00000745" w:rsidP="00964B95">
            <w:pPr>
              <w:pStyle w:val="TableText"/>
              <w:jc w:val="center"/>
              <w:rPr>
                <w:b/>
                <w:lang w:eastAsia="en-NZ"/>
              </w:rPr>
            </w:pPr>
            <w:r w:rsidRPr="00964B95">
              <w:rPr>
                <w:b/>
                <w:lang w:eastAsia="en-NZ"/>
              </w:rPr>
              <w:t>Compliance verification component</w:t>
            </w:r>
          </w:p>
        </w:tc>
        <w:tc>
          <w:tcPr>
            <w:tcW w:w="1418" w:type="dxa"/>
            <w:tcBorders>
              <w:top w:val="single" w:sz="4" w:space="0" w:color="auto"/>
              <w:bottom w:val="single" w:sz="4" w:space="0" w:color="auto"/>
            </w:tcBorders>
            <w:shd w:val="clear" w:color="auto" w:fill="auto"/>
            <w:noWrap/>
            <w:hideMark/>
          </w:tcPr>
          <w:p w:rsidR="00000745" w:rsidRPr="00964B95" w:rsidRDefault="00964B95" w:rsidP="00964B95">
            <w:pPr>
              <w:pStyle w:val="TableText"/>
              <w:jc w:val="center"/>
              <w:rPr>
                <w:b/>
                <w:lang w:eastAsia="en-NZ"/>
              </w:rPr>
            </w:pPr>
            <w:r>
              <w:rPr>
                <w:b/>
                <w:lang w:eastAsia="en-NZ"/>
              </w:rPr>
              <w:t>Total</w:t>
            </w:r>
          </w:p>
        </w:tc>
      </w:tr>
      <w:tr w:rsidR="00000745" w:rsidRPr="00265B2F" w:rsidTr="00964B95">
        <w:trPr>
          <w:cantSplit/>
        </w:trPr>
        <w:tc>
          <w:tcPr>
            <w:tcW w:w="2835" w:type="dxa"/>
            <w:tcBorders>
              <w:bottom w:val="single" w:sz="4" w:space="0" w:color="A6A6A6" w:themeColor="background1" w:themeShade="A6"/>
            </w:tcBorders>
            <w:shd w:val="clear" w:color="auto" w:fill="auto"/>
            <w:noWrap/>
            <w:hideMark/>
          </w:tcPr>
          <w:p w:rsidR="00000745" w:rsidRPr="00265B2F" w:rsidRDefault="00000745" w:rsidP="00964B95">
            <w:pPr>
              <w:pStyle w:val="TableText"/>
              <w:rPr>
                <w:lang w:eastAsia="en-NZ"/>
              </w:rPr>
            </w:pPr>
            <w:r>
              <w:rPr>
                <w:lang w:eastAsia="en-NZ"/>
              </w:rPr>
              <w:t>Personnel expenses</w:t>
            </w:r>
          </w:p>
        </w:tc>
        <w:tc>
          <w:tcPr>
            <w:tcW w:w="2835" w:type="dxa"/>
            <w:tcBorders>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786"/>
              </w:tabs>
              <w:rPr>
                <w:lang w:eastAsia="en-NZ"/>
              </w:rPr>
            </w:pPr>
            <w:r w:rsidRPr="00265B2F">
              <w:rPr>
                <w:lang w:eastAsia="en-NZ"/>
              </w:rPr>
              <w:t>$244,000</w:t>
            </w:r>
          </w:p>
        </w:tc>
        <w:tc>
          <w:tcPr>
            <w:tcW w:w="2268" w:type="dxa"/>
            <w:tcBorders>
              <w:bottom w:val="single" w:sz="4" w:space="0" w:color="A6A6A6" w:themeColor="background1" w:themeShade="A6"/>
            </w:tcBorders>
            <w:shd w:val="clear" w:color="auto" w:fill="auto"/>
            <w:noWrap/>
          </w:tcPr>
          <w:p w:rsidR="00000745" w:rsidRPr="00265B2F" w:rsidRDefault="00000745" w:rsidP="00964B95">
            <w:pPr>
              <w:pStyle w:val="TableText"/>
              <w:jc w:val="center"/>
              <w:rPr>
                <w:lang w:eastAsia="en-NZ"/>
              </w:rPr>
            </w:pPr>
          </w:p>
        </w:tc>
        <w:tc>
          <w:tcPr>
            <w:tcW w:w="1418" w:type="dxa"/>
            <w:tcBorders>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077"/>
              </w:tabs>
              <w:rPr>
                <w:lang w:eastAsia="en-NZ"/>
              </w:rPr>
            </w:pPr>
            <w:r w:rsidRPr="00265B2F">
              <w:rPr>
                <w:lang w:eastAsia="en-NZ"/>
              </w:rPr>
              <w:t>$244,000</w:t>
            </w:r>
          </w:p>
        </w:tc>
      </w:tr>
      <w:tr w:rsidR="00000745" w:rsidRPr="00265B2F" w:rsidTr="00964B95">
        <w:trPr>
          <w:cantSplit/>
        </w:trPr>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rPr>
                <w:lang w:eastAsia="en-NZ"/>
              </w:rPr>
            </w:pPr>
            <w:r w:rsidRPr="00265B2F">
              <w:rPr>
                <w:lang w:eastAsia="en-NZ"/>
              </w:rPr>
              <w:t>Office and overheads</w:t>
            </w:r>
          </w:p>
        </w:tc>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786"/>
              </w:tabs>
              <w:rPr>
                <w:lang w:eastAsia="en-NZ"/>
              </w:rPr>
            </w:pPr>
            <w:r w:rsidRPr="00265B2F">
              <w:rPr>
                <w:lang w:eastAsia="en-NZ"/>
              </w:rPr>
              <w:t>$160,000</w:t>
            </w:r>
          </w:p>
        </w:tc>
        <w:tc>
          <w:tcPr>
            <w:tcW w:w="2268" w:type="dxa"/>
            <w:tcBorders>
              <w:top w:val="single" w:sz="4" w:space="0" w:color="A6A6A6" w:themeColor="background1" w:themeShade="A6"/>
              <w:bottom w:val="single" w:sz="4" w:space="0" w:color="A6A6A6" w:themeColor="background1" w:themeShade="A6"/>
            </w:tcBorders>
            <w:shd w:val="clear" w:color="auto" w:fill="auto"/>
            <w:noWrap/>
          </w:tcPr>
          <w:p w:rsidR="00000745" w:rsidRPr="00265B2F" w:rsidRDefault="00000745" w:rsidP="00964B95">
            <w:pPr>
              <w:pStyle w:val="TableText"/>
              <w:jc w:val="center"/>
              <w:rPr>
                <w:lang w:eastAsia="en-NZ"/>
              </w:rPr>
            </w:pP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077"/>
              </w:tabs>
              <w:rPr>
                <w:lang w:eastAsia="en-NZ"/>
              </w:rPr>
            </w:pPr>
            <w:r w:rsidRPr="00265B2F">
              <w:rPr>
                <w:lang w:eastAsia="en-NZ"/>
              </w:rPr>
              <w:t>$160,000</w:t>
            </w:r>
          </w:p>
        </w:tc>
      </w:tr>
      <w:tr w:rsidR="00000745" w:rsidRPr="00265B2F" w:rsidTr="00964B95">
        <w:trPr>
          <w:cantSplit/>
        </w:trPr>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rPr>
                <w:lang w:eastAsia="en-NZ"/>
              </w:rPr>
            </w:pPr>
            <w:r w:rsidRPr="00265B2F">
              <w:rPr>
                <w:lang w:eastAsia="en-NZ"/>
              </w:rPr>
              <w:t>Misc</w:t>
            </w:r>
            <w:r>
              <w:rPr>
                <w:lang w:eastAsia="en-NZ"/>
              </w:rPr>
              <w:t>ellaneous</w:t>
            </w:r>
            <w:r w:rsidRPr="00265B2F">
              <w:rPr>
                <w:lang w:eastAsia="en-NZ"/>
              </w:rPr>
              <w:t xml:space="preserve"> costs</w:t>
            </w:r>
          </w:p>
        </w:tc>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786"/>
              </w:tabs>
              <w:rPr>
                <w:lang w:eastAsia="en-NZ"/>
              </w:rPr>
            </w:pPr>
            <w:r w:rsidRPr="00265B2F">
              <w:rPr>
                <w:lang w:eastAsia="en-NZ"/>
              </w:rPr>
              <w:t>$46,000</w:t>
            </w:r>
          </w:p>
        </w:tc>
        <w:tc>
          <w:tcPr>
            <w:tcW w:w="2268" w:type="dxa"/>
            <w:tcBorders>
              <w:top w:val="single" w:sz="4" w:space="0" w:color="A6A6A6" w:themeColor="background1" w:themeShade="A6"/>
              <w:bottom w:val="single" w:sz="4" w:space="0" w:color="A6A6A6" w:themeColor="background1" w:themeShade="A6"/>
            </w:tcBorders>
            <w:shd w:val="clear" w:color="auto" w:fill="auto"/>
            <w:noWrap/>
          </w:tcPr>
          <w:p w:rsidR="00000745" w:rsidRPr="00265B2F" w:rsidRDefault="00000745" w:rsidP="00964B95">
            <w:pPr>
              <w:pStyle w:val="TableText"/>
              <w:jc w:val="center"/>
              <w:rPr>
                <w:lang w:eastAsia="en-NZ"/>
              </w:rPr>
            </w:pP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077"/>
              </w:tabs>
              <w:rPr>
                <w:lang w:eastAsia="en-NZ"/>
              </w:rPr>
            </w:pPr>
            <w:r w:rsidRPr="00265B2F">
              <w:rPr>
                <w:lang w:eastAsia="en-NZ"/>
              </w:rPr>
              <w:t>$46,000</w:t>
            </w:r>
          </w:p>
        </w:tc>
      </w:tr>
      <w:tr w:rsidR="00000745" w:rsidRPr="00265B2F" w:rsidTr="00964B95">
        <w:trPr>
          <w:cantSplit/>
        </w:trPr>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rPr>
                <w:lang w:eastAsia="en-NZ"/>
              </w:rPr>
            </w:pPr>
            <w:r w:rsidRPr="00265B2F">
              <w:rPr>
                <w:lang w:eastAsia="en-NZ"/>
              </w:rPr>
              <w:t>Contracted science advice</w:t>
            </w:r>
          </w:p>
        </w:tc>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786"/>
              </w:tabs>
              <w:rPr>
                <w:lang w:eastAsia="en-NZ"/>
              </w:rPr>
            </w:pPr>
            <w:r w:rsidRPr="00265B2F">
              <w:rPr>
                <w:lang w:eastAsia="en-NZ"/>
              </w:rPr>
              <w:t>$100,000</w:t>
            </w:r>
          </w:p>
        </w:tc>
        <w:tc>
          <w:tcPr>
            <w:tcW w:w="2268" w:type="dxa"/>
            <w:tcBorders>
              <w:top w:val="single" w:sz="4" w:space="0" w:color="A6A6A6" w:themeColor="background1" w:themeShade="A6"/>
              <w:bottom w:val="single" w:sz="4" w:space="0" w:color="A6A6A6" w:themeColor="background1" w:themeShade="A6"/>
            </w:tcBorders>
            <w:shd w:val="clear" w:color="auto" w:fill="auto"/>
            <w:noWrap/>
          </w:tcPr>
          <w:p w:rsidR="00000745" w:rsidRPr="00265B2F" w:rsidRDefault="00000745" w:rsidP="00964B95">
            <w:pPr>
              <w:pStyle w:val="TableText"/>
              <w:jc w:val="center"/>
              <w:rPr>
                <w:lang w:eastAsia="en-NZ"/>
              </w:rPr>
            </w:pP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077"/>
              </w:tabs>
              <w:rPr>
                <w:lang w:eastAsia="en-NZ"/>
              </w:rPr>
            </w:pPr>
            <w:r w:rsidRPr="00265B2F">
              <w:rPr>
                <w:lang w:eastAsia="en-NZ"/>
              </w:rPr>
              <w:t>$100,000</w:t>
            </w:r>
          </w:p>
        </w:tc>
      </w:tr>
      <w:tr w:rsidR="00000745" w:rsidRPr="00265B2F" w:rsidTr="00964B95">
        <w:trPr>
          <w:cantSplit/>
        </w:trPr>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rPr>
                <w:lang w:eastAsia="en-NZ"/>
              </w:rPr>
            </w:pPr>
            <w:r w:rsidRPr="00265B2F">
              <w:rPr>
                <w:lang w:eastAsia="en-NZ"/>
              </w:rPr>
              <w:t>Contracted audit services</w:t>
            </w:r>
          </w:p>
        </w:tc>
        <w:tc>
          <w:tcPr>
            <w:tcW w:w="283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786"/>
              </w:tabs>
              <w:rPr>
                <w:lang w:eastAsia="en-NZ"/>
              </w:rPr>
            </w:pPr>
          </w:p>
        </w:tc>
        <w:tc>
          <w:tcPr>
            <w:tcW w:w="226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jc w:val="center"/>
              <w:rPr>
                <w:lang w:eastAsia="en-NZ"/>
              </w:rPr>
            </w:pPr>
            <w:r w:rsidRPr="00265B2F">
              <w:rPr>
                <w:lang w:eastAsia="en-NZ"/>
              </w:rPr>
              <w:t>$887,700</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265B2F" w:rsidRDefault="00000745" w:rsidP="00964B95">
            <w:pPr>
              <w:pStyle w:val="TableText"/>
              <w:tabs>
                <w:tab w:val="decimal" w:pos="1077"/>
              </w:tabs>
              <w:rPr>
                <w:lang w:eastAsia="en-NZ"/>
              </w:rPr>
            </w:pPr>
            <w:r w:rsidRPr="00265B2F">
              <w:rPr>
                <w:lang w:eastAsia="en-NZ"/>
              </w:rPr>
              <w:t>$887,700</w:t>
            </w:r>
          </w:p>
        </w:tc>
      </w:tr>
      <w:tr w:rsidR="00000745" w:rsidRPr="00964B95" w:rsidTr="00964B95">
        <w:trPr>
          <w:cantSplit/>
        </w:trPr>
        <w:tc>
          <w:tcPr>
            <w:tcW w:w="2835" w:type="dxa"/>
            <w:tcBorders>
              <w:top w:val="single" w:sz="4" w:space="0" w:color="A6A6A6" w:themeColor="background1" w:themeShade="A6"/>
            </w:tcBorders>
            <w:shd w:val="clear" w:color="auto" w:fill="auto"/>
            <w:noWrap/>
            <w:hideMark/>
          </w:tcPr>
          <w:p w:rsidR="00000745" w:rsidRPr="00964B95" w:rsidRDefault="00000745" w:rsidP="00964B95">
            <w:pPr>
              <w:pStyle w:val="TableText"/>
              <w:rPr>
                <w:b/>
                <w:lang w:eastAsia="en-NZ"/>
              </w:rPr>
            </w:pPr>
            <w:r w:rsidRPr="00964B95">
              <w:rPr>
                <w:b/>
                <w:lang w:eastAsia="en-NZ"/>
              </w:rPr>
              <w:t>Total</w:t>
            </w:r>
          </w:p>
        </w:tc>
        <w:tc>
          <w:tcPr>
            <w:tcW w:w="2835" w:type="dxa"/>
            <w:tcBorders>
              <w:top w:val="single" w:sz="4" w:space="0" w:color="A6A6A6" w:themeColor="background1" w:themeShade="A6"/>
            </w:tcBorders>
            <w:shd w:val="clear" w:color="auto" w:fill="auto"/>
            <w:noWrap/>
            <w:hideMark/>
          </w:tcPr>
          <w:p w:rsidR="00000745" w:rsidRPr="00964B95" w:rsidRDefault="00000745" w:rsidP="00964B95">
            <w:pPr>
              <w:pStyle w:val="TableText"/>
              <w:tabs>
                <w:tab w:val="decimal" w:pos="1786"/>
              </w:tabs>
              <w:rPr>
                <w:b/>
                <w:lang w:eastAsia="en-NZ"/>
              </w:rPr>
            </w:pPr>
            <w:r w:rsidRPr="00964B95">
              <w:rPr>
                <w:b/>
                <w:lang w:eastAsia="en-NZ"/>
              </w:rPr>
              <w:t>$550,000</w:t>
            </w:r>
          </w:p>
        </w:tc>
        <w:tc>
          <w:tcPr>
            <w:tcW w:w="2268" w:type="dxa"/>
            <w:tcBorders>
              <w:top w:val="single" w:sz="4" w:space="0" w:color="A6A6A6" w:themeColor="background1" w:themeShade="A6"/>
            </w:tcBorders>
            <w:shd w:val="clear" w:color="auto" w:fill="auto"/>
            <w:noWrap/>
            <w:hideMark/>
          </w:tcPr>
          <w:p w:rsidR="00000745" w:rsidRPr="00964B95" w:rsidRDefault="00000745" w:rsidP="00964B95">
            <w:pPr>
              <w:pStyle w:val="TableText"/>
              <w:jc w:val="center"/>
              <w:rPr>
                <w:b/>
                <w:lang w:eastAsia="en-NZ"/>
              </w:rPr>
            </w:pPr>
            <w:r w:rsidRPr="00964B95">
              <w:rPr>
                <w:b/>
                <w:lang w:eastAsia="en-NZ"/>
              </w:rPr>
              <w:t>$887,700</w:t>
            </w:r>
          </w:p>
        </w:tc>
        <w:tc>
          <w:tcPr>
            <w:tcW w:w="1418" w:type="dxa"/>
            <w:tcBorders>
              <w:top w:val="single" w:sz="4" w:space="0" w:color="A6A6A6" w:themeColor="background1" w:themeShade="A6"/>
            </w:tcBorders>
            <w:shd w:val="clear" w:color="auto" w:fill="auto"/>
            <w:noWrap/>
            <w:hideMark/>
          </w:tcPr>
          <w:p w:rsidR="00000745" w:rsidRPr="00964B95" w:rsidRDefault="00000745" w:rsidP="00964B95">
            <w:pPr>
              <w:pStyle w:val="TableText"/>
              <w:tabs>
                <w:tab w:val="decimal" w:pos="1077"/>
              </w:tabs>
              <w:rPr>
                <w:b/>
                <w:lang w:eastAsia="en-NZ"/>
              </w:rPr>
            </w:pPr>
            <w:r w:rsidRPr="00964B95">
              <w:rPr>
                <w:b/>
                <w:lang w:eastAsia="en-NZ"/>
              </w:rPr>
              <w:t>$1,437,700</w:t>
            </w:r>
          </w:p>
        </w:tc>
      </w:tr>
    </w:tbl>
    <w:p w:rsidR="00000745" w:rsidRDefault="00000745" w:rsidP="00964B95"/>
    <w:p w:rsidR="00000745" w:rsidRPr="0041511B" w:rsidRDefault="00000745" w:rsidP="00964B95">
      <w:pPr>
        <w:pStyle w:val="Heading3"/>
      </w:pPr>
      <w:r w:rsidRPr="0041511B">
        <w:t>Preferred option</w:t>
      </w:r>
    </w:p>
    <w:p w:rsidR="00823DC8" w:rsidRPr="00964B95" w:rsidRDefault="00000745" w:rsidP="00964B95">
      <w:pPr>
        <w:rPr>
          <w:i/>
        </w:rPr>
      </w:pPr>
      <w:r w:rsidRPr="00964B95">
        <w:rPr>
          <w:i/>
        </w:rPr>
        <w:t>Fees are set to recover the full costs.</w:t>
      </w:r>
    </w:p>
    <w:p w:rsidR="00964B95" w:rsidRDefault="00964B95" w:rsidP="00964B95"/>
    <w:p w:rsidR="00823DC8" w:rsidRDefault="00000745" w:rsidP="00964B95">
      <w:r w:rsidRPr="00AC2039">
        <w:t>The Ministry of Health</w:t>
      </w:r>
      <w:r w:rsidR="00823DC8">
        <w:t>’</w:t>
      </w:r>
      <w:r w:rsidRPr="00AC2039">
        <w:t>s view is that these costs are both actual and reasonable.</w:t>
      </w:r>
    </w:p>
    <w:p w:rsidR="00000745" w:rsidRDefault="00000745" w:rsidP="00964B95"/>
    <w:p w:rsidR="00000745" w:rsidRPr="004A6747" w:rsidRDefault="00000745" w:rsidP="00964B95">
      <w:pPr>
        <w:pStyle w:val="Heading3"/>
      </w:pPr>
      <w:r>
        <w:t>Alternative option</w:t>
      </w:r>
    </w:p>
    <w:p w:rsidR="00823DC8" w:rsidRPr="00964B95" w:rsidRDefault="00000745" w:rsidP="00964B95">
      <w:pPr>
        <w:rPr>
          <w:i/>
        </w:rPr>
      </w:pPr>
      <w:r w:rsidRPr="00964B95">
        <w:rPr>
          <w:i/>
        </w:rPr>
        <w:t>Fees can be set to recover only part of the costs.</w:t>
      </w:r>
    </w:p>
    <w:p w:rsidR="00964B95" w:rsidRDefault="00964B95" w:rsidP="00964B95"/>
    <w:p w:rsidR="00823DC8" w:rsidRDefault="00000745" w:rsidP="00964B95">
      <w:r w:rsidRPr="009A65DE">
        <w:t>In some circumstances it may be appropriate to set charges below full cost recovery in order to achieve the purposes of legislation</w:t>
      </w:r>
      <w:r>
        <w:t>;</w:t>
      </w:r>
      <w:r w:rsidRPr="009A65DE">
        <w:t xml:space="preserve"> for example, where the purpose of legislation is to provide social benefits or access to justice.</w:t>
      </w:r>
      <w:r>
        <w:t xml:space="preserve"> </w:t>
      </w:r>
      <w:r w:rsidRPr="009A65DE">
        <w:t>The Ministry of Health</w:t>
      </w:r>
      <w:r w:rsidR="00823DC8">
        <w:t>’</w:t>
      </w:r>
      <w:r w:rsidRPr="009A65DE">
        <w:t>s view is that there is not sufficient justification to set charges below full cost recovery in this case.</w:t>
      </w:r>
    </w:p>
    <w:p w:rsidR="00000745" w:rsidRDefault="00000745" w:rsidP="00964B95"/>
    <w:p w:rsidR="00000745" w:rsidRPr="001B7CE8" w:rsidRDefault="00000745" w:rsidP="00964B95">
      <w:pPr>
        <w:pStyle w:val="BoxHeading"/>
        <w:keepNext/>
      </w:pPr>
      <w:r w:rsidRPr="001B7CE8">
        <w:t>Consultation questions</w:t>
      </w:r>
    </w:p>
    <w:p w:rsidR="00823DC8" w:rsidRDefault="00964B95" w:rsidP="00964B95">
      <w:pPr>
        <w:pStyle w:val="Box"/>
        <w:keepNext/>
        <w:ind w:left="851" w:hanging="567"/>
      </w:pPr>
      <w:r>
        <w:t>12.</w:t>
      </w:r>
      <w:r>
        <w:tab/>
      </w:r>
      <w:r w:rsidR="00000745" w:rsidRPr="00616F84">
        <w:t xml:space="preserve">Do you think the </w:t>
      </w:r>
      <w:r w:rsidR="00000745" w:rsidRPr="00AC2039">
        <w:t>statement of costs is actual</w:t>
      </w:r>
      <w:r w:rsidR="00000745">
        <w:t xml:space="preserve"> and reasonable</w:t>
      </w:r>
      <w:r w:rsidR="00000745" w:rsidRPr="00616F84">
        <w:t>?</w:t>
      </w:r>
    </w:p>
    <w:p w:rsidR="00823DC8" w:rsidRDefault="00964B95" w:rsidP="00964B95">
      <w:pPr>
        <w:pStyle w:val="Box"/>
        <w:keepNext/>
        <w:ind w:left="851" w:hanging="567"/>
      </w:pPr>
      <w:r>
        <w:t>13.</w:t>
      </w:r>
      <w:r>
        <w:tab/>
      </w:r>
      <w:r w:rsidR="00000745" w:rsidRPr="00616F84">
        <w:t xml:space="preserve">If </w:t>
      </w:r>
      <w:r w:rsidR="00000745">
        <w:t xml:space="preserve">you think the </w:t>
      </w:r>
      <w:r w:rsidR="00000745" w:rsidRPr="00AC2039">
        <w:t>statement of costs is not actual or reasonable, can you identify other information or</w:t>
      </w:r>
      <w:r w:rsidR="00000745">
        <w:t xml:space="preserve"> another method for establishing costs</w:t>
      </w:r>
      <w:r w:rsidR="00000745" w:rsidRPr="00616F84">
        <w:t>?</w:t>
      </w:r>
    </w:p>
    <w:p w:rsidR="00000745" w:rsidRPr="009F166A" w:rsidRDefault="00964B95" w:rsidP="00964B95">
      <w:pPr>
        <w:pStyle w:val="Box"/>
        <w:keepNext/>
        <w:ind w:left="851" w:hanging="567"/>
      </w:pPr>
      <w:r>
        <w:t>14.</w:t>
      </w:r>
      <w:r>
        <w:tab/>
      </w:r>
      <w:r w:rsidR="00000745">
        <w:t>Do you think it is reasonable to recover the full costs in fees?</w:t>
      </w:r>
    </w:p>
    <w:p w:rsidR="00694266" w:rsidRDefault="00964B95" w:rsidP="00964B95">
      <w:pPr>
        <w:pStyle w:val="Box"/>
        <w:ind w:left="851" w:hanging="567"/>
      </w:pPr>
      <w:r>
        <w:t>15.</w:t>
      </w:r>
      <w:r>
        <w:tab/>
      </w:r>
      <w:r w:rsidR="00000745">
        <w:t>If you think it is unreasonable to recover the full costs in fees, can you please identify who should meet the remaining costs.</w:t>
      </w:r>
    </w:p>
    <w:p w:rsidR="00823DC8" w:rsidRDefault="00964B95" w:rsidP="00964B95">
      <w:pPr>
        <w:pStyle w:val="Box"/>
        <w:ind w:left="851" w:hanging="567"/>
      </w:pPr>
      <w:r>
        <w:t>16.</w:t>
      </w:r>
      <w:r>
        <w:tab/>
      </w:r>
      <w:r w:rsidR="00000745">
        <w:t>Do you have any further comments, suggestions or alternative options?</w:t>
      </w:r>
    </w:p>
    <w:p w:rsidR="00000745" w:rsidRDefault="00000745" w:rsidP="00964B95">
      <w:pPr>
        <w:pStyle w:val="Box"/>
      </w:pPr>
      <w:r>
        <w:t xml:space="preserve">Please use the </w:t>
      </w:r>
      <w:r w:rsidR="00F810AB">
        <w:t>submission form</w:t>
      </w:r>
      <w:r>
        <w:t xml:space="preserve"> to respond to these questions.</w:t>
      </w:r>
    </w:p>
    <w:p w:rsidR="00000745" w:rsidRDefault="00000745" w:rsidP="00964B95"/>
    <w:p w:rsidR="00000745" w:rsidRPr="009E2A1C" w:rsidRDefault="00000745" w:rsidP="00964B95">
      <w:pPr>
        <w:pStyle w:val="Heading2"/>
      </w:pPr>
      <w:bookmarkStart w:id="30" w:name="_Toc449001271"/>
      <w:bookmarkStart w:id="31" w:name="_Toc450059031"/>
      <w:r>
        <w:lastRenderedPageBreak/>
        <w:t>(d)</w:t>
      </w:r>
      <w:r w:rsidR="00964B95">
        <w:tab/>
      </w:r>
      <w:r w:rsidRPr="009E2A1C">
        <w:t xml:space="preserve">Distribution of </w:t>
      </w:r>
      <w:r>
        <w:t>fees</w:t>
      </w:r>
      <w:r w:rsidRPr="009E2A1C">
        <w:t xml:space="preserve"> across authorisation types</w:t>
      </w:r>
      <w:bookmarkEnd w:id="30"/>
      <w:bookmarkEnd w:id="31"/>
    </w:p>
    <w:p w:rsidR="00823DC8" w:rsidRDefault="00000745" w:rsidP="00964B95">
      <w:pPr>
        <w:pStyle w:val="Heading3"/>
      </w:pPr>
      <w:r w:rsidRPr="00EB23D4">
        <w:t>Background</w:t>
      </w:r>
    </w:p>
    <w:p w:rsidR="00823DC8" w:rsidRDefault="00000745" w:rsidP="00964B95">
      <w:r w:rsidRPr="009E2A1C">
        <w:t xml:space="preserve">The duties and obligations </w:t>
      </w:r>
      <w:r>
        <w:t>related to</w:t>
      </w:r>
      <w:r w:rsidRPr="009E2A1C">
        <w:t xml:space="preserve"> managing the majority of risks associated with radiation use under the </w:t>
      </w:r>
      <w:r>
        <w:t>Act</w:t>
      </w:r>
      <w:r w:rsidRPr="009E2A1C">
        <w:t xml:space="preserve"> rest with source licence holders.</w:t>
      </w:r>
      <w:r>
        <w:t xml:space="preserve"> </w:t>
      </w:r>
      <w:r w:rsidRPr="009E2A1C">
        <w:t>Almost all routine compliance verification activity will be conducted against source licence holders</w:t>
      </w:r>
      <w:r w:rsidR="00823DC8">
        <w:t>’</w:t>
      </w:r>
      <w:r w:rsidRPr="009E2A1C">
        <w:t xml:space="preserve"> obligations under the </w:t>
      </w:r>
      <w:r>
        <w:t>Act</w:t>
      </w:r>
      <w:r w:rsidRPr="009E2A1C">
        <w:t>.</w:t>
      </w:r>
    </w:p>
    <w:p w:rsidR="00000745" w:rsidRDefault="00000745" w:rsidP="00964B95"/>
    <w:p w:rsidR="00823DC8" w:rsidRDefault="00000745" w:rsidP="00964B95">
      <w:pPr>
        <w:pStyle w:val="Heading3"/>
      </w:pPr>
      <w:r w:rsidRPr="00346F17">
        <w:t>Preferred option</w:t>
      </w:r>
    </w:p>
    <w:p w:rsidR="00823DC8" w:rsidRPr="00964B95" w:rsidRDefault="00000745" w:rsidP="00964B95">
      <w:pPr>
        <w:rPr>
          <w:i/>
        </w:rPr>
      </w:pPr>
      <w:r w:rsidRPr="00964B95">
        <w:rPr>
          <w:i/>
        </w:rPr>
        <w:t>The costs of compliance verification are recovered in full from source licence holders, while the costs of licensing are recovered from all authorisation holders according to the time involved in administering those authorisations.</w:t>
      </w:r>
    </w:p>
    <w:p w:rsidR="00964B95" w:rsidRDefault="00964B95" w:rsidP="00964B95"/>
    <w:p w:rsidR="00823DC8" w:rsidRDefault="00000745" w:rsidP="00964B95">
      <w:r w:rsidRPr="00EC22EF">
        <w:t xml:space="preserve">This distribution of fees closely follows costs. </w:t>
      </w:r>
      <w:r>
        <w:t>The proposed distribution of annual fees across authorisation types is outlined in Table 4.</w:t>
      </w:r>
    </w:p>
    <w:p w:rsidR="00000745" w:rsidRDefault="00000745" w:rsidP="00964B95"/>
    <w:p w:rsidR="00000745" w:rsidRPr="00964B95" w:rsidRDefault="00000745" w:rsidP="00964B95">
      <w:pPr>
        <w:pStyle w:val="Table"/>
      </w:pPr>
      <w:bookmarkStart w:id="32" w:name="_Toc450059062"/>
      <w:r w:rsidRPr="001B7CE8">
        <w:t>Table 4: Proposed distribution of annual fees across authorisation types under the Act (exclusive of GST)</w:t>
      </w:r>
      <w:bookmarkEnd w:id="3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2123"/>
        <w:gridCol w:w="2124"/>
        <w:gridCol w:w="1706"/>
        <w:gridCol w:w="1276"/>
      </w:tblGrid>
      <w:tr w:rsidR="00000745" w:rsidRPr="00964B95" w:rsidTr="00964B95">
        <w:trPr>
          <w:cantSplit/>
        </w:trPr>
        <w:tc>
          <w:tcPr>
            <w:tcW w:w="2127" w:type="dxa"/>
            <w:tcBorders>
              <w:top w:val="single" w:sz="4" w:space="0" w:color="auto"/>
              <w:bottom w:val="single" w:sz="4" w:space="0" w:color="auto"/>
            </w:tcBorders>
            <w:shd w:val="clear" w:color="auto" w:fill="auto"/>
            <w:noWrap/>
            <w:hideMark/>
          </w:tcPr>
          <w:p w:rsidR="00000745" w:rsidRPr="00964B95" w:rsidRDefault="00000745" w:rsidP="00964B95">
            <w:pPr>
              <w:pStyle w:val="TableText"/>
              <w:rPr>
                <w:b/>
                <w:lang w:eastAsia="en-NZ"/>
              </w:rPr>
            </w:pPr>
            <w:r w:rsidRPr="00964B95">
              <w:rPr>
                <w:b/>
                <w:lang w:eastAsia="en-NZ"/>
              </w:rPr>
              <w:t xml:space="preserve">Authorisation </w:t>
            </w:r>
            <w:r w:rsidR="00964B95" w:rsidRPr="00964B95">
              <w:rPr>
                <w:b/>
                <w:lang w:eastAsia="en-NZ"/>
              </w:rPr>
              <w:t>t</w:t>
            </w:r>
            <w:r w:rsidRPr="00964B95">
              <w:rPr>
                <w:b/>
                <w:lang w:eastAsia="en-NZ"/>
              </w:rPr>
              <w:t>ype</w:t>
            </w:r>
          </w:p>
        </w:tc>
        <w:tc>
          <w:tcPr>
            <w:tcW w:w="2123" w:type="dxa"/>
            <w:tcBorders>
              <w:top w:val="single" w:sz="4" w:space="0" w:color="auto"/>
              <w:bottom w:val="single" w:sz="4" w:space="0" w:color="auto"/>
            </w:tcBorders>
            <w:shd w:val="clear" w:color="auto" w:fill="auto"/>
            <w:noWrap/>
            <w:hideMark/>
          </w:tcPr>
          <w:p w:rsidR="00000745" w:rsidRPr="00964B95" w:rsidRDefault="00000745" w:rsidP="00964B95">
            <w:pPr>
              <w:pStyle w:val="TableText"/>
              <w:jc w:val="center"/>
              <w:rPr>
                <w:b/>
                <w:lang w:eastAsia="en-NZ"/>
              </w:rPr>
            </w:pPr>
            <w:r w:rsidRPr="00964B95">
              <w:rPr>
                <w:b/>
                <w:lang w:eastAsia="en-NZ"/>
              </w:rPr>
              <w:t>Authorisation component</w:t>
            </w:r>
          </w:p>
        </w:tc>
        <w:tc>
          <w:tcPr>
            <w:tcW w:w="2124" w:type="dxa"/>
            <w:tcBorders>
              <w:top w:val="single" w:sz="4" w:space="0" w:color="auto"/>
              <w:bottom w:val="single" w:sz="4" w:space="0" w:color="auto"/>
            </w:tcBorders>
            <w:shd w:val="clear" w:color="auto" w:fill="auto"/>
            <w:noWrap/>
            <w:hideMark/>
          </w:tcPr>
          <w:p w:rsidR="00000745" w:rsidRPr="00964B95" w:rsidRDefault="00000745" w:rsidP="00964B95">
            <w:pPr>
              <w:pStyle w:val="TableText"/>
              <w:jc w:val="center"/>
              <w:rPr>
                <w:b/>
                <w:lang w:eastAsia="en-NZ"/>
              </w:rPr>
            </w:pPr>
            <w:r w:rsidRPr="00964B95">
              <w:rPr>
                <w:b/>
                <w:lang w:eastAsia="en-NZ"/>
              </w:rPr>
              <w:t>Compliance verification component</w:t>
            </w:r>
          </w:p>
        </w:tc>
        <w:tc>
          <w:tcPr>
            <w:tcW w:w="1706" w:type="dxa"/>
            <w:tcBorders>
              <w:top w:val="single" w:sz="4" w:space="0" w:color="auto"/>
              <w:bottom w:val="single" w:sz="4" w:space="0" w:color="auto"/>
            </w:tcBorders>
            <w:shd w:val="clear" w:color="auto" w:fill="auto"/>
            <w:noWrap/>
            <w:hideMark/>
          </w:tcPr>
          <w:p w:rsidR="00000745" w:rsidRPr="00964B95" w:rsidRDefault="00000745" w:rsidP="00964B95">
            <w:pPr>
              <w:pStyle w:val="TableText"/>
              <w:jc w:val="center"/>
              <w:rPr>
                <w:b/>
                <w:lang w:eastAsia="en-NZ"/>
              </w:rPr>
            </w:pPr>
            <w:r w:rsidRPr="00964B95">
              <w:rPr>
                <w:b/>
                <w:lang w:eastAsia="en-NZ"/>
              </w:rPr>
              <w:t>Total</w:t>
            </w:r>
          </w:p>
        </w:tc>
        <w:tc>
          <w:tcPr>
            <w:tcW w:w="1276" w:type="dxa"/>
            <w:tcBorders>
              <w:top w:val="single" w:sz="4" w:space="0" w:color="auto"/>
              <w:bottom w:val="single" w:sz="4" w:space="0" w:color="auto"/>
            </w:tcBorders>
            <w:shd w:val="clear" w:color="auto" w:fill="auto"/>
            <w:noWrap/>
            <w:hideMark/>
          </w:tcPr>
          <w:p w:rsidR="00000745" w:rsidRPr="00964B95" w:rsidRDefault="00000745" w:rsidP="00964B95">
            <w:pPr>
              <w:pStyle w:val="TableText"/>
              <w:jc w:val="center"/>
              <w:rPr>
                <w:b/>
                <w:lang w:eastAsia="en-NZ"/>
              </w:rPr>
            </w:pPr>
            <w:r w:rsidRPr="00964B95">
              <w:rPr>
                <w:b/>
                <w:lang w:eastAsia="en-NZ"/>
              </w:rPr>
              <w:t>Percentage</w:t>
            </w:r>
          </w:p>
        </w:tc>
      </w:tr>
      <w:tr w:rsidR="00000745" w:rsidRPr="003C043B" w:rsidTr="00964B95">
        <w:trPr>
          <w:cantSplit/>
        </w:trPr>
        <w:tc>
          <w:tcPr>
            <w:tcW w:w="2127" w:type="dxa"/>
            <w:tcBorders>
              <w:top w:val="single" w:sz="4" w:space="0" w:color="auto"/>
              <w:bottom w:val="single" w:sz="4" w:space="0" w:color="A6A6A6" w:themeColor="background1" w:themeShade="A6"/>
            </w:tcBorders>
            <w:shd w:val="clear" w:color="auto" w:fill="auto"/>
            <w:noWrap/>
            <w:hideMark/>
          </w:tcPr>
          <w:p w:rsidR="00000745" w:rsidRPr="003C043B" w:rsidRDefault="00000745" w:rsidP="00964B95">
            <w:pPr>
              <w:pStyle w:val="TableText"/>
              <w:rPr>
                <w:lang w:eastAsia="en-NZ"/>
              </w:rPr>
            </w:pPr>
            <w:r w:rsidRPr="003C043B">
              <w:rPr>
                <w:lang w:eastAsia="en-NZ"/>
              </w:rPr>
              <w:t>Source licence</w:t>
            </w:r>
          </w:p>
        </w:tc>
        <w:tc>
          <w:tcPr>
            <w:tcW w:w="2123" w:type="dxa"/>
            <w:tcBorders>
              <w:top w:val="single" w:sz="4" w:space="0" w:color="auto"/>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1360"/>
              </w:tabs>
              <w:rPr>
                <w:lang w:eastAsia="en-NZ"/>
              </w:rPr>
            </w:pPr>
            <w:r w:rsidRPr="003C043B">
              <w:rPr>
                <w:lang w:eastAsia="en-NZ"/>
              </w:rPr>
              <w:t>$360,000</w:t>
            </w:r>
          </w:p>
        </w:tc>
        <w:tc>
          <w:tcPr>
            <w:tcW w:w="2124" w:type="dxa"/>
            <w:tcBorders>
              <w:top w:val="single" w:sz="4" w:space="0" w:color="auto"/>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1360"/>
              </w:tabs>
              <w:rPr>
                <w:lang w:eastAsia="en-NZ"/>
              </w:rPr>
            </w:pPr>
            <w:r w:rsidRPr="003C043B">
              <w:rPr>
                <w:lang w:eastAsia="en-NZ"/>
              </w:rPr>
              <w:t>$887,700</w:t>
            </w:r>
          </w:p>
        </w:tc>
        <w:tc>
          <w:tcPr>
            <w:tcW w:w="1706" w:type="dxa"/>
            <w:tcBorders>
              <w:top w:val="single" w:sz="4" w:space="0" w:color="auto"/>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1224"/>
              </w:tabs>
              <w:rPr>
                <w:lang w:eastAsia="en-NZ"/>
              </w:rPr>
            </w:pPr>
            <w:r w:rsidRPr="003C043B">
              <w:rPr>
                <w:lang w:eastAsia="en-NZ"/>
              </w:rPr>
              <w:t>$1,247,700</w:t>
            </w:r>
          </w:p>
        </w:tc>
        <w:tc>
          <w:tcPr>
            <w:tcW w:w="1276" w:type="dxa"/>
            <w:tcBorders>
              <w:top w:val="single" w:sz="4" w:space="0" w:color="auto"/>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738"/>
              </w:tabs>
              <w:rPr>
                <w:lang w:eastAsia="en-NZ"/>
              </w:rPr>
            </w:pPr>
            <w:r w:rsidRPr="003C043B">
              <w:rPr>
                <w:lang w:eastAsia="en-NZ"/>
              </w:rPr>
              <w:t>87</w:t>
            </w:r>
          </w:p>
        </w:tc>
      </w:tr>
      <w:tr w:rsidR="00000745" w:rsidRPr="003C043B" w:rsidTr="00964B9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rPr>
                <w:lang w:eastAsia="en-NZ"/>
              </w:rPr>
            </w:pPr>
            <w:r w:rsidRPr="003C043B">
              <w:rPr>
                <w:lang w:eastAsia="en-NZ"/>
              </w:rPr>
              <w:t>Use licence</w:t>
            </w:r>
          </w:p>
        </w:tc>
        <w:tc>
          <w:tcPr>
            <w:tcW w:w="212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1360"/>
              </w:tabs>
              <w:rPr>
                <w:lang w:eastAsia="en-NZ"/>
              </w:rPr>
            </w:pPr>
            <w:r w:rsidRPr="003C043B">
              <w:rPr>
                <w:lang w:eastAsia="en-NZ"/>
              </w:rPr>
              <w:t>$160,000</w:t>
            </w:r>
          </w:p>
        </w:tc>
        <w:tc>
          <w:tcPr>
            <w:tcW w:w="2124" w:type="dxa"/>
            <w:tcBorders>
              <w:top w:val="single" w:sz="4" w:space="0" w:color="A6A6A6" w:themeColor="background1" w:themeShade="A6"/>
              <w:bottom w:val="single" w:sz="4" w:space="0" w:color="A6A6A6" w:themeColor="background1" w:themeShade="A6"/>
            </w:tcBorders>
            <w:shd w:val="clear" w:color="auto" w:fill="auto"/>
            <w:noWrap/>
          </w:tcPr>
          <w:p w:rsidR="00000745" w:rsidRPr="003C043B" w:rsidRDefault="00000745" w:rsidP="00964B95">
            <w:pPr>
              <w:pStyle w:val="TableText"/>
              <w:tabs>
                <w:tab w:val="decimal" w:pos="1360"/>
              </w:tabs>
              <w:rPr>
                <w:lang w:eastAsia="en-NZ"/>
              </w:rPr>
            </w:pPr>
          </w:p>
        </w:tc>
        <w:tc>
          <w:tcPr>
            <w:tcW w:w="170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1224"/>
              </w:tabs>
              <w:rPr>
                <w:lang w:eastAsia="en-NZ"/>
              </w:rPr>
            </w:pPr>
            <w:r w:rsidRPr="003C043B">
              <w:rPr>
                <w:lang w:eastAsia="en-NZ"/>
              </w:rPr>
              <w:t>$160,000</w:t>
            </w:r>
          </w:p>
        </w:tc>
        <w:tc>
          <w:tcPr>
            <w:tcW w:w="127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738"/>
              </w:tabs>
              <w:rPr>
                <w:lang w:eastAsia="en-NZ"/>
              </w:rPr>
            </w:pPr>
            <w:r w:rsidRPr="003C043B">
              <w:rPr>
                <w:lang w:eastAsia="en-NZ"/>
              </w:rPr>
              <w:t>11</w:t>
            </w:r>
          </w:p>
        </w:tc>
      </w:tr>
      <w:tr w:rsidR="00000745" w:rsidRPr="003C043B" w:rsidTr="00964B95">
        <w:trPr>
          <w:cantSplit/>
        </w:trPr>
        <w:tc>
          <w:tcPr>
            <w:tcW w:w="2127"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rPr>
                <w:lang w:eastAsia="en-NZ"/>
              </w:rPr>
            </w:pPr>
            <w:r w:rsidRPr="003C043B">
              <w:rPr>
                <w:lang w:eastAsia="en-NZ"/>
              </w:rPr>
              <w:t>Consent</w:t>
            </w:r>
          </w:p>
        </w:tc>
        <w:tc>
          <w:tcPr>
            <w:tcW w:w="212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1360"/>
              </w:tabs>
              <w:rPr>
                <w:lang w:eastAsia="en-NZ"/>
              </w:rPr>
            </w:pPr>
            <w:r w:rsidRPr="003C043B">
              <w:rPr>
                <w:lang w:eastAsia="en-NZ"/>
              </w:rPr>
              <w:t>$30,000</w:t>
            </w:r>
          </w:p>
        </w:tc>
        <w:tc>
          <w:tcPr>
            <w:tcW w:w="2124" w:type="dxa"/>
            <w:tcBorders>
              <w:top w:val="single" w:sz="4" w:space="0" w:color="A6A6A6" w:themeColor="background1" w:themeShade="A6"/>
              <w:bottom w:val="single" w:sz="4" w:space="0" w:color="A6A6A6" w:themeColor="background1" w:themeShade="A6"/>
            </w:tcBorders>
            <w:shd w:val="clear" w:color="auto" w:fill="auto"/>
            <w:noWrap/>
          </w:tcPr>
          <w:p w:rsidR="00000745" w:rsidRPr="003C043B" w:rsidRDefault="00000745" w:rsidP="00964B95">
            <w:pPr>
              <w:pStyle w:val="TableText"/>
              <w:tabs>
                <w:tab w:val="decimal" w:pos="1360"/>
              </w:tabs>
              <w:rPr>
                <w:lang w:eastAsia="en-NZ"/>
              </w:rPr>
            </w:pPr>
          </w:p>
        </w:tc>
        <w:tc>
          <w:tcPr>
            <w:tcW w:w="170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1224"/>
              </w:tabs>
              <w:rPr>
                <w:lang w:eastAsia="en-NZ"/>
              </w:rPr>
            </w:pPr>
            <w:r w:rsidRPr="003C043B">
              <w:rPr>
                <w:lang w:eastAsia="en-NZ"/>
              </w:rPr>
              <w:t>$30,000</w:t>
            </w:r>
          </w:p>
        </w:tc>
        <w:tc>
          <w:tcPr>
            <w:tcW w:w="127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3C043B" w:rsidRDefault="00000745" w:rsidP="00964B95">
            <w:pPr>
              <w:pStyle w:val="TableText"/>
              <w:tabs>
                <w:tab w:val="decimal" w:pos="738"/>
              </w:tabs>
              <w:rPr>
                <w:lang w:eastAsia="en-NZ"/>
              </w:rPr>
            </w:pPr>
            <w:r w:rsidRPr="003C043B">
              <w:rPr>
                <w:lang w:eastAsia="en-NZ"/>
              </w:rPr>
              <w:t>2</w:t>
            </w:r>
          </w:p>
        </w:tc>
      </w:tr>
      <w:tr w:rsidR="00000745" w:rsidRPr="00964B95" w:rsidTr="00964B95">
        <w:trPr>
          <w:cantSplit/>
        </w:trPr>
        <w:tc>
          <w:tcPr>
            <w:tcW w:w="2127" w:type="dxa"/>
            <w:tcBorders>
              <w:top w:val="single" w:sz="4" w:space="0" w:color="A6A6A6" w:themeColor="background1" w:themeShade="A6"/>
            </w:tcBorders>
            <w:shd w:val="clear" w:color="auto" w:fill="auto"/>
            <w:noWrap/>
          </w:tcPr>
          <w:p w:rsidR="00000745" w:rsidRPr="00964B95" w:rsidRDefault="00000745" w:rsidP="00964B95">
            <w:pPr>
              <w:pStyle w:val="TableText"/>
              <w:rPr>
                <w:b/>
                <w:lang w:eastAsia="en-NZ"/>
              </w:rPr>
            </w:pPr>
          </w:p>
        </w:tc>
        <w:tc>
          <w:tcPr>
            <w:tcW w:w="2123" w:type="dxa"/>
            <w:tcBorders>
              <w:top w:val="single" w:sz="4" w:space="0" w:color="A6A6A6" w:themeColor="background1" w:themeShade="A6"/>
            </w:tcBorders>
            <w:shd w:val="clear" w:color="auto" w:fill="auto"/>
            <w:noWrap/>
          </w:tcPr>
          <w:p w:rsidR="00000745" w:rsidRPr="00964B95" w:rsidRDefault="00000745" w:rsidP="00964B95">
            <w:pPr>
              <w:pStyle w:val="TableText"/>
              <w:tabs>
                <w:tab w:val="decimal" w:pos="1360"/>
              </w:tabs>
              <w:rPr>
                <w:b/>
                <w:lang w:eastAsia="en-NZ"/>
              </w:rPr>
            </w:pPr>
          </w:p>
        </w:tc>
        <w:tc>
          <w:tcPr>
            <w:tcW w:w="2124" w:type="dxa"/>
            <w:tcBorders>
              <w:top w:val="single" w:sz="4" w:space="0" w:color="A6A6A6" w:themeColor="background1" w:themeShade="A6"/>
            </w:tcBorders>
            <w:shd w:val="clear" w:color="auto" w:fill="auto"/>
            <w:noWrap/>
          </w:tcPr>
          <w:p w:rsidR="00000745" w:rsidRPr="00964B95" w:rsidRDefault="00000745" w:rsidP="00964B95">
            <w:pPr>
              <w:pStyle w:val="TableText"/>
              <w:tabs>
                <w:tab w:val="decimal" w:pos="1360"/>
              </w:tabs>
              <w:rPr>
                <w:b/>
                <w:lang w:eastAsia="en-NZ"/>
              </w:rPr>
            </w:pPr>
          </w:p>
        </w:tc>
        <w:tc>
          <w:tcPr>
            <w:tcW w:w="1706" w:type="dxa"/>
            <w:tcBorders>
              <w:top w:val="single" w:sz="4" w:space="0" w:color="A6A6A6" w:themeColor="background1" w:themeShade="A6"/>
            </w:tcBorders>
            <w:shd w:val="clear" w:color="auto" w:fill="auto"/>
            <w:noWrap/>
            <w:hideMark/>
          </w:tcPr>
          <w:p w:rsidR="00000745" w:rsidRPr="00964B95" w:rsidRDefault="00000745" w:rsidP="00964B95">
            <w:pPr>
              <w:pStyle w:val="TableText"/>
              <w:tabs>
                <w:tab w:val="decimal" w:pos="1224"/>
              </w:tabs>
              <w:rPr>
                <w:b/>
                <w:lang w:eastAsia="en-NZ"/>
              </w:rPr>
            </w:pPr>
            <w:r w:rsidRPr="00964B95">
              <w:rPr>
                <w:b/>
                <w:lang w:eastAsia="en-NZ"/>
              </w:rPr>
              <w:t>$1,437,700</w:t>
            </w:r>
          </w:p>
        </w:tc>
        <w:tc>
          <w:tcPr>
            <w:tcW w:w="1276" w:type="dxa"/>
            <w:tcBorders>
              <w:top w:val="single" w:sz="4" w:space="0" w:color="A6A6A6" w:themeColor="background1" w:themeShade="A6"/>
            </w:tcBorders>
            <w:shd w:val="clear" w:color="auto" w:fill="auto"/>
            <w:noWrap/>
            <w:hideMark/>
          </w:tcPr>
          <w:p w:rsidR="00000745" w:rsidRPr="00964B95" w:rsidRDefault="00000745" w:rsidP="00964B95">
            <w:pPr>
              <w:pStyle w:val="TableText"/>
              <w:tabs>
                <w:tab w:val="decimal" w:pos="738"/>
              </w:tabs>
              <w:rPr>
                <w:b/>
                <w:lang w:eastAsia="en-NZ"/>
              </w:rPr>
            </w:pPr>
            <w:r w:rsidRPr="00964B95">
              <w:rPr>
                <w:b/>
                <w:lang w:eastAsia="en-NZ"/>
              </w:rPr>
              <w:t>100</w:t>
            </w:r>
          </w:p>
        </w:tc>
      </w:tr>
    </w:tbl>
    <w:p w:rsidR="00000745" w:rsidRDefault="00000745" w:rsidP="00964B95"/>
    <w:p w:rsidR="00000745" w:rsidRPr="00346F17" w:rsidRDefault="00000745" w:rsidP="00964B95">
      <w:pPr>
        <w:pStyle w:val="Heading3"/>
      </w:pPr>
      <w:r>
        <w:t>Alternative option</w:t>
      </w:r>
    </w:p>
    <w:p w:rsidR="00823DC8" w:rsidRDefault="00000745" w:rsidP="00663689">
      <w:pPr>
        <w:keepNext/>
      </w:pPr>
      <w:r w:rsidRPr="00897552">
        <w:t>The preferred option proposes fees based on the expected costs associated with each authorisation type.</w:t>
      </w:r>
      <w:r>
        <w:t xml:space="preserve"> Any viable </w:t>
      </w:r>
      <w:r w:rsidRPr="00CD5E89">
        <w:t xml:space="preserve">alternative option will need to justify the subsidisation of costs incurred in one </w:t>
      </w:r>
      <w:r>
        <w:t>authorisation type</w:t>
      </w:r>
      <w:r w:rsidRPr="00CD5E89">
        <w:t xml:space="preserve"> by </w:t>
      </w:r>
      <w:r>
        <w:t>fees recovered from another</w:t>
      </w:r>
      <w:r w:rsidRPr="00CD5E89">
        <w:t>.</w:t>
      </w:r>
      <w:r>
        <w:t xml:space="preserve"> </w:t>
      </w:r>
      <w:r w:rsidRPr="00CD5E89">
        <w:t>The Ministry of Health is not aware of such a justification.</w:t>
      </w:r>
    </w:p>
    <w:p w:rsidR="00000745" w:rsidRDefault="00000745" w:rsidP="00663689">
      <w:pPr>
        <w:keepNext/>
      </w:pPr>
    </w:p>
    <w:p w:rsidR="00000745" w:rsidRPr="001B7CE8" w:rsidRDefault="00000745" w:rsidP="00964B95">
      <w:pPr>
        <w:pStyle w:val="BoxHeading"/>
        <w:keepNext/>
      </w:pPr>
      <w:r w:rsidRPr="001B7CE8">
        <w:t>Consultation questions</w:t>
      </w:r>
    </w:p>
    <w:p w:rsidR="00823DC8" w:rsidRDefault="00964B95" w:rsidP="00964B95">
      <w:pPr>
        <w:pStyle w:val="Box"/>
        <w:ind w:left="851" w:hanging="567"/>
      </w:pPr>
      <w:r>
        <w:t>17.</w:t>
      </w:r>
      <w:r>
        <w:tab/>
      </w:r>
      <w:r w:rsidR="00000745" w:rsidRPr="00411702">
        <w:t>D</w:t>
      </w:r>
      <w:r w:rsidR="00000745">
        <w:t xml:space="preserve">o you think </w:t>
      </w:r>
      <w:r w:rsidR="00000745" w:rsidRPr="00411702">
        <w:t xml:space="preserve">the </w:t>
      </w:r>
      <w:r w:rsidR="00000745">
        <w:t>preferred distribution</w:t>
      </w:r>
      <w:r w:rsidR="00000745" w:rsidRPr="00411702">
        <w:t xml:space="preserve"> of fees across source licences, use licences and consents is </w:t>
      </w:r>
      <w:r w:rsidR="00000745">
        <w:t>justified</w:t>
      </w:r>
      <w:r w:rsidR="00000745" w:rsidRPr="00411702">
        <w:t>?</w:t>
      </w:r>
    </w:p>
    <w:p w:rsidR="00823DC8" w:rsidRDefault="00964B95" w:rsidP="00964B95">
      <w:pPr>
        <w:pStyle w:val="Box"/>
        <w:ind w:left="851" w:hanging="567"/>
      </w:pPr>
      <w:r>
        <w:t>18.</w:t>
      </w:r>
      <w:r>
        <w:tab/>
      </w:r>
      <w:r w:rsidR="00000745">
        <w:t xml:space="preserve">If </w:t>
      </w:r>
      <w:r w:rsidR="00000745" w:rsidRPr="003D310D">
        <w:t xml:space="preserve">you think </w:t>
      </w:r>
      <w:r w:rsidR="00000745">
        <w:t>the preferred distribution</w:t>
      </w:r>
      <w:r w:rsidR="00000745" w:rsidRPr="003D310D">
        <w:t xml:space="preserve"> of fees </w:t>
      </w:r>
      <w:r w:rsidR="00000745">
        <w:t>is not justified, please suggest an alternative. Please provide a justification for your option.</w:t>
      </w:r>
    </w:p>
    <w:p w:rsidR="00823DC8" w:rsidRDefault="00964B95" w:rsidP="00964B95">
      <w:pPr>
        <w:pStyle w:val="Box"/>
        <w:ind w:left="851" w:hanging="567"/>
      </w:pPr>
      <w:r>
        <w:t>19.</w:t>
      </w:r>
      <w:r>
        <w:tab/>
      </w:r>
      <w:r w:rsidR="00000745">
        <w:t>Do you have any further comments, suggestions or alternative options?</w:t>
      </w:r>
    </w:p>
    <w:p w:rsidR="00000745" w:rsidRDefault="00000745" w:rsidP="00964B95">
      <w:pPr>
        <w:pStyle w:val="Box"/>
        <w:rPr>
          <w:rFonts w:cs="Arial"/>
        </w:rPr>
      </w:pPr>
      <w:r>
        <w:t xml:space="preserve">Please use the </w:t>
      </w:r>
      <w:r w:rsidR="00F810AB">
        <w:t>submission form</w:t>
      </w:r>
      <w:r>
        <w:t xml:space="preserve"> to respond to these questions.</w:t>
      </w:r>
    </w:p>
    <w:p w:rsidR="00000745" w:rsidRPr="009E2A1C" w:rsidRDefault="00000745" w:rsidP="00964B95"/>
    <w:p w:rsidR="00000745" w:rsidRPr="009E2A1C" w:rsidRDefault="00000745" w:rsidP="00964B95">
      <w:pPr>
        <w:pStyle w:val="Heading2"/>
      </w:pPr>
      <w:bookmarkStart w:id="33" w:name="_Toc449001272"/>
      <w:bookmarkStart w:id="34" w:name="_Toc450059032"/>
      <w:r>
        <w:lastRenderedPageBreak/>
        <w:t>(e)</w:t>
      </w:r>
      <w:r w:rsidR="00964B95">
        <w:tab/>
      </w:r>
      <w:r>
        <w:t>Proposed s</w:t>
      </w:r>
      <w:r w:rsidRPr="009E2A1C">
        <w:t>ource licence fees</w:t>
      </w:r>
      <w:r>
        <w:t xml:space="preserve"> and </w:t>
      </w:r>
      <w:r w:rsidR="00823DC8">
        <w:t>‘</w:t>
      </w:r>
      <w:r>
        <w:t>compliance verification entities</w:t>
      </w:r>
      <w:r w:rsidR="00823DC8">
        <w:t>’</w:t>
      </w:r>
      <w:bookmarkEnd w:id="33"/>
      <w:bookmarkEnd w:id="34"/>
    </w:p>
    <w:p w:rsidR="00000745" w:rsidRPr="00DA06FD" w:rsidRDefault="00000745" w:rsidP="00964B95">
      <w:pPr>
        <w:pStyle w:val="Heading3"/>
      </w:pPr>
      <w:r w:rsidRPr="00DA06FD">
        <w:t>Background</w:t>
      </w:r>
    </w:p>
    <w:p w:rsidR="00823DC8" w:rsidRDefault="00000745" w:rsidP="00964B95">
      <w:r w:rsidRPr="000E0A9F">
        <w:t xml:space="preserve">The risks associated with each </w:t>
      </w:r>
      <w:r w:rsidRPr="001B7CE8">
        <w:t>radiation source</w:t>
      </w:r>
      <w:r w:rsidRPr="000E0A9F">
        <w:t xml:space="preserve"> vary considerably</w:t>
      </w:r>
      <w:r>
        <w:t>. This risk is reflected in</w:t>
      </w:r>
      <w:r w:rsidRPr="000E0A9F">
        <w:t xml:space="preserve"> the frequency of </w:t>
      </w:r>
      <w:r w:rsidRPr="00FD1D0B">
        <w:t>compliance verification</w:t>
      </w:r>
      <w:r>
        <w:t xml:space="preserve"> activities associated with each radiation source</w:t>
      </w:r>
      <w:r w:rsidRPr="000E0A9F">
        <w:t>.</w:t>
      </w:r>
      <w:r>
        <w:t xml:space="preserve"> As a result, the costs of compliance verification are closely related to the frequency of compliance verification activities.</w:t>
      </w:r>
    </w:p>
    <w:p w:rsidR="00000745" w:rsidRDefault="00000745" w:rsidP="00964B95"/>
    <w:p w:rsidR="00823DC8" w:rsidRDefault="00000745" w:rsidP="00964B95">
      <w:r>
        <w:t xml:space="preserve">Therefore, we propose that </w:t>
      </w:r>
      <w:r w:rsidRPr="001B7CE8">
        <w:t>source licence</w:t>
      </w:r>
      <w:r>
        <w:t xml:space="preserve"> fees be set to reflect the frequency of compliance verification activities associated with the sources being licensed. T</w:t>
      </w:r>
      <w:r w:rsidRPr="00A90D49">
        <w:t xml:space="preserve">he frequency of </w:t>
      </w:r>
      <w:r>
        <w:t>compliance</w:t>
      </w:r>
      <w:r w:rsidRPr="00A90D49">
        <w:t xml:space="preserve"> verification under the </w:t>
      </w:r>
      <w:r>
        <w:t>Act</w:t>
      </w:r>
      <w:r w:rsidRPr="00A90D49">
        <w:t xml:space="preserve"> will be </w:t>
      </w:r>
      <w:r>
        <w:t>unchanged from</w:t>
      </w:r>
      <w:r w:rsidRPr="00A90D49">
        <w:t xml:space="preserve"> the frequency of audits under the current radiation protection framework.</w:t>
      </w:r>
      <w:r>
        <w:t xml:space="preserve"> These frequencies are set out in Table 5.</w:t>
      </w:r>
    </w:p>
    <w:p w:rsidR="00000745" w:rsidRDefault="00000745" w:rsidP="00964B95"/>
    <w:p w:rsidR="00000745" w:rsidRPr="00964B95" w:rsidRDefault="00000745" w:rsidP="00964B95">
      <w:pPr>
        <w:pStyle w:val="Table"/>
      </w:pPr>
      <w:bookmarkStart w:id="35" w:name="_Toc450059063"/>
      <w:r w:rsidRPr="001B7CE8">
        <w:t>Table 5: Frequency of current and expected compliance verification inspections</w:t>
      </w:r>
      <w:bookmarkEnd w:id="3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6946"/>
      </w:tblGrid>
      <w:tr w:rsidR="00000745" w:rsidRPr="00964B95" w:rsidTr="00994D19">
        <w:trPr>
          <w:cantSplit/>
          <w:tblHeader/>
        </w:trPr>
        <w:tc>
          <w:tcPr>
            <w:tcW w:w="2410" w:type="dxa"/>
            <w:tcBorders>
              <w:top w:val="single" w:sz="4" w:space="0" w:color="auto"/>
              <w:bottom w:val="single" w:sz="4" w:space="0" w:color="auto"/>
            </w:tcBorders>
            <w:shd w:val="clear" w:color="auto" w:fill="auto"/>
            <w:noWrap/>
            <w:hideMark/>
          </w:tcPr>
          <w:p w:rsidR="00000745" w:rsidRPr="00964B95" w:rsidRDefault="00000745" w:rsidP="00994D19">
            <w:pPr>
              <w:pStyle w:val="TableText"/>
              <w:ind w:right="142"/>
              <w:jc w:val="center"/>
              <w:rPr>
                <w:b/>
                <w:lang w:eastAsia="en-NZ"/>
              </w:rPr>
            </w:pPr>
            <w:r w:rsidRPr="00964B95">
              <w:rPr>
                <w:b/>
                <w:lang w:eastAsia="en-NZ"/>
              </w:rPr>
              <w:t>Compliance verification frequency (years)</w:t>
            </w:r>
          </w:p>
        </w:tc>
        <w:tc>
          <w:tcPr>
            <w:tcW w:w="6946" w:type="dxa"/>
            <w:tcBorders>
              <w:top w:val="single" w:sz="4" w:space="0" w:color="auto"/>
              <w:bottom w:val="single" w:sz="4" w:space="0" w:color="auto"/>
            </w:tcBorders>
            <w:shd w:val="clear" w:color="auto" w:fill="auto"/>
            <w:noWrap/>
            <w:hideMark/>
          </w:tcPr>
          <w:p w:rsidR="00000745" w:rsidRPr="00964B95" w:rsidRDefault="00000745" w:rsidP="00964B95">
            <w:pPr>
              <w:pStyle w:val="TableText"/>
              <w:rPr>
                <w:b/>
                <w:lang w:eastAsia="en-NZ"/>
              </w:rPr>
            </w:pPr>
            <w:r w:rsidRPr="00964B95">
              <w:rPr>
                <w:b/>
                <w:lang w:eastAsia="en-NZ"/>
              </w:rPr>
              <w:t>Compliance verification entities</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Industrial irradiators</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Research irradiators</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External beam radiotherapy (includes high-dose rate where applicable)</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Intraoperative radiotherapy</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Blood irradiators</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Industrial radiography</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Cyclotrons</w:t>
            </w:r>
          </w:p>
        </w:tc>
      </w:tr>
      <w:tr w:rsidR="00000745" w:rsidRPr="00C4364C" w:rsidTr="00994D19">
        <w:trPr>
          <w:cantSplit/>
        </w:trPr>
        <w:tc>
          <w:tcPr>
            <w:tcW w:w="2410" w:type="dxa"/>
            <w:tcBorders>
              <w:bottom w:val="single" w:sz="4" w:space="0" w:color="A6A6A6" w:themeColor="background1" w:themeShade="A6"/>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1</w:t>
            </w:r>
          </w:p>
        </w:tc>
        <w:tc>
          <w:tcPr>
            <w:tcW w:w="6946" w:type="dxa"/>
            <w:tcBorders>
              <w:bottom w:val="single" w:sz="4" w:space="0" w:color="A6A6A6" w:themeColor="background1" w:themeShade="A6"/>
            </w:tcBorders>
            <w:shd w:val="clear" w:color="auto" w:fill="auto"/>
            <w:noWrap/>
            <w:hideMark/>
          </w:tcPr>
          <w:p w:rsidR="00000745" w:rsidRPr="00C4364C" w:rsidRDefault="00000745" w:rsidP="00964B95">
            <w:pPr>
              <w:pStyle w:val="TableText"/>
              <w:rPr>
                <w:lang w:eastAsia="en-NZ"/>
              </w:rPr>
            </w:pPr>
            <w:r w:rsidRPr="00C4364C">
              <w:rPr>
                <w:lang w:eastAsia="en-NZ"/>
              </w:rPr>
              <w:t>Storage of nuclear material</w:t>
            </w:r>
          </w:p>
        </w:tc>
      </w:tr>
      <w:tr w:rsidR="00000745" w:rsidRPr="00C4364C" w:rsidTr="00994D19">
        <w:trPr>
          <w:cantSplit/>
        </w:trPr>
        <w:tc>
          <w:tcPr>
            <w:tcW w:w="2410" w:type="dxa"/>
            <w:tcBorders>
              <w:top w:val="single" w:sz="4" w:space="0" w:color="A6A6A6" w:themeColor="background1" w:themeShade="A6"/>
              <w:bottom w:val="nil"/>
            </w:tcBorders>
            <w:shd w:val="clear" w:color="auto" w:fill="auto"/>
            <w:noWrap/>
            <w:hideMark/>
          </w:tcPr>
          <w:p w:rsidR="00000745" w:rsidRPr="00C4364C" w:rsidRDefault="00000745" w:rsidP="00663689">
            <w:pPr>
              <w:pStyle w:val="TableText"/>
              <w:keepNext/>
              <w:ind w:right="142"/>
              <w:jc w:val="center"/>
              <w:rPr>
                <w:lang w:eastAsia="en-NZ"/>
              </w:rPr>
            </w:pPr>
            <w:r w:rsidRPr="00C4364C">
              <w:rPr>
                <w:lang w:eastAsia="en-NZ"/>
              </w:rPr>
              <w:t>2</w:t>
            </w:r>
          </w:p>
        </w:tc>
        <w:tc>
          <w:tcPr>
            <w:tcW w:w="6946" w:type="dxa"/>
            <w:tcBorders>
              <w:top w:val="single" w:sz="4" w:space="0" w:color="A6A6A6" w:themeColor="background1" w:themeShade="A6"/>
              <w:bottom w:val="nil"/>
            </w:tcBorders>
            <w:shd w:val="clear" w:color="auto" w:fill="auto"/>
            <w:noWrap/>
            <w:hideMark/>
          </w:tcPr>
          <w:p w:rsidR="00000745" w:rsidRPr="00C4364C" w:rsidRDefault="00000745" w:rsidP="00663689">
            <w:pPr>
              <w:pStyle w:val="TableText"/>
              <w:keepNext/>
              <w:rPr>
                <w:lang w:eastAsia="en-NZ"/>
              </w:rPr>
            </w:pPr>
            <w:r w:rsidRPr="00C4364C">
              <w:rPr>
                <w:lang w:eastAsia="en-NZ"/>
              </w:rPr>
              <w:t>Waste conditioning</w:t>
            </w:r>
          </w:p>
        </w:tc>
      </w:tr>
      <w:tr w:rsidR="00000745" w:rsidRPr="00C4364C" w:rsidTr="00994D19">
        <w:trPr>
          <w:cantSplit/>
        </w:trPr>
        <w:tc>
          <w:tcPr>
            <w:tcW w:w="2410" w:type="dxa"/>
            <w:tcBorders>
              <w:top w:val="nil"/>
              <w:bottom w:val="nil"/>
            </w:tcBorders>
            <w:shd w:val="clear" w:color="auto" w:fill="auto"/>
            <w:noWrap/>
            <w:hideMark/>
          </w:tcPr>
          <w:p w:rsidR="00000745" w:rsidRPr="00C4364C" w:rsidRDefault="00000745" w:rsidP="00663689">
            <w:pPr>
              <w:pStyle w:val="TableText"/>
              <w:keepNext/>
              <w:ind w:right="142"/>
              <w:jc w:val="center"/>
              <w:rPr>
                <w:lang w:eastAsia="en-NZ"/>
              </w:rPr>
            </w:pPr>
            <w:r w:rsidRPr="00C4364C">
              <w:rPr>
                <w:lang w:eastAsia="en-NZ"/>
              </w:rPr>
              <w:t>2</w:t>
            </w:r>
          </w:p>
        </w:tc>
        <w:tc>
          <w:tcPr>
            <w:tcW w:w="6946" w:type="dxa"/>
            <w:tcBorders>
              <w:top w:val="nil"/>
              <w:bottom w:val="nil"/>
            </w:tcBorders>
            <w:shd w:val="clear" w:color="auto" w:fill="auto"/>
            <w:noWrap/>
            <w:hideMark/>
          </w:tcPr>
          <w:p w:rsidR="00000745" w:rsidRPr="00C4364C" w:rsidRDefault="00000745" w:rsidP="00663689">
            <w:pPr>
              <w:pStyle w:val="TableText"/>
              <w:keepNext/>
              <w:rPr>
                <w:lang w:eastAsia="en-NZ"/>
              </w:rPr>
            </w:pPr>
            <w:r w:rsidRPr="00C4364C">
              <w:rPr>
                <w:lang w:eastAsia="en-NZ"/>
              </w:rPr>
              <w:t>Industrial radiography (no source)</w:t>
            </w:r>
          </w:p>
        </w:tc>
      </w:tr>
      <w:tr w:rsidR="00000745" w:rsidRPr="00C4364C" w:rsidTr="00994D19">
        <w:trPr>
          <w:cantSplit/>
        </w:trPr>
        <w:tc>
          <w:tcPr>
            <w:tcW w:w="2410" w:type="dxa"/>
            <w:tcBorders>
              <w:top w:val="nil"/>
              <w:bottom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2</w:t>
            </w:r>
          </w:p>
        </w:tc>
        <w:tc>
          <w:tcPr>
            <w:tcW w:w="6946" w:type="dxa"/>
            <w:tcBorders>
              <w:top w:val="nil"/>
              <w:bottom w:val="nil"/>
            </w:tcBorders>
            <w:shd w:val="clear" w:color="auto" w:fill="auto"/>
            <w:noWrap/>
            <w:hideMark/>
          </w:tcPr>
          <w:p w:rsidR="00000745" w:rsidRPr="00C4364C" w:rsidRDefault="00000745" w:rsidP="00964B95">
            <w:pPr>
              <w:pStyle w:val="TableText"/>
              <w:rPr>
                <w:lang w:eastAsia="en-NZ"/>
              </w:rPr>
            </w:pPr>
            <w:r w:rsidRPr="00C4364C">
              <w:rPr>
                <w:lang w:eastAsia="en-NZ"/>
              </w:rPr>
              <w:t>Industrial gauges (</w:t>
            </w:r>
            <w:r w:rsidRPr="00964B95">
              <w:rPr>
                <w:b/>
                <w:lang w:eastAsia="en-NZ"/>
              </w:rPr>
              <w:t>IAEA</w:t>
            </w:r>
            <w:r w:rsidRPr="00C4364C">
              <w:rPr>
                <w:lang w:eastAsia="en-NZ"/>
              </w:rPr>
              <w:t xml:space="preserve"> categor</w:t>
            </w:r>
            <w:r>
              <w:rPr>
                <w:lang w:eastAsia="en-NZ"/>
              </w:rPr>
              <w:t>ies</w:t>
            </w:r>
            <w:r w:rsidRPr="00C4364C">
              <w:rPr>
                <w:lang w:eastAsia="en-NZ"/>
              </w:rPr>
              <w:t xml:space="preserve"> 1,</w:t>
            </w:r>
            <w:r>
              <w:rPr>
                <w:lang w:eastAsia="en-NZ"/>
              </w:rPr>
              <w:t xml:space="preserve"> </w:t>
            </w:r>
            <w:r w:rsidRPr="00C4364C">
              <w:rPr>
                <w:lang w:eastAsia="en-NZ"/>
              </w:rPr>
              <w:t>2 and 3</w:t>
            </w:r>
            <w:r w:rsidRPr="00964B95">
              <w:rPr>
                <w:rStyle w:val="FootnoteReference"/>
              </w:rPr>
              <w:footnoteReference w:id="3"/>
            </w:r>
            <w:r w:rsidRPr="00C4364C">
              <w:rPr>
                <w:lang w:eastAsia="en-NZ"/>
              </w:rPr>
              <w:t>) and well logging</w:t>
            </w:r>
          </w:p>
        </w:tc>
      </w:tr>
      <w:tr w:rsidR="00000745" w:rsidRPr="00C4364C" w:rsidTr="00994D19">
        <w:trPr>
          <w:cantSplit/>
        </w:trPr>
        <w:tc>
          <w:tcPr>
            <w:tcW w:w="2410" w:type="dxa"/>
            <w:tcBorders>
              <w:top w:val="nil"/>
              <w:bottom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2</w:t>
            </w:r>
          </w:p>
        </w:tc>
        <w:tc>
          <w:tcPr>
            <w:tcW w:w="6946" w:type="dxa"/>
            <w:tcBorders>
              <w:top w:val="nil"/>
              <w:bottom w:val="nil"/>
            </w:tcBorders>
            <w:shd w:val="clear" w:color="auto" w:fill="auto"/>
            <w:noWrap/>
            <w:hideMark/>
          </w:tcPr>
          <w:p w:rsidR="00000745" w:rsidRPr="00C4364C" w:rsidRDefault="00000745" w:rsidP="00964B95">
            <w:pPr>
              <w:pStyle w:val="TableText"/>
              <w:rPr>
                <w:lang w:eastAsia="en-NZ"/>
              </w:rPr>
            </w:pPr>
            <w:r w:rsidRPr="00C4364C">
              <w:rPr>
                <w:lang w:eastAsia="en-NZ"/>
              </w:rPr>
              <w:t>Security scanners using</w:t>
            </w:r>
            <w:r w:rsidR="00823DC8">
              <w:rPr>
                <w:lang w:eastAsia="en-NZ"/>
              </w:rPr>
              <w:t xml:space="preserve"> </w:t>
            </w:r>
            <w:r>
              <w:rPr>
                <w:lang w:eastAsia="en-NZ"/>
              </w:rPr>
              <w:t>linear accelerators</w:t>
            </w:r>
          </w:p>
        </w:tc>
      </w:tr>
      <w:tr w:rsidR="00000745" w:rsidRPr="00C4364C" w:rsidTr="00994D19">
        <w:trPr>
          <w:cantSplit/>
        </w:trPr>
        <w:tc>
          <w:tcPr>
            <w:tcW w:w="2410" w:type="dxa"/>
            <w:tcBorders>
              <w:top w:val="nil"/>
              <w:bottom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2</w:t>
            </w:r>
          </w:p>
        </w:tc>
        <w:tc>
          <w:tcPr>
            <w:tcW w:w="6946" w:type="dxa"/>
            <w:tcBorders>
              <w:top w:val="nil"/>
              <w:bottom w:val="nil"/>
            </w:tcBorders>
            <w:shd w:val="clear" w:color="auto" w:fill="auto"/>
            <w:noWrap/>
            <w:hideMark/>
          </w:tcPr>
          <w:p w:rsidR="00000745" w:rsidRPr="00C4364C" w:rsidRDefault="00000745" w:rsidP="00964B95">
            <w:pPr>
              <w:pStyle w:val="TableText"/>
              <w:rPr>
                <w:lang w:eastAsia="en-NZ"/>
              </w:rPr>
            </w:pPr>
            <w:r w:rsidRPr="00C4364C">
              <w:rPr>
                <w:lang w:eastAsia="en-NZ"/>
              </w:rPr>
              <w:t>Nuclear medicine</w:t>
            </w:r>
          </w:p>
        </w:tc>
      </w:tr>
      <w:tr w:rsidR="00000745" w:rsidRPr="00C4364C" w:rsidTr="00994D19">
        <w:trPr>
          <w:cantSplit/>
        </w:trPr>
        <w:tc>
          <w:tcPr>
            <w:tcW w:w="2410" w:type="dxa"/>
            <w:tcBorders>
              <w:top w:val="nil"/>
              <w:bottom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2</w:t>
            </w:r>
          </w:p>
        </w:tc>
        <w:tc>
          <w:tcPr>
            <w:tcW w:w="6946" w:type="dxa"/>
            <w:tcBorders>
              <w:top w:val="nil"/>
              <w:bottom w:val="nil"/>
            </w:tcBorders>
            <w:shd w:val="clear" w:color="auto" w:fill="auto"/>
            <w:noWrap/>
            <w:hideMark/>
          </w:tcPr>
          <w:p w:rsidR="00000745" w:rsidRPr="00C4364C" w:rsidRDefault="00964B95" w:rsidP="00964B95">
            <w:pPr>
              <w:pStyle w:val="TableText"/>
              <w:rPr>
                <w:lang w:eastAsia="en-NZ"/>
              </w:rPr>
            </w:pPr>
            <w:r>
              <w:rPr>
                <w:lang w:eastAsia="en-NZ"/>
              </w:rPr>
              <w:t>Complex radiology</w:t>
            </w:r>
          </w:p>
        </w:tc>
      </w:tr>
      <w:tr w:rsidR="00000745" w:rsidRPr="00C4364C" w:rsidTr="00994D19">
        <w:trPr>
          <w:cantSplit/>
        </w:trPr>
        <w:tc>
          <w:tcPr>
            <w:tcW w:w="2410" w:type="dxa"/>
            <w:tcBorders>
              <w:top w:val="nil"/>
              <w:bottom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2</w:t>
            </w:r>
          </w:p>
        </w:tc>
        <w:tc>
          <w:tcPr>
            <w:tcW w:w="6946" w:type="dxa"/>
            <w:tcBorders>
              <w:top w:val="nil"/>
              <w:bottom w:val="nil"/>
            </w:tcBorders>
            <w:shd w:val="clear" w:color="auto" w:fill="auto"/>
            <w:noWrap/>
            <w:hideMark/>
          </w:tcPr>
          <w:p w:rsidR="00000745" w:rsidRPr="00C4364C" w:rsidRDefault="00000745" w:rsidP="00964B95">
            <w:pPr>
              <w:pStyle w:val="TableText"/>
              <w:rPr>
                <w:lang w:eastAsia="en-NZ"/>
              </w:rPr>
            </w:pPr>
            <w:r w:rsidRPr="00C4364C">
              <w:rPr>
                <w:lang w:eastAsia="en-NZ"/>
              </w:rPr>
              <w:t>Industrial laboratories and Crown Research Institutes</w:t>
            </w:r>
          </w:p>
        </w:tc>
      </w:tr>
      <w:tr w:rsidR="00000745" w:rsidRPr="00C4364C" w:rsidTr="00994D19">
        <w:trPr>
          <w:cantSplit/>
        </w:trPr>
        <w:tc>
          <w:tcPr>
            <w:tcW w:w="2410" w:type="dxa"/>
            <w:tcBorders>
              <w:top w:val="nil"/>
              <w:bottom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2</w:t>
            </w:r>
          </w:p>
        </w:tc>
        <w:tc>
          <w:tcPr>
            <w:tcW w:w="6946" w:type="dxa"/>
            <w:tcBorders>
              <w:top w:val="nil"/>
              <w:bottom w:val="nil"/>
            </w:tcBorders>
            <w:shd w:val="clear" w:color="auto" w:fill="auto"/>
            <w:noWrap/>
            <w:hideMark/>
          </w:tcPr>
          <w:p w:rsidR="00000745" w:rsidRPr="00C4364C" w:rsidRDefault="00000745" w:rsidP="00964B95">
            <w:pPr>
              <w:pStyle w:val="TableText"/>
              <w:rPr>
                <w:lang w:eastAsia="en-NZ"/>
              </w:rPr>
            </w:pPr>
            <w:r w:rsidRPr="00C4364C">
              <w:rPr>
                <w:lang w:eastAsia="en-NZ"/>
              </w:rPr>
              <w:t>Universities</w:t>
            </w:r>
          </w:p>
        </w:tc>
      </w:tr>
      <w:tr w:rsidR="00000745" w:rsidRPr="00C4364C" w:rsidTr="00994D19">
        <w:trPr>
          <w:cantSplit/>
        </w:trPr>
        <w:tc>
          <w:tcPr>
            <w:tcW w:w="2410" w:type="dxa"/>
            <w:tcBorders>
              <w:top w:val="nil"/>
              <w:bottom w:val="single" w:sz="4" w:space="0" w:color="A6A6A6" w:themeColor="background1" w:themeShade="A6"/>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2</w:t>
            </w:r>
          </w:p>
        </w:tc>
        <w:tc>
          <w:tcPr>
            <w:tcW w:w="6946" w:type="dxa"/>
            <w:tcBorders>
              <w:top w:val="nil"/>
              <w:bottom w:val="single" w:sz="4" w:space="0" w:color="A6A6A6" w:themeColor="background1" w:themeShade="A6"/>
            </w:tcBorders>
            <w:shd w:val="clear" w:color="auto" w:fill="auto"/>
            <w:noWrap/>
            <w:hideMark/>
          </w:tcPr>
          <w:p w:rsidR="00000745" w:rsidRPr="00C4364C" w:rsidRDefault="00000745" w:rsidP="00964B95">
            <w:pPr>
              <w:pStyle w:val="TableText"/>
              <w:rPr>
                <w:lang w:eastAsia="en-NZ"/>
              </w:rPr>
            </w:pPr>
            <w:r w:rsidRPr="00C4364C">
              <w:rPr>
                <w:lang w:eastAsia="en-NZ"/>
              </w:rPr>
              <w:t>Vets using unsealed radioactive material</w:t>
            </w:r>
          </w:p>
        </w:tc>
      </w:tr>
      <w:tr w:rsidR="00000745" w:rsidRPr="00C4364C" w:rsidTr="00994D19">
        <w:trPr>
          <w:cantSplit/>
        </w:trPr>
        <w:tc>
          <w:tcPr>
            <w:tcW w:w="2410" w:type="dxa"/>
            <w:tcBorders>
              <w:top w:val="single" w:sz="4" w:space="0" w:color="A6A6A6" w:themeColor="background1" w:themeShade="A6"/>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3</w:t>
            </w:r>
          </w:p>
        </w:tc>
        <w:tc>
          <w:tcPr>
            <w:tcW w:w="6946" w:type="dxa"/>
            <w:tcBorders>
              <w:top w:val="single" w:sz="4" w:space="0" w:color="A6A6A6" w:themeColor="background1" w:themeShade="A6"/>
            </w:tcBorders>
            <w:shd w:val="clear" w:color="auto" w:fill="auto"/>
            <w:noWrap/>
            <w:hideMark/>
          </w:tcPr>
          <w:p w:rsidR="00000745" w:rsidRPr="00C4364C" w:rsidRDefault="00000745" w:rsidP="00964B95">
            <w:pPr>
              <w:pStyle w:val="TableText"/>
              <w:rPr>
                <w:lang w:eastAsia="en-NZ"/>
              </w:rPr>
            </w:pPr>
            <w:r w:rsidRPr="00C4364C">
              <w:rPr>
                <w:lang w:eastAsia="en-NZ"/>
              </w:rPr>
              <w:t xml:space="preserve">Industrial processing using </w:t>
            </w:r>
            <w:r>
              <w:rPr>
                <w:lang w:eastAsia="en-NZ"/>
              </w:rPr>
              <w:t>linear accelerators</w:t>
            </w:r>
          </w:p>
        </w:tc>
      </w:tr>
      <w:tr w:rsidR="00000745" w:rsidRPr="00C4364C" w:rsidTr="00994D19">
        <w:trPr>
          <w:cantSplit/>
        </w:trPr>
        <w:tc>
          <w:tcPr>
            <w:tcW w:w="2410" w:type="dxa"/>
            <w:tcBorders>
              <w:bottom w:val="single" w:sz="4" w:space="0" w:color="A6A6A6" w:themeColor="background1" w:themeShade="A6"/>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3</w:t>
            </w:r>
          </w:p>
        </w:tc>
        <w:tc>
          <w:tcPr>
            <w:tcW w:w="6946" w:type="dxa"/>
            <w:tcBorders>
              <w:bottom w:val="single" w:sz="4" w:space="0" w:color="A6A6A6" w:themeColor="background1" w:themeShade="A6"/>
            </w:tcBorders>
            <w:shd w:val="clear" w:color="auto" w:fill="auto"/>
            <w:noWrap/>
            <w:hideMark/>
          </w:tcPr>
          <w:p w:rsidR="00000745" w:rsidRPr="00C4364C" w:rsidRDefault="00000745" w:rsidP="00964B95">
            <w:pPr>
              <w:pStyle w:val="TableText"/>
              <w:rPr>
                <w:lang w:eastAsia="en-NZ"/>
              </w:rPr>
            </w:pPr>
            <w:r w:rsidRPr="00C4364C">
              <w:rPr>
                <w:lang w:eastAsia="en-NZ"/>
              </w:rPr>
              <w:t>Nuclear density meters</w:t>
            </w:r>
          </w:p>
        </w:tc>
      </w:tr>
      <w:tr w:rsidR="00000745" w:rsidRPr="00C4364C" w:rsidTr="00994D19">
        <w:trPr>
          <w:cantSplit/>
        </w:trPr>
        <w:tc>
          <w:tcPr>
            <w:tcW w:w="2410" w:type="dxa"/>
            <w:tcBorders>
              <w:top w:val="single" w:sz="4" w:space="0" w:color="A6A6A6" w:themeColor="background1" w:themeShade="A6"/>
              <w:bottom w:val="nil"/>
            </w:tcBorders>
            <w:shd w:val="clear" w:color="auto" w:fill="auto"/>
            <w:noWrap/>
            <w:hideMark/>
          </w:tcPr>
          <w:p w:rsidR="00000745" w:rsidRPr="00C4364C" w:rsidRDefault="00000745" w:rsidP="00994D19">
            <w:pPr>
              <w:pStyle w:val="TableText"/>
              <w:keepNext/>
              <w:ind w:right="142"/>
              <w:jc w:val="center"/>
              <w:rPr>
                <w:lang w:eastAsia="en-NZ"/>
              </w:rPr>
            </w:pPr>
            <w:r w:rsidRPr="00C4364C">
              <w:rPr>
                <w:lang w:eastAsia="en-NZ"/>
              </w:rPr>
              <w:lastRenderedPageBreak/>
              <w:t>4</w:t>
            </w:r>
          </w:p>
        </w:tc>
        <w:tc>
          <w:tcPr>
            <w:tcW w:w="6946" w:type="dxa"/>
            <w:tcBorders>
              <w:top w:val="single" w:sz="4" w:space="0" w:color="A6A6A6" w:themeColor="background1" w:themeShade="A6"/>
              <w:bottom w:val="nil"/>
            </w:tcBorders>
            <w:shd w:val="clear" w:color="auto" w:fill="auto"/>
            <w:noWrap/>
            <w:hideMark/>
          </w:tcPr>
          <w:p w:rsidR="00000745" w:rsidRPr="00C4364C" w:rsidRDefault="00000745" w:rsidP="00994D19">
            <w:pPr>
              <w:pStyle w:val="TableText"/>
              <w:keepNext/>
              <w:rPr>
                <w:lang w:eastAsia="en-NZ"/>
              </w:rPr>
            </w:pPr>
            <w:r w:rsidRPr="00C4364C">
              <w:rPr>
                <w:lang w:eastAsia="en-NZ"/>
              </w:rPr>
              <w:t>Calibration sources</w:t>
            </w:r>
          </w:p>
        </w:tc>
      </w:tr>
      <w:tr w:rsidR="00000745" w:rsidRPr="00C4364C" w:rsidTr="00994D19">
        <w:trPr>
          <w:cantSplit/>
        </w:trPr>
        <w:tc>
          <w:tcPr>
            <w:tcW w:w="2410" w:type="dxa"/>
            <w:tcBorders>
              <w:top w:val="nil"/>
            </w:tcBorders>
            <w:shd w:val="clear" w:color="auto" w:fill="auto"/>
            <w:noWrap/>
            <w:hideMark/>
          </w:tcPr>
          <w:p w:rsidR="00000745" w:rsidRPr="00C4364C" w:rsidRDefault="00000745" w:rsidP="00994D19">
            <w:pPr>
              <w:pStyle w:val="TableText"/>
              <w:keepNext/>
              <w:ind w:right="142"/>
              <w:jc w:val="center"/>
              <w:rPr>
                <w:lang w:eastAsia="en-NZ"/>
              </w:rPr>
            </w:pPr>
            <w:r w:rsidRPr="00C4364C">
              <w:rPr>
                <w:lang w:eastAsia="en-NZ"/>
              </w:rPr>
              <w:t>4</w:t>
            </w:r>
          </w:p>
        </w:tc>
        <w:tc>
          <w:tcPr>
            <w:tcW w:w="6946" w:type="dxa"/>
            <w:tcBorders>
              <w:top w:val="nil"/>
            </w:tcBorders>
            <w:shd w:val="clear" w:color="auto" w:fill="auto"/>
            <w:noWrap/>
            <w:hideMark/>
          </w:tcPr>
          <w:p w:rsidR="00000745" w:rsidRPr="00C4364C" w:rsidRDefault="00000745" w:rsidP="00994D19">
            <w:pPr>
              <w:pStyle w:val="TableText"/>
              <w:keepNext/>
              <w:rPr>
                <w:lang w:eastAsia="en-NZ"/>
              </w:rPr>
            </w:pPr>
            <w:r w:rsidRPr="00C4364C">
              <w:rPr>
                <w:lang w:eastAsia="en-NZ"/>
              </w:rPr>
              <w:t>Sentinel node biopsy</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keepN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94D19">
            <w:pPr>
              <w:pStyle w:val="TableText"/>
              <w:keepNext/>
              <w:rPr>
                <w:lang w:eastAsia="en-NZ"/>
              </w:rPr>
            </w:pPr>
            <w:r w:rsidRPr="00C4364C">
              <w:rPr>
                <w:lang w:eastAsia="en-NZ"/>
              </w:rPr>
              <w:t>Low-dose</w:t>
            </w:r>
            <w:r>
              <w:rPr>
                <w:lang w:eastAsia="en-NZ"/>
              </w:rPr>
              <w:t>-</w:t>
            </w:r>
            <w:r w:rsidRPr="00C4364C">
              <w:rPr>
                <w:lang w:eastAsia="en-NZ"/>
              </w:rPr>
              <w:t>rate brachytherapy</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keepN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94D19">
            <w:pPr>
              <w:pStyle w:val="TableText"/>
              <w:keepNext/>
              <w:rPr>
                <w:lang w:eastAsia="en-NZ"/>
              </w:rPr>
            </w:pPr>
            <w:r w:rsidRPr="00C4364C">
              <w:rPr>
                <w:lang w:eastAsia="en-NZ"/>
              </w:rPr>
              <w:t>Conventional radiology</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keepN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94D19">
            <w:pPr>
              <w:pStyle w:val="TableText"/>
              <w:keepNext/>
              <w:rPr>
                <w:lang w:eastAsia="en-NZ"/>
              </w:rPr>
            </w:pPr>
            <w:r>
              <w:rPr>
                <w:lang w:eastAsia="en-NZ"/>
              </w:rPr>
              <w:t>Chiropractic</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keepNext/>
              <w:ind w:right="142"/>
              <w:jc w:val="center"/>
              <w:rPr>
                <w:lang w:eastAsia="en-NZ"/>
              </w:rPr>
            </w:pPr>
            <w:r w:rsidRPr="00C4364C">
              <w:rPr>
                <w:lang w:eastAsia="en-NZ"/>
              </w:rPr>
              <w:t>4</w:t>
            </w:r>
          </w:p>
        </w:tc>
        <w:tc>
          <w:tcPr>
            <w:tcW w:w="6946" w:type="dxa"/>
            <w:shd w:val="clear" w:color="auto" w:fill="auto"/>
            <w:noWrap/>
            <w:hideMark/>
          </w:tcPr>
          <w:p w:rsidR="00000745" w:rsidRPr="00C4364C" w:rsidRDefault="00964B95" w:rsidP="00994D19">
            <w:pPr>
              <w:pStyle w:val="TableText"/>
              <w:keepNext/>
              <w:rPr>
                <w:lang w:eastAsia="en-NZ"/>
              </w:rPr>
            </w:pPr>
            <w:r>
              <w:rPr>
                <w:lang w:eastAsia="en-NZ"/>
              </w:rPr>
              <w:t>General practice</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keepN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94D19">
            <w:pPr>
              <w:pStyle w:val="TableText"/>
              <w:keepNext/>
              <w:rPr>
                <w:lang w:eastAsia="en-NZ"/>
              </w:rPr>
            </w:pPr>
            <w:r w:rsidRPr="00C4364C">
              <w:rPr>
                <w:lang w:eastAsia="en-NZ"/>
              </w:rPr>
              <w:t>Podiatry</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In-vitro testing laboratories</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X-</w:t>
            </w:r>
            <w:r>
              <w:rPr>
                <w:lang w:eastAsia="en-NZ"/>
              </w:rPr>
              <w:t>r</w:t>
            </w:r>
            <w:r w:rsidRPr="00C4364C">
              <w:rPr>
                <w:lang w:eastAsia="en-NZ"/>
              </w:rPr>
              <w:t>ay analytical equipment</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X-</w:t>
            </w:r>
            <w:r>
              <w:rPr>
                <w:lang w:eastAsia="en-NZ"/>
              </w:rPr>
              <w:t>r</w:t>
            </w:r>
            <w:r w:rsidRPr="00C4364C">
              <w:rPr>
                <w:lang w:eastAsia="en-NZ"/>
              </w:rPr>
              <w:t>ay inspection units</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4</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Veterinary</w:t>
            </w:r>
          </w:p>
        </w:tc>
      </w:tr>
      <w:tr w:rsidR="00000745" w:rsidRPr="00C4364C" w:rsidTr="00994D19">
        <w:trPr>
          <w:cantSplit/>
        </w:trPr>
        <w:tc>
          <w:tcPr>
            <w:tcW w:w="2410" w:type="dxa"/>
            <w:tcBorders>
              <w:bottom w:val="single" w:sz="4" w:space="0" w:color="A6A6A6" w:themeColor="background1" w:themeShade="A6"/>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4</w:t>
            </w:r>
          </w:p>
        </w:tc>
        <w:tc>
          <w:tcPr>
            <w:tcW w:w="6946" w:type="dxa"/>
            <w:tcBorders>
              <w:bottom w:val="single" w:sz="4" w:space="0" w:color="A6A6A6" w:themeColor="background1" w:themeShade="A6"/>
            </w:tcBorders>
            <w:shd w:val="clear" w:color="auto" w:fill="auto"/>
            <w:noWrap/>
            <w:hideMark/>
          </w:tcPr>
          <w:p w:rsidR="00000745" w:rsidRPr="00C4364C" w:rsidRDefault="00000745" w:rsidP="00964B95">
            <w:pPr>
              <w:pStyle w:val="TableText"/>
              <w:rPr>
                <w:lang w:eastAsia="en-NZ"/>
              </w:rPr>
            </w:pPr>
            <w:r w:rsidRPr="00C4364C">
              <w:rPr>
                <w:lang w:eastAsia="en-NZ"/>
              </w:rPr>
              <w:t>Industrial gauges (IAEA categor</w:t>
            </w:r>
            <w:r>
              <w:rPr>
                <w:lang w:eastAsia="en-NZ"/>
              </w:rPr>
              <w:t>ies</w:t>
            </w:r>
            <w:r w:rsidRPr="00C4364C">
              <w:rPr>
                <w:lang w:eastAsia="en-NZ"/>
              </w:rPr>
              <w:t xml:space="preserve"> 4 and 5)</w:t>
            </w:r>
          </w:p>
        </w:tc>
      </w:tr>
      <w:tr w:rsidR="00000745" w:rsidRPr="00C4364C" w:rsidTr="00994D19">
        <w:trPr>
          <w:cantSplit/>
        </w:trPr>
        <w:tc>
          <w:tcPr>
            <w:tcW w:w="2410" w:type="dxa"/>
            <w:tcBorders>
              <w:top w:val="single" w:sz="4" w:space="0" w:color="A6A6A6" w:themeColor="background1" w:themeShade="A6"/>
              <w:bottom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5</w:t>
            </w:r>
          </w:p>
        </w:tc>
        <w:tc>
          <w:tcPr>
            <w:tcW w:w="6946" w:type="dxa"/>
            <w:tcBorders>
              <w:top w:val="single" w:sz="4" w:space="0" w:color="A6A6A6" w:themeColor="background1" w:themeShade="A6"/>
              <w:bottom w:val="nil"/>
            </w:tcBorders>
            <w:shd w:val="clear" w:color="auto" w:fill="auto"/>
            <w:noWrap/>
            <w:hideMark/>
          </w:tcPr>
          <w:p w:rsidR="00000745" w:rsidRPr="00C4364C" w:rsidRDefault="00000745" w:rsidP="00964B95">
            <w:pPr>
              <w:pStyle w:val="TableText"/>
              <w:rPr>
                <w:lang w:eastAsia="en-NZ"/>
              </w:rPr>
            </w:pPr>
            <w:r w:rsidRPr="00C4364C">
              <w:rPr>
                <w:lang w:eastAsia="en-NZ"/>
              </w:rPr>
              <w:t>Other industrial (eg, static eliminators)</w:t>
            </w:r>
          </w:p>
        </w:tc>
      </w:tr>
      <w:tr w:rsidR="00000745" w:rsidRPr="00C4364C" w:rsidTr="00994D19">
        <w:trPr>
          <w:cantSplit/>
        </w:trPr>
        <w:tc>
          <w:tcPr>
            <w:tcW w:w="2410" w:type="dxa"/>
            <w:tcBorders>
              <w:top w:val="nil"/>
            </w:tcBorders>
            <w:shd w:val="clear" w:color="auto" w:fill="auto"/>
            <w:noWrap/>
            <w:hideMark/>
          </w:tcPr>
          <w:p w:rsidR="00000745" w:rsidRPr="00C4364C" w:rsidRDefault="00000745" w:rsidP="00994D19">
            <w:pPr>
              <w:pStyle w:val="TableText"/>
              <w:ind w:right="142"/>
              <w:jc w:val="center"/>
              <w:rPr>
                <w:lang w:eastAsia="en-NZ"/>
              </w:rPr>
            </w:pPr>
            <w:r w:rsidRPr="00C4364C">
              <w:rPr>
                <w:lang w:eastAsia="en-NZ"/>
              </w:rPr>
              <w:t>5</w:t>
            </w:r>
          </w:p>
        </w:tc>
        <w:tc>
          <w:tcPr>
            <w:tcW w:w="6946" w:type="dxa"/>
            <w:tcBorders>
              <w:top w:val="nil"/>
            </w:tcBorders>
            <w:shd w:val="clear" w:color="auto" w:fill="auto"/>
            <w:noWrap/>
            <w:hideMark/>
          </w:tcPr>
          <w:p w:rsidR="00000745" w:rsidRPr="00C4364C" w:rsidRDefault="00000745" w:rsidP="00964B95">
            <w:pPr>
              <w:pStyle w:val="TableText"/>
              <w:rPr>
                <w:lang w:eastAsia="en-NZ"/>
              </w:rPr>
            </w:pPr>
            <w:r w:rsidRPr="00C4364C">
              <w:rPr>
                <w:lang w:eastAsia="en-NZ"/>
              </w:rPr>
              <w:t>Dental</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5</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Installation and servicing</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5</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Demonstration/education</w:t>
            </w:r>
          </w:p>
        </w:tc>
      </w:tr>
      <w:tr w:rsidR="00000745" w:rsidRPr="00C4364C" w:rsidTr="00994D19">
        <w:trPr>
          <w:cantSplit/>
        </w:trPr>
        <w:tc>
          <w:tcPr>
            <w:tcW w:w="2410" w:type="dxa"/>
            <w:shd w:val="clear" w:color="auto" w:fill="auto"/>
            <w:noWrap/>
            <w:hideMark/>
          </w:tcPr>
          <w:p w:rsidR="00000745" w:rsidRPr="00C4364C" w:rsidRDefault="00000745" w:rsidP="00994D19">
            <w:pPr>
              <w:pStyle w:val="TableText"/>
              <w:ind w:right="142"/>
              <w:jc w:val="center"/>
              <w:rPr>
                <w:lang w:eastAsia="en-NZ"/>
              </w:rPr>
            </w:pPr>
            <w:r w:rsidRPr="00C4364C">
              <w:rPr>
                <w:lang w:eastAsia="en-NZ"/>
              </w:rPr>
              <w:t>5</w:t>
            </w:r>
          </w:p>
        </w:tc>
        <w:tc>
          <w:tcPr>
            <w:tcW w:w="6946" w:type="dxa"/>
            <w:shd w:val="clear" w:color="auto" w:fill="auto"/>
            <w:noWrap/>
            <w:hideMark/>
          </w:tcPr>
          <w:p w:rsidR="00000745" w:rsidRPr="00C4364C" w:rsidRDefault="00000745" w:rsidP="00964B95">
            <w:pPr>
              <w:pStyle w:val="TableText"/>
              <w:rPr>
                <w:lang w:eastAsia="en-NZ"/>
              </w:rPr>
            </w:pPr>
            <w:r w:rsidRPr="00C4364C">
              <w:rPr>
                <w:lang w:eastAsia="en-NZ"/>
              </w:rPr>
              <w:t>Bone densitometers</w:t>
            </w:r>
          </w:p>
        </w:tc>
      </w:tr>
    </w:tbl>
    <w:p w:rsidR="00000745" w:rsidRDefault="00000745" w:rsidP="00994D19"/>
    <w:p w:rsidR="00823DC8" w:rsidRDefault="00000745" w:rsidP="00994D19">
      <w:r>
        <w:t>T</w:t>
      </w:r>
      <w:r w:rsidRPr="000E0A9F">
        <w:t xml:space="preserve">he costs associated with assessing applications for </w:t>
      </w:r>
      <w:r w:rsidRPr="00FD1D0B">
        <w:t>source licences</w:t>
      </w:r>
      <w:r>
        <w:t xml:space="preserve"> </w:t>
      </w:r>
      <w:r w:rsidRPr="00883DBD">
        <w:t xml:space="preserve">are expected to be evenly distributed across all </w:t>
      </w:r>
      <w:r>
        <w:t xml:space="preserve">licence </w:t>
      </w:r>
      <w:r w:rsidRPr="00883DBD">
        <w:t>applications</w:t>
      </w:r>
      <w:r>
        <w:t>.</w:t>
      </w:r>
    </w:p>
    <w:p w:rsidR="00000745" w:rsidRDefault="00000745" w:rsidP="00994D19"/>
    <w:p w:rsidR="00823DC8" w:rsidRDefault="00000745" w:rsidP="00994D19">
      <w:pPr>
        <w:pStyle w:val="Heading3"/>
      </w:pPr>
      <w:r w:rsidRPr="00E32FE3">
        <w:t>Preferred option</w:t>
      </w:r>
    </w:p>
    <w:p w:rsidR="00823DC8" w:rsidRPr="00994D19" w:rsidRDefault="00000745" w:rsidP="00994D19">
      <w:pPr>
        <w:rPr>
          <w:i/>
        </w:rPr>
      </w:pPr>
      <w:r w:rsidRPr="00994D19">
        <w:rPr>
          <w:i/>
        </w:rPr>
        <w:t>Source licence fees incorporate a component of compliance verification cost recovery that varies depending on the frequency of activities, and a component of application processing cost recovery that is evenly applied regardless of the frequency of compliance verification activities.</w:t>
      </w:r>
    </w:p>
    <w:p w:rsidR="00994D19" w:rsidRDefault="00994D19" w:rsidP="00994D19"/>
    <w:p w:rsidR="00823DC8" w:rsidRDefault="00000745" w:rsidP="00994D19">
      <w:r>
        <w:t>The preferred option is illustrated in Table 6, with the contribution of the compliance verification portion and the application assessment portion of the overall fee separated.</w:t>
      </w:r>
    </w:p>
    <w:p w:rsidR="00000745" w:rsidRDefault="00000745" w:rsidP="00994D19"/>
    <w:p w:rsidR="00823DC8" w:rsidRDefault="00000745" w:rsidP="00994D19">
      <w:r>
        <w:t xml:space="preserve">The preferred option </w:t>
      </w:r>
      <w:r w:rsidRPr="004431B9">
        <w:t xml:space="preserve">from discussion point </w:t>
      </w:r>
      <w:r>
        <w:t>1</w:t>
      </w:r>
      <w:r w:rsidRPr="001B7CE8">
        <w:t xml:space="preserve">c </w:t>
      </w:r>
      <w:r w:rsidRPr="004431B9">
        <w:t>of this</w:t>
      </w:r>
      <w:r>
        <w:t xml:space="preserve"> document is that the </w:t>
      </w:r>
      <w:r w:rsidRPr="001B7CE8">
        <w:t xml:space="preserve">Director </w:t>
      </w:r>
      <w:r>
        <w:t>can issue source licences up to a maximum period of three years. The fees information presented in Table</w:t>
      </w:r>
      <w:r w:rsidR="00994D19">
        <w:t> </w:t>
      </w:r>
      <w:r>
        <w:t xml:space="preserve">6 is for a one-year period. Fees for two- and three-year periods can be calculated on a </w:t>
      </w:r>
      <w:r w:rsidRPr="001B7CE8">
        <w:rPr>
          <w:i/>
        </w:rPr>
        <w:t>pro</w:t>
      </w:r>
      <w:r w:rsidR="00994D19">
        <w:rPr>
          <w:i/>
        </w:rPr>
        <w:t> </w:t>
      </w:r>
      <w:r w:rsidRPr="001B7CE8">
        <w:rPr>
          <w:i/>
        </w:rPr>
        <w:t>rata</w:t>
      </w:r>
      <w:r>
        <w:t xml:space="preserve"> basis.</w:t>
      </w:r>
    </w:p>
    <w:p w:rsidR="00000745" w:rsidRDefault="00000745" w:rsidP="00994D19"/>
    <w:p w:rsidR="00000745" w:rsidRPr="00994D19" w:rsidRDefault="00000745" w:rsidP="00994D19">
      <w:pPr>
        <w:pStyle w:val="Table"/>
      </w:pPr>
      <w:bookmarkStart w:id="36" w:name="_Toc450059064"/>
      <w:r w:rsidRPr="001B7CE8">
        <w:lastRenderedPageBreak/>
        <w:t>Table 6: Proposed annual source licence fees under the Act (exclusive of GST)</w:t>
      </w:r>
      <w:bookmarkEnd w:id="36"/>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1275"/>
        <w:gridCol w:w="1134"/>
        <w:gridCol w:w="1098"/>
        <w:gridCol w:w="1170"/>
        <w:gridCol w:w="1465"/>
        <w:gridCol w:w="1229"/>
        <w:gridCol w:w="992"/>
      </w:tblGrid>
      <w:tr w:rsidR="00994D19" w:rsidRPr="00994D19" w:rsidTr="00994D19">
        <w:trPr>
          <w:cantSplit/>
        </w:trPr>
        <w:tc>
          <w:tcPr>
            <w:tcW w:w="993"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Audit frequency (years)</w:t>
            </w:r>
          </w:p>
        </w:tc>
        <w:tc>
          <w:tcPr>
            <w:tcW w:w="1275"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Authorisation application portion of fee (annual)</w:t>
            </w:r>
          </w:p>
        </w:tc>
        <w:tc>
          <w:tcPr>
            <w:tcW w:w="1134"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Compliance verification portion of fee (annual)</w:t>
            </w:r>
          </w:p>
        </w:tc>
        <w:tc>
          <w:tcPr>
            <w:tcW w:w="1098"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Total annual fee</w:t>
            </w:r>
          </w:p>
        </w:tc>
        <w:tc>
          <w:tcPr>
            <w:tcW w:w="1170"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Anticipated number of licences</w:t>
            </w:r>
          </w:p>
        </w:tc>
        <w:tc>
          <w:tcPr>
            <w:tcW w:w="1465"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Annual fees take (authorisations)</w:t>
            </w:r>
          </w:p>
        </w:tc>
        <w:tc>
          <w:tcPr>
            <w:tcW w:w="1229"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Annual fees take (compliance verification)</w:t>
            </w:r>
          </w:p>
        </w:tc>
        <w:tc>
          <w:tcPr>
            <w:tcW w:w="992" w:type="dxa"/>
            <w:tcBorders>
              <w:top w:val="single" w:sz="4" w:space="0" w:color="auto"/>
              <w:bottom w:val="single" w:sz="4" w:space="0" w:color="auto"/>
            </w:tcBorders>
            <w:shd w:val="clear" w:color="auto" w:fill="auto"/>
            <w:noWrap/>
            <w:hideMark/>
          </w:tcPr>
          <w:p w:rsidR="00000745" w:rsidRPr="00994D19" w:rsidRDefault="00000745" w:rsidP="00994D19">
            <w:pPr>
              <w:pStyle w:val="TableText"/>
              <w:keepNext/>
              <w:jc w:val="center"/>
              <w:rPr>
                <w:rFonts w:cs="Arial"/>
                <w:b/>
                <w:sz w:val="17"/>
                <w:szCs w:val="17"/>
                <w:lang w:eastAsia="en-NZ"/>
              </w:rPr>
            </w:pPr>
            <w:r w:rsidRPr="00994D19">
              <w:rPr>
                <w:rFonts w:cs="Arial"/>
                <w:b/>
                <w:sz w:val="17"/>
                <w:szCs w:val="17"/>
                <w:lang w:eastAsia="en-NZ"/>
              </w:rPr>
              <w:t>Total annual fees take</w:t>
            </w:r>
          </w:p>
        </w:tc>
      </w:tr>
      <w:tr w:rsidR="00994D19" w:rsidRPr="00087D86" w:rsidTr="00994D19">
        <w:trPr>
          <w:cantSplit/>
        </w:trPr>
        <w:tc>
          <w:tcPr>
            <w:tcW w:w="993"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1</w:t>
            </w:r>
          </w:p>
        </w:tc>
        <w:tc>
          <w:tcPr>
            <w:tcW w:w="1275"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$145</w:t>
            </w:r>
          </w:p>
        </w:tc>
        <w:tc>
          <w:tcPr>
            <w:tcW w:w="1134"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794"/>
              </w:tabs>
              <w:rPr>
                <w:sz w:val="17"/>
                <w:szCs w:val="17"/>
                <w:lang w:eastAsia="en-NZ"/>
              </w:rPr>
            </w:pPr>
            <w:r w:rsidRPr="00994D19">
              <w:rPr>
                <w:sz w:val="17"/>
                <w:szCs w:val="17"/>
                <w:lang w:eastAsia="en-NZ"/>
              </w:rPr>
              <w:t>$1,360</w:t>
            </w:r>
          </w:p>
        </w:tc>
        <w:tc>
          <w:tcPr>
            <w:tcW w:w="1098"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91"/>
              </w:tabs>
              <w:rPr>
                <w:sz w:val="17"/>
                <w:szCs w:val="17"/>
                <w:lang w:eastAsia="en-NZ"/>
              </w:rPr>
            </w:pPr>
            <w:r w:rsidRPr="00994D19">
              <w:rPr>
                <w:sz w:val="17"/>
                <w:szCs w:val="17"/>
                <w:lang w:eastAsia="en-NZ"/>
              </w:rPr>
              <w:t>$1,505</w:t>
            </w:r>
          </w:p>
        </w:tc>
        <w:tc>
          <w:tcPr>
            <w:tcW w:w="1170"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66"/>
              </w:tabs>
              <w:rPr>
                <w:sz w:val="17"/>
                <w:szCs w:val="17"/>
                <w:lang w:eastAsia="en-NZ"/>
              </w:rPr>
            </w:pPr>
            <w:r w:rsidRPr="00994D19">
              <w:rPr>
                <w:sz w:val="17"/>
                <w:szCs w:val="17"/>
                <w:lang w:eastAsia="en-NZ"/>
              </w:rPr>
              <w:t>46</w:t>
            </w:r>
          </w:p>
        </w:tc>
        <w:tc>
          <w:tcPr>
            <w:tcW w:w="1465"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923"/>
              </w:tabs>
              <w:rPr>
                <w:sz w:val="17"/>
                <w:szCs w:val="17"/>
                <w:lang w:eastAsia="en-NZ"/>
              </w:rPr>
            </w:pPr>
            <w:r w:rsidRPr="00994D19">
              <w:rPr>
                <w:sz w:val="17"/>
                <w:szCs w:val="17"/>
                <w:lang w:eastAsia="en-NZ"/>
              </w:rPr>
              <w:t>$6,670</w:t>
            </w:r>
          </w:p>
        </w:tc>
        <w:tc>
          <w:tcPr>
            <w:tcW w:w="1229"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33"/>
              </w:tabs>
              <w:rPr>
                <w:sz w:val="17"/>
                <w:szCs w:val="17"/>
                <w:lang w:eastAsia="en-NZ"/>
              </w:rPr>
            </w:pPr>
            <w:r w:rsidRPr="00994D19">
              <w:rPr>
                <w:sz w:val="17"/>
                <w:szCs w:val="17"/>
                <w:lang w:eastAsia="en-NZ"/>
              </w:rPr>
              <w:t>$62,560</w:t>
            </w:r>
          </w:p>
        </w:tc>
        <w:tc>
          <w:tcPr>
            <w:tcW w:w="992" w:type="dxa"/>
            <w:tcBorders>
              <w:top w:val="single" w:sz="4" w:space="0" w:color="auto"/>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78"/>
              </w:tabs>
              <w:rPr>
                <w:sz w:val="17"/>
                <w:szCs w:val="17"/>
                <w:lang w:eastAsia="en-NZ"/>
              </w:rPr>
            </w:pPr>
            <w:r w:rsidRPr="00994D19">
              <w:rPr>
                <w:sz w:val="17"/>
                <w:szCs w:val="17"/>
                <w:lang w:eastAsia="en-NZ"/>
              </w:rPr>
              <w:t>$69,230</w:t>
            </w:r>
          </w:p>
        </w:tc>
      </w:tr>
      <w:tr w:rsidR="00994D19" w:rsidRPr="00087D86" w:rsidTr="00994D19">
        <w:trPr>
          <w:cantSplit/>
        </w:trPr>
        <w:tc>
          <w:tcPr>
            <w:tcW w:w="9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2</w:t>
            </w:r>
          </w:p>
        </w:tc>
        <w:tc>
          <w:tcPr>
            <w:tcW w:w="127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$145</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794"/>
              </w:tabs>
              <w:rPr>
                <w:sz w:val="17"/>
                <w:szCs w:val="17"/>
                <w:lang w:eastAsia="en-NZ"/>
              </w:rPr>
            </w:pPr>
            <w:r w:rsidRPr="00994D19">
              <w:rPr>
                <w:sz w:val="17"/>
                <w:szCs w:val="17"/>
                <w:lang w:eastAsia="en-NZ"/>
              </w:rPr>
              <w:t>$680</w:t>
            </w:r>
          </w:p>
        </w:tc>
        <w:tc>
          <w:tcPr>
            <w:tcW w:w="109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91"/>
              </w:tabs>
              <w:rPr>
                <w:sz w:val="17"/>
                <w:szCs w:val="17"/>
                <w:lang w:eastAsia="en-NZ"/>
              </w:rPr>
            </w:pPr>
            <w:r w:rsidRPr="00994D19">
              <w:rPr>
                <w:sz w:val="17"/>
                <w:szCs w:val="17"/>
                <w:lang w:eastAsia="en-NZ"/>
              </w:rPr>
              <w:t>$825</w:t>
            </w:r>
          </w:p>
        </w:tc>
        <w:tc>
          <w:tcPr>
            <w:tcW w:w="11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66"/>
              </w:tabs>
              <w:rPr>
                <w:sz w:val="17"/>
                <w:szCs w:val="17"/>
                <w:lang w:eastAsia="en-NZ"/>
              </w:rPr>
            </w:pPr>
            <w:r w:rsidRPr="00994D19">
              <w:rPr>
                <w:sz w:val="17"/>
                <w:szCs w:val="17"/>
                <w:lang w:eastAsia="en-NZ"/>
              </w:rPr>
              <w:t>179</w:t>
            </w:r>
          </w:p>
        </w:tc>
        <w:tc>
          <w:tcPr>
            <w:tcW w:w="146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923"/>
              </w:tabs>
              <w:rPr>
                <w:sz w:val="17"/>
                <w:szCs w:val="17"/>
                <w:lang w:eastAsia="en-NZ"/>
              </w:rPr>
            </w:pPr>
            <w:r w:rsidRPr="00994D19">
              <w:rPr>
                <w:sz w:val="17"/>
                <w:szCs w:val="17"/>
                <w:lang w:eastAsia="en-NZ"/>
              </w:rPr>
              <w:t>$25,955</w:t>
            </w:r>
          </w:p>
        </w:tc>
        <w:tc>
          <w:tcPr>
            <w:tcW w:w="122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33"/>
              </w:tabs>
              <w:rPr>
                <w:sz w:val="17"/>
                <w:szCs w:val="17"/>
                <w:lang w:eastAsia="en-NZ"/>
              </w:rPr>
            </w:pPr>
            <w:r w:rsidRPr="00994D19">
              <w:rPr>
                <w:sz w:val="17"/>
                <w:szCs w:val="17"/>
                <w:lang w:eastAsia="en-NZ"/>
              </w:rPr>
              <w:t>$121,720</w:t>
            </w:r>
          </w:p>
        </w:tc>
        <w:tc>
          <w:tcPr>
            <w:tcW w:w="992"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78"/>
              </w:tabs>
              <w:rPr>
                <w:sz w:val="17"/>
                <w:szCs w:val="17"/>
                <w:lang w:eastAsia="en-NZ"/>
              </w:rPr>
            </w:pPr>
            <w:r w:rsidRPr="00994D19">
              <w:rPr>
                <w:sz w:val="17"/>
                <w:szCs w:val="17"/>
                <w:lang w:eastAsia="en-NZ"/>
              </w:rPr>
              <w:t>$147,675</w:t>
            </w:r>
          </w:p>
        </w:tc>
      </w:tr>
      <w:tr w:rsidR="00994D19" w:rsidRPr="00087D86" w:rsidTr="00994D19">
        <w:trPr>
          <w:cantSplit/>
        </w:trPr>
        <w:tc>
          <w:tcPr>
            <w:tcW w:w="9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3</w:t>
            </w:r>
          </w:p>
        </w:tc>
        <w:tc>
          <w:tcPr>
            <w:tcW w:w="127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$145</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794"/>
              </w:tabs>
              <w:rPr>
                <w:sz w:val="17"/>
                <w:szCs w:val="17"/>
                <w:lang w:eastAsia="en-NZ"/>
              </w:rPr>
            </w:pPr>
            <w:r w:rsidRPr="00994D19">
              <w:rPr>
                <w:sz w:val="17"/>
                <w:szCs w:val="17"/>
                <w:lang w:eastAsia="en-NZ"/>
              </w:rPr>
              <w:t>$455</w:t>
            </w:r>
          </w:p>
        </w:tc>
        <w:tc>
          <w:tcPr>
            <w:tcW w:w="109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91"/>
              </w:tabs>
              <w:rPr>
                <w:sz w:val="17"/>
                <w:szCs w:val="17"/>
                <w:lang w:eastAsia="en-NZ"/>
              </w:rPr>
            </w:pPr>
            <w:r w:rsidRPr="00994D19">
              <w:rPr>
                <w:sz w:val="17"/>
                <w:szCs w:val="17"/>
                <w:lang w:eastAsia="en-NZ"/>
              </w:rPr>
              <w:t>$600</w:t>
            </w:r>
          </w:p>
        </w:tc>
        <w:tc>
          <w:tcPr>
            <w:tcW w:w="11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66"/>
              </w:tabs>
              <w:rPr>
                <w:sz w:val="17"/>
                <w:szCs w:val="17"/>
                <w:lang w:eastAsia="en-NZ"/>
              </w:rPr>
            </w:pPr>
            <w:r w:rsidRPr="00994D19">
              <w:rPr>
                <w:sz w:val="17"/>
                <w:szCs w:val="17"/>
                <w:lang w:eastAsia="en-NZ"/>
              </w:rPr>
              <w:t>246</w:t>
            </w:r>
          </w:p>
        </w:tc>
        <w:tc>
          <w:tcPr>
            <w:tcW w:w="146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923"/>
              </w:tabs>
              <w:rPr>
                <w:sz w:val="17"/>
                <w:szCs w:val="17"/>
                <w:lang w:eastAsia="en-NZ"/>
              </w:rPr>
            </w:pPr>
            <w:r w:rsidRPr="00994D19">
              <w:rPr>
                <w:sz w:val="17"/>
                <w:szCs w:val="17"/>
                <w:lang w:eastAsia="en-NZ"/>
              </w:rPr>
              <w:t>$35,670</w:t>
            </w:r>
          </w:p>
        </w:tc>
        <w:tc>
          <w:tcPr>
            <w:tcW w:w="122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33"/>
              </w:tabs>
              <w:rPr>
                <w:sz w:val="17"/>
                <w:szCs w:val="17"/>
                <w:lang w:eastAsia="en-NZ"/>
              </w:rPr>
            </w:pPr>
            <w:r w:rsidRPr="00994D19">
              <w:rPr>
                <w:sz w:val="17"/>
                <w:szCs w:val="17"/>
                <w:lang w:eastAsia="en-NZ"/>
              </w:rPr>
              <w:t>$111,930</w:t>
            </w:r>
          </w:p>
        </w:tc>
        <w:tc>
          <w:tcPr>
            <w:tcW w:w="992"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78"/>
              </w:tabs>
              <w:rPr>
                <w:sz w:val="17"/>
                <w:szCs w:val="17"/>
                <w:lang w:eastAsia="en-NZ"/>
              </w:rPr>
            </w:pPr>
            <w:r w:rsidRPr="00994D19">
              <w:rPr>
                <w:sz w:val="17"/>
                <w:szCs w:val="17"/>
                <w:lang w:eastAsia="en-NZ"/>
              </w:rPr>
              <w:t>$147,600</w:t>
            </w:r>
          </w:p>
        </w:tc>
      </w:tr>
      <w:tr w:rsidR="00994D19" w:rsidRPr="00087D86" w:rsidTr="00994D19">
        <w:trPr>
          <w:cantSplit/>
        </w:trPr>
        <w:tc>
          <w:tcPr>
            <w:tcW w:w="9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4</w:t>
            </w:r>
          </w:p>
        </w:tc>
        <w:tc>
          <w:tcPr>
            <w:tcW w:w="127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$145</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794"/>
              </w:tabs>
              <w:rPr>
                <w:sz w:val="17"/>
                <w:szCs w:val="17"/>
                <w:lang w:eastAsia="en-NZ"/>
              </w:rPr>
            </w:pPr>
            <w:r w:rsidRPr="00994D19">
              <w:rPr>
                <w:sz w:val="17"/>
                <w:szCs w:val="17"/>
                <w:lang w:eastAsia="en-NZ"/>
              </w:rPr>
              <w:t>$340</w:t>
            </w:r>
          </w:p>
        </w:tc>
        <w:tc>
          <w:tcPr>
            <w:tcW w:w="109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91"/>
              </w:tabs>
              <w:rPr>
                <w:sz w:val="17"/>
                <w:szCs w:val="17"/>
                <w:lang w:eastAsia="en-NZ"/>
              </w:rPr>
            </w:pPr>
            <w:r w:rsidRPr="00994D19">
              <w:rPr>
                <w:sz w:val="17"/>
                <w:szCs w:val="17"/>
                <w:lang w:eastAsia="en-NZ"/>
              </w:rPr>
              <w:t>$485</w:t>
            </w:r>
          </w:p>
        </w:tc>
        <w:tc>
          <w:tcPr>
            <w:tcW w:w="11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66"/>
              </w:tabs>
              <w:rPr>
                <w:sz w:val="17"/>
                <w:szCs w:val="17"/>
                <w:lang w:eastAsia="en-NZ"/>
              </w:rPr>
            </w:pPr>
            <w:r w:rsidRPr="00994D19">
              <w:rPr>
                <w:sz w:val="17"/>
                <w:szCs w:val="17"/>
                <w:lang w:eastAsia="en-NZ"/>
              </w:rPr>
              <w:t>785</w:t>
            </w:r>
          </w:p>
        </w:tc>
        <w:tc>
          <w:tcPr>
            <w:tcW w:w="146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923"/>
              </w:tabs>
              <w:rPr>
                <w:sz w:val="17"/>
                <w:szCs w:val="17"/>
                <w:lang w:eastAsia="en-NZ"/>
              </w:rPr>
            </w:pPr>
            <w:r w:rsidRPr="00994D19">
              <w:rPr>
                <w:sz w:val="17"/>
                <w:szCs w:val="17"/>
                <w:lang w:eastAsia="en-NZ"/>
              </w:rPr>
              <w:t>$113,825</w:t>
            </w:r>
          </w:p>
        </w:tc>
        <w:tc>
          <w:tcPr>
            <w:tcW w:w="122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33"/>
              </w:tabs>
              <w:rPr>
                <w:sz w:val="17"/>
                <w:szCs w:val="17"/>
                <w:lang w:eastAsia="en-NZ"/>
              </w:rPr>
            </w:pPr>
            <w:r w:rsidRPr="00994D19">
              <w:rPr>
                <w:sz w:val="17"/>
                <w:szCs w:val="17"/>
                <w:lang w:eastAsia="en-NZ"/>
              </w:rPr>
              <w:t>$266,900</w:t>
            </w:r>
          </w:p>
        </w:tc>
        <w:tc>
          <w:tcPr>
            <w:tcW w:w="992"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78"/>
              </w:tabs>
              <w:rPr>
                <w:sz w:val="17"/>
                <w:szCs w:val="17"/>
                <w:lang w:eastAsia="en-NZ"/>
              </w:rPr>
            </w:pPr>
            <w:r w:rsidRPr="00994D19">
              <w:rPr>
                <w:sz w:val="17"/>
                <w:szCs w:val="17"/>
                <w:lang w:eastAsia="en-NZ"/>
              </w:rPr>
              <w:t>$380,725</w:t>
            </w:r>
          </w:p>
        </w:tc>
      </w:tr>
      <w:tr w:rsidR="00994D19" w:rsidRPr="00087D86" w:rsidTr="00994D19">
        <w:trPr>
          <w:cantSplit/>
        </w:trPr>
        <w:tc>
          <w:tcPr>
            <w:tcW w:w="993"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5</w:t>
            </w:r>
          </w:p>
        </w:tc>
        <w:tc>
          <w:tcPr>
            <w:tcW w:w="127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jc w:val="center"/>
              <w:rPr>
                <w:sz w:val="17"/>
                <w:szCs w:val="17"/>
                <w:lang w:eastAsia="en-NZ"/>
              </w:rPr>
            </w:pPr>
            <w:r w:rsidRPr="00994D19">
              <w:rPr>
                <w:sz w:val="17"/>
                <w:szCs w:val="17"/>
                <w:lang w:eastAsia="en-NZ"/>
              </w:rPr>
              <w:t>$145</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794"/>
              </w:tabs>
              <w:rPr>
                <w:sz w:val="17"/>
                <w:szCs w:val="17"/>
                <w:lang w:eastAsia="en-NZ"/>
              </w:rPr>
            </w:pPr>
            <w:r w:rsidRPr="00994D19">
              <w:rPr>
                <w:sz w:val="17"/>
                <w:szCs w:val="17"/>
                <w:lang w:eastAsia="en-NZ"/>
              </w:rPr>
              <w:t>$270</w:t>
            </w:r>
          </w:p>
        </w:tc>
        <w:tc>
          <w:tcPr>
            <w:tcW w:w="1098"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91"/>
              </w:tabs>
              <w:rPr>
                <w:sz w:val="17"/>
                <w:szCs w:val="17"/>
                <w:lang w:eastAsia="en-NZ"/>
              </w:rPr>
            </w:pPr>
            <w:r w:rsidRPr="00994D19">
              <w:rPr>
                <w:sz w:val="17"/>
                <w:szCs w:val="17"/>
                <w:lang w:eastAsia="en-NZ"/>
              </w:rPr>
              <w:t>$415</w:t>
            </w:r>
          </w:p>
        </w:tc>
        <w:tc>
          <w:tcPr>
            <w:tcW w:w="11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666"/>
              </w:tabs>
              <w:rPr>
                <w:sz w:val="17"/>
                <w:szCs w:val="17"/>
                <w:lang w:eastAsia="en-NZ"/>
              </w:rPr>
            </w:pPr>
            <w:r w:rsidRPr="00994D19">
              <w:rPr>
                <w:sz w:val="17"/>
                <w:szCs w:val="17"/>
                <w:lang w:eastAsia="en-NZ"/>
              </w:rPr>
              <w:t>1202</w:t>
            </w:r>
          </w:p>
        </w:tc>
        <w:tc>
          <w:tcPr>
            <w:tcW w:w="1465"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923"/>
              </w:tabs>
              <w:rPr>
                <w:sz w:val="17"/>
                <w:szCs w:val="17"/>
                <w:lang w:eastAsia="en-NZ"/>
              </w:rPr>
            </w:pPr>
            <w:r w:rsidRPr="00994D19">
              <w:rPr>
                <w:sz w:val="17"/>
                <w:szCs w:val="17"/>
                <w:lang w:eastAsia="en-NZ"/>
              </w:rPr>
              <w:t>$174,290</w:t>
            </w:r>
          </w:p>
        </w:tc>
        <w:tc>
          <w:tcPr>
            <w:tcW w:w="122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33"/>
              </w:tabs>
              <w:rPr>
                <w:sz w:val="17"/>
                <w:szCs w:val="17"/>
                <w:lang w:eastAsia="en-NZ"/>
              </w:rPr>
            </w:pPr>
            <w:r w:rsidRPr="00994D19">
              <w:rPr>
                <w:sz w:val="17"/>
                <w:szCs w:val="17"/>
                <w:lang w:eastAsia="en-NZ"/>
              </w:rPr>
              <w:t>$324,540</w:t>
            </w:r>
          </w:p>
        </w:tc>
        <w:tc>
          <w:tcPr>
            <w:tcW w:w="992"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78"/>
              </w:tabs>
              <w:rPr>
                <w:sz w:val="17"/>
                <w:szCs w:val="17"/>
                <w:lang w:eastAsia="en-NZ"/>
              </w:rPr>
            </w:pPr>
            <w:r w:rsidRPr="00994D19">
              <w:rPr>
                <w:sz w:val="17"/>
                <w:szCs w:val="17"/>
                <w:lang w:eastAsia="en-NZ"/>
              </w:rPr>
              <w:t>$498,830</w:t>
            </w:r>
          </w:p>
        </w:tc>
      </w:tr>
      <w:tr w:rsidR="00994D19" w:rsidRPr="00994D19" w:rsidTr="00994D19">
        <w:trPr>
          <w:cantSplit/>
        </w:trPr>
        <w:tc>
          <w:tcPr>
            <w:tcW w:w="993" w:type="dxa"/>
            <w:tcBorders>
              <w:top w:val="single" w:sz="4" w:space="0" w:color="A6A6A6" w:themeColor="background1" w:themeShade="A6"/>
            </w:tcBorders>
            <w:shd w:val="clear" w:color="auto" w:fill="auto"/>
            <w:noWrap/>
          </w:tcPr>
          <w:p w:rsidR="00000745" w:rsidRPr="00994D19" w:rsidRDefault="00000745" w:rsidP="00994D19">
            <w:pPr>
              <w:pStyle w:val="TableText"/>
              <w:keepNext/>
              <w:jc w:val="center"/>
              <w:rPr>
                <w:b/>
                <w:sz w:val="17"/>
                <w:szCs w:val="17"/>
                <w:lang w:eastAsia="en-NZ"/>
              </w:rPr>
            </w:pPr>
          </w:p>
        </w:tc>
        <w:tc>
          <w:tcPr>
            <w:tcW w:w="1275" w:type="dxa"/>
            <w:tcBorders>
              <w:top w:val="single" w:sz="4" w:space="0" w:color="A6A6A6" w:themeColor="background1" w:themeShade="A6"/>
            </w:tcBorders>
            <w:shd w:val="clear" w:color="auto" w:fill="auto"/>
            <w:noWrap/>
          </w:tcPr>
          <w:p w:rsidR="00000745" w:rsidRPr="00994D19" w:rsidRDefault="00000745" w:rsidP="00994D19">
            <w:pPr>
              <w:pStyle w:val="TableText"/>
              <w:keepNext/>
              <w:jc w:val="center"/>
              <w:rPr>
                <w:b/>
                <w:sz w:val="17"/>
                <w:szCs w:val="17"/>
                <w:lang w:eastAsia="en-NZ"/>
              </w:rPr>
            </w:pPr>
          </w:p>
        </w:tc>
        <w:tc>
          <w:tcPr>
            <w:tcW w:w="1134" w:type="dxa"/>
            <w:tcBorders>
              <w:top w:val="single" w:sz="4" w:space="0" w:color="A6A6A6" w:themeColor="background1" w:themeShade="A6"/>
            </w:tcBorders>
            <w:shd w:val="clear" w:color="auto" w:fill="auto"/>
            <w:noWrap/>
          </w:tcPr>
          <w:p w:rsidR="00000745" w:rsidRPr="00994D19" w:rsidRDefault="00000745" w:rsidP="00994D19">
            <w:pPr>
              <w:pStyle w:val="TableText"/>
              <w:keepNext/>
              <w:tabs>
                <w:tab w:val="decimal" w:pos="794"/>
              </w:tabs>
              <w:rPr>
                <w:b/>
                <w:sz w:val="17"/>
                <w:szCs w:val="17"/>
                <w:lang w:eastAsia="en-NZ"/>
              </w:rPr>
            </w:pPr>
          </w:p>
        </w:tc>
        <w:tc>
          <w:tcPr>
            <w:tcW w:w="1098" w:type="dxa"/>
            <w:tcBorders>
              <w:top w:val="single" w:sz="4" w:space="0" w:color="A6A6A6" w:themeColor="background1" w:themeShade="A6"/>
            </w:tcBorders>
            <w:shd w:val="clear" w:color="auto" w:fill="auto"/>
            <w:noWrap/>
          </w:tcPr>
          <w:p w:rsidR="00000745" w:rsidRPr="00994D19" w:rsidRDefault="00000745" w:rsidP="00994D19">
            <w:pPr>
              <w:pStyle w:val="TableText"/>
              <w:keepNext/>
              <w:tabs>
                <w:tab w:val="decimal" w:pos="691"/>
              </w:tabs>
              <w:rPr>
                <w:b/>
                <w:sz w:val="17"/>
                <w:szCs w:val="17"/>
                <w:lang w:eastAsia="en-NZ"/>
              </w:rPr>
            </w:pPr>
          </w:p>
        </w:tc>
        <w:tc>
          <w:tcPr>
            <w:tcW w:w="1170" w:type="dxa"/>
            <w:tcBorders>
              <w:top w:val="single" w:sz="4" w:space="0" w:color="A6A6A6" w:themeColor="background1" w:themeShade="A6"/>
            </w:tcBorders>
            <w:shd w:val="clear" w:color="auto" w:fill="auto"/>
            <w:noWrap/>
          </w:tcPr>
          <w:p w:rsidR="00000745" w:rsidRPr="00994D19" w:rsidRDefault="00000745" w:rsidP="00994D19">
            <w:pPr>
              <w:pStyle w:val="TableText"/>
              <w:keepNext/>
              <w:tabs>
                <w:tab w:val="decimal" w:pos="666"/>
              </w:tabs>
              <w:rPr>
                <w:b/>
                <w:sz w:val="17"/>
                <w:szCs w:val="17"/>
                <w:lang w:eastAsia="en-NZ"/>
              </w:rPr>
            </w:pPr>
          </w:p>
        </w:tc>
        <w:tc>
          <w:tcPr>
            <w:tcW w:w="1465" w:type="dxa"/>
            <w:tcBorders>
              <w:top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923"/>
              </w:tabs>
              <w:rPr>
                <w:b/>
                <w:sz w:val="17"/>
                <w:szCs w:val="17"/>
                <w:lang w:eastAsia="en-NZ"/>
              </w:rPr>
            </w:pPr>
            <w:r w:rsidRPr="00994D19">
              <w:rPr>
                <w:b/>
                <w:sz w:val="17"/>
                <w:szCs w:val="17"/>
                <w:lang w:eastAsia="en-NZ"/>
              </w:rPr>
              <w:t>$356,410</w:t>
            </w:r>
          </w:p>
        </w:tc>
        <w:tc>
          <w:tcPr>
            <w:tcW w:w="1229" w:type="dxa"/>
            <w:tcBorders>
              <w:top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33"/>
              </w:tabs>
              <w:rPr>
                <w:b/>
                <w:sz w:val="17"/>
                <w:szCs w:val="17"/>
                <w:lang w:eastAsia="en-NZ"/>
              </w:rPr>
            </w:pPr>
            <w:r w:rsidRPr="00994D19">
              <w:rPr>
                <w:b/>
                <w:sz w:val="17"/>
                <w:szCs w:val="17"/>
                <w:lang w:eastAsia="en-NZ"/>
              </w:rPr>
              <w:t>$887,650</w:t>
            </w:r>
          </w:p>
        </w:tc>
        <w:tc>
          <w:tcPr>
            <w:tcW w:w="992" w:type="dxa"/>
            <w:tcBorders>
              <w:top w:val="single" w:sz="4" w:space="0" w:color="A6A6A6" w:themeColor="background1" w:themeShade="A6"/>
            </w:tcBorders>
            <w:shd w:val="clear" w:color="auto" w:fill="auto"/>
            <w:noWrap/>
            <w:hideMark/>
          </w:tcPr>
          <w:p w:rsidR="00000745" w:rsidRPr="00994D19" w:rsidRDefault="00000745" w:rsidP="00994D19">
            <w:pPr>
              <w:pStyle w:val="TableText"/>
              <w:keepNext/>
              <w:tabs>
                <w:tab w:val="decimal" w:pos="878"/>
              </w:tabs>
              <w:rPr>
                <w:b/>
                <w:sz w:val="17"/>
                <w:szCs w:val="17"/>
                <w:lang w:eastAsia="en-NZ"/>
              </w:rPr>
            </w:pPr>
            <w:r w:rsidRPr="00994D19">
              <w:rPr>
                <w:b/>
                <w:sz w:val="17"/>
                <w:szCs w:val="17"/>
                <w:lang w:eastAsia="en-NZ"/>
              </w:rPr>
              <w:t>$1,244,060</w:t>
            </w:r>
          </w:p>
        </w:tc>
      </w:tr>
    </w:tbl>
    <w:p w:rsidR="00000745" w:rsidRDefault="00000745" w:rsidP="00994D19"/>
    <w:p w:rsidR="00823DC8" w:rsidRDefault="00000745" w:rsidP="00994D19">
      <w:r>
        <w:t xml:space="preserve">Separate fees apply for each </w:t>
      </w:r>
      <w:r w:rsidR="00823DC8">
        <w:t>‘</w:t>
      </w:r>
      <w:r>
        <w:t>compliance verification entity</w:t>
      </w:r>
      <w:r w:rsidR="00823DC8">
        <w:t>’</w:t>
      </w:r>
      <w:r>
        <w:t xml:space="preserve"> requiring an individual audit. The Ministry of Health does not expect any change to existing audit practices, including the practice of allowing a single audit for multiple radiation sources so long as those sources are within the same audit programme. This means that the total applicable fee under the preferred option can be determined based on current audit arrangements.</w:t>
      </w:r>
    </w:p>
    <w:p w:rsidR="00000745" w:rsidRDefault="00000745" w:rsidP="00994D19"/>
    <w:p w:rsidR="00000745" w:rsidRPr="00346F17" w:rsidRDefault="00000745" w:rsidP="00994D19">
      <w:pPr>
        <w:pStyle w:val="Heading3"/>
      </w:pPr>
      <w:r>
        <w:t>Alternative option</w:t>
      </w:r>
    </w:p>
    <w:p w:rsidR="00823DC8" w:rsidRPr="00994D19" w:rsidRDefault="00000745" w:rsidP="00994D19">
      <w:pPr>
        <w:rPr>
          <w:i/>
        </w:rPr>
      </w:pPr>
      <w:r w:rsidRPr="00994D19">
        <w:rPr>
          <w:i/>
        </w:rPr>
        <w:t>Fees are based on the expected costs associated with each audit frequency.</w:t>
      </w:r>
    </w:p>
    <w:p w:rsidR="00994D19" w:rsidRDefault="00994D19" w:rsidP="00994D19"/>
    <w:p w:rsidR="00823DC8" w:rsidRDefault="00000745" w:rsidP="00994D19">
      <w:r>
        <w:t xml:space="preserve">Any viable </w:t>
      </w:r>
      <w:r w:rsidRPr="00CD5E89">
        <w:t xml:space="preserve">alternative option will need to justify the subsidisation of costs incurred in one </w:t>
      </w:r>
      <w:r>
        <w:t>audit frequency</w:t>
      </w:r>
      <w:r w:rsidRPr="00CD5E89">
        <w:t xml:space="preserve"> by </w:t>
      </w:r>
      <w:r>
        <w:t>fees recovered from another</w:t>
      </w:r>
      <w:r w:rsidRPr="00CD5E89">
        <w:t>.</w:t>
      </w:r>
      <w:r>
        <w:t xml:space="preserve"> </w:t>
      </w:r>
      <w:r w:rsidRPr="00CD5E89">
        <w:t>The Ministry of Health is not aware of such a justification.</w:t>
      </w:r>
    </w:p>
    <w:p w:rsidR="00000745" w:rsidRDefault="00000745" w:rsidP="00994D19"/>
    <w:p w:rsidR="00000745" w:rsidRPr="001B7CE8" w:rsidRDefault="00000745" w:rsidP="00994D19">
      <w:pPr>
        <w:pStyle w:val="BoxHeading"/>
      </w:pPr>
      <w:r w:rsidRPr="001B7CE8">
        <w:t>Consultation questions</w:t>
      </w:r>
    </w:p>
    <w:p w:rsidR="00823DC8" w:rsidRDefault="00994D19" w:rsidP="00994D19">
      <w:pPr>
        <w:pStyle w:val="Box"/>
        <w:ind w:left="851" w:hanging="567"/>
      </w:pPr>
      <w:r>
        <w:t>20.</w:t>
      </w:r>
      <w:r>
        <w:tab/>
      </w:r>
      <w:r w:rsidR="00000745" w:rsidRPr="009973BB">
        <w:t xml:space="preserve">Do you think </w:t>
      </w:r>
      <w:r w:rsidR="00000745">
        <w:t>the preferred option of varying fees on the basis of compliance verification frequency (see Table 5)</w:t>
      </w:r>
      <w:r w:rsidR="00000745" w:rsidRPr="009973BB">
        <w:t xml:space="preserve"> </w:t>
      </w:r>
      <w:r w:rsidR="00000745">
        <w:t>is justified</w:t>
      </w:r>
      <w:r w:rsidR="00000745" w:rsidRPr="009973BB">
        <w:t>?</w:t>
      </w:r>
      <w:r w:rsidR="00000745">
        <w:t xml:space="preserve"> Please provide your reasoning.</w:t>
      </w:r>
    </w:p>
    <w:p w:rsidR="00823DC8" w:rsidRDefault="00994D19" w:rsidP="00994D19">
      <w:pPr>
        <w:pStyle w:val="Box"/>
        <w:ind w:left="851" w:hanging="567"/>
      </w:pPr>
      <w:r>
        <w:t>21.</w:t>
      </w:r>
      <w:r>
        <w:tab/>
      </w:r>
      <w:r w:rsidR="00000745">
        <w:t xml:space="preserve">Do you think the preferred option of applying fees to </w:t>
      </w:r>
      <w:r w:rsidR="00823DC8">
        <w:t>‘</w:t>
      </w:r>
      <w:r w:rsidR="00000745">
        <w:t>compliance verification entities</w:t>
      </w:r>
      <w:r w:rsidR="00823DC8">
        <w:t>’</w:t>
      </w:r>
      <w:r w:rsidR="00000745">
        <w:t xml:space="preserve"> is justified? Please provide your reasoning.</w:t>
      </w:r>
    </w:p>
    <w:p w:rsidR="00823DC8" w:rsidRDefault="00994D19" w:rsidP="00994D19">
      <w:pPr>
        <w:pStyle w:val="Box"/>
        <w:ind w:left="851" w:hanging="567"/>
      </w:pPr>
      <w:r>
        <w:t>22.</w:t>
      </w:r>
      <w:r>
        <w:tab/>
      </w:r>
      <w:r w:rsidR="00000745">
        <w:t>If you think the preferred options are unjustified, please outline an alternative option for assigning source licence fees. Please provide a justification for your method.</w:t>
      </w:r>
    </w:p>
    <w:p w:rsidR="00823DC8" w:rsidRDefault="00994D19" w:rsidP="00994D19">
      <w:pPr>
        <w:pStyle w:val="Box"/>
        <w:ind w:left="851" w:hanging="567"/>
      </w:pPr>
      <w:r>
        <w:t>23.</w:t>
      </w:r>
      <w:r>
        <w:tab/>
      </w:r>
      <w:r w:rsidR="00000745">
        <w:t>Do you have any further comments, suggestions or alternative options?</w:t>
      </w:r>
    </w:p>
    <w:p w:rsidR="00000745" w:rsidRDefault="00000745" w:rsidP="00994D19">
      <w:pPr>
        <w:pStyle w:val="Box"/>
      </w:pPr>
      <w:r>
        <w:t xml:space="preserve">Please use the </w:t>
      </w:r>
      <w:r w:rsidR="00F810AB">
        <w:t>submission form</w:t>
      </w:r>
      <w:r>
        <w:t xml:space="preserve"> to respond to these questions.</w:t>
      </w:r>
    </w:p>
    <w:p w:rsidR="00994D19" w:rsidRDefault="00994D19" w:rsidP="00994D19"/>
    <w:p w:rsidR="00000745" w:rsidRPr="00FE6F5D" w:rsidRDefault="00000745" w:rsidP="00994D19">
      <w:pPr>
        <w:pStyle w:val="Heading2"/>
      </w:pPr>
      <w:bookmarkStart w:id="37" w:name="_Toc449001273"/>
      <w:bookmarkStart w:id="38" w:name="_Toc450059033"/>
      <w:r>
        <w:lastRenderedPageBreak/>
        <w:t>(f)</w:t>
      </w:r>
      <w:r w:rsidR="00994D19">
        <w:tab/>
      </w:r>
      <w:r>
        <w:t>Proposed u</w:t>
      </w:r>
      <w:r w:rsidRPr="009E2A1C">
        <w:t>se licence fees</w:t>
      </w:r>
      <w:bookmarkEnd w:id="37"/>
      <w:bookmarkEnd w:id="38"/>
    </w:p>
    <w:p w:rsidR="00823DC8" w:rsidRDefault="00000745" w:rsidP="00994D19">
      <w:pPr>
        <w:pStyle w:val="Heading3"/>
      </w:pPr>
      <w:r w:rsidRPr="003D01DF">
        <w:t>Background</w:t>
      </w:r>
    </w:p>
    <w:p w:rsidR="00823DC8" w:rsidRDefault="00000745" w:rsidP="00994D19">
      <w:pPr>
        <w:keepNext/>
      </w:pPr>
      <w:r w:rsidRPr="009E2A1C">
        <w:t xml:space="preserve">The costs associated with use licences </w:t>
      </w:r>
      <w:r>
        <w:t>will be</w:t>
      </w:r>
      <w:r w:rsidRPr="009E2A1C">
        <w:t xml:space="preserve"> in assessing whether the applicant meets the require</w:t>
      </w:r>
      <w:r>
        <w:t>ments to be granted a licence. These</w:t>
      </w:r>
      <w:r w:rsidRPr="009E2A1C">
        <w:t xml:space="preserve"> costs </w:t>
      </w:r>
      <w:r>
        <w:t>will be</w:t>
      </w:r>
      <w:r w:rsidRPr="009E2A1C">
        <w:t xml:space="preserve"> similar despite the differences in risk associated with using the source.</w:t>
      </w:r>
    </w:p>
    <w:p w:rsidR="00000745" w:rsidRDefault="00000745" w:rsidP="00994D19">
      <w:pPr>
        <w:keepNext/>
      </w:pPr>
    </w:p>
    <w:p w:rsidR="00823DC8" w:rsidRDefault="00000745" w:rsidP="00994D19">
      <w:pPr>
        <w:keepNext/>
      </w:pPr>
      <w:r>
        <w:t>We expect the cost associated with use licensing to be approximately</w:t>
      </w:r>
      <w:r w:rsidRPr="009E2A1C">
        <w:t xml:space="preserve"> $160,000 per year.</w:t>
      </w:r>
    </w:p>
    <w:p w:rsidR="00000745" w:rsidRDefault="00000745" w:rsidP="00994D19">
      <w:pPr>
        <w:keepNext/>
      </w:pPr>
    </w:p>
    <w:p w:rsidR="00823DC8" w:rsidRDefault="00000745" w:rsidP="00994D19">
      <w:r w:rsidRPr="00994D19">
        <w:t>Under current legislation there are 4500 use</w:t>
      </w:r>
      <w:r w:rsidRPr="009E2A1C">
        <w:t xml:space="preserve"> licences.</w:t>
      </w:r>
      <w:r>
        <w:t xml:space="preserve"> </w:t>
      </w:r>
      <w:r w:rsidRPr="009E2A1C">
        <w:t xml:space="preserve">However, under the </w:t>
      </w:r>
      <w:r>
        <w:t>Act</w:t>
      </w:r>
      <w:r w:rsidRPr="009E2A1C">
        <w:t xml:space="preserve"> we expect this number to dr</w:t>
      </w:r>
      <w:r>
        <w:t>op to approximately 1660</w:t>
      </w:r>
      <w:r w:rsidRPr="009E2A1C">
        <w:t>.</w:t>
      </w:r>
      <w:r>
        <w:t xml:space="preserve"> </w:t>
      </w:r>
      <w:r w:rsidRPr="009E2A1C">
        <w:t>This is because we expect:</w:t>
      </w:r>
    </w:p>
    <w:p w:rsidR="00000745" w:rsidRPr="00094442" w:rsidRDefault="00000745" w:rsidP="00994D19">
      <w:pPr>
        <w:pStyle w:val="Bullet"/>
      </w:pPr>
      <w:r w:rsidRPr="00094442">
        <w:t xml:space="preserve">2800 fewer use licences if the proposals in discussion point </w:t>
      </w:r>
      <w:r>
        <w:t>1</w:t>
      </w:r>
      <w:r w:rsidRPr="00094442">
        <w:t>b are adopted</w:t>
      </w:r>
    </w:p>
    <w:p w:rsidR="00000745" w:rsidRPr="009E2A1C" w:rsidRDefault="00000745" w:rsidP="00994D19">
      <w:pPr>
        <w:pStyle w:val="Bullet"/>
      </w:pPr>
      <w:r>
        <w:t>38</w:t>
      </w:r>
      <w:r w:rsidRPr="009E2A1C">
        <w:t xml:space="preserve">0 </w:t>
      </w:r>
      <w:r>
        <w:t>fewer</w:t>
      </w:r>
      <w:r w:rsidRPr="009E2A1C">
        <w:t xml:space="preserve"> use licences for licensees who can be authorised to use a s</w:t>
      </w:r>
      <w:r>
        <w:t>ource under the source licence</w:t>
      </w:r>
      <w:r w:rsidRPr="009E2A1C">
        <w:t xml:space="preserve"> provision of </w:t>
      </w:r>
      <w:r>
        <w:t>section</w:t>
      </w:r>
      <w:r w:rsidRPr="009E2A1C">
        <w:t xml:space="preserve"> 1</w:t>
      </w:r>
      <w:r>
        <w:t>7</w:t>
      </w:r>
      <w:r w:rsidRPr="009E2A1C">
        <w:t>(2)</w:t>
      </w:r>
      <w:r>
        <w:t xml:space="preserve"> of the Act</w:t>
      </w:r>
    </w:p>
    <w:p w:rsidR="00823DC8" w:rsidRDefault="00000745" w:rsidP="00994D19">
      <w:pPr>
        <w:pStyle w:val="Bullet"/>
      </w:pPr>
      <w:r>
        <w:t>340</w:t>
      </w:r>
      <w:r w:rsidRPr="009E2A1C">
        <w:t xml:space="preserve"> more use licences for those people currently using radiation sources under supervision or </w:t>
      </w:r>
      <w:r>
        <w:t xml:space="preserve">the </w:t>
      </w:r>
      <w:r w:rsidRPr="009E2A1C">
        <w:t xml:space="preserve">instruction of a licensee but who will require a use licence under the </w:t>
      </w:r>
      <w:r>
        <w:t xml:space="preserve">modified rules relating to direct supervision and written instructions </w:t>
      </w:r>
      <w:r w:rsidRPr="009E2A1C">
        <w:t xml:space="preserve">in </w:t>
      </w:r>
      <w:r>
        <w:t>section 21(4)</w:t>
      </w:r>
      <w:r w:rsidRPr="009E2A1C">
        <w:t>.</w:t>
      </w:r>
    </w:p>
    <w:p w:rsidR="00000745" w:rsidRDefault="00000745" w:rsidP="00994D19"/>
    <w:p w:rsidR="00823DC8" w:rsidRDefault="00000745" w:rsidP="00994D19">
      <w:pPr>
        <w:pStyle w:val="Heading3"/>
      </w:pPr>
      <w:r w:rsidRPr="008205F4">
        <w:t>Preferred option</w:t>
      </w:r>
    </w:p>
    <w:p w:rsidR="00000745" w:rsidRPr="00994D19" w:rsidRDefault="00000745" w:rsidP="00994D19">
      <w:pPr>
        <w:rPr>
          <w:i/>
        </w:rPr>
      </w:pPr>
      <w:r w:rsidRPr="00994D19">
        <w:rPr>
          <w:i/>
        </w:rPr>
        <w:t>A single flat fee.</w:t>
      </w:r>
    </w:p>
    <w:p w:rsidR="00994D19" w:rsidRDefault="00994D19" w:rsidP="00994D19"/>
    <w:p w:rsidR="00823DC8" w:rsidRDefault="00000745" w:rsidP="00994D19">
      <w:r>
        <w:t>This option</w:t>
      </w:r>
      <w:r w:rsidRPr="009E2A1C">
        <w:t xml:space="preserve"> </w:t>
      </w:r>
      <w:r>
        <w:t xml:space="preserve">is preferred </w:t>
      </w:r>
      <w:r w:rsidRPr="009E2A1C">
        <w:t>for use licences despite the differences in risks associated with the uses.</w:t>
      </w:r>
      <w:r>
        <w:t xml:space="preserve"> </w:t>
      </w:r>
      <w:r w:rsidRPr="009E2A1C">
        <w:t xml:space="preserve">Therefore, the </w:t>
      </w:r>
      <w:r>
        <w:t xml:space="preserve">annual </w:t>
      </w:r>
      <w:r w:rsidRPr="009E2A1C">
        <w:t xml:space="preserve">cost per use licence is </w:t>
      </w:r>
      <w:r>
        <w:t xml:space="preserve">approximately </w:t>
      </w:r>
      <w:r w:rsidRPr="009E2A1C">
        <w:t>$</w:t>
      </w:r>
      <w:r>
        <w:t>95 per year (exclusive of GST)</w:t>
      </w:r>
      <w:r w:rsidRPr="009E2A1C">
        <w:t>.</w:t>
      </w:r>
    </w:p>
    <w:p w:rsidR="00000745" w:rsidRPr="009E2A1C" w:rsidRDefault="00000745" w:rsidP="00994D19"/>
    <w:p w:rsidR="00000745" w:rsidRDefault="00000745" w:rsidP="00994D19">
      <w:r>
        <w:t xml:space="preserve">The preferred option </w:t>
      </w:r>
      <w:r w:rsidRPr="00094442">
        <w:t xml:space="preserve">from discussion point </w:t>
      </w:r>
      <w:r>
        <w:t>1</w:t>
      </w:r>
      <w:r w:rsidRPr="00094442">
        <w:t>c is</w:t>
      </w:r>
      <w:r>
        <w:t xml:space="preserve"> that the </w:t>
      </w:r>
      <w:r w:rsidRPr="001B7CE8">
        <w:t>Director</w:t>
      </w:r>
      <w:r>
        <w:t xml:space="preserve"> will be able to issue use licences for periods up to a maximum of 3 years. Therefore, use licence fees, exclusive of GST, would be:</w:t>
      </w:r>
    </w:p>
    <w:p w:rsidR="00823DC8" w:rsidRDefault="00000745" w:rsidP="00994D19">
      <w:pPr>
        <w:pStyle w:val="Bullet"/>
      </w:pPr>
      <w:r>
        <w:t>$95 for one year</w:t>
      </w:r>
    </w:p>
    <w:p w:rsidR="00823DC8" w:rsidRDefault="00000745" w:rsidP="00994D19">
      <w:pPr>
        <w:pStyle w:val="Bullet"/>
      </w:pPr>
      <w:r>
        <w:t>$190 for two years</w:t>
      </w:r>
    </w:p>
    <w:p w:rsidR="00823DC8" w:rsidRDefault="00000745" w:rsidP="00994D19">
      <w:pPr>
        <w:pStyle w:val="Bullet"/>
      </w:pPr>
      <w:r>
        <w:t>$285 for three years.</w:t>
      </w:r>
    </w:p>
    <w:p w:rsidR="00000745" w:rsidRDefault="00000745" w:rsidP="00994D19"/>
    <w:p w:rsidR="00000745" w:rsidRPr="008205F4" w:rsidRDefault="00000745" w:rsidP="00994D19">
      <w:pPr>
        <w:pStyle w:val="Heading3"/>
      </w:pPr>
      <w:r>
        <w:t>Alternative option</w:t>
      </w:r>
    </w:p>
    <w:p w:rsidR="00823DC8" w:rsidRPr="00994D19" w:rsidRDefault="00000745" w:rsidP="00994D19">
      <w:pPr>
        <w:rPr>
          <w:i/>
        </w:rPr>
      </w:pPr>
      <w:r w:rsidRPr="00994D19">
        <w:rPr>
          <w:i/>
        </w:rPr>
        <w:t>Fees are based on the expected total costs of use licensing.</w:t>
      </w:r>
    </w:p>
    <w:p w:rsidR="00994D19" w:rsidRDefault="00994D19" w:rsidP="00994D19"/>
    <w:p w:rsidR="00823DC8" w:rsidRDefault="00000745" w:rsidP="00994D19">
      <w:r>
        <w:t xml:space="preserve">Any viable </w:t>
      </w:r>
      <w:r w:rsidRPr="00CD5E89">
        <w:t xml:space="preserve">alternative option will need to justify </w:t>
      </w:r>
      <w:r>
        <w:t>differential fees for use licences. The Ministry of Health</w:t>
      </w:r>
      <w:r w:rsidR="00823DC8">
        <w:t>’</w:t>
      </w:r>
      <w:r>
        <w:t xml:space="preserve">s view is that differential use licence fees will cost slightly more to administer and </w:t>
      </w:r>
      <w:r w:rsidR="0072286B">
        <w:t xml:space="preserve">that there is little to justify </w:t>
      </w:r>
      <w:r>
        <w:t>this option</w:t>
      </w:r>
      <w:r w:rsidRPr="00CD5E89">
        <w:t>.</w:t>
      </w:r>
    </w:p>
    <w:p w:rsidR="00000745" w:rsidRDefault="00000745" w:rsidP="00994D19"/>
    <w:p w:rsidR="00000745" w:rsidRPr="001B7CE8" w:rsidRDefault="00000745" w:rsidP="00994D19">
      <w:pPr>
        <w:pStyle w:val="BoxHeading"/>
        <w:keepNext/>
      </w:pPr>
      <w:r w:rsidRPr="001B7CE8">
        <w:t>Consultation question</w:t>
      </w:r>
      <w:r w:rsidR="003459BC">
        <w:t>s</w:t>
      </w:r>
    </w:p>
    <w:p w:rsidR="00000745" w:rsidRDefault="00994D19" w:rsidP="00994D19">
      <w:pPr>
        <w:pStyle w:val="Box"/>
        <w:keepNext/>
        <w:ind w:left="851" w:hanging="567"/>
      </w:pPr>
      <w:r>
        <w:t>24.</w:t>
      </w:r>
      <w:r>
        <w:tab/>
      </w:r>
      <w:r w:rsidR="00000745">
        <w:t>Do you think the preferred use licence fee is justified?</w:t>
      </w:r>
    </w:p>
    <w:p w:rsidR="00000745" w:rsidRPr="002F1FFA" w:rsidRDefault="00994D19" w:rsidP="00994D19">
      <w:pPr>
        <w:pStyle w:val="Box"/>
        <w:keepNext/>
        <w:ind w:left="851" w:hanging="567"/>
      </w:pPr>
      <w:r>
        <w:t>25.</w:t>
      </w:r>
      <w:r>
        <w:tab/>
      </w:r>
      <w:r w:rsidR="00000745" w:rsidRPr="002F1FFA">
        <w:t>If</w:t>
      </w:r>
      <w:r w:rsidR="00000745">
        <w:t xml:space="preserve"> you think the preferred option</w:t>
      </w:r>
      <w:r w:rsidR="00000745" w:rsidRPr="002F1FFA">
        <w:t xml:space="preserve"> </w:t>
      </w:r>
      <w:r w:rsidR="00000745">
        <w:t>is</w:t>
      </w:r>
      <w:r w:rsidR="00000745" w:rsidRPr="002F1FFA">
        <w:t xml:space="preserve"> un</w:t>
      </w:r>
      <w:r w:rsidR="00000745">
        <w:t>justified</w:t>
      </w:r>
      <w:r w:rsidR="00000745" w:rsidRPr="002F1FFA">
        <w:t xml:space="preserve">, please outline an alternative option for assigning </w:t>
      </w:r>
      <w:r w:rsidR="00000745">
        <w:t>use</w:t>
      </w:r>
      <w:r w:rsidR="00000745" w:rsidRPr="002F1FFA">
        <w:t xml:space="preserve"> licence fees</w:t>
      </w:r>
      <w:r w:rsidR="00000745">
        <w:t xml:space="preserve">. </w:t>
      </w:r>
      <w:r w:rsidR="00000745" w:rsidRPr="002F1FFA">
        <w:t>Please provide a justification for your method.</w:t>
      </w:r>
    </w:p>
    <w:p w:rsidR="00823DC8" w:rsidRDefault="00994D19" w:rsidP="00994D19">
      <w:pPr>
        <w:pStyle w:val="Box"/>
        <w:keepNext/>
        <w:ind w:left="851" w:hanging="567"/>
      </w:pPr>
      <w:r>
        <w:t>26.</w:t>
      </w:r>
      <w:r>
        <w:tab/>
      </w:r>
      <w:r w:rsidR="00000745">
        <w:t>Do you have any further comments, suggestions or alternative options?</w:t>
      </w:r>
    </w:p>
    <w:p w:rsidR="00000745" w:rsidRDefault="00000745" w:rsidP="00994D19">
      <w:pPr>
        <w:pStyle w:val="Box"/>
        <w:keepNext/>
      </w:pPr>
      <w:r>
        <w:t xml:space="preserve">Please use the </w:t>
      </w:r>
      <w:r w:rsidR="00F810AB">
        <w:t>submission form</w:t>
      </w:r>
      <w:r>
        <w:t xml:space="preserve"> to respond to these questions.</w:t>
      </w:r>
    </w:p>
    <w:p w:rsidR="00000745" w:rsidRPr="009E2A1C" w:rsidRDefault="00000745" w:rsidP="00994D19"/>
    <w:p w:rsidR="00000745" w:rsidRPr="008A307E" w:rsidRDefault="00000745" w:rsidP="00994D19">
      <w:pPr>
        <w:pStyle w:val="Heading2"/>
      </w:pPr>
      <w:bookmarkStart w:id="39" w:name="_Toc449001274"/>
      <w:bookmarkStart w:id="40" w:name="_Toc450059034"/>
      <w:r>
        <w:lastRenderedPageBreak/>
        <w:t>(g)</w:t>
      </w:r>
      <w:r w:rsidR="00994D19">
        <w:tab/>
      </w:r>
      <w:r>
        <w:t>Proposed c</w:t>
      </w:r>
      <w:r w:rsidRPr="009E2A1C">
        <w:t>onsent fees</w:t>
      </w:r>
      <w:bookmarkEnd w:id="39"/>
      <w:bookmarkEnd w:id="40"/>
    </w:p>
    <w:p w:rsidR="00823DC8" w:rsidRDefault="00000745" w:rsidP="00994D19">
      <w:pPr>
        <w:pStyle w:val="Heading3"/>
      </w:pPr>
      <w:r w:rsidRPr="003D01DF">
        <w:t>Background</w:t>
      </w:r>
    </w:p>
    <w:p w:rsidR="00823DC8" w:rsidRDefault="00000745" w:rsidP="00994D19">
      <w:r w:rsidRPr="00DA03A9">
        <w:rPr>
          <w:b/>
        </w:rPr>
        <w:t>Consents</w:t>
      </w:r>
      <w:r w:rsidRPr="009E2A1C">
        <w:t xml:space="preserve"> </w:t>
      </w:r>
      <w:r>
        <w:t>will be</w:t>
      </w:r>
      <w:r w:rsidRPr="009E2A1C">
        <w:t xml:space="preserve"> issued for the import and export of </w:t>
      </w:r>
      <w:r w:rsidRPr="00DA03A9">
        <w:rPr>
          <w:b/>
        </w:rPr>
        <w:t>radioactive material</w:t>
      </w:r>
      <w:r w:rsidRPr="009E2A1C">
        <w:t xml:space="preserve"> under </w:t>
      </w:r>
      <w:r>
        <w:t>section 24</w:t>
      </w:r>
      <w:r w:rsidRPr="009E2A1C">
        <w:t xml:space="preserve"> of the </w:t>
      </w:r>
      <w:r>
        <w:t>Act</w:t>
      </w:r>
      <w:r w:rsidRPr="009E2A1C">
        <w:t>.</w:t>
      </w:r>
      <w:r>
        <w:t xml:space="preserve"> Currently, c</w:t>
      </w:r>
      <w:r w:rsidRPr="009E2A1C">
        <w:t xml:space="preserve">onsents are issued for </w:t>
      </w:r>
      <w:r>
        <w:t xml:space="preserve">individual consignments of radioactive material </w:t>
      </w:r>
      <w:r w:rsidRPr="00775A36">
        <w:t>and the costs of considering applications are dependent on the risk associated with the radiation source.</w:t>
      </w:r>
      <w:r>
        <w:t xml:space="preserve"> </w:t>
      </w:r>
      <w:r w:rsidRPr="009E2A1C">
        <w:t>The cost of administering the entire consent system is a</w:t>
      </w:r>
      <w:r>
        <w:t>pproximately $30,000 per year. The operation and cost of regulating consents under the new Act is expected to remain unchanged.</w:t>
      </w:r>
    </w:p>
    <w:p w:rsidR="00000745" w:rsidRDefault="00000745" w:rsidP="00994D19"/>
    <w:p w:rsidR="00823DC8" w:rsidRDefault="00000745" w:rsidP="00994D19">
      <w:pPr>
        <w:pStyle w:val="Heading3"/>
      </w:pPr>
      <w:r w:rsidRPr="00DA03A9">
        <w:t>Preferred option</w:t>
      </w:r>
    </w:p>
    <w:p w:rsidR="00823DC8" w:rsidRPr="00994D19" w:rsidRDefault="00000745" w:rsidP="00994D19">
      <w:pPr>
        <w:rPr>
          <w:i/>
        </w:rPr>
      </w:pPr>
      <w:r w:rsidRPr="00994D19">
        <w:rPr>
          <w:i/>
        </w:rPr>
        <w:t>Different fees for individual consents are set to reflect the cost of regulation for each source.</w:t>
      </w:r>
    </w:p>
    <w:p w:rsidR="00994D19" w:rsidRDefault="00994D19" w:rsidP="00994D19"/>
    <w:p w:rsidR="00823DC8" w:rsidRDefault="00000745" w:rsidP="00994D19">
      <w:r w:rsidRPr="00EB5110">
        <w:t>Regulatory practice will be based on international convention requirements and International Atomic Energy Agency (IAEA) guidance.</w:t>
      </w:r>
    </w:p>
    <w:p w:rsidR="00000745" w:rsidRDefault="00000745" w:rsidP="00994D19"/>
    <w:p w:rsidR="00823DC8" w:rsidRDefault="00000745" w:rsidP="00994D19">
      <w:r>
        <w:t xml:space="preserve">The Ministry of Health also prefers to offer a </w:t>
      </w:r>
      <w:r w:rsidR="00823DC8">
        <w:t>‘</w:t>
      </w:r>
      <w:r>
        <w:t>general consent</w:t>
      </w:r>
      <w:r w:rsidR="00823DC8">
        <w:t>’</w:t>
      </w:r>
      <w:r>
        <w:t xml:space="preserve"> to allow consent holders to make multiple imports under the same consent. This allows </w:t>
      </w:r>
      <w:r w:rsidRPr="001B7CE8">
        <w:rPr>
          <w:b/>
        </w:rPr>
        <w:t>unsealed radioactive material</w:t>
      </w:r>
      <w:r>
        <w:t xml:space="preserve"> (which usually has a short half-life) for use in medical applications to cross the border as efficiently as possible.</w:t>
      </w:r>
    </w:p>
    <w:p w:rsidR="00000745" w:rsidRDefault="00000745" w:rsidP="00994D19"/>
    <w:p w:rsidR="00823DC8" w:rsidRDefault="00000745" w:rsidP="00994D19">
      <w:r>
        <w:t xml:space="preserve">The preferred option </w:t>
      </w:r>
      <w:r w:rsidRPr="00094442">
        <w:t xml:space="preserve">from discussion point </w:t>
      </w:r>
      <w:r>
        <w:t>1</w:t>
      </w:r>
      <w:r w:rsidRPr="00094442">
        <w:t>c of</w:t>
      </w:r>
      <w:r>
        <w:t xml:space="preserve"> this document is that </w:t>
      </w:r>
      <w:r w:rsidRPr="00775A36">
        <w:t>individual consents will be issued for the specific import/export event</w:t>
      </w:r>
      <w:r>
        <w:t>,</w:t>
      </w:r>
      <w:r w:rsidRPr="00775A36">
        <w:t xml:space="preserve"> and general consents will be limited to a duration of one year.</w:t>
      </w:r>
      <w:r>
        <w:t xml:space="preserve"> The proposed consent fees are outlined in Table 7.</w:t>
      </w:r>
    </w:p>
    <w:p w:rsidR="00000745" w:rsidRDefault="00000745" w:rsidP="00994D19"/>
    <w:p w:rsidR="00000745" w:rsidRPr="00994D19" w:rsidRDefault="00000745" w:rsidP="00994D19">
      <w:pPr>
        <w:pStyle w:val="Table"/>
      </w:pPr>
      <w:bookmarkStart w:id="41" w:name="_Toc450059065"/>
      <w:r w:rsidRPr="001B7CE8">
        <w:t>Table 7: Proposed consent fees under the Act (exclusive of GST)</w:t>
      </w:r>
      <w:bookmarkEnd w:id="4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119"/>
        <w:gridCol w:w="3969"/>
        <w:gridCol w:w="1134"/>
        <w:gridCol w:w="1134"/>
      </w:tblGrid>
      <w:tr w:rsidR="00000745" w:rsidRPr="00026948" w:rsidTr="00026948">
        <w:trPr>
          <w:cantSplit/>
        </w:trPr>
        <w:tc>
          <w:tcPr>
            <w:tcW w:w="3119" w:type="dxa"/>
            <w:tcBorders>
              <w:top w:val="single" w:sz="4" w:space="0" w:color="auto"/>
              <w:bottom w:val="single" w:sz="4" w:space="0" w:color="auto"/>
            </w:tcBorders>
            <w:shd w:val="clear" w:color="auto" w:fill="auto"/>
            <w:noWrap/>
            <w:hideMark/>
          </w:tcPr>
          <w:p w:rsidR="00000745" w:rsidRPr="00026948" w:rsidRDefault="00000745" w:rsidP="00026948">
            <w:pPr>
              <w:pStyle w:val="TableText"/>
              <w:rPr>
                <w:b/>
                <w:lang w:eastAsia="en-NZ"/>
              </w:rPr>
            </w:pPr>
            <w:r w:rsidRPr="00026948">
              <w:rPr>
                <w:b/>
                <w:lang w:eastAsia="en-NZ"/>
              </w:rPr>
              <w:t>Category</w:t>
            </w:r>
          </w:p>
        </w:tc>
        <w:tc>
          <w:tcPr>
            <w:tcW w:w="3969" w:type="dxa"/>
            <w:tcBorders>
              <w:top w:val="single" w:sz="4" w:space="0" w:color="auto"/>
              <w:bottom w:val="single" w:sz="4" w:space="0" w:color="auto"/>
            </w:tcBorders>
            <w:shd w:val="clear" w:color="auto" w:fill="auto"/>
            <w:noWrap/>
            <w:hideMark/>
          </w:tcPr>
          <w:p w:rsidR="00000745" w:rsidRPr="00026948" w:rsidRDefault="00000745" w:rsidP="00026948">
            <w:pPr>
              <w:pStyle w:val="TableText"/>
              <w:jc w:val="center"/>
              <w:rPr>
                <w:b/>
                <w:lang w:eastAsia="en-NZ"/>
              </w:rPr>
            </w:pPr>
            <w:r w:rsidRPr="00026948">
              <w:rPr>
                <w:b/>
                <w:lang w:eastAsia="en-NZ"/>
              </w:rPr>
              <w:t>Approximate number of consents (per year)</w:t>
            </w:r>
          </w:p>
        </w:tc>
        <w:tc>
          <w:tcPr>
            <w:tcW w:w="1134" w:type="dxa"/>
            <w:tcBorders>
              <w:top w:val="single" w:sz="4" w:space="0" w:color="auto"/>
              <w:bottom w:val="single" w:sz="4" w:space="0" w:color="auto"/>
            </w:tcBorders>
            <w:shd w:val="clear" w:color="auto" w:fill="auto"/>
            <w:noWrap/>
            <w:hideMark/>
          </w:tcPr>
          <w:p w:rsidR="00000745" w:rsidRPr="00026948" w:rsidRDefault="00000745" w:rsidP="00026948">
            <w:pPr>
              <w:pStyle w:val="TableText"/>
              <w:jc w:val="center"/>
              <w:rPr>
                <w:b/>
                <w:lang w:eastAsia="en-NZ"/>
              </w:rPr>
            </w:pPr>
            <w:r w:rsidRPr="00026948">
              <w:rPr>
                <w:b/>
                <w:lang w:eastAsia="en-NZ"/>
              </w:rPr>
              <w:t>Fee</w:t>
            </w:r>
          </w:p>
        </w:tc>
        <w:tc>
          <w:tcPr>
            <w:tcW w:w="1134" w:type="dxa"/>
            <w:tcBorders>
              <w:top w:val="single" w:sz="4" w:space="0" w:color="auto"/>
              <w:bottom w:val="single" w:sz="4" w:space="0" w:color="auto"/>
            </w:tcBorders>
            <w:shd w:val="clear" w:color="auto" w:fill="auto"/>
            <w:noWrap/>
            <w:hideMark/>
          </w:tcPr>
          <w:p w:rsidR="00000745" w:rsidRPr="00026948" w:rsidRDefault="00000745" w:rsidP="00026948">
            <w:pPr>
              <w:pStyle w:val="TableText"/>
              <w:jc w:val="center"/>
              <w:rPr>
                <w:b/>
                <w:lang w:eastAsia="en-NZ"/>
              </w:rPr>
            </w:pPr>
            <w:r w:rsidRPr="00026948">
              <w:rPr>
                <w:b/>
                <w:lang w:eastAsia="en-NZ"/>
              </w:rPr>
              <w:t>Total</w:t>
            </w:r>
          </w:p>
        </w:tc>
      </w:tr>
      <w:tr w:rsidR="00000745" w:rsidRPr="00456167" w:rsidTr="00026948">
        <w:trPr>
          <w:cantSplit/>
        </w:trPr>
        <w:tc>
          <w:tcPr>
            <w:tcW w:w="3119" w:type="dxa"/>
            <w:tcBorders>
              <w:top w:val="single" w:sz="4" w:space="0" w:color="auto"/>
              <w:bottom w:val="single" w:sz="4" w:space="0" w:color="A6A6A6" w:themeColor="background1" w:themeShade="A6"/>
            </w:tcBorders>
            <w:shd w:val="clear" w:color="auto" w:fill="auto"/>
            <w:noWrap/>
            <w:hideMark/>
          </w:tcPr>
          <w:p w:rsidR="00000745" w:rsidRPr="00456167" w:rsidRDefault="00000745" w:rsidP="00026948">
            <w:pPr>
              <w:pStyle w:val="TableText"/>
              <w:rPr>
                <w:lang w:eastAsia="en-NZ"/>
              </w:rPr>
            </w:pPr>
            <w:r w:rsidRPr="00094442">
              <w:rPr>
                <w:lang w:eastAsia="en-NZ"/>
              </w:rPr>
              <w:t>IAEA category 1 and 2</w:t>
            </w:r>
            <w:r w:rsidRPr="00026948">
              <w:rPr>
                <w:rStyle w:val="FootnoteReference"/>
              </w:rPr>
              <w:footnoteReference w:id="4"/>
            </w:r>
            <w:r w:rsidRPr="00094442">
              <w:rPr>
                <w:lang w:eastAsia="en-NZ"/>
              </w:rPr>
              <w:t xml:space="preserve"> sealed</w:t>
            </w:r>
            <w:r w:rsidRPr="00456167">
              <w:rPr>
                <w:lang w:eastAsia="en-NZ"/>
              </w:rPr>
              <w:t xml:space="preserve"> sources</w:t>
            </w:r>
          </w:p>
        </w:tc>
        <w:tc>
          <w:tcPr>
            <w:tcW w:w="3969" w:type="dxa"/>
            <w:tcBorders>
              <w:top w:val="single" w:sz="4" w:space="0" w:color="auto"/>
              <w:bottom w:val="single" w:sz="4" w:space="0" w:color="A6A6A6" w:themeColor="background1" w:themeShade="A6"/>
            </w:tcBorders>
            <w:shd w:val="clear" w:color="auto" w:fill="auto"/>
            <w:noWrap/>
            <w:hideMark/>
          </w:tcPr>
          <w:p w:rsidR="00000745" w:rsidRPr="00456167" w:rsidRDefault="00000745" w:rsidP="00026948">
            <w:pPr>
              <w:pStyle w:val="TableText"/>
              <w:jc w:val="center"/>
              <w:rPr>
                <w:lang w:eastAsia="en-NZ"/>
              </w:rPr>
            </w:pPr>
            <w:r w:rsidRPr="00456167">
              <w:rPr>
                <w:lang w:eastAsia="en-NZ"/>
              </w:rPr>
              <w:t>7</w:t>
            </w:r>
          </w:p>
        </w:tc>
        <w:tc>
          <w:tcPr>
            <w:tcW w:w="1134" w:type="dxa"/>
            <w:tcBorders>
              <w:top w:val="single" w:sz="4" w:space="0" w:color="auto"/>
              <w:bottom w:val="single" w:sz="4" w:space="0" w:color="A6A6A6" w:themeColor="background1" w:themeShade="A6"/>
            </w:tcBorders>
            <w:shd w:val="clear" w:color="auto" w:fill="auto"/>
            <w:noWrap/>
            <w:hideMark/>
          </w:tcPr>
          <w:p w:rsidR="00000745" w:rsidRPr="00456167" w:rsidRDefault="00000745" w:rsidP="00026948">
            <w:pPr>
              <w:pStyle w:val="TableText"/>
              <w:tabs>
                <w:tab w:val="decimal" w:pos="652"/>
              </w:tabs>
              <w:rPr>
                <w:lang w:eastAsia="en-NZ"/>
              </w:rPr>
            </w:pPr>
            <w:r w:rsidRPr="00456167">
              <w:rPr>
                <w:lang w:eastAsia="en-NZ"/>
              </w:rPr>
              <w:t>$300</w:t>
            </w:r>
          </w:p>
        </w:tc>
        <w:tc>
          <w:tcPr>
            <w:tcW w:w="1134" w:type="dxa"/>
            <w:tcBorders>
              <w:top w:val="single" w:sz="4" w:space="0" w:color="auto"/>
              <w:bottom w:val="single" w:sz="4" w:space="0" w:color="A6A6A6" w:themeColor="background1" w:themeShade="A6"/>
            </w:tcBorders>
            <w:shd w:val="clear" w:color="auto" w:fill="auto"/>
            <w:noWrap/>
            <w:hideMark/>
          </w:tcPr>
          <w:p w:rsidR="00000745" w:rsidRPr="00456167" w:rsidRDefault="00000745" w:rsidP="00026948">
            <w:pPr>
              <w:pStyle w:val="TableText"/>
              <w:tabs>
                <w:tab w:val="decimal" w:pos="793"/>
              </w:tabs>
              <w:rPr>
                <w:lang w:eastAsia="en-NZ"/>
              </w:rPr>
            </w:pPr>
            <w:r w:rsidRPr="00456167">
              <w:rPr>
                <w:lang w:eastAsia="en-NZ"/>
              </w:rPr>
              <w:t>$2,100</w:t>
            </w:r>
          </w:p>
        </w:tc>
      </w:tr>
      <w:tr w:rsidR="00000745" w:rsidRPr="00456167" w:rsidTr="00026948">
        <w:trPr>
          <w:cantSplit/>
        </w:trPr>
        <w:tc>
          <w:tcPr>
            <w:tcW w:w="311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rPr>
                <w:lang w:eastAsia="en-NZ"/>
              </w:rPr>
            </w:pPr>
            <w:r w:rsidRPr="00456167">
              <w:rPr>
                <w:lang w:eastAsia="en-NZ"/>
              </w:rPr>
              <w:t>IAEA category 3, 4 and 5 sealed sources</w:t>
            </w:r>
          </w:p>
        </w:tc>
        <w:tc>
          <w:tcPr>
            <w:tcW w:w="396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jc w:val="center"/>
              <w:rPr>
                <w:lang w:eastAsia="en-NZ"/>
              </w:rPr>
            </w:pPr>
            <w:r w:rsidRPr="00456167">
              <w:rPr>
                <w:lang w:eastAsia="en-NZ"/>
              </w:rPr>
              <w:t>245</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tabs>
                <w:tab w:val="decimal" w:pos="652"/>
              </w:tabs>
              <w:rPr>
                <w:lang w:eastAsia="en-NZ"/>
              </w:rPr>
            </w:pPr>
            <w:r w:rsidRPr="00456167">
              <w:rPr>
                <w:lang w:eastAsia="en-NZ"/>
              </w:rPr>
              <w:t>$80</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tabs>
                <w:tab w:val="decimal" w:pos="793"/>
              </w:tabs>
              <w:rPr>
                <w:lang w:eastAsia="en-NZ"/>
              </w:rPr>
            </w:pPr>
            <w:r w:rsidRPr="00456167">
              <w:rPr>
                <w:lang w:eastAsia="en-NZ"/>
              </w:rPr>
              <w:t>$19,600</w:t>
            </w:r>
          </w:p>
        </w:tc>
      </w:tr>
      <w:tr w:rsidR="00000745" w:rsidRPr="00456167" w:rsidTr="00026948">
        <w:trPr>
          <w:cantSplit/>
        </w:trPr>
        <w:tc>
          <w:tcPr>
            <w:tcW w:w="311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rPr>
                <w:lang w:eastAsia="en-NZ"/>
              </w:rPr>
            </w:pPr>
            <w:r w:rsidRPr="00456167">
              <w:rPr>
                <w:lang w:eastAsia="en-NZ"/>
              </w:rPr>
              <w:t>Unsealed radioactive material</w:t>
            </w:r>
          </w:p>
        </w:tc>
        <w:tc>
          <w:tcPr>
            <w:tcW w:w="396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jc w:val="center"/>
              <w:rPr>
                <w:lang w:eastAsia="en-NZ"/>
              </w:rPr>
            </w:pPr>
            <w:r>
              <w:rPr>
                <w:lang w:eastAsia="en-NZ"/>
              </w:rPr>
              <w:t>I</w:t>
            </w:r>
            <w:r w:rsidRPr="00775A36">
              <w:rPr>
                <w:lang w:eastAsia="en-NZ"/>
              </w:rPr>
              <w:t>nfrequent and on a case-by-case basis</w:t>
            </w:r>
          </w:p>
        </w:tc>
        <w:tc>
          <w:tcPr>
            <w:tcW w:w="1134" w:type="dxa"/>
            <w:tcBorders>
              <w:top w:val="single" w:sz="4" w:space="0" w:color="A6A6A6" w:themeColor="background1" w:themeShade="A6"/>
              <w:bottom w:val="single" w:sz="4" w:space="0" w:color="A6A6A6" w:themeColor="background1" w:themeShade="A6"/>
            </w:tcBorders>
            <w:shd w:val="clear" w:color="auto" w:fill="auto"/>
            <w:noWrap/>
          </w:tcPr>
          <w:p w:rsidR="00000745" w:rsidRPr="00456167" w:rsidRDefault="00000745" w:rsidP="00026948">
            <w:pPr>
              <w:pStyle w:val="TableText"/>
              <w:tabs>
                <w:tab w:val="decimal" w:pos="652"/>
              </w:tabs>
              <w:rPr>
                <w:lang w:eastAsia="en-NZ"/>
              </w:rPr>
            </w:pPr>
          </w:p>
        </w:tc>
        <w:tc>
          <w:tcPr>
            <w:tcW w:w="1134" w:type="dxa"/>
            <w:tcBorders>
              <w:top w:val="single" w:sz="4" w:space="0" w:color="A6A6A6" w:themeColor="background1" w:themeShade="A6"/>
              <w:bottom w:val="single" w:sz="4" w:space="0" w:color="A6A6A6" w:themeColor="background1" w:themeShade="A6"/>
            </w:tcBorders>
            <w:shd w:val="clear" w:color="auto" w:fill="auto"/>
            <w:noWrap/>
          </w:tcPr>
          <w:p w:rsidR="00000745" w:rsidRPr="00456167" w:rsidRDefault="00000745" w:rsidP="00026948">
            <w:pPr>
              <w:pStyle w:val="TableText"/>
              <w:tabs>
                <w:tab w:val="decimal" w:pos="793"/>
              </w:tabs>
              <w:rPr>
                <w:lang w:eastAsia="en-NZ"/>
              </w:rPr>
            </w:pPr>
          </w:p>
        </w:tc>
      </w:tr>
      <w:tr w:rsidR="00000745" w:rsidRPr="00456167" w:rsidTr="00026948">
        <w:trPr>
          <w:cantSplit/>
        </w:trPr>
        <w:tc>
          <w:tcPr>
            <w:tcW w:w="311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rPr>
                <w:lang w:eastAsia="en-NZ"/>
              </w:rPr>
            </w:pPr>
            <w:r w:rsidRPr="00456167">
              <w:rPr>
                <w:lang w:eastAsia="en-NZ"/>
              </w:rPr>
              <w:t>General</w:t>
            </w:r>
          </w:p>
        </w:tc>
        <w:tc>
          <w:tcPr>
            <w:tcW w:w="396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jc w:val="center"/>
              <w:rPr>
                <w:lang w:eastAsia="en-NZ"/>
              </w:rPr>
            </w:pPr>
            <w:r w:rsidRPr="00456167">
              <w:rPr>
                <w:lang w:eastAsia="en-NZ"/>
              </w:rPr>
              <w:t>20</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tabs>
                <w:tab w:val="decimal" w:pos="652"/>
              </w:tabs>
              <w:rPr>
                <w:lang w:eastAsia="en-NZ"/>
              </w:rPr>
            </w:pPr>
            <w:r w:rsidRPr="00456167">
              <w:rPr>
                <w:lang w:eastAsia="en-NZ"/>
              </w:rPr>
              <w:t>$400</w:t>
            </w:r>
          </w:p>
        </w:tc>
        <w:tc>
          <w:tcPr>
            <w:tcW w:w="1134"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456167" w:rsidRDefault="00000745" w:rsidP="00026948">
            <w:pPr>
              <w:pStyle w:val="TableText"/>
              <w:tabs>
                <w:tab w:val="decimal" w:pos="793"/>
              </w:tabs>
              <w:rPr>
                <w:lang w:eastAsia="en-NZ"/>
              </w:rPr>
            </w:pPr>
            <w:r w:rsidRPr="00456167">
              <w:rPr>
                <w:lang w:eastAsia="en-NZ"/>
              </w:rPr>
              <w:t>$8,000</w:t>
            </w:r>
          </w:p>
        </w:tc>
      </w:tr>
      <w:tr w:rsidR="00000745" w:rsidRPr="00026948" w:rsidTr="00026948">
        <w:trPr>
          <w:cantSplit/>
        </w:trPr>
        <w:tc>
          <w:tcPr>
            <w:tcW w:w="3119" w:type="dxa"/>
            <w:tcBorders>
              <w:top w:val="single" w:sz="4" w:space="0" w:color="A6A6A6" w:themeColor="background1" w:themeShade="A6"/>
            </w:tcBorders>
            <w:shd w:val="clear" w:color="auto" w:fill="auto"/>
            <w:noWrap/>
          </w:tcPr>
          <w:p w:rsidR="00000745" w:rsidRPr="00026948" w:rsidRDefault="00000745" w:rsidP="00026948">
            <w:pPr>
              <w:pStyle w:val="TableText"/>
              <w:rPr>
                <w:b/>
                <w:lang w:eastAsia="en-NZ"/>
              </w:rPr>
            </w:pPr>
          </w:p>
        </w:tc>
        <w:tc>
          <w:tcPr>
            <w:tcW w:w="3969" w:type="dxa"/>
            <w:tcBorders>
              <w:top w:val="single" w:sz="4" w:space="0" w:color="A6A6A6" w:themeColor="background1" w:themeShade="A6"/>
            </w:tcBorders>
            <w:shd w:val="clear" w:color="auto" w:fill="auto"/>
            <w:noWrap/>
          </w:tcPr>
          <w:p w:rsidR="00000745" w:rsidRPr="00026948" w:rsidRDefault="00000745" w:rsidP="00026948">
            <w:pPr>
              <w:pStyle w:val="TableText"/>
              <w:jc w:val="center"/>
              <w:rPr>
                <w:b/>
                <w:lang w:eastAsia="en-NZ"/>
              </w:rPr>
            </w:pPr>
          </w:p>
        </w:tc>
        <w:tc>
          <w:tcPr>
            <w:tcW w:w="1134" w:type="dxa"/>
            <w:tcBorders>
              <w:top w:val="single" w:sz="4" w:space="0" w:color="A6A6A6" w:themeColor="background1" w:themeShade="A6"/>
            </w:tcBorders>
            <w:shd w:val="clear" w:color="auto" w:fill="auto"/>
            <w:noWrap/>
          </w:tcPr>
          <w:p w:rsidR="00000745" w:rsidRPr="00026948" w:rsidRDefault="00000745" w:rsidP="00026948">
            <w:pPr>
              <w:pStyle w:val="TableText"/>
              <w:tabs>
                <w:tab w:val="decimal" w:pos="652"/>
              </w:tabs>
              <w:rPr>
                <w:b/>
                <w:lang w:eastAsia="en-NZ"/>
              </w:rPr>
            </w:pPr>
          </w:p>
        </w:tc>
        <w:tc>
          <w:tcPr>
            <w:tcW w:w="1134" w:type="dxa"/>
            <w:tcBorders>
              <w:top w:val="single" w:sz="4" w:space="0" w:color="A6A6A6" w:themeColor="background1" w:themeShade="A6"/>
            </w:tcBorders>
            <w:shd w:val="clear" w:color="auto" w:fill="auto"/>
            <w:noWrap/>
            <w:hideMark/>
          </w:tcPr>
          <w:p w:rsidR="00000745" w:rsidRPr="00026948" w:rsidRDefault="00000745" w:rsidP="00026948">
            <w:pPr>
              <w:pStyle w:val="TableText"/>
              <w:tabs>
                <w:tab w:val="decimal" w:pos="793"/>
              </w:tabs>
              <w:rPr>
                <w:b/>
                <w:lang w:eastAsia="en-NZ"/>
              </w:rPr>
            </w:pPr>
            <w:r w:rsidRPr="00026948">
              <w:rPr>
                <w:b/>
                <w:lang w:eastAsia="en-NZ"/>
              </w:rPr>
              <w:t>$29,700</w:t>
            </w:r>
          </w:p>
        </w:tc>
      </w:tr>
    </w:tbl>
    <w:p w:rsidR="00000745" w:rsidRDefault="00000745" w:rsidP="00000745"/>
    <w:p w:rsidR="00000745" w:rsidRPr="008205F4" w:rsidRDefault="00000745" w:rsidP="006B1DE3">
      <w:pPr>
        <w:pStyle w:val="Heading3"/>
      </w:pPr>
      <w:r>
        <w:t>Alternative option</w:t>
      </w:r>
    </w:p>
    <w:p w:rsidR="00823DC8" w:rsidRPr="006B1DE3" w:rsidRDefault="00000745" w:rsidP="006B1DE3">
      <w:pPr>
        <w:rPr>
          <w:i/>
        </w:rPr>
      </w:pPr>
      <w:r w:rsidRPr="006B1DE3">
        <w:rPr>
          <w:i/>
        </w:rPr>
        <w:t>Fees are based on the expected total costs of administering consents.</w:t>
      </w:r>
    </w:p>
    <w:p w:rsidR="006B1DE3" w:rsidRDefault="006B1DE3" w:rsidP="006B1DE3"/>
    <w:p w:rsidR="00823DC8" w:rsidRDefault="00000745" w:rsidP="006B1DE3">
      <w:r>
        <w:t xml:space="preserve">Any viable </w:t>
      </w:r>
      <w:r w:rsidRPr="00CD5E89">
        <w:t xml:space="preserve">alternative option will need to justify the subsidisation of costs incurred in one </w:t>
      </w:r>
      <w:r>
        <w:t>consent type</w:t>
      </w:r>
      <w:r w:rsidRPr="00CD5E89">
        <w:t xml:space="preserve"> by </w:t>
      </w:r>
      <w:r>
        <w:t>fees recovered from another</w:t>
      </w:r>
      <w:r w:rsidRPr="00CD5E89">
        <w:t>.</w:t>
      </w:r>
      <w:r>
        <w:t xml:space="preserve"> </w:t>
      </w:r>
      <w:r w:rsidRPr="00CD5E89">
        <w:t>The Ministry of Health is not aware of such a justification.</w:t>
      </w:r>
    </w:p>
    <w:p w:rsidR="00C13706" w:rsidRDefault="00C13706">
      <w:pPr>
        <w:spacing w:line="240" w:lineRule="auto"/>
      </w:pPr>
      <w:r>
        <w:br w:type="page"/>
      </w:r>
    </w:p>
    <w:p w:rsidR="00000745" w:rsidRPr="001B7CE8" w:rsidRDefault="00000745" w:rsidP="006B1DE3">
      <w:pPr>
        <w:pStyle w:val="BoxHeading"/>
      </w:pPr>
      <w:r w:rsidRPr="001B7CE8">
        <w:lastRenderedPageBreak/>
        <w:t>Consultation questions</w:t>
      </w:r>
    </w:p>
    <w:p w:rsidR="00823DC8" w:rsidRDefault="006B1DE3" w:rsidP="006B1DE3">
      <w:pPr>
        <w:pStyle w:val="Box"/>
        <w:ind w:left="851" w:hanging="567"/>
      </w:pPr>
      <w:r>
        <w:t>27.</w:t>
      </w:r>
      <w:r>
        <w:tab/>
      </w:r>
      <w:r w:rsidR="00000745" w:rsidRPr="00231CD5">
        <w:t xml:space="preserve">Do you think </w:t>
      </w:r>
      <w:r w:rsidR="00000745">
        <w:t>the preferred consent fees are justified?</w:t>
      </w:r>
    </w:p>
    <w:p w:rsidR="00000745" w:rsidRPr="003E486D" w:rsidRDefault="006B1DE3" w:rsidP="006B1DE3">
      <w:pPr>
        <w:pStyle w:val="Box"/>
        <w:ind w:left="851" w:hanging="567"/>
      </w:pPr>
      <w:r>
        <w:t>28.</w:t>
      </w:r>
      <w:r>
        <w:tab/>
      </w:r>
      <w:r w:rsidR="00000745" w:rsidRPr="003E486D">
        <w:t>If you think the preferred option is un</w:t>
      </w:r>
      <w:r w:rsidR="00000745">
        <w:t>justified</w:t>
      </w:r>
      <w:r w:rsidR="00000745" w:rsidRPr="003E486D">
        <w:t xml:space="preserve">, please outline an alternative option for assigning </w:t>
      </w:r>
      <w:r w:rsidR="00000745">
        <w:t>consent</w:t>
      </w:r>
      <w:r w:rsidR="00000745" w:rsidRPr="003E486D">
        <w:t xml:space="preserve"> fees</w:t>
      </w:r>
      <w:r w:rsidR="00000745">
        <w:t xml:space="preserve">. </w:t>
      </w:r>
      <w:r w:rsidR="00000745" w:rsidRPr="003E486D">
        <w:t>Please provide a justification for your method.</w:t>
      </w:r>
    </w:p>
    <w:p w:rsidR="00823DC8" w:rsidRDefault="006B1DE3" w:rsidP="006B1DE3">
      <w:pPr>
        <w:pStyle w:val="Box"/>
        <w:ind w:left="851" w:hanging="567"/>
      </w:pPr>
      <w:r>
        <w:t>29.</w:t>
      </w:r>
      <w:r>
        <w:tab/>
      </w:r>
      <w:r w:rsidR="00000745">
        <w:t>Do you have any further comments, suggestions or alternative options?</w:t>
      </w:r>
    </w:p>
    <w:p w:rsidR="00000745" w:rsidRDefault="00000745" w:rsidP="006B1DE3">
      <w:pPr>
        <w:pStyle w:val="Box"/>
      </w:pPr>
      <w:r>
        <w:t xml:space="preserve">Please use the </w:t>
      </w:r>
      <w:r w:rsidR="00F810AB">
        <w:t>submission form</w:t>
      </w:r>
      <w:r>
        <w:t xml:space="preserve"> to respond to these questions.</w:t>
      </w:r>
    </w:p>
    <w:p w:rsidR="00000745" w:rsidRDefault="00000745" w:rsidP="006B1DE3"/>
    <w:p w:rsidR="00823DC8" w:rsidRDefault="00000745" w:rsidP="006B1DE3">
      <w:pPr>
        <w:pStyle w:val="Heading2"/>
      </w:pPr>
      <w:bookmarkStart w:id="42" w:name="_Toc449001275"/>
      <w:bookmarkStart w:id="43" w:name="_Toc450059035"/>
      <w:r>
        <w:t>(h)</w:t>
      </w:r>
      <w:r w:rsidR="006B1DE3">
        <w:tab/>
      </w:r>
      <w:r>
        <w:t xml:space="preserve">Historical fees take and the </w:t>
      </w:r>
      <w:r w:rsidR="00823DC8">
        <w:t>‘</w:t>
      </w:r>
      <w:r>
        <w:t>memorandum account</w:t>
      </w:r>
      <w:r w:rsidR="00823DC8">
        <w:t>’</w:t>
      </w:r>
      <w:bookmarkEnd w:id="42"/>
      <w:bookmarkEnd w:id="43"/>
    </w:p>
    <w:p w:rsidR="00823DC8" w:rsidRDefault="00000745" w:rsidP="006B1DE3">
      <w:pPr>
        <w:pStyle w:val="Heading3"/>
      </w:pPr>
      <w:r w:rsidRPr="00664FC1">
        <w:t>Background</w:t>
      </w:r>
    </w:p>
    <w:p w:rsidR="00823DC8" w:rsidRDefault="00000745" w:rsidP="006B1DE3">
      <w:r>
        <w:t xml:space="preserve">The Office of Radiation Safety </w:t>
      </w:r>
      <w:r w:rsidR="00823DC8">
        <w:t>‘</w:t>
      </w:r>
      <w:r>
        <w:t>memorandum account</w:t>
      </w:r>
      <w:r w:rsidR="00823DC8">
        <w:t>’</w:t>
      </w:r>
      <w:r>
        <w:t xml:space="preserve"> is reported in the Ministry of </w:t>
      </w:r>
      <w:r w:rsidRPr="005617EB">
        <w:t>Health</w:t>
      </w:r>
      <w:r w:rsidR="00823DC8">
        <w:t>’</w:t>
      </w:r>
      <w:r w:rsidRPr="005617EB">
        <w:t>s Annual Reports</w:t>
      </w:r>
      <w:r>
        <w:t>,</w:t>
      </w:r>
      <w:r w:rsidRPr="005617EB">
        <w:t xml:space="preserve"> and</w:t>
      </w:r>
      <w:r>
        <w:t xml:space="preserve"> the current account balance is $973,000.</w:t>
      </w:r>
      <w:r w:rsidRPr="006B1DE3">
        <w:rPr>
          <w:rStyle w:val="FootnoteReference"/>
        </w:rPr>
        <w:footnoteReference w:id="5"/>
      </w:r>
      <w:r>
        <w:t xml:space="preserve"> This balance indicates the amount by which the licence fees taken have exceeded the </w:t>
      </w:r>
      <w:r w:rsidRPr="00E0463E">
        <w:t>costs of li</w:t>
      </w:r>
      <w:r>
        <w:t>c</w:t>
      </w:r>
      <w:r w:rsidRPr="00E0463E">
        <w:t>ensing activities for the period 1998</w:t>
      </w:r>
      <w:r>
        <w:t xml:space="preserve"> to </w:t>
      </w:r>
      <w:r w:rsidRPr="00E0463E">
        <w:t>2015.</w:t>
      </w:r>
    </w:p>
    <w:p w:rsidR="00000745" w:rsidRPr="00E0463E" w:rsidRDefault="00000745" w:rsidP="006B1DE3"/>
    <w:p w:rsidR="00823DC8" w:rsidRDefault="00000745" w:rsidP="006B1DE3">
      <w:r w:rsidRPr="00AC2039">
        <w:t>The memorandum account balance can be attributed to the unanticipated and significant increase in the number of licences issued since the fees were last set in 1998.</w:t>
      </w:r>
      <w:r>
        <w:t xml:space="preserve"> </w:t>
      </w:r>
      <w:r w:rsidRPr="00AC2039">
        <w:t>During the same period the Office of Radiation Safety has absorbed the increased licensing requirements without increasing its operating costs.</w:t>
      </w:r>
    </w:p>
    <w:p w:rsidR="00000745" w:rsidRPr="00E0463E" w:rsidRDefault="00000745" w:rsidP="006B1DE3"/>
    <w:p w:rsidR="00823DC8" w:rsidRDefault="00000745" w:rsidP="006B1DE3">
      <w:r w:rsidRPr="00E0463E">
        <w:t>This review presents an opportunity to correct the historic</w:t>
      </w:r>
      <w:r>
        <w:t>al</w:t>
      </w:r>
      <w:r w:rsidRPr="00E0463E">
        <w:t xml:space="preserve"> over-recovery of costs through fees.</w:t>
      </w:r>
    </w:p>
    <w:p w:rsidR="00000745" w:rsidRPr="00E0463E" w:rsidRDefault="00000745" w:rsidP="006B1DE3"/>
    <w:p w:rsidR="00823DC8" w:rsidRDefault="00000745" w:rsidP="006B1DE3">
      <w:pPr>
        <w:pStyle w:val="Heading3"/>
      </w:pPr>
      <w:r w:rsidRPr="002C4401">
        <w:t>Preferred option</w:t>
      </w:r>
    </w:p>
    <w:p w:rsidR="00823DC8" w:rsidRPr="006B1DE3" w:rsidRDefault="00C13706" w:rsidP="006B1DE3">
      <w:pPr>
        <w:rPr>
          <w:i/>
        </w:rPr>
      </w:pPr>
      <w:r>
        <w:rPr>
          <w:i/>
        </w:rPr>
        <w:t>T</w:t>
      </w:r>
      <w:r w:rsidR="00000745" w:rsidRPr="006B1DE3">
        <w:rPr>
          <w:i/>
        </w:rPr>
        <w:t xml:space="preserve">he memorandum account balance </w:t>
      </w:r>
      <w:r>
        <w:rPr>
          <w:i/>
        </w:rPr>
        <w:t xml:space="preserve">is moved </w:t>
      </w:r>
      <w:r w:rsidR="00000745" w:rsidRPr="006B1DE3">
        <w:rPr>
          <w:i/>
        </w:rPr>
        <w:t>towards zero by applying a partial exemption from the full fee for source licences, to be applied over the first six years of operation under the Act.</w:t>
      </w:r>
    </w:p>
    <w:p w:rsidR="006B1DE3" w:rsidRDefault="006B1DE3" w:rsidP="006B1DE3"/>
    <w:p w:rsidR="00823DC8" w:rsidRDefault="00000745" w:rsidP="006B1DE3">
      <w:r>
        <w:t>The Ministry of Health</w:t>
      </w:r>
      <w:r w:rsidR="00823DC8">
        <w:t>’</w:t>
      </w:r>
      <w:r>
        <w:t xml:space="preserve">s view is that the most significant contributors to the current memorandum account balance will fall into the category of </w:t>
      </w:r>
      <w:r w:rsidRPr="00775A36">
        <w:t>source licence holders</w:t>
      </w:r>
      <w:r>
        <w:t xml:space="preserve"> under the Act. Therefore, the </w:t>
      </w:r>
      <w:r w:rsidRPr="00AC2039">
        <w:t>proposed partial exemption</w:t>
      </w:r>
      <w:r>
        <w:t xml:space="preserve"> from the full fee should be applied to source licence fees only.</w:t>
      </w:r>
    </w:p>
    <w:p w:rsidR="00000745" w:rsidRDefault="00000745" w:rsidP="006B1DE3"/>
    <w:p w:rsidR="00823DC8" w:rsidRDefault="00000745" w:rsidP="006B1DE3">
      <w:pPr>
        <w:keepLines/>
      </w:pPr>
      <w:r>
        <w:t xml:space="preserve">A 13 </w:t>
      </w:r>
      <w:r w:rsidRPr="00AC2039">
        <w:t>percent partial exemption on the proposed annual source licence fees in Table 6 of this document will reduce the memorandum account balance by approximately $162,000 per year.</w:t>
      </w:r>
      <w:r>
        <w:t xml:space="preserve"> </w:t>
      </w:r>
      <w:r w:rsidRPr="00AC2039">
        <w:t>This partial exemption meets the aim of moving the memorandum account balance toward</w:t>
      </w:r>
      <w:r>
        <w:t>s</w:t>
      </w:r>
      <w:r w:rsidRPr="00AC2039">
        <w:t xml:space="preserve"> zero after six years.</w:t>
      </w:r>
      <w:r>
        <w:t xml:space="preserve"> </w:t>
      </w:r>
      <w:r w:rsidRPr="00AC2039">
        <w:t>On this basis, the preferred partial exemptions for the first six years under the Act are outlined in Table 8.</w:t>
      </w:r>
    </w:p>
    <w:p w:rsidR="006B1DE3" w:rsidRDefault="006B1DE3" w:rsidP="006B1DE3"/>
    <w:p w:rsidR="00000745" w:rsidRPr="006B1DE3" w:rsidRDefault="00000745" w:rsidP="006B1DE3">
      <w:pPr>
        <w:pStyle w:val="Table"/>
      </w:pPr>
      <w:bookmarkStart w:id="44" w:name="_Toc450059066"/>
      <w:r w:rsidRPr="001B7CE8">
        <w:lastRenderedPageBreak/>
        <w:t>Table 8: Proposed partial exemption from full source licence fees for first six years under the Act (exclusive of GST)</w:t>
      </w:r>
      <w:bookmarkEnd w:id="4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59"/>
        <w:gridCol w:w="1559"/>
        <w:gridCol w:w="1560"/>
        <w:gridCol w:w="1559"/>
        <w:gridCol w:w="1559"/>
        <w:gridCol w:w="1560"/>
      </w:tblGrid>
      <w:tr w:rsidR="00000745" w:rsidRPr="006B1DE3" w:rsidTr="006D2AC8">
        <w:trPr>
          <w:cantSplit/>
        </w:trPr>
        <w:tc>
          <w:tcPr>
            <w:tcW w:w="1559" w:type="dxa"/>
            <w:tcBorders>
              <w:top w:val="single" w:sz="4" w:space="0" w:color="auto"/>
              <w:bottom w:val="single" w:sz="4" w:space="0" w:color="auto"/>
            </w:tcBorders>
            <w:shd w:val="clear" w:color="auto" w:fill="auto"/>
            <w:noWrap/>
            <w:hideMark/>
          </w:tcPr>
          <w:p w:rsidR="00000745" w:rsidRPr="006B1DE3" w:rsidRDefault="00000745" w:rsidP="006D2AC8">
            <w:pPr>
              <w:pStyle w:val="TableText"/>
              <w:jc w:val="center"/>
              <w:rPr>
                <w:b/>
                <w:lang w:eastAsia="en-NZ"/>
              </w:rPr>
            </w:pPr>
            <w:r w:rsidRPr="006B1DE3">
              <w:rPr>
                <w:b/>
                <w:lang w:eastAsia="en-NZ"/>
              </w:rPr>
              <w:t>Audit frequency (years)</w:t>
            </w:r>
          </w:p>
        </w:tc>
        <w:tc>
          <w:tcPr>
            <w:tcW w:w="1559" w:type="dxa"/>
            <w:tcBorders>
              <w:top w:val="single" w:sz="4" w:space="0" w:color="auto"/>
              <w:bottom w:val="single" w:sz="4" w:space="0" w:color="auto"/>
            </w:tcBorders>
            <w:shd w:val="clear" w:color="auto" w:fill="auto"/>
            <w:noWrap/>
            <w:hideMark/>
          </w:tcPr>
          <w:p w:rsidR="00000745" w:rsidRPr="006B1DE3" w:rsidRDefault="00000745" w:rsidP="006D2AC8">
            <w:pPr>
              <w:pStyle w:val="TableText"/>
              <w:jc w:val="center"/>
              <w:rPr>
                <w:b/>
                <w:lang w:eastAsia="en-NZ"/>
              </w:rPr>
            </w:pPr>
            <w:r w:rsidRPr="006B1DE3">
              <w:rPr>
                <w:b/>
                <w:lang w:eastAsia="en-NZ"/>
              </w:rPr>
              <w:t>Proposed annual fee</w:t>
            </w:r>
          </w:p>
        </w:tc>
        <w:tc>
          <w:tcPr>
            <w:tcW w:w="1560" w:type="dxa"/>
            <w:tcBorders>
              <w:top w:val="single" w:sz="4" w:space="0" w:color="auto"/>
              <w:bottom w:val="single" w:sz="4" w:space="0" w:color="auto"/>
            </w:tcBorders>
            <w:shd w:val="clear" w:color="auto" w:fill="auto"/>
            <w:noWrap/>
            <w:hideMark/>
          </w:tcPr>
          <w:p w:rsidR="00000745" w:rsidRPr="006B1DE3" w:rsidRDefault="00000745">
            <w:pPr>
              <w:pStyle w:val="TableText"/>
              <w:jc w:val="center"/>
              <w:rPr>
                <w:b/>
                <w:lang w:eastAsia="en-NZ"/>
              </w:rPr>
            </w:pPr>
            <w:r w:rsidRPr="006B1DE3">
              <w:rPr>
                <w:b/>
                <w:lang w:eastAsia="en-NZ"/>
              </w:rPr>
              <w:t>Proposed annual fee</w:t>
            </w:r>
            <w:r w:rsidR="00C13706">
              <w:rPr>
                <w:b/>
                <w:lang w:eastAsia="en-NZ"/>
              </w:rPr>
              <w:t xml:space="preserve"> with partial exemption</w:t>
            </w:r>
          </w:p>
        </w:tc>
        <w:tc>
          <w:tcPr>
            <w:tcW w:w="1559" w:type="dxa"/>
            <w:tcBorders>
              <w:top w:val="single" w:sz="4" w:space="0" w:color="auto"/>
              <w:bottom w:val="single" w:sz="4" w:space="0" w:color="auto"/>
            </w:tcBorders>
            <w:shd w:val="clear" w:color="auto" w:fill="auto"/>
            <w:noWrap/>
            <w:hideMark/>
          </w:tcPr>
          <w:p w:rsidR="00000745" w:rsidRPr="006B1DE3" w:rsidRDefault="00C13706">
            <w:pPr>
              <w:pStyle w:val="TableText"/>
              <w:jc w:val="center"/>
              <w:rPr>
                <w:b/>
                <w:lang w:eastAsia="en-NZ"/>
              </w:rPr>
            </w:pPr>
            <w:r>
              <w:rPr>
                <w:b/>
                <w:lang w:eastAsia="en-NZ"/>
              </w:rPr>
              <w:t>Amount of partial e</w:t>
            </w:r>
            <w:r w:rsidR="00231FBE">
              <w:rPr>
                <w:b/>
                <w:lang w:eastAsia="en-NZ"/>
              </w:rPr>
              <w:t>xempt</w:t>
            </w:r>
            <w:r>
              <w:rPr>
                <w:b/>
                <w:lang w:eastAsia="en-NZ"/>
              </w:rPr>
              <w:t>ion</w:t>
            </w:r>
            <w:r w:rsidR="00000745" w:rsidRPr="006B1DE3">
              <w:rPr>
                <w:b/>
                <w:lang w:eastAsia="en-NZ"/>
              </w:rPr>
              <w:t xml:space="preserve"> per fee</w:t>
            </w:r>
          </w:p>
        </w:tc>
        <w:tc>
          <w:tcPr>
            <w:tcW w:w="1559" w:type="dxa"/>
            <w:tcBorders>
              <w:top w:val="single" w:sz="4" w:space="0" w:color="auto"/>
              <w:bottom w:val="single" w:sz="4" w:space="0" w:color="auto"/>
            </w:tcBorders>
            <w:shd w:val="clear" w:color="auto" w:fill="auto"/>
            <w:noWrap/>
            <w:hideMark/>
          </w:tcPr>
          <w:p w:rsidR="00000745" w:rsidRPr="006B1DE3" w:rsidRDefault="00000745" w:rsidP="006D2AC8">
            <w:pPr>
              <w:pStyle w:val="TableText"/>
              <w:jc w:val="center"/>
              <w:rPr>
                <w:b/>
                <w:lang w:eastAsia="en-NZ"/>
              </w:rPr>
            </w:pPr>
            <w:r w:rsidRPr="006B1DE3">
              <w:rPr>
                <w:b/>
                <w:lang w:eastAsia="en-NZ"/>
              </w:rPr>
              <w:t>Anticipated number of licences</w:t>
            </w:r>
          </w:p>
        </w:tc>
        <w:tc>
          <w:tcPr>
            <w:tcW w:w="1560" w:type="dxa"/>
            <w:tcBorders>
              <w:top w:val="single" w:sz="4" w:space="0" w:color="auto"/>
              <w:bottom w:val="single" w:sz="4" w:space="0" w:color="auto"/>
            </w:tcBorders>
            <w:shd w:val="clear" w:color="auto" w:fill="auto"/>
            <w:noWrap/>
            <w:hideMark/>
          </w:tcPr>
          <w:p w:rsidR="00000745" w:rsidRPr="006B1DE3" w:rsidRDefault="00C13706" w:rsidP="00231FBE">
            <w:pPr>
              <w:pStyle w:val="TableText"/>
              <w:jc w:val="center"/>
              <w:rPr>
                <w:b/>
                <w:lang w:eastAsia="en-NZ"/>
              </w:rPr>
            </w:pPr>
            <w:r>
              <w:rPr>
                <w:b/>
                <w:lang w:eastAsia="en-NZ"/>
              </w:rPr>
              <w:t>Amount of partial exemptions: annual total</w:t>
            </w:r>
          </w:p>
        </w:tc>
      </w:tr>
      <w:tr w:rsidR="00000745" w:rsidRPr="00DA322E" w:rsidTr="006D2AC8">
        <w:trPr>
          <w:cantSplit/>
        </w:trPr>
        <w:tc>
          <w:tcPr>
            <w:tcW w:w="1559" w:type="dxa"/>
            <w:tcBorders>
              <w:top w:val="single" w:sz="4" w:space="0" w:color="auto"/>
              <w:bottom w:val="single" w:sz="4" w:space="0" w:color="A6A6A6" w:themeColor="background1" w:themeShade="A6"/>
            </w:tcBorders>
            <w:shd w:val="clear" w:color="auto" w:fill="auto"/>
            <w:noWrap/>
            <w:hideMark/>
          </w:tcPr>
          <w:p w:rsidR="00000745" w:rsidRPr="00DA322E" w:rsidRDefault="00000745" w:rsidP="006D2AC8">
            <w:pPr>
              <w:pStyle w:val="TableText"/>
              <w:jc w:val="center"/>
              <w:rPr>
                <w:lang w:eastAsia="en-NZ"/>
              </w:rPr>
            </w:pPr>
            <w:r w:rsidRPr="00DA322E">
              <w:rPr>
                <w:lang w:eastAsia="en-NZ"/>
              </w:rPr>
              <w:t>1</w:t>
            </w:r>
          </w:p>
        </w:tc>
        <w:tc>
          <w:tcPr>
            <w:tcW w:w="1559" w:type="dxa"/>
            <w:tcBorders>
              <w:top w:val="single" w:sz="4" w:space="0" w:color="auto"/>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6"/>
              </w:tabs>
              <w:rPr>
                <w:lang w:eastAsia="en-NZ"/>
              </w:rPr>
            </w:pPr>
            <w:r w:rsidRPr="00DA322E">
              <w:rPr>
                <w:lang w:eastAsia="en-NZ"/>
              </w:rPr>
              <w:t>$1,505</w:t>
            </w:r>
          </w:p>
        </w:tc>
        <w:tc>
          <w:tcPr>
            <w:tcW w:w="1560" w:type="dxa"/>
            <w:tcBorders>
              <w:top w:val="single" w:sz="4" w:space="0" w:color="auto"/>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92"/>
              </w:tabs>
              <w:rPr>
                <w:lang w:eastAsia="en-NZ"/>
              </w:rPr>
            </w:pPr>
            <w:r w:rsidRPr="00DA322E">
              <w:rPr>
                <w:lang w:eastAsia="en-NZ"/>
              </w:rPr>
              <w:t>$1,309</w:t>
            </w:r>
          </w:p>
        </w:tc>
        <w:tc>
          <w:tcPr>
            <w:tcW w:w="1559" w:type="dxa"/>
            <w:tcBorders>
              <w:top w:val="single" w:sz="4" w:space="0" w:color="auto"/>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07"/>
              </w:tabs>
              <w:rPr>
                <w:lang w:eastAsia="en-NZ"/>
              </w:rPr>
            </w:pPr>
            <w:r w:rsidRPr="00DA322E">
              <w:rPr>
                <w:lang w:eastAsia="en-NZ"/>
              </w:rPr>
              <w:t>$196</w:t>
            </w:r>
          </w:p>
        </w:tc>
        <w:tc>
          <w:tcPr>
            <w:tcW w:w="1559" w:type="dxa"/>
            <w:tcBorders>
              <w:top w:val="single" w:sz="4" w:space="0" w:color="auto"/>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2"/>
              </w:tabs>
              <w:rPr>
                <w:lang w:eastAsia="en-NZ"/>
              </w:rPr>
            </w:pPr>
            <w:r w:rsidRPr="00DA322E">
              <w:rPr>
                <w:lang w:eastAsia="en-NZ"/>
              </w:rPr>
              <w:t>46</w:t>
            </w:r>
          </w:p>
        </w:tc>
        <w:tc>
          <w:tcPr>
            <w:tcW w:w="1560" w:type="dxa"/>
            <w:tcBorders>
              <w:top w:val="single" w:sz="4" w:space="0" w:color="auto"/>
              <w:bottom w:val="single" w:sz="4" w:space="0" w:color="A6A6A6" w:themeColor="background1" w:themeShade="A6"/>
            </w:tcBorders>
            <w:shd w:val="clear" w:color="auto" w:fill="auto"/>
            <w:noWrap/>
            <w:hideMark/>
          </w:tcPr>
          <w:p w:rsidR="00000745" w:rsidRPr="00DA322E" w:rsidRDefault="00000745" w:rsidP="009A44D8">
            <w:pPr>
              <w:pStyle w:val="TableText"/>
              <w:tabs>
                <w:tab w:val="decimal" w:pos="1075"/>
              </w:tabs>
              <w:rPr>
                <w:lang w:eastAsia="en-NZ"/>
              </w:rPr>
            </w:pPr>
            <w:r w:rsidRPr="00DA322E">
              <w:rPr>
                <w:lang w:eastAsia="en-NZ"/>
              </w:rPr>
              <w:t>$9,0</w:t>
            </w:r>
            <w:r w:rsidR="009A44D8">
              <w:rPr>
                <w:lang w:eastAsia="en-NZ"/>
              </w:rPr>
              <w:t>16</w:t>
            </w:r>
          </w:p>
        </w:tc>
      </w:tr>
      <w:tr w:rsidR="00000745" w:rsidRPr="00DA322E" w:rsidTr="006D2AC8">
        <w:trPr>
          <w:cantSplit/>
        </w:trPr>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jc w:val="center"/>
              <w:rPr>
                <w:lang w:eastAsia="en-NZ"/>
              </w:rPr>
            </w:pPr>
            <w:r w:rsidRPr="00DA322E">
              <w:rPr>
                <w:lang w:eastAsia="en-NZ"/>
              </w:rPr>
              <w:t>2</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6"/>
              </w:tabs>
              <w:rPr>
                <w:lang w:eastAsia="en-NZ"/>
              </w:rPr>
            </w:pPr>
            <w:r w:rsidRPr="00DA322E">
              <w:rPr>
                <w:lang w:eastAsia="en-NZ"/>
              </w:rPr>
              <w:t>$825</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92"/>
              </w:tabs>
              <w:rPr>
                <w:lang w:eastAsia="en-NZ"/>
              </w:rPr>
            </w:pPr>
            <w:r w:rsidRPr="00DA322E">
              <w:rPr>
                <w:lang w:eastAsia="en-NZ"/>
              </w:rPr>
              <w:t>$718</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07"/>
              </w:tabs>
              <w:rPr>
                <w:lang w:eastAsia="en-NZ"/>
              </w:rPr>
            </w:pPr>
            <w:r w:rsidRPr="00DA322E">
              <w:rPr>
                <w:lang w:eastAsia="en-NZ"/>
              </w:rPr>
              <w:t>$107</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2"/>
              </w:tabs>
              <w:rPr>
                <w:lang w:eastAsia="en-NZ"/>
              </w:rPr>
            </w:pPr>
            <w:r w:rsidRPr="00DA322E">
              <w:rPr>
                <w:lang w:eastAsia="en-NZ"/>
              </w:rPr>
              <w:t>179</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pPr>
              <w:pStyle w:val="TableText"/>
              <w:tabs>
                <w:tab w:val="decimal" w:pos="1075"/>
              </w:tabs>
              <w:rPr>
                <w:lang w:eastAsia="en-NZ"/>
              </w:rPr>
            </w:pPr>
            <w:r w:rsidRPr="00DA322E">
              <w:rPr>
                <w:lang w:eastAsia="en-NZ"/>
              </w:rPr>
              <w:t>$19,</w:t>
            </w:r>
            <w:r w:rsidR="009A44D8">
              <w:rPr>
                <w:lang w:eastAsia="en-NZ"/>
              </w:rPr>
              <w:t>153</w:t>
            </w:r>
          </w:p>
        </w:tc>
      </w:tr>
      <w:tr w:rsidR="00000745" w:rsidRPr="00DA322E" w:rsidTr="006D2AC8">
        <w:trPr>
          <w:cantSplit/>
        </w:trPr>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jc w:val="center"/>
              <w:rPr>
                <w:lang w:eastAsia="en-NZ"/>
              </w:rPr>
            </w:pPr>
            <w:r w:rsidRPr="00DA322E">
              <w:rPr>
                <w:lang w:eastAsia="en-NZ"/>
              </w:rPr>
              <w:t>3</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6"/>
              </w:tabs>
              <w:rPr>
                <w:lang w:eastAsia="en-NZ"/>
              </w:rPr>
            </w:pPr>
            <w:r w:rsidRPr="00DA322E">
              <w:rPr>
                <w:lang w:eastAsia="en-NZ"/>
              </w:rPr>
              <w:t>$600</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92"/>
              </w:tabs>
              <w:rPr>
                <w:lang w:eastAsia="en-NZ"/>
              </w:rPr>
            </w:pPr>
            <w:r w:rsidRPr="00DA322E">
              <w:rPr>
                <w:lang w:eastAsia="en-NZ"/>
              </w:rPr>
              <w:t>$522</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07"/>
              </w:tabs>
              <w:rPr>
                <w:lang w:eastAsia="en-NZ"/>
              </w:rPr>
            </w:pPr>
            <w:r w:rsidRPr="00DA322E">
              <w:rPr>
                <w:lang w:eastAsia="en-NZ"/>
              </w:rPr>
              <w:t>$78</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2"/>
              </w:tabs>
              <w:rPr>
                <w:lang w:eastAsia="en-NZ"/>
              </w:rPr>
            </w:pPr>
            <w:r w:rsidRPr="00DA322E">
              <w:rPr>
                <w:lang w:eastAsia="en-NZ"/>
              </w:rPr>
              <w:t>246</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1075"/>
              </w:tabs>
              <w:rPr>
                <w:lang w:eastAsia="en-NZ"/>
              </w:rPr>
            </w:pPr>
            <w:r w:rsidRPr="00DA322E">
              <w:rPr>
                <w:lang w:eastAsia="en-NZ"/>
              </w:rPr>
              <w:t>$19,188</w:t>
            </w:r>
          </w:p>
        </w:tc>
      </w:tr>
      <w:tr w:rsidR="00000745" w:rsidRPr="00DA322E" w:rsidTr="006D2AC8">
        <w:trPr>
          <w:cantSplit/>
        </w:trPr>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jc w:val="center"/>
              <w:rPr>
                <w:lang w:eastAsia="en-NZ"/>
              </w:rPr>
            </w:pPr>
            <w:r w:rsidRPr="00DA322E">
              <w:rPr>
                <w:lang w:eastAsia="en-NZ"/>
              </w:rPr>
              <w:t>4</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6"/>
              </w:tabs>
              <w:rPr>
                <w:lang w:eastAsia="en-NZ"/>
              </w:rPr>
            </w:pPr>
            <w:r w:rsidRPr="00DA322E">
              <w:rPr>
                <w:lang w:eastAsia="en-NZ"/>
              </w:rPr>
              <w:t>$485</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92"/>
              </w:tabs>
              <w:rPr>
                <w:lang w:eastAsia="en-NZ"/>
              </w:rPr>
            </w:pPr>
            <w:r w:rsidRPr="00DA322E">
              <w:rPr>
                <w:lang w:eastAsia="en-NZ"/>
              </w:rPr>
              <w:t>$422</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07"/>
              </w:tabs>
              <w:rPr>
                <w:lang w:eastAsia="en-NZ"/>
              </w:rPr>
            </w:pPr>
            <w:r w:rsidRPr="00DA322E">
              <w:rPr>
                <w:lang w:eastAsia="en-NZ"/>
              </w:rPr>
              <w:t>$63</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2"/>
              </w:tabs>
              <w:rPr>
                <w:lang w:eastAsia="en-NZ"/>
              </w:rPr>
            </w:pPr>
            <w:r w:rsidRPr="00DA322E">
              <w:rPr>
                <w:lang w:eastAsia="en-NZ"/>
              </w:rPr>
              <w:t>785</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1075"/>
              </w:tabs>
              <w:rPr>
                <w:lang w:eastAsia="en-NZ"/>
              </w:rPr>
            </w:pPr>
            <w:r w:rsidRPr="00DA322E">
              <w:rPr>
                <w:lang w:eastAsia="en-NZ"/>
              </w:rPr>
              <w:t>$49,4</w:t>
            </w:r>
            <w:r w:rsidR="009A44D8">
              <w:rPr>
                <w:lang w:eastAsia="en-NZ"/>
              </w:rPr>
              <w:t>55</w:t>
            </w:r>
          </w:p>
        </w:tc>
      </w:tr>
      <w:tr w:rsidR="00000745" w:rsidRPr="00DA322E" w:rsidTr="006D2AC8">
        <w:trPr>
          <w:cantSplit/>
        </w:trPr>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jc w:val="center"/>
              <w:rPr>
                <w:lang w:eastAsia="en-NZ"/>
              </w:rPr>
            </w:pPr>
            <w:r w:rsidRPr="00DA322E">
              <w:rPr>
                <w:lang w:eastAsia="en-NZ"/>
              </w:rPr>
              <w:t>5</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6"/>
              </w:tabs>
              <w:rPr>
                <w:lang w:eastAsia="en-NZ"/>
              </w:rPr>
            </w:pPr>
            <w:r w:rsidRPr="00DA322E">
              <w:rPr>
                <w:lang w:eastAsia="en-NZ"/>
              </w:rPr>
              <w:t>$415</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92"/>
              </w:tabs>
              <w:rPr>
                <w:lang w:eastAsia="en-NZ"/>
              </w:rPr>
            </w:pPr>
            <w:r w:rsidRPr="00DA322E">
              <w:rPr>
                <w:lang w:eastAsia="en-NZ"/>
              </w:rPr>
              <w:t>$361</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07"/>
              </w:tabs>
              <w:rPr>
                <w:lang w:eastAsia="en-NZ"/>
              </w:rPr>
            </w:pPr>
            <w:r w:rsidRPr="00DA322E">
              <w:rPr>
                <w:lang w:eastAsia="en-NZ"/>
              </w:rPr>
              <w:t>$54</w:t>
            </w:r>
          </w:p>
        </w:tc>
        <w:tc>
          <w:tcPr>
            <w:tcW w:w="1559"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932"/>
              </w:tabs>
              <w:rPr>
                <w:lang w:eastAsia="en-NZ"/>
              </w:rPr>
            </w:pPr>
            <w:r w:rsidRPr="00DA322E">
              <w:rPr>
                <w:lang w:eastAsia="en-NZ"/>
              </w:rPr>
              <w:t>1202</w:t>
            </w:r>
          </w:p>
        </w:tc>
        <w:tc>
          <w:tcPr>
            <w:tcW w:w="156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A322E" w:rsidRDefault="00000745" w:rsidP="006D2AC8">
            <w:pPr>
              <w:pStyle w:val="TableText"/>
              <w:tabs>
                <w:tab w:val="decimal" w:pos="1075"/>
              </w:tabs>
              <w:rPr>
                <w:lang w:eastAsia="en-NZ"/>
              </w:rPr>
            </w:pPr>
            <w:r w:rsidRPr="00DA322E">
              <w:rPr>
                <w:lang w:eastAsia="en-NZ"/>
              </w:rPr>
              <w:t>$64,</w:t>
            </w:r>
            <w:r w:rsidR="009A44D8">
              <w:rPr>
                <w:lang w:eastAsia="en-NZ"/>
              </w:rPr>
              <w:t>908</w:t>
            </w:r>
          </w:p>
        </w:tc>
      </w:tr>
      <w:tr w:rsidR="00000745" w:rsidRPr="006D2AC8" w:rsidTr="006D2AC8">
        <w:trPr>
          <w:cantSplit/>
        </w:trPr>
        <w:tc>
          <w:tcPr>
            <w:tcW w:w="1559" w:type="dxa"/>
            <w:tcBorders>
              <w:top w:val="single" w:sz="4" w:space="0" w:color="A6A6A6" w:themeColor="background1" w:themeShade="A6"/>
              <w:bottom w:val="single" w:sz="4" w:space="0" w:color="auto"/>
            </w:tcBorders>
            <w:shd w:val="clear" w:color="auto" w:fill="auto"/>
            <w:noWrap/>
          </w:tcPr>
          <w:p w:rsidR="00000745" w:rsidRPr="006D2AC8" w:rsidRDefault="00000745" w:rsidP="006D2AC8">
            <w:pPr>
              <w:pStyle w:val="TableText"/>
              <w:jc w:val="center"/>
              <w:rPr>
                <w:b/>
                <w:lang w:eastAsia="en-NZ"/>
              </w:rPr>
            </w:pPr>
          </w:p>
        </w:tc>
        <w:tc>
          <w:tcPr>
            <w:tcW w:w="1559" w:type="dxa"/>
            <w:tcBorders>
              <w:top w:val="single" w:sz="4" w:space="0" w:color="A6A6A6" w:themeColor="background1" w:themeShade="A6"/>
              <w:bottom w:val="single" w:sz="4" w:space="0" w:color="auto"/>
            </w:tcBorders>
            <w:shd w:val="clear" w:color="auto" w:fill="auto"/>
            <w:noWrap/>
          </w:tcPr>
          <w:p w:rsidR="00000745" w:rsidRPr="006D2AC8" w:rsidRDefault="00000745" w:rsidP="006D2AC8">
            <w:pPr>
              <w:pStyle w:val="TableText"/>
              <w:tabs>
                <w:tab w:val="decimal" w:pos="936"/>
              </w:tabs>
              <w:rPr>
                <w:b/>
                <w:lang w:eastAsia="en-NZ"/>
              </w:rPr>
            </w:pPr>
          </w:p>
        </w:tc>
        <w:tc>
          <w:tcPr>
            <w:tcW w:w="1560" w:type="dxa"/>
            <w:tcBorders>
              <w:top w:val="single" w:sz="4" w:space="0" w:color="A6A6A6" w:themeColor="background1" w:themeShade="A6"/>
              <w:bottom w:val="single" w:sz="4" w:space="0" w:color="auto"/>
            </w:tcBorders>
            <w:shd w:val="clear" w:color="auto" w:fill="auto"/>
            <w:noWrap/>
          </w:tcPr>
          <w:p w:rsidR="00000745" w:rsidRPr="006D2AC8" w:rsidRDefault="00000745" w:rsidP="006D2AC8">
            <w:pPr>
              <w:pStyle w:val="TableText"/>
              <w:tabs>
                <w:tab w:val="decimal" w:pos="992"/>
              </w:tabs>
              <w:rPr>
                <w:b/>
                <w:lang w:eastAsia="en-NZ"/>
              </w:rPr>
            </w:pPr>
          </w:p>
        </w:tc>
        <w:tc>
          <w:tcPr>
            <w:tcW w:w="1559" w:type="dxa"/>
            <w:tcBorders>
              <w:top w:val="single" w:sz="4" w:space="0" w:color="A6A6A6" w:themeColor="background1" w:themeShade="A6"/>
              <w:bottom w:val="single" w:sz="4" w:space="0" w:color="auto"/>
            </w:tcBorders>
            <w:shd w:val="clear" w:color="auto" w:fill="auto"/>
            <w:noWrap/>
          </w:tcPr>
          <w:p w:rsidR="00000745" w:rsidRPr="006D2AC8" w:rsidRDefault="00000745" w:rsidP="006D2AC8">
            <w:pPr>
              <w:pStyle w:val="TableText"/>
              <w:tabs>
                <w:tab w:val="decimal" w:pos="907"/>
              </w:tabs>
              <w:rPr>
                <w:b/>
                <w:lang w:eastAsia="en-NZ"/>
              </w:rPr>
            </w:pPr>
          </w:p>
        </w:tc>
        <w:tc>
          <w:tcPr>
            <w:tcW w:w="1559" w:type="dxa"/>
            <w:tcBorders>
              <w:top w:val="single" w:sz="4" w:space="0" w:color="A6A6A6" w:themeColor="background1" w:themeShade="A6"/>
              <w:bottom w:val="single" w:sz="4" w:space="0" w:color="auto"/>
            </w:tcBorders>
            <w:shd w:val="clear" w:color="auto" w:fill="auto"/>
            <w:noWrap/>
          </w:tcPr>
          <w:p w:rsidR="00000745" w:rsidRPr="006D2AC8" w:rsidRDefault="00000745" w:rsidP="006D2AC8">
            <w:pPr>
              <w:pStyle w:val="TableText"/>
              <w:tabs>
                <w:tab w:val="decimal" w:pos="932"/>
              </w:tabs>
              <w:rPr>
                <w:b/>
                <w:lang w:eastAsia="en-NZ"/>
              </w:rPr>
            </w:pPr>
          </w:p>
        </w:tc>
        <w:tc>
          <w:tcPr>
            <w:tcW w:w="1560" w:type="dxa"/>
            <w:tcBorders>
              <w:top w:val="single" w:sz="4" w:space="0" w:color="A6A6A6" w:themeColor="background1" w:themeShade="A6"/>
              <w:bottom w:val="single" w:sz="4" w:space="0" w:color="auto"/>
            </w:tcBorders>
            <w:shd w:val="clear" w:color="auto" w:fill="auto"/>
            <w:noWrap/>
            <w:hideMark/>
          </w:tcPr>
          <w:p w:rsidR="00000745" w:rsidRPr="006D2AC8" w:rsidRDefault="00000745" w:rsidP="006D2AC8">
            <w:pPr>
              <w:pStyle w:val="TableText"/>
              <w:tabs>
                <w:tab w:val="decimal" w:pos="1075"/>
              </w:tabs>
              <w:rPr>
                <w:b/>
                <w:lang w:eastAsia="en-NZ"/>
              </w:rPr>
            </w:pPr>
            <w:r w:rsidRPr="006D2AC8">
              <w:rPr>
                <w:b/>
                <w:lang w:eastAsia="en-NZ"/>
              </w:rPr>
              <w:t>$161,72</w:t>
            </w:r>
            <w:r w:rsidR="009A44D8">
              <w:rPr>
                <w:b/>
                <w:lang w:eastAsia="en-NZ"/>
              </w:rPr>
              <w:t>0</w:t>
            </w:r>
          </w:p>
        </w:tc>
      </w:tr>
    </w:tbl>
    <w:p w:rsidR="00000745" w:rsidRDefault="00000745" w:rsidP="006D2AC8"/>
    <w:p w:rsidR="00000745" w:rsidRPr="00823D05" w:rsidRDefault="00000745" w:rsidP="006D2AC8">
      <w:pPr>
        <w:pStyle w:val="Heading3"/>
      </w:pPr>
      <w:r w:rsidRPr="00823D05">
        <w:t>Alternative option</w:t>
      </w:r>
    </w:p>
    <w:p w:rsidR="00823DC8" w:rsidRPr="006D2AC8" w:rsidRDefault="00C13706" w:rsidP="006D2AC8">
      <w:pPr>
        <w:rPr>
          <w:i/>
        </w:rPr>
      </w:pPr>
      <w:r>
        <w:rPr>
          <w:i/>
        </w:rPr>
        <w:t>A</w:t>
      </w:r>
      <w:r w:rsidR="00000745" w:rsidRPr="006D2AC8">
        <w:rPr>
          <w:i/>
        </w:rPr>
        <w:t xml:space="preserve"> slightly lower </w:t>
      </w:r>
      <w:r w:rsidR="00000745" w:rsidRPr="006D2AC8">
        <w:rPr>
          <w:rFonts w:cs="Arial"/>
          <w:i/>
        </w:rPr>
        <w:t>partial exemption</w:t>
      </w:r>
      <w:r w:rsidR="00000745" w:rsidRPr="006D2AC8">
        <w:rPr>
          <w:i/>
        </w:rPr>
        <w:t xml:space="preserve"> </w:t>
      </w:r>
      <w:r>
        <w:rPr>
          <w:i/>
        </w:rPr>
        <w:t xml:space="preserve">is applied </w:t>
      </w:r>
      <w:r w:rsidR="00000745" w:rsidRPr="006D2AC8">
        <w:rPr>
          <w:i/>
        </w:rPr>
        <w:t>to all proposed fees to meet the aim of moving the memorandum account towards zero after six years.</w:t>
      </w:r>
    </w:p>
    <w:p w:rsidR="00000745" w:rsidRDefault="00000745" w:rsidP="006D2AC8"/>
    <w:p w:rsidR="00000745" w:rsidRDefault="00000745" w:rsidP="006D2AC8">
      <w:r>
        <w:t xml:space="preserve">The Act introduces new definitions for </w:t>
      </w:r>
      <w:r w:rsidR="00823DC8">
        <w:t>‘</w:t>
      </w:r>
      <w:r>
        <w:t>direct supervision</w:t>
      </w:r>
      <w:r w:rsidR="00823DC8">
        <w:t>’</w:t>
      </w:r>
      <w:r>
        <w:t xml:space="preserve"> and </w:t>
      </w:r>
      <w:r w:rsidR="00823DC8">
        <w:t>‘</w:t>
      </w:r>
      <w:r>
        <w:t>written instructions</w:t>
      </w:r>
      <w:r w:rsidR="00823DC8">
        <w:t>’</w:t>
      </w:r>
      <w:r>
        <w:t xml:space="preserve"> which means that some previously unlicensed users will need to obtain a use licence. Also, the Regulations proposed under discussion point 1(b) of this document could exempt significant numbers of previously licensed users from the need to obtain a use licence. Therefore, the group of use licence holders under the Act is likely to differ significantly from the group that contributed to the memorandum account balance. The Ministry of Health considers that it would be inequitable to apply the partial fee exemption to the new group of use licence holders.</w:t>
      </w:r>
    </w:p>
    <w:p w:rsidR="00000745" w:rsidRDefault="00000745" w:rsidP="006D2AC8"/>
    <w:p w:rsidR="00823DC8" w:rsidRDefault="00000745" w:rsidP="006D2AC8">
      <w:r>
        <w:t>Consent holders under the Act are likely to be a similar group to historical consent holders. However, historical consent fees have not met the full cost of administering the consent process and therefore, this group has not contributed to the memorandum account balance. The Ministry of Health considers that it would also be inequitable to apply the proposed partial fee exemption to consent holders.</w:t>
      </w:r>
    </w:p>
    <w:p w:rsidR="00000745" w:rsidRPr="00AC2039" w:rsidRDefault="00000745" w:rsidP="006D2AC8"/>
    <w:p w:rsidR="00000745" w:rsidRPr="001B7CE8" w:rsidRDefault="00000745" w:rsidP="006D2AC8">
      <w:pPr>
        <w:pStyle w:val="BoxHeading"/>
        <w:keepNext/>
      </w:pPr>
      <w:r w:rsidRPr="001B7CE8">
        <w:t>Consultation questions</w:t>
      </w:r>
    </w:p>
    <w:p w:rsidR="00823DC8" w:rsidRDefault="006D2AC8" w:rsidP="006D2AC8">
      <w:pPr>
        <w:pStyle w:val="Box"/>
        <w:keepNext/>
        <w:ind w:left="851" w:hanging="567"/>
      </w:pPr>
      <w:r>
        <w:t>30.</w:t>
      </w:r>
      <w:r>
        <w:tab/>
      </w:r>
      <w:r w:rsidR="00000745" w:rsidRPr="00AC2039">
        <w:t>Do you think applying a partial exemption to full source licence fees is a fair way of returning historically over-recovered licence fees</w:t>
      </w:r>
      <w:r w:rsidR="00000745">
        <w:t xml:space="preserve"> under the r</w:t>
      </w:r>
      <w:r w:rsidR="00000745" w:rsidRPr="00231CD5">
        <w:t xml:space="preserve">adiation </w:t>
      </w:r>
      <w:r w:rsidR="00000745">
        <w:t>p</w:t>
      </w:r>
      <w:r w:rsidR="00000745" w:rsidRPr="00231CD5">
        <w:t xml:space="preserve">rotection </w:t>
      </w:r>
      <w:r w:rsidR="00000745">
        <w:t>framework</w:t>
      </w:r>
      <w:r w:rsidR="00000745" w:rsidRPr="00231CD5">
        <w:t>?</w:t>
      </w:r>
    </w:p>
    <w:p w:rsidR="00823DC8" w:rsidRDefault="006D2AC8" w:rsidP="006D2AC8">
      <w:pPr>
        <w:pStyle w:val="Box"/>
        <w:keepNext/>
        <w:ind w:left="851" w:hanging="567"/>
      </w:pPr>
      <w:r>
        <w:t>31.</w:t>
      </w:r>
      <w:r>
        <w:tab/>
      </w:r>
      <w:r w:rsidR="00000745" w:rsidRPr="00231CD5">
        <w:t>Can you identify potential future authorisation holders under the</w:t>
      </w:r>
      <w:r w:rsidR="00000745">
        <w:t xml:space="preserve"> new Act</w:t>
      </w:r>
      <w:r w:rsidR="00000745" w:rsidRPr="00231CD5">
        <w:t xml:space="preserve"> that have not incurred historic</w:t>
      </w:r>
      <w:r w:rsidR="00000745">
        <w:t>al</w:t>
      </w:r>
      <w:r w:rsidR="00000745" w:rsidRPr="00231CD5">
        <w:t xml:space="preserve"> licence fees under the current </w:t>
      </w:r>
      <w:r w:rsidR="00000745">
        <w:t>r</w:t>
      </w:r>
      <w:r w:rsidR="00000745" w:rsidRPr="00231CD5">
        <w:t xml:space="preserve">adiation </w:t>
      </w:r>
      <w:r w:rsidR="00000745">
        <w:t>p</w:t>
      </w:r>
      <w:r w:rsidR="00000745" w:rsidRPr="00231CD5">
        <w:t xml:space="preserve">rotection </w:t>
      </w:r>
      <w:r w:rsidR="00000745">
        <w:t>framework?</w:t>
      </w:r>
    </w:p>
    <w:p w:rsidR="00823DC8" w:rsidRDefault="006D2AC8" w:rsidP="006D2AC8">
      <w:pPr>
        <w:pStyle w:val="Box"/>
        <w:keepNext/>
        <w:ind w:left="851" w:hanging="567"/>
      </w:pPr>
      <w:r>
        <w:t>32.</w:t>
      </w:r>
      <w:r>
        <w:tab/>
      </w:r>
      <w:r w:rsidR="00000745">
        <w:t xml:space="preserve">Do you have an alternative method for addressing the historical over-recovery of costs by </w:t>
      </w:r>
      <w:r w:rsidR="00000745" w:rsidRPr="00AC2039">
        <w:t>partially exempting future</w:t>
      </w:r>
      <w:r w:rsidR="00000745">
        <w:t xml:space="preserve"> fees?</w:t>
      </w:r>
    </w:p>
    <w:p w:rsidR="00823DC8" w:rsidRDefault="006D2AC8" w:rsidP="006D2AC8">
      <w:pPr>
        <w:pStyle w:val="Box"/>
        <w:keepNext/>
        <w:ind w:left="851" w:hanging="567"/>
      </w:pPr>
      <w:r>
        <w:t>33.</w:t>
      </w:r>
      <w:r>
        <w:tab/>
      </w:r>
      <w:r w:rsidR="00000745">
        <w:t>Do you have any further comments, suggestions or alternative options?</w:t>
      </w:r>
    </w:p>
    <w:p w:rsidR="00000745" w:rsidRDefault="00000745" w:rsidP="006D2AC8">
      <w:pPr>
        <w:pStyle w:val="Box"/>
        <w:rPr>
          <w:rFonts w:ascii="TimesNewRomanPSMT-Identity-H" w:hAnsi="TimesNewRomanPSMT-Identity-H" w:cs="TimesNewRomanPSMT-Identity-H"/>
        </w:rPr>
      </w:pPr>
      <w:r>
        <w:t xml:space="preserve">Please use the </w:t>
      </w:r>
      <w:r w:rsidR="00F810AB">
        <w:t>submission form</w:t>
      </w:r>
      <w:r>
        <w:t xml:space="preserve"> to respond to these questions.</w:t>
      </w:r>
    </w:p>
    <w:p w:rsidR="00000745" w:rsidRPr="009E2A1C" w:rsidRDefault="00000745" w:rsidP="006D2AC8"/>
    <w:p w:rsidR="003F30B8" w:rsidRDefault="003F30B8" w:rsidP="003F30B8">
      <w:bookmarkStart w:id="45" w:name="_Toc449001276"/>
      <w:r>
        <w:br w:type="page"/>
      </w:r>
    </w:p>
    <w:p w:rsidR="00000745" w:rsidRPr="001C623F" w:rsidRDefault="00000745" w:rsidP="003F30B8">
      <w:pPr>
        <w:pStyle w:val="Heading1"/>
      </w:pPr>
      <w:bookmarkStart w:id="46" w:name="_Toc450059036"/>
      <w:r>
        <w:lastRenderedPageBreak/>
        <w:t>3</w:t>
      </w:r>
      <w:r>
        <w:tab/>
      </w:r>
      <w:r w:rsidRPr="00C445C8">
        <w:t xml:space="preserve">Exemptions, </w:t>
      </w:r>
      <w:r>
        <w:t>r</w:t>
      </w:r>
      <w:r w:rsidRPr="00C445C8">
        <w:t xml:space="preserve">estrictions and </w:t>
      </w:r>
      <w:r>
        <w:t>p</w:t>
      </w:r>
      <w:r w:rsidRPr="00C445C8">
        <w:t>rohibitions</w:t>
      </w:r>
      <w:bookmarkEnd w:id="45"/>
      <w:bookmarkEnd w:id="46"/>
    </w:p>
    <w:p w:rsidR="00823DC8" w:rsidRDefault="00000745" w:rsidP="001A2B1F">
      <w:r w:rsidRPr="009E2A1C">
        <w:t xml:space="preserve">Limited and specified exemptions from the </w:t>
      </w:r>
      <w:r w:rsidRPr="001B7CE8">
        <w:t xml:space="preserve">authorisation </w:t>
      </w:r>
      <w:r w:rsidRPr="00FE4F46">
        <w:t>and registration</w:t>
      </w:r>
      <w:r w:rsidRPr="003D05F8">
        <w:rPr>
          <w:b/>
        </w:rPr>
        <w:t xml:space="preserve"> </w:t>
      </w:r>
      <w:r w:rsidRPr="009E2A1C">
        <w:t>requirements (</w:t>
      </w:r>
      <w:r>
        <w:t>see subparts 2 and 3 of Part 1</w:t>
      </w:r>
      <w:r w:rsidRPr="009E2A1C">
        <w:t xml:space="preserve"> of the </w:t>
      </w:r>
      <w:r>
        <w:t>Act)</w:t>
      </w:r>
      <w:r w:rsidRPr="009E2A1C">
        <w:t xml:space="preserve"> can be made under </w:t>
      </w:r>
      <w:r>
        <w:t>section 91</w:t>
      </w:r>
      <w:r w:rsidRPr="00D814A7">
        <w:t>(1)(a).</w:t>
      </w:r>
      <w:r>
        <w:t xml:space="preserve"> </w:t>
      </w:r>
      <w:r w:rsidRPr="00D814A7">
        <w:t xml:space="preserve">Conditions on these exemptions can also be made under </w:t>
      </w:r>
      <w:r>
        <w:t>section</w:t>
      </w:r>
      <w:r w:rsidRPr="00D814A7">
        <w:t xml:space="preserve"> 9</w:t>
      </w:r>
      <w:r>
        <w:t>1</w:t>
      </w:r>
      <w:r w:rsidRPr="00D814A7">
        <w:t>(1)(b).</w:t>
      </w:r>
      <w:r>
        <w:t xml:space="preserve"> </w:t>
      </w:r>
      <w:r w:rsidRPr="00D814A7">
        <w:t xml:space="preserve">These exemptions cannot be applied to </w:t>
      </w:r>
      <w:r w:rsidRPr="00E95182">
        <w:rPr>
          <w:b/>
        </w:rPr>
        <w:t>nuclear material</w:t>
      </w:r>
      <w:r w:rsidRPr="00D814A7">
        <w:t xml:space="preserve"> </w:t>
      </w:r>
      <w:r>
        <w:t>(see section 91(4))</w:t>
      </w:r>
      <w:r w:rsidRPr="00D814A7">
        <w:t>.</w:t>
      </w:r>
    </w:p>
    <w:p w:rsidR="00000745" w:rsidRPr="009E2A1C" w:rsidRDefault="00000745" w:rsidP="001A2B1F"/>
    <w:p w:rsidR="00823DC8" w:rsidRDefault="00000745" w:rsidP="001A2B1F">
      <w:pPr>
        <w:pStyle w:val="Heading2"/>
      </w:pPr>
      <w:bookmarkStart w:id="47" w:name="_Toc449001277"/>
      <w:bookmarkStart w:id="48" w:name="_Toc450059037"/>
      <w:r>
        <w:t>(a)</w:t>
      </w:r>
      <w:r w:rsidR="001A2B1F">
        <w:tab/>
      </w:r>
      <w:r w:rsidRPr="009E2A1C">
        <w:t>Radiation sources temporarily entering New</w:t>
      </w:r>
      <w:r w:rsidR="001A2B1F">
        <w:t> </w:t>
      </w:r>
      <w:r w:rsidRPr="009E2A1C">
        <w:t>Zealand by ship or aircraft</w:t>
      </w:r>
      <w:bookmarkEnd w:id="47"/>
      <w:bookmarkEnd w:id="48"/>
    </w:p>
    <w:p w:rsidR="00823DC8" w:rsidRDefault="00000745" w:rsidP="001A2B1F">
      <w:pPr>
        <w:pStyle w:val="Heading3"/>
      </w:pPr>
      <w:r w:rsidRPr="00E95182">
        <w:t>Background</w:t>
      </w:r>
    </w:p>
    <w:p w:rsidR="00823DC8" w:rsidRDefault="00000745" w:rsidP="001A2B1F">
      <w:r w:rsidRPr="001B7CE8">
        <w:t>Radiation sources</w:t>
      </w:r>
      <w:r w:rsidRPr="009E2A1C">
        <w:t xml:space="preserve"> may temporarily enter New Zealand and therefore become subject to the provisions of the </w:t>
      </w:r>
      <w:r>
        <w:t>Act,</w:t>
      </w:r>
      <w:r w:rsidRPr="009E2A1C">
        <w:t xml:space="preserve"> as well as other relevant New Zealand law.</w:t>
      </w:r>
      <w:r>
        <w:t xml:space="preserve"> </w:t>
      </w:r>
      <w:r w:rsidRPr="009E2A1C">
        <w:t>Temporary entry primarily occurs when a radiation source is either:</w:t>
      </w:r>
    </w:p>
    <w:p w:rsidR="00000745" w:rsidRPr="009E2A1C" w:rsidRDefault="00000745" w:rsidP="001A2B1F">
      <w:pPr>
        <w:pStyle w:val="Bullet"/>
      </w:pPr>
      <w:r w:rsidRPr="009E2A1C">
        <w:t>part of the normal operations of a vessel (</w:t>
      </w:r>
      <w:r>
        <w:t>eg</w:t>
      </w:r>
      <w:r w:rsidRPr="009E2A1C">
        <w:t>, X-ray equipment used in medical departments on cruise ships), or</w:t>
      </w:r>
    </w:p>
    <w:p w:rsidR="00823DC8" w:rsidRDefault="00000745" w:rsidP="001A2B1F">
      <w:pPr>
        <w:pStyle w:val="Bullet"/>
      </w:pPr>
      <w:r w:rsidRPr="009E2A1C">
        <w:t>cargo that is destined for another country (</w:t>
      </w:r>
      <w:r>
        <w:t xml:space="preserve">which </w:t>
      </w:r>
      <w:r w:rsidRPr="009E2A1C">
        <w:t>may stay on board while other cargo is loaded/unloaded or may be transferred to another vessel).</w:t>
      </w:r>
    </w:p>
    <w:p w:rsidR="00000745" w:rsidRPr="009E2A1C" w:rsidRDefault="00000745" w:rsidP="001A2B1F"/>
    <w:p w:rsidR="00823DC8" w:rsidRDefault="00000745" w:rsidP="001A2B1F">
      <w:r w:rsidRPr="00005719">
        <w:t>The Act does not allow for exemptions to the fundamental requirements (section</w:t>
      </w:r>
      <w:r w:rsidRPr="009E2A1C">
        <w:t xml:space="preserve"> </w:t>
      </w:r>
      <w:r>
        <w:t>9−</w:t>
      </w:r>
      <w:r w:rsidRPr="009E2A1C">
        <w:t>12)</w:t>
      </w:r>
      <w:r>
        <w:t>,</w:t>
      </w:r>
      <w:r w:rsidRPr="009E2A1C">
        <w:t xml:space="preserve"> and therefore the fundamental requirements must be met while the </w:t>
      </w:r>
      <w:r>
        <w:t xml:space="preserve">radiation </w:t>
      </w:r>
      <w:r w:rsidRPr="009E2A1C">
        <w:t>sources are temporarily in New Zealand.</w:t>
      </w:r>
    </w:p>
    <w:p w:rsidR="00000745" w:rsidRDefault="00000745" w:rsidP="001A2B1F"/>
    <w:p w:rsidR="00823DC8" w:rsidRDefault="00000745" w:rsidP="001A2B1F">
      <w:r w:rsidRPr="00F952B3">
        <w:t>Section 91(1)(a)(ii) of the Act allows for exemptions to the authorisation and registration requirements of the Act for radiation sources (other than nuclear material) temporarily entering New Zealand by ship or aircraft.</w:t>
      </w:r>
    </w:p>
    <w:p w:rsidR="00000745" w:rsidRDefault="00000745" w:rsidP="001A2B1F"/>
    <w:p w:rsidR="00000745" w:rsidRPr="00E95182" w:rsidRDefault="00000745" w:rsidP="001A2B1F">
      <w:pPr>
        <w:pStyle w:val="Heading3"/>
      </w:pPr>
      <w:r w:rsidRPr="00E95182">
        <w:t>Preferred option</w:t>
      </w:r>
    </w:p>
    <w:p w:rsidR="00000745" w:rsidRPr="001A2B1F" w:rsidRDefault="00000745" w:rsidP="001A2B1F">
      <w:pPr>
        <w:rPr>
          <w:i/>
        </w:rPr>
      </w:pPr>
      <w:r w:rsidRPr="001A2B1F">
        <w:rPr>
          <w:i/>
        </w:rPr>
        <w:t>Exempt radiation sources (excluding nuclear material) that have temporarily entered New</w:t>
      </w:r>
      <w:r w:rsidR="001A2B1F">
        <w:rPr>
          <w:i/>
        </w:rPr>
        <w:t> </w:t>
      </w:r>
      <w:r w:rsidRPr="001A2B1F">
        <w:rPr>
          <w:i/>
        </w:rPr>
        <w:t>Zealand by ship or aircraft from the consent, licensing and registration requirements.</w:t>
      </w:r>
    </w:p>
    <w:p w:rsidR="001A2B1F" w:rsidRDefault="001A2B1F" w:rsidP="001A2B1F"/>
    <w:p w:rsidR="00823DC8" w:rsidRDefault="00000745" w:rsidP="001A2B1F">
      <w:pPr>
        <w:rPr>
          <w:u w:val="single"/>
        </w:rPr>
      </w:pPr>
      <w:r>
        <w:t xml:space="preserve">The </w:t>
      </w:r>
      <w:r w:rsidRPr="009E2A1C">
        <w:t>radiation safety or security gain in requiring consents, licensing and registration in the temporary entry situations described above</w:t>
      </w:r>
      <w:r>
        <w:t xml:space="preserve"> is highly marginal</w:t>
      </w:r>
      <w:r w:rsidRPr="009E2A1C">
        <w:t>.</w:t>
      </w:r>
      <w:r>
        <w:t xml:space="preserve"> </w:t>
      </w:r>
      <w:r w:rsidRPr="009E2A1C">
        <w:t xml:space="preserve">Therefore, </w:t>
      </w:r>
      <w:r>
        <w:t xml:space="preserve">the Ministry of Health would </w:t>
      </w:r>
      <w:r w:rsidRPr="00661ECB">
        <w:t>prefer</w:t>
      </w:r>
      <w:r w:rsidRPr="009E2A1C">
        <w:t xml:space="preserve"> to exempt radiation sources (excluding nuclear material) that have temporarily entered </w:t>
      </w:r>
      <w:r>
        <w:t>New Zealand</w:t>
      </w:r>
      <w:r w:rsidRPr="009E2A1C">
        <w:t xml:space="preserve"> by ship or aircraft from the consent, </w:t>
      </w:r>
      <w:r>
        <w:t>licensing</w:t>
      </w:r>
      <w:r w:rsidRPr="009E2A1C">
        <w:t xml:space="preserve"> and registration </w:t>
      </w:r>
      <w:r>
        <w:t xml:space="preserve">requirements </w:t>
      </w:r>
      <w:r w:rsidRPr="009E2A1C">
        <w:t xml:space="preserve">(that is, </w:t>
      </w:r>
      <w:r>
        <w:t xml:space="preserve">from </w:t>
      </w:r>
      <w:r w:rsidRPr="009E2A1C">
        <w:t xml:space="preserve">all of subparts 2 and 3 of Part 1 of the </w:t>
      </w:r>
      <w:r>
        <w:t>Act</w:t>
      </w:r>
      <w:r w:rsidRPr="009E2A1C">
        <w:t>).</w:t>
      </w:r>
    </w:p>
    <w:p w:rsidR="00000745" w:rsidRDefault="00000745" w:rsidP="001A2B1F"/>
    <w:p w:rsidR="00000745" w:rsidRDefault="00000745" w:rsidP="001A2B1F">
      <w:pPr>
        <w:pStyle w:val="Heading3"/>
      </w:pPr>
      <w:r>
        <w:t>Alternative option</w:t>
      </w:r>
    </w:p>
    <w:p w:rsidR="00823DC8" w:rsidRDefault="00000745" w:rsidP="002F1412">
      <w:r w:rsidRPr="00F952B3">
        <w:t xml:space="preserve">Requiring </w:t>
      </w:r>
      <w:r>
        <w:t>licensing</w:t>
      </w:r>
      <w:r w:rsidRPr="00F952B3">
        <w:t xml:space="preserve">, consents and registration, or specifying some situations in which </w:t>
      </w:r>
      <w:r>
        <w:t>licensing</w:t>
      </w:r>
      <w:r w:rsidRPr="00F952B3">
        <w:t>, consents</w:t>
      </w:r>
      <w:r>
        <w:t xml:space="preserve"> and registration would be required in this situation, would result in</w:t>
      </w:r>
      <w:r w:rsidRPr="00F952B3">
        <w:t xml:space="preserve"> only a highly marginal gain in safety or security for the additional costs.</w:t>
      </w:r>
      <w:r>
        <w:t xml:space="preserve"> </w:t>
      </w:r>
      <w:r w:rsidRPr="00F952B3">
        <w:t>Therefore, the Ministry of Health has not developed an alternative option.</w:t>
      </w:r>
    </w:p>
    <w:p w:rsidR="00000745" w:rsidRDefault="00000745" w:rsidP="001A2B1F"/>
    <w:p w:rsidR="00000745" w:rsidRPr="001B7CE8" w:rsidRDefault="00000745" w:rsidP="001A2B1F">
      <w:pPr>
        <w:pStyle w:val="BoxHeading"/>
      </w:pPr>
      <w:r w:rsidRPr="001B7CE8">
        <w:t>Consultation questions</w:t>
      </w:r>
    </w:p>
    <w:p w:rsidR="00823DC8" w:rsidRDefault="001A2B1F" w:rsidP="001A2B1F">
      <w:pPr>
        <w:pStyle w:val="Box"/>
        <w:ind w:left="851" w:hanging="567"/>
      </w:pPr>
      <w:r>
        <w:t>34.</w:t>
      </w:r>
      <w:r>
        <w:tab/>
      </w:r>
      <w:r w:rsidR="00000745">
        <w:t>D</w:t>
      </w:r>
      <w:r w:rsidR="00000745" w:rsidRPr="009E2A1C">
        <w:t xml:space="preserve">o you </w:t>
      </w:r>
      <w:r w:rsidR="00000745">
        <w:t>think exemptions from the requirements to obtain an authorisation</w:t>
      </w:r>
      <w:r w:rsidR="00000745" w:rsidRPr="009E2A1C">
        <w:t xml:space="preserve"> and </w:t>
      </w:r>
      <w:r w:rsidR="00000745">
        <w:t xml:space="preserve">to register radiation sources in the situations specified in </w:t>
      </w:r>
      <w:r w:rsidR="00000745" w:rsidRPr="0029420D">
        <w:t>discussion point 3(a)</w:t>
      </w:r>
      <w:r w:rsidR="00000745" w:rsidRPr="00675B2F">
        <w:t xml:space="preserve"> </w:t>
      </w:r>
      <w:r w:rsidR="00000745" w:rsidRPr="0084719E">
        <w:t xml:space="preserve">of the </w:t>
      </w:r>
      <w:r w:rsidR="00000745">
        <w:t>consultation document are justified</w:t>
      </w:r>
      <w:r w:rsidR="00000745" w:rsidRPr="009E2A1C">
        <w:t>?</w:t>
      </w:r>
    </w:p>
    <w:p w:rsidR="00000745" w:rsidRDefault="001A2B1F" w:rsidP="001A2B1F">
      <w:pPr>
        <w:pStyle w:val="Box"/>
        <w:ind w:left="851" w:hanging="567"/>
      </w:pPr>
      <w:r>
        <w:t>35.</w:t>
      </w:r>
      <w:r>
        <w:tab/>
      </w:r>
      <w:r w:rsidR="00000745">
        <w:t>D</w:t>
      </w:r>
      <w:r w:rsidR="00000745" w:rsidRPr="009E2A1C">
        <w:t xml:space="preserve">o you think </w:t>
      </w:r>
      <w:r w:rsidR="00000745">
        <w:t xml:space="preserve">there are situations that are not specified in </w:t>
      </w:r>
      <w:r w:rsidR="00000745" w:rsidRPr="0029420D">
        <w:t>discussion point 3(a)</w:t>
      </w:r>
      <w:r w:rsidR="00000745" w:rsidRPr="0084719E">
        <w:t xml:space="preserve"> of the </w:t>
      </w:r>
      <w:r w:rsidR="00000745">
        <w:t>consultation</w:t>
      </w:r>
      <w:r w:rsidR="00000745" w:rsidRPr="0084719E">
        <w:t xml:space="preserve"> document</w:t>
      </w:r>
      <w:r w:rsidR="00000745">
        <w:t xml:space="preserve"> where radiation sources temporarily entering New Zealand by ship or craft should</w:t>
      </w:r>
      <w:r w:rsidR="00000745" w:rsidRPr="009E2A1C">
        <w:t xml:space="preserve"> be exempted</w:t>
      </w:r>
      <w:r w:rsidR="00000745">
        <w:t xml:space="preserve"> from the requirements to obtain an authorisation</w:t>
      </w:r>
      <w:r w:rsidR="00000745" w:rsidRPr="009E2A1C">
        <w:t xml:space="preserve"> and </w:t>
      </w:r>
      <w:r w:rsidR="00000745">
        <w:t>registration</w:t>
      </w:r>
      <w:r w:rsidR="00000745" w:rsidRPr="009E2A1C">
        <w:t>?</w:t>
      </w:r>
    </w:p>
    <w:p w:rsidR="00823DC8" w:rsidRDefault="001A2B1F" w:rsidP="001A2B1F">
      <w:pPr>
        <w:pStyle w:val="Box"/>
        <w:ind w:left="851" w:hanging="567"/>
      </w:pPr>
      <w:r>
        <w:t>36.</w:t>
      </w:r>
      <w:r>
        <w:tab/>
      </w:r>
      <w:r w:rsidR="00000745">
        <w:t>Do you have any further comments, suggestions or alternative options?</w:t>
      </w:r>
    </w:p>
    <w:p w:rsidR="00000745" w:rsidRDefault="00000745" w:rsidP="001A2B1F">
      <w:pPr>
        <w:pStyle w:val="Box"/>
      </w:pPr>
      <w:r>
        <w:t xml:space="preserve">Please use the </w:t>
      </w:r>
      <w:r w:rsidR="00F810AB">
        <w:t>submission form</w:t>
      </w:r>
      <w:r>
        <w:t xml:space="preserve"> to respond to these questions.</w:t>
      </w:r>
    </w:p>
    <w:p w:rsidR="00000745" w:rsidRPr="009E2A1C" w:rsidRDefault="00000745" w:rsidP="001A2B1F"/>
    <w:p w:rsidR="00823DC8" w:rsidRDefault="00000745" w:rsidP="001A2B1F">
      <w:pPr>
        <w:pStyle w:val="Heading2"/>
      </w:pPr>
      <w:bookmarkStart w:id="49" w:name="_Toc449001278"/>
      <w:bookmarkStart w:id="50" w:name="_Toc450059038"/>
      <w:r>
        <w:t>(b)</w:t>
      </w:r>
      <w:r w:rsidR="001A2B1F">
        <w:tab/>
      </w:r>
      <w:r w:rsidRPr="009E2A1C">
        <w:t>Low</w:t>
      </w:r>
      <w:r>
        <w:t>-</w:t>
      </w:r>
      <w:r w:rsidRPr="009E2A1C">
        <w:t xml:space="preserve">exposure and low-probability </w:t>
      </w:r>
      <w:r>
        <w:t>scenarios</w:t>
      </w:r>
      <w:bookmarkEnd w:id="49"/>
      <w:bookmarkEnd w:id="50"/>
    </w:p>
    <w:p w:rsidR="00823DC8" w:rsidRDefault="00000745" w:rsidP="001A2B1F">
      <w:pPr>
        <w:pStyle w:val="Heading3"/>
      </w:pPr>
      <w:r w:rsidRPr="00775DF9">
        <w:t>Background</w:t>
      </w:r>
    </w:p>
    <w:p w:rsidR="00823DC8" w:rsidRDefault="00000745" w:rsidP="001A2B1F">
      <w:r w:rsidRPr="009E2A1C">
        <w:t xml:space="preserve">Minimum threshold levels for </w:t>
      </w:r>
      <w:r w:rsidRPr="001B7CE8">
        <w:t>radioactive material</w:t>
      </w:r>
      <w:r w:rsidRPr="009E2A1C">
        <w:t xml:space="preserve"> are set out for each individual </w:t>
      </w:r>
      <w:r w:rsidRPr="00A82F91">
        <w:rPr>
          <w:b/>
        </w:rPr>
        <w:t>radionuclide</w:t>
      </w:r>
      <w:r w:rsidRPr="009E2A1C">
        <w:t xml:space="preserve"> in Schedule 2 of the </w:t>
      </w:r>
      <w:r>
        <w:t>Act</w:t>
      </w:r>
      <w:r w:rsidRPr="009E2A1C">
        <w:t>.</w:t>
      </w:r>
      <w:r>
        <w:t xml:space="preserve"> Minimum requirements for </w:t>
      </w:r>
      <w:r w:rsidRPr="00A82F91">
        <w:rPr>
          <w:b/>
        </w:rPr>
        <w:t>irradiating apparatus</w:t>
      </w:r>
      <w:r>
        <w:t xml:space="preserve"> are set out in the definition in section 5. </w:t>
      </w:r>
      <w:r w:rsidRPr="009E2A1C">
        <w:t xml:space="preserve">There are situations where </w:t>
      </w:r>
      <w:r w:rsidRPr="001B7CE8">
        <w:t>radiation sources</w:t>
      </w:r>
      <w:r w:rsidRPr="009E2A1C">
        <w:t xml:space="preserve"> may exceed the </w:t>
      </w:r>
      <w:r>
        <w:t>minimum requirements</w:t>
      </w:r>
      <w:r w:rsidRPr="009E2A1C">
        <w:t xml:space="preserve"> but the exposure arising from them is sufficiently low </w:t>
      </w:r>
      <w:r>
        <w:t xml:space="preserve">such </w:t>
      </w:r>
      <w:r w:rsidRPr="009E2A1C">
        <w:t xml:space="preserve">that they can be exempted from some or all of the authorisation requirements </w:t>
      </w:r>
      <w:r>
        <w:t>of the Act</w:t>
      </w:r>
      <w:r w:rsidRPr="009E2A1C">
        <w:t>.</w:t>
      </w:r>
      <w:r>
        <w:t xml:space="preserve"> Section 91</w:t>
      </w:r>
      <w:r w:rsidRPr="009E2A1C">
        <w:t xml:space="preserve">(1)(a)(iii) authorises </w:t>
      </w:r>
      <w:r>
        <w:t>Regulations</w:t>
      </w:r>
      <w:r w:rsidRPr="009E2A1C">
        <w:t xml:space="preserve"> to exempt </w:t>
      </w:r>
      <w:r w:rsidRPr="001B7CE8">
        <w:t>radiation sources</w:t>
      </w:r>
      <w:r w:rsidRPr="009E2A1C">
        <w:t xml:space="preserve"> where the </w:t>
      </w:r>
      <w:r w:rsidRPr="00FD6C59">
        <w:rPr>
          <w:b/>
        </w:rPr>
        <w:t>effective dose</w:t>
      </w:r>
      <w:r w:rsidRPr="009E2A1C">
        <w:t xml:space="preserve"> arising from them is less than the prescribed levels.</w:t>
      </w:r>
    </w:p>
    <w:p w:rsidR="00000745" w:rsidRDefault="00000745" w:rsidP="001A2B1F"/>
    <w:p w:rsidR="00000745" w:rsidRPr="00237C01" w:rsidRDefault="00000745" w:rsidP="001A2B1F">
      <w:pPr>
        <w:pStyle w:val="Heading3"/>
      </w:pPr>
      <w:r w:rsidRPr="00237C01">
        <w:t>Preferred option</w:t>
      </w:r>
    </w:p>
    <w:p w:rsidR="00823DC8" w:rsidRPr="001A2B1F" w:rsidRDefault="00000745" w:rsidP="001A2B1F">
      <w:pPr>
        <w:rPr>
          <w:i/>
        </w:rPr>
      </w:pPr>
      <w:r w:rsidRPr="001A2B1F">
        <w:rPr>
          <w:i/>
        </w:rPr>
        <w:t>The radiation sources listed in Table 9 are exempted from the requirements of authorisations and registration.</w:t>
      </w:r>
    </w:p>
    <w:p w:rsidR="00000745" w:rsidRDefault="00000745" w:rsidP="001A2B1F"/>
    <w:p w:rsidR="00000745" w:rsidRPr="001A2B1F" w:rsidRDefault="00000745" w:rsidP="001A2B1F">
      <w:pPr>
        <w:pStyle w:val="Table"/>
      </w:pPr>
      <w:bookmarkStart w:id="51" w:name="_Toc450059067"/>
      <w:r w:rsidRPr="001B7CE8">
        <w:t>Table 9: Radionuclides exempted under section 91(1)(a)(iii) of the Act</w:t>
      </w:r>
      <w:bookmarkEnd w:id="5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60"/>
        <w:gridCol w:w="1984"/>
        <w:gridCol w:w="3447"/>
        <w:gridCol w:w="2365"/>
      </w:tblGrid>
      <w:tr w:rsidR="00000745" w:rsidRPr="001A2B1F" w:rsidTr="001A2B1F">
        <w:trPr>
          <w:cantSplit/>
        </w:trPr>
        <w:tc>
          <w:tcPr>
            <w:tcW w:w="1560" w:type="dxa"/>
            <w:tcBorders>
              <w:top w:val="single" w:sz="4" w:space="0" w:color="auto"/>
              <w:bottom w:val="single" w:sz="4" w:space="0" w:color="auto"/>
            </w:tcBorders>
          </w:tcPr>
          <w:p w:rsidR="00000745" w:rsidRPr="001A2B1F" w:rsidRDefault="00000745" w:rsidP="001A2B1F">
            <w:pPr>
              <w:pStyle w:val="TableText"/>
              <w:keepNext/>
              <w:ind w:right="142"/>
              <w:rPr>
                <w:b/>
              </w:rPr>
            </w:pPr>
            <w:r w:rsidRPr="001A2B1F">
              <w:rPr>
                <w:b/>
              </w:rPr>
              <w:t>Radionuclide</w:t>
            </w:r>
          </w:p>
        </w:tc>
        <w:tc>
          <w:tcPr>
            <w:tcW w:w="1984" w:type="dxa"/>
            <w:tcBorders>
              <w:top w:val="single" w:sz="4" w:space="0" w:color="auto"/>
              <w:bottom w:val="single" w:sz="4" w:space="0" w:color="auto"/>
            </w:tcBorders>
          </w:tcPr>
          <w:p w:rsidR="00000745" w:rsidRPr="001A2B1F" w:rsidRDefault="00000745" w:rsidP="001A2B1F">
            <w:pPr>
              <w:pStyle w:val="TableText"/>
              <w:keepNext/>
              <w:ind w:right="142"/>
              <w:rPr>
                <w:b/>
              </w:rPr>
            </w:pPr>
            <w:r w:rsidRPr="001A2B1F">
              <w:rPr>
                <w:b/>
              </w:rPr>
              <w:t>Exempted from</w:t>
            </w:r>
          </w:p>
        </w:tc>
        <w:tc>
          <w:tcPr>
            <w:tcW w:w="3447" w:type="dxa"/>
            <w:tcBorders>
              <w:top w:val="single" w:sz="4" w:space="0" w:color="auto"/>
              <w:bottom w:val="single" w:sz="4" w:space="0" w:color="auto"/>
            </w:tcBorders>
          </w:tcPr>
          <w:p w:rsidR="00000745" w:rsidRPr="001A2B1F" w:rsidRDefault="00000745" w:rsidP="001A2B1F">
            <w:pPr>
              <w:pStyle w:val="TableText"/>
              <w:keepNext/>
              <w:ind w:right="142"/>
              <w:rPr>
                <w:b/>
              </w:rPr>
            </w:pPr>
            <w:r w:rsidRPr="001A2B1F">
              <w:rPr>
                <w:b/>
              </w:rPr>
              <w:t>Conditions</w:t>
            </w:r>
          </w:p>
        </w:tc>
        <w:tc>
          <w:tcPr>
            <w:tcW w:w="2365" w:type="dxa"/>
            <w:tcBorders>
              <w:top w:val="single" w:sz="4" w:space="0" w:color="auto"/>
              <w:bottom w:val="single" w:sz="4" w:space="0" w:color="auto"/>
            </w:tcBorders>
          </w:tcPr>
          <w:p w:rsidR="00000745" w:rsidRPr="001A2B1F" w:rsidRDefault="00000745" w:rsidP="001A2B1F">
            <w:pPr>
              <w:pStyle w:val="TableText"/>
              <w:keepNext/>
              <w:rPr>
                <w:b/>
              </w:rPr>
            </w:pPr>
            <w:r w:rsidRPr="001A2B1F">
              <w:rPr>
                <w:b/>
              </w:rPr>
              <w:t>Reasons</w:t>
            </w:r>
          </w:p>
        </w:tc>
      </w:tr>
      <w:tr w:rsidR="00000745" w:rsidRPr="008F1F42" w:rsidTr="001A2B1F">
        <w:trPr>
          <w:cantSplit/>
        </w:trPr>
        <w:tc>
          <w:tcPr>
            <w:tcW w:w="1560" w:type="dxa"/>
            <w:tcBorders>
              <w:top w:val="single" w:sz="4" w:space="0" w:color="auto"/>
              <w:bottom w:val="single" w:sz="4" w:space="0" w:color="A6A6A6" w:themeColor="background1" w:themeShade="A6"/>
            </w:tcBorders>
          </w:tcPr>
          <w:p w:rsidR="00000745" w:rsidRPr="00D26090" w:rsidRDefault="00000745" w:rsidP="001A2B1F">
            <w:pPr>
              <w:pStyle w:val="TableText"/>
              <w:keepNext/>
              <w:ind w:right="142"/>
            </w:pPr>
            <w:r w:rsidRPr="00D26090">
              <w:t>Americium-241</w:t>
            </w:r>
          </w:p>
        </w:tc>
        <w:tc>
          <w:tcPr>
            <w:tcW w:w="1984" w:type="dxa"/>
            <w:tcBorders>
              <w:top w:val="single" w:sz="4" w:space="0" w:color="auto"/>
              <w:bottom w:val="single" w:sz="4" w:space="0" w:color="A6A6A6" w:themeColor="background1" w:themeShade="A6"/>
            </w:tcBorders>
          </w:tcPr>
          <w:p w:rsidR="00000745" w:rsidRPr="00C03D25" w:rsidRDefault="00000745" w:rsidP="001A2B1F">
            <w:pPr>
              <w:pStyle w:val="TableText"/>
              <w:keepNext/>
              <w:ind w:right="142"/>
            </w:pPr>
            <w:r w:rsidRPr="0082050C">
              <w:t>A</w:t>
            </w:r>
            <w:r w:rsidRPr="00A80CEE">
              <w:t>ll of subparts 2 and 3 of Part 1</w:t>
            </w:r>
            <w:r>
              <w:t xml:space="preserve"> of the Act</w:t>
            </w:r>
          </w:p>
        </w:tc>
        <w:tc>
          <w:tcPr>
            <w:tcW w:w="3447" w:type="dxa"/>
            <w:tcBorders>
              <w:top w:val="single" w:sz="4" w:space="0" w:color="auto"/>
              <w:bottom w:val="single" w:sz="4" w:space="0" w:color="A6A6A6" w:themeColor="background1" w:themeShade="A6"/>
            </w:tcBorders>
          </w:tcPr>
          <w:p w:rsidR="00823DC8" w:rsidRDefault="00000745" w:rsidP="001A2B1F">
            <w:pPr>
              <w:pStyle w:val="TableText"/>
              <w:keepNext/>
              <w:ind w:right="142"/>
            </w:pPr>
            <w:r w:rsidRPr="00F23B0C">
              <w:t>N</w:t>
            </w:r>
            <w:r w:rsidRPr="00F96856">
              <w:t>o greater than 40 kilobecquerel</w:t>
            </w:r>
            <w:r>
              <w:t>s</w:t>
            </w:r>
          </w:p>
          <w:p w:rsidR="00823DC8" w:rsidRDefault="00000745" w:rsidP="001A2B1F">
            <w:pPr>
              <w:pStyle w:val="TableText"/>
              <w:keepNext/>
              <w:ind w:right="142"/>
            </w:pPr>
            <w:r w:rsidRPr="0082050C">
              <w:t>C</w:t>
            </w:r>
            <w:r w:rsidRPr="00A80CEE">
              <w:t>ontained in a domestic ionisation chamber smoke detector</w:t>
            </w:r>
          </w:p>
          <w:p w:rsidR="00823DC8" w:rsidRDefault="00000745" w:rsidP="001A2B1F">
            <w:pPr>
              <w:pStyle w:val="TableText"/>
              <w:keepNext/>
              <w:ind w:right="142"/>
            </w:pPr>
            <w:r w:rsidRPr="00F23B0C">
              <w:t>S</w:t>
            </w:r>
            <w:r w:rsidRPr="00F96856">
              <w:t>ource is not readily accessible without dismantling the device</w:t>
            </w:r>
          </w:p>
          <w:p w:rsidR="00000745" w:rsidRPr="006E2A30" w:rsidRDefault="00000745" w:rsidP="001A2B1F">
            <w:pPr>
              <w:pStyle w:val="TableText"/>
              <w:keepNext/>
              <w:ind w:right="142"/>
            </w:pPr>
            <w:r w:rsidRPr="006C64AD">
              <w:t xml:space="preserve">Clearly labelled with a trefoil symbol and the word </w:t>
            </w:r>
            <w:r w:rsidR="00823DC8">
              <w:t>‘</w:t>
            </w:r>
            <w:r w:rsidRPr="005D386B">
              <w:t>radioactive</w:t>
            </w:r>
            <w:r w:rsidR="00823DC8">
              <w:t>’</w:t>
            </w:r>
          </w:p>
        </w:tc>
        <w:tc>
          <w:tcPr>
            <w:tcW w:w="2365" w:type="dxa"/>
            <w:tcBorders>
              <w:top w:val="single" w:sz="4" w:space="0" w:color="auto"/>
              <w:bottom w:val="single" w:sz="4" w:space="0" w:color="A6A6A6" w:themeColor="background1" w:themeShade="A6"/>
            </w:tcBorders>
          </w:tcPr>
          <w:p w:rsidR="00823DC8" w:rsidRDefault="00000745" w:rsidP="001A2B1F">
            <w:pPr>
              <w:pStyle w:val="TableText"/>
              <w:keepNext/>
            </w:pPr>
            <w:r w:rsidRPr="0024496F">
              <w:t>Emits alpha particles that are very easily shielded</w:t>
            </w:r>
          </w:p>
          <w:p w:rsidR="00823DC8" w:rsidRDefault="00000745" w:rsidP="001A2B1F">
            <w:pPr>
              <w:pStyle w:val="TableText"/>
              <w:keepNext/>
            </w:pPr>
            <w:r w:rsidRPr="0024496F">
              <w:t>No external radiation dose so long as they remain in their manufactured containm</w:t>
            </w:r>
            <w:r w:rsidRPr="004F0F84">
              <w:t>ent</w:t>
            </w:r>
          </w:p>
          <w:p w:rsidR="00000745" w:rsidRPr="004F0F84" w:rsidRDefault="00000745" w:rsidP="001A2B1F">
            <w:pPr>
              <w:pStyle w:val="TableText"/>
              <w:keepNext/>
            </w:pPr>
            <w:r w:rsidRPr="004F0F84">
              <w:t>Satisfies the dose criteria in section 91(1)(a)(iii)A</w:t>
            </w:r>
          </w:p>
        </w:tc>
      </w:tr>
      <w:tr w:rsidR="00000745" w:rsidRPr="008F1F42" w:rsidTr="001A2B1F">
        <w:trPr>
          <w:cantSplit/>
        </w:trPr>
        <w:tc>
          <w:tcPr>
            <w:tcW w:w="1560" w:type="dxa"/>
            <w:tcBorders>
              <w:top w:val="single" w:sz="4" w:space="0" w:color="A6A6A6" w:themeColor="background1" w:themeShade="A6"/>
              <w:bottom w:val="single" w:sz="4" w:space="0" w:color="A6A6A6" w:themeColor="background1" w:themeShade="A6"/>
            </w:tcBorders>
          </w:tcPr>
          <w:p w:rsidR="00000745" w:rsidRPr="00D26090" w:rsidRDefault="00000745" w:rsidP="001A2B1F">
            <w:pPr>
              <w:pStyle w:val="TableText"/>
              <w:ind w:right="142"/>
            </w:pPr>
            <w:r w:rsidRPr="00D26090">
              <w:t>Nickel-63 or Hydrogen-3 (tritium)</w:t>
            </w:r>
          </w:p>
        </w:tc>
        <w:tc>
          <w:tcPr>
            <w:tcW w:w="1984" w:type="dxa"/>
            <w:tcBorders>
              <w:top w:val="single" w:sz="4" w:space="0" w:color="A6A6A6" w:themeColor="background1" w:themeShade="A6"/>
              <w:bottom w:val="single" w:sz="4" w:space="0" w:color="A6A6A6" w:themeColor="background1" w:themeShade="A6"/>
            </w:tcBorders>
          </w:tcPr>
          <w:p w:rsidR="00000745" w:rsidRPr="00C03D25" w:rsidRDefault="00000745" w:rsidP="001A2B1F">
            <w:pPr>
              <w:pStyle w:val="TableText"/>
              <w:ind w:right="142"/>
            </w:pPr>
            <w:r w:rsidRPr="0082050C">
              <w:t>A</w:t>
            </w:r>
            <w:r w:rsidRPr="00A80CEE">
              <w:t>ll of subparts 2 and 3 of Part 1</w:t>
            </w:r>
            <w:r>
              <w:t xml:space="preserve"> of the Act</w:t>
            </w:r>
          </w:p>
        </w:tc>
        <w:tc>
          <w:tcPr>
            <w:tcW w:w="3447" w:type="dxa"/>
            <w:tcBorders>
              <w:top w:val="single" w:sz="4" w:space="0" w:color="A6A6A6" w:themeColor="background1" w:themeShade="A6"/>
              <w:bottom w:val="single" w:sz="4" w:space="0" w:color="A6A6A6" w:themeColor="background1" w:themeShade="A6"/>
            </w:tcBorders>
          </w:tcPr>
          <w:p w:rsidR="00823DC8" w:rsidRDefault="00000745" w:rsidP="001A2B1F">
            <w:pPr>
              <w:pStyle w:val="TableText"/>
              <w:ind w:right="142"/>
            </w:pPr>
            <w:r w:rsidRPr="00F23B0C">
              <w:t>N</w:t>
            </w:r>
            <w:r w:rsidRPr="00F96856">
              <w:t xml:space="preserve">o greater than 750 </w:t>
            </w:r>
            <w:r w:rsidRPr="001D319C">
              <w:rPr>
                <w:lang w:val="en"/>
              </w:rPr>
              <w:t>megabecquerels</w:t>
            </w:r>
            <w:r w:rsidRPr="00D26090">
              <w:t xml:space="preserve"> (Ni-63) or 20 </w:t>
            </w:r>
            <w:r w:rsidRPr="001D319C">
              <w:rPr>
                <w:lang w:val="en"/>
              </w:rPr>
              <w:t>gigabecquerels</w:t>
            </w:r>
            <w:r w:rsidRPr="00D26090">
              <w:t xml:space="preserve"> (H-3)</w:t>
            </w:r>
          </w:p>
          <w:p w:rsidR="00000745" w:rsidRPr="00C03D25" w:rsidRDefault="00000745" w:rsidP="001A2B1F">
            <w:pPr>
              <w:pStyle w:val="TableText"/>
              <w:ind w:right="142"/>
            </w:pPr>
            <w:r w:rsidRPr="0082050C">
              <w:t>C</w:t>
            </w:r>
            <w:r w:rsidRPr="00A80CEE">
              <w:t xml:space="preserve">ontained in an electron capture detector or similar device for use in gas </w:t>
            </w:r>
            <w:r w:rsidRPr="00C03D25">
              <w:t>chromatography</w:t>
            </w:r>
          </w:p>
          <w:p w:rsidR="00000745" w:rsidRPr="00041818" w:rsidRDefault="00000745" w:rsidP="001A2B1F">
            <w:pPr>
              <w:pStyle w:val="TableText"/>
              <w:ind w:right="142"/>
            </w:pPr>
            <w:r w:rsidRPr="00F23B0C">
              <w:t>S</w:t>
            </w:r>
            <w:r w:rsidRPr="00F96856">
              <w:t xml:space="preserve">ource housing clearly labelled with a trefoil symbol and the word </w:t>
            </w:r>
            <w:r w:rsidR="00823DC8">
              <w:t>‘</w:t>
            </w:r>
            <w:r w:rsidRPr="00041818">
              <w:t>radioactive</w:t>
            </w:r>
            <w:r w:rsidR="00823DC8">
              <w:t>’</w:t>
            </w:r>
          </w:p>
        </w:tc>
        <w:tc>
          <w:tcPr>
            <w:tcW w:w="2365" w:type="dxa"/>
            <w:tcBorders>
              <w:top w:val="single" w:sz="4" w:space="0" w:color="A6A6A6" w:themeColor="background1" w:themeShade="A6"/>
              <w:bottom w:val="single" w:sz="4" w:space="0" w:color="A6A6A6" w:themeColor="background1" w:themeShade="A6"/>
            </w:tcBorders>
          </w:tcPr>
          <w:p w:rsidR="00823DC8" w:rsidRDefault="00000745" w:rsidP="001A2B1F">
            <w:pPr>
              <w:pStyle w:val="TableText"/>
            </w:pPr>
            <w:r w:rsidRPr="006C64AD">
              <w:t>These radiation sources emit low</w:t>
            </w:r>
            <w:r w:rsidRPr="00874488">
              <w:t>-</w:t>
            </w:r>
            <w:r w:rsidRPr="005D386B">
              <w:t>energy beta particles</w:t>
            </w:r>
          </w:p>
          <w:p w:rsidR="00823DC8" w:rsidRDefault="00000745" w:rsidP="001A2B1F">
            <w:pPr>
              <w:pStyle w:val="TableText"/>
            </w:pPr>
            <w:r w:rsidRPr="0024496F">
              <w:t>These emissions are easily absorbed by the casing</w:t>
            </w:r>
          </w:p>
          <w:p w:rsidR="00000745" w:rsidRPr="004F0F84" w:rsidRDefault="00000745" w:rsidP="001A2B1F">
            <w:pPr>
              <w:pStyle w:val="TableText"/>
            </w:pPr>
            <w:r w:rsidRPr="0024496F">
              <w:t>Satisfies the dose criteri</w:t>
            </w:r>
            <w:r w:rsidRPr="004F0F84">
              <w:t>a in section 91(1)(a)(iii)A</w:t>
            </w:r>
          </w:p>
        </w:tc>
      </w:tr>
      <w:tr w:rsidR="00000745" w:rsidRPr="008F1F42" w:rsidTr="001A2B1F">
        <w:trPr>
          <w:cantSplit/>
        </w:trPr>
        <w:tc>
          <w:tcPr>
            <w:tcW w:w="1560" w:type="dxa"/>
            <w:tcBorders>
              <w:top w:val="single" w:sz="4" w:space="0" w:color="A6A6A6" w:themeColor="background1" w:themeShade="A6"/>
              <w:bottom w:val="single" w:sz="4" w:space="0" w:color="A6A6A6" w:themeColor="background1" w:themeShade="A6"/>
            </w:tcBorders>
          </w:tcPr>
          <w:p w:rsidR="00000745" w:rsidRPr="00D26090" w:rsidRDefault="00000745" w:rsidP="001A2B1F">
            <w:pPr>
              <w:pStyle w:val="TableText"/>
              <w:ind w:right="142"/>
            </w:pPr>
            <w:r w:rsidRPr="00D26090">
              <w:lastRenderedPageBreak/>
              <w:t>Hydrogen-3</w:t>
            </w:r>
          </w:p>
        </w:tc>
        <w:tc>
          <w:tcPr>
            <w:tcW w:w="1984" w:type="dxa"/>
            <w:tcBorders>
              <w:top w:val="single" w:sz="4" w:space="0" w:color="A6A6A6" w:themeColor="background1" w:themeShade="A6"/>
              <w:bottom w:val="single" w:sz="4" w:space="0" w:color="A6A6A6" w:themeColor="background1" w:themeShade="A6"/>
            </w:tcBorders>
          </w:tcPr>
          <w:p w:rsidR="00000745" w:rsidRPr="00D26090" w:rsidRDefault="00000745" w:rsidP="001A2B1F">
            <w:pPr>
              <w:pStyle w:val="TableText"/>
              <w:ind w:right="142"/>
            </w:pPr>
            <w:r>
              <w:t>A</w:t>
            </w:r>
            <w:r w:rsidRPr="00A80CEE">
              <w:t>ll</w:t>
            </w:r>
            <w:r w:rsidRPr="00D26090">
              <w:t xml:space="preserve"> of subparts 2 and 3 of Part 1</w:t>
            </w:r>
            <w:r>
              <w:t xml:space="preserve"> of the Act</w:t>
            </w:r>
          </w:p>
        </w:tc>
        <w:tc>
          <w:tcPr>
            <w:tcW w:w="3447" w:type="dxa"/>
            <w:tcBorders>
              <w:top w:val="single" w:sz="4" w:space="0" w:color="A6A6A6" w:themeColor="background1" w:themeShade="A6"/>
              <w:bottom w:val="single" w:sz="4" w:space="0" w:color="A6A6A6" w:themeColor="background1" w:themeShade="A6"/>
            </w:tcBorders>
          </w:tcPr>
          <w:p w:rsidR="00823DC8" w:rsidRDefault="00000745" w:rsidP="001A2B1F">
            <w:pPr>
              <w:pStyle w:val="TableText"/>
              <w:ind w:right="142"/>
            </w:pPr>
            <w:r w:rsidRPr="0082050C">
              <w:t>N</w:t>
            </w:r>
            <w:r w:rsidRPr="00A80CEE">
              <w:t xml:space="preserve">o greater than 74 </w:t>
            </w:r>
            <w:r w:rsidRPr="001D319C">
              <w:rPr>
                <w:lang w:val="en"/>
              </w:rPr>
              <w:t>gigabecquerels</w:t>
            </w:r>
          </w:p>
          <w:p w:rsidR="00823DC8" w:rsidRDefault="00000745" w:rsidP="001A2B1F">
            <w:pPr>
              <w:pStyle w:val="TableText"/>
              <w:ind w:right="142"/>
            </w:pPr>
            <w:r w:rsidRPr="0082050C">
              <w:t>C</w:t>
            </w:r>
            <w:r w:rsidRPr="00A80CEE">
              <w:t>ontained in gaseous tritium light source</w:t>
            </w:r>
          </w:p>
          <w:p w:rsidR="00000745" w:rsidRPr="00F96856" w:rsidRDefault="00000745" w:rsidP="001A2B1F">
            <w:pPr>
              <w:pStyle w:val="TableText"/>
              <w:ind w:right="142"/>
            </w:pPr>
            <w:r w:rsidRPr="00F23B0C">
              <w:t>A</w:t>
            </w:r>
            <w:r w:rsidRPr="00F96856">
              <w:t>t least 98% of total activity in the form of elemental hydrogen gas</w:t>
            </w:r>
          </w:p>
        </w:tc>
        <w:tc>
          <w:tcPr>
            <w:tcW w:w="2365" w:type="dxa"/>
            <w:tcBorders>
              <w:top w:val="single" w:sz="4" w:space="0" w:color="A6A6A6" w:themeColor="background1" w:themeShade="A6"/>
              <w:bottom w:val="single" w:sz="4" w:space="0" w:color="A6A6A6" w:themeColor="background1" w:themeShade="A6"/>
            </w:tcBorders>
          </w:tcPr>
          <w:p w:rsidR="00823DC8" w:rsidRDefault="00000745" w:rsidP="001A2B1F">
            <w:pPr>
              <w:pStyle w:val="TableText"/>
            </w:pPr>
            <w:r w:rsidRPr="00F96856">
              <w:t>E</w:t>
            </w:r>
            <w:r w:rsidRPr="00041818">
              <w:t>mits low-</w:t>
            </w:r>
            <w:r w:rsidRPr="006C64AD">
              <w:t>energy beta particles</w:t>
            </w:r>
          </w:p>
          <w:p w:rsidR="00000745" w:rsidRPr="006E2A30" w:rsidRDefault="00000745" w:rsidP="001A2B1F">
            <w:pPr>
              <w:pStyle w:val="TableText"/>
            </w:pPr>
            <w:r w:rsidRPr="005D386B">
              <w:t>T</w:t>
            </w:r>
            <w:r w:rsidRPr="006E2A30">
              <w:t>hese sources are encapsulated in a glass capsule that easily shields emissions</w:t>
            </w:r>
          </w:p>
          <w:p w:rsidR="00000745" w:rsidRPr="0024496F" w:rsidRDefault="00000745" w:rsidP="001A2B1F">
            <w:pPr>
              <w:pStyle w:val="TableText"/>
            </w:pPr>
            <w:r w:rsidRPr="0024496F">
              <w:t>Satisfies the dose criteria in section 91(1)(a)(iii)B</w:t>
            </w:r>
          </w:p>
        </w:tc>
      </w:tr>
      <w:tr w:rsidR="00000745" w:rsidRPr="008F1F42" w:rsidTr="001A2B1F">
        <w:trPr>
          <w:cantSplit/>
        </w:trPr>
        <w:tc>
          <w:tcPr>
            <w:tcW w:w="1560" w:type="dxa"/>
            <w:tcBorders>
              <w:top w:val="single" w:sz="4" w:space="0" w:color="A6A6A6" w:themeColor="background1" w:themeShade="A6"/>
            </w:tcBorders>
          </w:tcPr>
          <w:p w:rsidR="00000745" w:rsidRPr="00C03D25" w:rsidRDefault="00000745" w:rsidP="001A2B1F">
            <w:pPr>
              <w:pStyle w:val="TableText"/>
              <w:ind w:right="142"/>
            </w:pPr>
            <w:r w:rsidRPr="00D26090">
              <w:t>Benchtop X</w:t>
            </w:r>
            <w:r w:rsidRPr="00A80CEE">
              <w:t>-ray analyser</w:t>
            </w:r>
          </w:p>
        </w:tc>
        <w:tc>
          <w:tcPr>
            <w:tcW w:w="1984" w:type="dxa"/>
            <w:tcBorders>
              <w:top w:val="single" w:sz="4" w:space="0" w:color="A6A6A6" w:themeColor="background1" w:themeShade="A6"/>
            </w:tcBorders>
          </w:tcPr>
          <w:p w:rsidR="00000745" w:rsidRPr="00F96856" w:rsidRDefault="00000745" w:rsidP="001A2B1F">
            <w:pPr>
              <w:pStyle w:val="TableText"/>
              <w:ind w:right="142"/>
            </w:pPr>
            <w:r w:rsidRPr="00F23B0C">
              <w:t>A</w:t>
            </w:r>
            <w:r w:rsidRPr="00F96856">
              <w:t>ll of subparts 2 and 3 of Part 1</w:t>
            </w:r>
            <w:r>
              <w:t xml:space="preserve"> of the Act</w:t>
            </w:r>
          </w:p>
        </w:tc>
        <w:tc>
          <w:tcPr>
            <w:tcW w:w="3447" w:type="dxa"/>
            <w:tcBorders>
              <w:top w:val="single" w:sz="4" w:space="0" w:color="A6A6A6" w:themeColor="background1" w:themeShade="A6"/>
            </w:tcBorders>
          </w:tcPr>
          <w:p w:rsidR="00823DC8" w:rsidRDefault="00000745" w:rsidP="001A2B1F">
            <w:pPr>
              <w:pStyle w:val="TableText"/>
              <w:ind w:right="142"/>
            </w:pPr>
            <w:r w:rsidRPr="00F96856">
              <w:t>U</w:t>
            </w:r>
            <w:r w:rsidRPr="00041818">
              <w:t>sed for X-ray fluorescence or X</w:t>
            </w:r>
            <w:r w:rsidRPr="006C64AD">
              <w:t>-ray diffraction</w:t>
            </w:r>
          </w:p>
          <w:p w:rsidR="00823DC8" w:rsidRDefault="00000745" w:rsidP="001A2B1F">
            <w:pPr>
              <w:pStyle w:val="TableText"/>
              <w:ind w:right="142"/>
            </w:pPr>
            <w:r w:rsidRPr="005D386B">
              <w:t>C</w:t>
            </w:r>
            <w:r w:rsidRPr="006E2A30">
              <w:t xml:space="preserve">ompletely and permanently enclosed to prevent access of any part of the body to the primary </w:t>
            </w:r>
            <w:r w:rsidRPr="0024496F">
              <w:t>X-ray beam</w:t>
            </w:r>
          </w:p>
          <w:p w:rsidR="00823DC8" w:rsidRDefault="00000745" w:rsidP="001A2B1F">
            <w:pPr>
              <w:pStyle w:val="TableText"/>
              <w:ind w:right="142"/>
            </w:pPr>
            <w:r w:rsidRPr="004F0F84">
              <w:t>Enclosure interlocked with the X-ray generator such that disassembly of the enclosure prevents X-ray production</w:t>
            </w:r>
          </w:p>
          <w:p w:rsidR="00000745" w:rsidRPr="0082050C" w:rsidRDefault="00000745" w:rsidP="001A2B1F">
            <w:pPr>
              <w:pStyle w:val="TableText"/>
              <w:ind w:right="142"/>
            </w:pPr>
            <w:r w:rsidRPr="004F0F84">
              <w:t>Shielded sufficiently to limit the instantaneous dose rate to 2.5</w:t>
            </w:r>
            <w:r w:rsidR="001A2B1F">
              <w:t> </w:t>
            </w:r>
            <w:r w:rsidRPr="001D319C">
              <w:t>microsieverts</w:t>
            </w:r>
            <w:r w:rsidRPr="00D26090">
              <w:t xml:space="preserve"> per hour 5 cm from any accessible external surface</w:t>
            </w:r>
          </w:p>
          <w:p w:rsidR="00000745" w:rsidRPr="006C64AD" w:rsidRDefault="00000745" w:rsidP="001A2B1F">
            <w:pPr>
              <w:pStyle w:val="TableText"/>
              <w:ind w:right="142"/>
            </w:pPr>
            <w:r w:rsidRPr="00A80CEE">
              <w:t xml:space="preserve">Enclosure clearly labelled with suitable cautionary wording to the effect of: </w:t>
            </w:r>
            <w:r w:rsidR="00823DC8">
              <w:t>‘</w:t>
            </w:r>
            <w:r w:rsidRPr="00F96856">
              <w:t>Do not disassemble. This unit produces ionising radiation when energised.</w:t>
            </w:r>
            <w:r w:rsidR="00823DC8">
              <w:t>’</w:t>
            </w:r>
          </w:p>
        </w:tc>
        <w:tc>
          <w:tcPr>
            <w:tcW w:w="2365" w:type="dxa"/>
            <w:tcBorders>
              <w:top w:val="single" w:sz="4" w:space="0" w:color="A6A6A6" w:themeColor="background1" w:themeShade="A6"/>
            </w:tcBorders>
          </w:tcPr>
          <w:p w:rsidR="00000745" w:rsidRPr="0024496F" w:rsidRDefault="00000745" w:rsidP="001A2B1F">
            <w:pPr>
              <w:pStyle w:val="TableText"/>
            </w:pPr>
            <w:r w:rsidRPr="006C64AD">
              <w:t>S</w:t>
            </w:r>
            <w:r w:rsidRPr="005D386B">
              <w:t>atisfies the dose criteria in section 91</w:t>
            </w:r>
            <w:r w:rsidRPr="0024496F">
              <w:t xml:space="preserve">(1)(a)(iii)A </w:t>
            </w:r>
          </w:p>
        </w:tc>
      </w:tr>
    </w:tbl>
    <w:p w:rsidR="00000745" w:rsidRPr="009E2A1C" w:rsidRDefault="00000745" w:rsidP="001A2B1F"/>
    <w:p w:rsidR="00000745" w:rsidRPr="00237C01" w:rsidRDefault="00000745" w:rsidP="001A2B1F">
      <w:pPr>
        <w:pStyle w:val="Heading3"/>
      </w:pPr>
      <w:r w:rsidRPr="00237C01">
        <w:t>Alternative option</w:t>
      </w:r>
    </w:p>
    <w:p w:rsidR="00823DC8" w:rsidRPr="001A2B1F" w:rsidRDefault="00000745" w:rsidP="001A2B1F">
      <w:pPr>
        <w:rPr>
          <w:i/>
        </w:rPr>
      </w:pPr>
      <w:r w:rsidRPr="001A2B1F">
        <w:rPr>
          <w:i/>
        </w:rPr>
        <w:t>Further radiation sources and conditional exemptions are also exempted from the requirements of authorisations and registration.</w:t>
      </w:r>
    </w:p>
    <w:p w:rsidR="00000745" w:rsidRDefault="00000745" w:rsidP="001A2B1F"/>
    <w:p w:rsidR="00000745" w:rsidRDefault="00000745" w:rsidP="001A2B1F">
      <w:r>
        <w:t>The Ministry of Health has</w:t>
      </w:r>
      <w:r w:rsidRPr="009E2A1C">
        <w:t xml:space="preserve"> considered other possible exemptions from </w:t>
      </w:r>
      <w:r>
        <w:t>licensing and registration requirements,</w:t>
      </w:r>
      <w:r w:rsidRPr="009E2A1C">
        <w:t xml:space="preserve"> including </w:t>
      </w:r>
      <w:r w:rsidRPr="001E5347">
        <w:t>Polonium</w:t>
      </w:r>
      <w:r>
        <w:t>-</w:t>
      </w:r>
      <w:r w:rsidRPr="001E5347">
        <w:t>210</w:t>
      </w:r>
      <w:r>
        <w:t xml:space="preserve"> in </w:t>
      </w:r>
      <w:r w:rsidRPr="001E5347">
        <w:t>static elimination devices</w:t>
      </w:r>
      <w:r>
        <w:t xml:space="preserve"> </w:t>
      </w:r>
      <w:r w:rsidRPr="009E2A1C">
        <w:t xml:space="preserve">and </w:t>
      </w:r>
      <w:r w:rsidRPr="001E5347">
        <w:t>liquid scintillation counters</w:t>
      </w:r>
      <w:r w:rsidRPr="009E2A1C">
        <w:t>.</w:t>
      </w:r>
      <w:r>
        <w:t xml:space="preserve"> </w:t>
      </w:r>
      <w:r w:rsidRPr="009E2A1C">
        <w:t xml:space="preserve">The </w:t>
      </w:r>
      <w:r w:rsidRPr="001B7CE8">
        <w:t xml:space="preserve">Director </w:t>
      </w:r>
      <w:r w:rsidRPr="009E2A1C">
        <w:t xml:space="preserve">has the power under </w:t>
      </w:r>
      <w:r>
        <w:t>section 17</w:t>
      </w:r>
      <w:r w:rsidRPr="009E2A1C">
        <w:t xml:space="preserve">(2) to authorise the </w:t>
      </w:r>
      <w:r w:rsidRPr="001B7CE8">
        <w:t>passive or limited use</w:t>
      </w:r>
      <w:r w:rsidRPr="009E2A1C">
        <w:t xml:space="preserve"> of radiation sources in a source licence.</w:t>
      </w:r>
      <w:r>
        <w:t xml:space="preserve"> The Ministry of Health</w:t>
      </w:r>
      <w:r w:rsidR="00823DC8">
        <w:t>’</w:t>
      </w:r>
      <w:r>
        <w:t>s view is that</w:t>
      </w:r>
      <w:r w:rsidRPr="009E2A1C">
        <w:t xml:space="preserve"> </w:t>
      </w:r>
      <w:r>
        <w:t>section</w:t>
      </w:r>
      <w:r w:rsidR="001A2B1F">
        <w:t> </w:t>
      </w:r>
      <w:r>
        <w:t>17(2) is the</w:t>
      </w:r>
      <w:r w:rsidRPr="009E2A1C">
        <w:t xml:space="preserve"> more appropriate way to deal with possible exemptions </w:t>
      </w:r>
      <w:r w:rsidRPr="0028775D">
        <w:t>from use</w:t>
      </w:r>
      <w:r>
        <w:t>-</w:t>
      </w:r>
      <w:r w:rsidRPr="0028775D">
        <w:t>licensing requirements for static elimination devices and liquid scintillation counters.</w:t>
      </w:r>
      <w:r>
        <w:t xml:space="preserve"> The Ministry has therefore not developed an alternative option.</w:t>
      </w:r>
    </w:p>
    <w:p w:rsidR="00000745" w:rsidRDefault="00000745" w:rsidP="001A2B1F"/>
    <w:p w:rsidR="00000745" w:rsidRPr="001B7CE8" w:rsidRDefault="00000745" w:rsidP="001A2B1F">
      <w:pPr>
        <w:pStyle w:val="BoxHeading"/>
        <w:keepNext/>
      </w:pPr>
      <w:r w:rsidRPr="001B7CE8">
        <w:t>Consultation questions</w:t>
      </w:r>
    </w:p>
    <w:p w:rsidR="00000745" w:rsidRPr="009E2A1C" w:rsidRDefault="001A2B1F" w:rsidP="001A2B1F">
      <w:pPr>
        <w:pStyle w:val="Box"/>
        <w:ind w:left="851" w:hanging="567"/>
      </w:pPr>
      <w:r>
        <w:t>37.</w:t>
      </w:r>
      <w:r>
        <w:tab/>
      </w:r>
      <w:r w:rsidR="00000745">
        <w:t>D</w:t>
      </w:r>
      <w:r w:rsidR="00000745" w:rsidRPr="009E2A1C">
        <w:t xml:space="preserve">o you </w:t>
      </w:r>
      <w:r w:rsidR="00000745">
        <w:t>think the preferred exemptions outlined in T</w:t>
      </w:r>
      <w:r w:rsidR="00000745" w:rsidRPr="009E2A1C">
        <w:t xml:space="preserve">able </w:t>
      </w:r>
      <w:r w:rsidR="00000745" w:rsidRPr="00AC2039">
        <w:t xml:space="preserve">9 </w:t>
      </w:r>
      <w:r w:rsidR="00000745" w:rsidRPr="0084719E">
        <w:t xml:space="preserve">of the </w:t>
      </w:r>
      <w:r w:rsidR="00000745">
        <w:t>consultation</w:t>
      </w:r>
      <w:r w:rsidR="00000745" w:rsidRPr="0084719E">
        <w:t xml:space="preserve"> document</w:t>
      </w:r>
      <w:r w:rsidR="00000745">
        <w:t xml:space="preserve"> are justified</w:t>
      </w:r>
      <w:r w:rsidR="00000745" w:rsidRPr="009E2A1C">
        <w:t>?</w:t>
      </w:r>
    </w:p>
    <w:p w:rsidR="00823DC8" w:rsidRDefault="001A2B1F" w:rsidP="001A2B1F">
      <w:pPr>
        <w:pStyle w:val="Box"/>
        <w:ind w:left="851" w:hanging="567"/>
      </w:pPr>
      <w:r>
        <w:t>38.</w:t>
      </w:r>
      <w:r>
        <w:tab/>
      </w:r>
      <w:r w:rsidR="00000745">
        <w:t xml:space="preserve">Do you think there are </w:t>
      </w:r>
      <w:r w:rsidR="00000745" w:rsidRPr="009E2A1C">
        <w:t xml:space="preserve">other </w:t>
      </w:r>
      <w:r w:rsidR="00000745">
        <w:t xml:space="preserve">situations where the requirements to obtain an authorisation and to register the radiation source should </w:t>
      </w:r>
      <w:r w:rsidR="00000745" w:rsidRPr="009E2A1C">
        <w:t>be exempted</w:t>
      </w:r>
      <w:r w:rsidR="00000745">
        <w:t xml:space="preserve"> because the radiation use presents a particularly low risk of exposure?</w:t>
      </w:r>
    </w:p>
    <w:p w:rsidR="00000745" w:rsidRDefault="001A2B1F" w:rsidP="001A2B1F">
      <w:pPr>
        <w:pStyle w:val="Box"/>
        <w:ind w:left="851" w:hanging="567"/>
      </w:pPr>
      <w:r>
        <w:t>39.</w:t>
      </w:r>
      <w:r>
        <w:tab/>
      </w:r>
      <w:r w:rsidR="00000745">
        <w:t>D</w:t>
      </w:r>
      <w:r w:rsidR="00000745" w:rsidRPr="009E2A1C">
        <w:t xml:space="preserve">o you agree that the best way to deal with </w:t>
      </w:r>
      <w:r w:rsidR="00000745">
        <w:t>static elimination devices and liquid scintilla counters is by using section 17</w:t>
      </w:r>
      <w:r w:rsidR="00000745" w:rsidRPr="009E2A1C">
        <w:t xml:space="preserve">(2) </w:t>
      </w:r>
      <w:r w:rsidR="00000745">
        <w:t xml:space="preserve">of the Act (source licence conditions) </w:t>
      </w:r>
      <w:r w:rsidR="00000745" w:rsidRPr="009E2A1C">
        <w:t xml:space="preserve">instead of </w:t>
      </w:r>
      <w:r w:rsidR="00000745">
        <w:t>section 91</w:t>
      </w:r>
      <w:r w:rsidR="00000745" w:rsidRPr="009E2A1C">
        <w:t>(1)(a)(iii)</w:t>
      </w:r>
      <w:r w:rsidR="00000745">
        <w:t xml:space="preserve"> (exemptions)</w:t>
      </w:r>
      <w:r w:rsidR="00000745" w:rsidRPr="009E2A1C">
        <w:t>?</w:t>
      </w:r>
    </w:p>
    <w:p w:rsidR="00823DC8" w:rsidRDefault="001A2B1F" w:rsidP="001A2B1F">
      <w:pPr>
        <w:pStyle w:val="Box"/>
        <w:ind w:left="851" w:hanging="567"/>
      </w:pPr>
      <w:r>
        <w:t>40.</w:t>
      </w:r>
      <w:r>
        <w:tab/>
      </w:r>
      <w:r w:rsidR="00000745">
        <w:t>Do you have any further comments, suggestions or alternative options?</w:t>
      </w:r>
    </w:p>
    <w:p w:rsidR="00000745" w:rsidRPr="001A2B1F" w:rsidRDefault="00000745" w:rsidP="001A2B1F">
      <w:pPr>
        <w:pStyle w:val="Box"/>
      </w:pPr>
      <w:r>
        <w:t xml:space="preserve">Please use the </w:t>
      </w:r>
      <w:r w:rsidR="00F810AB">
        <w:t>submission form</w:t>
      </w:r>
      <w:r>
        <w:t xml:space="preserve"> to respond to these questions.</w:t>
      </w:r>
    </w:p>
    <w:p w:rsidR="00000745" w:rsidRPr="009E2A1C" w:rsidRDefault="00000745" w:rsidP="001A2B1F"/>
    <w:p w:rsidR="00823DC8" w:rsidRDefault="00000745" w:rsidP="001A2B1F">
      <w:pPr>
        <w:pStyle w:val="Heading2"/>
      </w:pPr>
      <w:bookmarkStart w:id="52" w:name="_Toc449001279"/>
      <w:bookmarkStart w:id="53" w:name="_Toc450059039"/>
      <w:r>
        <w:lastRenderedPageBreak/>
        <w:t>(c)</w:t>
      </w:r>
      <w:r w:rsidR="001A2B1F">
        <w:tab/>
      </w:r>
      <w:r w:rsidRPr="009E2A1C">
        <w:t xml:space="preserve">Regulation </w:t>
      </w:r>
      <w:r>
        <w:t xml:space="preserve">is </w:t>
      </w:r>
      <w:r w:rsidRPr="009E2A1C">
        <w:t>unlikely to be worthwhile</w:t>
      </w:r>
      <w:bookmarkEnd w:id="52"/>
      <w:bookmarkEnd w:id="53"/>
    </w:p>
    <w:p w:rsidR="00823DC8" w:rsidRDefault="00000745" w:rsidP="001A2B1F">
      <w:pPr>
        <w:pStyle w:val="Heading3"/>
      </w:pPr>
      <w:r w:rsidRPr="001E5347">
        <w:t>Background</w:t>
      </w:r>
    </w:p>
    <w:p w:rsidR="00823DC8" w:rsidRDefault="00000745" w:rsidP="001A2B1F">
      <w:r w:rsidRPr="009E2A1C">
        <w:t xml:space="preserve">There may be </w:t>
      </w:r>
      <w:r w:rsidRPr="0028775D">
        <w:t>situations</w:t>
      </w:r>
      <w:r w:rsidRPr="009E2A1C">
        <w:t xml:space="preserve"> where </w:t>
      </w:r>
      <w:r w:rsidRPr="0028775D">
        <w:t>justifiable</w:t>
      </w:r>
      <w:r>
        <w:t xml:space="preserve"> </w:t>
      </w:r>
      <w:r w:rsidRPr="009E2A1C">
        <w:t>exposures are above the specified levels but regulatory intervention is unlikely to result in a worthwhile reduction in individual d</w:t>
      </w:r>
      <w:r>
        <w:t>oses or health risks. Section 91</w:t>
      </w:r>
      <w:r w:rsidRPr="009E2A1C">
        <w:t xml:space="preserve">(1)(a)(iv) authorises the making of </w:t>
      </w:r>
      <w:r>
        <w:t>Regulations</w:t>
      </w:r>
      <w:r w:rsidRPr="009E2A1C">
        <w:t xml:space="preserve"> to specify any such </w:t>
      </w:r>
      <w:r>
        <w:t>situations</w:t>
      </w:r>
      <w:r w:rsidRPr="009E2A1C">
        <w:t>.</w:t>
      </w:r>
    </w:p>
    <w:p w:rsidR="00000745" w:rsidRDefault="00000745" w:rsidP="001A2B1F"/>
    <w:p w:rsidR="00823DC8" w:rsidRDefault="00000745" w:rsidP="001A2B1F">
      <w:pPr>
        <w:pStyle w:val="Heading3"/>
      </w:pPr>
      <w:r w:rsidRPr="001E5347">
        <w:t>Preferred option</w:t>
      </w:r>
    </w:p>
    <w:p w:rsidR="00000745" w:rsidRPr="001A2B1F" w:rsidRDefault="005B250F" w:rsidP="001A2B1F">
      <w:pPr>
        <w:rPr>
          <w:i/>
        </w:rPr>
      </w:pPr>
      <w:r>
        <w:rPr>
          <w:i/>
        </w:rPr>
        <w:t>N</w:t>
      </w:r>
      <w:r w:rsidR="00000745" w:rsidRPr="001A2B1F">
        <w:rPr>
          <w:i/>
        </w:rPr>
        <w:t xml:space="preserve">o Regulations </w:t>
      </w:r>
      <w:r>
        <w:rPr>
          <w:i/>
        </w:rPr>
        <w:t xml:space="preserve">are made </w:t>
      </w:r>
      <w:r w:rsidR="00C13706">
        <w:rPr>
          <w:i/>
        </w:rPr>
        <w:t xml:space="preserve">under </w:t>
      </w:r>
      <w:r w:rsidR="00000745" w:rsidRPr="001A2B1F">
        <w:rPr>
          <w:i/>
        </w:rPr>
        <w:t>section 91(1)(a)(iv) at this time.</w:t>
      </w:r>
    </w:p>
    <w:p w:rsidR="001A2B1F" w:rsidRDefault="001A2B1F" w:rsidP="001A2B1F"/>
    <w:p w:rsidR="00823DC8" w:rsidRDefault="00000745" w:rsidP="001A2B1F">
      <w:r>
        <w:t>The Ministry of Health</w:t>
      </w:r>
      <w:r w:rsidRPr="009E2A1C">
        <w:t xml:space="preserve"> </w:t>
      </w:r>
      <w:r>
        <w:t xml:space="preserve">has </w:t>
      </w:r>
      <w:r w:rsidRPr="009E2A1C">
        <w:t xml:space="preserve">considered a number of possible sources for exemption under </w:t>
      </w:r>
      <w:r>
        <w:t>section 91(1)(a)(iv),</w:t>
      </w:r>
      <w:r w:rsidRPr="009E2A1C">
        <w:t xml:space="preserve"> including cabinet </w:t>
      </w:r>
      <w:r>
        <w:t>X</w:t>
      </w:r>
      <w:r w:rsidRPr="009E2A1C">
        <w:t>-ray security and inspection systems and shielded gamma irradiators.</w:t>
      </w:r>
      <w:r>
        <w:t xml:space="preserve"> </w:t>
      </w:r>
      <w:r w:rsidRPr="009E2A1C">
        <w:t xml:space="preserve">In all </w:t>
      </w:r>
      <w:r>
        <w:t xml:space="preserve">the </w:t>
      </w:r>
      <w:r w:rsidRPr="009E2A1C">
        <w:t>cases</w:t>
      </w:r>
      <w:r>
        <w:t xml:space="preserve"> considered</w:t>
      </w:r>
      <w:r w:rsidRPr="009E2A1C">
        <w:t xml:space="preserve"> the exemption would only relate to use licence requirements </w:t>
      </w:r>
      <w:r>
        <w:t xml:space="preserve">where the use can be classified as </w:t>
      </w:r>
      <w:r w:rsidR="00823DC8">
        <w:t>‘</w:t>
      </w:r>
      <w:r>
        <w:t>passive or limited</w:t>
      </w:r>
      <w:r w:rsidR="00823DC8">
        <w:t>’</w:t>
      </w:r>
      <w:r w:rsidRPr="009E2A1C">
        <w:t>.</w:t>
      </w:r>
    </w:p>
    <w:p w:rsidR="00000745" w:rsidRDefault="00000745" w:rsidP="001A2B1F"/>
    <w:p w:rsidR="00000745" w:rsidRDefault="00000745" w:rsidP="001A2B1F">
      <w:r w:rsidRPr="009E2A1C">
        <w:t>These situations can al</w:t>
      </w:r>
      <w:r>
        <w:t>so be considered under section 17</w:t>
      </w:r>
      <w:r w:rsidRPr="009E2A1C">
        <w:t>(2)</w:t>
      </w:r>
      <w:r>
        <w:t>,</w:t>
      </w:r>
      <w:r w:rsidRPr="009E2A1C">
        <w:t xml:space="preserve"> which allows for the source licence to authorise the passive or limited</w:t>
      </w:r>
      <w:r>
        <w:t xml:space="preserve"> use </w:t>
      </w:r>
      <w:r w:rsidRPr="0028775D">
        <w:t>without requiring the operators to obtain a use licence</w:t>
      </w:r>
      <w:r>
        <w:t>. The Ministry of Health</w:t>
      </w:r>
      <w:r w:rsidR="00823DC8">
        <w:t>’</w:t>
      </w:r>
      <w:r>
        <w:t>s view is that section 17</w:t>
      </w:r>
      <w:r w:rsidRPr="009E2A1C">
        <w:t>(2) provides a better way to deal with these situations.</w:t>
      </w:r>
      <w:r>
        <w:t xml:space="preserve"> </w:t>
      </w:r>
      <w:r w:rsidRPr="009E2A1C">
        <w:t xml:space="preserve">Therefore, </w:t>
      </w:r>
      <w:r>
        <w:t xml:space="preserve">the </w:t>
      </w:r>
      <w:r w:rsidRPr="0028775D">
        <w:t>preferred option</w:t>
      </w:r>
      <w:r w:rsidRPr="009E2A1C">
        <w:t xml:space="preserve"> </w:t>
      </w:r>
      <w:r>
        <w:t>is to make</w:t>
      </w:r>
      <w:r w:rsidRPr="009E2A1C">
        <w:t xml:space="preserve"> </w:t>
      </w:r>
      <w:r>
        <w:t>no</w:t>
      </w:r>
      <w:r w:rsidRPr="009E2A1C">
        <w:t xml:space="preserve"> </w:t>
      </w:r>
      <w:r>
        <w:t>Regulations</w:t>
      </w:r>
      <w:r w:rsidRPr="009E2A1C">
        <w:t xml:space="preserve"> under </w:t>
      </w:r>
      <w:r>
        <w:t>section 91(1)(a)(iv)</w:t>
      </w:r>
      <w:r w:rsidRPr="009E2A1C">
        <w:t xml:space="preserve"> at this time.</w:t>
      </w:r>
    </w:p>
    <w:p w:rsidR="00000745" w:rsidRDefault="00000745" w:rsidP="001A2B1F"/>
    <w:p w:rsidR="00000745" w:rsidRPr="001E5347" w:rsidRDefault="00000745" w:rsidP="001A2B1F">
      <w:pPr>
        <w:pStyle w:val="Heading3"/>
      </w:pPr>
      <w:r w:rsidRPr="001E5347">
        <w:t>Alternative option</w:t>
      </w:r>
    </w:p>
    <w:p w:rsidR="00000745" w:rsidRPr="001A2B1F" w:rsidRDefault="00000745" w:rsidP="001A2B1F">
      <w:pPr>
        <w:rPr>
          <w:i/>
        </w:rPr>
      </w:pPr>
      <w:r w:rsidRPr="001A2B1F">
        <w:rPr>
          <w:i/>
        </w:rPr>
        <w:t>Exempt cabinet X-ray security and inspection systems, shielded gamma irradiators and other sources that meet the criteria of section 91(1)(a)(iv), with appropriate conditions, under section</w:t>
      </w:r>
      <w:r w:rsidR="001A2B1F">
        <w:rPr>
          <w:i/>
        </w:rPr>
        <w:t> </w:t>
      </w:r>
      <w:r w:rsidRPr="001A2B1F">
        <w:rPr>
          <w:i/>
        </w:rPr>
        <w:t>91(1)(a)(iv).</w:t>
      </w:r>
    </w:p>
    <w:p w:rsidR="001A2B1F" w:rsidRDefault="001A2B1F" w:rsidP="001A2B1F"/>
    <w:p w:rsidR="00823DC8" w:rsidRDefault="00000745" w:rsidP="001A2B1F">
      <w:r w:rsidRPr="0028775D">
        <w:t>The Ministry of Health</w:t>
      </w:r>
      <w:r w:rsidR="00823DC8">
        <w:t>’</w:t>
      </w:r>
      <w:r w:rsidRPr="0028775D">
        <w:t>s view is that section 17(2) provides the more appropriate means for dealing with these situations.</w:t>
      </w:r>
    </w:p>
    <w:p w:rsidR="00000745" w:rsidRDefault="00000745" w:rsidP="001A2B1F"/>
    <w:p w:rsidR="00000745" w:rsidRPr="001B7CE8" w:rsidRDefault="00000745" w:rsidP="001A2B1F">
      <w:pPr>
        <w:pStyle w:val="BoxHeading"/>
        <w:keepNext/>
      </w:pPr>
      <w:r w:rsidRPr="001B7CE8">
        <w:t>Consultation questions</w:t>
      </w:r>
    </w:p>
    <w:p w:rsidR="00823DC8" w:rsidRDefault="001A2B1F" w:rsidP="001A2B1F">
      <w:pPr>
        <w:pStyle w:val="Box"/>
        <w:ind w:left="851" w:hanging="567"/>
      </w:pPr>
      <w:r>
        <w:t>41.</w:t>
      </w:r>
      <w:r>
        <w:tab/>
      </w:r>
      <w:r w:rsidR="00000745" w:rsidRPr="00F36FCE">
        <w:t xml:space="preserve">Do you agree that </w:t>
      </w:r>
      <w:r w:rsidR="00000745">
        <w:t xml:space="preserve">it is appropriate to deal with </w:t>
      </w:r>
      <w:r w:rsidR="00000745" w:rsidRPr="00F36FCE">
        <w:t xml:space="preserve">the radiation sources mentioned in discussion point </w:t>
      </w:r>
      <w:r w:rsidR="00000745">
        <w:t>3(</w:t>
      </w:r>
      <w:r w:rsidR="00000745" w:rsidRPr="00F36FCE">
        <w:t>c</w:t>
      </w:r>
      <w:r w:rsidR="00000745">
        <w:t>)</w:t>
      </w:r>
      <w:r w:rsidR="00000745" w:rsidRPr="00F36FCE">
        <w:t xml:space="preserve"> as </w:t>
      </w:r>
      <w:r w:rsidR="00823DC8">
        <w:t>‘</w:t>
      </w:r>
      <w:r w:rsidR="00000745" w:rsidRPr="00F36FCE">
        <w:t>passive</w:t>
      </w:r>
      <w:r w:rsidR="00000745">
        <w:t xml:space="preserve"> or limited</w:t>
      </w:r>
      <w:r w:rsidR="00823DC8">
        <w:t>’</w:t>
      </w:r>
      <w:r w:rsidR="00000745" w:rsidRPr="00F36FCE">
        <w:t xml:space="preserve"> use situations under section 17(2) of the Act?</w:t>
      </w:r>
    </w:p>
    <w:p w:rsidR="00823DC8" w:rsidRDefault="001A2B1F" w:rsidP="001A2B1F">
      <w:pPr>
        <w:pStyle w:val="Box"/>
        <w:ind w:left="851" w:hanging="567"/>
      </w:pPr>
      <w:r>
        <w:t>42.</w:t>
      </w:r>
      <w:r>
        <w:tab/>
      </w:r>
      <w:r w:rsidR="00000745">
        <w:t xml:space="preserve">Do you think there are any </w:t>
      </w:r>
      <w:r w:rsidR="00000745" w:rsidRPr="009E2A1C">
        <w:t xml:space="preserve">radiation sources that exceed the threshold levels </w:t>
      </w:r>
      <w:r w:rsidR="00000745">
        <w:t>set by the Act</w:t>
      </w:r>
      <w:r w:rsidR="00000745" w:rsidRPr="009E2A1C">
        <w:t xml:space="preserve"> but nevertheless should be exempted </w:t>
      </w:r>
      <w:r w:rsidR="00000745">
        <w:t xml:space="preserve">from the requirements to obtain an authorisation and to be registered </w:t>
      </w:r>
      <w:r w:rsidR="00000745" w:rsidRPr="009E2A1C">
        <w:t xml:space="preserve">because </w:t>
      </w:r>
      <w:r w:rsidR="00000745">
        <w:t xml:space="preserve">these </w:t>
      </w:r>
      <w:r w:rsidR="00000745" w:rsidRPr="009E2A1C">
        <w:t>regulatory intervention</w:t>
      </w:r>
      <w:r w:rsidR="00000745">
        <w:t>s</w:t>
      </w:r>
      <w:r w:rsidR="00000745" w:rsidRPr="009E2A1C">
        <w:t xml:space="preserve"> would not result in </w:t>
      </w:r>
      <w:r w:rsidR="00000745">
        <w:t xml:space="preserve">a </w:t>
      </w:r>
      <w:r w:rsidR="00000745" w:rsidRPr="009E2A1C">
        <w:t xml:space="preserve">worthwhile </w:t>
      </w:r>
      <w:r w:rsidR="00000745">
        <w:t>safety or security benefit</w:t>
      </w:r>
      <w:r w:rsidR="00000745" w:rsidRPr="009E2A1C">
        <w:t>?</w:t>
      </w:r>
      <w:r w:rsidR="00000745">
        <w:t xml:space="preserve"> If you can identify such radiation sources, please indicate if you think dealing with them under section 17(2) or section</w:t>
      </w:r>
      <w:r>
        <w:t> </w:t>
      </w:r>
      <w:r w:rsidR="00000745">
        <w:t>91(1)(a)(iv) is more appropriate.</w:t>
      </w:r>
    </w:p>
    <w:p w:rsidR="00823DC8" w:rsidRDefault="001A2B1F" w:rsidP="001A2B1F">
      <w:pPr>
        <w:pStyle w:val="Box"/>
        <w:ind w:left="851" w:hanging="567"/>
      </w:pPr>
      <w:r>
        <w:t>43.</w:t>
      </w:r>
      <w:r>
        <w:tab/>
      </w:r>
      <w:r w:rsidR="00000745">
        <w:t>Do you have any further comments, suggestions or alternative options?</w:t>
      </w:r>
    </w:p>
    <w:p w:rsidR="00000745" w:rsidRDefault="00000745" w:rsidP="001A2B1F">
      <w:pPr>
        <w:pStyle w:val="Box"/>
      </w:pPr>
      <w:r>
        <w:t xml:space="preserve">Please use the </w:t>
      </w:r>
      <w:r w:rsidR="00F810AB">
        <w:t>submission form</w:t>
      </w:r>
      <w:r>
        <w:t xml:space="preserve"> to respond to these questions.</w:t>
      </w:r>
    </w:p>
    <w:p w:rsidR="00000745" w:rsidRPr="009E2A1C" w:rsidRDefault="00000745" w:rsidP="001A2B1F"/>
    <w:p w:rsidR="00823DC8" w:rsidRDefault="00000745" w:rsidP="001A2B1F">
      <w:pPr>
        <w:pStyle w:val="Heading2"/>
      </w:pPr>
      <w:bookmarkStart w:id="54" w:name="_Toc449001280"/>
      <w:bookmarkStart w:id="55" w:name="_Toc450059040"/>
      <w:r>
        <w:lastRenderedPageBreak/>
        <w:t>(d)</w:t>
      </w:r>
      <w:r w:rsidR="001A2B1F">
        <w:tab/>
      </w:r>
      <w:r w:rsidRPr="009E2A1C">
        <w:t>Prohibitions</w:t>
      </w:r>
      <w:bookmarkEnd w:id="54"/>
      <w:bookmarkEnd w:id="55"/>
    </w:p>
    <w:p w:rsidR="00823DC8" w:rsidRDefault="00000745" w:rsidP="001A2B1F">
      <w:pPr>
        <w:pStyle w:val="Heading3"/>
      </w:pPr>
      <w:r w:rsidRPr="00CF04FD">
        <w:t>Background</w:t>
      </w:r>
    </w:p>
    <w:p w:rsidR="00823DC8" w:rsidRDefault="00000745" w:rsidP="001A2B1F">
      <w:r>
        <w:t>Section 91</w:t>
      </w:r>
      <w:r w:rsidRPr="009E2A1C">
        <w:t xml:space="preserve">(1)(o) </w:t>
      </w:r>
      <w:r>
        <w:t xml:space="preserve">of the Act </w:t>
      </w:r>
      <w:r w:rsidRPr="009E2A1C">
        <w:t xml:space="preserve">allows for </w:t>
      </w:r>
      <w:r>
        <w:t>Regulations</w:t>
      </w:r>
      <w:r w:rsidRPr="009E2A1C">
        <w:t xml:space="preserve"> to prohibit or restrict the </w:t>
      </w:r>
      <w:r w:rsidRPr="00955B8E">
        <w:t>general</w:t>
      </w:r>
      <w:r w:rsidRPr="009E2A1C">
        <w:t xml:space="preserve"> use of a radiation source.</w:t>
      </w:r>
      <w:r>
        <w:t xml:space="preserve"> </w:t>
      </w:r>
      <w:r w:rsidRPr="0028775D">
        <w:t>This provision allow</w:t>
      </w:r>
      <w:r>
        <w:t>s</w:t>
      </w:r>
      <w:r w:rsidRPr="0028775D">
        <w:t xml:space="preserve"> the Act to adapt to any developments in scientific research and international recommendations and guidance on radiation sources and their use.</w:t>
      </w:r>
    </w:p>
    <w:p w:rsidR="00000745" w:rsidRDefault="00000745" w:rsidP="001A2B1F"/>
    <w:p w:rsidR="00000745" w:rsidRDefault="00000745" w:rsidP="001A2B1F">
      <w:r>
        <w:t>There are</w:t>
      </w:r>
      <w:r w:rsidRPr="009E2A1C">
        <w:t xml:space="preserve"> provisions throughout the </w:t>
      </w:r>
      <w:r>
        <w:t>Act</w:t>
      </w:r>
      <w:r w:rsidRPr="009E2A1C">
        <w:t xml:space="preserve"> that could be used to prohibit or restrict individual use in specific situations</w:t>
      </w:r>
      <w:r>
        <w:t>,</w:t>
      </w:r>
      <w:r w:rsidRPr="009E2A1C">
        <w:t xml:space="preserve"> including issuing compliance orders, seizing material, and varying, suspending or cancelling licences or consents.</w:t>
      </w:r>
    </w:p>
    <w:p w:rsidR="00000745" w:rsidRDefault="00000745" w:rsidP="001A2B1F"/>
    <w:p w:rsidR="00000745" w:rsidRPr="00CF04FD" w:rsidRDefault="00000745" w:rsidP="001A2B1F">
      <w:pPr>
        <w:pStyle w:val="Heading3"/>
      </w:pPr>
      <w:r w:rsidRPr="00CF04FD">
        <w:t>Preferred option</w:t>
      </w:r>
    </w:p>
    <w:p w:rsidR="00823DC8" w:rsidRPr="001A2B1F" w:rsidRDefault="005B250F" w:rsidP="001A2B1F">
      <w:pPr>
        <w:rPr>
          <w:i/>
        </w:rPr>
      </w:pPr>
      <w:r>
        <w:rPr>
          <w:i/>
        </w:rPr>
        <w:t>N</w:t>
      </w:r>
      <w:r w:rsidR="00000745" w:rsidRPr="001A2B1F">
        <w:rPr>
          <w:i/>
        </w:rPr>
        <w:t xml:space="preserve">o general prohibitions or restrictions on the use of radiation sources </w:t>
      </w:r>
      <w:r>
        <w:rPr>
          <w:i/>
        </w:rPr>
        <w:t xml:space="preserve">are included in Regulations </w:t>
      </w:r>
      <w:r w:rsidR="00000745" w:rsidRPr="001A2B1F">
        <w:rPr>
          <w:i/>
        </w:rPr>
        <w:t>at this time.</w:t>
      </w:r>
    </w:p>
    <w:p w:rsidR="00000745" w:rsidRDefault="00000745" w:rsidP="001A2B1F"/>
    <w:p w:rsidR="00000745" w:rsidRPr="00CF04FD" w:rsidRDefault="00000745" w:rsidP="001A2B1F">
      <w:pPr>
        <w:pStyle w:val="Heading3"/>
      </w:pPr>
      <w:r w:rsidRPr="00CF04FD">
        <w:t>Alternative option</w:t>
      </w:r>
    </w:p>
    <w:p w:rsidR="00000745" w:rsidRPr="001A2B1F" w:rsidRDefault="005B250F" w:rsidP="001A2B1F">
      <w:pPr>
        <w:rPr>
          <w:i/>
        </w:rPr>
      </w:pPr>
      <w:r>
        <w:rPr>
          <w:i/>
        </w:rPr>
        <w:t>G</w:t>
      </w:r>
      <w:r w:rsidR="00000745" w:rsidRPr="001A2B1F">
        <w:rPr>
          <w:i/>
        </w:rPr>
        <w:t xml:space="preserve">eneral prohibitions and restrictions on radiation sources </w:t>
      </w:r>
      <w:r>
        <w:rPr>
          <w:i/>
        </w:rPr>
        <w:t xml:space="preserve">are included </w:t>
      </w:r>
      <w:r w:rsidR="00000745" w:rsidRPr="001A2B1F">
        <w:rPr>
          <w:i/>
        </w:rPr>
        <w:t>in Regulations.</w:t>
      </w:r>
    </w:p>
    <w:p w:rsidR="001A2B1F" w:rsidRDefault="001A2B1F" w:rsidP="001A2B1F"/>
    <w:p w:rsidR="00823DC8" w:rsidRDefault="00000745" w:rsidP="001A2B1F">
      <w:r w:rsidRPr="009500FD">
        <w:t>Other provisions of the Act, or the provisions of other Acts, are better suited to deal with the specific situations they are designed to regulate and the Ministry of Health is not aware of any further situations that warrant prohibitions or restrictions under this provision.</w:t>
      </w:r>
    </w:p>
    <w:p w:rsidR="00000745" w:rsidRDefault="00000745" w:rsidP="001A2B1F"/>
    <w:p w:rsidR="00000745" w:rsidRPr="001B7CE8" w:rsidRDefault="00000745" w:rsidP="00663689">
      <w:pPr>
        <w:pStyle w:val="BoxHeading"/>
        <w:keepNext/>
      </w:pPr>
      <w:r w:rsidRPr="001B7CE8">
        <w:t>Consultation questions</w:t>
      </w:r>
    </w:p>
    <w:p w:rsidR="00000745" w:rsidRPr="009061C7" w:rsidRDefault="001A2B1F" w:rsidP="00663689">
      <w:pPr>
        <w:pStyle w:val="Box"/>
        <w:keepNext/>
        <w:ind w:left="851" w:hanging="567"/>
      </w:pPr>
      <w:r>
        <w:t>44.</w:t>
      </w:r>
      <w:r>
        <w:tab/>
      </w:r>
      <w:r w:rsidR="00000745" w:rsidRPr="009061C7">
        <w:t>Do you think there are any radiation sources that should be subject to a general prohibition or restriction?</w:t>
      </w:r>
    </w:p>
    <w:p w:rsidR="00000745" w:rsidRPr="009061C7" w:rsidRDefault="001A2B1F" w:rsidP="00663689">
      <w:pPr>
        <w:pStyle w:val="Box"/>
        <w:keepNext/>
        <w:ind w:left="851" w:hanging="567"/>
      </w:pPr>
      <w:r>
        <w:t>45.</w:t>
      </w:r>
      <w:r>
        <w:tab/>
      </w:r>
      <w:r w:rsidR="00000745" w:rsidRPr="009061C7">
        <w:t>Do you think there are situations where a general prohibition or restriction on a radiation source would be more effective in achieving safety or security benefits than applying case-by-case restrictions using other provisions in the Act</w:t>
      </w:r>
      <w:r w:rsidR="00000745">
        <w:t>,</w:t>
      </w:r>
      <w:r w:rsidR="00000745" w:rsidRPr="009061C7">
        <w:t xml:space="preserve"> such as: issuing compliance orders, seizing material, and varying, suspending or cancelling licences or consents?</w:t>
      </w:r>
    </w:p>
    <w:p w:rsidR="00823DC8" w:rsidRDefault="001A2B1F" w:rsidP="00663689">
      <w:pPr>
        <w:pStyle w:val="Box"/>
        <w:keepNext/>
        <w:ind w:left="851" w:hanging="567"/>
      </w:pPr>
      <w:r>
        <w:t>46.</w:t>
      </w:r>
      <w:r>
        <w:tab/>
      </w:r>
      <w:r w:rsidR="00000745" w:rsidRPr="009061C7">
        <w:t xml:space="preserve">Do </w:t>
      </w:r>
      <w:r w:rsidR="00000745">
        <w:t xml:space="preserve">you </w:t>
      </w:r>
      <w:r w:rsidR="00000745" w:rsidRPr="009061C7">
        <w:t>have any further comments, suggestions or alternative</w:t>
      </w:r>
      <w:r w:rsidR="00000745">
        <w:t xml:space="preserve"> options?</w:t>
      </w:r>
    </w:p>
    <w:p w:rsidR="00000745" w:rsidRDefault="00000745" w:rsidP="001A2B1F">
      <w:pPr>
        <w:pStyle w:val="Box"/>
        <w:rPr>
          <w:rFonts w:ascii="TimesNewRomanPSMT-Identity-H" w:hAnsi="TimesNewRomanPSMT-Identity-H" w:cs="TimesNewRomanPSMT-Identity-H"/>
          <w:szCs w:val="24"/>
        </w:rPr>
      </w:pPr>
      <w:r>
        <w:t xml:space="preserve">Please use the </w:t>
      </w:r>
      <w:r w:rsidR="00F810AB">
        <w:t>submission form</w:t>
      </w:r>
      <w:r>
        <w:t xml:space="preserve"> to respond to these questions.</w:t>
      </w:r>
    </w:p>
    <w:p w:rsidR="00000745" w:rsidRDefault="00000745" w:rsidP="001A2B1F"/>
    <w:p w:rsidR="00823DC8" w:rsidRDefault="00000745" w:rsidP="001A2B1F">
      <w:pPr>
        <w:pStyle w:val="Heading2"/>
      </w:pPr>
      <w:bookmarkStart w:id="56" w:name="_Toc449001281"/>
      <w:bookmarkStart w:id="57" w:name="_Toc450059041"/>
      <w:r>
        <w:t>(e)</w:t>
      </w:r>
      <w:r w:rsidR="001A2B1F">
        <w:tab/>
      </w:r>
      <w:r>
        <w:t>Operations of the armed forces</w:t>
      </w:r>
      <w:bookmarkEnd w:id="56"/>
      <w:bookmarkEnd w:id="57"/>
    </w:p>
    <w:p w:rsidR="00823DC8" w:rsidRDefault="00000745" w:rsidP="001A2B1F">
      <w:pPr>
        <w:pStyle w:val="Heading3"/>
      </w:pPr>
      <w:r w:rsidRPr="00232C70">
        <w:t>Background</w:t>
      </w:r>
    </w:p>
    <w:p w:rsidR="00823DC8" w:rsidRDefault="00000745" w:rsidP="001A2B1F">
      <w:r>
        <w:t>Section 91(1)(a)(i) of the Act allows for limited and specified Regulations to exempt the armed forces from the authorisation and registration requirements of the Act where this relates to armed forces operations. No section 91(1)(a) Regulations can be applied to nuclear material.</w:t>
      </w:r>
    </w:p>
    <w:p w:rsidR="00000745" w:rsidRDefault="00000745" w:rsidP="001A2B1F"/>
    <w:p w:rsidR="00823DC8" w:rsidRDefault="00000745" w:rsidP="001A2B1F">
      <w:r>
        <w:t>Regulations would enable the armed forces to continue to meet their duties in unexpected, time-critical and/or information-limited operating environments without having to first consider the licensing, consent and/or registration requirements of the Act. Regulations are not expected to be needed for the day-to-day, business-as-usual activities of the armed forces.</w:t>
      </w:r>
    </w:p>
    <w:p w:rsidR="00000745" w:rsidRDefault="00000745" w:rsidP="001A2B1F"/>
    <w:p w:rsidR="00000745" w:rsidRDefault="00000745" w:rsidP="001A2B1F">
      <w:pPr>
        <w:pStyle w:val="Heading3"/>
      </w:pPr>
      <w:r>
        <w:lastRenderedPageBreak/>
        <w:t>Preferred option</w:t>
      </w:r>
    </w:p>
    <w:p w:rsidR="00823DC8" w:rsidRDefault="00000745" w:rsidP="001A2B1F">
      <w:r>
        <w:t>No regulations are proposed.</w:t>
      </w:r>
    </w:p>
    <w:p w:rsidR="00000745" w:rsidRDefault="00000745" w:rsidP="001A2B1F"/>
    <w:p w:rsidR="00000745" w:rsidRDefault="00000745" w:rsidP="001A2B1F">
      <w:pPr>
        <w:pStyle w:val="Heading3"/>
      </w:pPr>
      <w:r>
        <w:t>Alternative option</w:t>
      </w:r>
    </w:p>
    <w:p w:rsidR="00823DC8" w:rsidRDefault="00000745" w:rsidP="001A2B1F">
      <w:r>
        <w:t>The Ministry of Health is not aware of any alternative options.</w:t>
      </w:r>
    </w:p>
    <w:p w:rsidR="00000745" w:rsidRDefault="00000745" w:rsidP="001A2B1F"/>
    <w:p w:rsidR="00000745" w:rsidRPr="0059392C" w:rsidRDefault="00000745" w:rsidP="001A2B1F">
      <w:pPr>
        <w:pStyle w:val="Heading3"/>
      </w:pPr>
      <w:r w:rsidRPr="0059392C">
        <w:t>Note</w:t>
      </w:r>
    </w:p>
    <w:p w:rsidR="00823DC8" w:rsidRDefault="00000745" w:rsidP="001A2B1F">
      <w:r>
        <w:t>Regulations under this provision are not essential for the implementation of the Act and do not have to be in place by the time the Act comes into force. After the Act comes into force, if required, a recommendation can be made to include Regulations to enable the armed forces to fully meet any operational duties they may have.</w:t>
      </w:r>
    </w:p>
    <w:p w:rsidR="00000745" w:rsidRDefault="00000745" w:rsidP="001A2B1F"/>
    <w:p w:rsidR="00000745" w:rsidRPr="001B7CE8" w:rsidRDefault="00000745" w:rsidP="00663689">
      <w:pPr>
        <w:pStyle w:val="BoxHeading"/>
        <w:keepNext/>
      </w:pPr>
      <w:r w:rsidRPr="001B7CE8">
        <w:t>Consultation questions</w:t>
      </w:r>
    </w:p>
    <w:p w:rsidR="00823DC8" w:rsidRDefault="00000745" w:rsidP="00663689">
      <w:pPr>
        <w:pStyle w:val="Box"/>
        <w:keepNext/>
        <w:ind w:left="851" w:hanging="567"/>
      </w:pPr>
      <w:r>
        <w:t>47.</w:t>
      </w:r>
      <w:r>
        <w:tab/>
        <w:t>Do you think Regulations are required to enable the armed forces to fully meet their operational duties?</w:t>
      </w:r>
    </w:p>
    <w:p w:rsidR="00823DC8" w:rsidRDefault="00000745" w:rsidP="00663689">
      <w:pPr>
        <w:pStyle w:val="Box"/>
        <w:keepNext/>
        <w:ind w:left="851" w:hanging="567"/>
      </w:pPr>
      <w:r>
        <w:t>48.</w:t>
      </w:r>
      <w:r>
        <w:tab/>
        <w:t>Do you have any further comments, suggestions or alternative options?</w:t>
      </w:r>
    </w:p>
    <w:p w:rsidR="00000745" w:rsidRDefault="00000745" w:rsidP="00663689">
      <w:pPr>
        <w:pStyle w:val="Box"/>
        <w:keepNext/>
      </w:pPr>
      <w:r>
        <w:t xml:space="preserve">Please use the </w:t>
      </w:r>
      <w:r w:rsidR="00F810AB">
        <w:t>submission form</w:t>
      </w:r>
      <w:r>
        <w:t xml:space="preserve"> to respond to these questions.</w:t>
      </w:r>
    </w:p>
    <w:p w:rsidR="00663689" w:rsidRPr="001A2B1F" w:rsidRDefault="00663689" w:rsidP="00663689">
      <w:pPr>
        <w:keepNext/>
      </w:pPr>
    </w:p>
    <w:p w:rsidR="00000745" w:rsidRDefault="00000745" w:rsidP="001A2B1F"/>
    <w:p w:rsidR="001A2B1F" w:rsidRDefault="001A2B1F" w:rsidP="001A2B1F">
      <w:bookmarkStart w:id="58" w:name="_Toc449001282"/>
      <w:r>
        <w:br w:type="page"/>
      </w:r>
    </w:p>
    <w:p w:rsidR="00823DC8" w:rsidRDefault="00000745" w:rsidP="001A2B1F">
      <w:pPr>
        <w:pStyle w:val="Heading1"/>
      </w:pPr>
      <w:bookmarkStart w:id="59" w:name="_Toc450059042"/>
      <w:r>
        <w:lastRenderedPageBreak/>
        <w:t>4</w:t>
      </w:r>
      <w:r>
        <w:tab/>
      </w:r>
      <w:r w:rsidRPr="009E2A1C">
        <w:t xml:space="preserve">Incidents and </w:t>
      </w:r>
      <w:r>
        <w:t>e</w:t>
      </w:r>
      <w:r w:rsidRPr="009E2A1C">
        <w:t>mergencies</w:t>
      </w:r>
      <w:bookmarkEnd w:id="58"/>
      <w:bookmarkEnd w:id="59"/>
    </w:p>
    <w:p w:rsidR="00823DC8" w:rsidRDefault="00000745" w:rsidP="00241296">
      <w:pPr>
        <w:pStyle w:val="Heading3"/>
      </w:pPr>
      <w:r w:rsidRPr="002D1576">
        <w:t>Background</w:t>
      </w:r>
    </w:p>
    <w:p w:rsidR="00823DC8" w:rsidRDefault="00000745" w:rsidP="00241296">
      <w:r>
        <w:t>Sections 91(1)(d) and 91</w:t>
      </w:r>
      <w:r w:rsidRPr="009E2A1C">
        <w:t xml:space="preserve">(1)(f) allow </w:t>
      </w:r>
      <w:r>
        <w:t>Regulations</w:t>
      </w:r>
      <w:r w:rsidRPr="009E2A1C">
        <w:t xml:space="preserve"> to prescribe further requirements for </w:t>
      </w:r>
      <w:r>
        <w:t>responding to</w:t>
      </w:r>
      <w:r w:rsidRPr="009E2A1C">
        <w:t xml:space="preserve"> incidents and emergencies.</w:t>
      </w:r>
      <w:r>
        <w:t xml:space="preserve"> </w:t>
      </w:r>
      <w:r w:rsidRPr="009E2A1C">
        <w:t xml:space="preserve">Several </w:t>
      </w:r>
      <w:r>
        <w:t>sections</w:t>
      </w:r>
      <w:r w:rsidRPr="009E2A1C">
        <w:t xml:space="preserve"> </w:t>
      </w:r>
      <w:r>
        <w:t>in</w:t>
      </w:r>
      <w:r w:rsidRPr="009E2A1C">
        <w:t xml:space="preserve"> the </w:t>
      </w:r>
      <w:r>
        <w:t>Act</w:t>
      </w:r>
      <w:r w:rsidRPr="009E2A1C">
        <w:t xml:space="preserve"> establish general requirements to appropriately manage incident</w:t>
      </w:r>
      <w:r>
        <w:t>s</w:t>
      </w:r>
      <w:r w:rsidRPr="009E2A1C">
        <w:t xml:space="preserve"> and emergency situations.</w:t>
      </w:r>
      <w:r>
        <w:t xml:space="preserve"> </w:t>
      </w:r>
      <w:r w:rsidRPr="009E2A1C">
        <w:t xml:space="preserve">For example, the </w:t>
      </w:r>
      <w:r w:rsidRPr="001B7CE8">
        <w:t>fundamental requirements</w:t>
      </w:r>
      <w:r w:rsidRPr="009E2A1C">
        <w:t xml:space="preserve"> specified in </w:t>
      </w:r>
      <w:r>
        <w:t>section</w:t>
      </w:r>
      <w:r w:rsidRPr="009E2A1C">
        <w:t xml:space="preserve"> 10 require proper management of accident</w:t>
      </w:r>
      <w:r>
        <w:t>s</w:t>
      </w:r>
      <w:r w:rsidRPr="009E2A1C">
        <w:t>, incident</w:t>
      </w:r>
      <w:r>
        <w:t>s</w:t>
      </w:r>
      <w:r w:rsidRPr="009E2A1C">
        <w:t xml:space="preserve"> and emergency situations.</w:t>
      </w:r>
    </w:p>
    <w:p w:rsidR="00241296" w:rsidRDefault="00241296" w:rsidP="00241296"/>
    <w:p w:rsidR="00823DC8" w:rsidRDefault="00000745" w:rsidP="00241296">
      <w:r>
        <w:t>Section 18</w:t>
      </w:r>
      <w:r w:rsidRPr="009E2A1C">
        <w:t xml:space="preserve"> </w:t>
      </w:r>
      <w:r>
        <w:t xml:space="preserve">allows the </w:t>
      </w:r>
      <w:r w:rsidRPr="001B7CE8">
        <w:t xml:space="preserve">Director </w:t>
      </w:r>
      <w:r>
        <w:t>to</w:t>
      </w:r>
      <w:r w:rsidRPr="009E2A1C">
        <w:t xml:space="preserve"> </w:t>
      </w:r>
      <w:r>
        <w:t xml:space="preserve">require </w:t>
      </w:r>
      <w:r w:rsidRPr="001B7CE8">
        <w:t>radiation safety plans</w:t>
      </w:r>
      <w:r w:rsidRPr="009E2A1C">
        <w:t xml:space="preserve"> </w:t>
      </w:r>
      <w:r>
        <w:t xml:space="preserve">to be submitted. Radiation safety plans must (among other things) </w:t>
      </w:r>
      <w:r w:rsidRPr="009E2A1C">
        <w:t>specify the steps to be taken to mitigate any adverse effects of accidents, incidents or emergencies.</w:t>
      </w:r>
    </w:p>
    <w:p w:rsidR="00241296" w:rsidRDefault="00241296" w:rsidP="00241296"/>
    <w:p w:rsidR="00823DC8" w:rsidRDefault="00000745" w:rsidP="00241296">
      <w:r w:rsidRPr="009E2A1C">
        <w:t>Also</w:t>
      </w:r>
      <w:r w:rsidRPr="000406DA">
        <w:t>,</w:t>
      </w:r>
      <w:r w:rsidRPr="009E2A1C">
        <w:t xml:space="preserve"> </w:t>
      </w:r>
      <w:r>
        <w:t>section 86</w:t>
      </w:r>
      <w:r w:rsidRPr="009E2A1C">
        <w:t xml:space="preserve">(1)(a) </w:t>
      </w:r>
      <w:r>
        <w:t>provides for</w:t>
      </w:r>
      <w:r w:rsidRPr="009E2A1C">
        <w:t xml:space="preserve"> </w:t>
      </w:r>
      <w:r w:rsidRPr="00C87769">
        <w:t>codes of practice</w:t>
      </w:r>
      <w:r w:rsidRPr="009E2A1C">
        <w:t xml:space="preserve"> </w:t>
      </w:r>
      <w:r>
        <w:t>to</w:t>
      </w:r>
      <w:r w:rsidRPr="009E2A1C">
        <w:t xml:space="preserve"> specify </w:t>
      </w:r>
      <w:r>
        <w:t xml:space="preserve">technical </w:t>
      </w:r>
      <w:r w:rsidRPr="009E2A1C">
        <w:t xml:space="preserve">requirements in order to comply with the fundamental requirements, </w:t>
      </w:r>
      <w:r>
        <w:t>which include complying with</w:t>
      </w:r>
      <w:r w:rsidRPr="009E2A1C">
        <w:t xml:space="preserve"> </w:t>
      </w:r>
      <w:r>
        <w:t>section</w:t>
      </w:r>
      <w:r w:rsidRPr="009E2A1C">
        <w:t xml:space="preserve"> 10.</w:t>
      </w:r>
    </w:p>
    <w:p w:rsidR="00000745" w:rsidRPr="002F1412" w:rsidRDefault="00000745" w:rsidP="000406DA">
      <w:pPr>
        <w:rPr>
          <w:sz w:val="20"/>
        </w:rPr>
      </w:pPr>
    </w:p>
    <w:p w:rsidR="00000745" w:rsidRPr="002D1576" w:rsidRDefault="00000745" w:rsidP="00241296">
      <w:pPr>
        <w:pStyle w:val="Heading3"/>
      </w:pPr>
      <w:r w:rsidRPr="002D1576">
        <w:t>Preferred option</w:t>
      </w:r>
    </w:p>
    <w:p w:rsidR="00000745" w:rsidRPr="000406DA" w:rsidRDefault="00000745" w:rsidP="000406DA">
      <w:pPr>
        <w:rPr>
          <w:i/>
        </w:rPr>
      </w:pPr>
      <w:r w:rsidRPr="000406DA">
        <w:rPr>
          <w:i/>
        </w:rPr>
        <w:t>No Regulations are made to specify further general-level requirements for incidents and accidents.</w:t>
      </w:r>
    </w:p>
    <w:p w:rsidR="00241296" w:rsidRDefault="00241296" w:rsidP="00241296"/>
    <w:p w:rsidR="00823DC8" w:rsidRDefault="00000745" w:rsidP="00241296">
      <w:r>
        <w:t>Codes of practice</w:t>
      </w:r>
      <w:r w:rsidRPr="009E2A1C">
        <w:t xml:space="preserve"> will have to set out detailed requirements for </w:t>
      </w:r>
      <w:r>
        <w:t>responding</w:t>
      </w:r>
      <w:r w:rsidRPr="009E2A1C">
        <w:t xml:space="preserve"> </w:t>
      </w:r>
      <w:r>
        <w:t>to</w:t>
      </w:r>
      <w:r w:rsidRPr="009E2A1C">
        <w:t xml:space="preserve"> incidents and emergencies for each specific </w:t>
      </w:r>
      <w:r>
        <w:t xml:space="preserve">area of </w:t>
      </w:r>
      <w:r w:rsidRPr="009E2A1C">
        <w:t>radiation practice</w:t>
      </w:r>
      <w:r>
        <w:t>. The Ministry of Health</w:t>
      </w:r>
      <w:r w:rsidRPr="009E2A1C">
        <w:t xml:space="preserve"> </w:t>
      </w:r>
      <w:r>
        <w:t xml:space="preserve">sees no benefit </w:t>
      </w:r>
      <w:r w:rsidRPr="009E2A1C">
        <w:t>to setting further general</w:t>
      </w:r>
      <w:r>
        <w:t>-</w:t>
      </w:r>
      <w:r w:rsidRPr="009E2A1C">
        <w:t xml:space="preserve">level requirements in </w:t>
      </w:r>
      <w:r>
        <w:t>Regulations</w:t>
      </w:r>
      <w:r w:rsidRPr="009E2A1C">
        <w:t>.</w:t>
      </w:r>
    </w:p>
    <w:p w:rsidR="00000745" w:rsidRPr="002F1412" w:rsidRDefault="00000745" w:rsidP="000406DA">
      <w:pPr>
        <w:rPr>
          <w:sz w:val="20"/>
        </w:rPr>
      </w:pPr>
    </w:p>
    <w:p w:rsidR="00000745" w:rsidRPr="002D1576" w:rsidRDefault="00000745" w:rsidP="00241296">
      <w:pPr>
        <w:pStyle w:val="Heading3"/>
      </w:pPr>
      <w:r w:rsidRPr="002D1576">
        <w:t>Alternative option</w:t>
      </w:r>
    </w:p>
    <w:p w:rsidR="00823DC8" w:rsidRPr="000406DA" w:rsidRDefault="00000745" w:rsidP="000406DA">
      <w:pPr>
        <w:rPr>
          <w:i/>
        </w:rPr>
      </w:pPr>
      <w:r w:rsidRPr="000406DA">
        <w:rPr>
          <w:i/>
        </w:rPr>
        <w:t>General-level requirements for dealing with incidents and emergencies are specified in Regulations.</w:t>
      </w:r>
    </w:p>
    <w:p w:rsidR="00241296" w:rsidRDefault="00241296" w:rsidP="00241296"/>
    <w:p w:rsidR="00823DC8" w:rsidRDefault="00000745" w:rsidP="00241296">
      <w:r>
        <w:t>This option would separate the requirements for responding to incidents and emergencies (in Regulations) from the other technical requirements for complying with the fundamental requirements of the Act (in codes of practice).</w:t>
      </w:r>
      <w:r w:rsidR="00823DC8">
        <w:t xml:space="preserve"> </w:t>
      </w:r>
      <w:r>
        <w:t>Because the s</w:t>
      </w:r>
      <w:r w:rsidRPr="0028775D">
        <w:t xml:space="preserve">pecific requirements for each area of radiation practice will have to be included in </w:t>
      </w:r>
      <w:r>
        <w:t>c</w:t>
      </w:r>
      <w:r w:rsidRPr="0028775D">
        <w:t xml:space="preserve">odes of </w:t>
      </w:r>
      <w:r>
        <w:t>p</w:t>
      </w:r>
      <w:r w:rsidRPr="0028775D">
        <w:t>ractice</w:t>
      </w:r>
      <w:r>
        <w:t xml:space="preserve">, </w:t>
      </w:r>
      <w:r w:rsidRPr="0028775D">
        <w:t xml:space="preserve">the overall framework will be simpler if all the incident and emergency provisions are </w:t>
      </w:r>
      <w:r>
        <w:t xml:space="preserve">also </w:t>
      </w:r>
      <w:r w:rsidRPr="0028775D">
        <w:t xml:space="preserve">included in </w:t>
      </w:r>
      <w:r>
        <w:t>c</w:t>
      </w:r>
      <w:r w:rsidRPr="0028775D">
        <w:t xml:space="preserve">odes of </w:t>
      </w:r>
      <w:r>
        <w:t>p</w:t>
      </w:r>
      <w:r w:rsidRPr="0028775D">
        <w:t>ractice.</w:t>
      </w:r>
    </w:p>
    <w:p w:rsidR="00000745" w:rsidRDefault="00000745" w:rsidP="000406DA"/>
    <w:p w:rsidR="00000745" w:rsidRPr="001B7CE8" w:rsidRDefault="00000745" w:rsidP="00663689">
      <w:pPr>
        <w:pStyle w:val="BoxHeading"/>
        <w:keepNext/>
      </w:pPr>
      <w:r w:rsidRPr="001B7CE8">
        <w:t>Consultation questions</w:t>
      </w:r>
    </w:p>
    <w:p w:rsidR="00823DC8" w:rsidRDefault="000406DA" w:rsidP="00663689">
      <w:pPr>
        <w:pStyle w:val="Box"/>
        <w:keepNext/>
        <w:ind w:left="851" w:hanging="567"/>
      </w:pPr>
      <w:r>
        <w:t>49.</w:t>
      </w:r>
      <w:r>
        <w:tab/>
      </w:r>
      <w:r w:rsidR="00000745">
        <w:t xml:space="preserve">Do you think </w:t>
      </w:r>
      <w:r w:rsidR="00000745" w:rsidRPr="009E2A1C">
        <w:t xml:space="preserve">setting detailed provisions for dealing with incidents and emergencies for each specific </w:t>
      </w:r>
      <w:r w:rsidR="00000745">
        <w:t xml:space="preserve">area of </w:t>
      </w:r>
      <w:r w:rsidR="00000745" w:rsidRPr="009E2A1C">
        <w:t>radiation</w:t>
      </w:r>
      <w:r w:rsidR="00000745">
        <w:t xml:space="preserve"> practice in codes of practice is the best approach to achieving</w:t>
      </w:r>
      <w:r w:rsidR="00000745" w:rsidRPr="009E2A1C">
        <w:t xml:space="preserve"> </w:t>
      </w:r>
      <w:r w:rsidR="00000745">
        <w:t>the required responses to incidents and emergencies</w:t>
      </w:r>
      <w:r w:rsidR="00000745" w:rsidRPr="009E2A1C">
        <w:t>?</w:t>
      </w:r>
    </w:p>
    <w:p w:rsidR="00823DC8" w:rsidRDefault="000406DA" w:rsidP="00663689">
      <w:pPr>
        <w:pStyle w:val="Box"/>
        <w:keepNext/>
        <w:ind w:left="851" w:hanging="567"/>
      </w:pPr>
      <w:r>
        <w:t>50.</w:t>
      </w:r>
      <w:r>
        <w:tab/>
      </w:r>
      <w:r w:rsidR="00000745">
        <w:t>If you think it is appropriate to have provisions for dealing with incidents and emergencies in Regulations, please identify what information should be in Regulations and what information should be in codes of practice.</w:t>
      </w:r>
    </w:p>
    <w:p w:rsidR="00823DC8" w:rsidRDefault="000406DA" w:rsidP="00663689">
      <w:pPr>
        <w:pStyle w:val="Box"/>
        <w:keepNext/>
        <w:ind w:left="851" w:hanging="567"/>
      </w:pPr>
      <w:r>
        <w:t>51.</w:t>
      </w:r>
      <w:r>
        <w:tab/>
      </w:r>
      <w:r w:rsidR="00000745">
        <w:t>Do you have any further comments, suggestions or alternative options?</w:t>
      </w:r>
    </w:p>
    <w:p w:rsidR="00000745" w:rsidRDefault="00000745" w:rsidP="00663689">
      <w:pPr>
        <w:pStyle w:val="Box"/>
        <w:keepNext/>
      </w:pPr>
      <w:r>
        <w:t xml:space="preserve">Please use the </w:t>
      </w:r>
      <w:r w:rsidR="00F810AB">
        <w:t>submission form</w:t>
      </w:r>
      <w:r>
        <w:t xml:space="preserve"> to respond to these questions.</w:t>
      </w:r>
    </w:p>
    <w:p w:rsidR="00E8102B" w:rsidRDefault="00E8102B" w:rsidP="00E8102B">
      <w:bookmarkStart w:id="60" w:name="_Toc449001283"/>
      <w:r>
        <w:br w:type="page"/>
      </w:r>
    </w:p>
    <w:p w:rsidR="00823DC8" w:rsidRDefault="00000745" w:rsidP="00E8102B">
      <w:pPr>
        <w:pStyle w:val="Heading1"/>
      </w:pPr>
      <w:bookmarkStart w:id="61" w:name="_Toc450059043"/>
      <w:r>
        <w:lastRenderedPageBreak/>
        <w:t>5</w:t>
      </w:r>
      <w:r>
        <w:tab/>
      </w:r>
      <w:r w:rsidRPr="009E2A1C">
        <w:t xml:space="preserve">Labelling, </w:t>
      </w:r>
      <w:r>
        <w:t>s</w:t>
      </w:r>
      <w:r w:rsidRPr="009E2A1C">
        <w:t xml:space="preserve">ignage and </w:t>
      </w:r>
      <w:r>
        <w:t>o</w:t>
      </w:r>
      <w:r w:rsidRPr="009E2A1C">
        <w:t xml:space="preserve">ther </w:t>
      </w:r>
      <w:r>
        <w:t>c</w:t>
      </w:r>
      <w:r w:rsidRPr="009E2A1C">
        <w:t>ontrols</w:t>
      </w:r>
      <w:bookmarkEnd w:id="60"/>
      <w:bookmarkEnd w:id="61"/>
    </w:p>
    <w:p w:rsidR="00823DC8" w:rsidRDefault="00000745" w:rsidP="00241296">
      <w:pPr>
        <w:pStyle w:val="Heading3"/>
      </w:pPr>
      <w:r w:rsidRPr="00995FE1">
        <w:t>Background</w:t>
      </w:r>
    </w:p>
    <w:p w:rsidR="00823DC8" w:rsidRDefault="00000745" w:rsidP="00E8102B">
      <w:r w:rsidRPr="00CE0EF3">
        <w:t>Requirements for labelling, signage and other controls are all necessary in order to satisfy the fundamental requirements of the Act. Section 86(1)(a) of the Act provides for codes of practice to specify the technical requirements in order to comply with the fundamental requirements. Accordingly, codes of practice will specify the labelling, signage and other controls for each specific</w:t>
      </w:r>
      <w:r w:rsidRPr="009E2A1C">
        <w:t xml:space="preserve"> </w:t>
      </w:r>
      <w:r>
        <w:t xml:space="preserve">area of </w:t>
      </w:r>
      <w:r w:rsidRPr="009E2A1C">
        <w:t>radiation practice.</w:t>
      </w:r>
    </w:p>
    <w:p w:rsidR="00000745" w:rsidRDefault="00000745" w:rsidP="00E8102B"/>
    <w:p w:rsidR="00000745" w:rsidRDefault="00000745" w:rsidP="00241296">
      <w:pPr>
        <w:pStyle w:val="Heading3"/>
      </w:pPr>
      <w:r w:rsidRPr="00995FE1">
        <w:t>Preferred option</w:t>
      </w:r>
    </w:p>
    <w:p w:rsidR="00000745" w:rsidRPr="00E8102B" w:rsidRDefault="00000745" w:rsidP="00E8102B">
      <w:pPr>
        <w:rPr>
          <w:i/>
        </w:rPr>
      </w:pPr>
      <w:r w:rsidRPr="00E8102B">
        <w:rPr>
          <w:i/>
        </w:rPr>
        <w:t>No Regulations are made to specify further general-level requirements for labelling, signage and other controls.</w:t>
      </w:r>
    </w:p>
    <w:p w:rsidR="00E8102B" w:rsidRDefault="00E8102B" w:rsidP="00E8102B"/>
    <w:p w:rsidR="00823DC8" w:rsidRDefault="00000745" w:rsidP="00E8102B">
      <w:r>
        <w:t>Codes of practice</w:t>
      </w:r>
      <w:r w:rsidRPr="009E2A1C">
        <w:t xml:space="preserve"> will set out detailed requirements for labelling, signage and other controls</w:t>
      </w:r>
      <w:r w:rsidRPr="00995FE1">
        <w:t xml:space="preserve"> </w:t>
      </w:r>
      <w:r w:rsidRPr="009E2A1C">
        <w:t xml:space="preserve">for each specific </w:t>
      </w:r>
      <w:r>
        <w:t xml:space="preserve">area of </w:t>
      </w:r>
      <w:r w:rsidRPr="009E2A1C">
        <w:t>radiation practice</w:t>
      </w:r>
      <w:r>
        <w:t>. The Ministry of Health</w:t>
      </w:r>
      <w:r w:rsidRPr="009E2A1C">
        <w:t xml:space="preserve"> </w:t>
      </w:r>
      <w:r>
        <w:t xml:space="preserve">sees no benefit </w:t>
      </w:r>
      <w:r w:rsidRPr="009E2A1C">
        <w:t>to setting further general</w:t>
      </w:r>
      <w:r>
        <w:t>-</w:t>
      </w:r>
      <w:r w:rsidRPr="009E2A1C">
        <w:t xml:space="preserve">level requirements in </w:t>
      </w:r>
      <w:r>
        <w:t>Regulations</w:t>
      </w:r>
      <w:r w:rsidRPr="009E2A1C">
        <w:t>.</w:t>
      </w:r>
    </w:p>
    <w:p w:rsidR="00000745" w:rsidRDefault="00000745" w:rsidP="00E8102B"/>
    <w:p w:rsidR="00000745" w:rsidRPr="00995FE1" w:rsidRDefault="00000745" w:rsidP="00241296">
      <w:pPr>
        <w:pStyle w:val="Heading3"/>
      </w:pPr>
      <w:r w:rsidRPr="00995FE1">
        <w:t>Alternative option</w:t>
      </w:r>
    </w:p>
    <w:p w:rsidR="00823DC8" w:rsidRPr="00E8102B" w:rsidRDefault="00000745" w:rsidP="00E8102B">
      <w:pPr>
        <w:rPr>
          <w:i/>
        </w:rPr>
      </w:pPr>
      <w:r w:rsidRPr="00E8102B">
        <w:rPr>
          <w:i/>
        </w:rPr>
        <w:t>General-level requirements for labelling, signage and other controls are specified in Regulations.</w:t>
      </w:r>
    </w:p>
    <w:p w:rsidR="00E8102B" w:rsidRDefault="00E8102B" w:rsidP="00E8102B"/>
    <w:p w:rsidR="00823DC8" w:rsidRDefault="00000745" w:rsidP="00E8102B">
      <w:r w:rsidRPr="0028775D">
        <w:t xml:space="preserve">Specific requirements for each area of radiation practice will have to be included in </w:t>
      </w:r>
      <w:r>
        <w:t>c</w:t>
      </w:r>
      <w:r w:rsidRPr="0028775D">
        <w:t xml:space="preserve">odes of </w:t>
      </w:r>
      <w:r>
        <w:t>p</w:t>
      </w:r>
      <w:r w:rsidRPr="0028775D">
        <w:t>ractice.</w:t>
      </w:r>
      <w:r>
        <w:t xml:space="preserve"> </w:t>
      </w:r>
      <w:r w:rsidRPr="0028775D">
        <w:t xml:space="preserve">Therefore, the overall framework will be simpler if all the labelling, signage and other controls provisions are included in </w:t>
      </w:r>
      <w:r>
        <w:t>c</w:t>
      </w:r>
      <w:r w:rsidRPr="0028775D">
        <w:t xml:space="preserve">odes of </w:t>
      </w:r>
      <w:r>
        <w:t>p</w:t>
      </w:r>
      <w:r w:rsidRPr="0028775D">
        <w:t>ractice.</w:t>
      </w:r>
    </w:p>
    <w:p w:rsidR="00000745" w:rsidRDefault="00000745" w:rsidP="00E8102B"/>
    <w:p w:rsidR="00000745" w:rsidRPr="001B7CE8" w:rsidRDefault="00000745" w:rsidP="00E8102B">
      <w:pPr>
        <w:pStyle w:val="BoxHeading"/>
      </w:pPr>
      <w:r w:rsidRPr="001B7CE8">
        <w:t>Consultation questions</w:t>
      </w:r>
    </w:p>
    <w:p w:rsidR="00000745" w:rsidRDefault="00E8102B" w:rsidP="00E8102B">
      <w:pPr>
        <w:pStyle w:val="Box"/>
        <w:ind w:left="851" w:hanging="567"/>
      </w:pPr>
      <w:r>
        <w:t>52.</w:t>
      </w:r>
      <w:r>
        <w:tab/>
      </w:r>
      <w:r w:rsidR="00000745">
        <w:t xml:space="preserve">Do you think </w:t>
      </w:r>
      <w:r w:rsidR="00000745" w:rsidRPr="009E2A1C">
        <w:t xml:space="preserve">setting detailed provisions </w:t>
      </w:r>
      <w:r w:rsidR="00000745" w:rsidRPr="004A3ADE">
        <w:t>for labelling</w:t>
      </w:r>
      <w:r w:rsidR="00000745" w:rsidRPr="009E2A1C">
        <w:t xml:space="preserve">, signage or other controls for each specific </w:t>
      </w:r>
      <w:r w:rsidR="00000745">
        <w:t xml:space="preserve">area of </w:t>
      </w:r>
      <w:r w:rsidR="00000745" w:rsidRPr="009E2A1C">
        <w:t>radiation</w:t>
      </w:r>
      <w:r w:rsidR="00000745">
        <w:t xml:space="preserve"> practice in codes of practice is the best approach to achieving</w:t>
      </w:r>
      <w:r w:rsidR="00000745" w:rsidRPr="009E2A1C">
        <w:t xml:space="preserve"> </w:t>
      </w:r>
      <w:r w:rsidR="00000745">
        <w:t>the desired outcomes?</w:t>
      </w:r>
    </w:p>
    <w:p w:rsidR="00000745" w:rsidRDefault="00E8102B" w:rsidP="00E8102B">
      <w:pPr>
        <w:pStyle w:val="Box"/>
        <w:ind w:left="851" w:hanging="567"/>
      </w:pPr>
      <w:r>
        <w:t>53.</w:t>
      </w:r>
      <w:r>
        <w:tab/>
      </w:r>
      <w:r w:rsidR="00000745">
        <w:t xml:space="preserve">If you think it is appropriate to have provisions </w:t>
      </w:r>
      <w:r w:rsidR="00000745" w:rsidRPr="004A3ADE">
        <w:t>for labelling</w:t>
      </w:r>
      <w:r w:rsidR="00000745" w:rsidRPr="009E2A1C">
        <w:t>, signage or other controls</w:t>
      </w:r>
      <w:r w:rsidR="00000745">
        <w:t xml:space="preserve"> in Regulations, please identify what information should be in Regulations and what information should be in codes of practice.</w:t>
      </w:r>
    </w:p>
    <w:p w:rsidR="00000745" w:rsidRPr="009E2A1C" w:rsidRDefault="00E8102B" w:rsidP="002F1412">
      <w:pPr>
        <w:pStyle w:val="Box"/>
        <w:ind w:left="851" w:hanging="567"/>
      </w:pPr>
      <w:r>
        <w:t>54.</w:t>
      </w:r>
      <w:r w:rsidR="0072286B">
        <w:tab/>
      </w:r>
      <w:r w:rsidR="00000745">
        <w:t>Do you have any further comments, suggestions or alternative options?</w:t>
      </w:r>
    </w:p>
    <w:p w:rsidR="00000745" w:rsidRPr="00E8102B" w:rsidRDefault="00000745" w:rsidP="00E8102B">
      <w:pPr>
        <w:pStyle w:val="Box"/>
      </w:pPr>
      <w:r>
        <w:t xml:space="preserve">Please use the </w:t>
      </w:r>
      <w:r w:rsidR="00F810AB">
        <w:t>submission form</w:t>
      </w:r>
      <w:r>
        <w:t xml:space="preserve"> to respond to these questions.</w:t>
      </w:r>
    </w:p>
    <w:p w:rsidR="00000745" w:rsidRPr="009E2A1C" w:rsidRDefault="00000745" w:rsidP="00E8102B"/>
    <w:p w:rsidR="00000745" w:rsidRPr="009E2A1C" w:rsidRDefault="00000745" w:rsidP="00241296">
      <w:r w:rsidRPr="009E2A1C">
        <w:br w:type="page"/>
      </w:r>
    </w:p>
    <w:p w:rsidR="00823DC8" w:rsidRDefault="00000745" w:rsidP="00241296">
      <w:pPr>
        <w:pStyle w:val="Heading1"/>
      </w:pPr>
      <w:bookmarkStart w:id="62" w:name="_Toc449001284"/>
      <w:bookmarkStart w:id="63" w:name="_Toc450059044"/>
      <w:r>
        <w:lastRenderedPageBreak/>
        <w:t>6</w:t>
      </w:r>
      <w:r>
        <w:tab/>
      </w:r>
      <w:r w:rsidRPr="009E2A1C">
        <w:t xml:space="preserve">Registration of </w:t>
      </w:r>
      <w:r>
        <w:t>controlled r</w:t>
      </w:r>
      <w:r w:rsidRPr="009E2A1C">
        <w:t xml:space="preserve">adiation </w:t>
      </w:r>
      <w:r>
        <w:t>s</w:t>
      </w:r>
      <w:r w:rsidRPr="009E2A1C">
        <w:t>ources</w:t>
      </w:r>
      <w:bookmarkEnd w:id="62"/>
      <w:bookmarkEnd w:id="63"/>
    </w:p>
    <w:p w:rsidR="00823DC8" w:rsidRDefault="00000745" w:rsidP="00241296">
      <w:pPr>
        <w:pStyle w:val="Heading2"/>
      </w:pPr>
      <w:bookmarkStart w:id="64" w:name="_Toc449001285"/>
      <w:bookmarkStart w:id="65" w:name="_Toc450059045"/>
      <w:r>
        <w:t>(a)</w:t>
      </w:r>
      <w:r w:rsidR="00241296">
        <w:tab/>
      </w:r>
      <w:r w:rsidRPr="009E2A1C">
        <w:t>Registration</w:t>
      </w:r>
      <w:bookmarkEnd w:id="64"/>
      <w:bookmarkEnd w:id="65"/>
    </w:p>
    <w:p w:rsidR="00823DC8" w:rsidRDefault="00000745" w:rsidP="00241296">
      <w:pPr>
        <w:pStyle w:val="Heading3"/>
      </w:pPr>
      <w:r w:rsidRPr="00326B81">
        <w:t>Background</w:t>
      </w:r>
    </w:p>
    <w:p w:rsidR="00823DC8" w:rsidRDefault="00000745" w:rsidP="00241296">
      <w:r>
        <w:t>Sections 30−34 of the Act specify</w:t>
      </w:r>
      <w:r w:rsidRPr="009E2A1C">
        <w:t xml:space="preserve"> the requirements for the </w:t>
      </w:r>
      <w:r w:rsidRPr="0028775D">
        <w:t>registration</w:t>
      </w:r>
      <w:r w:rsidRPr="009E2A1C">
        <w:t xml:space="preserve"> of </w:t>
      </w:r>
      <w:r w:rsidRPr="00A420F1">
        <w:rPr>
          <w:b/>
        </w:rPr>
        <w:t>controlled</w:t>
      </w:r>
      <w:r w:rsidRPr="00A420F1">
        <w:t xml:space="preserve"> </w:t>
      </w:r>
      <w:r w:rsidRPr="00326B81">
        <w:rPr>
          <w:b/>
        </w:rPr>
        <w:t>radiation sources</w:t>
      </w:r>
      <w:r w:rsidRPr="009E2A1C">
        <w:t>.</w:t>
      </w:r>
      <w:r>
        <w:t xml:space="preserve"> </w:t>
      </w:r>
      <w:r w:rsidRPr="009E2A1C">
        <w:t xml:space="preserve">The purpose of registration is to help the </w:t>
      </w:r>
      <w:r w:rsidRPr="001B7CE8">
        <w:t>Director</w:t>
      </w:r>
      <w:r w:rsidRPr="009E2A1C">
        <w:t xml:space="preserve"> </w:t>
      </w:r>
      <w:r w:rsidRPr="00FD7E78">
        <w:t>establish</w:t>
      </w:r>
      <w:r w:rsidRPr="009E2A1C">
        <w:t xml:space="preserve"> the location of </w:t>
      </w:r>
      <w:r>
        <w:t xml:space="preserve">radiation </w:t>
      </w:r>
      <w:r w:rsidRPr="009E2A1C">
        <w:t>sources and to support compliance and emergency response procedures.</w:t>
      </w:r>
    </w:p>
    <w:p w:rsidR="00000745" w:rsidRDefault="00000745" w:rsidP="00241296"/>
    <w:p w:rsidR="00823DC8" w:rsidRDefault="00000745" w:rsidP="00241296">
      <w:r w:rsidRPr="00100FFC">
        <w:t>Section 31 places a duty on persons who have management or control of a controlled radiation source to register th</w:t>
      </w:r>
      <w:r>
        <w:t>at</w:t>
      </w:r>
      <w:r w:rsidRPr="00100FFC">
        <w:t xml:space="preserve"> source.</w:t>
      </w:r>
    </w:p>
    <w:p w:rsidR="00000745" w:rsidRPr="00100FFC" w:rsidRDefault="00000745" w:rsidP="00241296"/>
    <w:p w:rsidR="00823DC8" w:rsidRDefault="00000745" w:rsidP="00241296">
      <w:r w:rsidRPr="00100FFC">
        <w:t>Section 32 specifies the information that must be on the register.</w:t>
      </w:r>
      <w:r>
        <w:t xml:space="preserve"> </w:t>
      </w:r>
      <w:r w:rsidRPr="00100FFC">
        <w:t>In specifying this information, this section determines the information required for registration.</w:t>
      </w:r>
      <w:r>
        <w:t xml:space="preserve"> </w:t>
      </w:r>
      <w:r w:rsidRPr="00100FFC">
        <w:t xml:space="preserve">Section 32(f) provides for </w:t>
      </w:r>
      <w:r w:rsidR="00823DC8">
        <w:t>‘</w:t>
      </w:r>
      <w:r w:rsidRPr="00100FFC">
        <w:t>other</w:t>
      </w:r>
      <w:r w:rsidR="00823DC8">
        <w:t>’</w:t>
      </w:r>
      <w:r w:rsidRPr="00100FFC">
        <w:t xml:space="preserve"> information to be included on the register.</w:t>
      </w:r>
      <w:r>
        <w:t xml:space="preserve"> </w:t>
      </w:r>
      <w:r w:rsidRPr="00100FFC">
        <w:t>Other information can be required by either the Director or by Regulations.</w:t>
      </w:r>
    </w:p>
    <w:p w:rsidR="00000745" w:rsidRPr="009E2A1C" w:rsidRDefault="00000745" w:rsidP="00241296"/>
    <w:p w:rsidR="00823DC8" w:rsidRDefault="00000745" w:rsidP="00241296">
      <w:r>
        <w:t>Section 91</w:t>
      </w:r>
      <w:r w:rsidRPr="009E2A1C">
        <w:t xml:space="preserve">(1)(q) allows for </w:t>
      </w:r>
      <w:r>
        <w:t>Regulations</w:t>
      </w:r>
      <w:r w:rsidRPr="009E2A1C">
        <w:t xml:space="preserve"> prescribing requirements for the registration process.</w:t>
      </w:r>
    </w:p>
    <w:p w:rsidR="00000745" w:rsidRDefault="00000745" w:rsidP="00241296"/>
    <w:p w:rsidR="00823DC8" w:rsidRDefault="00000745" w:rsidP="00241296">
      <w:pPr>
        <w:pStyle w:val="Heading3"/>
      </w:pPr>
      <w:r w:rsidRPr="009960AD">
        <w:t>Preferred option</w:t>
      </w:r>
    </w:p>
    <w:p w:rsidR="00823DC8" w:rsidRPr="00241296" w:rsidRDefault="00000745" w:rsidP="00241296">
      <w:pPr>
        <w:rPr>
          <w:i/>
          <w:highlight w:val="yellow"/>
        </w:rPr>
      </w:pPr>
      <w:r w:rsidRPr="00241296">
        <w:rPr>
          <w:i/>
        </w:rPr>
        <w:t>No Regulations prescribing requirements for the registration process are made</w:t>
      </w:r>
      <w:r w:rsidR="0072286B">
        <w:rPr>
          <w:i/>
        </w:rPr>
        <w:t>.</w:t>
      </w:r>
    </w:p>
    <w:p w:rsidR="00000745" w:rsidRDefault="00000745" w:rsidP="00241296"/>
    <w:p w:rsidR="00823DC8" w:rsidRDefault="00000745" w:rsidP="00241296">
      <w:r w:rsidRPr="00100FFC">
        <w:t xml:space="preserve">This means that </w:t>
      </w:r>
      <w:r>
        <w:t>the information specified in section 32 must be provided and that only t</w:t>
      </w:r>
      <w:r w:rsidRPr="00100FFC">
        <w:t xml:space="preserve">he Director may require </w:t>
      </w:r>
      <w:r w:rsidR="00823DC8">
        <w:t>‘</w:t>
      </w:r>
      <w:r w:rsidRPr="00100FFC">
        <w:t>other</w:t>
      </w:r>
      <w:r w:rsidR="00823DC8">
        <w:t>’</w:t>
      </w:r>
      <w:r w:rsidRPr="00100FFC">
        <w:t xml:space="preserve"> information </w:t>
      </w:r>
      <w:r>
        <w:t>under section 32(f) of the Act</w:t>
      </w:r>
      <w:r w:rsidRPr="00100FFC">
        <w:t>.</w:t>
      </w:r>
      <w:r w:rsidR="00823DC8">
        <w:t xml:space="preserve"> </w:t>
      </w:r>
      <w:r>
        <w:t xml:space="preserve">The Director may request other information </w:t>
      </w:r>
      <w:r w:rsidRPr="00100FFC">
        <w:t>depending on the risk profile of the radiation sources and their intended use</w:t>
      </w:r>
      <w:r w:rsidR="0072286B">
        <w:t>.</w:t>
      </w:r>
      <w:r>
        <w:t xml:space="preserve"> </w:t>
      </w:r>
      <w:r w:rsidRPr="00100FFC">
        <w:t>The Director will notify affected people of any other requirements for registration.</w:t>
      </w:r>
      <w:r>
        <w:t xml:space="preserve"> </w:t>
      </w:r>
      <w:r w:rsidRPr="00100FFC">
        <w:t>Other requirements for registration are most likely to apply to radiation sources attracting higher safety and security requirements.</w:t>
      </w:r>
    </w:p>
    <w:p w:rsidR="00000745" w:rsidRDefault="00000745" w:rsidP="00241296"/>
    <w:p w:rsidR="00000745" w:rsidRPr="009960AD" w:rsidRDefault="00000745" w:rsidP="00241296">
      <w:pPr>
        <w:pStyle w:val="Heading3"/>
      </w:pPr>
      <w:r w:rsidRPr="009960AD">
        <w:t>Alternative option</w:t>
      </w:r>
    </w:p>
    <w:p w:rsidR="00823DC8" w:rsidRPr="00241296" w:rsidRDefault="00000745" w:rsidP="00241296">
      <w:pPr>
        <w:rPr>
          <w:i/>
        </w:rPr>
      </w:pPr>
      <w:r w:rsidRPr="00241296">
        <w:rPr>
          <w:i/>
        </w:rPr>
        <w:t>The general requirements of registration are specified in Regulations.</w:t>
      </w:r>
    </w:p>
    <w:p w:rsidR="00000745" w:rsidRDefault="00000745" w:rsidP="00241296"/>
    <w:p w:rsidR="00000745" w:rsidRPr="001B7CE8" w:rsidRDefault="00000745" w:rsidP="00241296">
      <w:pPr>
        <w:pStyle w:val="BoxHeading"/>
      </w:pPr>
      <w:r w:rsidRPr="001B7CE8">
        <w:t>Consultation questions</w:t>
      </w:r>
    </w:p>
    <w:p w:rsidR="00823DC8" w:rsidRDefault="00241296" w:rsidP="00241296">
      <w:pPr>
        <w:pStyle w:val="Box"/>
        <w:ind w:left="851" w:hanging="567"/>
      </w:pPr>
      <w:r>
        <w:t>55.</w:t>
      </w:r>
      <w:r>
        <w:tab/>
      </w:r>
      <w:r w:rsidR="00000745">
        <w:t>D</w:t>
      </w:r>
      <w:r w:rsidR="00000745" w:rsidRPr="009E2A1C">
        <w:t xml:space="preserve">o you think registration requirements should be specified in </w:t>
      </w:r>
      <w:r w:rsidR="00000745">
        <w:t>Regulations</w:t>
      </w:r>
      <w:r w:rsidR="00000745" w:rsidRPr="009E2A1C">
        <w:t xml:space="preserve"> rather than being </w:t>
      </w:r>
      <w:r w:rsidR="00000745">
        <w:t>published on a website by the Director of Radiation Safety?</w:t>
      </w:r>
    </w:p>
    <w:p w:rsidR="00000745" w:rsidRPr="009E2A1C" w:rsidRDefault="00241296" w:rsidP="00241296">
      <w:pPr>
        <w:pStyle w:val="Box"/>
        <w:ind w:left="851" w:hanging="567"/>
      </w:pPr>
      <w:r>
        <w:t>56.</w:t>
      </w:r>
      <w:r>
        <w:tab/>
      </w:r>
      <w:r w:rsidR="00000745">
        <w:t>Do you have any further comments, suggestions or alternative options?</w:t>
      </w:r>
    </w:p>
    <w:p w:rsidR="00000745" w:rsidRDefault="00000745" w:rsidP="00241296">
      <w:pPr>
        <w:pStyle w:val="Box"/>
      </w:pPr>
      <w:r>
        <w:t xml:space="preserve">Please use the </w:t>
      </w:r>
      <w:r w:rsidR="00F810AB">
        <w:t>submission form</w:t>
      </w:r>
      <w:r>
        <w:t xml:space="preserve"> to respond to these questions.</w:t>
      </w:r>
    </w:p>
    <w:p w:rsidR="00000745" w:rsidRPr="009E2A1C" w:rsidRDefault="00000745" w:rsidP="00241296"/>
    <w:p w:rsidR="00000745" w:rsidRPr="006C5737" w:rsidRDefault="00000745" w:rsidP="00241296">
      <w:pPr>
        <w:pStyle w:val="Heading2"/>
      </w:pPr>
      <w:bookmarkStart w:id="66" w:name="_Toc449001286"/>
      <w:bookmarkStart w:id="67" w:name="_Toc450059046"/>
      <w:r>
        <w:lastRenderedPageBreak/>
        <w:t>(b)</w:t>
      </w:r>
      <w:r w:rsidR="00241296">
        <w:tab/>
      </w:r>
      <w:r w:rsidRPr="009E2A1C">
        <w:t>Unsealed radioactive material requiring registration</w:t>
      </w:r>
      <w:bookmarkEnd w:id="66"/>
      <w:bookmarkEnd w:id="67"/>
    </w:p>
    <w:p w:rsidR="00823DC8" w:rsidRDefault="00000745" w:rsidP="00241296">
      <w:pPr>
        <w:pStyle w:val="Heading3"/>
      </w:pPr>
      <w:r w:rsidRPr="00A31807">
        <w:t>Background</w:t>
      </w:r>
    </w:p>
    <w:p w:rsidR="00823DC8" w:rsidRDefault="00000745" w:rsidP="00241296">
      <w:r w:rsidRPr="001B7CE8">
        <w:t>Controlled radiation sources</w:t>
      </w:r>
      <w:r w:rsidRPr="009E2A1C">
        <w:t xml:space="preserve"> are defined in</w:t>
      </w:r>
      <w:r>
        <w:t xml:space="preserve"> section 30</w:t>
      </w:r>
      <w:r w:rsidRPr="009E2A1C">
        <w:t xml:space="preserve"> of the </w:t>
      </w:r>
      <w:r>
        <w:t>Act</w:t>
      </w:r>
      <w:r w:rsidRPr="009E2A1C">
        <w:t xml:space="preserve"> </w:t>
      </w:r>
      <w:r>
        <w:t>as requiring</w:t>
      </w:r>
      <w:r w:rsidRPr="009E2A1C">
        <w:t xml:space="preserve"> </w:t>
      </w:r>
      <w:r w:rsidRPr="001B7CE8">
        <w:t>registration.</w:t>
      </w:r>
      <w:r>
        <w:t xml:space="preserve"> </w:t>
      </w:r>
      <w:r w:rsidRPr="009E2A1C">
        <w:t xml:space="preserve">Controlled radiation sources are </w:t>
      </w:r>
      <w:r w:rsidRPr="001B7CE8">
        <w:t>irradiating apparatus</w:t>
      </w:r>
      <w:r w:rsidRPr="009E2A1C">
        <w:t xml:space="preserve">, </w:t>
      </w:r>
      <w:r w:rsidRPr="003B06A5">
        <w:rPr>
          <w:b/>
        </w:rPr>
        <w:t>sealed radioactive material</w:t>
      </w:r>
      <w:r w:rsidRPr="009E2A1C">
        <w:t xml:space="preserve">, </w:t>
      </w:r>
      <w:r w:rsidRPr="001B7CE8">
        <w:t>nuclear material</w:t>
      </w:r>
      <w:r w:rsidRPr="009E2A1C">
        <w:t xml:space="preserve"> and </w:t>
      </w:r>
      <w:r w:rsidR="00823DC8">
        <w:t>‘</w:t>
      </w:r>
      <w:r w:rsidRPr="009E2A1C">
        <w:t xml:space="preserve">any </w:t>
      </w:r>
      <w:r w:rsidRPr="001B7CE8">
        <w:t>unsealed radioactive material</w:t>
      </w:r>
      <w:r w:rsidRPr="009E2A1C">
        <w:t xml:space="preserve"> of a kind that </w:t>
      </w:r>
      <w:r>
        <w:t>Regulations</w:t>
      </w:r>
      <w:r w:rsidRPr="009E2A1C">
        <w:t xml:space="preserve"> requi</w:t>
      </w:r>
      <w:r>
        <w:t>re to be registered</w:t>
      </w:r>
      <w:r w:rsidR="00823DC8">
        <w:t>’</w:t>
      </w:r>
      <w:r>
        <w:t xml:space="preserve">. Section 91(1)(p) </w:t>
      </w:r>
      <w:r w:rsidRPr="009E2A1C">
        <w:t xml:space="preserve">allows for </w:t>
      </w:r>
      <w:r>
        <w:t>Regulations</w:t>
      </w:r>
      <w:r w:rsidRPr="009E2A1C">
        <w:t xml:space="preserve"> to specify unsealed radioactive material that must be registered.</w:t>
      </w:r>
    </w:p>
    <w:p w:rsidR="00000745" w:rsidRDefault="00000745" w:rsidP="00241296"/>
    <w:p w:rsidR="00823DC8" w:rsidRDefault="00000745" w:rsidP="00241296">
      <w:r w:rsidRPr="009E2A1C">
        <w:t>P</w:t>
      </w:r>
      <w:r>
        <w:t>eople</w:t>
      </w:r>
      <w:r w:rsidRPr="009E2A1C">
        <w:t xml:space="preserve"> </w:t>
      </w:r>
      <w:r>
        <w:t xml:space="preserve">or organisations that </w:t>
      </w:r>
      <w:r w:rsidRPr="001B7CE8">
        <w:t>deal with</w:t>
      </w:r>
      <w:r w:rsidRPr="009E2A1C">
        <w:t xml:space="preserve"> unsealed radioactive material must obtain the appropriate </w:t>
      </w:r>
      <w:r w:rsidRPr="001B7CE8">
        <w:t xml:space="preserve">authorisations </w:t>
      </w:r>
      <w:r w:rsidRPr="009E2A1C">
        <w:t xml:space="preserve">and comply with the </w:t>
      </w:r>
      <w:r w:rsidRPr="001B7CE8">
        <w:t>fundamental requirements</w:t>
      </w:r>
      <w:r w:rsidRPr="009E2A1C">
        <w:t xml:space="preserve"> of the </w:t>
      </w:r>
      <w:r>
        <w:t>Act</w:t>
      </w:r>
      <w:r w:rsidRPr="009E2A1C">
        <w:t>.</w:t>
      </w:r>
      <w:r>
        <w:t xml:space="preserve"> </w:t>
      </w:r>
      <w:r w:rsidRPr="002E43BF">
        <w:t>U</w:t>
      </w:r>
      <w:r w:rsidRPr="009E2A1C">
        <w:t>nsealed radioactive mat</w:t>
      </w:r>
      <w:r>
        <w:t>erial often has a short half-life, meaning that it decays quickly.</w:t>
      </w:r>
    </w:p>
    <w:p w:rsidR="00000745" w:rsidRDefault="00000745" w:rsidP="00241296"/>
    <w:p w:rsidR="00000745" w:rsidRDefault="00000745" w:rsidP="00241296">
      <w:r w:rsidRPr="00124918">
        <w:t>The provision</w:t>
      </w:r>
      <w:r>
        <w:t xml:space="preserve"> to</w:t>
      </w:r>
      <w:r w:rsidRPr="00124918">
        <w:t xml:space="preserve"> specify </w:t>
      </w:r>
      <w:r>
        <w:t xml:space="preserve">certain </w:t>
      </w:r>
      <w:r w:rsidRPr="00124918">
        <w:t xml:space="preserve">unsealed radioactive material </w:t>
      </w:r>
      <w:r>
        <w:t xml:space="preserve">as </w:t>
      </w:r>
      <w:r w:rsidRPr="00124918">
        <w:t>requir</w:t>
      </w:r>
      <w:r>
        <w:t>ing</w:t>
      </w:r>
      <w:r w:rsidRPr="00124918">
        <w:t xml:space="preserve"> registration allows the Act to adapt to any developments in scientific research and international recommendations and guidance on radiation sources and their use.</w:t>
      </w:r>
    </w:p>
    <w:p w:rsidR="00000745" w:rsidRDefault="00000745" w:rsidP="00241296"/>
    <w:p w:rsidR="00000745" w:rsidRPr="003B06A5" w:rsidRDefault="00000745" w:rsidP="00241296">
      <w:pPr>
        <w:pStyle w:val="Heading3"/>
      </w:pPr>
      <w:r w:rsidRPr="003B06A5">
        <w:t>Preferred option</w:t>
      </w:r>
    </w:p>
    <w:p w:rsidR="00000745" w:rsidRPr="00241296" w:rsidRDefault="00000745" w:rsidP="00241296">
      <w:pPr>
        <w:rPr>
          <w:i/>
        </w:rPr>
      </w:pPr>
      <w:r w:rsidRPr="00241296">
        <w:rPr>
          <w:i/>
        </w:rPr>
        <w:t>No unsealed radioactive material is specified as requiring registration.</w:t>
      </w:r>
    </w:p>
    <w:p w:rsidR="00241296" w:rsidRDefault="00241296" w:rsidP="00241296"/>
    <w:p w:rsidR="00823DC8" w:rsidRDefault="00000745" w:rsidP="00241296">
      <w:r>
        <w:t xml:space="preserve">There is no </w:t>
      </w:r>
      <w:r w:rsidRPr="009E2A1C">
        <w:t>unsealed radioactive material in use in New Zealand for which registration would add a safety or security benefit.</w:t>
      </w:r>
      <w:r>
        <w:t xml:space="preserve"> Therefore, no</w:t>
      </w:r>
      <w:r w:rsidRPr="009E2A1C">
        <w:t xml:space="preserve"> unsealed radioactive material </w:t>
      </w:r>
      <w:r>
        <w:t xml:space="preserve">needs to be specified as </w:t>
      </w:r>
      <w:r w:rsidRPr="009E2A1C">
        <w:t>requiring registration at this time.</w:t>
      </w:r>
    </w:p>
    <w:p w:rsidR="00000745" w:rsidRDefault="00000745" w:rsidP="00241296"/>
    <w:p w:rsidR="00000745" w:rsidRPr="003B06A5" w:rsidRDefault="00000745" w:rsidP="00241296">
      <w:pPr>
        <w:pStyle w:val="Heading3"/>
      </w:pPr>
      <w:r w:rsidRPr="003B06A5">
        <w:t>Alternative option</w:t>
      </w:r>
    </w:p>
    <w:p w:rsidR="00823DC8" w:rsidRPr="00241296" w:rsidRDefault="00000745" w:rsidP="00241296">
      <w:pPr>
        <w:rPr>
          <w:i/>
        </w:rPr>
      </w:pPr>
      <w:r w:rsidRPr="00241296">
        <w:rPr>
          <w:i/>
        </w:rPr>
        <w:t>Specify certain unsealed radioactive material as requiring registration.</w:t>
      </w:r>
    </w:p>
    <w:p w:rsidR="00241296" w:rsidRDefault="00241296" w:rsidP="00241296"/>
    <w:p w:rsidR="00823DC8" w:rsidRDefault="00000745" w:rsidP="00241296">
      <w:r w:rsidRPr="00124918">
        <w:t xml:space="preserve">The Ministry is not aware of any scientific research or international recommendations or guidance suggesting </w:t>
      </w:r>
      <w:r>
        <w:t xml:space="preserve">that </w:t>
      </w:r>
      <w:r w:rsidRPr="00124918">
        <w:t>registration of unsealed radioactive material would be significantly beneficial.</w:t>
      </w:r>
    </w:p>
    <w:p w:rsidR="00000745" w:rsidRDefault="00000745" w:rsidP="00241296"/>
    <w:p w:rsidR="00000745" w:rsidRPr="001B7CE8" w:rsidRDefault="00000745" w:rsidP="00241296">
      <w:pPr>
        <w:pStyle w:val="BoxHeading"/>
      </w:pPr>
      <w:r w:rsidRPr="001B7CE8">
        <w:t>Consultation questions</w:t>
      </w:r>
    </w:p>
    <w:p w:rsidR="00823DC8" w:rsidRDefault="00410952" w:rsidP="00241296">
      <w:pPr>
        <w:pStyle w:val="Box"/>
        <w:ind w:left="851" w:hanging="567"/>
      </w:pPr>
      <w:r>
        <w:t>57.</w:t>
      </w:r>
      <w:r>
        <w:tab/>
      </w:r>
      <w:r w:rsidR="00000745">
        <w:t xml:space="preserve">Do you think </w:t>
      </w:r>
      <w:r w:rsidR="00000745" w:rsidRPr="009E2A1C">
        <w:t xml:space="preserve">there </w:t>
      </w:r>
      <w:r w:rsidR="00000745">
        <w:t xml:space="preserve">is </w:t>
      </w:r>
      <w:r w:rsidR="00000745" w:rsidRPr="009E2A1C">
        <w:t xml:space="preserve">any unsealed radioactive material that </w:t>
      </w:r>
      <w:r w:rsidR="00000745">
        <w:t>requires registration? Please provide a justification.</w:t>
      </w:r>
    </w:p>
    <w:p w:rsidR="00000745" w:rsidRPr="009E2A1C" w:rsidRDefault="00410952" w:rsidP="00241296">
      <w:pPr>
        <w:pStyle w:val="Box"/>
        <w:ind w:left="851" w:hanging="567"/>
      </w:pPr>
      <w:r>
        <w:t>58.</w:t>
      </w:r>
      <w:r>
        <w:tab/>
      </w:r>
      <w:r w:rsidR="00000745">
        <w:t>Do you have any further comments, suggestions or alternative options?</w:t>
      </w:r>
    </w:p>
    <w:p w:rsidR="00000745" w:rsidRPr="00410952" w:rsidRDefault="00000745" w:rsidP="00241296">
      <w:pPr>
        <w:pStyle w:val="Box"/>
      </w:pPr>
      <w:r>
        <w:t xml:space="preserve">Please use the </w:t>
      </w:r>
      <w:r w:rsidR="00F810AB">
        <w:t>submission form</w:t>
      </w:r>
      <w:r>
        <w:t xml:space="preserve"> to respond to these questions.</w:t>
      </w:r>
    </w:p>
    <w:p w:rsidR="00000745" w:rsidRPr="009E2A1C" w:rsidRDefault="00000745" w:rsidP="00410952"/>
    <w:p w:rsidR="00410952" w:rsidRDefault="00410952" w:rsidP="00410952">
      <w:bookmarkStart w:id="68" w:name="_Toc449001287"/>
      <w:r>
        <w:br w:type="page"/>
      </w:r>
    </w:p>
    <w:p w:rsidR="00000745" w:rsidRPr="0005361F" w:rsidRDefault="00000745" w:rsidP="00410952">
      <w:pPr>
        <w:pStyle w:val="Heading1"/>
      </w:pPr>
      <w:bookmarkStart w:id="69" w:name="_Toc450059047"/>
      <w:r>
        <w:lastRenderedPageBreak/>
        <w:t>7</w:t>
      </w:r>
      <w:r>
        <w:tab/>
      </w:r>
      <w:r w:rsidRPr="009E2A1C">
        <w:t>Nuclear material</w:t>
      </w:r>
      <w:bookmarkEnd w:id="68"/>
      <w:bookmarkEnd w:id="69"/>
    </w:p>
    <w:p w:rsidR="00823DC8" w:rsidRDefault="00000745" w:rsidP="00410952">
      <w:pPr>
        <w:pStyle w:val="Heading3"/>
      </w:pPr>
      <w:r w:rsidRPr="00842AAD">
        <w:t>Background</w:t>
      </w:r>
    </w:p>
    <w:p w:rsidR="00000745" w:rsidRPr="009E2A1C" w:rsidRDefault="00000745" w:rsidP="00410952">
      <w:r w:rsidRPr="001B7CE8">
        <w:t>Nuclear material</w:t>
      </w:r>
      <w:r w:rsidRPr="00842AAD">
        <w:rPr>
          <w:b/>
        </w:rPr>
        <w:t xml:space="preserve"> </w:t>
      </w:r>
      <w:r w:rsidRPr="009E2A1C">
        <w:t xml:space="preserve">is defined in </w:t>
      </w:r>
      <w:r>
        <w:t>section</w:t>
      </w:r>
      <w:r w:rsidRPr="009E2A1C">
        <w:t xml:space="preserve"> 5(1) of the </w:t>
      </w:r>
      <w:r>
        <w:t>Act</w:t>
      </w:r>
      <w:r w:rsidRPr="009E2A1C">
        <w:t xml:space="preserve"> as any </w:t>
      </w:r>
      <w:r w:rsidRPr="00842AAD">
        <w:rPr>
          <w:b/>
        </w:rPr>
        <w:t>source material</w:t>
      </w:r>
      <w:r w:rsidRPr="009E2A1C">
        <w:t xml:space="preserve"> or </w:t>
      </w:r>
      <w:r w:rsidRPr="00842AAD">
        <w:rPr>
          <w:b/>
        </w:rPr>
        <w:t>special fissionable material</w:t>
      </w:r>
      <w:r w:rsidRPr="009E2A1C">
        <w:t>.</w:t>
      </w:r>
      <w:r>
        <w:t xml:space="preserve"> </w:t>
      </w:r>
      <w:r w:rsidRPr="009E2A1C">
        <w:t xml:space="preserve">These terms are further defined in </w:t>
      </w:r>
      <w:r>
        <w:t>section 5(2) and adopt the definition</w:t>
      </w:r>
      <w:r w:rsidRPr="009E2A1C">
        <w:t xml:space="preserve"> </w:t>
      </w:r>
      <w:r w:rsidRPr="00B04AB5">
        <w:t>used by the IAEA</w:t>
      </w:r>
      <w:r>
        <w:t>.</w:t>
      </w:r>
      <w:r w:rsidRPr="00410952">
        <w:rPr>
          <w:rStyle w:val="FootnoteReference"/>
        </w:rPr>
        <w:footnoteReference w:id="6"/>
      </w:r>
      <w:r w:rsidRPr="00B04AB5">
        <w:t xml:space="preserve"> The</w:t>
      </w:r>
      <w:r w:rsidRPr="009E2A1C">
        <w:t xml:space="preserve"> IAEA definitions allow for </w:t>
      </w:r>
      <w:r w:rsidR="00823DC8">
        <w:t>‘</w:t>
      </w:r>
      <w:r w:rsidRPr="009E2A1C">
        <w:t>such other material as the Board of Governors shall from time to time determine</w:t>
      </w:r>
      <w:r w:rsidR="00823DC8">
        <w:t>’</w:t>
      </w:r>
      <w:r w:rsidRPr="009E2A1C">
        <w:t xml:space="preserve"> to be added.</w:t>
      </w:r>
      <w:r>
        <w:t xml:space="preserve"> </w:t>
      </w:r>
      <w:r w:rsidRPr="009E2A1C">
        <w:t xml:space="preserve">To accommodate </w:t>
      </w:r>
      <w:r>
        <w:t xml:space="preserve">the </w:t>
      </w:r>
      <w:r w:rsidRPr="009E2A1C">
        <w:t xml:space="preserve">possibility of IAEA additions, </w:t>
      </w:r>
      <w:r>
        <w:t>section</w:t>
      </w:r>
      <w:r w:rsidRPr="009E2A1C">
        <w:t xml:space="preserve"> 5(2) enables further material to be </w:t>
      </w:r>
      <w:r>
        <w:t>defined as nuclear material</w:t>
      </w:r>
      <w:r w:rsidRPr="009E2A1C">
        <w:t xml:space="preserve"> under the </w:t>
      </w:r>
      <w:r>
        <w:t>Act</w:t>
      </w:r>
      <w:r w:rsidRPr="009E2A1C">
        <w:t xml:space="preserve"> using the regulation</w:t>
      </w:r>
      <w:r>
        <w:t>-</w:t>
      </w:r>
      <w:r w:rsidRPr="009E2A1C">
        <w:t xml:space="preserve">making power in </w:t>
      </w:r>
      <w:r>
        <w:t>section 91</w:t>
      </w:r>
      <w:r w:rsidRPr="009E2A1C">
        <w:t>(1)(c).</w:t>
      </w:r>
    </w:p>
    <w:p w:rsidR="00000745" w:rsidRDefault="00000745" w:rsidP="00410952"/>
    <w:p w:rsidR="00823DC8" w:rsidRDefault="00000745" w:rsidP="00410952">
      <w:pPr>
        <w:pStyle w:val="Heading3"/>
      </w:pPr>
      <w:r w:rsidRPr="0009749C">
        <w:t>Preferred option</w:t>
      </w:r>
    </w:p>
    <w:p w:rsidR="00823DC8" w:rsidRPr="00410952" w:rsidRDefault="00000745" w:rsidP="00410952">
      <w:pPr>
        <w:rPr>
          <w:i/>
        </w:rPr>
      </w:pPr>
      <w:r w:rsidRPr="00410952">
        <w:rPr>
          <w:i/>
        </w:rPr>
        <w:t>No other material is prescribed as nuclear material at this time.</w:t>
      </w:r>
    </w:p>
    <w:p w:rsidR="00000745" w:rsidRDefault="00000745" w:rsidP="00410952"/>
    <w:p w:rsidR="00823DC8" w:rsidRDefault="00000745" w:rsidP="00410952">
      <w:r>
        <w:t>T</w:t>
      </w:r>
      <w:r w:rsidRPr="009E2A1C">
        <w:t xml:space="preserve">he IAEA has not added any </w:t>
      </w:r>
      <w:r>
        <w:t>other</w:t>
      </w:r>
      <w:r w:rsidRPr="009E2A1C">
        <w:t xml:space="preserve"> material to its definition of nuclear material.</w:t>
      </w:r>
      <w:r>
        <w:t xml:space="preserve"> </w:t>
      </w:r>
      <w:r w:rsidRPr="009E2A1C">
        <w:t xml:space="preserve">Therefore, </w:t>
      </w:r>
      <w:r>
        <w:t xml:space="preserve">no other material is required to be defined as nuclear material </w:t>
      </w:r>
      <w:r w:rsidRPr="009E2A1C">
        <w:t xml:space="preserve">under the </w:t>
      </w:r>
      <w:r>
        <w:t>Act</w:t>
      </w:r>
      <w:r w:rsidRPr="009E2A1C">
        <w:t xml:space="preserve"> at this time.</w:t>
      </w:r>
    </w:p>
    <w:p w:rsidR="00000745" w:rsidRDefault="00000745" w:rsidP="00410952"/>
    <w:p w:rsidR="00000745" w:rsidRPr="0009749C" w:rsidRDefault="00000745" w:rsidP="00410952">
      <w:pPr>
        <w:pStyle w:val="Heading3"/>
      </w:pPr>
      <w:r w:rsidRPr="0009749C">
        <w:t>Alternative option</w:t>
      </w:r>
    </w:p>
    <w:p w:rsidR="00823DC8" w:rsidRDefault="00000745" w:rsidP="00410952">
      <w:r w:rsidRPr="00004C01">
        <w:t>The Ministry of Health has not considered an alternative option.</w:t>
      </w:r>
    </w:p>
    <w:p w:rsidR="00000745" w:rsidRDefault="00000745" w:rsidP="00410952"/>
    <w:p w:rsidR="00000745" w:rsidRPr="001B7CE8" w:rsidRDefault="00000745" w:rsidP="00410952">
      <w:pPr>
        <w:pStyle w:val="BoxHeading"/>
      </w:pPr>
      <w:r w:rsidRPr="001B7CE8">
        <w:t>Consultation questions</w:t>
      </w:r>
    </w:p>
    <w:p w:rsidR="00823DC8" w:rsidRDefault="00410952" w:rsidP="00410952">
      <w:pPr>
        <w:pStyle w:val="Box"/>
        <w:ind w:left="851" w:hanging="567"/>
      </w:pPr>
      <w:r>
        <w:t>59.</w:t>
      </w:r>
      <w:r>
        <w:tab/>
      </w:r>
      <w:r w:rsidR="00000745">
        <w:t>D</w:t>
      </w:r>
      <w:r w:rsidR="00000745" w:rsidRPr="009E2A1C">
        <w:t xml:space="preserve">o you think any </w:t>
      </w:r>
      <w:r w:rsidR="00000745">
        <w:t>other</w:t>
      </w:r>
      <w:r w:rsidR="00000745" w:rsidRPr="009E2A1C">
        <w:t xml:space="preserve"> material should be included in </w:t>
      </w:r>
      <w:r w:rsidR="00000745">
        <w:t xml:space="preserve">the </w:t>
      </w:r>
      <w:r w:rsidR="00000745" w:rsidRPr="009E2A1C">
        <w:t xml:space="preserve">definition of nuclear material under the </w:t>
      </w:r>
      <w:r w:rsidR="00000745">
        <w:t xml:space="preserve">Act, </w:t>
      </w:r>
      <w:r w:rsidR="00000745" w:rsidRPr="009E2A1C">
        <w:t xml:space="preserve">despite the </w:t>
      </w:r>
      <w:r w:rsidR="00000745">
        <w:t>International Atomic Energy Agency</w:t>
      </w:r>
      <w:r w:rsidR="00823DC8">
        <w:t>’</w:t>
      </w:r>
      <w:r w:rsidR="00000745">
        <w:t>s (</w:t>
      </w:r>
      <w:r w:rsidR="00000745" w:rsidRPr="009E2A1C">
        <w:t>IAEA</w:t>
      </w:r>
      <w:r w:rsidR="00823DC8">
        <w:t>’</w:t>
      </w:r>
      <w:r w:rsidR="00000745" w:rsidRPr="009E2A1C">
        <w:t>s</w:t>
      </w:r>
      <w:r w:rsidR="00000745">
        <w:t>) current position? Please provide a justification.</w:t>
      </w:r>
    </w:p>
    <w:p w:rsidR="00000745" w:rsidRDefault="00410952" w:rsidP="00410952">
      <w:pPr>
        <w:pStyle w:val="Box"/>
        <w:ind w:left="851" w:hanging="567"/>
      </w:pPr>
      <w:r>
        <w:t>60.</w:t>
      </w:r>
      <w:r>
        <w:tab/>
      </w:r>
      <w:r w:rsidR="00000745">
        <w:t>Do you have any further comments, suggestions or alternative options?</w:t>
      </w:r>
    </w:p>
    <w:p w:rsidR="00000745" w:rsidRPr="00410952" w:rsidRDefault="00000745" w:rsidP="00410952">
      <w:pPr>
        <w:pStyle w:val="Box"/>
      </w:pPr>
      <w:r>
        <w:t xml:space="preserve">Please use the </w:t>
      </w:r>
      <w:r w:rsidR="00F810AB">
        <w:t>submission form</w:t>
      </w:r>
      <w:r>
        <w:t xml:space="preserve"> to respond to these questions.</w:t>
      </w:r>
    </w:p>
    <w:p w:rsidR="00000745" w:rsidRPr="009E2A1C" w:rsidRDefault="00000745" w:rsidP="00410952"/>
    <w:p w:rsidR="00000745" w:rsidRPr="009E2A1C" w:rsidRDefault="00000745" w:rsidP="00000745">
      <w:pPr>
        <w:rPr>
          <w:szCs w:val="24"/>
        </w:rPr>
      </w:pPr>
      <w:r w:rsidRPr="009E2A1C">
        <w:rPr>
          <w:szCs w:val="24"/>
        </w:rPr>
        <w:br w:type="page"/>
      </w:r>
    </w:p>
    <w:p w:rsidR="00823DC8" w:rsidRDefault="00000745" w:rsidP="00410952">
      <w:pPr>
        <w:pStyle w:val="Heading1"/>
      </w:pPr>
      <w:bookmarkStart w:id="70" w:name="_Toc449001288"/>
      <w:bookmarkStart w:id="71" w:name="_Toc450059048"/>
      <w:r>
        <w:lastRenderedPageBreak/>
        <w:t>8</w:t>
      </w:r>
      <w:r>
        <w:tab/>
      </w:r>
      <w:r w:rsidRPr="009E2A1C">
        <w:t xml:space="preserve">Inspection, </w:t>
      </w:r>
      <w:r>
        <w:t>c</w:t>
      </w:r>
      <w:r w:rsidRPr="009E2A1C">
        <w:t xml:space="preserve">ompliance and </w:t>
      </w:r>
      <w:r>
        <w:t>e</w:t>
      </w:r>
      <w:r w:rsidRPr="009E2A1C">
        <w:t>nforcement</w:t>
      </w:r>
      <w:bookmarkEnd w:id="70"/>
      <w:bookmarkEnd w:id="71"/>
    </w:p>
    <w:p w:rsidR="00000745" w:rsidRPr="00EA6DAB" w:rsidRDefault="00000745" w:rsidP="00410952">
      <w:pPr>
        <w:pStyle w:val="Heading2"/>
      </w:pPr>
      <w:bookmarkStart w:id="72" w:name="_Toc449001289"/>
      <w:bookmarkStart w:id="73" w:name="_Toc450059049"/>
      <w:r>
        <w:t>(a)</w:t>
      </w:r>
      <w:r w:rsidR="00410952">
        <w:tab/>
      </w:r>
      <w:r w:rsidRPr="009E2A1C">
        <w:t>Record keeping</w:t>
      </w:r>
      <w:bookmarkEnd w:id="72"/>
      <w:bookmarkEnd w:id="73"/>
    </w:p>
    <w:p w:rsidR="00000745" w:rsidRPr="00FF7707" w:rsidRDefault="00000745" w:rsidP="00410952">
      <w:pPr>
        <w:pStyle w:val="Heading3"/>
      </w:pPr>
      <w:r w:rsidRPr="00FF7707">
        <w:t>Background</w:t>
      </w:r>
    </w:p>
    <w:p w:rsidR="00823DC8" w:rsidRDefault="00000745" w:rsidP="00410952">
      <w:r w:rsidRPr="00A20434">
        <w:t>Section 35 of the Act requires the keeping of records and sets out the information</w:t>
      </w:r>
      <w:r w:rsidRPr="009E2A1C">
        <w:t xml:space="preserve"> </w:t>
      </w:r>
      <w:r>
        <w:t xml:space="preserve">that </w:t>
      </w:r>
      <w:r w:rsidRPr="009E2A1C">
        <w:t>must be kept and made available for inspection.</w:t>
      </w:r>
      <w:r>
        <w:t xml:space="preserve"> Section 93(a</w:t>
      </w:r>
      <w:r w:rsidRPr="009E2A1C">
        <w:t xml:space="preserve">) allows for </w:t>
      </w:r>
      <w:r>
        <w:t>Regulations</w:t>
      </w:r>
      <w:r w:rsidRPr="009E2A1C">
        <w:t xml:space="preserve"> to set out further requirements for the keeping and inspection of records.</w:t>
      </w:r>
    </w:p>
    <w:p w:rsidR="00000745" w:rsidRDefault="00000745" w:rsidP="00410952"/>
    <w:p w:rsidR="00823DC8" w:rsidRDefault="00000745" w:rsidP="00410952">
      <w:pPr>
        <w:pStyle w:val="Heading3"/>
      </w:pPr>
      <w:r w:rsidRPr="00FF7707">
        <w:t>Preferred option</w:t>
      </w:r>
    </w:p>
    <w:p w:rsidR="00823DC8" w:rsidRPr="00410952" w:rsidRDefault="00000745" w:rsidP="00410952">
      <w:pPr>
        <w:rPr>
          <w:i/>
        </w:rPr>
      </w:pPr>
      <w:r w:rsidRPr="00410952">
        <w:rPr>
          <w:i/>
        </w:rPr>
        <w:t>All additional record-keeping requirements are specified for each area of radiation practice in codes of practice, to be issued under section 86 of the Act.</w:t>
      </w:r>
    </w:p>
    <w:p w:rsidR="00410952" w:rsidRDefault="00410952" w:rsidP="00410952"/>
    <w:p w:rsidR="00823DC8" w:rsidRDefault="00000745" w:rsidP="00410952">
      <w:r>
        <w:t>Codes of practice must specify how the fundamental requirements of the Act are to be met for each area of radiation practice. The record-keeping requirements should also be specified in codes of practice for ease of use.</w:t>
      </w:r>
    </w:p>
    <w:p w:rsidR="00000745" w:rsidRDefault="00000745" w:rsidP="00410952"/>
    <w:p w:rsidR="00000745" w:rsidRPr="00FF7707" w:rsidRDefault="00000745" w:rsidP="00410952">
      <w:pPr>
        <w:pStyle w:val="Heading3"/>
      </w:pPr>
      <w:r w:rsidRPr="00FF7707">
        <w:t>Alternative option</w:t>
      </w:r>
    </w:p>
    <w:p w:rsidR="00823DC8" w:rsidRPr="00410952" w:rsidRDefault="00000745" w:rsidP="00410952">
      <w:pPr>
        <w:rPr>
          <w:i/>
        </w:rPr>
      </w:pPr>
      <w:r w:rsidRPr="00410952">
        <w:rPr>
          <w:i/>
        </w:rPr>
        <w:t>Requirements for additional record keeping, by source type and use, are specified in Regulations.</w:t>
      </w:r>
    </w:p>
    <w:p w:rsidR="00410952" w:rsidRDefault="00410952" w:rsidP="00410952"/>
    <w:p w:rsidR="00823DC8" w:rsidRDefault="00000745" w:rsidP="00410952">
      <w:pPr>
        <w:rPr>
          <w:highlight w:val="cyan"/>
        </w:rPr>
      </w:pPr>
      <w:r w:rsidRPr="00004C01">
        <w:t xml:space="preserve">Under this option, users will have to refer to both Regulations and to the </w:t>
      </w:r>
      <w:r>
        <w:t>c</w:t>
      </w:r>
      <w:r w:rsidRPr="00004C01">
        <w:t xml:space="preserve">odes of </w:t>
      </w:r>
      <w:r>
        <w:t>p</w:t>
      </w:r>
      <w:r w:rsidRPr="00004C01">
        <w:t>ractice that apply to their particular area of radiation practice.</w:t>
      </w:r>
    </w:p>
    <w:p w:rsidR="00000745" w:rsidRDefault="00000745" w:rsidP="00410952"/>
    <w:p w:rsidR="00000745" w:rsidRPr="001B7CE8" w:rsidRDefault="00000745" w:rsidP="00410952">
      <w:pPr>
        <w:pStyle w:val="BoxHeading"/>
      </w:pPr>
      <w:r w:rsidRPr="001B7CE8">
        <w:t>Consultation questions</w:t>
      </w:r>
    </w:p>
    <w:p w:rsidR="00823DC8" w:rsidRDefault="00410952" w:rsidP="00410952">
      <w:pPr>
        <w:pStyle w:val="Box"/>
        <w:ind w:left="851" w:hanging="567"/>
      </w:pPr>
      <w:r>
        <w:t>61.</w:t>
      </w:r>
      <w:r>
        <w:tab/>
      </w:r>
      <w:r w:rsidR="00000745">
        <w:t>Do you agree that any record-keeping requirements in addition to those specified in section 35 of the Act should be specified in codes of practice for each area of radiation practice?</w:t>
      </w:r>
    </w:p>
    <w:p w:rsidR="00823DC8" w:rsidRDefault="00410952" w:rsidP="00410952">
      <w:pPr>
        <w:pStyle w:val="Box"/>
        <w:ind w:left="851" w:hanging="567"/>
      </w:pPr>
      <w:r>
        <w:t>62.</w:t>
      </w:r>
      <w:r>
        <w:tab/>
      </w:r>
      <w:r w:rsidR="00000745">
        <w:t>If you think any additional requirements for record keeping should be specified in Regulations rather than in codes of practice, please provide a justification.</w:t>
      </w:r>
    </w:p>
    <w:p w:rsidR="00000745" w:rsidRDefault="00410952" w:rsidP="00410952">
      <w:pPr>
        <w:pStyle w:val="Box"/>
        <w:ind w:left="851" w:hanging="567"/>
      </w:pPr>
      <w:r>
        <w:t>63.</w:t>
      </w:r>
      <w:r>
        <w:tab/>
      </w:r>
      <w:r w:rsidR="00000745">
        <w:t>Do you have any further comments, suggestions or alternative options?</w:t>
      </w:r>
    </w:p>
    <w:p w:rsidR="00000745" w:rsidRDefault="00000745" w:rsidP="00410952">
      <w:pPr>
        <w:pStyle w:val="Box"/>
      </w:pPr>
      <w:r>
        <w:t xml:space="preserve">Please use the </w:t>
      </w:r>
      <w:r w:rsidR="00F810AB">
        <w:t>submission form</w:t>
      </w:r>
      <w:r>
        <w:t xml:space="preserve"> to respond to these questions.</w:t>
      </w:r>
    </w:p>
    <w:p w:rsidR="00000745" w:rsidRPr="009E2A1C" w:rsidRDefault="00000745" w:rsidP="00410952"/>
    <w:p w:rsidR="00000745" w:rsidRPr="00033828" w:rsidRDefault="00000745" w:rsidP="00410952">
      <w:pPr>
        <w:pStyle w:val="Heading2"/>
      </w:pPr>
      <w:bookmarkStart w:id="74" w:name="_Toc449001290"/>
      <w:bookmarkStart w:id="75" w:name="_Toc450059050"/>
      <w:r>
        <w:lastRenderedPageBreak/>
        <w:t>(b)</w:t>
      </w:r>
      <w:r w:rsidR="00410952">
        <w:tab/>
      </w:r>
      <w:r w:rsidRPr="009E2A1C">
        <w:t>Warrants</w:t>
      </w:r>
      <w:r>
        <w:t xml:space="preserve"> of appointment</w:t>
      </w:r>
      <w:bookmarkEnd w:id="74"/>
      <w:bookmarkEnd w:id="75"/>
    </w:p>
    <w:p w:rsidR="00823DC8" w:rsidRDefault="00000745" w:rsidP="00410952">
      <w:pPr>
        <w:pStyle w:val="Heading3"/>
      </w:pPr>
      <w:r w:rsidRPr="00C2068C">
        <w:t>Background</w:t>
      </w:r>
    </w:p>
    <w:p w:rsidR="00823DC8" w:rsidRDefault="00000745" w:rsidP="00410952">
      <w:pPr>
        <w:keepLines/>
      </w:pPr>
      <w:r>
        <w:t>Section 36</w:t>
      </w:r>
      <w:r w:rsidRPr="009E2A1C">
        <w:t xml:space="preserve"> of the </w:t>
      </w:r>
      <w:r>
        <w:t>Act</w:t>
      </w:r>
      <w:r w:rsidRPr="009E2A1C">
        <w:t xml:space="preserve"> sets out the process for appointing </w:t>
      </w:r>
      <w:r w:rsidRPr="001B7CE8">
        <w:t>enforcement officers</w:t>
      </w:r>
      <w:r w:rsidRPr="009E2A1C">
        <w:t>.</w:t>
      </w:r>
      <w:r>
        <w:t xml:space="preserve"> </w:t>
      </w:r>
      <w:r w:rsidRPr="009E2A1C">
        <w:t xml:space="preserve">The </w:t>
      </w:r>
      <w:r>
        <w:t>section</w:t>
      </w:r>
      <w:r w:rsidRPr="009E2A1C">
        <w:t xml:space="preserve"> </w:t>
      </w:r>
      <w:r>
        <w:t xml:space="preserve">also </w:t>
      </w:r>
      <w:r w:rsidRPr="009E2A1C">
        <w:t xml:space="preserve">specifies that a </w:t>
      </w:r>
      <w:r w:rsidRPr="00F21FBF">
        <w:rPr>
          <w:b/>
        </w:rPr>
        <w:t>warrant of appointment</w:t>
      </w:r>
      <w:r w:rsidRPr="009E2A1C">
        <w:t xml:space="preserve"> must be issued</w:t>
      </w:r>
      <w:r>
        <w:t>, the functions, duties and powers of the holder</w:t>
      </w:r>
      <w:r w:rsidRPr="009E2A1C">
        <w:t xml:space="preserve"> </w:t>
      </w:r>
      <w:r>
        <w:t>must be specified, and a photograph and signature of the holder must be included. Section</w:t>
      </w:r>
      <w:r w:rsidRPr="009E2A1C">
        <w:t xml:space="preserve"> 9</w:t>
      </w:r>
      <w:r>
        <w:t xml:space="preserve">3(b) allows for Regulations </w:t>
      </w:r>
      <w:r w:rsidRPr="009E2A1C">
        <w:t xml:space="preserve">specifying </w:t>
      </w:r>
      <w:r>
        <w:t xml:space="preserve">further </w:t>
      </w:r>
      <w:r w:rsidRPr="009E2A1C">
        <w:t>details that must be included in such warrants.</w:t>
      </w:r>
    </w:p>
    <w:p w:rsidR="00000745" w:rsidRDefault="00000745" w:rsidP="00410952"/>
    <w:p w:rsidR="00823DC8" w:rsidRDefault="00000745" w:rsidP="00410952">
      <w:pPr>
        <w:pStyle w:val="Heading3"/>
      </w:pPr>
      <w:r w:rsidRPr="00C2068C">
        <w:t>Preferred option</w:t>
      </w:r>
    </w:p>
    <w:p w:rsidR="00000745" w:rsidRPr="00410952" w:rsidRDefault="00000745" w:rsidP="00410952">
      <w:pPr>
        <w:rPr>
          <w:i/>
        </w:rPr>
      </w:pPr>
      <w:r w:rsidRPr="00410952">
        <w:rPr>
          <w:i/>
        </w:rPr>
        <w:t>In addition to the information required under section 36, the warrant of appointment includes the:</w:t>
      </w:r>
    </w:p>
    <w:p w:rsidR="00823DC8" w:rsidRPr="00410952" w:rsidRDefault="00000745" w:rsidP="00410952">
      <w:pPr>
        <w:pStyle w:val="Bullet"/>
        <w:rPr>
          <w:i/>
        </w:rPr>
      </w:pPr>
      <w:r w:rsidRPr="00410952">
        <w:rPr>
          <w:i/>
        </w:rPr>
        <w:t>full name of the enforcement officer</w:t>
      </w:r>
    </w:p>
    <w:p w:rsidR="00823DC8" w:rsidRPr="00410952" w:rsidRDefault="00000745" w:rsidP="00410952">
      <w:pPr>
        <w:pStyle w:val="Bullet"/>
        <w:rPr>
          <w:i/>
        </w:rPr>
      </w:pPr>
      <w:r w:rsidRPr="00410952">
        <w:rPr>
          <w:i/>
        </w:rPr>
        <w:t>place of work of the enforcement officer (the warrant to expire if employment ceases)</w:t>
      </w:r>
    </w:p>
    <w:p w:rsidR="00823DC8" w:rsidRPr="00410952" w:rsidRDefault="00000745" w:rsidP="00410952">
      <w:pPr>
        <w:pStyle w:val="Bullet"/>
        <w:rPr>
          <w:i/>
        </w:rPr>
      </w:pPr>
      <w:r w:rsidRPr="00410952">
        <w:rPr>
          <w:i/>
        </w:rPr>
        <w:t>date of commencement of the warrant of appointment</w:t>
      </w:r>
    </w:p>
    <w:p w:rsidR="00823DC8" w:rsidRPr="00410952" w:rsidRDefault="00000745" w:rsidP="00410952">
      <w:pPr>
        <w:pStyle w:val="Bullet"/>
        <w:rPr>
          <w:i/>
        </w:rPr>
      </w:pPr>
      <w:r w:rsidRPr="00410952">
        <w:rPr>
          <w:i/>
        </w:rPr>
        <w:t>date of expiry of the warrant of appointment.</w:t>
      </w:r>
    </w:p>
    <w:p w:rsidR="00000745" w:rsidRDefault="00000745" w:rsidP="00410952"/>
    <w:p w:rsidR="00823DC8" w:rsidRDefault="00000745" w:rsidP="00410952">
      <w:pPr>
        <w:pStyle w:val="Heading3"/>
      </w:pPr>
      <w:r w:rsidRPr="00FB694B">
        <w:t>Alternative option</w:t>
      </w:r>
    </w:p>
    <w:p w:rsidR="00823DC8" w:rsidRDefault="00000745" w:rsidP="00410952">
      <w:r w:rsidRPr="000117A8">
        <w:t>The Ministry of Health has considered the requirements of section 36 and its preferred content for Regulations under section 93(b) and no alternative options have been developed.</w:t>
      </w:r>
    </w:p>
    <w:p w:rsidR="00000745" w:rsidRDefault="00000745" w:rsidP="00410952"/>
    <w:p w:rsidR="00000745" w:rsidRPr="001B7CE8" w:rsidRDefault="00000745" w:rsidP="00410952">
      <w:pPr>
        <w:pStyle w:val="BoxHeading"/>
      </w:pPr>
      <w:r w:rsidRPr="001B7CE8">
        <w:t>Consultation questions</w:t>
      </w:r>
    </w:p>
    <w:p w:rsidR="00000745" w:rsidRPr="00F75E69" w:rsidRDefault="00410952" w:rsidP="00410952">
      <w:pPr>
        <w:pStyle w:val="Box"/>
        <w:ind w:left="851" w:hanging="567"/>
      </w:pPr>
      <w:r>
        <w:t>64.</w:t>
      </w:r>
      <w:r>
        <w:tab/>
      </w:r>
      <w:r w:rsidR="00000745" w:rsidRPr="00F75E69">
        <w:t xml:space="preserve">Do you think there are any matters that should be included in warrants of appointment for enforcement officers in addition to those listed under </w:t>
      </w:r>
      <w:r w:rsidR="00000745" w:rsidRPr="00C33E3F">
        <w:t>discussion point 8(b)</w:t>
      </w:r>
      <w:r w:rsidR="00000745" w:rsidRPr="00F75E69">
        <w:t xml:space="preserve"> and those set out in section 36 of the Act?</w:t>
      </w:r>
    </w:p>
    <w:p w:rsidR="00000745" w:rsidRPr="00F75E69" w:rsidRDefault="00410952" w:rsidP="00410952">
      <w:pPr>
        <w:pStyle w:val="Box"/>
        <w:ind w:left="851" w:hanging="567"/>
      </w:pPr>
      <w:r>
        <w:t>65.</w:t>
      </w:r>
      <w:r>
        <w:tab/>
      </w:r>
      <w:r w:rsidR="00000745" w:rsidRPr="00F75E69">
        <w:t>Do you have any further comments, suggestions or alternative options?</w:t>
      </w:r>
    </w:p>
    <w:p w:rsidR="00000745" w:rsidRPr="00410952" w:rsidRDefault="00000745" w:rsidP="00410952">
      <w:pPr>
        <w:pStyle w:val="Box"/>
      </w:pPr>
      <w:r>
        <w:t xml:space="preserve">Please use the </w:t>
      </w:r>
      <w:r w:rsidR="00F810AB">
        <w:t>submission form</w:t>
      </w:r>
      <w:r>
        <w:t xml:space="preserve"> to respond to these questions.</w:t>
      </w:r>
    </w:p>
    <w:p w:rsidR="00000745" w:rsidRPr="009E2A1C" w:rsidRDefault="00000745" w:rsidP="00410952"/>
    <w:p w:rsidR="00000745" w:rsidRPr="00033828" w:rsidRDefault="00000745" w:rsidP="00410952">
      <w:pPr>
        <w:pStyle w:val="Heading2"/>
      </w:pPr>
      <w:bookmarkStart w:id="76" w:name="_Toc449001291"/>
      <w:bookmarkStart w:id="77" w:name="_Toc450059051"/>
      <w:r>
        <w:t>(c)</w:t>
      </w:r>
      <w:r w:rsidR="00410952">
        <w:tab/>
      </w:r>
      <w:r w:rsidRPr="009E2A1C">
        <w:t>Compliance orders</w:t>
      </w:r>
      <w:bookmarkEnd w:id="76"/>
      <w:bookmarkEnd w:id="77"/>
    </w:p>
    <w:p w:rsidR="0072286B" w:rsidRDefault="00000745" w:rsidP="002F1412">
      <w:r>
        <w:t>Section 44</w:t>
      </w:r>
      <w:r w:rsidRPr="009E2A1C">
        <w:t xml:space="preserve"> of the</w:t>
      </w:r>
      <w:r>
        <w:t xml:space="preserve"> Act</w:t>
      </w:r>
      <w:r w:rsidRPr="009E2A1C">
        <w:t xml:space="preserve"> allows for compliance orders to be issued for breaches of the provisions of the </w:t>
      </w:r>
      <w:r>
        <w:t>Act</w:t>
      </w:r>
      <w:r w:rsidRPr="009E2A1C">
        <w:t>.</w:t>
      </w:r>
      <w:r>
        <w:t xml:space="preserve"> Section 45</w:t>
      </w:r>
      <w:r w:rsidRPr="009E2A1C">
        <w:t xml:space="preserve"> specifies the form, content and method of serving compliance orders, including that compliance orders must be served in the manner prescribed in </w:t>
      </w:r>
      <w:r>
        <w:t>Regulations (section 45(2)). Section 93</w:t>
      </w:r>
      <w:r w:rsidRPr="009E2A1C">
        <w:t xml:space="preserve">(d) allows for </w:t>
      </w:r>
      <w:r>
        <w:t>Regulations</w:t>
      </w:r>
      <w:r w:rsidRPr="009E2A1C">
        <w:t xml:space="preserve"> to prescribe the content of </w:t>
      </w:r>
      <w:r>
        <w:t>compliance</w:t>
      </w:r>
      <w:r w:rsidR="0072286B">
        <w:t xml:space="preserve"> </w:t>
      </w:r>
      <w:r>
        <w:t>orders, and section 93</w:t>
      </w:r>
      <w:r w:rsidRPr="009E2A1C">
        <w:t xml:space="preserve">(e) </w:t>
      </w:r>
      <w:r>
        <w:t>requires compliance orders to be served in the manner prescribed in Regulations.</w:t>
      </w:r>
    </w:p>
    <w:p w:rsidR="00000745" w:rsidRPr="00696127" w:rsidRDefault="00000745" w:rsidP="00410952">
      <w:pPr>
        <w:pStyle w:val="Heading3"/>
      </w:pPr>
      <w:r w:rsidRPr="00696127">
        <w:t>Preferred option</w:t>
      </w:r>
    </w:p>
    <w:p w:rsidR="00823DC8" w:rsidRPr="00410952" w:rsidRDefault="00000745" w:rsidP="00410952">
      <w:pPr>
        <w:keepNext/>
        <w:rPr>
          <w:i/>
        </w:rPr>
      </w:pPr>
      <w:r w:rsidRPr="00410952">
        <w:rPr>
          <w:i/>
        </w:rPr>
        <w:t>Only the requirements of section 45 of the Act are used to specify the content of compliance orders at this time.</w:t>
      </w:r>
    </w:p>
    <w:p w:rsidR="00410952" w:rsidRDefault="00410952" w:rsidP="00410952">
      <w:pPr>
        <w:keepNext/>
      </w:pPr>
    </w:p>
    <w:p w:rsidR="00823DC8" w:rsidRDefault="00000745" w:rsidP="00410952">
      <w:pPr>
        <w:keepNext/>
      </w:pPr>
      <w:r>
        <w:t>Regulations will require compliance orders to be served in accordance with the court rules</w:t>
      </w:r>
      <w:r w:rsidR="0072286B">
        <w:t>:</w:t>
      </w:r>
      <w:r>
        <w:t xml:space="preserve"> </w:t>
      </w:r>
      <w:r w:rsidRPr="009E2A1C">
        <w:t xml:space="preserve">primarily, Part 6 – </w:t>
      </w:r>
      <w:r w:rsidRPr="009E2A1C">
        <w:rPr>
          <w:i/>
        </w:rPr>
        <w:t>Service</w:t>
      </w:r>
      <w:r w:rsidRPr="009E2A1C">
        <w:t xml:space="preserve"> (sections 6.1</w:t>
      </w:r>
      <w:r>
        <w:t>−</w:t>
      </w:r>
      <w:r w:rsidRPr="009E2A1C">
        <w:t>6.32) of the D</w:t>
      </w:r>
      <w:r>
        <w:t>istrict Court Rules 2014.</w:t>
      </w:r>
    </w:p>
    <w:p w:rsidR="0072286B" w:rsidRDefault="0072286B">
      <w:pPr>
        <w:spacing w:line="240" w:lineRule="auto"/>
      </w:pPr>
    </w:p>
    <w:p w:rsidR="00000745" w:rsidRDefault="00000745" w:rsidP="00410952"/>
    <w:p w:rsidR="00000745" w:rsidRPr="00696127" w:rsidRDefault="00000745" w:rsidP="00410952">
      <w:pPr>
        <w:pStyle w:val="Heading3"/>
      </w:pPr>
      <w:r w:rsidRPr="00696127">
        <w:lastRenderedPageBreak/>
        <w:t>Alternative option</w:t>
      </w:r>
    </w:p>
    <w:p w:rsidR="00823DC8" w:rsidRDefault="00000745" w:rsidP="00410952">
      <w:r w:rsidRPr="000117A8">
        <w:t xml:space="preserve">Additional requirements for the content of compliance orders and methods of serving compliance orders that vary from </w:t>
      </w:r>
      <w:r>
        <w:t>c</w:t>
      </w:r>
      <w:r w:rsidRPr="000117A8">
        <w:t>ourt rules are not considered necessary</w:t>
      </w:r>
      <w:r>
        <w:t>,</w:t>
      </w:r>
      <w:r w:rsidRPr="000117A8">
        <w:t xml:space="preserve"> and no alternative options have been developed.</w:t>
      </w:r>
    </w:p>
    <w:p w:rsidR="00000745" w:rsidRDefault="00000745" w:rsidP="00410952"/>
    <w:p w:rsidR="00000745" w:rsidRPr="001B7CE8" w:rsidRDefault="00000745" w:rsidP="00410952">
      <w:pPr>
        <w:pStyle w:val="BoxHeading"/>
      </w:pPr>
      <w:r w:rsidRPr="001B7CE8">
        <w:t>Consultation questions</w:t>
      </w:r>
    </w:p>
    <w:p w:rsidR="00000745" w:rsidRPr="009E2A1C" w:rsidRDefault="00410952" w:rsidP="00410952">
      <w:pPr>
        <w:pStyle w:val="Box"/>
        <w:ind w:left="851" w:hanging="567"/>
      </w:pPr>
      <w:r>
        <w:t>66.</w:t>
      </w:r>
      <w:r>
        <w:tab/>
      </w:r>
      <w:r w:rsidR="00000745">
        <w:t>D</w:t>
      </w:r>
      <w:r w:rsidR="00000745" w:rsidRPr="009E2A1C">
        <w:t xml:space="preserve">o you think there is information in addition to that </w:t>
      </w:r>
      <w:r w:rsidR="00000745">
        <w:t xml:space="preserve">already </w:t>
      </w:r>
      <w:r w:rsidR="00000745" w:rsidRPr="009E2A1C">
        <w:t xml:space="preserve">required by </w:t>
      </w:r>
      <w:r w:rsidR="00000745">
        <w:t>section 45</w:t>
      </w:r>
      <w:r w:rsidR="00000745" w:rsidRPr="009E2A1C">
        <w:t xml:space="preserve">(1) </w:t>
      </w:r>
      <w:r w:rsidR="00000745">
        <w:t xml:space="preserve">of the Act </w:t>
      </w:r>
      <w:r w:rsidR="00000745" w:rsidRPr="009E2A1C">
        <w:t>that should be included in a compliance order?</w:t>
      </w:r>
    </w:p>
    <w:p w:rsidR="00000745" w:rsidRDefault="00410952" w:rsidP="00410952">
      <w:pPr>
        <w:pStyle w:val="Box"/>
        <w:ind w:left="851" w:hanging="567"/>
      </w:pPr>
      <w:r>
        <w:t>67.</w:t>
      </w:r>
      <w:r>
        <w:tab/>
      </w:r>
      <w:r w:rsidR="00000745">
        <w:t>D</w:t>
      </w:r>
      <w:r w:rsidR="00000745" w:rsidRPr="009E2A1C">
        <w:t xml:space="preserve">o you agree that </w:t>
      </w:r>
      <w:r w:rsidR="00000745">
        <w:t xml:space="preserve">serving radiation safety </w:t>
      </w:r>
      <w:r w:rsidR="00000745" w:rsidRPr="009E2A1C">
        <w:t xml:space="preserve">compliance orders in accordance with </w:t>
      </w:r>
      <w:r w:rsidR="00000745">
        <w:t>c</w:t>
      </w:r>
      <w:r w:rsidR="00000745" w:rsidRPr="009E2A1C">
        <w:t xml:space="preserve">ourt rules, primarily in Part 6 – </w:t>
      </w:r>
      <w:r w:rsidR="00000745" w:rsidRPr="002D66EE">
        <w:rPr>
          <w:i/>
        </w:rPr>
        <w:t>Service</w:t>
      </w:r>
      <w:r w:rsidR="00000745" w:rsidRPr="009E2A1C">
        <w:t xml:space="preserve"> (6.1</w:t>
      </w:r>
      <w:r w:rsidR="00000745">
        <w:t>−</w:t>
      </w:r>
      <w:r w:rsidR="00000745" w:rsidRPr="009E2A1C">
        <w:t xml:space="preserve">6.32) of the District Court Rules 2014, </w:t>
      </w:r>
      <w:r w:rsidR="00000745">
        <w:t>is sufficient?</w:t>
      </w:r>
    </w:p>
    <w:p w:rsidR="00000745" w:rsidRPr="00626EB1" w:rsidRDefault="00410952" w:rsidP="00410952">
      <w:pPr>
        <w:pStyle w:val="Box"/>
        <w:ind w:left="851" w:hanging="567"/>
      </w:pPr>
      <w:r>
        <w:t>68.</w:t>
      </w:r>
      <w:r>
        <w:tab/>
      </w:r>
      <w:r w:rsidR="00000745">
        <w:t>Do you have any further comments, suggestions or alternative options?</w:t>
      </w:r>
    </w:p>
    <w:p w:rsidR="00000745" w:rsidRDefault="00000745" w:rsidP="00410952">
      <w:pPr>
        <w:pStyle w:val="Box"/>
      </w:pPr>
      <w:r>
        <w:t xml:space="preserve">Please use the </w:t>
      </w:r>
      <w:r w:rsidR="00F810AB">
        <w:t>submission form</w:t>
      </w:r>
      <w:r>
        <w:t xml:space="preserve"> to respond to these questions.</w:t>
      </w:r>
    </w:p>
    <w:p w:rsidR="00000745" w:rsidRPr="009E2A1C" w:rsidRDefault="00000745" w:rsidP="00410952"/>
    <w:p w:rsidR="00823DC8" w:rsidRDefault="00000745" w:rsidP="00410952">
      <w:pPr>
        <w:pStyle w:val="Heading2"/>
      </w:pPr>
      <w:bookmarkStart w:id="78" w:name="_Toc449001292"/>
      <w:bookmarkStart w:id="79" w:name="_Toc450059052"/>
      <w:r>
        <w:t>(d)</w:t>
      </w:r>
      <w:r w:rsidR="00410952">
        <w:tab/>
      </w:r>
      <w:r w:rsidRPr="009E2A1C">
        <w:t>Forms</w:t>
      </w:r>
      <w:bookmarkEnd w:id="78"/>
      <w:bookmarkEnd w:id="79"/>
    </w:p>
    <w:p w:rsidR="00823DC8" w:rsidRDefault="00000745" w:rsidP="00632DCF">
      <w:pPr>
        <w:pStyle w:val="Heading3"/>
      </w:pPr>
      <w:r w:rsidRPr="004A0ED7">
        <w:t>Background</w:t>
      </w:r>
    </w:p>
    <w:p w:rsidR="00823DC8" w:rsidRDefault="00000745" w:rsidP="00632DCF">
      <w:pPr>
        <w:keepNext/>
      </w:pPr>
      <w:r>
        <w:t>Section 93</w:t>
      </w:r>
      <w:r w:rsidRPr="009E2A1C">
        <w:t xml:space="preserve">(c) </w:t>
      </w:r>
      <w:r>
        <w:t xml:space="preserve">of the Act </w:t>
      </w:r>
      <w:r w:rsidRPr="009E2A1C">
        <w:t xml:space="preserve">allows for </w:t>
      </w:r>
      <w:r>
        <w:t>Regulations</w:t>
      </w:r>
      <w:r w:rsidRPr="009E2A1C">
        <w:t xml:space="preserve"> to prescribe the matters that must be included in any form required under the </w:t>
      </w:r>
      <w:r>
        <w:t>Act. This i</w:t>
      </w:r>
      <w:r w:rsidRPr="009E2A1C">
        <w:t>s a general provision</w:t>
      </w:r>
      <w:r>
        <w:t>,</w:t>
      </w:r>
      <w:r w:rsidRPr="009E2A1C">
        <w:t xml:space="preserve"> </w:t>
      </w:r>
      <w:r>
        <w:t>which</w:t>
      </w:r>
      <w:r w:rsidRPr="009E2A1C">
        <w:t xml:space="preserve"> applies in addition to more specific requirements for forms already discussed in this document</w:t>
      </w:r>
      <w:r w:rsidR="0072286B">
        <w:t>:</w:t>
      </w:r>
      <w:r w:rsidRPr="009E2A1C">
        <w:t xml:space="preserve"> for example, applications f</w:t>
      </w:r>
      <w:r>
        <w:t xml:space="preserve">or authorisations (section 14(b)) </w:t>
      </w:r>
      <w:r w:rsidRPr="009E2A1C">
        <w:t>and for registering controlled radiation sources (</w:t>
      </w:r>
      <w:r>
        <w:t>section</w:t>
      </w:r>
      <w:r w:rsidR="00410952">
        <w:t> </w:t>
      </w:r>
      <w:r>
        <w:t>31(c)(iv)</w:t>
      </w:r>
      <w:r w:rsidRPr="009E2A1C">
        <w:t>).</w:t>
      </w:r>
    </w:p>
    <w:p w:rsidR="00000745" w:rsidRPr="009E2A1C" w:rsidRDefault="00000745" w:rsidP="00632DCF">
      <w:pPr>
        <w:keepNext/>
      </w:pPr>
    </w:p>
    <w:p w:rsidR="00000745" w:rsidRDefault="00000745" w:rsidP="00632DCF">
      <w:pPr>
        <w:pStyle w:val="Heading3"/>
      </w:pPr>
      <w:r w:rsidRPr="00051746">
        <w:t>Preferred option</w:t>
      </w:r>
    </w:p>
    <w:p w:rsidR="00823DC8" w:rsidRDefault="00000745" w:rsidP="00632DCF">
      <w:pPr>
        <w:keepNext/>
      </w:pPr>
      <w:r>
        <w:t>No additional information is required to be included in</w:t>
      </w:r>
      <w:r w:rsidRPr="009E2A1C">
        <w:t xml:space="preserve"> forms for use under the </w:t>
      </w:r>
      <w:r>
        <w:t>Act</w:t>
      </w:r>
      <w:r w:rsidRPr="009E2A1C">
        <w:t xml:space="preserve"> at this time.</w:t>
      </w:r>
      <w:r>
        <w:t xml:space="preserve"> Therefore, no Regulations are proposed under section 93(c) in this consultation.</w:t>
      </w:r>
    </w:p>
    <w:p w:rsidR="00000745" w:rsidRDefault="00000745" w:rsidP="00632DCF">
      <w:pPr>
        <w:keepNext/>
      </w:pPr>
    </w:p>
    <w:p w:rsidR="00000745" w:rsidRPr="00051746" w:rsidRDefault="00000745" w:rsidP="00410952">
      <w:pPr>
        <w:pStyle w:val="Heading3"/>
      </w:pPr>
      <w:r w:rsidRPr="00051746">
        <w:t>Alternative option</w:t>
      </w:r>
    </w:p>
    <w:p w:rsidR="00823DC8" w:rsidRDefault="00000745" w:rsidP="00410952">
      <w:r w:rsidRPr="000117A8">
        <w:t>The Ministry of Health has not developed an alternative option.</w:t>
      </w:r>
    </w:p>
    <w:p w:rsidR="00000745" w:rsidRDefault="00000745" w:rsidP="00410952"/>
    <w:p w:rsidR="00000745" w:rsidRPr="001B7CE8" w:rsidRDefault="00000745" w:rsidP="00410952">
      <w:pPr>
        <w:pStyle w:val="BoxHeading"/>
        <w:keepNext/>
      </w:pPr>
      <w:r w:rsidRPr="001B7CE8">
        <w:t>Consultation questions</w:t>
      </w:r>
    </w:p>
    <w:p w:rsidR="00823DC8" w:rsidRDefault="005F5C2D" w:rsidP="00410952">
      <w:pPr>
        <w:pStyle w:val="Box"/>
        <w:keepNext/>
        <w:ind w:left="851" w:hanging="567"/>
      </w:pPr>
      <w:r>
        <w:t>69</w:t>
      </w:r>
      <w:r w:rsidR="00410952">
        <w:t>.</w:t>
      </w:r>
      <w:r w:rsidR="00410952">
        <w:tab/>
      </w:r>
      <w:r w:rsidR="00000745">
        <w:t>Do you think there is</w:t>
      </w:r>
      <w:r w:rsidR="00000745" w:rsidRPr="009E2A1C">
        <w:t xml:space="preserve"> further </w:t>
      </w:r>
      <w:r w:rsidR="00000745">
        <w:t>information to be included in any forms required</w:t>
      </w:r>
      <w:r w:rsidR="00000745" w:rsidRPr="009E2A1C">
        <w:t xml:space="preserve"> </w:t>
      </w:r>
      <w:r w:rsidR="00000745">
        <w:t>by the Act that could be</w:t>
      </w:r>
      <w:r w:rsidR="00000745" w:rsidRPr="009E2A1C">
        <w:t xml:space="preserve"> prescribed in </w:t>
      </w:r>
      <w:r w:rsidR="00000745">
        <w:t>Regulations</w:t>
      </w:r>
      <w:r w:rsidR="00000745" w:rsidRPr="009E2A1C">
        <w:t>?</w:t>
      </w:r>
    </w:p>
    <w:p w:rsidR="00000745" w:rsidRPr="009E2A1C" w:rsidRDefault="00410952" w:rsidP="00410952">
      <w:pPr>
        <w:pStyle w:val="Box"/>
        <w:keepNext/>
        <w:ind w:left="851" w:hanging="567"/>
      </w:pPr>
      <w:r>
        <w:t>7</w:t>
      </w:r>
      <w:r w:rsidR="005F5C2D">
        <w:t>0</w:t>
      </w:r>
      <w:r>
        <w:t>.</w:t>
      </w:r>
      <w:r>
        <w:tab/>
      </w:r>
      <w:r w:rsidR="00000745">
        <w:t>Do you have any further comments, suggestions or alternative options?</w:t>
      </w:r>
    </w:p>
    <w:p w:rsidR="00000745" w:rsidRPr="00410952" w:rsidRDefault="00000745" w:rsidP="00410952">
      <w:pPr>
        <w:pStyle w:val="Box"/>
      </w:pPr>
      <w:r>
        <w:t xml:space="preserve">Please use the </w:t>
      </w:r>
      <w:r w:rsidR="00F810AB">
        <w:t>submission form</w:t>
      </w:r>
      <w:r>
        <w:t xml:space="preserve"> to respond to these questions.</w:t>
      </w:r>
    </w:p>
    <w:p w:rsidR="00410952" w:rsidRDefault="00410952" w:rsidP="00410952"/>
    <w:p w:rsidR="005F5C2D" w:rsidRDefault="005F5C2D" w:rsidP="005F5C2D">
      <w:bookmarkStart w:id="80" w:name="_Toc449001293"/>
      <w:r>
        <w:br w:type="page"/>
      </w:r>
    </w:p>
    <w:p w:rsidR="00000745" w:rsidRPr="009E2A1C" w:rsidRDefault="00000745" w:rsidP="005F5C2D">
      <w:pPr>
        <w:pStyle w:val="Heading1"/>
      </w:pPr>
      <w:bookmarkStart w:id="81" w:name="_Toc450059053"/>
      <w:r>
        <w:lastRenderedPageBreak/>
        <w:t>9</w:t>
      </w:r>
      <w:r>
        <w:tab/>
      </w:r>
      <w:r w:rsidRPr="009E2A1C">
        <w:t>Radiation Safety Advisory Council</w:t>
      </w:r>
      <w:bookmarkEnd w:id="80"/>
      <w:bookmarkEnd w:id="81"/>
    </w:p>
    <w:p w:rsidR="00823DC8" w:rsidRDefault="00000745" w:rsidP="005F5C2D">
      <w:pPr>
        <w:pStyle w:val="Heading3"/>
      </w:pPr>
      <w:r w:rsidRPr="004A0ED7">
        <w:t>Background</w:t>
      </w:r>
    </w:p>
    <w:p w:rsidR="00823DC8" w:rsidRDefault="00000745" w:rsidP="005F5C2D">
      <w:r>
        <w:t>Section 80</w:t>
      </w:r>
      <w:r w:rsidRPr="009E2A1C">
        <w:t xml:space="preserve"> of the </w:t>
      </w:r>
      <w:r>
        <w:t>Act</w:t>
      </w:r>
      <w:r w:rsidRPr="009E2A1C">
        <w:t xml:space="preserve"> establishes the </w:t>
      </w:r>
      <w:r w:rsidRPr="00F21FBF">
        <w:t>Radiation Safety Advisory Council</w:t>
      </w:r>
      <w:r w:rsidRPr="009E2A1C">
        <w:t xml:space="preserve"> (the Council)</w:t>
      </w:r>
      <w:r>
        <w:t>,</w:t>
      </w:r>
      <w:r w:rsidRPr="009E2A1C">
        <w:t xml:space="preserve"> and </w:t>
      </w:r>
      <w:r>
        <w:t>section 81</w:t>
      </w:r>
      <w:r w:rsidRPr="009E2A1C">
        <w:t xml:space="preserve"> sets out its functions.</w:t>
      </w:r>
      <w:r>
        <w:t xml:space="preserve"> </w:t>
      </w:r>
      <w:r w:rsidRPr="00E829D9">
        <w:t>Schedule 4 of the Act sets out rules for the Council.</w:t>
      </w:r>
      <w:r>
        <w:t xml:space="preserve"> The Council will also be subject to Cabinet appointment processes, government financial and conduct requirements, and the internal policies of the department that provides the secretariat support for the Council. Subject to these rules, t</w:t>
      </w:r>
      <w:r w:rsidRPr="009E2A1C">
        <w:t xml:space="preserve">he Council may regulate its </w:t>
      </w:r>
      <w:r>
        <w:t xml:space="preserve">own </w:t>
      </w:r>
      <w:r w:rsidRPr="009E2A1C">
        <w:t>procedu</w:t>
      </w:r>
      <w:r>
        <w:t xml:space="preserve">res in any manner it </w:t>
      </w:r>
      <w:r w:rsidR="0072286B">
        <w:t xml:space="preserve">sees </w:t>
      </w:r>
      <w:r>
        <w:t>fit.</w:t>
      </w:r>
    </w:p>
    <w:p w:rsidR="00000745" w:rsidRDefault="00000745" w:rsidP="005F5C2D"/>
    <w:p w:rsidR="00823DC8" w:rsidRDefault="00000745" w:rsidP="005F5C2D">
      <w:r>
        <w:t>Section</w:t>
      </w:r>
      <w:r w:rsidRPr="009E2A1C">
        <w:t xml:space="preserve"> </w:t>
      </w:r>
      <w:r>
        <w:t>93</w:t>
      </w:r>
      <w:r w:rsidRPr="009E2A1C">
        <w:t xml:space="preserve">(f) allows for </w:t>
      </w:r>
      <w:r>
        <w:t>Regulations</w:t>
      </w:r>
      <w:r w:rsidRPr="009E2A1C">
        <w:t xml:space="preserve"> to be made on </w:t>
      </w:r>
      <w:r>
        <w:t xml:space="preserve">the </w:t>
      </w:r>
      <w:r w:rsidRPr="009E2A1C">
        <w:t>procedures of the Council.</w:t>
      </w:r>
    </w:p>
    <w:p w:rsidR="00000745" w:rsidRDefault="00000745" w:rsidP="005F5C2D"/>
    <w:p w:rsidR="00823DC8" w:rsidRDefault="00000745" w:rsidP="005F5C2D">
      <w:pPr>
        <w:pStyle w:val="Heading3"/>
      </w:pPr>
      <w:r w:rsidRPr="00675991">
        <w:t>Preferred option</w:t>
      </w:r>
    </w:p>
    <w:p w:rsidR="00823DC8" w:rsidRDefault="00000745" w:rsidP="005F5C2D">
      <w:r>
        <w:t>No Regulations prescribing further procedures for the Council are proposed at this time.</w:t>
      </w:r>
    </w:p>
    <w:p w:rsidR="00000745" w:rsidRDefault="00000745" w:rsidP="005F5C2D"/>
    <w:p w:rsidR="00823DC8" w:rsidRDefault="00000745" w:rsidP="005F5C2D">
      <w:pPr>
        <w:pStyle w:val="Heading3"/>
      </w:pPr>
      <w:r w:rsidRPr="00675991">
        <w:t>Alternative option</w:t>
      </w:r>
    </w:p>
    <w:p w:rsidR="00823DC8" w:rsidRDefault="00000745" w:rsidP="005F5C2D">
      <w:r w:rsidRPr="00E829D9">
        <w:t>The Ministry of Health has not developed any alternative options.</w:t>
      </w:r>
    </w:p>
    <w:p w:rsidR="00000745" w:rsidRDefault="00000745" w:rsidP="005F5C2D"/>
    <w:p w:rsidR="00000745" w:rsidRPr="00702101" w:rsidRDefault="00000745" w:rsidP="005F5C2D">
      <w:pPr>
        <w:pStyle w:val="BoxHeading"/>
      </w:pPr>
      <w:r w:rsidRPr="00702101">
        <w:t>Consultation questions</w:t>
      </w:r>
    </w:p>
    <w:p w:rsidR="00000745" w:rsidRDefault="005F5C2D" w:rsidP="005F5C2D">
      <w:pPr>
        <w:pStyle w:val="Box"/>
        <w:ind w:left="851" w:hanging="567"/>
      </w:pPr>
      <w:r>
        <w:t>71.</w:t>
      </w:r>
      <w:r>
        <w:tab/>
      </w:r>
      <w:r w:rsidR="00000745">
        <w:t xml:space="preserve">Do you think there are </w:t>
      </w:r>
      <w:r w:rsidR="00000745" w:rsidRPr="009E2A1C">
        <w:t xml:space="preserve">any </w:t>
      </w:r>
      <w:r w:rsidR="00000745">
        <w:t xml:space="preserve">additional </w:t>
      </w:r>
      <w:r w:rsidR="00000745" w:rsidRPr="009E2A1C">
        <w:t xml:space="preserve">Radiation Safety Advisory Council procedures that </w:t>
      </w:r>
      <w:r w:rsidR="00000745">
        <w:t>should</w:t>
      </w:r>
      <w:r w:rsidR="00000745" w:rsidRPr="009E2A1C">
        <w:t xml:space="preserve"> be set out in </w:t>
      </w:r>
      <w:r w:rsidR="00000745">
        <w:t>Regulations in time for the Act to come into force on 7</w:t>
      </w:r>
      <w:r>
        <w:t> </w:t>
      </w:r>
      <w:r w:rsidR="00000745">
        <w:t>March 2017</w:t>
      </w:r>
      <w:r w:rsidR="00000745" w:rsidRPr="009E2A1C">
        <w:t>?</w:t>
      </w:r>
    </w:p>
    <w:p w:rsidR="00000745" w:rsidRPr="009E2A1C" w:rsidRDefault="005F5C2D" w:rsidP="005F5C2D">
      <w:pPr>
        <w:pStyle w:val="Box"/>
        <w:ind w:left="851" w:hanging="567"/>
      </w:pPr>
      <w:r>
        <w:t>72.</w:t>
      </w:r>
      <w:r>
        <w:tab/>
      </w:r>
      <w:r w:rsidR="00000745">
        <w:t>Do you have any further comments, suggestions or alternative options?</w:t>
      </w:r>
    </w:p>
    <w:p w:rsidR="00000745" w:rsidRDefault="00000745" w:rsidP="005F5C2D">
      <w:pPr>
        <w:pStyle w:val="Box"/>
      </w:pPr>
      <w:r>
        <w:t xml:space="preserve">Please use the </w:t>
      </w:r>
      <w:r w:rsidR="00F810AB">
        <w:t>submission form</w:t>
      </w:r>
      <w:r>
        <w:t xml:space="preserve"> to respond to these questions.</w:t>
      </w:r>
    </w:p>
    <w:p w:rsidR="005F5C2D" w:rsidRPr="005F5C2D" w:rsidRDefault="005F5C2D" w:rsidP="005F5C2D"/>
    <w:p w:rsidR="005F5C2D" w:rsidRDefault="005F5C2D" w:rsidP="005F5C2D">
      <w:bookmarkStart w:id="82" w:name="_Toc449001294"/>
      <w:r>
        <w:br w:type="page"/>
      </w:r>
    </w:p>
    <w:p w:rsidR="00000745" w:rsidRPr="009E2A1C" w:rsidRDefault="00000745" w:rsidP="005F5C2D">
      <w:pPr>
        <w:pStyle w:val="Heading1"/>
      </w:pPr>
      <w:bookmarkStart w:id="83" w:name="_Toc450059054"/>
      <w:r>
        <w:lastRenderedPageBreak/>
        <w:t>10</w:t>
      </w:r>
      <w:r>
        <w:tab/>
      </w:r>
      <w:r w:rsidRPr="009E2A1C">
        <w:t>Other matters</w:t>
      </w:r>
      <w:r>
        <w:t xml:space="preserve"> to give full effect to the Act or its administration</w:t>
      </w:r>
      <w:bookmarkEnd w:id="82"/>
      <w:bookmarkEnd w:id="83"/>
    </w:p>
    <w:p w:rsidR="00000745" w:rsidRPr="000E45ED" w:rsidRDefault="00000745" w:rsidP="005F5C2D">
      <w:pPr>
        <w:pStyle w:val="Heading3"/>
      </w:pPr>
      <w:r w:rsidRPr="000E45ED">
        <w:t>Background</w:t>
      </w:r>
    </w:p>
    <w:p w:rsidR="00823DC8" w:rsidRDefault="00000745" w:rsidP="005F5C2D">
      <w:r>
        <w:t>Section 93</w:t>
      </w:r>
      <w:r w:rsidRPr="0049278D">
        <w:t>(g)</w:t>
      </w:r>
      <w:r w:rsidRPr="009E2A1C">
        <w:t xml:space="preserve"> of the </w:t>
      </w:r>
      <w:r>
        <w:t>Act allows for Regulations</w:t>
      </w:r>
      <w:r w:rsidRPr="009E2A1C">
        <w:t xml:space="preserve"> </w:t>
      </w:r>
      <w:r>
        <w:t>to be made on</w:t>
      </w:r>
      <w:r w:rsidRPr="009E2A1C">
        <w:t xml:space="preserve"> any other matter contemplated by or necessar</w:t>
      </w:r>
      <w:r>
        <w:t>y for giving full effect to the</w:t>
      </w:r>
      <w:r w:rsidRPr="009E2A1C">
        <w:t xml:space="preserve"> Act and for its due administration.</w:t>
      </w:r>
    </w:p>
    <w:p w:rsidR="00000745" w:rsidRDefault="00000745" w:rsidP="005F5C2D"/>
    <w:p w:rsidR="00823DC8" w:rsidRDefault="00000745" w:rsidP="005F5C2D">
      <w:pPr>
        <w:pStyle w:val="Heading3"/>
      </w:pPr>
      <w:r w:rsidRPr="000E45ED">
        <w:t>Preferred option</w:t>
      </w:r>
    </w:p>
    <w:p w:rsidR="00823DC8" w:rsidRDefault="00000745" w:rsidP="005F5C2D">
      <w:r>
        <w:t>No Regulations prescribing other matters necessary to give full effect to the Act and its due administration are proposed at this time.</w:t>
      </w:r>
    </w:p>
    <w:p w:rsidR="00000745" w:rsidRDefault="00000745" w:rsidP="005F5C2D"/>
    <w:p w:rsidR="00823DC8" w:rsidRDefault="00000745" w:rsidP="005F5C2D">
      <w:pPr>
        <w:pStyle w:val="Heading3"/>
      </w:pPr>
      <w:r w:rsidRPr="000E45ED">
        <w:t>Alternative option</w:t>
      </w:r>
    </w:p>
    <w:p w:rsidR="00000745" w:rsidRPr="005F5C2D" w:rsidRDefault="00000745" w:rsidP="005F5C2D">
      <w:r w:rsidRPr="00E829D9">
        <w:t>The Ministry of Health has not developed any alternative options.</w:t>
      </w:r>
    </w:p>
    <w:p w:rsidR="00000745" w:rsidRDefault="00000745" w:rsidP="005F5C2D"/>
    <w:p w:rsidR="00000745" w:rsidRPr="001B7CE8" w:rsidRDefault="00000745" w:rsidP="005F5C2D">
      <w:pPr>
        <w:pStyle w:val="BoxHeading"/>
      </w:pPr>
      <w:r w:rsidRPr="001B7CE8">
        <w:t>Consultation questions</w:t>
      </w:r>
    </w:p>
    <w:p w:rsidR="00000745" w:rsidRDefault="005F5C2D" w:rsidP="005F5C2D">
      <w:pPr>
        <w:pStyle w:val="Box"/>
        <w:ind w:left="851" w:hanging="567"/>
      </w:pPr>
      <w:r>
        <w:t>73.</w:t>
      </w:r>
      <w:r>
        <w:tab/>
      </w:r>
      <w:r w:rsidR="00000745">
        <w:t xml:space="preserve">Do you </w:t>
      </w:r>
      <w:r w:rsidR="00000745" w:rsidRPr="009E2A1C">
        <w:t xml:space="preserve">think </w:t>
      </w:r>
      <w:r w:rsidR="00000745">
        <w:t xml:space="preserve">there are </w:t>
      </w:r>
      <w:r w:rsidR="00000745" w:rsidRPr="009E2A1C">
        <w:t>other matt</w:t>
      </w:r>
      <w:r w:rsidR="00000745">
        <w:t>ers that should be included in the Regulations</w:t>
      </w:r>
      <w:r w:rsidR="00000745" w:rsidRPr="009E2A1C">
        <w:t xml:space="preserve"> that cannot easily be included in </w:t>
      </w:r>
      <w:r w:rsidR="00000745">
        <w:t xml:space="preserve">other Regulations </w:t>
      </w:r>
      <w:r w:rsidR="00000745" w:rsidRPr="009E2A1C">
        <w:t xml:space="preserve">discussed in this </w:t>
      </w:r>
      <w:r w:rsidR="00000745">
        <w:t>consultation</w:t>
      </w:r>
      <w:r w:rsidR="00000745" w:rsidRPr="009E2A1C">
        <w:t>?</w:t>
      </w:r>
    </w:p>
    <w:p w:rsidR="00000745" w:rsidRPr="009E2A1C" w:rsidRDefault="005F5C2D" w:rsidP="005F5C2D">
      <w:pPr>
        <w:pStyle w:val="Box"/>
        <w:ind w:left="851" w:hanging="567"/>
      </w:pPr>
      <w:r>
        <w:t>74.</w:t>
      </w:r>
      <w:r>
        <w:tab/>
      </w:r>
      <w:r w:rsidR="00000745">
        <w:t>Do you have any further comments, suggestions or alternative options?</w:t>
      </w:r>
    </w:p>
    <w:p w:rsidR="00000745" w:rsidRDefault="00000745" w:rsidP="005F5C2D">
      <w:pPr>
        <w:pStyle w:val="Box"/>
      </w:pPr>
      <w:r>
        <w:t xml:space="preserve">Please use the </w:t>
      </w:r>
      <w:r w:rsidR="00F810AB">
        <w:t>submission form</w:t>
      </w:r>
      <w:r>
        <w:t xml:space="preserve"> to respond to these questions.</w:t>
      </w:r>
    </w:p>
    <w:p w:rsidR="00000745" w:rsidRDefault="00000745" w:rsidP="005F5C2D"/>
    <w:p w:rsidR="00E2577A" w:rsidRDefault="00E2577A" w:rsidP="00E2577A">
      <w:bookmarkStart w:id="84" w:name="_Toc449001295"/>
      <w:r>
        <w:br w:type="page"/>
      </w:r>
    </w:p>
    <w:p w:rsidR="00000745" w:rsidRPr="001B7CE8" w:rsidRDefault="00000745" w:rsidP="00E2577A">
      <w:pPr>
        <w:pStyle w:val="Heading1"/>
        <w:ind w:left="0" w:firstLine="0"/>
      </w:pPr>
      <w:bookmarkStart w:id="85" w:name="_Toc450059055"/>
      <w:r w:rsidRPr="001B7CE8">
        <w:lastRenderedPageBreak/>
        <w:t xml:space="preserve">Index of </w:t>
      </w:r>
      <w:r>
        <w:t>r</w:t>
      </w:r>
      <w:r w:rsidRPr="001B7CE8">
        <w:t>egulation</w:t>
      </w:r>
      <w:r>
        <w:t>-</w:t>
      </w:r>
      <w:r w:rsidRPr="001B7CE8">
        <w:t>making provisions in the Act and the discussion points in this consultation document</w:t>
      </w:r>
      <w:bookmarkEnd w:id="84"/>
      <w:bookmarkEnd w:id="8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696"/>
        <w:gridCol w:w="1990"/>
        <w:gridCol w:w="5670"/>
      </w:tblGrid>
      <w:tr w:rsidR="00000745" w:rsidRPr="00E2577A" w:rsidTr="00E2577A">
        <w:trPr>
          <w:cantSplit/>
          <w:tblHeader/>
        </w:trPr>
        <w:tc>
          <w:tcPr>
            <w:tcW w:w="1696" w:type="dxa"/>
            <w:tcBorders>
              <w:top w:val="single" w:sz="4" w:space="0" w:color="auto"/>
              <w:bottom w:val="single" w:sz="4" w:space="0" w:color="auto"/>
            </w:tcBorders>
            <w:shd w:val="clear" w:color="auto" w:fill="auto"/>
            <w:noWrap/>
            <w:hideMark/>
          </w:tcPr>
          <w:p w:rsidR="00000745" w:rsidRPr="00E2577A" w:rsidRDefault="00000745" w:rsidP="00E2577A">
            <w:pPr>
              <w:pStyle w:val="TableText"/>
              <w:rPr>
                <w:b/>
                <w:lang w:eastAsia="en-NZ"/>
              </w:rPr>
            </w:pPr>
            <w:r w:rsidRPr="00E2577A">
              <w:rPr>
                <w:b/>
                <w:lang w:eastAsia="en-NZ"/>
              </w:rPr>
              <w:t>Section of Act</w:t>
            </w:r>
          </w:p>
        </w:tc>
        <w:tc>
          <w:tcPr>
            <w:tcW w:w="1990" w:type="dxa"/>
            <w:tcBorders>
              <w:top w:val="single" w:sz="4" w:space="0" w:color="auto"/>
              <w:bottom w:val="single" w:sz="4" w:space="0" w:color="auto"/>
            </w:tcBorders>
            <w:shd w:val="clear" w:color="auto" w:fill="auto"/>
            <w:noWrap/>
            <w:hideMark/>
          </w:tcPr>
          <w:p w:rsidR="00000745" w:rsidRPr="00E2577A" w:rsidRDefault="00000745" w:rsidP="00E2577A">
            <w:pPr>
              <w:pStyle w:val="TableText"/>
              <w:rPr>
                <w:b/>
                <w:lang w:eastAsia="en-NZ"/>
              </w:rPr>
            </w:pPr>
            <w:r w:rsidRPr="00E2577A">
              <w:rPr>
                <w:b/>
                <w:lang w:eastAsia="en-NZ"/>
              </w:rPr>
              <w:t>Discussion point in</w:t>
            </w:r>
            <w:r w:rsidR="00E2577A">
              <w:rPr>
                <w:b/>
                <w:lang w:eastAsia="en-NZ"/>
              </w:rPr>
              <w:t> </w:t>
            </w:r>
            <w:r w:rsidRPr="00E2577A">
              <w:rPr>
                <w:b/>
                <w:lang w:eastAsia="en-NZ"/>
              </w:rPr>
              <w:t>consultation document</w:t>
            </w:r>
          </w:p>
        </w:tc>
        <w:tc>
          <w:tcPr>
            <w:tcW w:w="5670" w:type="dxa"/>
            <w:tcBorders>
              <w:top w:val="single" w:sz="4" w:space="0" w:color="auto"/>
              <w:bottom w:val="single" w:sz="4" w:space="0" w:color="auto"/>
            </w:tcBorders>
            <w:shd w:val="clear" w:color="auto" w:fill="auto"/>
            <w:noWrap/>
            <w:hideMark/>
          </w:tcPr>
          <w:p w:rsidR="00000745" w:rsidRPr="00E2577A" w:rsidRDefault="00000745" w:rsidP="00E2577A">
            <w:pPr>
              <w:pStyle w:val="TableText"/>
              <w:rPr>
                <w:b/>
                <w:lang w:eastAsia="en-NZ"/>
              </w:rPr>
            </w:pPr>
            <w:r w:rsidRPr="00E2577A">
              <w:rPr>
                <w:b/>
                <w:lang w:eastAsia="en-NZ"/>
              </w:rPr>
              <w:t>Summary of proposal</w:t>
            </w:r>
          </w:p>
        </w:tc>
      </w:tr>
      <w:tr w:rsidR="00E2577A" w:rsidRPr="00D51A64" w:rsidTr="004B0395">
        <w:trPr>
          <w:cantSplit/>
        </w:trPr>
        <w:tc>
          <w:tcPr>
            <w:tcW w:w="9356" w:type="dxa"/>
            <w:gridSpan w:val="3"/>
            <w:tcBorders>
              <w:top w:val="single" w:sz="4" w:space="0" w:color="auto"/>
              <w:bottom w:val="single" w:sz="4" w:space="0" w:color="A6A6A6" w:themeColor="background1" w:themeShade="A6"/>
            </w:tcBorders>
            <w:shd w:val="clear" w:color="auto" w:fill="auto"/>
            <w:noWrap/>
            <w:hideMark/>
          </w:tcPr>
          <w:p w:rsidR="00E2577A" w:rsidRPr="00D51A64" w:rsidRDefault="00E2577A" w:rsidP="00E2577A">
            <w:pPr>
              <w:pStyle w:val="TableText"/>
              <w:rPr>
                <w:lang w:eastAsia="en-NZ"/>
              </w:rPr>
            </w:pPr>
            <w:r w:rsidRPr="00E2577A">
              <w:rPr>
                <w:b/>
                <w:lang w:eastAsia="en-NZ"/>
              </w:rPr>
              <w:t>Regulations</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91(1)(a)(i)</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r w:rsidRPr="00D51A64">
              <w:rPr>
                <w:lang w:eastAsia="en-NZ"/>
              </w:rPr>
              <w:t>e</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no exemptions apply</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91(1)(a)(ii)</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r w:rsidRPr="00D51A64">
              <w:rPr>
                <w:lang w:eastAsia="en-NZ"/>
              </w:rPr>
              <w:t>a</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91(1)(a)(iii)(A)</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r w:rsidRPr="00D51A64">
              <w:rPr>
                <w:lang w:eastAsia="en-NZ"/>
              </w:rPr>
              <w:t>b and Table 9</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91(1)(a)(iii)(B)</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r w:rsidRPr="00D51A64">
              <w:rPr>
                <w:lang w:eastAsia="en-NZ"/>
              </w:rPr>
              <w:t>b and Table 9</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91(1)(a)(iv)</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r w:rsidRPr="00D51A64">
              <w:rPr>
                <w:lang w:eastAsia="en-NZ"/>
              </w:rPr>
              <w:t>c</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no exemptions apply</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91(1)(b)</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 as part of s91(1)(a)</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91(1)(c)</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7</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only s5(1) definition applies</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91(1)(d)</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4</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91(1)(e)</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1</w:t>
            </w:r>
            <w:r w:rsidRPr="00D51A64">
              <w:rPr>
                <w:lang w:eastAsia="en-NZ"/>
              </w:rPr>
              <w:t>d</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91(1)(f)</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4</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91(1)(g)(i)</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1</w:t>
            </w:r>
            <w:r w:rsidRPr="00D51A64">
              <w:rPr>
                <w:lang w:eastAsia="en-NZ"/>
              </w:rPr>
              <w:t>a</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only s</w:t>
            </w:r>
            <w:r>
              <w:rPr>
                <w:lang w:eastAsia="en-NZ"/>
              </w:rPr>
              <w:t>s</w:t>
            </w:r>
            <w:r w:rsidRPr="00D51A64">
              <w:rPr>
                <w:lang w:eastAsia="en-NZ"/>
              </w:rPr>
              <w:t>13</w:t>
            </w:r>
            <w:r>
              <w:rPr>
                <w:lang w:eastAsia="en-NZ"/>
              </w:rPr>
              <w:t>−</w:t>
            </w:r>
            <w:r w:rsidRPr="00D51A64">
              <w:rPr>
                <w:lang w:eastAsia="en-NZ"/>
              </w:rPr>
              <w:t>29 and Director</w:t>
            </w:r>
            <w:r w:rsidR="00823DC8">
              <w:rPr>
                <w:lang w:eastAsia="en-NZ"/>
              </w:rPr>
              <w:t>’</w:t>
            </w:r>
            <w:r w:rsidRPr="00D51A64">
              <w:rPr>
                <w:lang w:eastAsia="en-NZ"/>
              </w:rPr>
              <w:t>s requirements apply</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91(1)(g)(ii)</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1</w:t>
            </w:r>
            <w:r w:rsidRPr="00D51A64">
              <w:rPr>
                <w:lang w:eastAsia="en-NZ"/>
              </w:rPr>
              <w:t>a</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only s</w:t>
            </w:r>
            <w:r>
              <w:rPr>
                <w:lang w:eastAsia="en-NZ"/>
              </w:rPr>
              <w:t>s</w:t>
            </w:r>
            <w:r w:rsidRPr="00D51A64">
              <w:rPr>
                <w:lang w:eastAsia="en-NZ"/>
              </w:rPr>
              <w:t>13</w:t>
            </w:r>
            <w:r>
              <w:rPr>
                <w:lang w:eastAsia="en-NZ"/>
              </w:rPr>
              <w:t>−</w:t>
            </w:r>
            <w:r w:rsidRPr="00D51A64">
              <w:rPr>
                <w:lang w:eastAsia="en-NZ"/>
              </w:rPr>
              <w:t>29 and Director</w:t>
            </w:r>
            <w:r w:rsidR="00823DC8">
              <w:rPr>
                <w:lang w:eastAsia="en-NZ"/>
              </w:rPr>
              <w:t>’</w:t>
            </w:r>
            <w:r w:rsidRPr="00D51A64">
              <w:rPr>
                <w:lang w:eastAsia="en-NZ"/>
              </w:rPr>
              <w:t>s requirements apply</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91(1)(h)</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1</w:t>
            </w:r>
            <w:r w:rsidRPr="00D51A64">
              <w:rPr>
                <w:lang w:eastAsia="en-NZ"/>
              </w:rPr>
              <w:t>b and Table 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91(1)(i)</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1</w:t>
            </w:r>
            <w:r w:rsidRPr="00D51A64">
              <w:rPr>
                <w:lang w:eastAsia="en-NZ"/>
              </w:rPr>
              <w:t>b and Table 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91(1)(j)</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5</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91(1)(k)</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5</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91(1)(l)</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1</w:t>
            </w:r>
            <w:r w:rsidRPr="00D51A64">
              <w:rPr>
                <w:lang w:eastAsia="en-NZ"/>
              </w:rPr>
              <w:t>c</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91(1)(m)</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5</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91(1)(n)</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5</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91(1)(o)</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r w:rsidRPr="00D51A64">
              <w:rPr>
                <w:lang w:eastAsia="en-NZ"/>
              </w:rPr>
              <w:t>d</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further restrictions apply</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91(1)(p)</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7</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only s5(1) definition applies</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91(1)(q)</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6</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only s</w:t>
            </w:r>
            <w:r>
              <w:rPr>
                <w:lang w:eastAsia="en-NZ"/>
              </w:rPr>
              <w:t>s</w:t>
            </w:r>
            <w:r w:rsidRPr="00D51A64">
              <w:rPr>
                <w:lang w:eastAsia="en-NZ"/>
              </w:rPr>
              <w:t>30</w:t>
            </w:r>
            <w:r>
              <w:rPr>
                <w:lang w:eastAsia="en-NZ"/>
              </w:rPr>
              <w:t>−</w:t>
            </w:r>
            <w:r w:rsidRPr="00D51A64">
              <w:rPr>
                <w:lang w:eastAsia="en-NZ"/>
              </w:rPr>
              <w:t>34 apply</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91(2)</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7</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under 91(1)(c)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othing applicable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91(3)</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6</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under 91(1)(q)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othing applicable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91(4)</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3</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s91(1)(a)</w:t>
            </w:r>
          </w:p>
        </w:tc>
      </w:tr>
      <w:tr w:rsidR="00000745" w:rsidRPr="00D51A64" w:rsidTr="00E2577A">
        <w:trPr>
          <w:cantSplit/>
        </w:trPr>
        <w:tc>
          <w:tcPr>
            <w:tcW w:w="1696" w:type="dxa"/>
            <w:tcBorders>
              <w:top w:val="single" w:sz="4" w:space="0" w:color="A6A6A6" w:themeColor="background1" w:themeShade="A6"/>
              <w:bottom w:val="single" w:sz="4" w:space="0" w:color="auto"/>
            </w:tcBorders>
            <w:shd w:val="clear" w:color="auto" w:fill="auto"/>
            <w:noWrap/>
            <w:hideMark/>
          </w:tcPr>
          <w:p w:rsidR="00000745" w:rsidRPr="00D51A64" w:rsidRDefault="00000745" w:rsidP="00E2577A">
            <w:pPr>
              <w:pStyle w:val="TableText"/>
              <w:rPr>
                <w:lang w:eastAsia="en-NZ"/>
              </w:rPr>
            </w:pPr>
            <w:r w:rsidRPr="00D51A64">
              <w:rPr>
                <w:lang w:eastAsia="en-NZ"/>
              </w:rPr>
              <w:t>91(5)</w:t>
            </w:r>
          </w:p>
        </w:tc>
        <w:tc>
          <w:tcPr>
            <w:tcW w:w="1990" w:type="dxa"/>
            <w:tcBorders>
              <w:top w:val="single" w:sz="4" w:space="0" w:color="A6A6A6" w:themeColor="background1" w:themeShade="A6"/>
              <w:bottom w:val="single" w:sz="4" w:space="0" w:color="auto"/>
            </w:tcBorders>
            <w:shd w:val="clear" w:color="auto" w:fill="auto"/>
            <w:noWrap/>
            <w:hideMark/>
          </w:tcPr>
          <w:p w:rsidR="00000745" w:rsidRPr="00D51A64" w:rsidRDefault="00000745" w:rsidP="00E2577A">
            <w:pPr>
              <w:pStyle w:val="TableText"/>
              <w:rPr>
                <w:lang w:eastAsia="en-NZ"/>
              </w:rPr>
            </w:pPr>
            <w:r>
              <w:rPr>
                <w:lang w:eastAsia="en-NZ"/>
              </w:rPr>
              <w:t>1</w:t>
            </w:r>
            <w:r w:rsidRPr="00D51A64">
              <w:rPr>
                <w:lang w:eastAsia="en-NZ"/>
              </w:rPr>
              <w:t>b and Table 2</w:t>
            </w:r>
          </w:p>
        </w:tc>
        <w:tc>
          <w:tcPr>
            <w:tcW w:w="5670" w:type="dxa"/>
            <w:tcBorders>
              <w:top w:val="single" w:sz="4" w:space="0" w:color="A6A6A6" w:themeColor="background1" w:themeShade="A6"/>
              <w:bottom w:val="single" w:sz="4" w:space="0" w:color="auto"/>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s91(1)(h)</w:t>
            </w:r>
          </w:p>
        </w:tc>
      </w:tr>
      <w:tr w:rsidR="00E2577A" w:rsidRPr="00E2577A" w:rsidTr="00E2577A">
        <w:trPr>
          <w:cantSplit/>
        </w:trPr>
        <w:tc>
          <w:tcPr>
            <w:tcW w:w="9356" w:type="dxa"/>
            <w:gridSpan w:val="3"/>
            <w:tcBorders>
              <w:top w:val="single" w:sz="4" w:space="0" w:color="auto"/>
              <w:bottom w:val="single" w:sz="4" w:space="0" w:color="A6A6A6" w:themeColor="background1" w:themeShade="A6"/>
            </w:tcBorders>
            <w:shd w:val="clear" w:color="auto" w:fill="auto"/>
            <w:noWrap/>
            <w:hideMark/>
          </w:tcPr>
          <w:p w:rsidR="00E2577A" w:rsidRPr="00E2577A" w:rsidRDefault="00E2577A" w:rsidP="00E2577A">
            <w:pPr>
              <w:pStyle w:val="TableText"/>
              <w:keepNext/>
              <w:rPr>
                <w:b/>
                <w:lang w:eastAsia="en-NZ"/>
              </w:rPr>
            </w:pPr>
            <w:r w:rsidRPr="00E2577A">
              <w:rPr>
                <w:b/>
                <w:lang w:eastAsia="en-NZ"/>
              </w:rPr>
              <w:lastRenderedPageBreak/>
              <w:t>Regulations relating to fees</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keepNext/>
              <w:rPr>
                <w:lang w:eastAsia="en-NZ"/>
              </w:rPr>
            </w:pPr>
            <w:r w:rsidRPr="00D51A64">
              <w:rPr>
                <w:lang w:eastAsia="en-NZ"/>
              </w:rPr>
              <w:t>92(1)(a)</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keepN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keepN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92(1)(b)</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92(1)(c)</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92(2)(a)</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92(2)(b)</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92(3)(a)</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92(3)(b)</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92(3)(c)</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92(3)(d)</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92(3)(e)</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92(4)(a)</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92(4)(b)</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92(5)</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000745" w:rsidRPr="00D51A64" w:rsidTr="00E2577A">
        <w:trPr>
          <w:cantSplit/>
        </w:trPr>
        <w:tc>
          <w:tcPr>
            <w:tcW w:w="1696" w:type="dxa"/>
            <w:tcBorders>
              <w:top w:val="single" w:sz="4" w:space="0" w:color="A6A6A6" w:themeColor="background1" w:themeShade="A6"/>
              <w:bottom w:val="single" w:sz="4" w:space="0" w:color="auto"/>
            </w:tcBorders>
            <w:shd w:val="clear" w:color="auto" w:fill="auto"/>
            <w:noWrap/>
            <w:hideMark/>
          </w:tcPr>
          <w:p w:rsidR="00000745" w:rsidRPr="00D51A64" w:rsidRDefault="00000745" w:rsidP="00E2577A">
            <w:pPr>
              <w:pStyle w:val="TableText"/>
              <w:rPr>
                <w:lang w:eastAsia="en-NZ"/>
              </w:rPr>
            </w:pPr>
            <w:r w:rsidRPr="00D51A64">
              <w:rPr>
                <w:lang w:eastAsia="en-NZ"/>
              </w:rPr>
              <w:t>92(6)</w:t>
            </w:r>
          </w:p>
        </w:tc>
        <w:tc>
          <w:tcPr>
            <w:tcW w:w="1990" w:type="dxa"/>
            <w:tcBorders>
              <w:top w:val="single" w:sz="4" w:space="0" w:color="A6A6A6" w:themeColor="background1" w:themeShade="A6"/>
              <w:bottom w:val="single" w:sz="4" w:space="0" w:color="auto"/>
            </w:tcBorders>
            <w:shd w:val="clear" w:color="auto" w:fill="auto"/>
            <w:noWrap/>
            <w:hideMark/>
          </w:tcPr>
          <w:p w:rsidR="00000745" w:rsidRPr="00D51A64" w:rsidRDefault="00000745" w:rsidP="00E2577A">
            <w:pPr>
              <w:pStyle w:val="TableText"/>
              <w:rPr>
                <w:lang w:eastAsia="en-NZ"/>
              </w:rPr>
            </w:pPr>
            <w:r>
              <w:rPr>
                <w:lang w:eastAsia="en-NZ"/>
              </w:rPr>
              <w:t>2</w:t>
            </w:r>
          </w:p>
        </w:tc>
        <w:tc>
          <w:tcPr>
            <w:tcW w:w="5670" w:type="dxa"/>
            <w:tcBorders>
              <w:top w:val="single" w:sz="4" w:space="0" w:color="A6A6A6" w:themeColor="background1" w:themeShade="A6"/>
              <w:bottom w:val="single" w:sz="4" w:space="0" w:color="auto"/>
            </w:tcBorders>
            <w:shd w:val="clear" w:color="auto" w:fill="auto"/>
            <w:noWrap/>
            <w:hideMark/>
          </w:tcPr>
          <w:p w:rsidR="00000745" w:rsidRPr="00D51A64" w:rsidRDefault="00000745" w:rsidP="00E2577A">
            <w:pPr>
              <w:pStyle w:val="TableText"/>
              <w:rPr>
                <w:lang w:eastAsia="en-NZ"/>
              </w:rPr>
            </w:pPr>
            <w:r w:rsidRPr="00D51A64">
              <w:rPr>
                <w:lang w:eastAsia="en-NZ"/>
              </w:rPr>
              <w:t>Applies to Regulations preferred under s92(1)</w:t>
            </w:r>
          </w:p>
        </w:tc>
      </w:tr>
      <w:tr w:rsidR="00E2577A" w:rsidRPr="00E2577A" w:rsidTr="00E2577A">
        <w:trPr>
          <w:cantSplit/>
        </w:trPr>
        <w:tc>
          <w:tcPr>
            <w:tcW w:w="9356" w:type="dxa"/>
            <w:gridSpan w:val="3"/>
            <w:tcBorders>
              <w:top w:val="single" w:sz="4" w:space="0" w:color="auto"/>
              <w:bottom w:val="single" w:sz="4" w:space="0" w:color="A6A6A6" w:themeColor="background1" w:themeShade="A6"/>
            </w:tcBorders>
            <w:shd w:val="clear" w:color="auto" w:fill="auto"/>
            <w:noWrap/>
            <w:hideMark/>
          </w:tcPr>
          <w:p w:rsidR="00E2577A" w:rsidRPr="00E2577A" w:rsidRDefault="00E2577A" w:rsidP="00E2577A">
            <w:pPr>
              <w:pStyle w:val="TableText"/>
              <w:rPr>
                <w:b/>
                <w:lang w:eastAsia="en-NZ"/>
              </w:rPr>
            </w:pPr>
            <w:r w:rsidRPr="00E2577A">
              <w:rPr>
                <w:b/>
                <w:lang w:eastAsia="en-NZ"/>
              </w:rPr>
              <w:t>Other regulations</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93(a)</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8</w:t>
            </w:r>
            <w:r w:rsidRPr="00D51A64">
              <w:rPr>
                <w:lang w:eastAsia="en-NZ"/>
              </w:rPr>
              <w:t>a</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Codes of </w:t>
            </w:r>
            <w:r>
              <w:rPr>
                <w:lang w:eastAsia="en-NZ"/>
              </w:rPr>
              <w:t>p</w:t>
            </w:r>
            <w:r w:rsidRPr="00D51A64">
              <w:rPr>
                <w:lang w:eastAsia="en-NZ"/>
              </w:rPr>
              <w:t xml:space="preserve">ractice preferred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Regulations preferred at this time</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93(b)</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8</w:t>
            </w:r>
            <w:r w:rsidRPr="00D51A64">
              <w:rPr>
                <w:lang w:eastAsia="en-NZ"/>
              </w:rPr>
              <w:t>b</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93(c)</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8</w:t>
            </w:r>
            <w:r w:rsidRPr="00D51A64">
              <w:rPr>
                <w:lang w:eastAsia="en-NZ"/>
              </w:rPr>
              <w:t>d</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further specifications apply</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93(d)</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8</w:t>
            </w:r>
            <w:r w:rsidRPr="00D51A64">
              <w:rPr>
                <w:lang w:eastAsia="en-NZ"/>
              </w:rPr>
              <w:t>c</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only s45 applies</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93(e)</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8</w:t>
            </w:r>
            <w:r w:rsidRPr="00D51A64">
              <w:rPr>
                <w:lang w:eastAsia="en-NZ"/>
              </w:rPr>
              <w:t>c</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Regulations preferred</w:t>
            </w:r>
          </w:p>
        </w:tc>
      </w:tr>
      <w:tr w:rsidR="00000745" w:rsidRPr="00D51A64" w:rsidTr="00E2577A">
        <w:trPr>
          <w:cantSplit/>
        </w:trPr>
        <w:tc>
          <w:tcPr>
            <w:tcW w:w="1696"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93(f)</w:t>
            </w:r>
          </w:p>
        </w:tc>
        <w:tc>
          <w:tcPr>
            <w:tcW w:w="199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Pr>
                <w:lang w:eastAsia="en-NZ"/>
              </w:rPr>
              <w:t>9</w:t>
            </w:r>
          </w:p>
        </w:tc>
        <w:tc>
          <w:tcPr>
            <w:tcW w:w="5670" w:type="dxa"/>
            <w:tcBorders>
              <w:top w:val="single" w:sz="4" w:space="0" w:color="A6A6A6" w:themeColor="background1" w:themeShade="A6"/>
              <w:bottom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only s</w:t>
            </w:r>
            <w:r>
              <w:rPr>
                <w:lang w:eastAsia="en-NZ"/>
              </w:rPr>
              <w:t>s</w:t>
            </w:r>
            <w:r w:rsidRPr="00D51A64">
              <w:rPr>
                <w:lang w:eastAsia="en-NZ"/>
              </w:rPr>
              <w:t>80</w:t>
            </w:r>
            <w:r>
              <w:rPr>
                <w:lang w:eastAsia="en-NZ"/>
              </w:rPr>
              <w:t>−</w:t>
            </w:r>
            <w:r w:rsidRPr="00D51A64">
              <w:rPr>
                <w:lang w:eastAsia="en-NZ"/>
              </w:rPr>
              <w:t>81 and Schedule</w:t>
            </w:r>
            <w:r w:rsidR="00E2577A">
              <w:rPr>
                <w:lang w:eastAsia="en-NZ"/>
              </w:rPr>
              <w:t> </w:t>
            </w:r>
            <w:r w:rsidRPr="00D51A64">
              <w:rPr>
                <w:lang w:eastAsia="en-NZ"/>
              </w:rPr>
              <w:t>4 apply</w:t>
            </w:r>
          </w:p>
        </w:tc>
      </w:tr>
      <w:tr w:rsidR="00000745" w:rsidRPr="00D51A64" w:rsidTr="00E2577A">
        <w:trPr>
          <w:cantSplit/>
        </w:trPr>
        <w:tc>
          <w:tcPr>
            <w:tcW w:w="1696" w:type="dxa"/>
            <w:tcBorders>
              <w:top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93(g)</w:t>
            </w:r>
          </w:p>
        </w:tc>
        <w:tc>
          <w:tcPr>
            <w:tcW w:w="1990" w:type="dxa"/>
            <w:tcBorders>
              <w:top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1</w:t>
            </w:r>
            <w:r>
              <w:rPr>
                <w:lang w:eastAsia="en-NZ"/>
              </w:rPr>
              <w:t>0</w:t>
            </w:r>
          </w:p>
        </w:tc>
        <w:tc>
          <w:tcPr>
            <w:tcW w:w="5670" w:type="dxa"/>
            <w:tcBorders>
              <w:top w:val="single" w:sz="4" w:space="0" w:color="A6A6A6" w:themeColor="background1" w:themeShade="A6"/>
            </w:tcBorders>
            <w:shd w:val="clear" w:color="auto" w:fill="auto"/>
            <w:noWrap/>
            <w:hideMark/>
          </w:tcPr>
          <w:p w:rsidR="00000745" w:rsidRPr="00D51A64" w:rsidRDefault="00000745" w:rsidP="00E2577A">
            <w:pPr>
              <w:pStyle w:val="TableText"/>
              <w:rPr>
                <w:lang w:eastAsia="en-NZ"/>
              </w:rPr>
            </w:pPr>
            <w:r w:rsidRPr="00D51A64">
              <w:rPr>
                <w:lang w:eastAsia="en-NZ"/>
              </w:rPr>
              <w:t xml:space="preserve">No Regulations preferred at this time </w:t>
            </w:r>
            <w:r w:rsidRPr="00D51A64">
              <w:rPr>
                <w:rFonts w:ascii="Cambria Math" w:hAnsi="Cambria Math" w:cs="Cambria Math"/>
                <w:lang w:eastAsia="en-NZ"/>
              </w:rPr>
              <w:t>∴</w:t>
            </w:r>
            <w:r w:rsidRPr="00D51A64">
              <w:rPr>
                <w:lang w:eastAsia="en-NZ"/>
              </w:rPr>
              <w:t xml:space="preserve"> </w:t>
            </w:r>
            <w:r>
              <w:rPr>
                <w:lang w:eastAsia="en-NZ"/>
              </w:rPr>
              <w:t>n</w:t>
            </w:r>
            <w:r w:rsidRPr="00D51A64">
              <w:rPr>
                <w:lang w:eastAsia="en-NZ"/>
              </w:rPr>
              <w:t>o further specifications apply</w:t>
            </w:r>
          </w:p>
        </w:tc>
      </w:tr>
    </w:tbl>
    <w:p w:rsidR="00000745" w:rsidRDefault="00000745" w:rsidP="00E2577A"/>
    <w:p w:rsidR="00852961" w:rsidRDefault="00852961" w:rsidP="00852961">
      <w:bookmarkStart w:id="86" w:name="_Toc449001296"/>
      <w:r>
        <w:br w:type="page"/>
      </w:r>
    </w:p>
    <w:p w:rsidR="00000745" w:rsidRPr="009E2A1C" w:rsidRDefault="00000745" w:rsidP="00852961">
      <w:pPr>
        <w:pStyle w:val="Heading1"/>
      </w:pPr>
      <w:bookmarkStart w:id="87" w:name="_Toc450059056"/>
      <w:r>
        <w:lastRenderedPageBreak/>
        <w:t>References</w:t>
      </w:r>
      <w:bookmarkEnd w:id="86"/>
      <w:bookmarkEnd w:id="87"/>
    </w:p>
    <w:p w:rsidR="00000745" w:rsidRDefault="00000745" w:rsidP="00852961">
      <w:pPr>
        <w:pStyle w:val="Heading3"/>
      </w:pPr>
      <w:r>
        <w:t>Legislation, regulations and rules</w:t>
      </w:r>
    </w:p>
    <w:p w:rsidR="00823DC8" w:rsidRDefault="00000745" w:rsidP="00852961">
      <w:r w:rsidRPr="009E2A1C">
        <w:t>District Court Rules 2014</w:t>
      </w:r>
    </w:p>
    <w:p w:rsidR="00000745" w:rsidRPr="009E2A1C" w:rsidRDefault="00000745" w:rsidP="00852961">
      <w:pPr>
        <w:rPr>
          <w:szCs w:val="24"/>
        </w:rPr>
      </w:pPr>
      <w:r>
        <w:t>(</w:t>
      </w:r>
      <w:r w:rsidRPr="00852961">
        <w:rPr>
          <w:rStyle w:val="Hyperlink"/>
        </w:rPr>
        <w:t>www.legislation.govt.nz/regulation/public/2014/0179/11.0/DLM6129567.html</w:t>
      </w:r>
      <w:r>
        <w:t>)</w:t>
      </w:r>
    </w:p>
    <w:p w:rsidR="00823DC8" w:rsidRPr="00852961" w:rsidRDefault="00000745" w:rsidP="00202887">
      <w:pPr>
        <w:spacing w:before="180"/>
      </w:pPr>
      <w:r w:rsidRPr="009E2A1C">
        <w:t>Radiation Protection Act 1965</w:t>
      </w:r>
      <w:r w:rsidR="00202887">
        <w:br/>
      </w:r>
      <w:r w:rsidRPr="00852961">
        <w:t>(</w:t>
      </w:r>
      <w:hyperlink r:id="rId21" w:anchor="DLM372539" w:history="1">
        <w:r w:rsidRPr="00852961">
          <w:rPr>
            <w:rStyle w:val="Hyperlink"/>
          </w:rPr>
          <w:t>www.legislation.govt.nz/act/public/1965/0023/latest/whole.html#DLM372539</w:t>
        </w:r>
      </w:hyperlink>
      <w:r w:rsidRPr="00852961">
        <w:t>)</w:t>
      </w:r>
    </w:p>
    <w:p w:rsidR="00823DC8" w:rsidRDefault="00000745" w:rsidP="00202887">
      <w:pPr>
        <w:spacing w:before="180"/>
      </w:pPr>
      <w:r w:rsidRPr="009E2A1C">
        <w:t xml:space="preserve">Radiation Protection (Appeals) </w:t>
      </w:r>
      <w:r>
        <w:t>Regulations</w:t>
      </w:r>
      <w:r w:rsidRPr="009E2A1C">
        <w:t xml:space="preserve"> 1974</w:t>
      </w:r>
      <w:r w:rsidR="00202887">
        <w:br/>
      </w:r>
      <w:r w:rsidRPr="009E2A1C">
        <w:t>(</w:t>
      </w:r>
      <w:r w:rsidRPr="00852961">
        <w:rPr>
          <w:rStyle w:val="Hyperlink"/>
        </w:rPr>
        <w:t>www.legislation.govt.nz/regulation/public/1974/0319/1.0/whole.html#DLM45668</w:t>
      </w:r>
      <w:r w:rsidRPr="009E2A1C">
        <w:t>)</w:t>
      </w:r>
    </w:p>
    <w:p w:rsidR="00000745" w:rsidRPr="009E2A1C" w:rsidRDefault="00000745" w:rsidP="00202887">
      <w:pPr>
        <w:spacing w:before="180"/>
        <w:rPr>
          <w:szCs w:val="24"/>
        </w:rPr>
      </w:pPr>
      <w:r w:rsidRPr="009E2A1C">
        <w:t xml:space="preserve">Radiation Protection </w:t>
      </w:r>
      <w:r>
        <w:t>Regulations</w:t>
      </w:r>
      <w:r w:rsidRPr="009E2A1C">
        <w:t xml:space="preserve"> 1982</w:t>
      </w:r>
      <w:r w:rsidR="00202887">
        <w:br/>
      </w:r>
      <w:r w:rsidRPr="009E2A1C">
        <w:rPr>
          <w:szCs w:val="24"/>
        </w:rPr>
        <w:t>(</w:t>
      </w:r>
      <w:hyperlink r:id="rId22" w:anchor="DLM81126" w:history="1">
        <w:r w:rsidRPr="00852961">
          <w:rPr>
            <w:rStyle w:val="Hyperlink"/>
          </w:rPr>
          <w:t>www.legislation.govt.nz/regulation/public/1982/0072/4.0/whole.html#DLM81126</w:t>
        </w:r>
      </w:hyperlink>
      <w:r w:rsidRPr="009E2A1C">
        <w:rPr>
          <w:szCs w:val="24"/>
        </w:rPr>
        <w:t>)</w:t>
      </w:r>
    </w:p>
    <w:p w:rsidR="00823DC8" w:rsidRPr="00852961" w:rsidRDefault="00000745" w:rsidP="00202887">
      <w:pPr>
        <w:spacing w:before="180"/>
      </w:pPr>
      <w:r w:rsidRPr="007942C0">
        <w:t>Radiation Safety Act 2016</w:t>
      </w:r>
      <w:r w:rsidR="00202887">
        <w:br/>
      </w:r>
      <w:r w:rsidRPr="007942C0">
        <w:rPr>
          <w:rFonts w:ascii="TimesNewRomanPSMT-Identity-H" w:hAnsi="TimesNewRomanPSMT-Identity-H" w:cs="TimesNewRomanPSMT-Identity-H"/>
          <w:szCs w:val="24"/>
        </w:rPr>
        <w:t>(</w:t>
      </w:r>
      <w:r w:rsidRPr="00852961">
        <w:rPr>
          <w:rStyle w:val="Hyperlink"/>
        </w:rPr>
        <w:t>www.legislation.govt.nz/act/public/2016/0006/latest/DLM6339517.html?src=qs</w:t>
      </w:r>
      <w:r w:rsidRPr="007942C0">
        <w:rPr>
          <w:rFonts w:ascii="TimesNewRomanPSMT-Identity-H" w:hAnsi="TimesNewRomanPSMT-Identity-H" w:cs="TimesNewRomanPSMT-Identity-H"/>
          <w:szCs w:val="24"/>
        </w:rPr>
        <w:t>)</w:t>
      </w:r>
    </w:p>
    <w:p w:rsidR="00823DC8" w:rsidRPr="00852961" w:rsidRDefault="00000745" w:rsidP="00202887">
      <w:pPr>
        <w:spacing w:before="180"/>
      </w:pPr>
      <w:r w:rsidRPr="009E2A1C">
        <w:t>Radiation Safety Bill in Parliament</w:t>
      </w:r>
      <w:r>
        <w:t>, The</w:t>
      </w:r>
      <w:r w:rsidR="00202887">
        <w:br/>
      </w:r>
      <w:r w:rsidRPr="00852961">
        <w:t>(</w:t>
      </w:r>
      <w:hyperlink r:id="rId23" w:history="1">
        <w:r w:rsidRPr="00852961">
          <w:rPr>
            <w:rStyle w:val="Hyperlink"/>
          </w:rPr>
          <w:t>www.parliament.nz/en-nz/pb/legislation/bills/00DBHOH_BILL61941_1/radiation-safety-bill</w:t>
        </w:r>
      </w:hyperlink>
      <w:r w:rsidRPr="00852961">
        <w:t>)</w:t>
      </w:r>
    </w:p>
    <w:p w:rsidR="00000745" w:rsidRPr="009E2A1C" w:rsidRDefault="00000745" w:rsidP="00852961"/>
    <w:p w:rsidR="00000745" w:rsidRPr="00852961" w:rsidRDefault="00000745" w:rsidP="00852961">
      <w:pPr>
        <w:pStyle w:val="Heading3"/>
      </w:pPr>
      <w:r>
        <w:t>Documents</w:t>
      </w:r>
    </w:p>
    <w:p w:rsidR="00000745" w:rsidRPr="00B3564A" w:rsidRDefault="00000745" w:rsidP="00B3564A">
      <w:pPr>
        <w:rPr>
          <w:rStyle w:val="Hyperlink"/>
        </w:rPr>
      </w:pPr>
      <w:r>
        <w:t xml:space="preserve">International Atomic Energy Agency. 2002. </w:t>
      </w:r>
      <w:r w:rsidRPr="00B3564A">
        <w:rPr>
          <w:i/>
        </w:rPr>
        <w:t>IAEA Safeguards Glossary: International nuclear verification series No. 3</w:t>
      </w:r>
      <w:r>
        <w:t>. Vienna: IAEA. URL:</w:t>
      </w:r>
      <w:r w:rsidR="00B3564A">
        <w:br/>
      </w:r>
      <w:r w:rsidRPr="00B3564A">
        <w:rPr>
          <w:rStyle w:val="Hyperlink"/>
        </w:rPr>
        <w:t>www-pub.iaea.org/MTCD/Publications/PDF/NVS3_scr.pdf</w:t>
      </w:r>
    </w:p>
    <w:p w:rsidR="00000745" w:rsidRDefault="00000745" w:rsidP="00202887">
      <w:pPr>
        <w:spacing w:before="180"/>
        <w:rPr>
          <w:szCs w:val="24"/>
        </w:rPr>
      </w:pPr>
      <w:r>
        <w:t>International Atomic Energy Agency. 2005.</w:t>
      </w:r>
      <w:r>
        <w:rPr>
          <w:rFonts w:cs="Arial"/>
          <w:szCs w:val="24"/>
        </w:rPr>
        <w:t xml:space="preserve"> </w:t>
      </w:r>
      <w:r w:rsidRPr="00B3564A">
        <w:rPr>
          <w:rFonts w:cs="Arial"/>
          <w:i/>
          <w:szCs w:val="24"/>
        </w:rPr>
        <w:t>IAEA Safety Standards: Categorization of radioactive sources safety guide No. RS-G-1.9</w:t>
      </w:r>
      <w:r>
        <w:rPr>
          <w:rFonts w:cs="Arial"/>
          <w:szCs w:val="24"/>
        </w:rPr>
        <w:t>. Vienna: IAEA.</w:t>
      </w:r>
      <w:r w:rsidRPr="009E2A1C">
        <w:rPr>
          <w:rFonts w:cs="Arial"/>
          <w:szCs w:val="24"/>
        </w:rPr>
        <w:t xml:space="preserve"> </w:t>
      </w:r>
      <w:r>
        <w:rPr>
          <w:rFonts w:cs="Arial"/>
          <w:szCs w:val="24"/>
        </w:rPr>
        <w:t>URL:</w:t>
      </w:r>
      <w:r w:rsidR="00B3564A">
        <w:rPr>
          <w:rFonts w:cs="Arial"/>
          <w:szCs w:val="24"/>
        </w:rPr>
        <w:br/>
      </w:r>
      <w:r w:rsidRPr="00B3564A">
        <w:rPr>
          <w:rStyle w:val="Hyperlink"/>
        </w:rPr>
        <w:t>www-pub.iaea.org/MTCD/publications/PDF/Pub1227_web.pdf</w:t>
      </w:r>
    </w:p>
    <w:p w:rsidR="00000745" w:rsidRPr="009E2A1C" w:rsidRDefault="00000745" w:rsidP="00202887">
      <w:pPr>
        <w:spacing w:before="180"/>
      </w:pPr>
      <w:r>
        <w:t xml:space="preserve">Ministry of Health. 2002. </w:t>
      </w:r>
      <w:r w:rsidRPr="00B3564A">
        <w:rPr>
          <w:i/>
        </w:rPr>
        <w:t>A Review of New Zealand Radiation Protection Legislation: A</w:t>
      </w:r>
      <w:r w:rsidR="00B3564A">
        <w:rPr>
          <w:i/>
        </w:rPr>
        <w:t> </w:t>
      </w:r>
      <w:r w:rsidRPr="00B3564A">
        <w:rPr>
          <w:i/>
        </w:rPr>
        <w:t>discussion document</w:t>
      </w:r>
      <w:r>
        <w:t>. URL:</w:t>
      </w:r>
      <w:r w:rsidR="00B3564A">
        <w:br/>
      </w:r>
      <w:hyperlink r:id="rId24" w:history="1">
        <w:r w:rsidRPr="00B3564A">
          <w:rPr>
            <w:rStyle w:val="Hyperlink"/>
          </w:rPr>
          <w:t>www.health.govt.nz/system/files/documents/pages/radiation_regulation_review_2002.pdf</w:t>
        </w:r>
      </w:hyperlink>
    </w:p>
    <w:p w:rsidR="00000745" w:rsidRDefault="00000745" w:rsidP="00202887">
      <w:pPr>
        <w:spacing w:before="180"/>
      </w:pPr>
      <w:r>
        <w:t xml:space="preserve">Ministry of Health. 2003. </w:t>
      </w:r>
      <w:r w:rsidRPr="00B3564A">
        <w:rPr>
          <w:i/>
        </w:rPr>
        <w:t>A Review of New Zealand Radiation Protection Legislation: Summary of submissions</w:t>
      </w:r>
      <w:r>
        <w:t>. URL:</w:t>
      </w:r>
      <w:r w:rsidR="00B3564A">
        <w:br/>
      </w:r>
      <w:r w:rsidRPr="00B3564A">
        <w:rPr>
          <w:rStyle w:val="Hyperlink"/>
        </w:rPr>
        <w:t>www.health.govt.nz/system/files/documents/pages/summary_of_submissions_-_radiation_regulation_review_june_2003.pdf</w:t>
      </w:r>
    </w:p>
    <w:p w:rsidR="00823DC8" w:rsidRDefault="00000745" w:rsidP="00202887">
      <w:pPr>
        <w:spacing w:before="180"/>
        <w:rPr>
          <w:rStyle w:val="Hyperlink"/>
        </w:rPr>
      </w:pPr>
      <w:r>
        <w:t xml:space="preserve">Ministry of Health. 2004. </w:t>
      </w:r>
      <w:r w:rsidRPr="00B3564A">
        <w:rPr>
          <w:i/>
        </w:rPr>
        <w:t>Regulatory Impact Statement: Proposed changes to radiation protection legislation</w:t>
      </w:r>
      <w:r>
        <w:t>. URL:</w:t>
      </w:r>
      <w:r w:rsidR="00B3564A">
        <w:br/>
      </w:r>
      <w:hyperlink r:id="rId25" w:history="1">
        <w:r w:rsidRPr="00B3564A">
          <w:rPr>
            <w:rStyle w:val="Hyperlink"/>
          </w:rPr>
          <w:t>www.health.govt.nz/system/files/documents/pages/ris-radiationsept_2004.pdf</w:t>
        </w:r>
      </w:hyperlink>
    </w:p>
    <w:p w:rsidR="00000745" w:rsidRPr="006E0ECD" w:rsidRDefault="00000745" w:rsidP="00202887">
      <w:pPr>
        <w:spacing w:before="180"/>
        <w:rPr>
          <w:szCs w:val="22"/>
        </w:rPr>
      </w:pPr>
      <w:r w:rsidRPr="006E0ECD">
        <w:t xml:space="preserve">Ministry of Health. 2016. </w:t>
      </w:r>
      <w:r w:rsidRPr="006E0ECD">
        <w:rPr>
          <w:i/>
        </w:rPr>
        <w:t xml:space="preserve">Radiation Safety Regulations: </w:t>
      </w:r>
      <w:r w:rsidR="00F810AB" w:rsidRPr="006E0ECD">
        <w:rPr>
          <w:i/>
        </w:rPr>
        <w:t>Submission form</w:t>
      </w:r>
      <w:r w:rsidRPr="006E0ECD">
        <w:t>. URL:</w:t>
      </w:r>
      <w:r w:rsidR="00B3564A">
        <w:rPr>
          <w:highlight w:val="yellow"/>
        </w:rPr>
        <w:br/>
      </w:r>
      <w:r w:rsidR="006E0ECD" w:rsidRPr="006E0ECD">
        <w:rPr>
          <w:rFonts w:cs="Arial Mäori"/>
          <w:color w:val="000000"/>
          <w:szCs w:val="22"/>
          <w:lang w:eastAsia="en-NZ"/>
        </w:rPr>
        <w:t>www.health.govt.nz/publication/proposed-radiation-safety-regulations-consultation-document</w:t>
      </w:r>
    </w:p>
    <w:p w:rsidR="00000745" w:rsidRDefault="00000745" w:rsidP="00202887">
      <w:pPr>
        <w:spacing w:before="180"/>
      </w:pPr>
      <w:r>
        <w:rPr>
          <w:rFonts w:cs="Arial"/>
        </w:rPr>
        <w:t>Ministry of Health Annual Reports</w:t>
      </w:r>
      <w:r w:rsidR="00B3564A">
        <w:rPr>
          <w:rFonts w:cs="Arial"/>
        </w:rPr>
        <w:br/>
      </w:r>
      <w:r w:rsidRPr="009E2A1C">
        <w:t>(</w:t>
      </w:r>
      <w:r w:rsidRPr="00B3564A">
        <w:rPr>
          <w:rStyle w:val="Hyperlink"/>
        </w:rPr>
        <w:t>www.health.govt.nz/about-ministry/corporate-publications/annual-reports</w:t>
      </w:r>
      <w:r w:rsidRPr="009E2A1C">
        <w:t>)</w:t>
      </w:r>
    </w:p>
    <w:p w:rsidR="00000745" w:rsidRPr="006502B0" w:rsidRDefault="00000745" w:rsidP="00B3564A"/>
    <w:p w:rsidR="00000745" w:rsidRDefault="00000745">
      <w:pPr>
        <w:spacing w:line="240" w:lineRule="auto"/>
      </w:pPr>
      <w:r>
        <w:br w:type="page"/>
      </w:r>
    </w:p>
    <w:p w:rsidR="00000745" w:rsidRPr="009E2A1C" w:rsidRDefault="00000745" w:rsidP="004B0395">
      <w:pPr>
        <w:pStyle w:val="Heading1"/>
        <w:ind w:left="0" w:firstLine="0"/>
      </w:pPr>
      <w:bookmarkStart w:id="88" w:name="_Toc450059057"/>
      <w:r>
        <w:lastRenderedPageBreak/>
        <w:t xml:space="preserve">Proposed </w:t>
      </w:r>
      <w:r w:rsidRPr="009E2A1C">
        <w:t xml:space="preserve">Radiation Safety </w:t>
      </w:r>
      <w:r>
        <w:t>Regulations:</w:t>
      </w:r>
      <w:r w:rsidR="004B0395">
        <w:br/>
      </w:r>
      <w:r>
        <w:t xml:space="preserve">Submission </w:t>
      </w:r>
      <w:r w:rsidR="00E9229C">
        <w:t>form</w:t>
      </w:r>
      <w:bookmarkEnd w:id="88"/>
    </w:p>
    <w:p w:rsidR="00823DC8" w:rsidRDefault="00000745" w:rsidP="004B0395">
      <w:r w:rsidRPr="009C2A67">
        <w:t xml:space="preserve">May 2016 </w:t>
      </w:r>
    </w:p>
    <w:p w:rsidR="00000745" w:rsidRPr="0075187E" w:rsidRDefault="00000745" w:rsidP="004B0395"/>
    <w:p w:rsidR="00000745" w:rsidRPr="00715DB2" w:rsidRDefault="00000745" w:rsidP="004B0395">
      <w:pPr>
        <w:pStyle w:val="Heading3"/>
      </w:pPr>
      <w:r w:rsidRPr="00F64669">
        <w:t>Making a submission</w:t>
      </w:r>
    </w:p>
    <w:p w:rsidR="00823DC8" w:rsidRDefault="00000745" w:rsidP="004B0395">
      <w:r w:rsidRPr="009E2A1C">
        <w:t xml:space="preserve">This </w:t>
      </w:r>
      <w:r>
        <w:t xml:space="preserve">form is designed to assist submitters responding to the discussion points in </w:t>
      </w:r>
      <w:r w:rsidRPr="001141FE">
        <w:rPr>
          <w:i/>
        </w:rPr>
        <w:t xml:space="preserve">Proposed </w:t>
      </w:r>
      <w:r w:rsidRPr="00AA0DF6">
        <w:rPr>
          <w:i/>
        </w:rPr>
        <w:t xml:space="preserve">Radiation Safety </w:t>
      </w:r>
      <w:r>
        <w:rPr>
          <w:i/>
        </w:rPr>
        <w:t>Regulations</w:t>
      </w:r>
      <w:r w:rsidRPr="00AA0DF6">
        <w:rPr>
          <w:i/>
        </w:rPr>
        <w:t>: A consultation document</w:t>
      </w:r>
      <w:r>
        <w:t xml:space="preserve"> </w:t>
      </w:r>
      <w:r w:rsidRPr="009C2A67">
        <w:t>May 2016</w:t>
      </w:r>
      <w:r>
        <w:t>.</w:t>
      </w:r>
      <w:r w:rsidR="00823DC8">
        <w:t xml:space="preserve"> </w:t>
      </w:r>
      <w:r>
        <w:t>The template is not intended to limit or constrain submissions.</w:t>
      </w:r>
      <w:r w:rsidR="00823DC8">
        <w:t xml:space="preserve"> </w:t>
      </w:r>
      <w:r>
        <w:t>Submitters may wish to raise other matters or address the questions in this document in other ways.</w:t>
      </w:r>
      <w:r w:rsidR="00823DC8">
        <w:t xml:space="preserve"> </w:t>
      </w:r>
      <w:r>
        <w:t>Also, submitters using this document do not have to provide responses to all questions.</w:t>
      </w:r>
    </w:p>
    <w:p w:rsidR="00000745" w:rsidRDefault="00000745" w:rsidP="004B0395"/>
    <w:p w:rsidR="00823DC8" w:rsidRDefault="00000745" w:rsidP="004B0395">
      <w:r>
        <w:t xml:space="preserve">All written submissions that fall within the scope of this consultation and are received before the closing date will be considered. </w:t>
      </w:r>
      <w:r w:rsidRPr="009E2A1C">
        <w:t xml:space="preserve">The </w:t>
      </w:r>
      <w:r>
        <w:t xml:space="preserve">closing date for submissions is </w:t>
      </w:r>
      <w:r w:rsidRPr="003C1167">
        <w:rPr>
          <w:b/>
        </w:rPr>
        <w:t>5</w:t>
      </w:r>
      <w:r w:rsidR="004B0395">
        <w:rPr>
          <w:b/>
        </w:rPr>
        <w:t> </w:t>
      </w:r>
      <w:r w:rsidRPr="003C1167">
        <w:rPr>
          <w:b/>
        </w:rPr>
        <w:t xml:space="preserve">pm, </w:t>
      </w:r>
      <w:r w:rsidR="009C2A67">
        <w:rPr>
          <w:b/>
        </w:rPr>
        <w:t>Wednesday</w:t>
      </w:r>
      <w:r w:rsidR="009C2A67" w:rsidRPr="009E2A1C">
        <w:t xml:space="preserve"> </w:t>
      </w:r>
      <w:r w:rsidR="009C2A67" w:rsidRPr="009C2A67">
        <w:rPr>
          <w:b/>
        </w:rPr>
        <w:t xml:space="preserve">22 </w:t>
      </w:r>
      <w:r w:rsidR="00C83699">
        <w:rPr>
          <w:b/>
        </w:rPr>
        <w:t>June</w:t>
      </w:r>
      <w:r w:rsidRPr="009C2A67">
        <w:rPr>
          <w:b/>
        </w:rPr>
        <w:t xml:space="preserve"> 2016</w:t>
      </w:r>
      <w:r w:rsidRPr="009E2A1C">
        <w:t>.</w:t>
      </w:r>
    </w:p>
    <w:p w:rsidR="00000745" w:rsidRPr="009E2A1C" w:rsidRDefault="00000745" w:rsidP="004B0395"/>
    <w:p w:rsidR="00000745" w:rsidRPr="009E2A1C" w:rsidRDefault="00000745" w:rsidP="004B0395">
      <w:r>
        <w:t>The preferred method of receiving submissions is by email, at</w:t>
      </w:r>
      <w:r w:rsidRPr="009E2A1C">
        <w:t>:</w:t>
      </w:r>
    </w:p>
    <w:p w:rsidR="00823DC8" w:rsidRPr="004B0395" w:rsidRDefault="00000745" w:rsidP="004B0395">
      <w:pPr>
        <w:spacing w:before="120"/>
        <w:ind w:left="567"/>
        <w:rPr>
          <w:rStyle w:val="Hyperlink"/>
        </w:rPr>
      </w:pPr>
      <w:r w:rsidRPr="004B0395">
        <w:rPr>
          <w:rStyle w:val="Hyperlink"/>
        </w:rPr>
        <w:t>Radiation_Safety_Consultation@moh.govt.nz</w:t>
      </w:r>
    </w:p>
    <w:p w:rsidR="00000745" w:rsidRPr="009E2A1C" w:rsidRDefault="00000745" w:rsidP="004B0395"/>
    <w:p w:rsidR="00000745" w:rsidRPr="009E2A1C" w:rsidRDefault="00000745" w:rsidP="004B0395">
      <w:r>
        <w:t xml:space="preserve">Alternatively, submissions can </w:t>
      </w:r>
      <w:r w:rsidRPr="009E2A1C">
        <w:t>be mailed to:</w:t>
      </w:r>
    </w:p>
    <w:p w:rsidR="00000745" w:rsidRPr="009E2A1C" w:rsidRDefault="00000745" w:rsidP="004B0395">
      <w:pPr>
        <w:spacing w:before="120"/>
        <w:ind w:left="567"/>
      </w:pPr>
      <w:r w:rsidRPr="00FD7DA5">
        <w:t>Radiation Safety Consultation</w:t>
      </w:r>
    </w:p>
    <w:p w:rsidR="00000745" w:rsidRPr="009E2A1C" w:rsidRDefault="00000745" w:rsidP="004B0395">
      <w:pPr>
        <w:ind w:left="567"/>
      </w:pPr>
      <w:r w:rsidRPr="009E2A1C">
        <w:t>Ministry of Health</w:t>
      </w:r>
    </w:p>
    <w:p w:rsidR="00000745" w:rsidRPr="009E2A1C" w:rsidRDefault="00000745" w:rsidP="004B0395">
      <w:pPr>
        <w:ind w:left="567"/>
      </w:pPr>
      <w:r w:rsidRPr="009E2A1C">
        <w:t>PO Box 5013</w:t>
      </w:r>
    </w:p>
    <w:p w:rsidR="00000745" w:rsidRPr="009E2A1C" w:rsidRDefault="00000745" w:rsidP="004B0395">
      <w:pPr>
        <w:ind w:left="567"/>
      </w:pPr>
      <w:r w:rsidRPr="009E2A1C">
        <w:t>Wellington 614</w:t>
      </w:r>
      <w:r w:rsidR="004B0395">
        <w:t>0</w:t>
      </w:r>
    </w:p>
    <w:p w:rsidR="00000745" w:rsidRDefault="00000745" w:rsidP="004B0395"/>
    <w:p w:rsidR="004B0395" w:rsidRDefault="004B0395" w:rsidP="004B0395">
      <w:r>
        <w:br w:type="page"/>
      </w:r>
    </w:p>
    <w:p w:rsidR="00000745" w:rsidRPr="00684CDA" w:rsidRDefault="00000745" w:rsidP="004B0395">
      <w:pPr>
        <w:pStyle w:val="Heading3"/>
        <w:spacing w:before="0"/>
        <w:rPr>
          <w:rFonts w:cs="Arial"/>
        </w:rPr>
      </w:pPr>
      <w:r w:rsidRPr="00231984">
        <w:lastRenderedPageBreak/>
        <w:t>Submitter details</w:t>
      </w:r>
    </w:p>
    <w:p w:rsidR="00823DC8" w:rsidRDefault="00000745" w:rsidP="004B0395">
      <w:r>
        <w:t>It is helpful when assessing submissions if submitters provide information about themselves.</w:t>
      </w:r>
      <w:r w:rsidR="00823DC8">
        <w:t xml:space="preserve"> </w:t>
      </w:r>
      <w:r>
        <w:t>However, providing this information is not required for a submission to be considered, and you can choose to withhold this information if you wish.</w:t>
      </w:r>
    </w:p>
    <w:p w:rsidR="00000745" w:rsidRDefault="00000745" w:rsidP="004B0395"/>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B0395" w:rsidRPr="008C498B" w:rsidTr="004B0395">
        <w:trPr>
          <w:cantSplit/>
        </w:trPr>
        <w:tc>
          <w:tcPr>
            <w:tcW w:w="4307" w:type="dxa"/>
            <w:tcBorders>
              <w:top w:val="nil"/>
              <w:bottom w:val="nil"/>
            </w:tcBorders>
          </w:tcPr>
          <w:p w:rsidR="004B0395" w:rsidRPr="008C498B" w:rsidRDefault="004B0395" w:rsidP="004B0395">
            <w:pPr>
              <w:pStyle w:val="TableText"/>
              <w:tabs>
                <w:tab w:val="right" w:pos="4199"/>
              </w:tabs>
              <w:spacing w:before="0"/>
              <w:rPr>
                <w:rFonts w:ascii="Georgia" w:hAnsi="Georgia" w:cs="Arial"/>
                <w:sz w:val="22"/>
                <w:szCs w:val="22"/>
              </w:rPr>
            </w:pPr>
            <w:r w:rsidRPr="008C498B">
              <w:rPr>
                <w:rFonts w:ascii="Georgia" w:hAnsi="Georgia" w:cs="Arial"/>
                <w:sz w:val="22"/>
                <w:szCs w:val="22"/>
              </w:rPr>
              <w:t>This submission was completed by:</w:t>
            </w:r>
            <w:r w:rsidRPr="008C498B">
              <w:rPr>
                <w:rFonts w:ascii="Georgia" w:hAnsi="Georgia" w:cs="Arial"/>
                <w:sz w:val="22"/>
                <w:szCs w:val="22"/>
              </w:rPr>
              <w:tab/>
            </w:r>
            <w:r w:rsidRPr="008C498B">
              <w:rPr>
                <w:rFonts w:ascii="Georgia" w:hAnsi="Georgia" w:cs="Arial"/>
                <w:i/>
                <w:szCs w:val="22"/>
              </w:rPr>
              <w:t>(name)</w:t>
            </w:r>
          </w:p>
        </w:tc>
        <w:tc>
          <w:tcPr>
            <w:tcW w:w="5103" w:type="dxa"/>
            <w:tcBorders>
              <w:top w:val="nil"/>
            </w:tcBorders>
            <w:vAlign w:val="bottom"/>
          </w:tcPr>
          <w:p w:rsidR="004B0395" w:rsidRPr="00C4530D" w:rsidRDefault="004B0395" w:rsidP="004B0395">
            <w:pPr>
              <w:pStyle w:val="TableText"/>
              <w:spacing w:before="0"/>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tabs>
                <w:tab w:val="right" w:pos="4199"/>
              </w:tabs>
              <w:rPr>
                <w:rFonts w:ascii="Georgia" w:hAnsi="Georgia" w:cs="Arial"/>
                <w:sz w:val="22"/>
                <w:szCs w:val="22"/>
              </w:rPr>
            </w:pPr>
            <w:r w:rsidRPr="008C498B">
              <w:rPr>
                <w:rFonts w:ascii="Georgia" w:hAnsi="Georgia" w:cs="Arial"/>
                <w:sz w:val="22"/>
                <w:szCs w:val="22"/>
              </w:rPr>
              <w:t>Address:</w:t>
            </w:r>
            <w:r w:rsidRPr="008C498B">
              <w:rPr>
                <w:rFonts w:ascii="Georgia" w:hAnsi="Georgia" w:cs="Arial"/>
                <w:sz w:val="22"/>
                <w:szCs w:val="22"/>
              </w:rPr>
              <w:tab/>
            </w:r>
            <w:r w:rsidRPr="008C498B">
              <w:rPr>
                <w:rFonts w:ascii="Georgia" w:hAnsi="Georgia" w:cs="Arial"/>
                <w:i/>
                <w:szCs w:val="22"/>
              </w:rPr>
              <w:t>(street/box number)</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bookmarkStart w:id="89" w:name="Text1"/>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bookmarkEnd w:id="89"/>
          </w:p>
        </w:tc>
      </w:tr>
      <w:tr w:rsidR="004B0395" w:rsidRPr="008C498B" w:rsidTr="004B0395">
        <w:trPr>
          <w:cantSplit/>
        </w:trPr>
        <w:tc>
          <w:tcPr>
            <w:tcW w:w="4307" w:type="dxa"/>
            <w:tcBorders>
              <w:top w:val="nil"/>
              <w:bottom w:val="nil"/>
            </w:tcBorders>
          </w:tcPr>
          <w:p w:rsidR="004B0395" w:rsidRPr="008C498B" w:rsidRDefault="004B0395" w:rsidP="004B0395">
            <w:pPr>
              <w:pStyle w:val="TableText"/>
              <w:tabs>
                <w:tab w:val="right" w:pos="4199"/>
              </w:tabs>
              <w:rPr>
                <w:rFonts w:ascii="Georgia" w:hAnsi="Georgia" w:cs="Arial"/>
                <w:i/>
                <w:sz w:val="22"/>
                <w:szCs w:val="22"/>
              </w:rPr>
            </w:pPr>
            <w:r w:rsidRPr="008C498B">
              <w:rPr>
                <w:rFonts w:ascii="Georgia" w:hAnsi="Georgia" w:cs="Arial"/>
                <w:sz w:val="22"/>
                <w:szCs w:val="22"/>
              </w:rPr>
              <w:tab/>
            </w:r>
            <w:r w:rsidRPr="008C498B">
              <w:rPr>
                <w:rFonts w:ascii="Georgia" w:hAnsi="Georgia" w:cs="Arial"/>
                <w:i/>
                <w:szCs w:val="22"/>
              </w:rPr>
              <w:t>(town/city</w:t>
            </w:r>
            <w:r>
              <w:rPr>
                <w:rFonts w:ascii="Georgia" w:hAnsi="Georgia" w:cs="Arial"/>
                <w:i/>
                <w:szCs w:val="22"/>
              </w:rPr>
              <w:t xml:space="preserve"> and postcode</w:t>
            </w:r>
            <w:r w:rsidRPr="008C498B">
              <w:rPr>
                <w:rFonts w:ascii="Georgia" w:hAnsi="Georgia" w:cs="Arial"/>
                <w:i/>
                <w:szCs w:val="22"/>
              </w:rPr>
              <w:t>)</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rPr>
                <w:rFonts w:ascii="Georgia" w:hAnsi="Georgia" w:cs="Arial"/>
                <w:sz w:val="22"/>
                <w:szCs w:val="22"/>
              </w:rPr>
            </w:pPr>
            <w:r w:rsidRPr="008C498B">
              <w:rPr>
                <w:rFonts w:ascii="Georgia" w:hAnsi="Georgia" w:cs="Arial"/>
                <w:sz w:val="22"/>
                <w:szCs w:val="22"/>
              </w:rPr>
              <w:t>Email:</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rPr>
                <w:rFonts w:ascii="Georgia" w:hAnsi="Georgia" w:cs="Arial"/>
                <w:sz w:val="22"/>
                <w:szCs w:val="22"/>
              </w:rPr>
            </w:pPr>
            <w:r w:rsidRPr="008C498B">
              <w:rPr>
                <w:rFonts w:ascii="Georgia" w:hAnsi="Georgia" w:cs="Arial"/>
                <w:sz w:val="22"/>
                <w:szCs w:val="22"/>
              </w:rPr>
              <w:t>Organisation (if applicable):</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4B0395" w:rsidRPr="008C498B" w:rsidTr="004B0395">
        <w:trPr>
          <w:cantSplit/>
        </w:trPr>
        <w:tc>
          <w:tcPr>
            <w:tcW w:w="4307" w:type="dxa"/>
            <w:tcBorders>
              <w:top w:val="nil"/>
              <w:bottom w:val="nil"/>
            </w:tcBorders>
          </w:tcPr>
          <w:p w:rsidR="004B0395" w:rsidRPr="008C498B" w:rsidRDefault="004B0395" w:rsidP="004B0395">
            <w:pPr>
              <w:pStyle w:val="TableText"/>
              <w:rPr>
                <w:rFonts w:ascii="Georgia" w:hAnsi="Georgia" w:cs="Arial"/>
                <w:sz w:val="22"/>
                <w:szCs w:val="22"/>
              </w:rPr>
            </w:pPr>
            <w:r w:rsidRPr="008C498B">
              <w:rPr>
                <w:rFonts w:ascii="Georgia" w:hAnsi="Georgia" w:cs="Arial"/>
                <w:sz w:val="22"/>
                <w:szCs w:val="22"/>
              </w:rPr>
              <w:t>Position (if applicable):</w:t>
            </w:r>
          </w:p>
        </w:tc>
        <w:tc>
          <w:tcPr>
            <w:tcW w:w="5103" w:type="dxa"/>
            <w:vAlign w:val="bottom"/>
          </w:tcPr>
          <w:p w:rsidR="004B0395" w:rsidRPr="00C4530D" w:rsidRDefault="004B0395" w:rsidP="004B0395">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bl>
    <w:p w:rsidR="004B0395" w:rsidRPr="008C498B" w:rsidRDefault="004B0395" w:rsidP="004B0395">
      <w:pPr>
        <w:spacing w:before="480"/>
      </w:pPr>
      <w:r w:rsidRPr="008C498B">
        <w:t xml:space="preserve">Are you </w:t>
      </w:r>
      <w:r>
        <w:t xml:space="preserve">making this </w:t>
      </w:r>
      <w:r w:rsidRPr="008C498B">
        <w:t>submi</w:t>
      </w:r>
      <w:r>
        <w:t>ssion</w:t>
      </w:r>
      <w:r w:rsidRPr="008C498B">
        <w:t xml:space="preserve"> </w:t>
      </w:r>
      <w:r w:rsidRPr="008C498B">
        <w:rPr>
          <w:i/>
          <w:sz w:val="18"/>
        </w:rPr>
        <w:t>(tick one box only)</w:t>
      </w:r>
      <w:r w:rsidRPr="008C498B">
        <w:t>:</w:t>
      </w:r>
    </w:p>
    <w:p w:rsidR="004B0395" w:rsidRPr="008C498B" w:rsidRDefault="004B0395" w:rsidP="004B0395">
      <w:pPr>
        <w:tabs>
          <w:tab w:val="left" w:pos="1134"/>
        </w:tabs>
        <w:spacing w:before="60"/>
        <w:ind w:left="567"/>
        <w:rPr>
          <w:rFonts w:cs="Arial"/>
        </w:rPr>
      </w:pPr>
      <w:r w:rsidRPr="008C498B">
        <w:rPr>
          <w:rFonts w:cs="Arial"/>
          <w:sz w:val="28"/>
          <w:szCs w:val="28"/>
        </w:rPr>
        <w:fldChar w:fldCharType="begin">
          <w:ffData>
            <w:name w:val="Check1"/>
            <w:enabled/>
            <w:calcOnExit w:val="0"/>
            <w:checkBox>
              <w:sizeAuto/>
              <w:default w:val="0"/>
            </w:checkBox>
          </w:ffData>
        </w:fldChar>
      </w:r>
      <w:bookmarkStart w:id="90" w:name="Check1"/>
      <w:r w:rsidRPr="008C498B">
        <w:rPr>
          <w:rFonts w:cs="Arial"/>
          <w:sz w:val="28"/>
          <w:szCs w:val="28"/>
        </w:rPr>
        <w:instrText xml:space="preserve"> FORMCHECKBOX </w:instrText>
      </w:r>
      <w:r w:rsidR="00467474">
        <w:rPr>
          <w:rFonts w:cs="Arial"/>
          <w:sz w:val="28"/>
          <w:szCs w:val="28"/>
        </w:rPr>
      </w:r>
      <w:r w:rsidR="00467474">
        <w:rPr>
          <w:rFonts w:cs="Arial"/>
          <w:sz w:val="28"/>
          <w:szCs w:val="28"/>
        </w:rPr>
        <w:fldChar w:fldCharType="separate"/>
      </w:r>
      <w:r w:rsidRPr="008C498B">
        <w:rPr>
          <w:rFonts w:cs="Arial"/>
          <w:sz w:val="28"/>
          <w:szCs w:val="28"/>
        </w:rPr>
        <w:fldChar w:fldCharType="end"/>
      </w:r>
      <w:bookmarkEnd w:id="90"/>
      <w:r w:rsidRPr="008C498B">
        <w:rPr>
          <w:rFonts w:cs="Arial"/>
        </w:rPr>
        <w:tab/>
      </w:r>
      <w:r>
        <w:rPr>
          <w:rFonts w:cs="Arial"/>
        </w:rPr>
        <w:t>as a</w:t>
      </w:r>
      <w:r w:rsidRPr="008C498B">
        <w:rPr>
          <w:rFonts w:cs="Arial"/>
        </w:rPr>
        <w:t>n individual</w:t>
      </w:r>
      <w:r>
        <w:rPr>
          <w:rFonts w:cs="Arial"/>
        </w:rPr>
        <w:t>?</w:t>
      </w:r>
    </w:p>
    <w:p w:rsidR="004B0395" w:rsidRPr="008C498B" w:rsidRDefault="004B0395" w:rsidP="004B0395">
      <w:pPr>
        <w:tabs>
          <w:tab w:val="left" w:pos="1134"/>
        </w:tabs>
        <w:spacing w:before="60"/>
        <w:ind w:left="567"/>
        <w:rPr>
          <w:rFonts w:cs="Arial"/>
        </w:rPr>
      </w:pPr>
      <w:r w:rsidRPr="008C498B">
        <w:rPr>
          <w:rFonts w:cs="Arial"/>
          <w:sz w:val="28"/>
          <w:szCs w:val="28"/>
        </w:rPr>
        <w:fldChar w:fldCharType="begin">
          <w:ffData>
            <w:name w:val="Check2"/>
            <w:enabled/>
            <w:calcOnExit w:val="0"/>
            <w:checkBox>
              <w:sizeAuto/>
              <w:default w:val="0"/>
            </w:checkBox>
          </w:ffData>
        </w:fldChar>
      </w:r>
      <w:bookmarkStart w:id="91" w:name="Check2"/>
      <w:r w:rsidRPr="008C498B">
        <w:rPr>
          <w:rFonts w:cs="Arial"/>
          <w:sz w:val="28"/>
          <w:szCs w:val="28"/>
        </w:rPr>
        <w:instrText xml:space="preserve"> FORMCHECKBOX </w:instrText>
      </w:r>
      <w:r w:rsidR="00467474">
        <w:rPr>
          <w:rFonts w:cs="Arial"/>
          <w:sz w:val="28"/>
          <w:szCs w:val="28"/>
        </w:rPr>
      </w:r>
      <w:r w:rsidR="00467474">
        <w:rPr>
          <w:rFonts w:cs="Arial"/>
          <w:sz w:val="28"/>
          <w:szCs w:val="28"/>
        </w:rPr>
        <w:fldChar w:fldCharType="separate"/>
      </w:r>
      <w:r w:rsidRPr="008C498B">
        <w:rPr>
          <w:rFonts w:cs="Arial"/>
          <w:sz w:val="28"/>
          <w:szCs w:val="28"/>
        </w:rPr>
        <w:fldChar w:fldCharType="end"/>
      </w:r>
      <w:bookmarkEnd w:id="91"/>
      <w:r w:rsidRPr="008C498B">
        <w:rPr>
          <w:rFonts w:cs="Arial"/>
        </w:rPr>
        <w:tab/>
      </w:r>
      <w:r>
        <w:rPr>
          <w:rFonts w:cs="Arial"/>
        </w:rPr>
        <w:t>o</w:t>
      </w:r>
      <w:r w:rsidRPr="008C498B">
        <w:rPr>
          <w:rFonts w:cs="Arial"/>
        </w:rPr>
        <w:t>n behalf of a group or organisation</w:t>
      </w:r>
      <w:r>
        <w:rPr>
          <w:rFonts w:cs="Arial"/>
        </w:rPr>
        <w:t>?</w:t>
      </w:r>
    </w:p>
    <w:p w:rsidR="004B0395" w:rsidRDefault="004B0395" w:rsidP="004B0395"/>
    <w:p w:rsidR="00823DC8" w:rsidRDefault="00000745" w:rsidP="004B0395">
      <w:pPr>
        <w:pStyle w:val="Heading3"/>
      </w:pPr>
      <w:r w:rsidRPr="00C36AB2">
        <w:t>Report</w:t>
      </w:r>
    </w:p>
    <w:p w:rsidR="00823DC8" w:rsidRDefault="00000745" w:rsidP="004B0395">
      <w:r>
        <w:t xml:space="preserve">The Ministry of Health may publish a </w:t>
      </w:r>
      <w:r w:rsidR="0072286B">
        <w:t>summary</w:t>
      </w:r>
      <w:r>
        <w:t xml:space="preserve"> report on the submissions once the Government has made its decisions about the Regulations.</w:t>
      </w:r>
      <w:r w:rsidR="00823DC8">
        <w:t xml:space="preserve"> </w:t>
      </w:r>
      <w:r w:rsidRPr="00D77954">
        <w:t>No information identifying a person or an organisation will be released in this report.</w:t>
      </w:r>
    </w:p>
    <w:p w:rsidR="00000745" w:rsidRDefault="00000745" w:rsidP="004B0395"/>
    <w:p w:rsidR="00000745" w:rsidRPr="00C36AB2" w:rsidRDefault="00000745" w:rsidP="004B0395">
      <w:pPr>
        <w:pStyle w:val="Heading3"/>
      </w:pPr>
      <w:r w:rsidRPr="00C36AB2">
        <w:t>Official Information Act 1982</w:t>
      </w:r>
    </w:p>
    <w:p w:rsidR="00823DC8" w:rsidRDefault="00000745" w:rsidP="004B0395">
      <w:r>
        <w:t>The Official Information Act 1982 (the OIA) applies to any submission you make and to any personal information you provide.</w:t>
      </w:r>
      <w:r w:rsidR="00823DC8">
        <w:t xml:space="preserve"> </w:t>
      </w:r>
      <w:r>
        <w:t>The OIA provides that information held (by the Ministry of Health) must be made available unless there is good reason to withhold it.</w:t>
      </w:r>
      <w:r w:rsidR="00823DC8">
        <w:t xml:space="preserve"> </w:t>
      </w:r>
      <w:r>
        <w:t>Accordingly, if the Ministry of Health does receive a request under the OIA for your information, we will discuss that with you</w:t>
      </w:r>
      <w:r w:rsidR="00C13706">
        <w:t>,</w:t>
      </w:r>
      <w:r>
        <w:t xml:space="preserve"> </w:t>
      </w:r>
      <w:r w:rsidR="00C13706">
        <w:t>where practicable,</w:t>
      </w:r>
      <w:r w:rsidR="0072286B">
        <w:t xml:space="preserve"> </w:t>
      </w:r>
      <w:r>
        <w:t>before responding to the request.</w:t>
      </w:r>
    </w:p>
    <w:p w:rsidR="004B0395" w:rsidRDefault="004B0395" w:rsidP="004B0395"/>
    <w:p w:rsidR="004B0395" w:rsidRDefault="004B0395" w:rsidP="004B0395">
      <w:r>
        <w:br w:type="page"/>
      </w:r>
    </w:p>
    <w:p w:rsidR="00000745" w:rsidRPr="00231984" w:rsidRDefault="00000745" w:rsidP="004B0395">
      <w:pPr>
        <w:pStyle w:val="Heading2"/>
        <w:spacing w:before="0"/>
        <w:rPr>
          <w:rFonts w:cs="Arial"/>
        </w:rPr>
      </w:pPr>
      <w:bookmarkStart w:id="92" w:name="_Toc449087460"/>
      <w:bookmarkStart w:id="93" w:name="_Toc450059058"/>
      <w:r w:rsidRPr="00231984">
        <w:lastRenderedPageBreak/>
        <w:t>Consultation questions</w:t>
      </w:r>
      <w:bookmarkEnd w:id="92"/>
      <w:bookmarkEnd w:id="93"/>
    </w:p>
    <w:p w:rsidR="00000745" w:rsidRPr="004B0395" w:rsidRDefault="00000745" w:rsidP="004B0395">
      <w:pPr>
        <w:pStyle w:val="Heading3"/>
      </w:pPr>
      <w:r>
        <w:t>Application forms</w:t>
      </w:r>
      <w:r w:rsidR="00823DC8" w:rsidRPr="004B0395">
        <w:t xml:space="preserve"> – </w:t>
      </w:r>
      <w:r w:rsidRPr="004B0395">
        <w:t>discussion point 1(a)</w:t>
      </w:r>
    </w:p>
    <w:p w:rsidR="00823DC8" w:rsidRDefault="004B0395" w:rsidP="004B0395">
      <w:pPr>
        <w:spacing w:before="240"/>
        <w:ind w:left="567" w:hanging="567"/>
      </w:pPr>
      <w:r>
        <w:t>1.</w:t>
      </w:r>
      <w:r>
        <w:tab/>
      </w:r>
      <w:r w:rsidR="00000745">
        <w:t>D</w:t>
      </w:r>
      <w:r w:rsidR="00000745" w:rsidRPr="009E2A1C">
        <w:t xml:space="preserve">o you think it would </w:t>
      </w:r>
      <w:r w:rsidR="00000745">
        <w:t xml:space="preserve">add value </w:t>
      </w:r>
      <w:r w:rsidR="00000745" w:rsidRPr="009E2A1C">
        <w:t xml:space="preserve">if application requirements </w:t>
      </w:r>
      <w:r w:rsidR="00000745">
        <w:t>we</w:t>
      </w:r>
      <w:r w:rsidR="00000745" w:rsidRPr="009E2A1C">
        <w:t xml:space="preserve">re prescribed in </w:t>
      </w:r>
      <w:r w:rsidR="00000745">
        <w:t>Regulations</w:t>
      </w:r>
      <w:r w:rsidR="00000745" w:rsidRPr="009E2A1C">
        <w:t>?</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E2A1C" w:rsidRDefault="00000745" w:rsidP="004B0395"/>
    <w:p w:rsidR="00823DC8" w:rsidRDefault="004B0395" w:rsidP="004B0395">
      <w:pPr>
        <w:spacing w:before="240"/>
        <w:ind w:left="567" w:hanging="567"/>
      </w:pPr>
      <w:r>
        <w:t>2.</w:t>
      </w:r>
      <w:r>
        <w:tab/>
      </w:r>
      <w:r w:rsidR="00000745">
        <w:t>If application requirements were prescribed in Regulations,</w:t>
      </w:r>
      <w:r w:rsidR="00000745" w:rsidRPr="009E2A1C">
        <w:t xml:space="preserve"> </w:t>
      </w:r>
      <w:r w:rsidR="00000745">
        <w:t>would</w:t>
      </w:r>
      <w:r w:rsidR="00000745" w:rsidRPr="009E2A1C">
        <w:t xml:space="preserve"> you prefer minimum requirements (requiring the Director </w:t>
      </w:r>
      <w:r w:rsidR="00000745">
        <w:t xml:space="preserve">of Radiation Safety </w:t>
      </w:r>
      <w:r w:rsidR="00000745" w:rsidRPr="009E2A1C">
        <w:t xml:space="preserve">to </w:t>
      </w:r>
      <w:r w:rsidR="00000745">
        <w:t xml:space="preserve">set </w:t>
      </w:r>
      <w:r w:rsidR="00000745" w:rsidRPr="009E2A1C">
        <w:t xml:space="preserve">additional requirements </w:t>
      </w:r>
      <w:r w:rsidR="00000745">
        <w:t>for specific situations</w:t>
      </w:r>
      <w:r w:rsidR="00000745" w:rsidRPr="009E2A1C">
        <w:t>) or should the full requirements be prescribed?</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Minimum</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Full</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B0395" w:rsidRPr="009E2A1C" w:rsidRDefault="004B0395" w:rsidP="004B0395"/>
    <w:p w:rsidR="00823DC8" w:rsidRDefault="004B0395" w:rsidP="004B0395">
      <w:pPr>
        <w:spacing w:before="240" w:after="120"/>
      </w:pPr>
      <w:r>
        <w:t>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4B0395"/>
    <w:p w:rsidR="00000745" w:rsidRPr="004B0395" w:rsidRDefault="00000745" w:rsidP="004B0395">
      <w:pPr>
        <w:pStyle w:val="Heading3"/>
      </w:pPr>
      <w:r>
        <w:lastRenderedPageBreak/>
        <w:t>Users and activities where a use licence is not required</w:t>
      </w:r>
      <w:r w:rsidR="00823DC8" w:rsidRPr="004B0395">
        <w:t xml:space="preserve"> – </w:t>
      </w:r>
      <w:r w:rsidRPr="004B0395">
        <w:t>discussion point 1(b)</w:t>
      </w:r>
    </w:p>
    <w:p w:rsidR="00823DC8" w:rsidRDefault="004B0395" w:rsidP="004B0395">
      <w:pPr>
        <w:spacing w:before="240"/>
        <w:ind w:left="567" w:hanging="567"/>
      </w:pPr>
      <w:r>
        <w:t>4.</w:t>
      </w:r>
      <w:r>
        <w:tab/>
      </w:r>
      <w:r w:rsidR="00000745" w:rsidRPr="00F677BC">
        <w:t xml:space="preserve">Do you think the proposed </w:t>
      </w:r>
      <w:r w:rsidR="00000745">
        <w:t>basis</w:t>
      </w:r>
      <w:r w:rsidR="00000745" w:rsidRPr="00F677BC">
        <w:t xml:space="preserve"> for exemptions is likely to maintain radiation safety and security?</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606C65" w:rsidRDefault="00000745" w:rsidP="004B0395"/>
    <w:p w:rsidR="00823DC8" w:rsidRDefault="004B0395" w:rsidP="004B0395">
      <w:pPr>
        <w:spacing w:before="240"/>
        <w:ind w:left="567" w:hanging="567"/>
      </w:pPr>
      <w:r>
        <w:t>5.</w:t>
      </w:r>
      <w:r>
        <w:tab/>
      </w:r>
      <w:r w:rsidR="00000745" w:rsidRPr="00F677BC">
        <w:t xml:space="preserve">Do you think there are any other </w:t>
      </w:r>
      <w:r w:rsidR="00000745">
        <w:t xml:space="preserve">areas of </w:t>
      </w:r>
      <w:r w:rsidR="00000745" w:rsidRPr="00F677BC">
        <w:t>radiation practices that are likely to be able to meet the criteria for an exemption?</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B0395" w:rsidRPr="009E2A1C" w:rsidRDefault="004B0395" w:rsidP="004B0395"/>
    <w:p w:rsidR="00823DC8" w:rsidRDefault="004B0395" w:rsidP="004B0395">
      <w:pPr>
        <w:spacing w:before="240" w:after="120"/>
        <w:ind w:left="567" w:hanging="567"/>
      </w:pPr>
      <w:r>
        <w:t>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4B0395"/>
    <w:p w:rsidR="00000745" w:rsidRPr="004B0395" w:rsidRDefault="00000745" w:rsidP="004B0395">
      <w:pPr>
        <w:pStyle w:val="Heading3"/>
      </w:pPr>
      <w:r w:rsidRPr="00231984">
        <w:lastRenderedPageBreak/>
        <w:t>Maximum periods for authorisations</w:t>
      </w:r>
      <w:r w:rsidR="00823DC8" w:rsidRPr="004B0395">
        <w:t xml:space="preserve"> – </w:t>
      </w:r>
      <w:r w:rsidRPr="004B0395">
        <w:t>discussion point 1(c)</w:t>
      </w:r>
    </w:p>
    <w:p w:rsidR="00823DC8" w:rsidRDefault="004B0395" w:rsidP="004B0395">
      <w:pPr>
        <w:spacing w:before="240"/>
        <w:ind w:left="567" w:hanging="567"/>
      </w:pPr>
      <w:r>
        <w:t>7.</w:t>
      </w:r>
      <w:r>
        <w:tab/>
      </w:r>
      <w:r w:rsidR="00000745">
        <w:t>D</w:t>
      </w:r>
      <w:r w:rsidR="00000745" w:rsidRPr="009E2A1C">
        <w:t xml:space="preserve">o you think </w:t>
      </w:r>
      <w:r w:rsidR="00000745">
        <w:t xml:space="preserve">the proposed </w:t>
      </w:r>
      <w:r w:rsidR="00000745" w:rsidRPr="009E2A1C">
        <w:t xml:space="preserve">maximum </w:t>
      </w:r>
      <w:r w:rsidR="00000745">
        <w:t>period of</w:t>
      </w:r>
      <w:r w:rsidR="00000745" w:rsidRPr="009E2A1C">
        <w:t xml:space="preserve"> </w:t>
      </w:r>
      <w:r w:rsidR="00000745">
        <w:t>three</w:t>
      </w:r>
      <w:r w:rsidR="00000745" w:rsidRPr="009E2A1C">
        <w:t xml:space="preserve"> years for </w:t>
      </w:r>
      <w:r w:rsidR="00000745">
        <w:t xml:space="preserve">source and </w:t>
      </w:r>
      <w:r w:rsidR="00000745" w:rsidRPr="009E2A1C">
        <w:t>use licences is</w:t>
      </w:r>
      <w:r w:rsidR="00000745">
        <w:t xml:space="preserve"> justified?</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4B0395" w:rsidRPr="00606C65" w:rsidRDefault="004B0395" w:rsidP="004B0395"/>
    <w:p w:rsidR="00823DC8" w:rsidRDefault="004B0395" w:rsidP="004B0395">
      <w:pPr>
        <w:spacing w:before="240"/>
        <w:ind w:left="567" w:hanging="567"/>
      </w:pPr>
      <w:r>
        <w:t>8.</w:t>
      </w:r>
      <w:r>
        <w:tab/>
      </w:r>
      <w:r w:rsidR="00000745">
        <w:t>D</w:t>
      </w:r>
      <w:r w:rsidR="00000745" w:rsidRPr="009E2A1C">
        <w:t xml:space="preserve">o you think </w:t>
      </w:r>
      <w:r w:rsidR="00000745">
        <w:t xml:space="preserve">the proposed </w:t>
      </w:r>
      <w:r w:rsidR="00000745" w:rsidRPr="009E2A1C">
        <w:t xml:space="preserve">maximum </w:t>
      </w:r>
      <w:r w:rsidR="00000745">
        <w:t>period of</w:t>
      </w:r>
      <w:r w:rsidR="00000745" w:rsidRPr="009E2A1C">
        <w:t xml:space="preserve"> </w:t>
      </w:r>
      <w:r w:rsidR="00000745">
        <w:t>one</w:t>
      </w:r>
      <w:r w:rsidR="00000745" w:rsidRPr="009E2A1C">
        <w:t xml:space="preserve"> year for consents is</w:t>
      </w:r>
      <w:r w:rsidR="00000745">
        <w:t xml:space="preserve"> justified?</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 w:rsidR="00823DC8" w:rsidRDefault="004B0395" w:rsidP="004B0395">
      <w:pPr>
        <w:spacing w:before="240" w:after="120"/>
        <w:ind w:left="567" w:hanging="567"/>
      </w:pPr>
      <w:r>
        <w:t>9.</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4B0395"/>
    <w:p w:rsidR="00823DC8" w:rsidRPr="004B0395" w:rsidRDefault="00000745" w:rsidP="004B0395">
      <w:pPr>
        <w:pStyle w:val="Heading3"/>
      </w:pPr>
      <w:r w:rsidRPr="00231984">
        <w:t xml:space="preserve">Radiation </w:t>
      </w:r>
      <w:r>
        <w:t>s</w:t>
      </w:r>
      <w:r w:rsidRPr="00231984">
        <w:t xml:space="preserve">afety </w:t>
      </w:r>
      <w:r>
        <w:t>p</w:t>
      </w:r>
      <w:r w:rsidRPr="000E3B28">
        <w:t>lans</w:t>
      </w:r>
      <w:r w:rsidR="00823DC8" w:rsidRPr="004B0395">
        <w:t xml:space="preserve"> – </w:t>
      </w:r>
      <w:r w:rsidRPr="004B0395">
        <w:t>discussion point 1(d)</w:t>
      </w:r>
    </w:p>
    <w:p w:rsidR="00823DC8" w:rsidRDefault="004B0395" w:rsidP="004B0395">
      <w:pPr>
        <w:keepNext/>
        <w:spacing w:before="240"/>
        <w:ind w:left="567" w:hanging="567"/>
      </w:pPr>
      <w:r>
        <w:t>10.</w:t>
      </w:r>
      <w:r>
        <w:tab/>
      </w:r>
      <w:r w:rsidR="00000745">
        <w:t>D</w:t>
      </w:r>
      <w:r w:rsidR="00000745" w:rsidRPr="009E2A1C">
        <w:t xml:space="preserve">o you </w:t>
      </w:r>
      <w:r w:rsidR="00000745">
        <w:t>think</w:t>
      </w:r>
      <w:r w:rsidR="00000745" w:rsidRPr="009E2A1C">
        <w:t xml:space="preserve"> </w:t>
      </w:r>
      <w:r w:rsidR="00000745">
        <w:t xml:space="preserve">additional </w:t>
      </w:r>
      <w:r w:rsidR="00000745" w:rsidRPr="009E2A1C">
        <w:t xml:space="preserve">requirements for radiation safety plans </w:t>
      </w:r>
      <w:r w:rsidR="00000745">
        <w:t>are best placed in individual codes of practice or</w:t>
      </w:r>
      <w:r w:rsidR="00000745" w:rsidRPr="009E2A1C">
        <w:t xml:space="preserve"> in </w:t>
      </w:r>
      <w:r w:rsidR="00000745">
        <w:t>Regulations?</w:t>
      </w:r>
    </w:p>
    <w:p w:rsidR="004B0395" w:rsidRDefault="004B0395" w:rsidP="004B0395">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4B0395" w:rsidRDefault="004B0395" w:rsidP="004B0395">
      <w:pPr>
        <w:spacing w:before="60" w:after="120"/>
        <w:ind w:left="567"/>
      </w:pPr>
      <w:r w:rsidRPr="00BE297A">
        <w:rPr>
          <w:rFonts w:ascii="Arial" w:hAnsi="Arial" w:cs="Arial"/>
          <w:sz w:val="24"/>
          <w:szCs w:val="24"/>
        </w:rPr>
        <w:lastRenderedPageBreak/>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4B0395" w:rsidRPr="003B556A" w:rsidRDefault="004B0395" w:rsidP="004B0395">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4B0395" w:rsidRPr="00BE297A" w:rsidTr="004B0395">
        <w:trPr>
          <w:cantSplit/>
          <w:trHeight w:val="2552"/>
        </w:trPr>
        <w:tc>
          <w:tcPr>
            <w:tcW w:w="8789" w:type="dxa"/>
          </w:tcPr>
          <w:p w:rsidR="004B0395" w:rsidRPr="00BE297A" w:rsidRDefault="004B0395" w:rsidP="004B039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FC27E5" w:rsidP="00FC27E5">
      <w:pPr>
        <w:spacing w:before="240" w:after="120"/>
        <w:ind w:left="567" w:hanging="567"/>
      </w:pPr>
      <w:r>
        <w:t>11.</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Pr>
        <w:autoSpaceDE w:val="0"/>
        <w:autoSpaceDN w:val="0"/>
        <w:adjustRightInd w:val="0"/>
      </w:pPr>
    </w:p>
    <w:p w:rsidR="00000745" w:rsidRPr="00FC27E5" w:rsidRDefault="00000745" w:rsidP="00632DCF">
      <w:pPr>
        <w:pStyle w:val="Heading3"/>
        <w:spacing w:before="480"/>
      </w:pPr>
      <w:r>
        <w:t>Expected costs under the Act</w:t>
      </w:r>
      <w:r w:rsidR="00823DC8" w:rsidRPr="00FC27E5">
        <w:t xml:space="preserve"> – </w:t>
      </w:r>
      <w:r w:rsidRPr="00FC27E5">
        <w:t>discussion point 2(c)</w:t>
      </w:r>
    </w:p>
    <w:p w:rsidR="00823DC8" w:rsidRDefault="00FC27E5" w:rsidP="00FC27E5">
      <w:pPr>
        <w:spacing w:before="240"/>
        <w:ind w:left="567" w:hanging="567"/>
      </w:pPr>
      <w:r>
        <w:t>12.</w:t>
      </w:r>
      <w:r>
        <w:tab/>
      </w:r>
      <w:r w:rsidR="00000745" w:rsidRPr="00616F84">
        <w:t xml:space="preserve">Do you think the </w:t>
      </w:r>
      <w:r w:rsidR="00000745" w:rsidRPr="00D77954">
        <w:t>statement of costs is actual and reasonable?</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keepNext/>
        <w:spacing w:before="240" w:after="120"/>
        <w:ind w:left="567" w:hanging="567"/>
      </w:pPr>
      <w:r>
        <w:lastRenderedPageBreak/>
        <w:t>13.</w:t>
      </w:r>
      <w:r>
        <w:tab/>
      </w:r>
      <w:r w:rsidR="00000745" w:rsidRPr="00D77954">
        <w:t xml:space="preserve">If you think the statement of costs is not actual or reasonable, can you identify other information or another method </w:t>
      </w:r>
      <w:r w:rsidR="00000745">
        <w:t>for establishing costs</w:t>
      </w:r>
      <w:r w:rsidR="00000745" w:rsidRPr="00616F84">
        <w:t>?</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000745" w:rsidRPr="009F166A" w:rsidRDefault="00FC27E5" w:rsidP="00FC27E5">
      <w:pPr>
        <w:spacing w:before="240"/>
        <w:ind w:left="567" w:hanging="567"/>
        <w:rPr>
          <w:rFonts w:cs="Arial"/>
          <w:szCs w:val="24"/>
        </w:rPr>
      </w:pPr>
      <w:r>
        <w:t>14.</w:t>
      </w:r>
      <w:r>
        <w:tab/>
      </w:r>
      <w:r w:rsidR="00000745">
        <w:t>Do you think it is reasonable to recover the full costs in fees?</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F166A" w:rsidRDefault="00000745" w:rsidP="00FC27E5"/>
    <w:p w:rsidR="00000745" w:rsidRDefault="00FC27E5" w:rsidP="00677DBC">
      <w:pPr>
        <w:spacing w:before="240" w:after="120"/>
        <w:ind w:left="567" w:hanging="567"/>
      </w:pPr>
      <w:r>
        <w:t>15.</w:t>
      </w:r>
      <w:r>
        <w:tab/>
      </w:r>
      <w:r w:rsidR="00000745">
        <w:t>If you think it is unreasonable to recover the full costs in fees, can you please identify who should meet the remaining costs.</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keepNext/>
        <w:spacing w:before="240" w:after="120"/>
        <w:ind w:left="567" w:hanging="567"/>
      </w:pPr>
      <w:r>
        <w:lastRenderedPageBreak/>
        <w:t>16.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FC27E5" w:rsidRDefault="00000745" w:rsidP="00632DCF">
      <w:pPr>
        <w:pStyle w:val="Heading3"/>
        <w:spacing w:before="480"/>
      </w:pPr>
      <w:r w:rsidRPr="009E2A1C">
        <w:t xml:space="preserve">Distribution of </w:t>
      </w:r>
      <w:r>
        <w:t>fees</w:t>
      </w:r>
      <w:r w:rsidRPr="009E2A1C">
        <w:t xml:space="preserve"> across authorisation types</w:t>
      </w:r>
      <w:r w:rsidR="00823DC8" w:rsidRPr="00FC27E5">
        <w:t xml:space="preserve"> –</w:t>
      </w:r>
      <w:r w:rsidR="00677DBC">
        <w:br/>
      </w:r>
      <w:r w:rsidRPr="00FC27E5">
        <w:t>discussion point 2(d)</w:t>
      </w:r>
    </w:p>
    <w:p w:rsidR="00823DC8" w:rsidRDefault="00FC27E5" w:rsidP="00FC27E5">
      <w:pPr>
        <w:spacing w:before="240"/>
        <w:ind w:left="567" w:hanging="567"/>
      </w:pPr>
      <w:r>
        <w:t>17.</w:t>
      </w:r>
      <w:r>
        <w:tab/>
      </w:r>
      <w:r w:rsidR="00000745" w:rsidRPr="00411702">
        <w:t>D</w:t>
      </w:r>
      <w:r w:rsidR="00000745">
        <w:t xml:space="preserve">o you think </w:t>
      </w:r>
      <w:r w:rsidR="00000745" w:rsidRPr="00411702">
        <w:t xml:space="preserve">the </w:t>
      </w:r>
      <w:r w:rsidR="00000745">
        <w:t>preferred distribution</w:t>
      </w:r>
      <w:r w:rsidR="00000745" w:rsidRPr="00411702">
        <w:t xml:space="preserve"> of fees across source licences, use licences and consents is </w:t>
      </w:r>
      <w:r w:rsidR="00000745">
        <w:t>justified</w:t>
      </w:r>
      <w:r w:rsidR="00000745" w:rsidRPr="00411702">
        <w:t>?</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spacing w:before="240" w:after="120"/>
        <w:ind w:left="567" w:hanging="567"/>
      </w:pPr>
      <w:r>
        <w:t>18.</w:t>
      </w:r>
      <w:r>
        <w:tab/>
      </w:r>
      <w:r w:rsidR="00000745">
        <w:t xml:space="preserve">If </w:t>
      </w:r>
      <w:r w:rsidR="00000745" w:rsidRPr="003D310D">
        <w:t xml:space="preserve">you think </w:t>
      </w:r>
      <w:r w:rsidR="00000745">
        <w:t>the preferred distribution</w:t>
      </w:r>
      <w:r w:rsidR="00000745" w:rsidRPr="003D310D">
        <w:t xml:space="preserve"> of fees </w:t>
      </w:r>
      <w:r w:rsidR="00000745">
        <w:t>is not justified, please suggest an alternative.</w:t>
      </w:r>
      <w:r w:rsidR="00000745" w:rsidRPr="003D310D">
        <w:t xml:space="preserve"> </w:t>
      </w:r>
      <w:r w:rsidR="00000745">
        <w:t>Please also provide a justification for your option.</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316012" w:rsidRDefault="00000745" w:rsidP="00FC27E5"/>
    <w:p w:rsidR="00823DC8" w:rsidRDefault="00FC27E5" w:rsidP="00677DBC">
      <w:pPr>
        <w:keepNext/>
        <w:spacing w:before="240" w:after="120"/>
        <w:ind w:left="567" w:hanging="567"/>
      </w:pPr>
      <w:r>
        <w:lastRenderedPageBreak/>
        <w:t>19.</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FC27E5" w:rsidRDefault="00000745" w:rsidP="00632DCF">
      <w:pPr>
        <w:pStyle w:val="Heading3"/>
        <w:spacing w:before="480"/>
      </w:pPr>
      <w:r w:rsidRPr="00231984">
        <w:t>Proposed source licence fees</w:t>
      </w:r>
      <w:r>
        <w:t xml:space="preserve"> and </w:t>
      </w:r>
      <w:r w:rsidR="00823DC8">
        <w:t>‘</w:t>
      </w:r>
      <w:r>
        <w:t>compliance verification entities</w:t>
      </w:r>
      <w:r w:rsidR="00823DC8">
        <w:t>’</w:t>
      </w:r>
      <w:r w:rsidR="00823DC8" w:rsidRPr="00FC27E5">
        <w:t xml:space="preserve"> – </w:t>
      </w:r>
      <w:r w:rsidRPr="00FC27E5">
        <w:t>discussion point 2(e)</w:t>
      </w:r>
    </w:p>
    <w:p w:rsidR="00823DC8" w:rsidRDefault="00FC27E5" w:rsidP="00FC27E5">
      <w:pPr>
        <w:spacing w:before="240"/>
        <w:ind w:left="567" w:hanging="567"/>
      </w:pPr>
      <w:r>
        <w:t>20.</w:t>
      </w:r>
      <w:r>
        <w:tab/>
      </w:r>
      <w:r w:rsidR="00000745" w:rsidRPr="009973BB">
        <w:t xml:space="preserve">Do you think </w:t>
      </w:r>
      <w:r w:rsidR="00000745">
        <w:t>the preferred option of varying fees on the basis of compliance verification frequency (see Table 5)</w:t>
      </w:r>
      <w:r w:rsidR="00000745" w:rsidRPr="009973BB">
        <w:t xml:space="preserve"> </w:t>
      </w:r>
      <w:r w:rsidR="00000745">
        <w:t>is justified</w:t>
      </w:r>
      <w:r w:rsidR="00000745" w:rsidRPr="009973BB">
        <w:t>?</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FC27E5" w:rsidP="00FC27E5">
      <w:pPr>
        <w:spacing w:before="240"/>
        <w:ind w:left="567" w:hanging="567"/>
      </w:pPr>
      <w:r>
        <w:t>21.</w:t>
      </w:r>
      <w:r>
        <w:tab/>
      </w:r>
      <w:r w:rsidR="00000745">
        <w:t xml:space="preserve">Do you think the preferred option of applying fees to </w:t>
      </w:r>
      <w:r w:rsidR="00823DC8">
        <w:t>‘</w:t>
      </w:r>
      <w:r w:rsidR="00000745">
        <w:t>compliance verification entities</w:t>
      </w:r>
      <w:r w:rsidR="00823DC8">
        <w:t>’</w:t>
      </w:r>
      <w:r w:rsidR="00000745">
        <w:t xml:space="preserve"> is justified?</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677DBC">
      <w:pPr>
        <w:keepNext/>
        <w:spacing w:before="240" w:after="120"/>
        <w:ind w:left="567" w:hanging="567"/>
      </w:pPr>
      <w:r>
        <w:lastRenderedPageBreak/>
        <w:t>22.</w:t>
      </w:r>
      <w:r>
        <w:tab/>
      </w:r>
      <w:r w:rsidR="00000745">
        <w:t>If you think the preferred options are unjustified, please outline an alternative option for assigning source licence fees.</w:t>
      </w:r>
      <w:r w:rsidR="00823DC8">
        <w:t xml:space="preserve"> </w:t>
      </w:r>
      <w:r w:rsidR="00000745">
        <w:t>Please provide a justification for your method.</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823DC8" w:rsidRDefault="00FC27E5" w:rsidP="00FC27E5">
      <w:pPr>
        <w:spacing w:before="240" w:after="120"/>
        <w:ind w:left="567" w:hanging="567"/>
      </w:pPr>
      <w:r>
        <w:t>23.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Proposed use licence fees</w:t>
      </w:r>
      <w:r w:rsidR="00823DC8">
        <w:t xml:space="preserve"> – </w:t>
      </w:r>
      <w:r>
        <w:t>discussion point 2(f)</w:t>
      </w:r>
    </w:p>
    <w:p w:rsidR="00000745" w:rsidRDefault="00FC27E5" w:rsidP="00FC27E5">
      <w:pPr>
        <w:spacing w:before="240"/>
        <w:ind w:left="567" w:hanging="567"/>
      </w:pPr>
      <w:r>
        <w:t>24.</w:t>
      </w:r>
      <w:r>
        <w:tab/>
      </w:r>
      <w:r w:rsidR="00000745">
        <w:t>Do you think the preferred use licence fee is justified?</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2F1FFA" w:rsidRDefault="00FC27E5" w:rsidP="00677DBC">
      <w:pPr>
        <w:keepNext/>
        <w:spacing w:before="240" w:after="120"/>
        <w:ind w:left="567" w:hanging="567"/>
      </w:pPr>
      <w:r>
        <w:lastRenderedPageBreak/>
        <w:t>25.</w:t>
      </w:r>
      <w:r>
        <w:tab/>
      </w:r>
      <w:r w:rsidR="00000745" w:rsidRPr="002F1FFA">
        <w:t>If</w:t>
      </w:r>
      <w:r w:rsidR="00000745">
        <w:t xml:space="preserve"> you think the preferred option</w:t>
      </w:r>
      <w:r w:rsidR="00000745" w:rsidRPr="002F1FFA">
        <w:t xml:space="preserve"> </w:t>
      </w:r>
      <w:r w:rsidR="00000745">
        <w:t>is</w:t>
      </w:r>
      <w:r w:rsidR="00000745" w:rsidRPr="002F1FFA">
        <w:t xml:space="preserve"> un</w:t>
      </w:r>
      <w:r w:rsidR="00000745">
        <w:t>justified</w:t>
      </w:r>
      <w:r w:rsidR="00000745" w:rsidRPr="002F1FFA">
        <w:t xml:space="preserve">, please outline an alternative option for assigning </w:t>
      </w:r>
      <w:r w:rsidR="00000745">
        <w:t>use</w:t>
      </w:r>
      <w:r w:rsidR="00000745" w:rsidRPr="002F1FFA">
        <w:t xml:space="preserve"> licence fees</w:t>
      </w:r>
      <w:r w:rsidR="00000745">
        <w:t>.</w:t>
      </w:r>
      <w:r w:rsidR="00823DC8">
        <w:t xml:space="preserve"> </w:t>
      </w:r>
      <w:r w:rsidR="00000745" w:rsidRPr="002F1FFA">
        <w:t>Please provide a justification for your method.</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FC27E5" w:rsidP="00FC27E5">
      <w:pPr>
        <w:spacing w:before="240" w:after="120"/>
        <w:ind w:left="567" w:hanging="567"/>
      </w:pPr>
      <w:r>
        <w:t>26.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823DC8" w:rsidRDefault="00000745" w:rsidP="00632DCF">
      <w:pPr>
        <w:pStyle w:val="Heading3"/>
        <w:spacing w:before="480"/>
      </w:pPr>
      <w:r>
        <w:t>Proposed consent fees</w:t>
      </w:r>
      <w:r w:rsidR="00823DC8">
        <w:t xml:space="preserve"> – </w:t>
      </w:r>
      <w:r w:rsidRPr="003E486D">
        <w:t xml:space="preserve">discussion point </w:t>
      </w:r>
      <w:r>
        <w:t>2(</w:t>
      </w:r>
      <w:r w:rsidRPr="003E486D">
        <w:t>g)</w:t>
      </w:r>
    </w:p>
    <w:p w:rsidR="00823DC8" w:rsidRDefault="00FC27E5" w:rsidP="00FC27E5">
      <w:pPr>
        <w:spacing w:before="240"/>
        <w:ind w:left="567" w:hanging="567"/>
      </w:pPr>
      <w:r>
        <w:t>27.</w:t>
      </w:r>
      <w:r>
        <w:tab/>
      </w:r>
      <w:r w:rsidR="00000745" w:rsidRPr="00231CD5">
        <w:t xml:space="preserve">Do you think </w:t>
      </w:r>
      <w:r w:rsidR="00000745">
        <w:t>the preferred consent fees are justified?</w:t>
      </w:r>
    </w:p>
    <w:p w:rsidR="00677DBC" w:rsidRDefault="00677DBC" w:rsidP="00677DBC">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677DBC" w:rsidRDefault="00677DBC" w:rsidP="00677DBC">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677DBC" w:rsidRPr="003B556A" w:rsidRDefault="00677DBC" w:rsidP="00677DBC">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677DBC" w:rsidRPr="00606C65" w:rsidRDefault="00677DBC" w:rsidP="00677DBC"/>
    <w:p w:rsidR="00000745" w:rsidRPr="003E486D" w:rsidRDefault="00FC27E5" w:rsidP="00677DBC">
      <w:pPr>
        <w:keepNext/>
        <w:spacing w:before="240" w:after="120"/>
        <w:ind w:left="567" w:hanging="567"/>
        <w:rPr>
          <w:rFonts w:cs="Arial"/>
        </w:rPr>
      </w:pPr>
      <w:r>
        <w:lastRenderedPageBreak/>
        <w:t>28.</w:t>
      </w:r>
      <w:r>
        <w:tab/>
      </w:r>
      <w:r w:rsidR="00000745" w:rsidRPr="003E486D">
        <w:t>If you think the preferred option is un</w:t>
      </w:r>
      <w:r w:rsidR="00000745">
        <w:t>justified</w:t>
      </w:r>
      <w:r w:rsidR="00000745" w:rsidRPr="003E486D">
        <w:t xml:space="preserve">, please outline an alternative option for assigning </w:t>
      </w:r>
      <w:r w:rsidR="00000745">
        <w:t>consent</w:t>
      </w:r>
      <w:r w:rsidR="00000745" w:rsidRPr="003E486D">
        <w:t xml:space="preserve"> fees</w:t>
      </w:r>
      <w:r w:rsidR="00000745">
        <w:t>.</w:t>
      </w:r>
      <w:r w:rsidR="00823DC8">
        <w:t xml:space="preserve"> </w:t>
      </w:r>
      <w:r w:rsidR="00000745" w:rsidRPr="003E486D">
        <w:t>Please provide a justification for your method.</w:t>
      </w:r>
    </w:p>
    <w:tbl>
      <w:tblPr>
        <w:tblStyle w:val="TableGrid"/>
        <w:tblW w:w="0" w:type="auto"/>
        <w:tblInd w:w="675" w:type="dxa"/>
        <w:tblLayout w:type="fixed"/>
        <w:tblLook w:val="04A0" w:firstRow="1" w:lastRow="0" w:firstColumn="1" w:lastColumn="0" w:noHBand="0" w:noVBand="1"/>
      </w:tblPr>
      <w:tblGrid>
        <w:gridCol w:w="8789"/>
      </w:tblGrid>
      <w:tr w:rsidR="00677DBC" w:rsidRPr="00BE297A" w:rsidTr="00663689">
        <w:trPr>
          <w:cantSplit/>
          <w:trHeight w:val="2552"/>
        </w:trPr>
        <w:tc>
          <w:tcPr>
            <w:tcW w:w="8789" w:type="dxa"/>
          </w:tcPr>
          <w:p w:rsidR="00677DBC" w:rsidRPr="00BE297A" w:rsidRDefault="00677DBC"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3E486D" w:rsidRDefault="00000745" w:rsidP="00FC27E5"/>
    <w:p w:rsidR="00823DC8" w:rsidRDefault="00FC27E5" w:rsidP="00FC27E5">
      <w:pPr>
        <w:spacing w:before="240" w:after="120"/>
        <w:ind w:left="567" w:hanging="567"/>
      </w:pPr>
      <w:r>
        <w:t>29.</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FC27E5" w:rsidRDefault="00000745" w:rsidP="00632DCF">
      <w:pPr>
        <w:pStyle w:val="Heading3"/>
        <w:spacing w:before="480"/>
      </w:pPr>
      <w:r>
        <w:t xml:space="preserve">Historical fees take and the </w:t>
      </w:r>
      <w:r w:rsidR="00823DC8">
        <w:t>‘</w:t>
      </w:r>
      <w:r>
        <w:t>memorandum account</w:t>
      </w:r>
      <w:r w:rsidR="00823DC8">
        <w:t>’</w:t>
      </w:r>
      <w:r w:rsidR="00823DC8" w:rsidRPr="00FC27E5">
        <w:t xml:space="preserve"> –</w:t>
      </w:r>
      <w:r w:rsidR="00677DBC">
        <w:br/>
      </w:r>
      <w:r w:rsidRPr="00FC27E5">
        <w:t>discussion point 2(h)</w:t>
      </w:r>
    </w:p>
    <w:p w:rsidR="00823DC8" w:rsidRDefault="00FC27E5" w:rsidP="00FC27E5">
      <w:pPr>
        <w:spacing w:before="240"/>
        <w:ind w:left="567" w:hanging="567"/>
      </w:pPr>
      <w:r>
        <w:t>30.</w:t>
      </w:r>
      <w:r>
        <w:tab/>
      </w:r>
      <w:r w:rsidR="00000745" w:rsidRPr="00231CD5">
        <w:t xml:space="preserve">Do you think applying a </w:t>
      </w:r>
      <w:r w:rsidR="00000745" w:rsidRPr="00D77954">
        <w:t>partial exemption to full</w:t>
      </w:r>
      <w:r w:rsidR="00000745">
        <w:t xml:space="preserve"> source licence fees </w:t>
      </w:r>
      <w:r w:rsidR="00000745" w:rsidRPr="00231CD5">
        <w:t>is a fair way of returning historically over</w:t>
      </w:r>
      <w:r w:rsidR="00000745">
        <w:t>-recovered</w:t>
      </w:r>
      <w:r w:rsidR="00000745" w:rsidRPr="00231CD5">
        <w:t xml:space="preserve"> </w:t>
      </w:r>
      <w:r w:rsidR="00000745">
        <w:t xml:space="preserve">licence </w:t>
      </w:r>
      <w:r w:rsidR="00000745" w:rsidRPr="00231CD5">
        <w:t>fees</w:t>
      </w:r>
      <w:r w:rsidR="00000745">
        <w:t xml:space="preserve"> under the r</w:t>
      </w:r>
      <w:r w:rsidR="00000745" w:rsidRPr="00231CD5">
        <w:t xml:space="preserve">adiation </w:t>
      </w:r>
      <w:r w:rsidR="00000745">
        <w:t>p</w:t>
      </w:r>
      <w:r w:rsidR="00000745" w:rsidRPr="00231CD5">
        <w:t xml:space="preserve">rotection </w:t>
      </w:r>
      <w:r w:rsidR="00000745">
        <w:t>framework</w:t>
      </w:r>
      <w:r w:rsidR="00000745" w:rsidRPr="00231CD5">
        <w:t>?</w:t>
      </w:r>
    </w:p>
    <w:p w:rsidR="007F4E9A" w:rsidRDefault="007F4E9A" w:rsidP="007F4E9A">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7F4E9A" w:rsidRDefault="007F4E9A" w:rsidP="007F4E9A">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7F4E9A" w:rsidRPr="003B556A" w:rsidRDefault="007F4E9A" w:rsidP="007F4E9A">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F4E9A" w:rsidRPr="00606C65" w:rsidRDefault="007F4E9A" w:rsidP="007F4E9A"/>
    <w:p w:rsidR="00823DC8" w:rsidRDefault="00FC27E5" w:rsidP="007F4E9A">
      <w:pPr>
        <w:keepNext/>
        <w:spacing w:before="240" w:after="120"/>
        <w:ind w:left="567" w:hanging="567"/>
      </w:pPr>
      <w:r>
        <w:lastRenderedPageBreak/>
        <w:t>31.</w:t>
      </w:r>
      <w:r>
        <w:tab/>
      </w:r>
      <w:r w:rsidR="00000745" w:rsidRPr="00231CD5">
        <w:t>Can you identify potential future authorisation holders under the</w:t>
      </w:r>
      <w:r w:rsidR="00000745">
        <w:t xml:space="preserve"> new Act</w:t>
      </w:r>
      <w:r w:rsidR="00000745" w:rsidRPr="00231CD5">
        <w:t xml:space="preserve"> that have not incurred historic</w:t>
      </w:r>
      <w:r w:rsidR="00000745">
        <w:t>al</w:t>
      </w:r>
      <w:r w:rsidR="00000745" w:rsidRPr="00231CD5">
        <w:t xml:space="preserve"> licence fees under the current </w:t>
      </w:r>
      <w:r w:rsidR="00000745">
        <w:t>r</w:t>
      </w:r>
      <w:r w:rsidR="00000745" w:rsidRPr="00231CD5">
        <w:t xml:space="preserve">adiation </w:t>
      </w:r>
      <w:r w:rsidR="00000745">
        <w:t>p</w:t>
      </w:r>
      <w:r w:rsidR="00000745" w:rsidRPr="00231CD5">
        <w:t xml:space="preserve">rotection </w:t>
      </w:r>
      <w:r w:rsidR="00000745">
        <w:t>framework</w:t>
      </w:r>
      <w:r w:rsidR="007F4E9A">
        <w:t>?</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F4E9A" w:rsidRPr="00606C65" w:rsidRDefault="007F4E9A" w:rsidP="007F4E9A"/>
    <w:p w:rsidR="00823DC8" w:rsidRDefault="00FC27E5" w:rsidP="007F4E9A">
      <w:pPr>
        <w:spacing w:before="240" w:after="120"/>
        <w:ind w:left="567" w:hanging="567"/>
      </w:pPr>
      <w:r>
        <w:t>32.</w:t>
      </w:r>
      <w:r>
        <w:tab/>
      </w:r>
      <w:r w:rsidR="00000745">
        <w:t xml:space="preserve">Do you have an alternative method for addressing the historical over-recovery of costs by </w:t>
      </w:r>
      <w:r w:rsidR="00000745" w:rsidRPr="00D77954">
        <w:t>partially exempting</w:t>
      </w:r>
      <w:r w:rsidR="00000745">
        <w:t xml:space="preserve"> future fees?</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372D5" w:rsidRDefault="00000745" w:rsidP="00FC27E5"/>
    <w:p w:rsidR="00823DC8" w:rsidRDefault="00FC27E5" w:rsidP="00FC27E5">
      <w:pPr>
        <w:spacing w:before="240" w:after="120"/>
        <w:ind w:left="567" w:hanging="567"/>
      </w:pPr>
      <w:r>
        <w:t>33.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FC27E5">
      <w:pPr>
        <w:pStyle w:val="Heading3"/>
      </w:pPr>
      <w:r w:rsidRPr="00231984">
        <w:lastRenderedPageBreak/>
        <w:t>Radiation sources temporarily entering New Zealand by ship or aircraft</w:t>
      </w:r>
      <w:r w:rsidR="00823DC8">
        <w:t xml:space="preserve"> – </w:t>
      </w:r>
      <w:r>
        <w:t>discussion point 3(a)</w:t>
      </w:r>
    </w:p>
    <w:p w:rsidR="00823DC8" w:rsidRDefault="00FC27E5" w:rsidP="00EC5B77">
      <w:pPr>
        <w:keepNext/>
        <w:spacing w:before="240"/>
        <w:ind w:left="567" w:hanging="567"/>
      </w:pPr>
      <w:r>
        <w:t>34.</w:t>
      </w:r>
      <w:r>
        <w:tab/>
      </w:r>
      <w:r w:rsidR="00000745">
        <w:t>D</w:t>
      </w:r>
      <w:r w:rsidR="00000745" w:rsidRPr="009E2A1C">
        <w:t xml:space="preserve">o you </w:t>
      </w:r>
      <w:r w:rsidR="00000745">
        <w:t>think exemptions from the requirements to obtain an authorisation</w:t>
      </w:r>
      <w:r w:rsidR="00000745" w:rsidRPr="009E2A1C">
        <w:t xml:space="preserve"> and </w:t>
      </w:r>
      <w:r w:rsidR="00000745">
        <w:t>to register radiation sources in the situations specified in discussion point 3(a)</w:t>
      </w:r>
      <w:r w:rsidR="00000745" w:rsidRPr="00675B2F">
        <w:t xml:space="preserve"> </w:t>
      </w:r>
      <w:r w:rsidR="00000745" w:rsidRPr="0084719E">
        <w:t xml:space="preserve">of the </w:t>
      </w:r>
      <w:r w:rsidR="00000745">
        <w:t>consultation document are justified</w:t>
      </w:r>
      <w:r w:rsidR="00000745" w:rsidRPr="009E2A1C">
        <w:t>?</w:t>
      </w:r>
    </w:p>
    <w:p w:rsidR="007F4E9A" w:rsidRDefault="007F4E9A"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7F4E9A" w:rsidRDefault="007F4E9A"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7F4E9A" w:rsidRPr="003B556A" w:rsidRDefault="007F4E9A" w:rsidP="00EC5B77">
      <w:pPr>
        <w:keepNext/>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7F4E9A" w:rsidRPr="00BE297A" w:rsidTr="00663689">
        <w:trPr>
          <w:cantSplit/>
          <w:trHeight w:val="2552"/>
        </w:trPr>
        <w:tc>
          <w:tcPr>
            <w:tcW w:w="8789" w:type="dxa"/>
          </w:tcPr>
          <w:p w:rsidR="007F4E9A" w:rsidRPr="00BE297A" w:rsidRDefault="007F4E9A"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F4E9A" w:rsidRPr="00606C65" w:rsidRDefault="007F4E9A" w:rsidP="007F4E9A"/>
    <w:p w:rsidR="00000745" w:rsidRDefault="00FC27E5" w:rsidP="00FC27E5">
      <w:pPr>
        <w:spacing w:before="240"/>
        <w:ind w:left="567" w:hanging="567"/>
      </w:pPr>
      <w:r>
        <w:t>35.</w:t>
      </w:r>
      <w:r>
        <w:tab/>
      </w:r>
      <w:r w:rsidR="00000745">
        <w:t>D</w:t>
      </w:r>
      <w:r w:rsidR="00000745" w:rsidRPr="009E2A1C">
        <w:t xml:space="preserve">o you think </w:t>
      </w:r>
      <w:r w:rsidR="00000745">
        <w:t xml:space="preserve">there are situations that are not specified in </w:t>
      </w:r>
      <w:r w:rsidR="00000745" w:rsidRPr="0084719E">
        <w:t xml:space="preserve">discussion point </w:t>
      </w:r>
      <w:r w:rsidR="00000745">
        <w:t>3(</w:t>
      </w:r>
      <w:r w:rsidR="00000745" w:rsidRPr="0084719E">
        <w:t>a</w:t>
      </w:r>
      <w:r w:rsidR="00000745">
        <w:t>)</w:t>
      </w:r>
      <w:r w:rsidR="00000745" w:rsidRPr="0084719E">
        <w:t xml:space="preserve"> of the </w:t>
      </w:r>
      <w:r w:rsidR="00000745">
        <w:t>consultation</w:t>
      </w:r>
      <w:r w:rsidR="00000745" w:rsidRPr="0084719E">
        <w:t xml:space="preserve"> document</w:t>
      </w:r>
      <w:r w:rsidR="00000745">
        <w:t xml:space="preserve"> where radiation sources temporarily entering New Zealand by ship or craft should</w:t>
      </w:r>
      <w:r w:rsidR="00000745" w:rsidRPr="009E2A1C">
        <w:t xml:space="preserve"> be exempted</w:t>
      </w:r>
      <w:r w:rsidR="00000745">
        <w:t xml:space="preserve"> from the requirements to obtain an authorisation</w:t>
      </w:r>
      <w:r w:rsidR="00000745" w:rsidRPr="009E2A1C">
        <w:t xml:space="preserve"> and </w:t>
      </w:r>
      <w:r w:rsidR="00000745">
        <w:t>registration</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after="120"/>
        <w:ind w:left="567" w:hanging="567"/>
      </w:pPr>
      <w:r>
        <w:t>36.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FC27E5">
      <w:pPr>
        <w:pStyle w:val="Heading3"/>
      </w:pPr>
      <w:r w:rsidRPr="00231984">
        <w:lastRenderedPageBreak/>
        <w:t>Low</w:t>
      </w:r>
      <w:r>
        <w:t>-</w:t>
      </w:r>
      <w:r w:rsidRPr="00231984">
        <w:t xml:space="preserve">exposure and low-probability </w:t>
      </w:r>
      <w:r>
        <w:t>scenarios</w:t>
      </w:r>
      <w:r w:rsidR="00823DC8">
        <w:t xml:space="preserve"> –</w:t>
      </w:r>
      <w:r w:rsidR="00FC27E5">
        <w:br/>
      </w:r>
      <w:r>
        <w:t>discussion point 3(b)</w:t>
      </w:r>
    </w:p>
    <w:p w:rsidR="00000745" w:rsidRPr="009E2A1C" w:rsidRDefault="00FC27E5" w:rsidP="00FC27E5">
      <w:pPr>
        <w:spacing w:before="240"/>
        <w:ind w:left="567" w:hanging="567"/>
      </w:pPr>
      <w:r>
        <w:t>37.</w:t>
      </w:r>
      <w:r>
        <w:tab/>
      </w:r>
      <w:r w:rsidR="00000745">
        <w:t>D</w:t>
      </w:r>
      <w:r w:rsidR="00000745" w:rsidRPr="009E2A1C">
        <w:t xml:space="preserve">o you </w:t>
      </w:r>
      <w:r w:rsidR="00000745">
        <w:t>think the preferred exemptions outlined in T</w:t>
      </w:r>
      <w:r w:rsidR="00000745" w:rsidRPr="009E2A1C">
        <w:t xml:space="preserve">able </w:t>
      </w:r>
      <w:r w:rsidR="00000745" w:rsidRPr="00D77954">
        <w:t xml:space="preserve">9 </w:t>
      </w:r>
      <w:r w:rsidR="00000745" w:rsidRPr="0084719E">
        <w:t xml:space="preserve">of the </w:t>
      </w:r>
      <w:r w:rsidR="00000745">
        <w:t>consultation</w:t>
      </w:r>
      <w:r w:rsidR="00000745" w:rsidRPr="0084719E">
        <w:t xml:space="preserve"> document</w:t>
      </w:r>
      <w:r w:rsidR="00000745">
        <w:t xml:space="preserve"> are justified</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ind w:left="567" w:hanging="567"/>
      </w:pPr>
      <w:r>
        <w:t>38.</w:t>
      </w:r>
      <w:r>
        <w:tab/>
      </w:r>
      <w:r w:rsidR="00000745">
        <w:t xml:space="preserve">Do you think there are </w:t>
      </w:r>
      <w:r w:rsidR="00000745" w:rsidRPr="009E2A1C">
        <w:t xml:space="preserve">other </w:t>
      </w:r>
      <w:r w:rsidR="00000745">
        <w:t xml:space="preserve">situations where the requirements to obtain an authorisation and to register the radiation source should </w:t>
      </w:r>
      <w:r w:rsidR="00000745" w:rsidRPr="009E2A1C">
        <w:t>be exempted</w:t>
      </w:r>
      <w:r w:rsidR="00000745">
        <w:t xml:space="preserve"> because the radiation use presents a particularly low risk of exposure?</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FC27E5" w:rsidP="00EC5B77">
      <w:pPr>
        <w:keepNext/>
        <w:spacing w:before="240"/>
        <w:ind w:left="567" w:hanging="567"/>
      </w:pPr>
      <w:r>
        <w:lastRenderedPageBreak/>
        <w:t>39.</w:t>
      </w:r>
      <w:r>
        <w:tab/>
      </w:r>
      <w:r w:rsidR="00000745">
        <w:t>D</w:t>
      </w:r>
      <w:r w:rsidR="00000745" w:rsidRPr="009E2A1C">
        <w:t xml:space="preserve">o you agree that the best way to deal with </w:t>
      </w:r>
      <w:r w:rsidR="00000745">
        <w:t>static elimination devices and liquid scintilla counters is by using section 17</w:t>
      </w:r>
      <w:r w:rsidR="00000745" w:rsidRPr="009E2A1C">
        <w:t xml:space="preserve">(2) </w:t>
      </w:r>
      <w:r w:rsidR="00000745">
        <w:t xml:space="preserve">of the Act (source licence conditions) </w:t>
      </w:r>
      <w:r w:rsidR="00000745" w:rsidRPr="009E2A1C">
        <w:t xml:space="preserve">instead of </w:t>
      </w:r>
      <w:r w:rsidR="00000745">
        <w:t>section</w:t>
      </w:r>
      <w:r>
        <w:t> </w:t>
      </w:r>
      <w:r w:rsidR="00000745">
        <w:t>91</w:t>
      </w:r>
      <w:r w:rsidR="00000745" w:rsidRPr="009E2A1C">
        <w:t>(1)(a)(iii)</w:t>
      </w:r>
      <w:r w:rsidR="00000745">
        <w:t xml:space="preserve"> (exemptions)</w:t>
      </w:r>
      <w:r w:rsidR="00000745" w:rsidRPr="009E2A1C">
        <w:t>?</w:t>
      </w:r>
    </w:p>
    <w:p w:rsidR="00EC5B77" w:rsidRDefault="00EC5B77"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keepNext/>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 w:rsidR="00823DC8" w:rsidRDefault="00FC27E5" w:rsidP="00FC27E5">
      <w:pPr>
        <w:spacing w:before="240" w:after="120"/>
        <w:ind w:left="567" w:hanging="567"/>
      </w:pPr>
      <w:r>
        <w:t>40.</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Regula</w:t>
      </w:r>
      <w:r>
        <w:t>tion is unlikely to be worthwhile</w:t>
      </w:r>
      <w:r w:rsidR="00823DC8">
        <w:t xml:space="preserve"> – </w:t>
      </w:r>
      <w:r>
        <w:t>discussion point 3(c)</w:t>
      </w:r>
    </w:p>
    <w:p w:rsidR="00823DC8" w:rsidRDefault="00FC27E5" w:rsidP="00FC27E5">
      <w:pPr>
        <w:spacing w:before="240"/>
        <w:ind w:left="567" w:hanging="567"/>
      </w:pPr>
      <w:r>
        <w:t>41.</w:t>
      </w:r>
      <w:r>
        <w:tab/>
      </w:r>
      <w:r w:rsidR="00000745">
        <w:t>D</w:t>
      </w:r>
      <w:r w:rsidR="00000745" w:rsidRPr="009E2A1C">
        <w:t xml:space="preserve">o you agree that </w:t>
      </w:r>
      <w:r w:rsidR="00000745">
        <w:t>it is appropriate to deal with the radiation sources mentioned in discussion point 3(c)</w:t>
      </w:r>
      <w:r w:rsidR="00000745" w:rsidRPr="009E2A1C">
        <w:t xml:space="preserve"> </w:t>
      </w:r>
      <w:r w:rsidR="00000745">
        <w:t xml:space="preserve">as </w:t>
      </w:r>
      <w:r w:rsidR="00823DC8">
        <w:t>‘</w:t>
      </w:r>
      <w:r w:rsidR="00000745">
        <w:t>passive or limited</w:t>
      </w:r>
      <w:r w:rsidR="00823DC8">
        <w:t>’</w:t>
      </w:r>
      <w:r w:rsidR="00000745">
        <w:t xml:space="preserve"> use situations under section 17(2) of the Act?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EC5B77">
      <w:pPr>
        <w:keepLines/>
        <w:spacing w:before="240"/>
        <w:ind w:left="567" w:hanging="567"/>
      </w:pPr>
      <w:r>
        <w:lastRenderedPageBreak/>
        <w:t>42.</w:t>
      </w:r>
      <w:r>
        <w:tab/>
      </w:r>
      <w:r w:rsidR="00000745">
        <w:t xml:space="preserve">Do you think there are any </w:t>
      </w:r>
      <w:r w:rsidR="00000745" w:rsidRPr="009E2A1C">
        <w:t xml:space="preserve">radiation sources that exceed the threshold levels </w:t>
      </w:r>
      <w:r w:rsidR="00000745">
        <w:t>set by the Act</w:t>
      </w:r>
      <w:r w:rsidR="00000745" w:rsidRPr="009E2A1C">
        <w:t xml:space="preserve"> but nevertheless should be exempted </w:t>
      </w:r>
      <w:r w:rsidR="00000745">
        <w:t xml:space="preserve">from the requirements to obtain an authorisation and to be registered </w:t>
      </w:r>
      <w:r w:rsidR="00000745" w:rsidRPr="009E2A1C">
        <w:t xml:space="preserve">because </w:t>
      </w:r>
      <w:r w:rsidR="00000745">
        <w:t xml:space="preserve">these </w:t>
      </w:r>
      <w:r w:rsidR="00000745" w:rsidRPr="009E2A1C">
        <w:t>regulatory intervention</w:t>
      </w:r>
      <w:r w:rsidR="00000745">
        <w:t>s</w:t>
      </w:r>
      <w:r w:rsidR="00000745" w:rsidRPr="009E2A1C">
        <w:t xml:space="preserve"> would not result in </w:t>
      </w:r>
      <w:r w:rsidR="00000745">
        <w:t xml:space="preserve">a </w:t>
      </w:r>
      <w:r w:rsidR="00000745" w:rsidRPr="009E2A1C">
        <w:t xml:space="preserve">worthwhile </w:t>
      </w:r>
      <w:r w:rsidR="00000745">
        <w:t>safety or security benefit</w:t>
      </w:r>
      <w:r w:rsidR="00000745" w:rsidRPr="009E2A1C">
        <w:t>?</w:t>
      </w:r>
      <w:r w:rsidR="00823DC8">
        <w:t xml:space="preserve"> </w:t>
      </w:r>
      <w:r w:rsidR="00000745">
        <w:t>If you can identify such radiation sources, please indicate if you think dealing with them under section 17(2) or section 91(1)(a)(iv) is more appropriate.</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after="120"/>
        <w:ind w:left="567" w:hanging="567"/>
      </w:pPr>
      <w:r>
        <w:t>43.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Prohibitions</w:t>
      </w:r>
      <w:r w:rsidR="00823DC8">
        <w:t xml:space="preserve"> – </w:t>
      </w:r>
      <w:r>
        <w:t>discussion point 3(d)</w:t>
      </w:r>
    </w:p>
    <w:p w:rsidR="00000745" w:rsidRDefault="00FC27E5" w:rsidP="00FC27E5">
      <w:pPr>
        <w:ind w:left="567" w:hanging="567"/>
      </w:pPr>
      <w:r>
        <w:t>44.</w:t>
      </w:r>
      <w:r>
        <w:tab/>
      </w:r>
      <w:r w:rsidR="00000745">
        <w:t xml:space="preserve">Do you think </w:t>
      </w:r>
      <w:r w:rsidR="00000745" w:rsidRPr="009E2A1C">
        <w:t xml:space="preserve">there </w:t>
      </w:r>
      <w:r w:rsidR="00000745">
        <w:t xml:space="preserve">are </w:t>
      </w:r>
      <w:r w:rsidR="00000745" w:rsidRPr="009E2A1C">
        <w:t xml:space="preserve">any radiation sources that should be subject to a </w:t>
      </w:r>
      <w:r w:rsidR="00000745">
        <w:t>general prohibition or restriction</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FC27E5" w:rsidP="00632DCF">
      <w:pPr>
        <w:spacing w:before="240"/>
        <w:ind w:left="567" w:hanging="567"/>
      </w:pPr>
      <w:r>
        <w:lastRenderedPageBreak/>
        <w:t>45.</w:t>
      </w:r>
      <w:r>
        <w:tab/>
      </w:r>
      <w:r w:rsidR="00000745">
        <w:t xml:space="preserve">Do you think there are situations where a general </w:t>
      </w:r>
      <w:r w:rsidR="00000745" w:rsidRPr="009E2A1C">
        <w:t xml:space="preserve">prohibition or restriction on a radiation source would be more effective in achieving safety or security benefits than applying </w:t>
      </w:r>
      <w:r w:rsidR="00000745" w:rsidRPr="00D74425">
        <w:t>case-by-case</w:t>
      </w:r>
      <w:r w:rsidR="00000745" w:rsidRPr="009E2A1C">
        <w:t xml:space="preserve"> restrictions using other provisions in the </w:t>
      </w:r>
      <w:r w:rsidR="00000745">
        <w:t>Act,</w:t>
      </w:r>
      <w:r w:rsidR="00000745" w:rsidRPr="009E2A1C">
        <w:t xml:space="preserve"> such as</w:t>
      </w:r>
      <w:r w:rsidR="00000745">
        <w:t>:</w:t>
      </w:r>
      <w:r w:rsidR="00000745" w:rsidRPr="009E2A1C">
        <w:t xml:space="preserve"> issuing compliance orders, seizing material, and varying, suspending or cancelling licences or consents?</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FC27E5">
      <w:pPr>
        <w:spacing w:before="240" w:after="120"/>
        <w:ind w:left="567" w:hanging="567"/>
      </w:pPr>
      <w:r>
        <w:t>46.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Default="00000745" w:rsidP="00632DCF">
      <w:pPr>
        <w:pStyle w:val="Heading3"/>
        <w:spacing w:before="480"/>
      </w:pPr>
      <w:r>
        <w:t>Operations of the armed forces</w:t>
      </w:r>
      <w:r w:rsidR="00823DC8">
        <w:t xml:space="preserve"> – </w:t>
      </w:r>
      <w:r>
        <w:t>discussion point 3(e)</w:t>
      </w:r>
    </w:p>
    <w:p w:rsidR="00823DC8" w:rsidRDefault="00FC27E5" w:rsidP="00FC27E5">
      <w:pPr>
        <w:spacing w:before="240"/>
        <w:ind w:left="567" w:hanging="567"/>
      </w:pPr>
      <w:r>
        <w:t>47.</w:t>
      </w:r>
      <w:r>
        <w:tab/>
      </w:r>
      <w:r w:rsidR="00000745">
        <w:t>Do you think Regulations are required to enable the armed forces to fully meet their operational duties?</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FC27E5" w:rsidP="00EC5B77">
      <w:pPr>
        <w:keepNext/>
        <w:spacing w:before="240" w:after="120"/>
        <w:ind w:left="567" w:hanging="567"/>
      </w:pPr>
      <w:r>
        <w:lastRenderedPageBreak/>
        <w:t>48.</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CD7B6C">
        <w:t xml:space="preserve">Incidents and </w:t>
      </w:r>
      <w:r>
        <w:t>e</w:t>
      </w:r>
      <w:r w:rsidRPr="00CD7B6C">
        <w:t>mergencies</w:t>
      </w:r>
      <w:r w:rsidR="00823DC8">
        <w:t xml:space="preserve"> – </w:t>
      </w:r>
      <w:r>
        <w:t>discussion point 4</w:t>
      </w:r>
    </w:p>
    <w:p w:rsidR="00823DC8" w:rsidRDefault="00FC27E5" w:rsidP="00FC27E5">
      <w:pPr>
        <w:ind w:left="567" w:hanging="567"/>
      </w:pPr>
      <w:r>
        <w:t>49.</w:t>
      </w:r>
      <w:r>
        <w:tab/>
      </w:r>
      <w:r w:rsidR="00000745">
        <w:t xml:space="preserve">Do you think </w:t>
      </w:r>
      <w:r w:rsidR="00000745" w:rsidRPr="009E2A1C">
        <w:t xml:space="preserve">setting detailed provisions for dealing with incidents and emergencies for each specific </w:t>
      </w:r>
      <w:r w:rsidR="00000745">
        <w:t xml:space="preserve">area of </w:t>
      </w:r>
      <w:r w:rsidR="00000745" w:rsidRPr="009E2A1C">
        <w:t>radiation</w:t>
      </w:r>
      <w:r w:rsidR="00000745">
        <w:t xml:space="preserve"> practice in codes of practice is the best approach to achieving</w:t>
      </w:r>
      <w:r w:rsidR="00000745" w:rsidRPr="009E2A1C">
        <w:t xml:space="preserve"> </w:t>
      </w:r>
      <w:r w:rsidR="00000745">
        <w:t>the required responses to incidents and emergencies</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EC5B77">
      <w:pPr>
        <w:spacing w:before="240" w:after="120"/>
        <w:ind w:left="567" w:hanging="567"/>
      </w:pPr>
      <w:r>
        <w:t>50.</w:t>
      </w:r>
      <w:r>
        <w:tab/>
      </w:r>
      <w:r w:rsidR="00000745">
        <w:t>If you think it is appropriate to have provisions for dealing with incidents and emergencies in Regulations, please identify what information should be in Regulations and what information should be in codes of practice.</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FC27E5" w:rsidP="00EC5B77">
      <w:pPr>
        <w:keepNext/>
        <w:spacing w:before="240" w:after="120"/>
        <w:ind w:left="567" w:hanging="567"/>
      </w:pPr>
      <w:r>
        <w:lastRenderedPageBreak/>
        <w:t>51.</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t>Labelling, signage and other c</w:t>
      </w:r>
      <w:r w:rsidRPr="00CD7B6C">
        <w:t>ontrols</w:t>
      </w:r>
      <w:r w:rsidR="00823DC8">
        <w:t xml:space="preserve"> – </w:t>
      </w:r>
      <w:r>
        <w:t>discussion point 5</w:t>
      </w:r>
    </w:p>
    <w:p w:rsidR="00000745" w:rsidRDefault="00FC27E5" w:rsidP="00FC27E5">
      <w:pPr>
        <w:ind w:left="567" w:hanging="567"/>
      </w:pPr>
      <w:r>
        <w:t>52.</w:t>
      </w:r>
      <w:r>
        <w:tab/>
      </w:r>
      <w:r w:rsidR="00000745">
        <w:t xml:space="preserve">Do you think </w:t>
      </w:r>
      <w:r w:rsidR="00000745" w:rsidRPr="009E2A1C">
        <w:t xml:space="preserve">setting detailed provisions </w:t>
      </w:r>
      <w:r w:rsidR="00000745" w:rsidRPr="004A3ADE">
        <w:t>for labelling</w:t>
      </w:r>
      <w:r w:rsidR="00000745" w:rsidRPr="009E2A1C">
        <w:t xml:space="preserve">, signage or other controls for each specific </w:t>
      </w:r>
      <w:r w:rsidR="00000745">
        <w:t xml:space="preserve">area of </w:t>
      </w:r>
      <w:r w:rsidR="00000745" w:rsidRPr="009E2A1C">
        <w:t>radiation</w:t>
      </w:r>
      <w:r w:rsidR="00000745">
        <w:t xml:space="preserve"> practice in codes of practice is the best approach to achieving</w:t>
      </w:r>
      <w:r w:rsidR="00000745" w:rsidRPr="009E2A1C">
        <w:t xml:space="preserve"> </w:t>
      </w:r>
      <w:r w:rsidR="00000745">
        <w:t>the desired outcomes?</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FC27E5" w:rsidP="00EC5B77">
      <w:pPr>
        <w:spacing w:before="240" w:after="120"/>
        <w:ind w:left="567" w:hanging="567"/>
      </w:pPr>
      <w:r>
        <w:t>53.</w:t>
      </w:r>
      <w:r>
        <w:tab/>
      </w:r>
      <w:r w:rsidR="00000745">
        <w:t xml:space="preserve">If you think it is appropriate to have provisions </w:t>
      </w:r>
      <w:r w:rsidR="00000745" w:rsidRPr="004A3ADE">
        <w:t>for labelling</w:t>
      </w:r>
      <w:r w:rsidR="00000745" w:rsidRPr="009E2A1C">
        <w:t>, signage or other controls</w:t>
      </w:r>
      <w:r w:rsidR="00000745">
        <w:t xml:space="preserve"> in Regulations, please identify what information should be in Regulations and what information should be in codes of practice.</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9E2A1C" w:rsidRDefault="00FC27E5" w:rsidP="00EC5B77">
      <w:pPr>
        <w:keepNext/>
        <w:spacing w:before="240" w:after="120"/>
        <w:ind w:left="567" w:hanging="567"/>
      </w:pPr>
      <w:r>
        <w:lastRenderedPageBreak/>
        <w:t>54.</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FC27E5" w:rsidRPr="00BE297A" w:rsidTr="00663689">
        <w:trPr>
          <w:cantSplit/>
          <w:trHeight w:val="2552"/>
        </w:trPr>
        <w:tc>
          <w:tcPr>
            <w:tcW w:w="8789" w:type="dxa"/>
          </w:tcPr>
          <w:p w:rsidR="00FC27E5" w:rsidRPr="00BE297A" w:rsidRDefault="00FC27E5"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FC27E5"/>
    <w:p w:rsidR="00000745" w:rsidRPr="00CA565F" w:rsidRDefault="00000745" w:rsidP="00632DCF">
      <w:pPr>
        <w:pStyle w:val="Heading3"/>
        <w:spacing w:before="480"/>
      </w:pPr>
      <w:r w:rsidRPr="00231984">
        <w:t>Registration</w:t>
      </w:r>
      <w:r>
        <w:t xml:space="preserve"> of controlled radiation sources</w:t>
      </w:r>
      <w:r w:rsidR="00823DC8">
        <w:t xml:space="preserve"> –</w:t>
      </w:r>
      <w:r w:rsidR="00FC27E5">
        <w:br/>
      </w:r>
      <w:r>
        <w:t>discussion point 6(a)</w:t>
      </w:r>
    </w:p>
    <w:p w:rsidR="00823DC8" w:rsidRDefault="00C61FEE" w:rsidP="00C61FEE">
      <w:pPr>
        <w:spacing w:before="240"/>
        <w:ind w:left="567" w:hanging="567"/>
      </w:pPr>
      <w:r>
        <w:t>55.</w:t>
      </w:r>
      <w:r>
        <w:tab/>
      </w:r>
      <w:r w:rsidR="00000745">
        <w:t>D</w:t>
      </w:r>
      <w:r w:rsidR="00000745" w:rsidRPr="009E2A1C">
        <w:t xml:space="preserve">o you think registration requirements should be specified in </w:t>
      </w:r>
      <w:r w:rsidR="00000745">
        <w:t>Regulations</w:t>
      </w:r>
      <w:r w:rsidR="00000745" w:rsidRPr="009E2A1C">
        <w:t xml:space="preserve"> rather than being </w:t>
      </w:r>
      <w:r w:rsidR="00000745">
        <w:t>published on a website by the Director of Radiation Safety?</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C61FEE">
      <w:pPr>
        <w:spacing w:before="240" w:after="120"/>
        <w:ind w:left="567" w:hanging="567"/>
      </w:pPr>
      <w:r>
        <w:t>56.</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CA565F" w:rsidRDefault="00000745" w:rsidP="00C61FEE">
      <w:pPr>
        <w:pStyle w:val="Heading3"/>
      </w:pPr>
      <w:r w:rsidRPr="00231984">
        <w:lastRenderedPageBreak/>
        <w:t>Unsealed radioactive material requiring registration</w:t>
      </w:r>
      <w:r w:rsidR="00823DC8">
        <w:t xml:space="preserve"> – </w:t>
      </w:r>
      <w:r>
        <w:t>discussion point 6(b)</w:t>
      </w:r>
    </w:p>
    <w:p w:rsidR="00823DC8" w:rsidRDefault="00C61FEE" w:rsidP="00EC5B77">
      <w:pPr>
        <w:keepNext/>
        <w:spacing w:before="240"/>
        <w:ind w:left="567" w:hanging="567"/>
      </w:pPr>
      <w:r>
        <w:t>57.</w:t>
      </w:r>
      <w:r>
        <w:tab/>
      </w:r>
      <w:r w:rsidR="00000745">
        <w:t xml:space="preserve">Do you think </w:t>
      </w:r>
      <w:r w:rsidR="00000745" w:rsidRPr="009E2A1C">
        <w:t xml:space="preserve">there </w:t>
      </w:r>
      <w:r w:rsidR="00000745">
        <w:t xml:space="preserve">is </w:t>
      </w:r>
      <w:r w:rsidR="00000745" w:rsidRPr="009E2A1C">
        <w:t xml:space="preserve">any unsealed radioactive material that </w:t>
      </w:r>
      <w:r w:rsidR="00000745">
        <w:t>requires registration?</w:t>
      </w:r>
    </w:p>
    <w:p w:rsidR="00EC5B77" w:rsidRDefault="00EC5B77"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9E2A1C" w:rsidRDefault="00C61FEE" w:rsidP="00C61FEE">
      <w:pPr>
        <w:spacing w:before="240" w:after="120"/>
        <w:ind w:left="567" w:hanging="567"/>
      </w:pPr>
      <w:r>
        <w:t>58.</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632DCF">
      <w:pPr>
        <w:pStyle w:val="Heading3"/>
        <w:spacing w:before="480"/>
      </w:pPr>
      <w:r w:rsidRPr="004642A9">
        <w:t>Nuclear material</w:t>
      </w:r>
      <w:r>
        <w:t xml:space="preserve"> </w:t>
      </w:r>
      <w:r w:rsidR="00632DCF">
        <w:t xml:space="preserve">– </w:t>
      </w:r>
      <w:r>
        <w:t>discussion point 7</w:t>
      </w:r>
    </w:p>
    <w:p w:rsidR="00823DC8" w:rsidRDefault="00C61FEE" w:rsidP="00C61FEE">
      <w:pPr>
        <w:spacing w:before="240"/>
        <w:ind w:left="567" w:hanging="567"/>
      </w:pPr>
      <w:r>
        <w:t>59.</w:t>
      </w:r>
      <w:r>
        <w:tab/>
      </w:r>
      <w:r w:rsidR="00000745">
        <w:t>D</w:t>
      </w:r>
      <w:r w:rsidR="00000745" w:rsidRPr="009E2A1C">
        <w:t xml:space="preserve">o you think any </w:t>
      </w:r>
      <w:r w:rsidR="00000745">
        <w:t>additional</w:t>
      </w:r>
      <w:r w:rsidR="00000745" w:rsidRPr="009E2A1C">
        <w:t xml:space="preserve"> material should be included in </w:t>
      </w:r>
      <w:r w:rsidR="00000745">
        <w:t xml:space="preserve">the </w:t>
      </w:r>
      <w:r w:rsidR="00000745" w:rsidRPr="009E2A1C">
        <w:t xml:space="preserve">definition of nuclear material under the </w:t>
      </w:r>
      <w:r w:rsidR="00000745">
        <w:t xml:space="preserve">Act, </w:t>
      </w:r>
      <w:r w:rsidR="00000745" w:rsidRPr="009E2A1C">
        <w:t xml:space="preserve">despite the </w:t>
      </w:r>
      <w:r w:rsidR="00000745">
        <w:t>International Atomic Energy Agency</w:t>
      </w:r>
      <w:r w:rsidR="00823DC8">
        <w:t>’</w:t>
      </w:r>
      <w:r w:rsidR="00000745">
        <w:t>s (</w:t>
      </w:r>
      <w:r w:rsidR="00000745" w:rsidRPr="009E2A1C">
        <w:t>IAEA</w:t>
      </w:r>
      <w:r w:rsidR="00823DC8">
        <w:t>’</w:t>
      </w:r>
      <w:r w:rsidR="00000745" w:rsidRPr="009E2A1C">
        <w:t>s</w:t>
      </w:r>
      <w:r w:rsidR="00000745">
        <w:t>) current position?</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C61FEE" w:rsidP="00C61FEE">
      <w:pPr>
        <w:spacing w:before="240" w:after="120"/>
        <w:ind w:left="567" w:hanging="567"/>
      </w:pPr>
      <w:r>
        <w:lastRenderedPageBreak/>
        <w:t>60.</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9F7FF6" w:rsidRDefault="00000745" w:rsidP="00632DCF">
      <w:pPr>
        <w:pStyle w:val="Heading3"/>
        <w:spacing w:before="480"/>
      </w:pPr>
      <w:r>
        <w:t>Record keeping</w:t>
      </w:r>
      <w:r w:rsidRPr="006F653F">
        <w:t xml:space="preserve"> </w:t>
      </w:r>
      <w:r w:rsidR="00632DCF">
        <w:t xml:space="preserve">– </w:t>
      </w:r>
      <w:r>
        <w:t>discussion point 8(a)</w:t>
      </w:r>
    </w:p>
    <w:p w:rsidR="00823DC8" w:rsidRDefault="00C61FEE" w:rsidP="00C61FEE">
      <w:pPr>
        <w:spacing w:before="240"/>
        <w:ind w:left="567" w:hanging="567"/>
      </w:pPr>
      <w:r>
        <w:t>61.</w:t>
      </w:r>
      <w:r>
        <w:tab/>
      </w:r>
      <w:r w:rsidR="00000745">
        <w:t>Do you agree that any record keeping requirements in addition to those specified in section 35 of the Act should be specified in codes of practice for each area of radiation practice?</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823DC8" w:rsidRDefault="00C61FEE" w:rsidP="00C61FEE">
      <w:pPr>
        <w:spacing w:before="240"/>
        <w:ind w:left="567" w:hanging="567"/>
      </w:pPr>
      <w:r>
        <w:t>62.</w:t>
      </w:r>
      <w:r>
        <w:tab/>
      </w:r>
      <w:r w:rsidR="00000745">
        <w:t>If you think any additional requirements for record keeping should be specified in Regulations rather than in codes of practice</w:t>
      </w:r>
      <w:r w:rsidR="00EC5B77">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C61FEE" w:rsidP="00EC5B77">
      <w:pPr>
        <w:keepNext/>
        <w:spacing w:before="240" w:after="120"/>
        <w:ind w:left="567" w:hanging="567"/>
      </w:pPr>
      <w:r>
        <w:lastRenderedPageBreak/>
        <w:t>63.</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632DCF">
      <w:pPr>
        <w:pStyle w:val="Heading3"/>
        <w:spacing w:before="480"/>
      </w:pPr>
      <w:r w:rsidRPr="00231984">
        <w:t>Warrants</w:t>
      </w:r>
      <w:r>
        <w:t xml:space="preserve"> of appointment</w:t>
      </w:r>
      <w:r w:rsidR="00823DC8">
        <w:t xml:space="preserve"> – </w:t>
      </w:r>
      <w:r>
        <w:t>discussion point 8(b)</w:t>
      </w:r>
    </w:p>
    <w:p w:rsidR="00000745" w:rsidRDefault="00C61FEE" w:rsidP="00C61FEE">
      <w:pPr>
        <w:spacing w:before="240"/>
        <w:ind w:left="567" w:hanging="567"/>
      </w:pPr>
      <w:r>
        <w:t>64.</w:t>
      </w:r>
      <w:r>
        <w:tab/>
      </w:r>
      <w:r w:rsidR="00000745">
        <w:t>D</w:t>
      </w:r>
      <w:r w:rsidR="00000745" w:rsidRPr="009E2A1C">
        <w:t xml:space="preserve">o you think there are </w:t>
      </w:r>
      <w:r w:rsidR="00000745">
        <w:t xml:space="preserve">any </w:t>
      </w:r>
      <w:r w:rsidR="00000745" w:rsidRPr="009E2A1C">
        <w:t xml:space="preserve">matters that should be included in warrants of appointment for enforcement officers in addition to those </w:t>
      </w:r>
      <w:r w:rsidR="00000745">
        <w:t>listed under discussion point 8(b) and those set out in section 36 of the Act</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Default="00C61FEE" w:rsidP="00C61FEE">
      <w:pPr>
        <w:spacing w:before="240" w:after="120"/>
        <w:ind w:left="567" w:hanging="567"/>
      </w:pPr>
      <w:r>
        <w:t>65.</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C61FEE">
      <w:pPr>
        <w:pStyle w:val="Heading3"/>
      </w:pPr>
      <w:r w:rsidRPr="00231984">
        <w:lastRenderedPageBreak/>
        <w:t>Compliance orders</w:t>
      </w:r>
      <w:r w:rsidR="00823DC8">
        <w:t xml:space="preserve"> – </w:t>
      </w:r>
      <w:r>
        <w:t>discussion point 8(c)</w:t>
      </w:r>
    </w:p>
    <w:p w:rsidR="00000745" w:rsidRPr="009E2A1C" w:rsidRDefault="00C61FEE" w:rsidP="00EC5B77">
      <w:pPr>
        <w:keepNext/>
        <w:spacing w:before="240"/>
        <w:ind w:left="567" w:hanging="567"/>
      </w:pPr>
      <w:r>
        <w:t>66.</w:t>
      </w:r>
      <w:r>
        <w:tab/>
      </w:r>
      <w:r w:rsidR="00000745">
        <w:t>D</w:t>
      </w:r>
      <w:r w:rsidR="00000745" w:rsidRPr="009E2A1C">
        <w:t xml:space="preserve">o you think there is information in addition to that </w:t>
      </w:r>
      <w:r w:rsidR="00000745">
        <w:t xml:space="preserve">already </w:t>
      </w:r>
      <w:r w:rsidR="00000745" w:rsidRPr="009E2A1C">
        <w:t xml:space="preserve">required by </w:t>
      </w:r>
      <w:r w:rsidR="00000745">
        <w:t>section 45</w:t>
      </w:r>
      <w:r w:rsidR="00000745" w:rsidRPr="009E2A1C">
        <w:t xml:space="preserve">(1) </w:t>
      </w:r>
      <w:r w:rsidR="00000745">
        <w:t xml:space="preserve">of the Act </w:t>
      </w:r>
      <w:r w:rsidR="00000745" w:rsidRPr="009E2A1C">
        <w:t>that should be included in a compliance order?</w:t>
      </w:r>
    </w:p>
    <w:p w:rsidR="00EC5B77" w:rsidRDefault="00EC5B77" w:rsidP="00EC5B77">
      <w:pPr>
        <w:keepNext/>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keepNext/>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keepNext/>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E2A1C" w:rsidRDefault="00000745" w:rsidP="00000745">
      <w:pPr>
        <w:autoSpaceDE w:val="0"/>
        <w:autoSpaceDN w:val="0"/>
        <w:adjustRightInd w:val="0"/>
      </w:pPr>
    </w:p>
    <w:p w:rsidR="00000745" w:rsidRDefault="00C61FEE" w:rsidP="00C61FEE">
      <w:pPr>
        <w:spacing w:before="240"/>
        <w:ind w:left="567" w:hanging="567"/>
      </w:pPr>
      <w:r>
        <w:t>67.</w:t>
      </w:r>
      <w:r>
        <w:tab/>
      </w:r>
      <w:r w:rsidR="00000745">
        <w:t>D</w:t>
      </w:r>
      <w:r w:rsidR="00000745" w:rsidRPr="009E2A1C">
        <w:t xml:space="preserve">o you agree that </w:t>
      </w:r>
      <w:r w:rsidR="00000745">
        <w:t xml:space="preserve">serving radiation safety </w:t>
      </w:r>
      <w:r w:rsidR="00000745" w:rsidRPr="009E2A1C">
        <w:t xml:space="preserve">compliance orders in accordance with </w:t>
      </w:r>
      <w:r w:rsidR="00000745">
        <w:t>c</w:t>
      </w:r>
      <w:r w:rsidR="00000745" w:rsidRPr="009E2A1C">
        <w:t>ourt rules, prima</w:t>
      </w:r>
      <w:r w:rsidR="00000745">
        <w:t xml:space="preserve">rily in Part 6 – </w:t>
      </w:r>
      <w:r w:rsidR="00000745" w:rsidRPr="00F716A3">
        <w:rPr>
          <w:i/>
        </w:rPr>
        <w:t>Service</w:t>
      </w:r>
      <w:r w:rsidR="00000745">
        <w:t xml:space="preserve"> (</w:t>
      </w:r>
      <w:r w:rsidR="00000745" w:rsidRPr="009E2A1C">
        <w:t xml:space="preserve">6.1-6.32) of the District Court Rules 2014, </w:t>
      </w:r>
      <w:r w:rsidR="00000745">
        <w:t>is sufficient?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000745"/>
    <w:p w:rsidR="00000745" w:rsidRPr="00626EB1" w:rsidRDefault="00C61FEE" w:rsidP="00C61FEE">
      <w:pPr>
        <w:spacing w:before="240" w:after="120"/>
        <w:ind w:left="567" w:hanging="567"/>
      </w:pPr>
      <w:r>
        <w:t>68.</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C61FEE">
      <w:pPr>
        <w:pStyle w:val="Heading3"/>
      </w:pPr>
      <w:r w:rsidRPr="00231984">
        <w:lastRenderedPageBreak/>
        <w:t>Forms</w:t>
      </w:r>
      <w:r w:rsidR="00823DC8">
        <w:t xml:space="preserve"> – </w:t>
      </w:r>
      <w:r>
        <w:t>discussion point 8(d)</w:t>
      </w:r>
    </w:p>
    <w:p w:rsidR="00823DC8" w:rsidRDefault="00C61FEE" w:rsidP="00C61FEE">
      <w:pPr>
        <w:spacing w:before="240"/>
        <w:ind w:left="567" w:hanging="567"/>
      </w:pPr>
      <w:r>
        <w:t>69.</w:t>
      </w:r>
      <w:r>
        <w:tab/>
      </w:r>
      <w:r w:rsidR="00000745">
        <w:t>Do you think there is</w:t>
      </w:r>
      <w:r w:rsidR="00000745" w:rsidRPr="009E2A1C">
        <w:t xml:space="preserve"> further </w:t>
      </w:r>
      <w:r w:rsidR="00000745">
        <w:t>information to be included in any forms required</w:t>
      </w:r>
      <w:r w:rsidR="00000745" w:rsidRPr="009E2A1C">
        <w:t xml:space="preserve"> </w:t>
      </w:r>
      <w:r w:rsidR="00000745">
        <w:t>by the Act that could be</w:t>
      </w:r>
      <w:r w:rsidR="00000745" w:rsidRPr="009E2A1C">
        <w:t xml:space="preserve"> prescribed in </w:t>
      </w:r>
      <w:r w:rsidR="00000745">
        <w:t>Regulations</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C61FEE">
      <w:pPr>
        <w:spacing w:before="240" w:after="120"/>
        <w:ind w:left="567" w:hanging="567"/>
      </w:pPr>
      <w:r>
        <w:t>70.</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p w:rsidR="00000745" w:rsidRPr="008A13F1" w:rsidRDefault="00000745" w:rsidP="00632DCF">
      <w:pPr>
        <w:pStyle w:val="Heading3"/>
        <w:spacing w:before="480"/>
      </w:pPr>
      <w:r>
        <w:t>R</w:t>
      </w:r>
      <w:r w:rsidRPr="00231984">
        <w:t>adiation Safety Advisory Council</w:t>
      </w:r>
      <w:r w:rsidR="00823DC8">
        <w:t xml:space="preserve"> – </w:t>
      </w:r>
      <w:r>
        <w:t>discussion point 9</w:t>
      </w:r>
    </w:p>
    <w:p w:rsidR="00000745" w:rsidRDefault="00C61FEE" w:rsidP="00C61FEE">
      <w:pPr>
        <w:spacing w:before="240"/>
        <w:ind w:left="567" w:hanging="567"/>
      </w:pPr>
      <w:r>
        <w:t>71.</w:t>
      </w:r>
      <w:r>
        <w:tab/>
      </w:r>
      <w:r w:rsidR="00000745">
        <w:t xml:space="preserve">Do you think there are </w:t>
      </w:r>
      <w:r w:rsidR="00000745" w:rsidRPr="009E2A1C">
        <w:t xml:space="preserve">any </w:t>
      </w:r>
      <w:r w:rsidR="00000745">
        <w:t xml:space="preserve">additional </w:t>
      </w:r>
      <w:r w:rsidR="00000745" w:rsidRPr="009E2A1C">
        <w:t xml:space="preserve">Radiation Safety Advisory Council procedures that </w:t>
      </w:r>
      <w:r w:rsidR="00000745">
        <w:t>should</w:t>
      </w:r>
      <w:r w:rsidR="00000745" w:rsidRPr="009E2A1C">
        <w:t xml:space="preserve"> be set out in </w:t>
      </w:r>
      <w:r w:rsidR="00000745">
        <w:t>Regulations in time for the Act to come into force on 7 March 2017</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EC5B77">
      <w:pPr>
        <w:keepNext/>
        <w:spacing w:before="240" w:after="120"/>
        <w:ind w:left="567" w:hanging="567"/>
      </w:pPr>
      <w:r>
        <w:lastRenderedPageBreak/>
        <w:t>72.</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Pr="009E2A1C" w:rsidRDefault="00000745" w:rsidP="00C61FEE"/>
    <w:p w:rsidR="00000745" w:rsidRPr="008A13F1" w:rsidRDefault="00000745" w:rsidP="00632DCF">
      <w:pPr>
        <w:pStyle w:val="Heading3"/>
        <w:spacing w:before="480"/>
      </w:pPr>
      <w:r w:rsidRPr="006E086B">
        <w:t>Other matters</w:t>
      </w:r>
      <w:r>
        <w:t xml:space="preserve"> to give full effect to the Act or its administration</w:t>
      </w:r>
      <w:r w:rsidR="00823DC8">
        <w:t xml:space="preserve"> – </w:t>
      </w:r>
      <w:r>
        <w:t>discussion point 10</w:t>
      </w:r>
    </w:p>
    <w:p w:rsidR="00000745" w:rsidRDefault="00C61FEE" w:rsidP="00C61FEE">
      <w:pPr>
        <w:spacing w:before="240"/>
        <w:ind w:left="567" w:hanging="567"/>
      </w:pPr>
      <w:r>
        <w:t>73.</w:t>
      </w:r>
      <w:r>
        <w:tab/>
      </w:r>
      <w:r w:rsidR="00000745">
        <w:t xml:space="preserve">Do you </w:t>
      </w:r>
      <w:r w:rsidR="00000745" w:rsidRPr="009E2A1C">
        <w:t xml:space="preserve">think </w:t>
      </w:r>
      <w:r w:rsidR="00000745">
        <w:t xml:space="preserve">there are </w:t>
      </w:r>
      <w:r w:rsidR="00000745" w:rsidRPr="009E2A1C">
        <w:t>other matt</w:t>
      </w:r>
      <w:r w:rsidR="00000745">
        <w:t>ers that should be included in the Regulations</w:t>
      </w:r>
      <w:r w:rsidR="00000745" w:rsidRPr="009E2A1C">
        <w:t xml:space="preserve"> that cannot easily be included in </w:t>
      </w:r>
      <w:r w:rsidR="00000745">
        <w:t xml:space="preserve">other Regulations </w:t>
      </w:r>
      <w:r w:rsidR="00000745" w:rsidRPr="009E2A1C">
        <w:t xml:space="preserve">discussed in this </w:t>
      </w:r>
      <w:r w:rsidR="00000745">
        <w:t>consultation</w:t>
      </w:r>
      <w:r w:rsidR="00000745" w:rsidRPr="009E2A1C">
        <w:t>?</w:t>
      </w:r>
    </w:p>
    <w:p w:rsidR="00EC5B77" w:rsidRDefault="00EC5B77" w:rsidP="00EC5B77">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Yes</w:t>
      </w:r>
    </w:p>
    <w:p w:rsidR="00EC5B77" w:rsidRDefault="00EC5B77" w:rsidP="00EC5B77">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467474">
        <w:rPr>
          <w:rFonts w:ascii="Arial" w:hAnsi="Arial" w:cs="Arial"/>
          <w:sz w:val="24"/>
          <w:szCs w:val="24"/>
        </w:rPr>
      </w:r>
      <w:r w:rsidR="00467474">
        <w:rPr>
          <w:rFonts w:ascii="Arial" w:hAnsi="Arial" w:cs="Arial"/>
          <w:sz w:val="24"/>
          <w:szCs w:val="24"/>
        </w:rPr>
        <w:fldChar w:fldCharType="separate"/>
      </w:r>
      <w:r w:rsidRPr="00BE297A">
        <w:rPr>
          <w:rFonts w:ascii="Arial" w:hAnsi="Arial" w:cs="Arial"/>
          <w:sz w:val="24"/>
          <w:szCs w:val="24"/>
        </w:rPr>
        <w:fldChar w:fldCharType="end"/>
      </w:r>
      <w:r>
        <w:tab/>
        <w:t>No</w:t>
      </w:r>
    </w:p>
    <w:p w:rsidR="00EC5B77" w:rsidRPr="003B556A" w:rsidRDefault="00EC5B77" w:rsidP="00EC5B77">
      <w:pPr>
        <w:spacing w:after="120"/>
        <w:ind w:left="567"/>
      </w:pPr>
      <w:r>
        <w:t>Please provide reasons and comments below.</w:t>
      </w:r>
    </w:p>
    <w:tbl>
      <w:tblPr>
        <w:tblStyle w:val="TableGrid"/>
        <w:tblW w:w="0" w:type="auto"/>
        <w:tblInd w:w="675" w:type="dxa"/>
        <w:tblLayout w:type="fixed"/>
        <w:tblLook w:val="04A0" w:firstRow="1" w:lastRow="0" w:firstColumn="1" w:lastColumn="0" w:noHBand="0" w:noVBand="1"/>
      </w:tblPr>
      <w:tblGrid>
        <w:gridCol w:w="8789"/>
      </w:tblGrid>
      <w:tr w:rsidR="00EC5B77" w:rsidRPr="00BE297A" w:rsidTr="00663689">
        <w:trPr>
          <w:cantSplit/>
          <w:trHeight w:val="2552"/>
        </w:trPr>
        <w:tc>
          <w:tcPr>
            <w:tcW w:w="8789" w:type="dxa"/>
          </w:tcPr>
          <w:p w:rsidR="00EC5B77" w:rsidRPr="00BE297A" w:rsidRDefault="00EC5B77"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EC5B77" w:rsidRPr="00606C65" w:rsidRDefault="00EC5B77" w:rsidP="00EC5B77"/>
    <w:p w:rsidR="00000745" w:rsidRPr="009E2A1C" w:rsidRDefault="00C61FEE" w:rsidP="00C61FEE">
      <w:pPr>
        <w:spacing w:before="240" w:after="120"/>
        <w:ind w:left="567" w:hanging="567"/>
      </w:pPr>
      <w:r>
        <w:t>74.</w:t>
      </w:r>
      <w:r>
        <w:tab/>
      </w:r>
      <w:r w:rsidR="00000745">
        <w:t>Do you have any further comments, suggestions or alternative options?</w:t>
      </w:r>
    </w:p>
    <w:tbl>
      <w:tblPr>
        <w:tblStyle w:val="TableGrid"/>
        <w:tblW w:w="0" w:type="auto"/>
        <w:tblInd w:w="675" w:type="dxa"/>
        <w:tblLayout w:type="fixed"/>
        <w:tblLook w:val="04A0" w:firstRow="1" w:lastRow="0" w:firstColumn="1" w:lastColumn="0" w:noHBand="0" w:noVBand="1"/>
      </w:tblPr>
      <w:tblGrid>
        <w:gridCol w:w="8789"/>
      </w:tblGrid>
      <w:tr w:rsidR="00C61FEE" w:rsidRPr="00BE297A" w:rsidTr="00663689">
        <w:trPr>
          <w:cantSplit/>
          <w:trHeight w:val="2552"/>
        </w:trPr>
        <w:tc>
          <w:tcPr>
            <w:tcW w:w="8789" w:type="dxa"/>
          </w:tcPr>
          <w:p w:rsidR="00C61FEE" w:rsidRPr="00BE297A" w:rsidRDefault="00C61FEE" w:rsidP="00663689">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000745" w:rsidRDefault="00000745" w:rsidP="00C61FEE"/>
    <w:sectPr w:rsidR="00000745" w:rsidSect="002F1412">
      <w:headerReference w:type="default" r:id="rId26"/>
      <w:footerReference w:type="default" r:id="rId27"/>
      <w:pgSz w:w="11907" w:h="16834" w:code="9"/>
      <w:pgMar w:top="851" w:right="1134" w:bottom="993" w:left="1134" w:header="284" w:footer="483"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66" w:rsidRDefault="00FC2466">
      <w:pPr>
        <w:spacing w:line="240" w:lineRule="auto"/>
      </w:pPr>
      <w:r>
        <w:separator/>
      </w:r>
    </w:p>
    <w:p w:rsidR="00FC2466" w:rsidRDefault="00FC2466"/>
    <w:p w:rsidR="00FC2466" w:rsidRDefault="00FC2466"/>
  </w:endnote>
  <w:endnote w:type="continuationSeparator" w:id="0">
    <w:p w:rsidR="00FC2466" w:rsidRDefault="00FC2466">
      <w:pPr>
        <w:spacing w:line="240" w:lineRule="auto"/>
      </w:pPr>
      <w:r>
        <w:continuationSeparator/>
      </w:r>
    </w:p>
    <w:p w:rsidR="00FC2466" w:rsidRDefault="00FC2466"/>
    <w:p w:rsidR="00FC2466" w:rsidRDefault="00FC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Pr="00581136" w:rsidRDefault="003459BC"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Pr="00275D08" w:rsidRDefault="003459B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Proposed Radiation Safety Regulations: A consultation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rsidP="00533B90">
    <w:pPr>
      <w:pStyle w:val="RectoFooter"/>
    </w:pPr>
    <w:r>
      <w:tab/>
      <w:t>Proposed Radiation Safety Regulations: A consultation document</w:t>
    </w:r>
    <w:r>
      <w:tab/>
    </w:r>
    <w:r>
      <w:rPr>
        <w:rStyle w:val="PageNumber"/>
      </w:rPr>
      <w:fldChar w:fldCharType="begin"/>
    </w:r>
    <w:r>
      <w:rPr>
        <w:rStyle w:val="PageNumber"/>
      </w:rPr>
      <w:instrText xml:space="preserve"> PAGE </w:instrText>
    </w:r>
    <w:r>
      <w:rPr>
        <w:rStyle w:val="PageNumber"/>
      </w:rPr>
      <w:fldChar w:fldCharType="separate"/>
    </w:r>
    <w:r w:rsidR="00467474">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Pr="00D5172C" w:rsidRDefault="003459BC" w:rsidP="00D5172C">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Pr="00275D08" w:rsidRDefault="003459B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67474">
      <w:rPr>
        <w:rStyle w:val="PageNumber"/>
        <w:noProof/>
      </w:rPr>
      <w:t>64</w:t>
    </w:r>
    <w:r w:rsidRPr="00FC46E7">
      <w:rPr>
        <w:rStyle w:val="PageNumber"/>
      </w:rPr>
      <w:fldChar w:fldCharType="end"/>
    </w:r>
    <w:r>
      <w:tab/>
      <w:t>Proposed Radiation Safety Regulations: A consultation document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rsidP="00823DC8">
    <w:pPr>
      <w:pStyle w:val="RectoFooter"/>
    </w:pPr>
    <w:r>
      <w:tab/>
      <w:t>Proposed Radiation Safety Regulations: A consultation document</w:t>
    </w:r>
    <w:r>
      <w:tab/>
    </w:r>
    <w:r>
      <w:rPr>
        <w:rStyle w:val="PageNumber"/>
      </w:rPr>
      <w:fldChar w:fldCharType="begin"/>
    </w:r>
    <w:r>
      <w:rPr>
        <w:rStyle w:val="PageNumber"/>
      </w:rPr>
      <w:instrText xml:space="preserve"> PAGE </w:instrText>
    </w:r>
    <w:r>
      <w:rPr>
        <w:rStyle w:val="PageNumber"/>
      </w:rPr>
      <w:fldChar w:fldCharType="separate"/>
    </w:r>
    <w:r w:rsidR="00467474">
      <w:rPr>
        <w:rStyle w:val="PageNumber"/>
        <w:noProof/>
      </w:rPr>
      <w:t>63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66" w:rsidRDefault="00FC2466"/>
  </w:footnote>
  <w:footnote w:type="continuationSeparator" w:id="0">
    <w:p w:rsidR="00FC2466" w:rsidRDefault="00FC2466">
      <w:pPr>
        <w:spacing w:line="240" w:lineRule="auto"/>
      </w:pPr>
      <w:r>
        <w:continuationSeparator/>
      </w:r>
    </w:p>
    <w:p w:rsidR="00FC2466" w:rsidRDefault="00FC2466"/>
    <w:p w:rsidR="00FC2466" w:rsidRDefault="00FC2466"/>
  </w:footnote>
  <w:footnote w:id="1">
    <w:p w:rsidR="003459BC" w:rsidRDefault="003459BC" w:rsidP="00000745">
      <w:pPr>
        <w:pStyle w:val="FootnoteText"/>
      </w:pPr>
      <w:r>
        <w:rPr>
          <w:rStyle w:val="FootnoteReference"/>
        </w:rPr>
        <w:footnoteRef/>
      </w:r>
      <w:r>
        <w:tab/>
        <w:t xml:space="preserve">Available on the New Zealand Legislation website: </w:t>
      </w:r>
      <w:r w:rsidRPr="00087921">
        <w:t>www.legislation.govt.nz/act/public/2016/0006/latest/DLM6339517.html?src=qs</w:t>
      </w:r>
      <w:r>
        <w:t>)</w:t>
      </w:r>
    </w:p>
  </w:footnote>
  <w:footnote w:id="2">
    <w:p w:rsidR="003459BC" w:rsidRDefault="003459BC" w:rsidP="00964B95">
      <w:pPr>
        <w:pStyle w:val="FootnoteText"/>
      </w:pPr>
      <w:r w:rsidRPr="00964B95">
        <w:rPr>
          <w:rStyle w:val="FootnoteReference"/>
        </w:rPr>
        <w:footnoteRef/>
      </w:r>
      <w:r>
        <w:tab/>
        <w:t xml:space="preserve">Taken from Ministry of Health Annual Reports for the period 2007 to 2015 (inclusive) but excluding 2012. The annual reports (including 2012) are available on the Ministry’s website at </w:t>
      </w:r>
      <w:r w:rsidRPr="00BD536F">
        <w:t>www.health.govt.nz/about-ministry/corporate-publications/annual-reports</w:t>
      </w:r>
      <w:r>
        <w:t>. In the financial year ending in 2012 the National Radiation Laboratory was sold. As a result, revenue and expenses information for this year are not readily derived from the information presented in the Annual Report.</w:t>
      </w:r>
    </w:p>
  </w:footnote>
  <w:footnote w:id="3">
    <w:p w:rsidR="003459BC" w:rsidRDefault="003459BC" w:rsidP="00994D19">
      <w:pPr>
        <w:pStyle w:val="FootnoteText"/>
      </w:pPr>
      <w:r w:rsidRPr="00994D19">
        <w:rPr>
          <w:rStyle w:val="FootnoteReference"/>
        </w:rPr>
        <w:footnoteRef/>
      </w:r>
      <w:r>
        <w:tab/>
      </w:r>
      <w:r w:rsidRPr="00B777CD">
        <w:t xml:space="preserve">See </w:t>
      </w:r>
      <w:r w:rsidRPr="00B777CD">
        <w:rPr>
          <w:i/>
        </w:rPr>
        <w:t xml:space="preserve">IAEA Safety Standards: </w:t>
      </w:r>
      <w:r>
        <w:rPr>
          <w:i/>
        </w:rPr>
        <w:t>Categori</w:t>
      </w:r>
      <w:r w:rsidRPr="00B777CD">
        <w:rPr>
          <w:i/>
        </w:rPr>
        <w:t xml:space="preserve">zation of </w:t>
      </w:r>
      <w:r>
        <w:rPr>
          <w:i/>
        </w:rPr>
        <w:t>r</w:t>
      </w:r>
      <w:r w:rsidRPr="00B777CD">
        <w:rPr>
          <w:i/>
        </w:rPr>
        <w:t xml:space="preserve">adioactive </w:t>
      </w:r>
      <w:r>
        <w:rPr>
          <w:i/>
        </w:rPr>
        <w:t>s</w:t>
      </w:r>
      <w:r w:rsidRPr="00B777CD">
        <w:rPr>
          <w:i/>
        </w:rPr>
        <w:t>ources</w:t>
      </w:r>
      <w:r>
        <w:rPr>
          <w:i/>
        </w:rPr>
        <w:t>,</w:t>
      </w:r>
      <w:r w:rsidRPr="00B777CD">
        <w:rPr>
          <w:i/>
        </w:rPr>
        <w:t xml:space="preserve"> </w:t>
      </w:r>
      <w:r>
        <w:rPr>
          <w:i/>
        </w:rPr>
        <w:t>s</w:t>
      </w:r>
      <w:r w:rsidRPr="00B777CD">
        <w:rPr>
          <w:i/>
        </w:rPr>
        <w:t xml:space="preserve">afety </w:t>
      </w:r>
      <w:r>
        <w:rPr>
          <w:i/>
        </w:rPr>
        <w:t>g</w:t>
      </w:r>
      <w:r w:rsidRPr="00B777CD">
        <w:rPr>
          <w:i/>
        </w:rPr>
        <w:t>uide No. RS-G-1.9</w:t>
      </w:r>
      <w:r w:rsidRPr="00B777CD">
        <w:t>, International Atomic Energy Agency, Vienna, 2005 (</w:t>
      </w:r>
      <w:r w:rsidRPr="00BA323D">
        <w:t>www-pub.iaea.org/MTCD/publications/PDF/Pub1227_web.pdf</w:t>
      </w:r>
      <w:r w:rsidRPr="00B777CD">
        <w:t>)</w:t>
      </w:r>
    </w:p>
  </w:footnote>
  <w:footnote w:id="4">
    <w:p w:rsidR="003459BC" w:rsidRPr="00B777CD" w:rsidRDefault="003459BC" w:rsidP="00026948">
      <w:pPr>
        <w:pStyle w:val="FootnoteText"/>
        <w:rPr>
          <w:szCs w:val="24"/>
        </w:rPr>
      </w:pPr>
      <w:r w:rsidRPr="00026948">
        <w:rPr>
          <w:rStyle w:val="FootnoteReference"/>
        </w:rPr>
        <w:footnoteRef/>
      </w:r>
      <w:r>
        <w:tab/>
      </w:r>
      <w:r w:rsidRPr="00B777CD">
        <w:t xml:space="preserve">See </w:t>
      </w:r>
      <w:r w:rsidRPr="00B777CD">
        <w:rPr>
          <w:i/>
        </w:rPr>
        <w:t xml:space="preserve">IAEA Safety Standards: </w:t>
      </w:r>
      <w:r>
        <w:rPr>
          <w:i/>
        </w:rPr>
        <w:t>Categori</w:t>
      </w:r>
      <w:r w:rsidRPr="00B777CD">
        <w:rPr>
          <w:i/>
        </w:rPr>
        <w:t xml:space="preserve">zation of </w:t>
      </w:r>
      <w:r>
        <w:rPr>
          <w:i/>
        </w:rPr>
        <w:t>r</w:t>
      </w:r>
      <w:r w:rsidRPr="00B777CD">
        <w:rPr>
          <w:i/>
        </w:rPr>
        <w:t xml:space="preserve">adioactive </w:t>
      </w:r>
      <w:r>
        <w:rPr>
          <w:i/>
        </w:rPr>
        <w:t>s</w:t>
      </w:r>
      <w:r w:rsidRPr="00B777CD">
        <w:rPr>
          <w:i/>
        </w:rPr>
        <w:t>ources</w:t>
      </w:r>
      <w:r>
        <w:rPr>
          <w:i/>
        </w:rPr>
        <w:t xml:space="preserve"> s</w:t>
      </w:r>
      <w:r w:rsidRPr="00B777CD">
        <w:rPr>
          <w:i/>
        </w:rPr>
        <w:t xml:space="preserve">afety </w:t>
      </w:r>
      <w:r>
        <w:rPr>
          <w:i/>
        </w:rPr>
        <w:t>g</w:t>
      </w:r>
      <w:r w:rsidRPr="00B777CD">
        <w:rPr>
          <w:i/>
        </w:rPr>
        <w:t>uide No. RS-G-1.9</w:t>
      </w:r>
      <w:r w:rsidRPr="00B777CD">
        <w:t>, International Atomic Energy Agency, Vienna, 2005 (</w:t>
      </w:r>
      <w:r w:rsidRPr="006642FE">
        <w:t>www-pub.iaea.org/MTCD/publications/PDF/Pub1227_web.pdf</w:t>
      </w:r>
      <w:r w:rsidRPr="00B777CD">
        <w:t>)</w:t>
      </w:r>
    </w:p>
  </w:footnote>
  <w:footnote w:id="5">
    <w:p w:rsidR="003459BC" w:rsidRDefault="003459BC" w:rsidP="006B1DE3">
      <w:pPr>
        <w:pStyle w:val="FootnoteText"/>
      </w:pPr>
      <w:r w:rsidRPr="006B1DE3">
        <w:rPr>
          <w:rStyle w:val="FootnoteReference"/>
        </w:rPr>
        <w:footnoteRef/>
      </w:r>
      <w:r>
        <w:tab/>
        <w:t xml:space="preserve">See the section titled ‘Memorandum accounts’ in the Ministry of Health Annual Report for the year ended 30 June 2015 (p. 118 of the PDF version), which is available on the Ministry’s website at </w:t>
      </w:r>
      <w:r w:rsidRPr="007C5796">
        <w:t>www.health.govt.nz/publication/annual-report-year-ended-30-june-2015</w:t>
      </w:r>
      <w:r>
        <w:t>.</w:t>
      </w:r>
    </w:p>
  </w:footnote>
  <w:footnote w:id="6">
    <w:p w:rsidR="003459BC" w:rsidRDefault="003459BC" w:rsidP="00410952">
      <w:pPr>
        <w:pStyle w:val="FootnoteText"/>
      </w:pPr>
      <w:r>
        <w:rPr>
          <w:rStyle w:val="FootnoteReference"/>
        </w:rPr>
        <w:footnoteRef/>
      </w:r>
      <w:r>
        <w:tab/>
        <w:t xml:space="preserve">See paragraphs 4.4 and 4.5 of the </w:t>
      </w:r>
      <w:r>
        <w:rPr>
          <w:i/>
        </w:rPr>
        <w:t>IAEA</w:t>
      </w:r>
      <w:r w:rsidRPr="004E579A">
        <w:rPr>
          <w:i/>
        </w:rPr>
        <w:t xml:space="preserve"> Safeguards Glossary, International Nuclear Verification Series No. 3</w:t>
      </w:r>
      <w:r>
        <w:t xml:space="preserve">, </w:t>
      </w:r>
      <w:r w:rsidRPr="0045082D">
        <w:t>International Atomic Energy Agency,</w:t>
      </w:r>
      <w:r>
        <w:t xml:space="preserve"> Vienna,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rsidP="009216CC">
    <w:pPr>
      <w:pStyle w:val="Header"/>
      <w:ind w:left="-1559"/>
    </w:pPr>
    <w:r>
      <w:rPr>
        <w:noProof/>
        <w:lang w:eastAsia="en-NZ"/>
      </w:rPr>
      <w:drawing>
        <wp:inline distT="0" distB="0" distL="0" distR="0" wp14:anchorId="644946F0" wp14:editId="6A334E3C">
          <wp:extent cx="6467302" cy="53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C" w:rsidRDefault="003459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479527E"/>
    <w:multiLevelType w:val="hybridMultilevel"/>
    <w:tmpl w:val="D7AA4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2305122"/>
    <w:multiLevelType w:val="hybridMultilevel"/>
    <w:tmpl w:val="BAEEB8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5F67A0"/>
    <w:multiLevelType w:val="hybridMultilevel"/>
    <w:tmpl w:val="98904F5E"/>
    <w:lvl w:ilvl="0" w:tplc="9C1EA440">
      <w:start w:val="4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nsid w:val="747B541A"/>
    <w:multiLevelType w:val="hybridMultilevel"/>
    <w:tmpl w:val="6890DE24"/>
    <w:lvl w:ilvl="0" w:tplc="5D306F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6"/>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0745"/>
    <w:rsid w:val="00026948"/>
    <w:rsid w:val="00030B26"/>
    <w:rsid w:val="000406DA"/>
    <w:rsid w:val="0006228D"/>
    <w:rsid w:val="00072BD6"/>
    <w:rsid w:val="00075B78"/>
    <w:rsid w:val="00082CD6"/>
    <w:rsid w:val="00085AFE"/>
    <w:rsid w:val="000B0730"/>
    <w:rsid w:val="000D6640"/>
    <w:rsid w:val="000D6B43"/>
    <w:rsid w:val="000F2AE2"/>
    <w:rsid w:val="00102063"/>
    <w:rsid w:val="0010541C"/>
    <w:rsid w:val="00106F93"/>
    <w:rsid w:val="00111D50"/>
    <w:rsid w:val="00113B8E"/>
    <w:rsid w:val="00116D49"/>
    <w:rsid w:val="001342C7"/>
    <w:rsid w:val="0013585C"/>
    <w:rsid w:val="00142954"/>
    <w:rsid w:val="001460E0"/>
    <w:rsid w:val="00147F71"/>
    <w:rsid w:val="00150A6E"/>
    <w:rsid w:val="0016468A"/>
    <w:rsid w:val="001A2B1F"/>
    <w:rsid w:val="001A5CF5"/>
    <w:rsid w:val="001B39D2"/>
    <w:rsid w:val="001B4BF8"/>
    <w:rsid w:val="001C4326"/>
    <w:rsid w:val="001D3541"/>
    <w:rsid w:val="00201A01"/>
    <w:rsid w:val="00202887"/>
    <w:rsid w:val="002104D3"/>
    <w:rsid w:val="00213A33"/>
    <w:rsid w:val="0021763B"/>
    <w:rsid w:val="00231FBE"/>
    <w:rsid w:val="00241296"/>
    <w:rsid w:val="00246DB1"/>
    <w:rsid w:val="002476B5"/>
    <w:rsid w:val="00253ECF"/>
    <w:rsid w:val="002546A1"/>
    <w:rsid w:val="00266428"/>
    <w:rsid w:val="00275D08"/>
    <w:rsid w:val="0027725E"/>
    <w:rsid w:val="002858E3"/>
    <w:rsid w:val="0029190A"/>
    <w:rsid w:val="00292C5A"/>
    <w:rsid w:val="00295241"/>
    <w:rsid w:val="002B047D"/>
    <w:rsid w:val="002B732B"/>
    <w:rsid w:val="002C2219"/>
    <w:rsid w:val="002D0DF2"/>
    <w:rsid w:val="002D23BD"/>
    <w:rsid w:val="002E0B47"/>
    <w:rsid w:val="002F1412"/>
    <w:rsid w:val="002F4AA4"/>
    <w:rsid w:val="002F7213"/>
    <w:rsid w:val="0030382F"/>
    <w:rsid w:val="0030408D"/>
    <w:rsid w:val="003060E4"/>
    <w:rsid w:val="003160E7"/>
    <w:rsid w:val="0031739E"/>
    <w:rsid w:val="003325AB"/>
    <w:rsid w:val="0033412B"/>
    <w:rsid w:val="00343365"/>
    <w:rsid w:val="003459BC"/>
    <w:rsid w:val="00353501"/>
    <w:rsid w:val="003606F8"/>
    <w:rsid w:val="003648EF"/>
    <w:rsid w:val="003673E6"/>
    <w:rsid w:val="00377264"/>
    <w:rsid w:val="00385EF2"/>
    <w:rsid w:val="003A26A5"/>
    <w:rsid w:val="003A3761"/>
    <w:rsid w:val="003A5FEA"/>
    <w:rsid w:val="003B1D10"/>
    <w:rsid w:val="003C76D4"/>
    <w:rsid w:val="003D2CC5"/>
    <w:rsid w:val="003E7C46"/>
    <w:rsid w:val="003F30B8"/>
    <w:rsid w:val="003F52A7"/>
    <w:rsid w:val="0040240C"/>
    <w:rsid w:val="00410952"/>
    <w:rsid w:val="00413021"/>
    <w:rsid w:val="00440BE0"/>
    <w:rsid w:val="00442C1C"/>
    <w:rsid w:val="0044584B"/>
    <w:rsid w:val="00447CB7"/>
    <w:rsid w:val="00460826"/>
    <w:rsid w:val="00460EA7"/>
    <w:rsid w:val="0046195B"/>
    <w:rsid w:val="0046596D"/>
    <w:rsid w:val="00467474"/>
    <w:rsid w:val="00487C04"/>
    <w:rsid w:val="004907E1"/>
    <w:rsid w:val="004A035B"/>
    <w:rsid w:val="004A38D7"/>
    <w:rsid w:val="004A778C"/>
    <w:rsid w:val="004B0395"/>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B250F"/>
    <w:rsid w:val="005E2216"/>
    <w:rsid w:val="005E226E"/>
    <w:rsid w:val="005F5C2D"/>
    <w:rsid w:val="006015D7"/>
    <w:rsid w:val="00601B21"/>
    <w:rsid w:val="006041F0"/>
    <w:rsid w:val="00626CF8"/>
    <w:rsid w:val="00632DCF"/>
    <w:rsid w:val="00636D7D"/>
    <w:rsid w:val="00637408"/>
    <w:rsid w:val="00642868"/>
    <w:rsid w:val="00647AFE"/>
    <w:rsid w:val="006512BC"/>
    <w:rsid w:val="00653A5A"/>
    <w:rsid w:val="006575F4"/>
    <w:rsid w:val="006579E6"/>
    <w:rsid w:val="00663689"/>
    <w:rsid w:val="00663EDC"/>
    <w:rsid w:val="00671078"/>
    <w:rsid w:val="006758CA"/>
    <w:rsid w:val="00677DBC"/>
    <w:rsid w:val="00680A04"/>
    <w:rsid w:val="00686D80"/>
    <w:rsid w:val="00694266"/>
    <w:rsid w:val="00694895"/>
    <w:rsid w:val="00697E2E"/>
    <w:rsid w:val="006A25A2"/>
    <w:rsid w:val="006B0E73"/>
    <w:rsid w:val="006B1DE3"/>
    <w:rsid w:val="006B4A4D"/>
    <w:rsid w:val="006B5695"/>
    <w:rsid w:val="006C78EB"/>
    <w:rsid w:val="006D1660"/>
    <w:rsid w:val="006D2AC8"/>
    <w:rsid w:val="006E0ECD"/>
    <w:rsid w:val="006F1B67"/>
    <w:rsid w:val="0070091D"/>
    <w:rsid w:val="00702854"/>
    <w:rsid w:val="0071741C"/>
    <w:rsid w:val="00721CF5"/>
    <w:rsid w:val="0072286B"/>
    <w:rsid w:val="00732EDA"/>
    <w:rsid w:val="00742B90"/>
    <w:rsid w:val="0074434D"/>
    <w:rsid w:val="00771B1E"/>
    <w:rsid w:val="00773C95"/>
    <w:rsid w:val="0078171E"/>
    <w:rsid w:val="00795B34"/>
    <w:rsid w:val="007B1770"/>
    <w:rsid w:val="007B2D22"/>
    <w:rsid w:val="007B4D3E"/>
    <w:rsid w:val="007B7C70"/>
    <w:rsid w:val="007D2151"/>
    <w:rsid w:val="007D42CC"/>
    <w:rsid w:val="007D5DE4"/>
    <w:rsid w:val="007E0777"/>
    <w:rsid w:val="007E1341"/>
    <w:rsid w:val="007E1B41"/>
    <w:rsid w:val="007E30B9"/>
    <w:rsid w:val="007E74F1"/>
    <w:rsid w:val="007F0F0C"/>
    <w:rsid w:val="007F1288"/>
    <w:rsid w:val="007F4E9A"/>
    <w:rsid w:val="00800A8A"/>
    <w:rsid w:val="0080155C"/>
    <w:rsid w:val="008052E1"/>
    <w:rsid w:val="008148C2"/>
    <w:rsid w:val="00822F2C"/>
    <w:rsid w:val="00823DC8"/>
    <w:rsid w:val="008305E8"/>
    <w:rsid w:val="00852961"/>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50C7"/>
    <w:rsid w:val="008D74D5"/>
    <w:rsid w:val="008F29BE"/>
    <w:rsid w:val="008F3C6A"/>
    <w:rsid w:val="008F4AE5"/>
    <w:rsid w:val="008F51EB"/>
    <w:rsid w:val="00900197"/>
    <w:rsid w:val="00902F55"/>
    <w:rsid w:val="0090582B"/>
    <w:rsid w:val="009060C0"/>
    <w:rsid w:val="009133F5"/>
    <w:rsid w:val="00920A27"/>
    <w:rsid w:val="00921216"/>
    <w:rsid w:val="009216CC"/>
    <w:rsid w:val="00932D69"/>
    <w:rsid w:val="00944647"/>
    <w:rsid w:val="00964B95"/>
    <w:rsid w:val="00977B8A"/>
    <w:rsid w:val="00982971"/>
    <w:rsid w:val="009845AD"/>
    <w:rsid w:val="00994D19"/>
    <w:rsid w:val="00995BA0"/>
    <w:rsid w:val="009A418B"/>
    <w:rsid w:val="009A4473"/>
    <w:rsid w:val="009A44D8"/>
    <w:rsid w:val="009C151C"/>
    <w:rsid w:val="009C2A67"/>
    <w:rsid w:val="009D5125"/>
    <w:rsid w:val="009D60B8"/>
    <w:rsid w:val="009D7D4B"/>
    <w:rsid w:val="009E36ED"/>
    <w:rsid w:val="009E3C8C"/>
    <w:rsid w:val="009E6B77"/>
    <w:rsid w:val="009F460A"/>
    <w:rsid w:val="00A043FB"/>
    <w:rsid w:val="00A0729C"/>
    <w:rsid w:val="00A07779"/>
    <w:rsid w:val="00A157CB"/>
    <w:rsid w:val="00A20B2E"/>
    <w:rsid w:val="00A25069"/>
    <w:rsid w:val="00A25136"/>
    <w:rsid w:val="00A26E6B"/>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F0845"/>
    <w:rsid w:val="00AF7800"/>
    <w:rsid w:val="00B072E0"/>
    <w:rsid w:val="00B253F6"/>
    <w:rsid w:val="00B305DB"/>
    <w:rsid w:val="00B332F8"/>
    <w:rsid w:val="00B3492B"/>
    <w:rsid w:val="00B3564A"/>
    <w:rsid w:val="00B4646F"/>
    <w:rsid w:val="00B55C7D"/>
    <w:rsid w:val="00B63038"/>
    <w:rsid w:val="00B64BD8"/>
    <w:rsid w:val="00B701D1"/>
    <w:rsid w:val="00B73AF2"/>
    <w:rsid w:val="00B7551A"/>
    <w:rsid w:val="00BC59F1"/>
    <w:rsid w:val="00BF3DE1"/>
    <w:rsid w:val="00BF4843"/>
    <w:rsid w:val="00BF5205"/>
    <w:rsid w:val="00C12508"/>
    <w:rsid w:val="00C13706"/>
    <w:rsid w:val="00C45AA2"/>
    <w:rsid w:val="00C61FEE"/>
    <w:rsid w:val="00C66296"/>
    <w:rsid w:val="00C77282"/>
    <w:rsid w:val="00C83699"/>
    <w:rsid w:val="00C84917"/>
    <w:rsid w:val="00C84DE5"/>
    <w:rsid w:val="00C86248"/>
    <w:rsid w:val="00C95B12"/>
    <w:rsid w:val="00CA4C33"/>
    <w:rsid w:val="00CA6F4A"/>
    <w:rsid w:val="00CC2718"/>
    <w:rsid w:val="00CD2119"/>
    <w:rsid w:val="00CD237A"/>
    <w:rsid w:val="00CD36AC"/>
    <w:rsid w:val="00CF1747"/>
    <w:rsid w:val="00D15E14"/>
    <w:rsid w:val="00D23323"/>
    <w:rsid w:val="00D2392A"/>
    <w:rsid w:val="00D25FFE"/>
    <w:rsid w:val="00D4476F"/>
    <w:rsid w:val="00D455AA"/>
    <w:rsid w:val="00D5172C"/>
    <w:rsid w:val="00D54D50"/>
    <w:rsid w:val="00D66797"/>
    <w:rsid w:val="00D7087C"/>
    <w:rsid w:val="00D70C3C"/>
    <w:rsid w:val="00D72BE5"/>
    <w:rsid w:val="00D82F26"/>
    <w:rsid w:val="00D863D0"/>
    <w:rsid w:val="00D87C87"/>
    <w:rsid w:val="00DB39CF"/>
    <w:rsid w:val="00DD0BCD"/>
    <w:rsid w:val="00DD447A"/>
    <w:rsid w:val="00DE3B20"/>
    <w:rsid w:val="00DE6C94"/>
    <w:rsid w:val="00DE6FD7"/>
    <w:rsid w:val="00E23271"/>
    <w:rsid w:val="00E24F80"/>
    <w:rsid w:val="00E2577A"/>
    <w:rsid w:val="00E259F3"/>
    <w:rsid w:val="00E25DEF"/>
    <w:rsid w:val="00E33238"/>
    <w:rsid w:val="00E443F3"/>
    <w:rsid w:val="00E4486C"/>
    <w:rsid w:val="00E460B6"/>
    <w:rsid w:val="00E511D5"/>
    <w:rsid w:val="00E60249"/>
    <w:rsid w:val="00E65269"/>
    <w:rsid w:val="00E76D66"/>
    <w:rsid w:val="00E8102B"/>
    <w:rsid w:val="00E9229C"/>
    <w:rsid w:val="00EA796A"/>
    <w:rsid w:val="00EB1856"/>
    <w:rsid w:val="00EC50CE"/>
    <w:rsid w:val="00EC5B34"/>
    <w:rsid w:val="00EC5B77"/>
    <w:rsid w:val="00EE4ADE"/>
    <w:rsid w:val="00EE5CB7"/>
    <w:rsid w:val="00EF0FE1"/>
    <w:rsid w:val="00F024FE"/>
    <w:rsid w:val="00F05AD4"/>
    <w:rsid w:val="00F25970"/>
    <w:rsid w:val="00F5180D"/>
    <w:rsid w:val="00F67496"/>
    <w:rsid w:val="00F739EE"/>
    <w:rsid w:val="00F801BA"/>
    <w:rsid w:val="00F810AB"/>
    <w:rsid w:val="00F9366A"/>
    <w:rsid w:val="00F946C9"/>
    <w:rsid w:val="00FA74EE"/>
    <w:rsid w:val="00FC2466"/>
    <w:rsid w:val="00FC27E5"/>
    <w:rsid w:val="00FC3711"/>
    <w:rsid w:val="00FC46E7"/>
    <w:rsid w:val="00FC5D25"/>
    <w:rsid w:val="00FD0D7E"/>
    <w:rsid w:val="00FE467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2F4AA4"/>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964B95"/>
    <w:pPr>
      <w:keepNext/>
      <w:spacing w:before="240" w:after="180"/>
      <w:ind w:left="851" w:hanging="851"/>
      <w:outlineLvl w:val="1"/>
    </w:pPr>
    <w:rPr>
      <w:b/>
      <w:sz w:val="36"/>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AA4"/>
    <w:rPr>
      <w:rFonts w:ascii="Georgia" w:hAnsi="Georgia"/>
      <w:b/>
      <w:sz w:val="60"/>
      <w:lang w:eastAsia="en-GB"/>
    </w:rPr>
  </w:style>
  <w:style w:type="character" w:customStyle="1" w:styleId="Heading2Char">
    <w:name w:val="Heading 2 Char"/>
    <w:link w:val="Heading2"/>
    <w:uiPriority w:val="9"/>
    <w:rsid w:val="00964B95"/>
    <w:rPr>
      <w:rFonts w:ascii="Georgia" w:hAnsi="Georgia"/>
      <w:b/>
      <w:sz w:val="36"/>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8D50C7"/>
    <w:pPr>
      <w:tabs>
        <w:tab w:val="right" w:pos="9356"/>
      </w:tabs>
      <w:spacing w:before="300"/>
      <w:ind w:left="567" w:right="567" w:hanging="567"/>
    </w:pPr>
    <w:rPr>
      <w:b/>
    </w:rPr>
  </w:style>
  <w:style w:type="paragraph" w:styleId="TOC2">
    <w:name w:val="toc 2"/>
    <w:basedOn w:val="Normal"/>
    <w:next w:val="Normal"/>
    <w:uiPriority w:val="39"/>
    <w:rsid w:val="008D50C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A157CB"/>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z-TopofForm">
    <w:name w:val="HTML Top of Form"/>
    <w:basedOn w:val="Normal"/>
    <w:next w:val="Normal"/>
    <w:link w:val="z-TopofFormChar"/>
    <w:hidden/>
    <w:uiPriority w:val="99"/>
    <w:semiHidden/>
    <w:unhideWhenUsed/>
    <w:rsid w:val="00000745"/>
    <w:pPr>
      <w:pBdr>
        <w:bottom w:val="single" w:sz="6" w:space="1" w:color="auto"/>
      </w:pBdr>
      <w:spacing w:line="240" w:lineRule="auto"/>
      <w:jc w:val="center"/>
    </w:pPr>
    <w:rPr>
      <w:rFonts w:ascii="Arial" w:hAnsi="Arial" w:cs="Arial"/>
      <w:vanish/>
      <w:sz w:val="16"/>
      <w:szCs w:val="16"/>
      <w:lang w:eastAsia="en-NZ"/>
    </w:rPr>
  </w:style>
  <w:style w:type="character" w:customStyle="1" w:styleId="z-TopofFormChar">
    <w:name w:val="z-Top of Form Char"/>
    <w:basedOn w:val="DefaultParagraphFont"/>
    <w:link w:val="z-TopofForm"/>
    <w:uiPriority w:val="99"/>
    <w:semiHidden/>
    <w:rsid w:val="000007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0745"/>
    <w:pPr>
      <w:pBdr>
        <w:top w:val="single" w:sz="6" w:space="1" w:color="auto"/>
      </w:pBdr>
      <w:spacing w:line="240" w:lineRule="auto"/>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000745"/>
    <w:rPr>
      <w:rFonts w:ascii="Arial" w:hAnsi="Arial" w:cs="Arial"/>
      <w:vanish/>
      <w:sz w:val="16"/>
      <w:szCs w:val="16"/>
    </w:rPr>
  </w:style>
  <w:style w:type="character" w:customStyle="1" w:styleId="TableTextChar">
    <w:name w:val="TableText Char"/>
    <w:link w:val="TableText"/>
    <w:rsid w:val="004B0395"/>
    <w:rPr>
      <w:rFonts w:ascii="Arial" w:hAnsi="Arial"/>
      <w:sz w:val="18"/>
      <w:lang w:eastAsia="en-GB"/>
    </w:rPr>
  </w:style>
  <w:style w:type="paragraph" w:styleId="BalloonText">
    <w:name w:val="Balloon Text"/>
    <w:basedOn w:val="Normal"/>
    <w:link w:val="BalloonTextChar"/>
    <w:uiPriority w:val="99"/>
    <w:semiHidden/>
    <w:unhideWhenUsed/>
    <w:rsid w:val="00C8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1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2F4AA4"/>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964B95"/>
    <w:pPr>
      <w:keepNext/>
      <w:spacing w:before="240" w:after="180"/>
      <w:ind w:left="851" w:hanging="851"/>
      <w:outlineLvl w:val="1"/>
    </w:pPr>
    <w:rPr>
      <w:b/>
      <w:sz w:val="36"/>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4AA4"/>
    <w:rPr>
      <w:rFonts w:ascii="Georgia" w:hAnsi="Georgia"/>
      <w:b/>
      <w:sz w:val="60"/>
      <w:lang w:eastAsia="en-GB"/>
    </w:rPr>
  </w:style>
  <w:style w:type="character" w:customStyle="1" w:styleId="Heading2Char">
    <w:name w:val="Heading 2 Char"/>
    <w:link w:val="Heading2"/>
    <w:uiPriority w:val="9"/>
    <w:rsid w:val="00964B95"/>
    <w:rPr>
      <w:rFonts w:ascii="Georgia" w:hAnsi="Georgia"/>
      <w:b/>
      <w:sz w:val="36"/>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8D50C7"/>
    <w:pPr>
      <w:tabs>
        <w:tab w:val="right" w:pos="9356"/>
      </w:tabs>
      <w:spacing w:before="300"/>
      <w:ind w:left="567" w:right="567" w:hanging="567"/>
    </w:pPr>
    <w:rPr>
      <w:b/>
    </w:rPr>
  </w:style>
  <w:style w:type="paragraph" w:styleId="TOC2">
    <w:name w:val="toc 2"/>
    <w:basedOn w:val="Normal"/>
    <w:next w:val="Normal"/>
    <w:uiPriority w:val="39"/>
    <w:rsid w:val="008D50C7"/>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A157CB"/>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z-TopofForm">
    <w:name w:val="HTML Top of Form"/>
    <w:basedOn w:val="Normal"/>
    <w:next w:val="Normal"/>
    <w:link w:val="z-TopofFormChar"/>
    <w:hidden/>
    <w:uiPriority w:val="99"/>
    <w:semiHidden/>
    <w:unhideWhenUsed/>
    <w:rsid w:val="00000745"/>
    <w:pPr>
      <w:pBdr>
        <w:bottom w:val="single" w:sz="6" w:space="1" w:color="auto"/>
      </w:pBdr>
      <w:spacing w:line="240" w:lineRule="auto"/>
      <w:jc w:val="center"/>
    </w:pPr>
    <w:rPr>
      <w:rFonts w:ascii="Arial" w:hAnsi="Arial" w:cs="Arial"/>
      <w:vanish/>
      <w:sz w:val="16"/>
      <w:szCs w:val="16"/>
      <w:lang w:eastAsia="en-NZ"/>
    </w:rPr>
  </w:style>
  <w:style w:type="character" w:customStyle="1" w:styleId="z-TopofFormChar">
    <w:name w:val="z-Top of Form Char"/>
    <w:basedOn w:val="DefaultParagraphFont"/>
    <w:link w:val="z-TopofForm"/>
    <w:uiPriority w:val="99"/>
    <w:semiHidden/>
    <w:rsid w:val="000007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0745"/>
    <w:pPr>
      <w:pBdr>
        <w:top w:val="single" w:sz="6" w:space="1" w:color="auto"/>
      </w:pBdr>
      <w:spacing w:line="240" w:lineRule="auto"/>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000745"/>
    <w:rPr>
      <w:rFonts w:ascii="Arial" w:hAnsi="Arial" w:cs="Arial"/>
      <w:vanish/>
      <w:sz w:val="16"/>
      <w:szCs w:val="16"/>
    </w:rPr>
  </w:style>
  <w:style w:type="character" w:customStyle="1" w:styleId="TableTextChar">
    <w:name w:val="TableText Char"/>
    <w:link w:val="TableText"/>
    <w:rsid w:val="004B0395"/>
    <w:rPr>
      <w:rFonts w:ascii="Arial" w:hAnsi="Arial"/>
      <w:sz w:val="18"/>
      <w:lang w:eastAsia="en-GB"/>
    </w:rPr>
  </w:style>
  <w:style w:type="paragraph" w:styleId="BalloonText">
    <w:name w:val="Balloon Text"/>
    <w:basedOn w:val="Normal"/>
    <w:link w:val="BalloonTextChar"/>
    <w:uiPriority w:val="99"/>
    <w:semiHidden/>
    <w:unhideWhenUsed/>
    <w:rsid w:val="00C84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1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legislation.govt.nz/act/public/1965/0023/latest/whole.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www.health.govt.nz/system/files/documents/pages/ris-radiationsept_2004.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health.govt.nz/system/files/documents/pages/radiation_regulation_review_2002.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arliament.nz/en-nz/pb/legislation/bills/00DBHOH_BILL61941_1/radiation-safety-bil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govt.nz/regulation/public/1982/0072/4.0/whole.html" TargetMode="Externa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058B-E6BE-4664-9FFD-1570BD40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70</Pages>
  <Words>14541</Words>
  <Characters>82889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2016-05-03T21:26:00Z</cp:lastPrinted>
  <dcterms:created xsi:type="dcterms:W3CDTF">2016-05-11T04:50:00Z</dcterms:created>
  <dcterms:modified xsi:type="dcterms:W3CDTF">2016-05-11T04:50:00Z</dcterms:modified>
</cp:coreProperties>
</file>