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2E9A4" w14:textId="77777777" w:rsidR="00C86248" w:rsidRDefault="002A4E9E" w:rsidP="00926083">
      <w:pPr>
        <w:pStyle w:val="Title"/>
      </w:pPr>
      <w:r>
        <w:t>Pregnancy Planning</w:t>
      </w:r>
    </w:p>
    <w:p w14:paraId="3F6A32A3" w14:textId="77777777" w:rsidR="00D27922" w:rsidRDefault="002A4E9E" w:rsidP="00D27922">
      <w:pPr>
        <w:pStyle w:val="Subhead"/>
      </w:pPr>
      <w:r>
        <w:t>Findings from the</w:t>
      </w:r>
      <w:r>
        <w:br/>
        <w:t>2014/15 New Zealand Health Survey</w:t>
      </w:r>
    </w:p>
    <w:p w14:paraId="68256D01" w14:textId="77777777" w:rsidR="00D27922" w:rsidRPr="00D27922" w:rsidRDefault="002A4E9E" w:rsidP="00D27922">
      <w:pPr>
        <w:pStyle w:val="Year"/>
      </w:pPr>
      <w:r>
        <w:t>2019</w:t>
      </w:r>
    </w:p>
    <w:p w14:paraId="7ED3BEBD" w14:textId="77777777" w:rsidR="00C05132" w:rsidRDefault="00C05132" w:rsidP="00A06BE4"/>
    <w:p w14:paraId="1C4950C6" w14:textId="77777777" w:rsidR="00142954" w:rsidRPr="00142954" w:rsidRDefault="00142954" w:rsidP="00142954">
      <w:pPr>
        <w:sectPr w:rsidR="00142954" w:rsidRPr="00142954" w:rsidSect="00925892">
          <w:headerReference w:type="default" r:id="rId8"/>
          <w:footerReference w:type="default" r:id="rId9"/>
          <w:pgSz w:w="11907" w:h="16834" w:code="9"/>
          <w:pgMar w:top="5670" w:right="1134" w:bottom="1134" w:left="1134" w:header="567" w:footer="851" w:gutter="0"/>
          <w:pgNumType w:start="1"/>
          <w:cols w:space="720"/>
        </w:sectPr>
      </w:pPr>
    </w:p>
    <w:p w14:paraId="43AC7600" w14:textId="77777777" w:rsidR="00D27922" w:rsidRDefault="00D27922" w:rsidP="00D27922">
      <w:pPr>
        <w:pStyle w:val="Heading3"/>
      </w:pPr>
      <w:r>
        <w:lastRenderedPageBreak/>
        <w:t>Acknowledgements</w:t>
      </w:r>
    </w:p>
    <w:p w14:paraId="4A37AF12" w14:textId="77777777" w:rsidR="002A4E9E" w:rsidRPr="009B769D" w:rsidRDefault="002A4E9E" w:rsidP="00BE2D54">
      <w:pPr>
        <w:spacing w:after="240"/>
        <w:rPr>
          <w:rFonts w:cs="Segoe UI"/>
          <w:sz w:val="20"/>
        </w:rPr>
      </w:pPr>
      <w:r w:rsidRPr="009B769D">
        <w:rPr>
          <w:rFonts w:cs="Segoe UI"/>
          <w:sz w:val="20"/>
        </w:rPr>
        <w:t>The New Zealand Health Survey would not have been possible without the support and enthusiasm of many individuals, including the many thousands of New Zealanders who gave their time to participate in it and the interviewers who worked so diligently to collect the data. Thank you for your generosity.</w:t>
      </w:r>
    </w:p>
    <w:p w14:paraId="3BE823A1" w14:textId="0A29FDD3" w:rsidR="00BE2D54" w:rsidRDefault="00BE2D54" w:rsidP="00BE2D54">
      <w:pPr>
        <w:pStyle w:val="Imprint"/>
        <w:rPr>
          <w:rFonts w:cs="Segoe UI"/>
          <w:color w:val="000000"/>
          <w:lang w:eastAsia="en-NZ"/>
        </w:rPr>
      </w:pPr>
      <w:r>
        <w:rPr>
          <w:rFonts w:cs="Segoe UI"/>
          <w:color w:val="000000"/>
          <w:lang w:eastAsia="en-NZ"/>
        </w:rPr>
        <w:t xml:space="preserve">This data brief was written by Nigel Dickson (University of Otago), Bridget Murphy (Ministry of Health), Jennie Connor (University of Otago), Antoinette </w:t>
      </w:r>
      <w:proofErr w:type="spellStart"/>
      <w:r>
        <w:rPr>
          <w:rFonts w:cs="Segoe UI"/>
          <w:color w:val="000000"/>
          <w:lang w:eastAsia="en-NZ"/>
        </w:rPr>
        <w:t>Righarts</w:t>
      </w:r>
      <w:proofErr w:type="spellEnd"/>
      <w:r>
        <w:rPr>
          <w:rFonts w:cs="Segoe UI"/>
          <w:color w:val="000000"/>
          <w:lang w:eastAsia="en-NZ"/>
        </w:rPr>
        <w:t xml:space="preserve"> (University of Otago) and Peter Saxton (University of Auckland). The data analysis was undertaken by Barry Gribben (CBG Health Research), Thomas Zhang (CBG Health Research) and James Stanley (University of Otago).</w:t>
      </w:r>
    </w:p>
    <w:p w14:paraId="34883A7A" w14:textId="3D8895D0" w:rsidR="002A4E9E" w:rsidRPr="00C05132" w:rsidRDefault="002A4E9E" w:rsidP="002A4E9E">
      <w:pPr>
        <w:pStyle w:val="Imprint"/>
        <w:spacing w:before="1200"/>
        <w:rPr>
          <w:rFonts w:cs="Segoe UI"/>
        </w:rPr>
      </w:pPr>
      <w:r>
        <w:rPr>
          <w:rFonts w:cs="Segoe UI"/>
        </w:rPr>
        <w:t>C</w:t>
      </w:r>
      <w:r w:rsidRPr="00C05132">
        <w:rPr>
          <w:rFonts w:cs="Segoe UI"/>
        </w:rPr>
        <w:t xml:space="preserve">itation: Ministry of Health. </w:t>
      </w:r>
      <w:r>
        <w:rPr>
          <w:rFonts w:cs="Segoe UI"/>
        </w:rPr>
        <w:t>2019</w:t>
      </w:r>
      <w:r w:rsidRPr="00C05132">
        <w:rPr>
          <w:rFonts w:cs="Segoe UI"/>
        </w:rPr>
        <w:t xml:space="preserve">. </w:t>
      </w:r>
      <w:r>
        <w:rPr>
          <w:rFonts w:cs="Segoe UI"/>
          <w:i/>
        </w:rPr>
        <w:t>Pregnancy Planning: Findings from the 2014/15 New Zealand Health Survey</w:t>
      </w:r>
      <w:r w:rsidRPr="00C05132">
        <w:rPr>
          <w:rFonts w:cs="Segoe UI"/>
        </w:rPr>
        <w:t>. Wellington: Ministry of Health.</w:t>
      </w:r>
    </w:p>
    <w:p w14:paraId="69382313" w14:textId="12DA7CDC" w:rsidR="002A4E9E" w:rsidRPr="006B209B" w:rsidRDefault="002A4E9E" w:rsidP="002A4E9E">
      <w:pPr>
        <w:pStyle w:val="Imprint"/>
      </w:pPr>
      <w:r w:rsidRPr="006B209B">
        <w:t xml:space="preserve">Published in </w:t>
      </w:r>
      <w:r w:rsidR="006B209B" w:rsidRPr="006B209B">
        <w:t>November 2019</w:t>
      </w:r>
      <w:r w:rsidRPr="006B209B">
        <w:t xml:space="preserve"> by the Ministry of Health</w:t>
      </w:r>
      <w:r w:rsidRPr="006B209B">
        <w:br/>
        <w:t>PO Box 5013, Wellington 6140, New Zealand</w:t>
      </w:r>
    </w:p>
    <w:p w14:paraId="29A6780E" w14:textId="62F4BD2A" w:rsidR="002A4E9E" w:rsidRPr="009C0F2D" w:rsidRDefault="002A4E9E" w:rsidP="002A4E9E">
      <w:pPr>
        <w:pStyle w:val="Imprint"/>
      </w:pPr>
      <w:r w:rsidRPr="002B73BA">
        <w:t xml:space="preserve">ISBN </w:t>
      </w:r>
      <w:r w:rsidR="002B73BA" w:rsidRPr="002B73BA">
        <w:t>978-1-98-859702-7</w:t>
      </w:r>
      <w:r w:rsidRPr="002B73BA">
        <w:t xml:space="preserve"> (online)</w:t>
      </w:r>
      <w:r w:rsidRPr="002B73BA">
        <w:br/>
        <w:t>HP</w:t>
      </w:r>
      <w:r w:rsidR="006B209B">
        <w:t xml:space="preserve"> </w:t>
      </w:r>
      <w:r w:rsidR="002B73BA">
        <w:t>7174</w:t>
      </w:r>
    </w:p>
    <w:p w14:paraId="725876FE" w14:textId="77777777" w:rsidR="00C86248" w:rsidRDefault="008C64C4" w:rsidP="00D27922">
      <w:pPr>
        <w:spacing w:before="360"/>
      </w:pPr>
      <w:r>
        <w:rPr>
          <w:noProof/>
          <w:lang w:eastAsia="en-NZ"/>
        </w:rPr>
        <w:drawing>
          <wp:inline distT="0" distB="0" distL="0" distR="0" wp14:anchorId="34792881" wp14:editId="0FA3962A">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46D9DA2C" w14:textId="77777777" w:rsidR="00A63DFF" w:rsidRDefault="00A63DFF" w:rsidP="00A63DFF">
      <w:pPr>
        <w:pStyle w:val="Imprint"/>
        <w:spacing w:before="240" w:after="480"/>
      </w:pPr>
      <w:r>
        <w:t>This document is available at health.govt.nz</w:t>
      </w:r>
    </w:p>
    <w:tbl>
      <w:tblPr>
        <w:tblW w:w="0" w:type="auto"/>
        <w:tblLayout w:type="fixed"/>
        <w:tblLook w:val="04A0" w:firstRow="1" w:lastRow="0" w:firstColumn="1" w:lastColumn="0" w:noHBand="0" w:noVBand="1"/>
      </w:tblPr>
      <w:tblGrid>
        <w:gridCol w:w="1526"/>
        <w:gridCol w:w="6061"/>
      </w:tblGrid>
      <w:tr w:rsidR="00A63DFF" w:rsidRPr="00A63DFF" w14:paraId="43834D09" w14:textId="77777777" w:rsidTr="00A63DFF">
        <w:trPr>
          <w:cantSplit/>
        </w:trPr>
        <w:tc>
          <w:tcPr>
            <w:tcW w:w="1526" w:type="dxa"/>
          </w:tcPr>
          <w:p w14:paraId="2E93930A"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3929F683" wp14:editId="19E2DF93">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6E7CC44A"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14:paraId="1F2F1961" w14:textId="77777777" w:rsidR="007E74F1" w:rsidRPr="001F45A7" w:rsidRDefault="007E74F1" w:rsidP="006E2886">
      <w:pPr>
        <w:pStyle w:val="Imprint"/>
      </w:pPr>
    </w:p>
    <w:p w14:paraId="6CED602C" w14:textId="77777777" w:rsidR="00C86248" w:rsidRDefault="00C86248">
      <w:pPr>
        <w:jc w:val="center"/>
        <w:sectPr w:rsidR="00C86248" w:rsidSect="00925892">
          <w:footerReference w:type="even" r:id="rId12"/>
          <w:footerReference w:type="default" r:id="rId13"/>
          <w:pgSz w:w="11907" w:h="16834" w:code="9"/>
          <w:pgMar w:top="1701" w:right="2268" w:bottom="1134" w:left="2268" w:header="0" w:footer="0" w:gutter="0"/>
          <w:cols w:space="720"/>
          <w:vAlign w:val="bottom"/>
        </w:sectPr>
      </w:pPr>
    </w:p>
    <w:p w14:paraId="698F7231" w14:textId="77777777" w:rsidR="00C86248" w:rsidRDefault="00C86248" w:rsidP="00025A6F">
      <w:pPr>
        <w:pStyle w:val="IntroHead"/>
      </w:pPr>
      <w:bookmarkStart w:id="0" w:name="_Toc405792991"/>
      <w:bookmarkStart w:id="1" w:name="_Toc405793224"/>
      <w:r>
        <w:lastRenderedPageBreak/>
        <w:t>Contents</w:t>
      </w:r>
      <w:bookmarkEnd w:id="0"/>
      <w:bookmarkEnd w:id="1"/>
    </w:p>
    <w:p w14:paraId="3119BFFD" w14:textId="4E6BE5F0" w:rsidR="0061659B" w:rsidRDefault="0061659B">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22302086" w:history="1">
        <w:r w:rsidRPr="00BE30E7">
          <w:rPr>
            <w:rStyle w:val="Hyperlink"/>
            <w:noProof/>
          </w:rPr>
          <w:t>Summary</w:t>
        </w:r>
        <w:r>
          <w:rPr>
            <w:noProof/>
            <w:webHidden/>
          </w:rPr>
          <w:tab/>
        </w:r>
        <w:r>
          <w:rPr>
            <w:noProof/>
            <w:webHidden/>
          </w:rPr>
          <w:fldChar w:fldCharType="begin"/>
        </w:r>
        <w:r>
          <w:rPr>
            <w:noProof/>
            <w:webHidden/>
          </w:rPr>
          <w:instrText xml:space="preserve"> PAGEREF _Toc22302086 \h </w:instrText>
        </w:r>
        <w:r>
          <w:rPr>
            <w:noProof/>
            <w:webHidden/>
          </w:rPr>
        </w:r>
        <w:r>
          <w:rPr>
            <w:noProof/>
            <w:webHidden/>
          </w:rPr>
          <w:fldChar w:fldCharType="separate"/>
        </w:r>
        <w:r w:rsidR="00A07F89">
          <w:rPr>
            <w:noProof/>
            <w:webHidden/>
          </w:rPr>
          <w:t>v</w:t>
        </w:r>
        <w:r>
          <w:rPr>
            <w:noProof/>
            <w:webHidden/>
          </w:rPr>
          <w:fldChar w:fldCharType="end"/>
        </w:r>
      </w:hyperlink>
    </w:p>
    <w:p w14:paraId="43E72A59" w14:textId="6AC77C46" w:rsidR="0061659B" w:rsidRDefault="00A07F89">
      <w:pPr>
        <w:pStyle w:val="TOC1"/>
        <w:rPr>
          <w:rFonts w:asciiTheme="minorHAnsi" w:eastAsiaTheme="minorEastAsia" w:hAnsiTheme="minorHAnsi" w:cstheme="minorBidi"/>
          <w:noProof/>
          <w:sz w:val="22"/>
          <w:szCs w:val="22"/>
          <w:lang w:eastAsia="en-NZ"/>
        </w:rPr>
      </w:pPr>
      <w:hyperlink w:anchor="_Toc22302087" w:history="1">
        <w:r w:rsidR="0061659B" w:rsidRPr="00BE30E7">
          <w:rPr>
            <w:rStyle w:val="Hyperlink"/>
            <w:noProof/>
          </w:rPr>
          <w:t>Introduction</w:t>
        </w:r>
        <w:r w:rsidR="0061659B">
          <w:rPr>
            <w:noProof/>
            <w:webHidden/>
          </w:rPr>
          <w:tab/>
        </w:r>
        <w:r w:rsidR="0061659B">
          <w:rPr>
            <w:noProof/>
            <w:webHidden/>
          </w:rPr>
          <w:fldChar w:fldCharType="begin"/>
        </w:r>
        <w:r w:rsidR="0061659B">
          <w:rPr>
            <w:noProof/>
            <w:webHidden/>
          </w:rPr>
          <w:instrText xml:space="preserve"> PAGEREF _Toc22302087 \h </w:instrText>
        </w:r>
        <w:r w:rsidR="0061659B">
          <w:rPr>
            <w:noProof/>
            <w:webHidden/>
          </w:rPr>
        </w:r>
        <w:r w:rsidR="0061659B">
          <w:rPr>
            <w:noProof/>
            <w:webHidden/>
          </w:rPr>
          <w:fldChar w:fldCharType="separate"/>
        </w:r>
        <w:r>
          <w:rPr>
            <w:noProof/>
            <w:webHidden/>
          </w:rPr>
          <w:t>1</w:t>
        </w:r>
        <w:r w:rsidR="0061659B">
          <w:rPr>
            <w:noProof/>
            <w:webHidden/>
          </w:rPr>
          <w:fldChar w:fldCharType="end"/>
        </w:r>
      </w:hyperlink>
    </w:p>
    <w:p w14:paraId="16505F38" w14:textId="1050DEA3" w:rsidR="0061659B" w:rsidRDefault="00A07F89">
      <w:pPr>
        <w:pStyle w:val="TOC1"/>
        <w:rPr>
          <w:rFonts w:asciiTheme="minorHAnsi" w:eastAsiaTheme="minorEastAsia" w:hAnsiTheme="minorHAnsi" w:cstheme="minorBidi"/>
          <w:noProof/>
          <w:sz w:val="22"/>
          <w:szCs w:val="22"/>
          <w:lang w:eastAsia="en-NZ"/>
        </w:rPr>
      </w:pPr>
      <w:hyperlink w:anchor="_Toc22302088" w:history="1">
        <w:r w:rsidR="0061659B" w:rsidRPr="00BE30E7">
          <w:rPr>
            <w:rStyle w:val="Hyperlink"/>
            <w:noProof/>
          </w:rPr>
          <w:t>Pregnant in the last five years</w:t>
        </w:r>
        <w:r w:rsidR="0061659B">
          <w:rPr>
            <w:noProof/>
            <w:webHidden/>
          </w:rPr>
          <w:tab/>
        </w:r>
        <w:r w:rsidR="0061659B">
          <w:rPr>
            <w:noProof/>
            <w:webHidden/>
          </w:rPr>
          <w:fldChar w:fldCharType="begin"/>
        </w:r>
        <w:r w:rsidR="0061659B">
          <w:rPr>
            <w:noProof/>
            <w:webHidden/>
          </w:rPr>
          <w:instrText xml:space="preserve"> PAGEREF _Toc22302088 \h </w:instrText>
        </w:r>
        <w:r w:rsidR="0061659B">
          <w:rPr>
            <w:noProof/>
            <w:webHidden/>
          </w:rPr>
        </w:r>
        <w:r w:rsidR="0061659B">
          <w:rPr>
            <w:noProof/>
            <w:webHidden/>
          </w:rPr>
          <w:fldChar w:fldCharType="separate"/>
        </w:r>
        <w:r>
          <w:rPr>
            <w:noProof/>
            <w:webHidden/>
          </w:rPr>
          <w:t>3</w:t>
        </w:r>
        <w:r w:rsidR="0061659B">
          <w:rPr>
            <w:noProof/>
            <w:webHidden/>
          </w:rPr>
          <w:fldChar w:fldCharType="end"/>
        </w:r>
      </w:hyperlink>
    </w:p>
    <w:p w14:paraId="24619461" w14:textId="1FF37B0A" w:rsidR="0061659B" w:rsidRDefault="00A07F89">
      <w:pPr>
        <w:pStyle w:val="TOC1"/>
        <w:rPr>
          <w:rFonts w:asciiTheme="minorHAnsi" w:eastAsiaTheme="minorEastAsia" w:hAnsiTheme="minorHAnsi" w:cstheme="minorBidi"/>
          <w:noProof/>
          <w:sz w:val="22"/>
          <w:szCs w:val="22"/>
          <w:lang w:eastAsia="en-NZ"/>
        </w:rPr>
      </w:pPr>
      <w:hyperlink w:anchor="_Toc22302089" w:history="1">
        <w:r w:rsidR="0061659B" w:rsidRPr="00BE30E7">
          <w:rPr>
            <w:rStyle w:val="Hyperlink"/>
            <w:noProof/>
          </w:rPr>
          <w:t>Pregnancy planning status</w:t>
        </w:r>
        <w:r w:rsidR="0061659B">
          <w:rPr>
            <w:noProof/>
            <w:webHidden/>
          </w:rPr>
          <w:tab/>
        </w:r>
        <w:r w:rsidR="0061659B">
          <w:rPr>
            <w:noProof/>
            <w:webHidden/>
          </w:rPr>
          <w:fldChar w:fldCharType="begin"/>
        </w:r>
        <w:r w:rsidR="0061659B">
          <w:rPr>
            <w:noProof/>
            <w:webHidden/>
          </w:rPr>
          <w:instrText xml:space="preserve"> PAGEREF _Toc22302089 \h </w:instrText>
        </w:r>
        <w:r w:rsidR="0061659B">
          <w:rPr>
            <w:noProof/>
            <w:webHidden/>
          </w:rPr>
        </w:r>
        <w:r w:rsidR="0061659B">
          <w:rPr>
            <w:noProof/>
            <w:webHidden/>
          </w:rPr>
          <w:fldChar w:fldCharType="separate"/>
        </w:r>
        <w:r>
          <w:rPr>
            <w:noProof/>
            <w:webHidden/>
          </w:rPr>
          <w:t>5</w:t>
        </w:r>
        <w:r w:rsidR="0061659B">
          <w:rPr>
            <w:noProof/>
            <w:webHidden/>
          </w:rPr>
          <w:fldChar w:fldCharType="end"/>
        </w:r>
      </w:hyperlink>
    </w:p>
    <w:p w14:paraId="4E860715" w14:textId="28951489" w:rsidR="0061659B" w:rsidRDefault="00A07F89">
      <w:pPr>
        <w:pStyle w:val="TOC1"/>
        <w:rPr>
          <w:rFonts w:asciiTheme="minorHAnsi" w:eastAsiaTheme="minorEastAsia" w:hAnsiTheme="minorHAnsi" w:cstheme="minorBidi"/>
          <w:noProof/>
          <w:sz w:val="22"/>
          <w:szCs w:val="22"/>
          <w:lang w:eastAsia="en-NZ"/>
        </w:rPr>
      </w:pPr>
      <w:hyperlink w:anchor="_Toc22302090" w:history="1">
        <w:r w:rsidR="0061659B" w:rsidRPr="00BE30E7">
          <w:rPr>
            <w:rStyle w:val="Hyperlink"/>
            <w:noProof/>
            <w:spacing w:val="-15"/>
          </w:rPr>
          <w:t>Folic acid supplementation in preparation for pregnancy</w:t>
        </w:r>
        <w:r w:rsidR="0061659B">
          <w:rPr>
            <w:noProof/>
            <w:webHidden/>
          </w:rPr>
          <w:tab/>
        </w:r>
        <w:r w:rsidR="0061659B">
          <w:rPr>
            <w:noProof/>
            <w:webHidden/>
          </w:rPr>
          <w:fldChar w:fldCharType="begin"/>
        </w:r>
        <w:r w:rsidR="0061659B">
          <w:rPr>
            <w:noProof/>
            <w:webHidden/>
          </w:rPr>
          <w:instrText xml:space="preserve"> PAGEREF _Toc22302090 \h </w:instrText>
        </w:r>
        <w:r w:rsidR="0061659B">
          <w:rPr>
            <w:noProof/>
            <w:webHidden/>
          </w:rPr>
        </w:r>
        <w:r w:rsidR="0061659B">
          <w:rPr>
            <w:noProof/>
            <w:webHidden/>
          </w:rPr>
          <w:fldChar w:fldCharType="separate"/>
        </w:r>
        <w:r>
          <w:rPr>
            <w:noProof/>
            <w:webHidden/>
          </w:rPr>
          <w:t>8</w:t>
        </w:r>
        <w:r w:rsidR="0061659B">
          <w:rPr>
            <w:noProof/>
            <w:webHidden/>
          </w:rPr>
          <w:fldChar w:fldCharType="end"/>
        </w:r>
      </w:hyperlink>
    </w:p>
    <w:p w14:paraId="06CA932A" w14:textId="3F3114BF" w:rsidR="0061659B" w:rsidRDefault="00A07F89">
      <w:pPr>
        <w:pStyle w:val="TOC1"/>
        <w:rPr>
          <w:rFonts w:asciiTheme="minorHAnsi" w:eastAsiaTheme="minorEastAsia" w:hAnsiTheme="minorHAnsi" w:cstheme="minorBidi"/>
          <w:noProof/>
          <w:sz w:val="22"/>
          <w:szCs w:val="22"/>
          <w:lang w:eastAsia="en-NZ"/>
        </w:rPr>
      </w:pPr>
      <w:hyperlink w:anchor="_Toc22302091" w:history="1">
        <w:r w:rsidR="0061659B" w:rsidRPr="00BE30E7">
          <w:rPr>
            <w:rStyle w:val="Hyperlink"/>
            <w:noProof/>
          </w:rPr>
          <w:t>Healthier eating in preparation for pregnancy</w:t>
        </w:r>
        <w:r w:rsidR="0061659B">
          <w:rPr>
            <w:noProof/>
            <w:webHidden/>
          </w:rPr>
          <w:tab/>
        </w:r>
        <w:r w:rsidR="0061659B">
          <w:rPr>
            <w:noProof/>
            <w:webHidden/>
          </w:rPr>
          <w:fldChar w:fldCharType="begin"/>
        </w:r>
        <w:r w:rsidR="0061659B">
          <w:rPr>
            <w:noProof/>
            <w:webHidden/>
          </w:rPr>
          <w:instrText xml:space="preserve"> PAGEREF _Toc22302091 \h </w:instrText>
        </w:r>
        <w:r w:rsidR="0061659B">
          <w:rPr>
            <w:noProof/>
            <w:webHidden/>
          </w:rPr>
        </w:r>
        <w:r w:rsidR="0061659B">
          <w:rPr>
            <w:noProof/>
            <w:webHidden/>
          </w:rPr>
          <w:fldChar w:fldCharType="separate"/>
        </w:r>
        <w:r>
          <w:rPr>
            <w:noProof/>
            <w:webHidden/>
          </w:rPr>
          <w:t>11</w:t>
        </w:r>
        <w:r w:rsidR="0061659B">
          <w:rPr>
            <w:noProof/>
            <w:webHidden/>
          </w:rPr>
          <w:fldChar w:fldCharType="end"/>
        </w:r>
      </w:hyperlink>
    </w:p>
    <w:p w14:paraId="247C6044" w14:textId="668BAA30" w:rsidR="0061659B" w:rsidRDefault="00A07F89">
      <w:pPr>
        <w:pStyle w:val="TOC1"/>
        <w:rPr>
          <w:rFonts w:asciiTheme="minorHAnsi" w:eastAsiaTheme="minorEastAsia" w:hAnsiTheme="minorHAnsi" w:cstheme="minorBidi"/>
          <w:noProof/>
          <w:sz w:val="22"/>
          <w:szCs w:val="22"/>
          <w:lang w:eastAsia="en-NZ"/>
        </w:rPr>
      </w:pPr>
      <w:hyperlink w:anchor="_Toc22302092" w:history="1">
        <w:r w:rsidR="0061659B" w:rsidRPr="00BE30E7">
          <w:rPr>
            <w:rStyle w:val="Hyperlink"/>
            <w:noProof/>
          </w:rPr>
          <w:t>Interpretation notes</w:t>
        </w:r>
        <w:r w:rsidR="0061659B">
          <w:rPr>
            <w:noProof/>
            <w:webHidden/>
          </w:rPr>
          <w:tab/>
        </w:r>
        <w:r w:rsidR="0061659B">
          <w:rPr>
            <w:noProof/>
            <w:webHidden/>
          </w:rPr>
          <w:fldChar w:fldCharType="begin"/>
        </w:r>
        <w:r w:rsidR="0061659B">
          <w:rPr>
            <w:noProof/>
            <w:webHidden/>
          </w:rPr>
          <w:instrText xml:space="preserve"> PAGEREF _Toc22302092 \h </w:instrText>
        </w:r>
        <w:r w:rsidR="0061659B">
          <w:rPr>
            <w:noProof/>
            <w:webHidden/>
          </w:rPr>
        </w:r>
        <w:r w:rsidR="0061659B">
          <w:rPr>
            <w:noProof/>
            <w:webHidden/>
          </w:rPr>
          <w:fldChar w:fldCharType="separate"/>
        </w:r>
        <w:r>
          <w:rPr>
            <w:noProof/>
            <w:webHidden/>
          </w:rPr>
          <w:t>13</w:t>
        </w:r>
        <w:r w:rsidR="0061659B">
          <w:rPr>
            <w:noProof/>
            <w:webHidden/>
          </w:rPr>
          <w:fldChar w:fldCharType="end"/>
        </w:r>
      </w:hyperlink>
    </w:p>
    <w:p w14:paraId="5285D869" w14:textId="6531002A" w:rsidR="0061659B" w:rsidRDefault="00A07F89">
      <w:pPr>
        <w:pStyle w:val="TOC1"/>
        <w:rPr>
          <w:rFonts w:asciiTheme="minorHAnsi" w:eastAsiaTheme="minorEastAsia" w:hAnsiTheme="minorHAnsi" w:cstheme="minorBidi"/>
          <w:noProof/>
          <w:sz w:val="22"/>
          <w:szCs w:val="22"/>
          <w:lang w:eastAsia="en-NZ"/>
        </w:rPr>
      </w:pPr>
      <w:hyperlink w:anchor="_Toc22302093" w:history="1">
        <w:r w:rsidR="0061659B" w:rsidRPr="00BE30E7">
          <w:rPr>
            <w:rStyle w:val="Hyperlink"/>
            <w:noProof/>
          </w:rPr>
          <w:t>Overview of survey methodology</w:t>
        </w:r>
        <w:r w:rsidR="0061659B">
          <w:rPr>
            <w:noProof/>
            <w:webHidden/>
          </w:rPr>
          <w:tab/>
        </w:r>
        <w:r w:rsidR="0061659B">
          <w:rPr>
            <w:noProof/>
            <w:webHidden/>
          </w:rPr>
          <w:fldChar w:fldCharType="begin"/>
        </w:r>
        <w:r w:rsidR="0061659B">
          <w:rPr>
            <w:noProof/>
            <w:webHidden/>
          </w:rPr>
          <w:instrText xml:space="preserve"> PAGEREF _Toc22302093 \h </w:instrText>
        </w:r>
        <w:r w:rsidR="0061659B">
          <w:rPr>
            <w:noProof/>
            <w:webHidden/>
          </w:rPr>
        </w:r>
        <w:r w:rsidR="0061659B">
          <w:rPr>
            <w:noProof/>
            <w:webHidden/>
          </w:rPr>
          <w:fldChar w:fldCharType="separate"/>
        </w:r>
        <w:r>
          <w:rPr>
            <w:noProof/>
            <w:webHidden/>
          </w:rPr>
          <w:t>15</w:t>
        </w:r>
        <w:r w:rsidR="0061659B">
          <w:rPr>
            <w:noProof/>
            <w:webHidden/>
          </w:rPr>
          <w:fldChar w:fldCharType="end"/>
        </w:r>
      </w:hyperlink>
    </w:p>
    <w:p w14:paraId="73CC0776" w14:textId="6C09DE93" w:rsidR="0061659B" w:rsidRDefault="00A07F89">
      <w:pPr>
        <w:pStyle w:val="TOC1"/>
        <w:rPr>
          <w:rFonts w:asciiTheme="minorHAnsi" w:eastAsiaTheme="minorEastAsia" w:hAnsiTheme="minorHAnsi" w:cstheme="minorBidi"/>
          <w:noProof/>
          <w:sz w:val="22"/>
          <w:szCs w:val="22"/>
          <w:lang w:eastAsia="en-NZ"/>
        </w:rPr>
      </w:pPr>
      <w:hyperlink w:anchor="_Toc22302094" w:history="1">
        <w:r w:rsidR="0061659B" w:rsidRPr="00BE30E7">
          <w:rPr>
            <w:rStyle w:val="Hyperlink"/>
            <w:noProof/>
          </w:rPr>
          <w:t>References</w:t>
        </w:r>
        <w:r w:rsidR="0061659B">
          <w:rPr>
            <w:noProof/>
            <w:webHidden/>
          </w:rPr>
          <w:tab/>
        </w:r>
        <w:r w:rsidR="0061659B">
          <w:rPr>
            <w:noProof/>
            <w:webHidden/>
          </w:rPr>
          <w:fldChar w:fldCharType="begin"/>
        </w:r>
        <w:r w:rsidR="0061659B">
          <w:rPr>
            <w:noProof/>
            <w:webHidden/>
          </w:rPr>
          <w:instrText xml:space="preserve"> PAGEREF _Toc22302094 \h </w:instrText>
        </w:r>
        <w:r w:rsidR="0061659B">
          <w:rPr>
            <w:noProof/>
            <w:webHidden/>
          </w:rPr>
        </w:r>
        <w:r w:rsidR="0061659B">
          <w:rPr>
            <w:noProof/>
            <w:webHidden/>
          </w:rPr>
          <w:fldChar w:fldCharType="separate"/>
        </w:r>
        <w:r>
          <w:rPr>
            <w:noProof/>
            <w:webHidden/>
          </w:rPr>
          <w:t>18</w:t>
        </w:r>
        <w:r w:rsidR="0061659B">
          <w:rPr>
            <w:noProof/>
            <w:webHidden/>
          </w:rPr>
          <w:fldChar w:fldCharType="end"/>
        </w:r>
      </w:hyperlink>
    </w:p>
    <w:p w14:paraId="75473978" w14:textId="6739B450" w:rsidR="0061659B" w:rsidRDefault="00A07F89">
      <w:pPr>
        <w:pStyle w:val="TOC1"/>
        <w:rPr>
          <w:rFonts w:asciiTheme="minorHAnsi" w:eastAsiaTheme="minorEastAsia" w:hAnsiTheme="minorHAnsi" w:cstheme="minorBidi"/>
          <w:noProof/>
          <w:sz w:val="22"/>
          <w:szCs w:val="22"/>
          <w:lang w:eastAsia="en-NZ"/>
        </w:rPr>
      </w:pPr>
      <w:hyperlink w:anchor="_Toc22302095" w:history="1">
        <w:r w:rsidR="0061659B" w:rsidRPr="00BE30E7">
          <w:rPr>
            <w:rStyle w:val="Hyperlink"/>
            <w:noProof/>
          </w:rPr>
          <w:t>Appendix 1: The LMUP questions</w:t>
        </w:r>
        <w:r w:rsidR="0061659B">
          <w:rPr>
            <w:noProof/>
            <w:webHidden/>
          </w:rPr>
          <w:tab/>
        </w:r>
        <w:r w:rsidR="0061659B">
          <w:rPr>
            <w:noProof/>
            <w:webHidden/>
          </w:rPr>
          <w:fldChar w:fldCharType="begin"/>
        </w:r>
        <w:r w:rsidR="0061659B">
          <w:rPr>
            <w:noProof/>
            <w:webHidden/>
          </w:rPr>
          <w:instrText xml:space="preserve"> PAGEREF _Toc22302095 \h </w:instrText>
        </w:r>
        <w:r w:rsidR="0061659B">
          <w:rPr>
            <w:noProof/>
            <w:webHidden/>
          </w:rPr>
        </w:r>
        <w:r w:rsidR="0061659B">
          <w:rPr>
            <w:noProof/>
            <w:webHidden/>
          </w:rPr>
          <w:fldChar w:fldCharType="separate"/>
        </w:r>
        <w:r>
          <w:rPr>
            <w:noProof/>
            <w:webHidden/>
          </w:rPr>
          <w:t>20</w:t>
        </w:r>
        <w:r w:rsidR="0061659B">
          <w:rPr>
            <w:noProof/>
            <w:webHidden/>
          </w:rPr>
          <w:fldChar w:fldCharType="end"/>
        </w:r>
      </w:hyperlink>
    </w:p>
    <w:p w14:paraId="42F5B1EA" w14:textId="103C8D4E" w:rsidR="00C86248" w:rsidRDefault="0061659B">
      <w:r>
        <w:rPr>
          <w:rFonts w:ascii="Segoe UI Semibold" w:hAnsi="Segoe UI Semibold"/>
          <w:b/>
          <w:sz w:val="24"/>
        </w:rPr>
        <w:fldChar w:fldCharType="end"/>
      </w:r>
    </w:p>
    <w:p w14:paraId="66B72BEE" w14:textId="77777777" w:rsidR="0033448B" w:rsidRDefault="0033448B" w:rsidP="0033448B">
      <w:pPr>
        <w:pStyle w:val="TOC1"/>
        <w:keepNext/>
      </w:pPr>
      <w:r>
        <w:t>List of Figures</w:t>
      </w:r>
    </w:p>
    <w:p w14:paraId="43A4950B" w14:textId="59084B59" w:rsidR="0061659B" w:rsidRDefault="0061659B">
      <w:pPr>
        <w:pStyle w:val="TOC3"/>
        <w:rPr>
          <w:rFonts w:asciiTheme="minorHAnsi" w:eastAsiaTheme="minorEastAsia" w:hAnsiTheme="minorHAnsi" w:cstheme="minorBidi"/>
          <w:noProof/>
          <w:sz w:val="22"/>
          <w:szCs w:val="22"/>
          <w:lang w:eastAsia="en-NZ"/>
        </w:rPr>
      </w:pPr>
      <w:r>
        <w:fldChar w:fldCharType="begin"/>
      </w:r>
      <w:r>
        <w:instrText xml:space="preserve"> TOC \h \z \t "Figure,3" </w:instrText>
      </w:r>
      <w:r>
        <w:fldChar w:fldCharType="separate"/>
      </w:r>
      <w:hyperlink w:anchor="_Toc22302096" w:history="1">
        <w:r w:rsidRPr="00A27B71">
          <w:rPr>
            <w:rStyle w:val="Hyperlink"/>
            <w:noProof/>
          </w:rPr>
          <w:t>Figure 1: Pregnant in the five years preceding survey (among women 16–44 years old), by age group</w:t>
        </w:r>
        <w:r>
          <w:rPr>
            <w:noProof/>
            <w:webHidden/>
          </w:rPr>
          <w:tab/>
        </w:r>
        <w:r>
          <w:rPr>
            <w:noProof/>
            <w:webHidden/>
          </w:rPr>
          <w:fldChar w:fldCharType="begin"/>
        </w:r>
        <w:r>
          <w:rPr>
            <w:noProof/>
            <w:webHidden/>
          </w:rPr>
          <w:instrText xml:space="preserve"> PAGEREF _Toc22302096 \h </w:instrText>
        </w:r>
        <w:r>
          <w:rPr>
            <w:noProof/>
            <w:webHidden/>
          </w:rPr>
        </w:r>
        <w:r>
          <w:rPr>
            <w:noProof/>
            <w:webHidden/>
          </w:rPr>
          <w:fldChar w:fldCharType="separate"/>
        </w:r>
        <w:r w:rsidR="00A07F89">
          <w:rPr>
            <w:noProof/>
            <w:webHidden/>
          </w:rPr>
          <w:t>3</w:t>
        </w:r>
        <w:r>
          <w:rPr>
            <w:noProof/>
            <w:webHidden/>
          </w:rPr>
          <w:fldChar w:fldCharType="end"/>
        </w:r>
      </w:hyperlink>
    </w:p>
    <w:p w14:paraId="1BF6A75B" w14:textId="5478C70F" w:rsidR="0061659B" w:rsidRDefault="00A07F89">
      <w:pPr>
        <w:pStyle w:val="TOC3"/>
        <w:rPr>
          <w:rFonts w:asciiTheme="minorHAnsi" w:eastAsiaTheme="minorEastAsia" w:hAnsiTheme="minorHAnsi" w:cstheme="minorBidi"/>
          <w:noProof/>
          <w:sz w:val="22"/>
          <w:szCs w:val="22"/>
          <w:lang w:eastAsia="en-NZ"/>
        </w:rPr>
      </w:pPr>
      <w:hyperlink w:anchor="_Toc22302097" w:history="1">
        <w:r w:rsidR="0061659B" w:rsidRPr="00A27B71">
          <w:rPr>
            <w:rStyle w:val="Hyperlink"/>
            <w:noProof/>
          </w:rPr>
          <w:t>Figure 2: Pregnant in the five years preceding survey (among women 16–44 years old), by ethnic group</w:t>
        </w:r>
        <w:r w:rsidR="0061659B">
          <w:rPr>
            <w:noProof/>
            <w:webHidden/>
          </w:rPr>
          <w:tab/>
        </w:r>
        <w:r w:rsidR="0061659B">
          <w:rPr>
            <w:noProof/>
            <w:webHidden/>
          </w:rPr>
          <w:fldChar w:fldCharType="begin"/>
        </w:r>
        <w:r w:rsidR="0061659B">
          <w:rPr>
            <w:noProof/>
            <w:webHidden/>
          </w:rPr>
          <w:instrText xml:space="preserve"> PAGEREF _Toc22302097 \h </w:instrText>
        </w:r>
        <w:r w:rsidR="0061659B">
          <w:rPr>
            <w:noProof/>
            <w:webHidden/>
          </w:rPr>
        </w:r>
        <w:r w:rsidR="0061659B">
          <w:rPr>
            <w:noProof/>
            <w:webHidden/>
          </w:rPr>
          <w:fldChar w:fldCharType="separate"/>
        </w:r>
        <w:r>
          <w:rPr>
            <w:noProof/>
            <w:webHidden/>
          </w:rPr>
          <w:t>4</w:t>
        </w:r>
        <w:r w:rsidR="0061659B">
          <w:rPr>
            <w:noProof/>
            <w:webHidden/>
          </w:rPr>
          <w:fldChar w:fldCharType="end"/>
        </w:r>
      </w:hyperlink>
    </w:p>
    <w:p w14:paraId="607F1829" w14:textId="24511953" w:rsidR="0061659B" w:rsidRDefault="00A07F89">
      <w:pPr>
        <w:pStyle w:val="TOC3"/>
        <w:rPr>
          <w:rFonts w:asciiTheme="minorHAnsi" w:eastAsiaTheme="minorEastAsia" w:hAnsiTheme="minorHAnsi" w:cstheme="minorBidi"/>
          <w:noProof/>
          <w:sz w:val="22"/>
          <w:szCs w:val="22"/>
          <w:lang w:eastAsia="en-NZ"/>
        </w:rPr>
      </w:pPr>
      <w:hyperlink w:anchor="_Toc22302098" w:history="1">
        <w:r w:rsidR="0061659B" w:rsidRPr="00A27B71">
          <w:rPr>
            <w:rStyle w:val="Hyperlink"/>
            <w:noProof/>
          </w:rPr>
          <w:t>Figure 3: Pregnancy planning (among women 16–44 years old, pregnant at the time of survey or in preceding five years), by age group</w:t>
        </w:r>
        <w:r w:rsidR="0061659B">
          <w:rPr>
            <w:noProof/>
            <w:webHidden/>
          </w:rPr>
          <w:tab/>
        </w:r>
        <w:r w:rsidR="0061659B">
          <w:rPr>
            <w:noProof/>
            <w:webHidden/>
          </w:rPr>
          <w:fldChar w:fldCharType="begin"/>
        </w:r>
        <w:r w:rsidR="0061659B">
          <w:rPr>
            <w:noProof/>
            <w:webHidden/>
          </w:rPr>
          <w:instrText xml:space="preserve"> PAGEREF _Toc22302098 \h </w:instrText>
        </w:r>
        <w:r w:rsidR="0061659B">
          <w:rPr>
            <w:noProof/>
            <w:webHidden/>
          </w:rPr>
        </w:r>
        <w:r w:rsidR="0061659B">
          <w:rPr>
            <w:noProof/>
            <w:webHidden/>
          </w:rPr>
          <w:fldChar w:fldCharType="separate"/>
        </w:r>
        <w:r>
          <w:rPr>
            <w:noProof/>
            <w:webHidden/>
          </w:rPr>
          <w:t>6</w:t>
        </w:r>
        <w:r w:rsidR="0061659B">
          <w:rPr>
            <w:noProof/>
            <w:webHidden/>
          </w:rPr>
          <w:fldChar w:fldCharType="end"/>
        </w:r>
      </w:hyperlink>
    </w:p>
    <w:p w14:paraId="06CECF64" w14:textId="3A57D61E" w:rsidR="0061659B" w:rsidRDefault="00A07F89">
      <w:pPr>
        <w:pStyle w:val="TOC3"/>
        <w:rPr>
          <w:rFonts w:asciiTheme="minorHAnsi" w:eastAsiaTheme="minorEastAsia" w:hAnsiTheme="minorHAnsi" w:cstheme="minorBidi"/>
          <w:noProof/>
          <w:sz w:val="22"/>
          <w:szCs w:val="22"/>
          <w:lang w:eastAsia="en-NZ"/>
        </w:rPr>
      </w:pPr>
      <w:hyperlink w:anchor="_Toc22302099" w:history="1">
        <w:r w:rsidR="0061659B" w:rsidRPr="00A27B71">
          <w:rPr>
            <w:rStyle w:val="Hyperlink"/>
            <w:noProof/>
          </w:rPr>
          <w:t>Figure 4: Pregnancy planning (among women 16–44 years old, pregnant at the time of survey or in preceding five years), by ethnic group</w:t>
        </w:r>
        <w:r w:rsidR="0061659B">
          <w:rPr>
            <w:noProof/>
            <w:webHidden/>
          </w:rPr>
          <w:tab/>
        </w:r>
        <w:r w:rsidR="0061659B">
          <w:rPr>
            <w:noProof/>
            <w:webHidden/>
          </w:rPr>
          <w:fldChar w:fldCharType="begin"/>
        </w:r>
        <w:r w:rsidR="0061659B">
          <w:rPr>
            <w:noProof/>
            <w:webHidden/>
          </w:rPr>
          <w:instrText xml:space="preserve"> PAGEREF _Toc22302099 \h </w:instrText>
        </w:r>
        <w:r w:rsidR="0061659B">
          <w:rPr>
            <w:noProof/>
            <w:webHidden/>
          </w:rPr>
        </w:r>
        <w:r w:rsidR="0061659B">
          <w:rPr>
            <w:noProof/>
            <w:webHidden/>
          </w:rPr>
          <w:fldChar w:fldCharType="separate"/>
        </w:r>
        <w:r>
          <w:rPr>
            <w:noProof/>
            <w:webHidden/>
          </w:rPr>
          <w:t>7</w:t>
        </w:r>
        <w:r w:rsidR="0061659B">
          <w:rPr>
            <w:noProof/>
            <w:webHidden/>
          </w:rPr>
          <w:fldChar w:fldCharType="end"/>
        </w:r>
      </w:hyperlink>
    </w:p>
    <w:p w14:paraId="46F6D16C" w14:textId="51ACAE2C" w:rsidR="0061659B" w:rsidRDefault="00A07F89">
      <w:pPr>
        <w:pStyle w:val="TOC3"/>
        <w:rPr>
          <w:rFonts w:asciiTheme="minorHAnsi" w:eastAsiaTheme="minorEastAsia" w:hAnsiTheme="minorHAnsi" w:cstheme="minorBidi"/>
          <w:noProof/>
          <w:sz w:val="22"/>
          <w:szCs w:val="22"/>
          <w:lang w:eastAsia="en-NZ"/>
        </w:rPr>
      </w:pPr>
      <w:hyperlink w:anchor="_Toc22302100" w:history="1">
        <w:r w:rsidR="0061659B" w:rsidRPr="00A27B71">
          <w:rPr>
            <w:rStyle w:val="Hyperlink"/>
            <w:noProof/>
          </w:rPr>
          <w:t>Figure 5: Took folic acid in preparation for pregnancy (among women 16–44 years old, pregnant at the time of survey or in preceding five years), by age group</w:t>
        </w:r>
        <w:r w:rsidR="0061659B">
          <w:rPr>
            <w:noProof/>
            <w:webHidden/>
          </w:rPr>
          <w:tab/>
        </w:r>
        <w:r w:rsidR="0061659B">
          <w:rPr>
            <w:noProof/>
            <w:webHidden/>
          </w:rPr>
          <w:fldChar w:fldCharType="begin"/>
        </w:r>
        <w:r w:rsidR="0061659B">
          <w:rPr>
            <w:noProof/>
            <w:webHidden/>
          </w:rPr>
          <w:instrText xml:space="preserve"> PAGEREF _Toc22302100 \h </w:instrText>
        </w:r>
        <w:r w:rsidR="0061659B">
          <w:rPr>
            <w:noProof/>
            <w:webHidden/>
          </w:rPr>
        </w:r>
        <w:r w:rsidR="0061659B">
          <w:rPr>
            <w:noProof/>
            <w:webHidden/>
          </w:rPr>
          <w:fldChar w:fldCharType="separate"/>
        </w:r>
        <w:r>
          <w:rPr>
            <w:noProof/>
            <w:webHidden/>
          </w:rPr>
          <w:t>9</w:t>
        </w:r>
        <w:r w:rsidR="0061659B">
          <w:rPr>
            <w:noProof/>
            <w:webHidden/>
          </w:rPr>
          <w:fldChar w:fldCharType="end"/>
        </w:r>
      </w:hyperlink>
    </w:p>
    <w:p w14:paraId="05CCE884" w14:textId="4560208E" w:rsidR="0061659B" w:rsidRDefault="00A07F89">
      <w:pPr>
        <w:pStyle w:val="TOC3"/>
        <w:rPr>
          <w:rFonts w:asciiTheme="minorHAnsi" w:eastAsiaTheme="minorEastAsia" w:hAnsiTheme="minorHAnsi" w:cstheme="minorBidi"/>
          <w:noProof/>
          <w:sz w:val="22"/>
          <w:szCs w:val="22"/>
          <w:lang w:eastAsia="en-NZ"/>
        </w:rPr>
      </w:pPr>
      <w:hyperlink w:anchor="_Toc22302101" w:history="1">
        <w:r w:rsidR="0061659B" w:rsidRPr="00A27B71">
          <w:rPr>
            <w:rStyle w:val="Hyperlink"/>
            <w:noProof/>
          </w:rPr>
          <w:t>Figure 6: Took folic acid in preparation for pregnancy (among women 16–44 years old, pregnant at the time of survey or in preceding five years), by ethnic group</w:t>
        </w:r>
        <w:r w:rsidR="0061659B">
          <w:rPr>
            <w:noProof/>
            <w:webHidden/>
          </w:rPr>
          <w:tab/>
        </w:r>
        <w:r w:rsidR="0061659B">
          <w:rPr>
            <w:noProof/>
            <w:webHidden/>
          </w:rPr>
          <w:fldChar w:fldCharType="begin"/>
        </w:r>
        <w:r w:rsidR="0061659B">
          <w:rPr>
            <w:noProof/>
            <w:webHidden/>
          </w:rPr>
          <w:instrText xml:space="preserve"> PAGEREF _Toc22302101 \h </w:instrText>
        </w:r>
        <w:r w:rsidR="0061659B">
          <w:rPr>
            <w:noProof/>
            <w:webHidden/>
          </w:rPr>
        </w:r>
        <w:r w:rsidR="0061659B">
          <w:rPr>
            <w:noProof/>
            <w:webHidden/>
          </w:rPr>
          <w:fldChar w:fldCharType="separate"/>
        </w:r>
        <w:r>
          <w:rPr>
            <w:noProof/>
            <w:webHidden/>
          </w:rPr>
          <w:t>10</w:t>
        </w:r>
        <w:r w:rsidR="0061659B">
          <w:rPr>
            <w:noProof/>
            <w:webHidden/>
          </w:rPr>
          <w:fldChar w:fldCharType="end"/>
        </w:r>
      </w:hyperlink>
    </w:p>
    <w:p w14:paraId="2100BFFC" w14:textId="561534B1" w:rsidR="0061659B" w:rsidRDefault="00A07F89">
      <w:pPr>
        <w:pStyle w:val="TOC3"/>
        <w:rPr>
          <w:rFonts w:asciiTheme="minorHAnsi" w:eastAsiaTheme="minorEastAsia" w:hAnsiTheme="minorHAnsi" w:cstheme="minorBidi"/>
          <w:noProof/>
          <w:sz w:val="22"/>
          <w:szCs w:val="22"/>
          <w:lang w:eastAsia="en-NZ"/>
        </w:rPr>
      </w:pPr>
      <w:hyperlink w:anchor="_Toc22302102" w:history="1">
        <w:r w:rsidR="0061659B" w:rsidRPr="00A27B71">
          <w:rPr>
            <w:rStyle w:val="Hyperlink"/>
            <w:noProof/>
          </w:rPr>
          <w:t>Figure 7: Healthier eating in preparation for pregnancy (among women 16–44 years old, pregnant at the time of survey or in preceding five years), by age group</w:t>
        </w:r>
        <w:r w:rsidR="0061659B">
          <w:rPr>
            <w:noProof/>
            <w:webHidden/>
          </w:rPr>
          <w:tab/>
        </w:r>
        <w:r w:rsidR="0061659B">
          <w:rPr>
            <w:noProof/>
            <w:webHidden/>
          </w:rPr>
          <w:fldChar w:fldCharType="begin"/>
        </w:r>
        <w:r w:rsidR="0061659B">
          <w:rPr>
            <w:noProof/>
            <w:webHidden/>
          </w:rPr>
          <w:instrText xml:space="preserve"> PAGEREF _Toc22302102 \h </w:instrText>
        </w:r>
        <w:r w:rsidR="0061659B">
          <w:rPr>
            <w:noProof/>
            <w:webHidden/>
          </w:rPr>
        </w:r>
        <w:r w:rsidR="0061659B">
          <w:rPr>
            <w:noProof/>
            <w:webHidden/>
          </w:rPr>
          <w:fldChar w:fldCharType="separate"/>
        </w:r>
        <w:r>
          <w:rPr>
            <w:noProof/>
            <w:webHidden/>
          </w:rPr>
          <w:t>12</w:t>
        </w:r>
        <w:r w:rsidR="0061659B">
          <w:rPr>
            <w:noProof/>
            <w:webHidden/>
          </w:rPr>
          <w:fldChar w:fldCharType="end"/>
        </w:r>
      </w:hyperlink>
    </w:p>
    <w:p w14:paraId="2E22420B" w14:textId="18AB9D84" w:rsidR="0033448B" w:rsidRPr="000A0158" w:rsidRDefault="0061659B" w:rsidP="0033448B">
      <w:r>
        <w:fldChar w:fldCharType="end"/>
      </w:r>
    </w:p>
    <w:p w14:paraId="734C720A" w14:textId="77777777" w:rsidR="00DD09A6" w:rsidRDefault="00DD09A6" w:rsidP="00DD09A6">
      <w:pPr>
        <w:pStyle w:val="TOC1"/>
        <w:keepNext/>
      </w:pPr>
      <w:r>
        <w:lastRenderedPageBreak/>
        <w:t>List of Tables</w:t>
      </w:r>
    </w:p>
    <w:p w14:paraId="3A71E0C6" w14:textId="5E4A60FA" w:rsidR="0061659B" w:rsidRDefault="0061659B">
      <w:pPr>
        <w:pStyle w:val="TOC3"/>
        <w:rPr>
          <w:rFonts w:asciiTheme="minorHAnsi" w:eastAsiaTheme="minorEastAsia" w:hAnsiTheme="minorHAnsi" w:cstheme="minorBidi"/>
          <w:noProof/>
          <w:sz w:val="22"/>
          <w:szCs w:val="22"/>
          <w:lang w:eastAsia="en-NZ"/>
        </w:rPr>
      </w:pPr>
      <w:r>
        <w:rPr>
          <w:sz w:val="20"/>
        </w:rPr>
        <w:fldChar w:fldCharType="begin"/>
      </w:r>
      <w:r>
        <w:rPr>
          <w:sz w:val="20"/>
        </w:rPr>
        <w:instrText xml:space="preserve"> TOC \h \z \t "Table,3" </w:instrText>
      </w:r>
      <w:r>
        <w:rPr>
          <w:sz w:val="20"/>
        </w:rPr>
        <w:fldChar w:fldCharType="separate"/>
      </w:r>
      <w:hyperlink w:anchor="_Toc22302103" w:history="1">
        <w:r w:rsidRPr="00BB024D">
          <w:rPr>
            <w:rStyle w:val="Hyperlink"/>
            <w:noProof/>
          </w:rPr>
          <w:t>Table 1: Participation in the Sexual and Reproductive Health module of the New Zealand Health Survey, by ethnicity</w:t>
        </w:r>
        <w:r>
          <w:rPr>
            <w:noProof/>
            <w:webHidden/>
          </w:rPr>
          <w:tab/>
        </w:r>
        <w:r>
          <w:rPr>
            <w:noProof/>
            <w:webHidden/>
          </w:rPr>
          <w:fldChar w:fldCharType="begin"/>
        </w:r>
        <w:r>
          <w:rPr>
            <w:noProof/>
            <w:webHidden/>
          </w:rPr>
          <w:instrText xml:space="preserve"> PAGEREF _Toc22302103 \h </w:instrText>
        </w:r>
        <w:r>
          <w:rPr>
            <w:noProof/>
            <w:webHidden/>
          </w:rPr>
        </w:r>
        <w:r>
          <w:rPr>
            <w:noProof/>
            <w:webHidden/>
          </w:rPr>
          <w:fldChar w:fldCharType="separate"/>
        </w:r>
        <w:r w:rsidR="00A07F89">
          <w:rPr>
            <w:noProof/>
            <w:webHidden/>
          </w:rPr>
          <w:t>16</w:t>
        </w:r>
        <w:r>
          <w:rPr>
            <w:noProof/>
            <w:webHidden/>
          </w:rPr>
          <w:fldChar w:fldCharType="end"/>
        </w:r>
      </w:hyperlink>
    </w:p>
    <w:p w14:paraId="1AE22F6C" w14:textId="607DD433" w:rsidR="00DD09A6" w:rsidRDefault="0061659B" w:rsidP="00DD09A6">
      <w:r>
        <w:rPr>
          <w:sz w:val="20"/>
        </w:rPr>
        <w:fldChar w:fldCharType="end"/>
      </w:r>
    </w:p>
    <w:p w14:paraId="7241F76E" w14:textId="77777777" w:rsidR="0033448B" w:rsidRDefault="0033448B" w:rsidP="003A5FEA"/>
    <w:p w14:paraId="67BE35D0" w14:textId="77777777" w:rsidR="001D3E4E" w:rsidRDefault="001D3E4E" w:rsidP="003A5FEA">
      <w:pPr>
        <w:sectPr w:rsidR="001D3E4E" w:rsidSect="00925892">
          <w:headerReference w:type="even" r:id="rId14"/>
          <w:headerReference w:type="default" r:id="rId15"/>
          <w:footerReference w:type="even" r:id="rId16"/>
          <w:footerReference w:type="default" r:id="rId17"/>
          <w:pgSz w:w="11907" w:h="16840" w:code="9"/>
          <w:pgMar w:top="1418" w:right="1701" w:bottom="1134" w:left="1843" w:header="284" w:footer="425" w:gutter="284"/>
          <w:pgNumType w:fmt="lowerRoman"/>
          <w:cols w:space="720"/>
        </w:sectPr>
      </w:pPr>
    </w:p>
    <w:p w14:paraId="07235A56" w14:textId="77777777" w:rsidR="006E2886" w:rsidRDefault="002A4E9E" w:rsidP="00F54E74">
      <w:pPr>
        <w:pStyle w:val="Heading1"/>
      </w:pPr>
      <w:bookmarkStart w:id="2" w:name="_Toc22302086"/>
      <w:r>
        <w:lastRenderedPageBreak/>
        <w:t>S</w:t>
      </w:r>
      <w:r w:rsidR="00DA7F9E">
        <w:t>ummary</w:t>
      </w:r>
      <w:bookmarkEnd w:id="2"/>
    </w:p>
    <w:p w14:paraId="724D4CB0" w14:textId="77777777" w:rsidR="0074674F" w:rsidRDefault="002A4E9E" w:rsidP="00F36A45">
      <w:r w:rsidRPr="009B74CB">
        <w:t>This report describes the degree to which women planned their most recent pregnancy, based on their answers to questions about contraceptive use, timing, intention, desire for a baby, partner discussion, and pre-conceptual preparations. Unplanned pregnancies can result in adverse health outcomes for pregnant women and children.</w:t>
      </w:r>
    </w:p>
    <w:p w14:paraId="1A83E5AA" w14:textId="77777777" w:rsidR="002A4E9E" w:rsidRDefault="002A4E9E" w:rsidP="00F36A45"/>
    <w:p w14:paraId="510E699F" w14:textId="77777777" w:rsidR="002A4E9E" w:rsidRPr="009B74CB" w:rsidRDefault="002A4E9E" w:rsidP="00F36A45">
      <w:r w:rsidRPr="009B74CB">
        <w:t>The differences in degree of pregnancy planning are examined with regard to age, ethnicity, and neighbourhood deprivation, for women who were pregnant in the five years preceding the survey. The most recent pregnancy in the last five years could be current at the time of the survey, or have ended in a birth, miscarriage, stillbirth or abortion.</w:t>
      </w:r>
    </w:p>
    <w:p w14:paraId="30F6E1D0" w14:textId="77777777" w:rsidR="002A4E9E" w:rsidRPr="009B74CB" w:rsidRDefault="002A4E9E" w:rsidP="00F36A45"/>
    <w:p w14:paraId="0A41B55E" w14:textId="77777777" w:rsidR="002A4E9E" w:rsidRPr="00E55352" w:rsidRDefault="002A4E9E" w:rsidP="00F36A45">
      <w:r w:rsidRPr="00E55352">
        <w:t>Key findings include:</w:t>
      </w:r>
    </w:p>
    <w:p w14:paraId="15D79198" w14:textId="77777777" w:rsidR="0074674F" w:rsidRDefault="002A4E9E" w:rsidP="00F36A45">
      <w:pPr>
        <w:pStyle w:val="Bullet"/>
      </w:pPr>
      <w:r w:rsidRPr="00E55352">
        <w:t>One in three women aged 16–44 years had been pregnant in the last five years.</w:t>
      </w:r>
    </w:p>
    <w:p w14:paraId="09F941C6" w14:textId="77777777" w:rsidR="0074674F" w:rsidRDefault="002A4E9E" w:rsidP="00F36A45">
      <w:pPr>
        <w:pStyle w:val="Bullet"/>
      </w:pPr>
      <w:r w:rsidRPr="00E55352">
        <w:t>Just over half of all women</w:t>
      </w:r>
      <w:r w:rsidR="0074674F">
        <w:t>’</w:t>
      </w:r>
      <w:r w:rsidRPr="00E55352">
        <w:t>s most recent pregnancies were planned (54%); nearly one-third were ambivalent (32%); and the remaining 14% were unplanned.</w:t>
      </w:r>
    </w:p>
    <w:p w14:paraId="3A5CFC55" w14:textId="77777777" w:rsidR="0074674F" w:rsidRDefault="002A4E9E" w:rsidP="00F36A45">
      <w:pPr>
        <w:pStyle w:val="Bullet"/>
      </w:pPr>
      <w:r w:rsidRPr="00E55352">
        <w:t>Younger women were less likely to have been engaging in behaviours to prepare for pregnancy before their most recent pregnancy than older women. M</w:t>
      </w:r>
      <w:r w:rsidRPr="00E55352">
        <w:rPr>
          <w:rFonts w:hint="eastAsia"/>
        </w:rPr>
        <w:t>ā</w:t>
      </w:r>
      <w:r w:rsidRPr="00E55352">
        <w:t>ori women and Pacific women were less likely to have been engaging in behaviours to prepare for pregnancy before their most recent pregnancy, compared to non-M</w:t>
      </w:r>
      <w:r w:rsidRPr="00E55352">
        <w:rPr>
          <w:rFonts w:hint="eastAsia"/>
        </w:rPr>
        <w:t>ā</w:t>
      </w:r>
      <w:r w:rsidRPr="00E55352">
        <w:t>ori women, and non-Pacific women</w:t>
      </w:r>
      <w:r w:rsidR="00F36A45">
        <w:t>.</w:t>
      </w:r>
    </w:p>
    <w:p w14:paraId="1C491396" w14:textId="77777777" w:rsidR="002A4E9E" w:rsidRPr="00E55352" w:rsidRDefault="002A4E9E" w:rsidP="00F36A45">
      <w:pPr>
        <w:pStyle w:val="Bullet"/>
      </w:pPr>
      <w:r w:rsidRPr="00E55352">
        <w:t>Nearly half of women surveyed reported having taken folic acid tablets/</w:t>
      </w:r>
      <w:r w:rsidR="00F36A45">
        <w:t xml:space="preserve"> </w:t>
      </w:r>
      <w:r w:rsidRPr="00E55352">
        <w:t>supplements before their most recent pregnancy in the last five years; however, this occurred among only about one-fifth of those aged 16–24. Pacific and Māori women were less likely to report having taken folic acid tablets/supplements prior to their most recent pregnancy in the last five years than non-Pacific and non-Māori women.</w:t>
      </w:r>
    </w:p>
    <w:p w14:paraId="3A8118A4" w14:textId="77777777" w:rsidR="002B7BEC" w:rsidRDefault="002A4E9E" w:rsidP="00F36A45">
      <w:pPr>
        <w:pStyle w:val="Bullet"/>
      </w:pPr>
      <w:r w:rsidRPr="00E55352">
        <w:t>One-third of women reported having eaten more healthily prior to their most recent pregnancy; this was more commonly reported by older women. Women living in the most deprived neighbourhoods were less likely to report this than those living in the least deprived neighbourhoods</w:t>
      </w:r>
      <w:r w:rsidR="00F36A45">
        <w:t>.</w:t>
      </w:r>
    </w:p>
    <w:p w14:paraId="059B196F" w14:textId="77777777" w:rsidR="00F16595" w:rsidRDefault="00F16595" w:rsidP="002B7BEC"/>
    <w:p w14:paraId="2A2B603D" w14:textId="77777777" w:rsidR="001D3E4E" w:rsidRDefault="001D3E4E" w:rsidP="003A5FEA">
      <w:pPr>
        <w:sectPr w:rsidR="001D3E4E" w:rsidSect="00925892">
          <w:footerReference w:type="even" r:id="rId18"/>
          <w:pgSz w:w="11907" w:h="16840" w:code="9"/>
          <w:pgMar w:top="1418" w:right="1701" w:bottom="1134" w:left="1843" w:header="284" w:footer="425" w:gutter="284"/>
          <w:pgNumType w:fmt="lowerRoman"/>
          <w:cols w:space="720"/>
        </w:sectPr>
      </w:pPr>
    </w:p>
    <w:p w14:paraId="5D17BE61" w14:textId="77777777" w:rsidR="008C2973" w:rsidRDefault="002B7BEC" w:rsidP="00F54E74">
      <w:pPr>
        <w:pStyle w:val="Heading1"/>
      </w:pPr>
      <w:bookmarkStart w:id="3" w:name="_Toc22302087"/>
      <w:r>
        <w:lastRenderedPageBreak/>
        <w:t>Introduction</w:t>
      </w:r>
      <w:bookmarkEnd w:id="3"/>
    </w:p>
    <w:p w14:paraId="72EF6E3F" w14:textId="77777777" w:rsidR="0083076E" w:rsidRPr="00E55352" w:rsidRDefault="0083076E" w:rsidP="00F36A45">
      <w:r w:rsidRPr="00E55352">
        <w:t>Women having unplanned pregnancies risk more obstetric complications and poorer mental health, and children born from these pregnancies have been shown to have a lower birthweight, experience poorer mental and physical health during childhood and do less well in cognitive tests (</w:t>
      </w:r>
      <w:proofErr w:type="spellStart"/>
      <w:r w:rsidRPr="00E55352">
        <w:t>Mohllajee</w:t>
      </w:r>
      <w:proofErr w:type="spellEnd"/>
      <w:r w:rsidRPr="00E55352">
        <w:t xml:space="preserve"> et al 2007; Gipson et al 2008; </w:t>
      </w:r>
      <w:proofErr w:type="spellStart"/>
      <w:r w:rsidRPr="00E55352">
        <w:t>Lanzi</w:t>
      </w:r>
      <w:proofErr w:type="spellEnd"/>
      <w:r w:rsidRPr="00E55352">
        <w:t xml:space="preserve"> et al 2009; Shah et al 2011; Carson et al 2013).</w:t>
      </w:r>
    </w:p>
    <w:p w14:paraId="66654D03" w14:textId="77777777" w:rsidR="00F36A45" w:rsidRDefault="00F36A45" w:rsidP="00F36A45"/>
    <w:p w14:paraId="57485C1B" w14:textId="77777777" w:rsidR="0074674F" w:rsidRDefault="0083076E" w:rsidP="00F36A45">
      <w:r w:rsidRPr="00E55352">
        <w:t xml:space="preserve">The Health Committee Inquiry into improving child health identified high-quality health promotion in the area of sexual and reproductive health as a way of improving the health and wellbeing of future generations (Health Committee 2013). Making lifestyle changes prior to pregnancy, including </w:t>
      </w:r>
      <w:r>
        <w:t>taking</w:t>
      </w:r>
      <w:r w:rsidRPr="00E55352">
        <w:t xml:space="preserve"> folic acid</w:t>
      </w:r>
      <w:r>
        <w:t xml:space="preserve"> supplements</w:t>
      </w:r>
      <w:r w:rsidRPr="00E55352">
        <w:t>, stopping or cutting down on drinking alcohol, and eating more healthily, can improve the outcome of pregnancies.</w:t>
      </w:r>
    </w:p>
    <w:p w14:paraId="0E0266DB" w14:textId="77777777" w:rsidR="00F36A45" w:rsidRDefault="00F36A45" w:rsidP="00F36A45"/>
    <w:p w14:paraId="0D309A61" w14:textId="77777777" w:rsidR="0074674F" w:rsidRDefault="0083076E" w:rsidP="00F36A45">
      <w:r w:rsidRPr="00E55352">
        <w:t>The Ministry of Health recommends that women take one folic acid tablet daily when planning for pregnancy and for the first 12 weeks of pregnancy, to reduce the risk of neural tube defects, such as spina bifida.</w:t>
      </w:r>
      <w:r w:rsidR="00716A2C">
        <w:t xml:space="preserve"> </w:t>
      </w:r>
      <w:r>
        <w:t>The Ministry also recommends taking i</w:t>
      </w:r>
      <w:r w:rsidRPr="00E55352">
        <w:t>odine throughout pregnancy and while breastfeeding.</w:t>
      </w:r>
    </w:p>
    <w:p w14:paraId="1C9F4545" w14:textId="77777777" w:rsidR="00F36A45" w:rsidRDefault="00F36A45" w:rsidP="00F36A45"/>
    <w:p w14:paraId="25312D3A" w14:textId="77777777" w:rsidR="0083076E" w:rsidRPr="00E55352" w:rsidRDefault="0083076E" w:rsidP="00F36A45">
      <w:r w:rsidRPr="00E55352">
        <w:t>Drinking alcohol during pregnancy increases the risks of complications, including miscarriage, stillbirth, prematurity and fetal alcohol spectrum disorder (FASD, an umbrella term used to describe a range of effects on the baby after being exposed to alcohol in the womb).</w:t>
      </w:r>
      <w:r>
        <w:t xml:space="preserve"> The Ministry</w:t>
      </w:r>
      <w:r w:rsidRPr="00E55352">
        <w:t xml:space="preserve"> recommend</w:t>
      </w:r>
      <w:r>
        <w:t>s</w:t>
      </w:r>
      <w:r w:rsidRPr="00E55352">
        <w:t xml:space="preserve"> that women do not drink alcohol when planning a pregnancy or while pregnant. </w:t>
      </w:r>
      <w:r>
        <w:t>There is no known safe</w:t>
      </w:r>
      <w:r w:rsidRPr="00E55352">
        <w:t xml:space="preserve"> level of alcohol consumption during pregnancy.</w:t>
      </w:r>
    </w:p>
    <w:p w14:paraId="6AA0D6A5" w14:textId="77777777" w:rsidR="00F36A45" w:rsidRDefault="00F36A45" w:rsidP="00F36A45"/>
    <w:p w14:paraId="37576A35" w14:textId="77777777" w:rsidR="0074674F" w:rsidRDefault="0083076E" w:rsidP="00F36A45">
      <w:r w:rsidRPr="00E55352">
        <w:t xml:space="preserve">The Growing Up in New Zealand longitudinal study of women enrolled when 28 weeks pregnant in Auckland, Counties Manukau and Waikato District Health Board regions (Morton et al 2010) examined pregnancy planning status. Sixty percent of women surveyed responded positively to the one planning question, </w:t>
      </w:r>
      <w:r w:rsidR="0074674F">
        <w:t>‘</w:t>
      </w:r>
      <w:r w:rsidRPr="00E55352">
        <w:t>Was this pregnancy planned?</w:t>
      </w:r>
      <w:r w:rsidR="0074674F">
        <w:t>’</w:t>
      </w:r>
      <w:r w:rsidR="00F36A45">
        <w:t>.</w:t>
      </w:r>
      <w:r w:rsidRPr="00E55352">
        <w:t xml:space="preserve"> Hohmann-Marriott (2018) estimated that 53</w:t>
      </w:r>
      <w:r>
        <w:t>%</w:t>
      </w:r>
      <w:r w:rsidRPr="00E55352">
        <w:t xml:space="preserve"> of pregnancies in New Zealand were unplanned in 2008, after combining these Growing Up in New Zealand results with the estimated number of abortions and miscarriages.</w:t>
      </w:r>
    </w:p>
    <w:p w14:paraId="2F924D2B" w14:textId="77777777" w:rsidR="00F36A45" w:rsidRDefault="00F36A45" w:rsidP="00F36A45"/>
    <w:p w14:paraId="1AA74344" w14:textId="77777777" w:rsidR="0074674F" w:rsidRDefault="0083076E" w:rsidP="00F36A45">
      <w:r w:rsidRPr="00E55352">
        <w:t xml:space="preserve">Recognition of the complexity of pregnancy planning status has led to the development of more sophisticated approaches than a single dichotomous question. The London Measure of Unplanned Pregnancy (LMUP) is a multi-item instrument developed for the third British National Survey of Sexual Attitudes and Lifestyles (Natsal-3), and comprises six questions, covering contraceptive use, timing of motherhood, intention to become pregnant, desire for a baby, discussion with a partner and preconceptual preparations (Bacharach and Newcomer 1999; Barrett and </w:t>
      </w:r>
      <w:proofErr w:type="spellStart"/>
      <w:r w:rsidRPr="00E55352">
        <w:t>Wellings</w:t>
      </w:r>
      <w:proofErr w:type="spellEnd"/>
      <w:r w:rsidRPr="00E55352">
        <w:t xml:space="preserve"> 2002).</w:t>
      </w:r>
    </w:p>
    <w:p w14:paraId="1DCC369C" w14:textId="77777777" w:rsidR="00F36A45" w:rsidRDefault="00F36A45" w:rsidP="00F36A45"/>
    <w:p w14:paraId="3E57CD46" w14:textId="77777777" w:rsidR="0074674F" w:rsidRDefault="0083076E" w:rsidP="00F36A45">
      <w:pPr>
        <w:keepNext/>
      </w:pPr>
      <w:r w:rsidRPr="00E55352">
        <w:t xml:space="preserve">The Ministry of Health included the six LMUP questions in the Sexual and Reproductive Health module of the 2014/15 New Zealand Health Survey (the survey). This report </w:t>
      </w:r>
      <w:r w:rsidRPr="00E55352">
        <w:lastRenderedPageBreak/>
        <w:t>presents key findings about pregnancy planning by ethnicity, age group and neighbourhood deprivation at the time of the survey interview.</w:t>
      </w:r>
    </w:p>
    <w:p w14:paraId="496ABEA9" w14:textId="77777777" w:rsidR="00F36A45" w:rsidRDefault="00F36A45" w:rsidP="00F36A45"/>
    <w:p w14:paraId="1F213722" w14:textId="145AF288" w:rsidR="0083076E" w:rsidRPr="00E55352" w:rsidRDefault="0083076E" w:rsidP="00F36A45">
      <w:r w:rsidRPr="00E55352">
        <w:t xml:space="preserve">You can find more information and results from the survey, including data tables in the data explorer, online at </w:t>
      </w:r>
      <w:r w:rsidR="00AF7CFE" w:rsidRPr="00AF7CFE">
        <w:rPr>
          <w:rStyle w:val="Hyperlink"/>
        </w:rPr>
        <w:t>https://www.health.govt.nz/publication/sexual-and-reproductive-health-2014-15-new-zealand-health-survey</w:t>
      </w:r>
    </w:p>
    <w:p w14:paraId="584CCFBE" w14:textId="77777777" w:rsidR="0083076E" w:rsidRPr="0074674F" w:rsidRDefault="0083076E" w:rsidP="00F36A45"/>
    <w:p w14:paraId="15CA954D" w14:textId="77777777" w:rsidR="0083076E" w:rsidRPr="00E55352" w:rsidRDefault="0083076E" w:rsidP="00F96CA7">
      <w:pPr>
        <w:pStyle w:val="Heading1"/>
      </w:pPr>
      <w:bookmarkStart w:id="4" w:name="_Toc536449895"/>
      <w:bookmarkStart w:id="5" w:name="_Toc13568490"/>
      <w:bookmarkStart w:id="6" w:name="_Toc22302088"/>
      <w:r w:rsidRPr="00E55352">
        <w:lastRenderedPageBreak/>
        <w:t>Pregnant in the last five years</w:t>
      </w:r>
      <w:bookmarkEnd w:id="4"/>
      <w:bookmarkEnd w:id="5"/>
      <w:bookmarkEnd w:id="6"/>
    </w:p>
    <w:p w14:paraId="17CE6652" w14:textId="77777777" w:rsidR="0083076E" w:rsidRPr="00E55352" w:rsidRDefault="0083076E" w:rsidP="00F96CA7">
      <w:r w:rsidRPr="00E55352">
        <w:t xml:space="preserve">The survey asked women: </w:t>
      </w:r>
      <w:r w:rsidR="0074674F">
        <w:t>‘</w:t>
      </w:r>
      <w:r w:rsidRPr="00E55352">
        <w:t xml:space="preserve">Can we just check, have you been pregnant in the last </w:t>
      </w:r>
      <w:r w:rsidR="00EE1384">
        <w:t>five</w:t>
      </w:r>
      <w:r w:rsidRPr="00E55352">
        <w:t xml:space="preserve"> years?</w:t>
      </w:r>
      <w:r w:rsidR="0074674F">
        <w:t>’</w:t>
      </w:r>
      <w:r w:rsidR="00EE1384">
        <w:t>.</w:t>
      </w:r>
    </w:p>
    <w:p w14:paraId="643805DE" w14:textId="77777777" w:rsidR="0083076E" w:rsidRDefault="0083076E" w:rsidP="0083076E">
      <w:pPr>
        <w:rPr>
          <w:rFonts w:cstheme="minorHAnsi"/>
        </w:rPr>
      </w:pPr>
    </w:p>
    <w:p w14:paraId="54460AAF" w14:textId="77777777" w:rsidR="0083076E" w:rsidRPr="00A13FE8" w:rsidRDefault="0083076E" w:rsidP="00EE1384">
      <w:pPr>
        <w:pStyle w:val="Heading4"/>
      </w:pPr>
      <w:r>
        <w:t>One-</w:t>
      </w:r>
      <w:r w:rsidRPr="00A13FE8">
        <w:t>third of women aged 16</w:t>
      </w:r>
      <w:r>
        <w:t>–</w:t>
      </w:r>
      <w:r w:rsidRPr="00A13FE8">
        <w:t xml:space="preserve">44 years </w:t>
      </w:r>
      <w:r>
        <w:t>reported having</w:t>
      </w:r>
      <w:r w:rsidRPr="00A13FE8">
        <w:t xml:space="preserve"> </w:t>
      </w:r>
      <w:r>
        <w:t>been pregnant</w:t>
      </w:r>
      <w:r w:rsidRPr="00A13FE8">
        <w:t xml:space="preserve"> in the last five years, and half of women aged 25</w:t>
      </w:r>
      <w:r>
        <w:t>–</w:t>
      </w:r>
      <w:r w:rsidRPr="00A13FE8">
        <w:t>34 years</w:t>
      </w:r>
    </w:p>
    <w:p w14:paraId="1E14D124" w14:textId="77777777" w:rsidR="0083076E" w:rsidRPr="003635E3" w:rsidRDefault="0083076E" w:rsidP="00EE1384">
      <w:pPr>
        <w:pStyle w:val="Bullet"/>
      </w:pPr>
      <w:r w:rsidRPr="003635E3">
        <w:t>3</w:t>
      </w:r>
      <w:r>
        <w:t>3%</w:t>
      </w:r>
      <w:r w:rsidRPr="003635E3">
        <w:t xml:space="preserve"> of women aged 16</w:t>
      </w:r>
      <w:r>
        <w:t>–</w:t>
      </w:r>
      <w:r w:rsidRPr="003635E3">
        <w:t>44 years</w:t>
      </w:r>
      <w:r>
        <w:t xml:space="preserve"> reported having had </w:t>
      </w:r>
      <w:r w:rsidRPr="003635E3">
        <w:t>one or more pregnancies in the last</w:t>
      </w:r>
      <w:r>
        <w:t xml:space="preserve"> five years.</w:t>
      </w:r>
    </w:p>
    <w:p w14:paraId="1FA80555" w14:textId="2B8D8FBF" w:rsidR="0074674F" w:rsidRDefault="0083076E" w:rsidP="00EE1384">
      <w:pPr>
        <w:pStyle w:val="Bullet"/>
      </w:pPr>
      <w:r w:rsidRPr="003635E3">
        <w:t>1</w:t>
      </w:r>
      <w:r>
        <w:t>8%</w:t>
      </w:r>
      <w:r w:rsidRPr="003635E3">
        <w:t xml:space="preserve"> of women aged 16</w:t>
      </w:r>
      <w:r>
        <w:t>–</w:t>
      </w:r>
      <w:r w:rsidRPr="003635E3">
        <w:t xml:space="preserve">24 </w:t>
      </w:r>
      <w:r>
        <w:t>reported a</w:t>
      </w:r>
      <w:r w:rsidRPr="003635E3">
        <w:t xml:space="preserve"> pregnancy in the last five years</w:t>
      </w:r>
      <w:r>
        <w:t>.</w:t>
      </w:r>
      <w:r w:rsidRPr="003635E3">
        <w:t xml:space="preserve"> </w:t>
      </w:r>
      <w:r>
        <w:t>This compared to</w:t>
      </w:r>
      <w:r w:rsidRPr="003635E3">
        <w:t xml:space="preserve"> </w:t>
      </w:r>
      <w:r w:rsidR="00B61929">
        <w:t>49</w:t>
      </w:r>
      <w:r>
        <w:t>% of women</w:t>
      </w:r>
      <w:r w:rsidRPr="003635E3">
        <w:t xml:space="preserve"> aged 25</w:t>
      </w:r>
      <w:r>
        <w:t>–</w:t>
      </w:r>
      <w:r w:rsidRPr="003635E3">
        <w:t>34 years and 3</w:t>
      </w:r>
      <w:r>
        <w:t>2%</w:t>
      </w:r>
      <w:r w:rsidR="00B61929">
        <w:t xml:space="preserve"> </w:t>
      </w:r>
      <w:r>
        <w:t>of women</w:t>
      </w:r>
      <w:r w:rsidRPr="003635E3">
        <w:t xml:space="preserve"> aged 35</w:t>
      </w:r>
      <w:r>
        <w:t>–</w:t>
      </w:r>
      <w:r w:rsidRPr="003635E3">
        <w:t>44 years (Figure 1).</w:t>
      </w:r>
    </w:p>
    <w:p w14:paraId="0BE14AA6" w14:textId="77777777" w:rsidR="00EE1384" w:rsidRDefault="00EE1384" w:rsidP="00EE1384"/>
    <w:p w14:paraId="5CF981B1" w14:textId="77777777" w:rsidR="0083076E" w:rsidRPr="009D68FD" w:rsidRDefault="0083076E" w:rsidP="00EE1384">
      <w:pPr>
        <w:pStyle w:val="Figure"/>
      </w:pPr>
      <w:bookmarkStart w:id="7" w:name="_Toc13568984"/>
      <w:bookmarkStart w:id="8" w:name="_Toc22302096"/>
      <w:r w:rsidRPr="003635E3">
        <w:t>Figure 1:</w:t>
      </w:r>
      <w:r>
        <w:t xml:space="preserve"> </w:t>
      </w:r>
      <w:r w:rsidRPr="003B01B1">
        <w:t xml:space="preserve">Pregnant in the </w:t>
      </w:r>
      <w:r w:rsidR="00EE1384">
        <w:t>five</w:t>
      </w:r>
      <w:r w:rsidRPr="003B01B1">
        <w:t xml:space="preserve"> years preceding survey (among women 16</w:t>
      </w:r>
      <w:r w:rsidR="00EE1384">
        <w:t>–</w:t>
      </w:r>
      <w:r w:rsidRPr="003B01B1">
        <w:t>44 years old), by age group</w:t>
      </w:r>
      <w:bookmarkEnd w:id="7"/>
      <w:bookmarkEnd w:id="8"/>
    </w:p>
    <w:p w14:paraId="6AF156C3" w14:textId="77777777" w:rsidR="0083076E" w:rsidRDefault="0019519F" w:rsidP="00EE1384">
      <w:r>
        <w:rPr>
          <w:noProof/>
          <w:lang w:eastAsia="en-NZ"/>
        </w:rPr>
        <w:drawing>
          <wp:inline distT="0" distB="0" distL="0" distR="0" wp14:anchorId="2FA7D808" wp14:editId="3C93F6B1">
            <wp:extent cx="5120212" cy="3192087"/>
            <wp:effectExtent l="0" t="0" r="4445" b="8890"/>
            <wp:docPr id="12" name="Picture 12" descr="Almost 50% of women 25-34 had been pregnant in the last 5 years. About 33% of women 53-44 had been pregnant, and about 18% of women 1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4478"/>
                    <a:stretch/>
                  </pic:blipFill>
                  <pic:spPr bwMode="auto">
                    <a:xfrm>
                      <a:off x="0" y="0"/>
                      <a:ext cx="5125215" cy="3195206"/>
                    </a:xfrm>
                    <a:prstGeom prst="rect">
                      <a:avLst/>
                    </a:prstGeom>
                    <a:noFill/>
                    <a:ln>
                      <a:noFill/>
                    </a:ln>
                    <a:extLst>
                      <a:ext uri="{53640926-AAD7-44D8-BBD7-CCE9431645EC}">
                        <a14:shadowObscured xmlns:a14="http://schemas.microsoft.com/office/drawing/2010/main"/>
                      </a:ext>
                    </a:extLst>
                  </pic:spPr>
                </pic:pic>
              </a:graphicData>
            </a:graphic>
          </wp:inline>
        </w:drawing>
      </w:r>
    </w:p>
    <w:p w14:paraId="479A7385" w14:textId="77777777" w:rsidR="0019519F" w:rsidRDefault="0019519F" w:rsidP="00EE1384"/>
    <w:p w14:paraId="0B4E98C0" w14:textId="77777777" w:rsidR="0083076E" w:rsidRPr="002244F3" w:rsidRDefault="0083076E" w:rsidP="00EE1384">
      <w:pPr>
        <w:pStyle w:val="Heading4"/>
        <w:rPr>
          <w:noProof/>
        </w:rPr>
      </w:pPr>
      <w:r w:rsidRPr="002244F3">
        <w:rPr>
          <w:noProof/>
        </w:rPr>
        <w:lastRenderedPageBreak/>
        <w:t>M</w:t>
      </w:r>
      <w:r>
        <w:rPr>
          <w:noProof/>
        </w:rPr>
        <w:t>ā</w:t>
      </w:r>
      <w:r w:rsidRPr="002244F3">
        <w:rPr>
          <w:noProof/>
        </w:rPr>
        <w:t xml:space="preserve">ori women </w:t>
      </w:r>
      <w:r>
        <w:rPr>
          <w:noProof/>
        </w:rPr>
        <w:t xml:space="preserve">were </w:t>
      </w:r>
      <w:r w:rsidRPr="002244F3">
        <w:rPr>
          <w:noProof/>
        </w:rPr>
        <w:t xml:space="preserve">most likely to </w:t>
      </w:r>
      <w:r>
        <w:rPr>
          <w:noProof/>
        </w:rPr>
        <w:t>report being pregnant</w:t>
      </w:r>
      <w:r w:rsidRPr="002244F3">
        <w:rPr>
          <w:noProof/>
        </w:rPr>
        <w:t xml:space="preserve"> in the last five years</w:t>
      </w:r>
    </w:p>
    <w:p w14:paraId="6146B2A6" w14:textId="77777777" w:rsidR="0074674F" w:rsidRDefault="0083076E" w:rsidP="00EE1384">
      <w:pPr>
        <w:pStyle w:val="Bullet"/>
      </w:pPr>
      <w:r w:rsidRPr="00093568">
        <w:t>The percentage of women who reported having had a pregnancy in the last five years varied by ethnicity: it was highest for M</w:t>
      </w:r>
      <w:r w:rsidRPr="00093568">
        <w:rPr>
          <w:rFonts w:hint="eastAsia"/>
        </w:rPr>
        <w:t>ā</w:t>
      </w:r>
      <w:r w:rsidRPr="00093568">
        <w:t>ori women (43%) and lowest for Asian women (25%) (Figure 2).</w:t>
      </w:r>
    </w:p>
    <w:p w14:paraId="70406D48" w14:textId="77777777" w:rsidR="0083076E" w:rsidRDefault="0083076E" w:rsidP="00EE1384">
      <w:pPr>
        <w:pStyle w:val="Bullet"/>
      </w:pPr>
      <w:r w:rsidRPr="00093568">
        <w:t>After adjustment for age, Māori women were 1.4 times as likely to report having had a pregnancy in the past five years as non-Māori; Asian women were 0.7 times as likely as non-Asian women to have done so</w:t>
      </w:r>
      <w:r w:rsidR="00EE1384">
        <w:t>.</w:t>
      </w:r>
      <w:r w:rsidRPr="00EE1384">
        <w:rPr>
          <w:rStyle w:val="FootnoteReference"/>
        </w:rPr>
        <w:footnoteReference w:id="1"/>
      </w:r>
    </w:p>
    <w:p w14:paraId="72AD6155" w14:textId="77777777" w:rsidR="0083076E" w:rsidRDefault="0083076E" w:rsidP="0019519F">
      <w:pPr>
        <w:pStyle w:val="Figure"/>
        <w:spacing w:before="240"/>
        <w:ind w:left="284"/>
      </w:pPr>
      <w:bookmarkStart w:id="9" w:name="_Toc13568985"/>
      <w:bookmarkStart w:id="10" w:name="_Toc22302097"/>
      <w:r w:rsidRPr="002244F3">
        <w:t>Figure 2</w:t>
      </w:r>
      <w:r>
        <w:t xml:space="preserve">: </w:t>
      </w:r>
      <w:r w:rsidRPr="003B01B1">
        <w:t xml:space="preserve">Pregnant in the </w:t>
      </w:r>
      <w:r w:rsidR="00EE1384">
        <w:t>five</w:t>
      </w:r>
      <w:r w:rsidRPr="003B01B1">
        <w:t xml:space="preserve"> years preceding survey (among women 16</w:t>
      </w:r>
      <w:r w:rsidR="00EE1384">
        <w:t>–</w:t>
      </w:r>
      <w:r w:rsidRPr="003B01B1">
        <w:t>44 years old), by ethnic group</w:t>
      </w:r>
      <w:bookmarkEnd w:id="9"/>
      <w:bookmarkEnd w:id="10"/>
    </w:p>
    <w:p w14:paraId="007BF597" w14:textId="77777777" w:rsidR="0019519F" w:rsidRPr="0019519F" w:rsidRDefault="0019519F" w:rsidP="0019519F">
      <w:pPr>
        <w:ind w:left="284"/>
      </w:pPr>
      <w:r>
        <w:rPr>
          <w:noProof/>
          <w:lang w:eastAsia="en-NZ"/>
        </w:rPr>
        <w:drawing>
          <wp:inline distT="0" distB="0" distL="0" distR="0" wp14:anchorId="7D951B5F" wp14:editId="0399481A">
            <wp:extent cx="4916423" cy="3050771"/>
            <wp:effectExtent l="0" t="0" r="0" b="0"/>
            <wp:docPr id="13" name="Picture 13" descr="Over 40% of Māori women had been pregnant in the last 5 years. The same was true for about 35% of European/other women, about 33% of Pacific women, and 25% of Asian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4923"/>
                    <a:stretch/>
                  </pic:blipFill>
                  <pic:spPr bwMode="auto">
                    <a:xfrm>
                      <a:off x="0" y="0"/>
                      <a:ext cx="4929257" cy="3058735"/>
                    </a:xfrm>
                    <a:prstGeom prst="rect">
                      <a:avLst/>
                    </a:prstGeom>
                    <a:noFill/>
                    <a:ln>
                      <a:noFill/>
                    </a:ln>
                    <a:extLst>
                      <a:ext uri="{53640926-AAD7-44D8-BBD7-CCE9431645EC}">
                        <a14:shadowObscured xmlns:a14="http://schemas.microsoft.com/office/drawing/2010/main"/>
                      </a:ext>
                    </a:extLst>
                  </pic:spPr>
                </pic:pic>
              </a:graphicData>
            </a:graphic>
          </wp:inline>
        </w:drawing>
      </w:r>
    </w:p>
    <w:p w14:paraId="2E895123" w14:textId="77777777" w:rsidR="0083076E" w:rsidRDefault="0083076E" w:rsidP="0019519F">
      <w:pPr>
        <w:pStyle w:val="Note"/>
        <w:ind w:left="284"/>
      </w:pPr>
      <w:r>
        <w:t>Note: Women</w:t>
      </w:r>
      <w:r w:rsidRPr="000F602C">
        <w:t xml:space="preserve"> who reported more than one ethnic group are counted once in each group reported. This means that the total number of responses for all ethnic groups can be greater than the total number </w:t>
      </w:r>
      <w:r>
        <w:t>women</w:t>
      </w:r>
      <w:r w:rsidRPr="000F602C">
        <w:t xml:space="preserve"> who stated their ethnicities</w:t>
      </w:r>
      <w:r>
        <w:t>.</w:t>
      </w:r>
    </w:p>
    <w:p w14:paraId="64FA76CB" w14:textId="77777777" w:rsidR="0074674F" w:rsidRDefault="0083076E" w:rsidP="00EE1384">
      <w:pPr>
        <w:pStyle w:val="Bullet"/>
        <w:spacing w:before="240"/>
      </w:pPr>
      <w:r w:rsidRPr="00093568">
        <w:t>There was no consistent pattern in the percentage of women who reported having had had a pregnancy in the last five years by level of neighbourhood deprivation.</w:t>
      </w:r>
    </w:p>
    <w:p w14:paraId="77AC2F3C" w14:textId="77777777" w:rsidR="0083076E" w:rsidRPr="00093568" w:rsidRDefault="0083076E" w:rsidP="00EE1384">
      <w:pPr>
        <w:pStyle w:val="Heading1"/>
      </w:pPr>
      <w:bookmarkStart w:id="11" w:name="_Toc536449896"/>
      <w:bookmarkStart w:id="12" w:name="_Toc13568491"/>
      <w:bookmarkStart w:id="13" w:name="_Toc22302089"/>
      <w:r w:rsidRPr="00093568">
        <w:lastRenderedPageBreak/>
        <w:t>Pregnancy planning status</w:t>
      </w:r>
      <w:bookmarkEnd w:id="11"/>
      <w:bookmarkEnd w:id="12"/>
      <w:bookmarkEnd w:id="13"/>
    </w:p>
    <w:p w14:paraId="239CFF18" w14:textId="77777777" w:rsidR="0083076E" w:rsidRPr="00093568" w:rsidRDefault="0083076E" w:rsidP="0083076E">
      <w:r w:rsidRPr="00093568">
        <w:t>The survey asked women who had been pregnant in the last five years the LMUP questions (Barrett et al 2004)</w:t>
      </w:r>
      <w:r w:rsidR="00EE1384">
        <w:t>.</w:t>
      </w:r>
      <w:r w:rsidRPr="00EE1384">
        <w:rPr>
          <w:rStyle w:val="FootnoteReference"/>
        </w:rPr>
        <w:footnoteReference w:id="2"/>
      </w:r>
      <w:r w:rsidRPr="00093568">
        <w:t xml:space="preserve"> This includes women who were pregnant at the time of the survey, as well as those who had f</w:t>
      </w:r>
      <w:r w:rsidR="0061235E">
        <w:t>ull term pregnancies, abortions</w:t>
      </w:r>
      <w:r>
        <w:t>,</w:t>
      </w:r>
      <w:r w:rsidRPr="00093568">
        <w:t xml:space="preserve"> miscarriages</w:t>
      </w:r>
      <w:r>
        <w:t xml:space="preserve"> or stillbirths</w:t>
      </w:r>
      <w:r w:rsidRPr="00093568">
        <w:t>.</w:t>
      </w:r>
    </w:p>
    <w:p w14:paraId="58F2FD94" w14:textId="77777777" w:rsidR="0083076E" w:rsidRDefault="0083076E" w:rsidP="00EE1384"/>
    <w:p w14:paraId="7CF70A00" w14:textId="77777777" w:rsidR="0083076E" w:rsidRPr="00093568" w:rsidRDefault="0083076E" w:rsidP="00EE1384">
      <w:r w:rsidRPr="00093568">
        <w:t xml:space="preserve">The LMUP questions measure how planned a pregnancy was by asking about behaviour and opinions prior to the pregnancy (Barrett et al 2004). The answers are combined to rate a pregnancy as either planned, ambivalent, or unplanned. The last LMUP question asks about </w:t>
      </w:r>
      <w:r w:rsidR="00716A2C" w:rsidRPr="00093568">
        <w:t>behaviours</w:t>
      </w:r>
      <w:r w:rsidRPr="00093568">
        <w:t xml:space="preserve"> that a woman might have done to get healthier before the pregnancy began, and this analysis looks at two of them.</w:t>
      </w:r>
    </w:p>
    <w:p w14:paraId="2C47B024" w14:textId="77777777" w:rsidR="0083076E" w:rsidRPr="0074674F" w:rsidRDefault="0083076E" w:rsidP="00EE1384"/>
    <w:p w14:paraId="553D1E95" w14:textId="77777777" w:rsidR="0083076E" w:rsidRPr="002244F3" w:rsidRDefault="0083076E" w:rsidP="00EE1384">
      <w:pPr>
        <w:pStyle w:val="Heading4"/>
        <w:rPr>
          <w:noProof/>
        </w:rPr>
      </w:pPr>
      <w:r>
        <w:rPr>
          <w:noProof/>
        </w:rPr>
        <w:t>Older</w:t>
      </w:r>
      <w:r w:rsidRPr="002244F3">
        <w:rPr>
          <w:noProof/>
        </w:rPr>
        <w:t xml:space="preserve"> women </w:t>
      </w:r>
      <w:r>
        <w:rPr>
          <w:noProof/>
        </w:rPr>
        <w:t>were more likely to report having planned their most recent pregnancy than younger women</w:t>
      </w:r>
    </w:p>
    <w:p w14:paraId="24CB1B3D" w14:textId="63F6AB9A" w:rsidR="0074674F" w:rsidRDefault="0083076E" w:rsidP="00EE1384">
      <w:pPr>
        <w:pStyle w:val="Bullet"/>
      </w:pPr>
      <w:r w:rsidRPr="00093568">
        <w:t>Overall, 54</w:t>
      </w:r>
      <w:r>
        <w:t>%</w:t>
      </w:r>
      <w:r w:rsidRPr="00093568">
        <w:t xml:space="preserve"> of the most recent pregnancies in the last five years were scored as planned and 14</w:t>
      </w:r>
      <w:r>
        <w:t>%</w:t>
      </w:r>
      <w:r w:rsidRPr="00093568">
        <w:t xml:space="preserve"> as unplanned; 32</w:t>
      </w:r>
      <w:r>
        <w:t>%</w:t>
      </w:r>
      <w:r w:rsidRPr="00093568">
        <w:t xml:space="preserve"> were </w:t>
      </w:r>
      <w:r w:rsidR="000332A5" w:rsidRPr="00093568">
        <w:t>scored</w:t>
      </w:r>
      <w:r w:rsidR="000332A5">
        <w:t xml:space="preserve"> as</w:t>
      </w:r>
      <w:r w:rsidRPr="00093568">
        <w:t xml:space="preserve"> </w:t>
      </w:r>
      <w:r w:rsidR="0074674F">
        <w:t>‘</w:t>
      </w:r>
      <w:r w:rsidRPr="00093568">
        <w:t>ambivalent</w:t>
      </w:r>
      <w:r w:rsidR="0074674F">
        <w:t>’</w:t>
      </w:r>
      <w:r w:rsidRPr="00093568">
        <w:t>.</w:t>
      </w:r>
    </w:p>
    <w:p w14:paraId="1EE0B639" w14:textId="77777777" w:rsidR="0083076E" w:rsidRPr="00093568" w:rsidRDefault="0083076E" w:rsidP="00EE1384">
      <w:pPr>
        <w:pStyle w:val="Bullet"/>
      </w:pPr>
      <w:r w:rsidRPr="00093568">
        <w:t>Women aged 35–44 years were the most likely to have their most recent pregnancies scored as planned (69%) and least likely for them to be scored as unplanned (8.9%) (Figure 3). Women aged 16–24 years were least likely to have engaged in pregnancy-planning behaviour: for this age group, 20</w:t>
      </w:r>
      <w:r>
        <w:t>%</w:t>
      </w:r>
      <w:r w:rsidRPr="00093568">
        <w:t xml:space="preserve"> of pregnancies were scored as planned and 30</w:t>
      </w:r>
      <w:r>
        <w:t>%</w:t>
      </w:r>
      <w:r w:rsidRPr="00093568">
        <w:t xml:space="preserve"> as unplanned.</w:t>
      </w:r>
    </w:p>
    <w:p w14:paraId="2DBB71FD" w14:textId="77777777" w:rsidR="0083076E" w:rsidRDefault="0083076E" w:rsidP="00EE1384"/>
    <w:p w14:paraId="0B10C31E" w14:textId="77777777" w:rsidR="0074674F" w:rsidRDefault="0083076E" w:rsidP="00EE1384">
      <w:pPr>
        <w:pStyle w:val="Figure"/>
      </w:pPr>
      <w:bookmarkStart w:id="14" w:name="_Toc13568986"/>
      <w:bookmarkStart w:id="15" w:name="_Toc22302098"/>
      <w:r w:rsidRPr="002244F3">
        <w:lastRenderedPageBreak/>
        <w:t>Figure 3</w:t>
      </w:r>
      <w:r>
        <w:t>:</w:t>
      </w:r>
      <w:r w:rsidRPr="002244F3">
        <w:t xml:space="preserve"> </w:t>
      </w:r>
      <w:r w:rsidRPr="003B01B1">
        <w:t>Pregnancy planning (among women 16</w:t>
      </w:r>
      <w:r w:rsidR="00EE1384">
        <w:t>–</w:t>
      </w:r>
      <w:r w:rsidRPr="003B01B1">
        <w:t xml:space="preserve">44 years old, pregnant at the time of survey or in preceding </w:t>
      </w:r>
      <w:r w:rsidR="00EE1384">
        <w:t>five</w:t>
      </w:r>
      <w:r w:rsidRPr="003B01B1">
        <w:t xml:space="preserve"> years)</w:t>
      </w:r>
      <w:r w:rsidRPr="004B679C">
        <w:t>, by age</w:t>
      </w:r>
      <w:r w:rsidRPr="002244F3">
        <w:t xml:space="preserve"> group</w:t>
      </w:r>
      <w:bookmarkEnd w:id="14"/>
      <w:bookmarkEnd w:id="15"/>
    </w:p>
    <w:p w14:paraId="1D19FEF6" w14:textId="77777777" w:rsidR="0083076E" w:rsidRPr="00EE1384" w:rsidRDefault="0019519F" w:rsidP="0019519F">
      <w:r>
        <w:rPr>
          <w:noProof/>
          <w:lang w:eastAsia="en-NZ"/>
        </w:rPr>
        <w:drawing>
          <wp:inline distT="0" distB="0" distL="0" distR="0" wp14:anchorId="5391763E" wp14:editId="42E9FFD2">
            <wp:extent cx="5145578" cy="3233651"/>
            <wp:effectExtent l="0" t="0" r="0" b="5080"/>
            <wp:docPr id="15" name="Picture 15" descr="Women 16-24 were most likely to have an unplanned pregnancy (about 30%) or an ambivalent pregnancy (about 50%). Only about 20% of women 16-24 had a planned pregnancy. For women 25-34, over 50% of pregnancies were planned, about 35% were ambivalent, and only about 15% were unplanned. For women 25-44, nearly 70% of pregnancies were planned, while about 25% were ambivalent and only about 10% were unplan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5061" r="9740" b="8028"/>
                    <a:stretch/>
                  </pic:blipFill>
                  <pic:spPr bwMode="auto">
                    <a:xfrm>
                      <a:off x="0" y="0"/>
                      <a:ext cx="5148613" cy="3235558"/>
                    </a:xfrm>
                    <a:prstGeom prst="rect">
                      <a:avLst/>
                    </a:prstGeom>
                    <a:noFill/>
                    <a:ln>
                      <a:noFill/>
                    </a:ln>
                    <a:extLst>
                      <a:ext uri="{53640926-AAD7-44D8-BBD7-CCE9431645EC}">
                        <a14:shadowObscured xmlns:a14="http://schemas.microsoft.com/office/drawing/2010/main"/>
                      </a:ext>
                    </a:extLst>
                  </pic:spPr>
                </pic:pic>
              </a:graphicData>
            </a:graphic>
          </wp:inline>
        </w:drawing>
      </w:r>
    </w:p>
    <w:p w14:paraId="0956EB87" w14:textId="370899CD" w:rsidR="0083076E" w:rsidRDefault="0083076E" w:rsidP="00EE1384">
      <w:pPr>
        <w:pStyle w:val="Note"/>
      </w:pPr>
      <w:r>
        <w:t xml:space="preserve">Note: </w:t>
      </w:r>
      <w:r w:rsidRPr="00B92915">
        <w:t>The London Measure of Unplanned Pregnancy is made up of six questions about</w:t>
      </w:r>
      <w:r w:rsidR="00B61929">
        <w:t>:</w:t>
      </w:r>
      <w:r w:rsidRPr="00B92915">
        <w:t xml:space="preserve"> contraceptive use</w:t>
      </w:r>
      <w:r w:rsidR="00B61929">
        <w:t>,</w:t>
      </w:r>
      <w:r w:rsidRPr="00B92915">
        <w:t xml:space="preserve"> timing of motherhood, intention to become pregnant, desire for a baby, discussion with a partner, and preconceptual preparations. Each question is scored 0</w:t>
      </w:r>
      <w:r w:rsidR="00EE1384">
        <w:t>–</w:t>
      </w:r>
      <w:r w:rsidRPr="00B92915">
        <w:t>2, and the total score has been grouped with 0</w:t>
      </w:r>
      <w:r w:rsidR="00EE1384">
        <w:t>–</w:t>
      </w:r>
      <w:r w:rsidRPr="00B92915">
        <w:t>3 being classified as unplanned, 4</w:t>
      </w:r>
      <w:r w:rsidR="00EE1384">
        <w:t>–</w:t>
      </w:r>
      <w:r w:rsidRPr="00B92915">
        <w:t>9 as ambivalent, and 10</w:t>
      </w:r>
      <w:r w:rsidR="00EE1384">
        <w:t>–</w:t>
      </w:r>
      <w:r w:rsidRPr="00B92915">
        <w:t>12 as planned.</w:t>
      </w:r>
    </w:p>
    <w:p w14:paraId="66964A72" w14:textId="77777777" w:rsidR="0083076E" w:rsidRDefault="0083076E" w:rsidP="00EE1384">
      <w:pPr>
        <w:rPr>
          <w:noProof/>
        </w:rPr>
      </w:pPr>
    </w:p>
    <w:p w14:paraId="2EB2DE4B" w14:textId="77777777" w:rsidR="0083076E" w:rsidRPr="002244F3" w:rsidRDefault="0083076E" w:rsidP="00EE1384">
      <w:pPr>
        <w:pStyle w:val="Heading4"/>
        <w:rPr>
          <w:noProof/>
        </w:rPr>
      </w:pPr>
      <w:r w:rsidRPr="002244F3">
        <w:rPr>
          <w:noProof/>
        </w:rPr>
        <w:t>M</w:t>
      </w:r>
      <w:r>
        <w:rPr>
          <w:noProof/>
        </w:rPr>
        <w:t>ā</w:t>
      </w:r>
      <w:r w:rsidRPr="002244F3">
        <w:rPr>
          <w:noProof/>
        </w:rPr>
        <w:t xml:space="preserve">ori women </w:t>
      </w:r>
      <w:r>
        <w:rPr>
          <w:noProof/>
        </w:rPr>
        <w:t xml:space="preserve">were </w:t>
      </w:r>
      <w:r w:rsidRPr="002244F3">
        <w:rPr>
          <w:noProof/>
        </w:rPr>
        <w:t>least like</w:t>
      </w:r>
      <w:r>
        <w:rPr>
          <w:noProof/>
        </w:rPr>
        <w:t>ly</w:t>
      </w:r>
      <w:r w:rsidRPr="002244F3">
        <w:rPr>
          <w:noProof/>
        </w:rPr>
        <w:t xml:space="preserve"> to </w:t>
      </w:r>
      <w:r>
        <w:rPr>
          <w:noProof/>
        </w:rPr>
        <w:t xml:space="preserve">report </w:t>
      </w:r>
      <w:r w:rsidRPr="002244F3">
        <w:rPr>
          <w:noProof/>
        </w:rPr>
        <w:t>hav</w:t>
      </w:r>
      <w:r>
        <w:rPr>
          <w:noProof/>
        </w:rPr>
        <w:t>ing</w:t>
      </w:r>
      <w:r w:rsidRPr="002244F3">
        <w:rPr>
          <w:noProof/>
        </w:rPr>
        <w:t xml:space="preserve"> planned their most recent pregnancy</w:t>
      </w:r>
    </w:p>
    <w:p w14:paraId="1F06A5C9" w14:textId="77777777" w:rsidR="0074674F" w:rsidRDefault="0083076E" w:rsidP="00EE1384">
      <w:r>
        <w:t>The percentage of women who reported having planned their current or most recent pregnancy</w:t>
      </w:r>
      <w:r w:rsidRPr="00887588">
        <w:t xml:space="preserve"> varied by ethnic group</w:t>
      </w:r>
      <w:r>
        <w:t>:</w:t>
      </w:r>
    </w:p>
    <w:p w14:paraId="5D12CEE2" w14:textId="77777777" w:rsidR="0083076E" w:rsidRDefault="0083076E" w:rsidP="00EE1384">
      <w:pPr>
        <w:pStyle w:val="Bullet"/>
      </w:pPr>
      <w:r>
        <w:t xml:space="preserve">30% of </w:t>
      </w:r>
      <w:r w:rsidRPr="00887588">
        <w:t xml:space="preserve">Māori </w:t>
      </w:r>
      <w:r>
        <w:t>women</w:t>
      </w:r>
    </w:p>
    <w:p w14:paraId="35979D27" w14:textId="77777777" w:rsidR="0083076E" w:rsidRDefault="0083076E" w:rsidP="00EE1384">
      <w:pPr>
        <w:pStyle w:val="Bullet"/>
      </w:pPr>
      <w:r>
        <w:t>40% of Pacific women</w:t>
      </w:r>
    </w:p>
    <w:p w14:paraId="1474ADF9" w14:textId="77777777" w:rsidR="0083076E" w:rsidRDefault="0083076E" w:rsidP="00EE1384">
      <w:pPr>
        <w:pStyle w:val="Bullet"/>
      </w:pPr>
      <w:r>
        <w:t xml:space="preserve">56% of </w:t>
      </w:r>
      <w:r w:rsidRPr="00887588">
        <w:t xml:space="preserve">European/Other </w:t>
      </w:r>
      <w:r>
        <w:t>women</w:t>
      </w:r>
    </w:p>
    <w:p w14:paraId="5B42E3E6" w14:textId="77777777" w:rsidR="0083076E" w:rsidRDefault="0083076E" w:rsidP="00EE1384">
      <w:pPr>
        <w:pStyle w:val="Bullet"/>
      </w:pPr>
      <w:r>
        <w:t>69% of Asian women.</w:t>
      </w:r>
    </w:p>
    <w:p w14:paraId="302DE278" w14:textId="77777777" w:rsidR="00EE1384" w:rsidRDefault="00EE1384" w:rsidP="00EE1384"/>
    <w:p w14:paraId="6B55EF5B" w14:textId="77777777" w:rsidR="0083076E" w:rsidRDefault="0083076E" w:rsidP="00EE1384">
      <w:r w:rsidRPr="002244F3">
        <w:t>After adjust</w:t>
      </w:r>
      <w:r>
        <w:t>ing</w:t>
      </w:r>
      <w:r w:rsidRPr="002244F3">
        <w:t xml:space="preserve"> for age</w:t>
      </w:r>
      <w:r>
        <w:t xml:space="preserve"> differences</w:t>
      </w:r>
      <w:r w:rsidRPr="002244F3">
        <w:t>, Māori women</w:t>
      </w:r>
      <w:r>
        <w:t xml:space="preserve"> were</w:t>
      </w:r>
      <w:r w:rsidRPr="002244F3">
        <w:t xml:space="preserve"> 0.6 times </w:t>
      </w:r>
      <w:r>
        <w:t>as</w:t>
      </w:r>
      <w:r w:rsidRPr="002244F3">
        <w:t xml:space="preserve"> </w:t>
      </w:r>
      <w:r>
        <w:t xml:space="preserve">likely as </w:t>
      </w:r>
      <w:r w:rsidRPr="002244F3">
        <w:t>non-Māori</w:t>
      </w:r>
      <w:r>
        <w:t xml:space="preserve"> women to report having planned their most recent pregnancy. </w:t>
      </w:r>
      <w:r w:rsidRPr="002244F3">
        <w:t xml:space="preserve">Asian women </w:t>
      </w:r>
      <w:r>
        <w:t>were</w:t>
      </w:r>
      <w:r w:rsidRPr="002244F3">
        <w:t xml:space="preserve"> 1.3</w:t>
      </w:r>
      <w:r w:rsidR="00EE1384">
        <w:t> </w:t>
      </w:r>
      <w:r w:rsidRPr="002244F3">
        <w:t xml:space="preserve">times </w:t>
      </w:r>
      <w:r>
        <w:t>as</w:t>
      </w:r>
      <w:r w:rsidRPr="002244F3">
        <w:t xml:space="preserve"> likely </w:t>
      </w:r>
      <w:r>
        <w:t xml:space="preserve">to report having planned their most recent pregnancy, and </w:t>
      </w:r>
      <w:r w:rsidRPr="002244F3">
        <w:t xml:space="preserve">Pacific women </w:t>
      </w:r>
      <w:r>
        <w:t xml:space="preserve">were </w:t>
      </w:r>
      <w:r w:rsidRPr="002244F3">
        <w:t xml:space="preserve">0.8 times as likely </w:t>
      </w:r>
      <w:r>
        <w:t>as</w:t>
      </w:r>
      <w:r w:rsidRPr="002244F3">
        <w:t xml:space="preserve"> non-Pacific</w:t>
      </w:r>
      <w:r>
        <w:t xml:space="preserve"> women to have done so.</w:t>
      </w:r>
    </w:p>
    <w:p w14:paraId="5ACC6720" w14:textId="77777777" w:rsidR="00EE1384" w:rsidRDefault="00EE1384" w:rsidP="00EE1384"/>
    <w:p w14:paraId="6E9D1435" w14:textId="77777777" w:rsidR="0083076E" w:rsidRDefault="0083076E" w:rsidP="00EE1384">
      <w:r w:rsidRPr="002244F3">
        <w:t xml:space="preserve">Māori women were 1.7 times as likely to </w:t>
      </w:r>
      <w:r>
        <w:t xml:space="preserve">make an </w:t>
      </w:r>
      <w:r w:rsidR="0074674F">
        <w:t>‘</w:t>
      </w:r>
      <w:r w:rsidRPr="002244F3">
        <w:t>ambivalent</w:t>
      </w:r>
      <w:r w:rsidR="0074674F">
        <w:t>’</w:t>
      </w:r>
      <w:r>
        <w:t xml:space="preserve"> report</w:t>
      </w:r>
      <w:r w:rsidRPr="002244F3">
        <w:t xml:space="preserve"> about </w:t>
      </w:r>
      <w:r>
        <w:t xml:space="preserve">planning </w:t>
      </w:r>
      <w:r w:rsidRPr="002244F3">
        <w:t>their most recent pregnancy as non-Māori</w:t>
      </w:r>
      <w:r>
        <w:t xml:space="preserve"> women;</w:t>
      </w:r>
      <w:r w:rsidRPr="002244F3">
        <w:t xml:space="preserve"> Pacific women </w:t>
      </w:r>
      <w:r>
        <w:t>were</w:t>
      </w:r>
      <w:r w:rsidRPr="002244F3">
        <w:t xml:space="preserve"> 1.5 times as likely as non-Pacific</w:t>
      </w:r>
      <w:r>
        <w:t xml:space="preserve"> women to have done so;</w:t>
      </w:r>
      <w:r w:rsidRPr="002244F3">
        <w:t xml:space="preserve"> and Asian women </w:t>
      </w:r>
      <w:r>
        <w:t xml:space="preserve">were </w:t>
      </w:r>
      <w:r w:rsidRPr="002244F3">
        <w:t>0.6 times as likely as non-Asian</w:t>
      </w:r>
      <w:r>
        <w:t xml:space="preserve"> women to have done so</w:t>
      </w:r>
      <w:r w:rsidRPr="002244F3">
        <w:t>.</w:t>
      </w:r>
    </w:p>
    <w:p w14:paraId="1B1D3070" w14:textId="77777777" w:rsidR="00EE1384" w:rsidRPr="002244F3" w:rsidRDefault="00EE1384" w:rsidP="00EE1384"/>
    <w:p w14:paraId="49D803D7" w14:textId="77777777" w:rsidR="0083076E" w:rsidRPr="0034061C" w:rsidRDefault="0083076E" w:rsidP="00EE1384">
      <w:pPr>
        <w:pStyle w:val="Figure"/>
      </w:pPr>
      <w:bookmarkStart w:id="16" w:name="_Toc13568987"/>
      <w:bookmarkStart w:id="17" w:name="_Toc22302099"/>
      <w:r w:rsidRPr="0034061C">
        <w:lastRenderedPageBreak/>
        <w:t>Figure 4</w:t>
      </w:r>
      <w:r>
        <w:t xml:space="preserve">: </w:t>
      </w:r>
      <w:r w:rsidRPr="00B92915">
        <w:t>Pregnancy planning (among women 16</w:t>
      </w:r>
      <w:r w:rsidR="00EE1384">
        <w:t>–</w:t>
      </w:r>
      <w:r w:rsidRPr="00B92915">
        <w:t xml:space="preserve">44 years old, pregnant at the time of survey or in preceding </w:t>
      </w:r>
      <w:r w:rsidR="00EE1384">
        <w:t>five</w:t>
      </w:r>
      <w:r w:rsidRPr="00B92915">
        <w:t xml:space="preserve"> years)</w:t>
      </w:r>
      <w:r w:rsidRPr="00B41509">
        <w:t>,</w:t>
      </w:r>
      <w:r w:rsidRPr="004B679C">
        <w:t xml:space="preserve"> by</w:t>
      </w:r>
      <w:r w:rsidRPr="0034061C">
        <w:t xml:space="preserve"> ethnic</w:t>
      </w:r>
      <w:r>
        <w:t xml:space="preserve"> group</w:t>
      </w:r>
      <w:bookmarkEnd w:id="16"/>
      <w:bookmarkEnd w:id="17"/>
    </w:p>
    <w:p w14:paraId="7F18300F" w14:textId="77777777" w:rsidR="0083076E" w:rsidRPr="00EE1384" w:rsidRDefault="0019519F" w:rsidP="0019519F">
      <w:r>
        <w:rPr>
          <w:noProof/>
          <w:lang w:eastAsia="en-NZ"/>
        </w:rPr>
        <w:drawing>
          <wp:inline distT="0" distB="0" distL="0" distR="0" wp14:anchorId="48F0C304" wp14:editId="09A4E173">
            <wp:extent cx="5128953" cy="3065748"/>
            <wp:effectExtent l="0" t="0" r="0" b="1905"/>
            <wp:docPr id="16" name="Picture 16" descr="Asian women were most likely to have a planned pregnancy, at close to 70%, followed by European/other women, at about 50%, Pacific women at about 40%, and Māori women at about 30%. Māori were most likely to have an ambivalent pregnancy, at over 50%, followed by Pacific women at about 45%, European/other women at about 30%, and Asian women at about 20%. Māori were also most likely to have an unplanned pregnancy, at almost 20%. European/other women were the second most likely, at about 15%, 12% for Pacific women, and only about 10% for Asian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5362" r="4980" b="7614"/>
                    <a:stretch/>
                  </pic:blipFill>
                  <pic:spPr bwMode="auto">
                    <a:xfrm>
                      <a:off x="0" y="0"/>
                      <a:ext cx="5132823" cy="3068061"/>
                    </a:xfrm>
                    <a:prstGeom prst="rect">
                      <a:avLst/>
                    </a:prstGeom>
                    <a:noFill/>
                    <a:ln>
                      <a:noFill/>
                    </a:ln>
                    <a:extLst>
                      <a:ext uri="{53640926-AAD7-44D8-BBD7-CCE9431645EC}">
                        <a14:shadowObscured xmlns:a14="http://schemas.microsoft.com/office/drawing/2010/main"/>
                      </a:ext>
                    </a:extLst>
                  </pic:spPr>
                </pic:pic>
              </a:graphicData>
            </a:graphic>
          </wp:inline>
        </w:drawing>
      </w:r>
    </w:p>
    <w:p w14:paraId="5DF8B14C" w14:textId="345FEB8C" w:rsidR="0083076E" w:rsidRDefault="0083076E" w:rsidP="00EE1384">
      <w:pPr>
        <w:pStyle w:val="Note"/>
      </w:pPr>
      <w:r>
        <w:t>Note:</w:t>
      </w:r>
      <w:r w:rsidR="0074674F">
        <w:t xml:space="preserve"> </w:t>
      </w:r>
      <w:r w:rsidRPr="00B92915">
        <w:t>The London Measure of Unplanned Pregnancy is made up of six questions about</w:t>
      </w:r>
      <w:r w:rsidR="00B61929">
        <w:t>:</w:t>
      </w:r>
      <w:r w:rsidRPr="00B92915">
        <w:t xml:space="preserve"> contraceptive use</w:t>
      </w:r>
      <w:r w:rsidR="00B61929">
        <w:t>,</w:t>
      </w:r>
      <w:r w:rsidRPr="00B92915">
        <w:t xml:space="preserve"> timing of motherhood, intention to become pregnant, desire for a baby, discussion with a partner, and preconceptual preparations. Each question is scored 0</w:t>
      </w:r>
      <w:r w:rsidR="00EE1384">
        <w:t>–</w:t>
      </w:r>
      <w:r w:rsidRPr="00B92915">
        <w:t>2, and the total score has been grouped with 0</w:t>
      </w:r>
      <w:r w:rsidR="00EE1384">
        <w:t>–</w:t>
      </w:r>
      <w:r w:rsidRPr="00B92915">
        <w:t>3 being classified as unplanned, 4</w:t>
      </w:r>
      <w:r w:rsidR="00EE1384">
        <w:t>–</w:t>
      </w:r>
      <w:r w:rsidRPr="00B92915">
        <w:t>9 as ambivalent, and 10</w:t>
      </w:r>
      <w:r w:rsidR="00EE1384">
        <w:t>–</w:t>
      </w:r>
      <w:r w:rsidRPr="00B92915">
        <w:t>12 as planned.</w:t>
      </w:r>
    </w:p>
    <w:p w14:paraId="28B6A892" w14:textId="77777777" w:rsidR="0083076E" w:rsidRDefault="0083076E" w:rsidP="00EE1384">
      <w:pPr>
        <w:pStyle w:val="Note"/>
      </w:pPr>
      <w:r>
        <w:t>Women</w:t>
      </w:r>
      <w:r w:rsidRPr="000F602C">
        <w:t xml:space="preserve"> who reported more than one ethnic group are counted once in each group reported. This means that the total number of responses for all ethnic groups can be greater than the total number of </w:t>
      </w:r>
      <w:r>
        <w:t>women</w:t>
      </w:r>
      <w:r w:rsidRPr="000F602C">
        <w:t xml:space="preserve"> who stated their ethnicities</w:t>
      </w:r>
      <w:r>
        <w:t>.</w:t>
      </w:r>
    </w:p>
    <w:p w14:paraId="026DBB77" w14:textId="77777777" w:rsidR="0083076E" w:rsidRPr="00B92915" w:rsidRDefault="0083076E" w:rsidP="00EE1384"/>
    <w:p w14:paraId="46BD7037" w14:textId="77777777" w:rsidR="0074674F" w:rsidRDefault="0083076E" w:rsidP="0019519F">
      <w:r w:rsidRPr="0034061C">
        <w:t xml:space="preserve">There was no consistent </w:t>
      </w:r>
      <w:r>
        <w:t>relationship between reported pregnancy planning status</w:t>
      </w:r>
      <w:r w:rsidRPr="0034061C">
        <w:t xml:space="preserve"> in the last five years </w:t>
      </w:r>
      <w:r>
        <w:t>and neighbourhood deprivation.</w:t>
      </w:r>
    </w:p>
    <w:p w14:paraId="6C86B95C" w14:textId="77777777" w:rsidR="00EE1384" w:rsidRDefault="00EE1384" w:rsidP="00EE1384"/>
    <w:p w14:paraId="0781E4ED" w14:textId="77777777" w:rsidR="0083076E" w:rsidRPr="00EE1384" w:rsidRDefault="0083076E" w:rsidP="00EE1384">
      <w:pPr>
        <w:pStyle w:val="Heading1"/>
        <w:ind w:right="-851"/>
        <w:rPr>
          <w:spacing w:val="-15"/>
        </w:rPr>
      </w:pPr>
      <w:bookmarkStart w:id="18" w:name="_Toc536449897"/>
      <w:bookmarkStart w:id="19" w:name="_Toc13568492"/>
      <w:bookmarkStart w:id="20" w:name="_Toc22302090"/>
      <w:r w:rsidRPr="00EE1384">
        <w:rPr>
          <w:spacing w:val="-15"/>
        </w:rPr>
        <w:lastRenderedPageBreak/>
        <w:t>Folic acid supplementation in preparation for pregnancy</w:t>
      </w:r>
      <w:bookmarkEnd w:id="18"/>
      <w:bookmarkEnd w:id="19"/>
      <w:bookmarkEnd w:id="20"/>
    </w:p>
    <w:p w14:paraId="1D381E28" w14:textId="77777777" w:rsidR="00EE1384" w:rsidRDefault="0083076E" w:rsidP="00EE1384">
      <w:r w:rsidRPr="00093568">
        <w:t>The last LMUP question (Barrett et al 2004) in the survey asked women:</w:t>
      </w:r>
    </w:p>
    <w:p w14:paraId="0CE9B801" w14:textId="77777777" w:rsidR="0074674F" w:rsidRDefault="0074674F" w:rsidP="00EE1384">
      <w:pPr>
        <w:pStyle w:val="Quote"/>
      </w:pPr>
      <w:r>
        <w:t>‘</w:t>
      </w:r>
      <w:r w:rsidR="0083076E" w:rsidRPr="00093568">
        <w:t>Before you became pregnant, did you do anything to improve your health in preparation for pregnancy?</w:t>
      </w:r>
    </w:p>
    <w:p w14:paraId="7D44BF2C" w14:textId="77777777" w:rsidR="0083076E" w:rsidRPr="00093568" w:rsidRDefault="00EE1384" w:rsidP="00B2122B">
      <w:pPr>
        <w:spacing w:before="60"/>
        <w:ind w:left="709" w:hanging="425"/>
      </w:pPr>
      <w:r>
        <w:t>1.</w:t>
      </w:r>
      <w:r>
        <w:tab/>
      </w:r>
      <w:r w:rsidR="0083076E" w:rsidRPr="00093568">
        <w:t>Took folic acid tablets/supplements</w:t>
      </w:r>
    </w:p>
    <w:p w14:paraId="5166FFC2" w14:textId="77777777" w:rsidR="0083076E" w:rsidRPr="00093568" w:rsidRDefault="00EE1384" w:rsidP="00B2122B">
      <w:pPr>
        <w:spacing w:before="60"/>
        <w:ind w:left="709" w:hanging="425"/>
      </w:pPr>
      <w:r>
        <w:t>2.</w:t>
      </w:r>
      <w:r>
        <w:tab/>
      </w:r>
      <w:r w:rsidR="0083076E" w:rsidRPr="00093568">
        <w:t>Stopped or cut down smoking</w:t>
      </w:r>
    </w:p>
    <w:p w14:paraId="776E8A38" w14:textId="77777777" w:rsidR="0083076E" w:rsidRPr="00093568" w:rsidRDefault="00EE1384" w:rsidP="00B2122B">
      <w:pPr>
        <w:spacing w:before="60"/>
        <w:ind w:left="709" w:hanging="425"/>
      </w:pPr>
      <w:r>
        <w:t>3.</w:t>
      </w:r>
      <w:r>
        <w:tab/>
      </w:r>
      <w:r w:rsidR="0083076E" w:rsidRPr="00093568">
        <w:t>Stopped or cut down drinking alcohol</w:t>
      </w:r>
    </w:p>
    <w:p w14:paraId="66B970E4" w14:textId="77777777" w:rsidR="0083076E" w:rsidRPr="00093568" w:rsidRDefault="00EE1384" w:rsidP="00B2122B">
      <w:pPr>
        <w:spacing w:before="60"/>
        <w:ind w:left="709" w:hanging="425"/>
      </w:pPr>
      <w:r>
        <w:t>4.</w:t>
      </w:r>
      <w:r>
        <w:tab/>
      </w:r>
      <w:r w:rsidR="0083076E" w:rsidRPr="00093568">
        <w:t>Ate more healthily</w:t>
      </w:r>
    </w:p>
    <w:p w14:paraId="732CC00E" w14:textId="77777777" w:rsidR="0083076E" w:rsidRPr="00093568" w:rsidRDefault="00EE1384" w:rsidP="00B2122B">
      <w:pPr>
        <w:spacing w:before="60"/>
        <w:ind w:left="709" w:hanging="425"/>
      </w:pPr>
      <w:r>
        <w:t>5.</w:t>
      </w:r>
      <w:r>
        <w:tab/>
      </w:r>
      <w:r w:rsidR="0083076E" w:rsidRPr="00093568">
        <w:t>Sought medical/health advice</w:t>
      </w:r>
    </w:p>
    <w:p w14:paraId="16D0C223" w14:textId="77777777" w:rsidR="0083076E" w:rsidRPr="00093568" w:rsidRDefault="00EE1384" w:rsidP="00B2122B">
      <w:pPr>
        <w:spacing w:before="60"/>
        <w:ind w:left="709" w:hanging="425"/>
      </w:pPr>
      <w:r>
        <w:t>6.</w:t>
      </w:r>
      <w:r>
        <w:tab/>
      </w:r>
      <w:r w:rsidR="0083076E" w:rsidRPr="00093568">
        <w:t>Took some other action</w:t>
      </w:r>
    </w:p>
    <w:p w14:paraId="61B485AA" w14:textId="77777777" w:rsidR="0083076E" w:rsidRPr="00093568" w:rsidRDefault="00EE1384" w:rsidP="00B2122B">
      <w:pPr>
        <w:spacing w:before="60"/>
        <w:ind w:left="709" w:hanging="425"/>
      </w:pPr>
      <w:r>
        <w:t>7.</w:t>
      </w:r>
      <w:r>
        <w:tab/>
      </w:r>
      <w:r w:rsidR="0083076E" w:rsidRPr="00093568">
        <w:t>I did not do any of the above before my pregnancy.</w:t>
      </w:r>
      <w:r w:rsidR="0074674F">
        <w:t>’</w:t>
      </w:r>
    </w:p>
    <w:p w14:paraId="6578B980" w14:textId="77777777" w:rsidR="0083076E" w:rsidRPr="00093568" w:rsidRDefault="0083076E" w:rsidP="00EE1384"/>
    <w:p w14:paraId="63714F2C" w14:textId="77777777" w:rsidR="0083076E" w:rsidRPr="00093568" w:rsidRDefault="0083076E" w:rsidP="00EE1384">
      <w:r w:rsidRPr="00093568">
        <w:t>This section focuses on the first item in that list: taking folic acid tablets/supplements.</w:t>
      </w:r>
    </w:p>
    <w:p w14:paraId="0CF72580" w14:textId="77777777" w:rsidR="0083076E" w:rsidRPr="00623166" w:rsidRDefault="0083076E" w:rsidP="00EE1384">
      <w:pPr>
        <w:rPr>
          <w:noProof/>
        </w:rPr>
      </w:pPr>
    </w:p>
    <w:p w14:paraId="0066632A" w14:textId="77777777" w:rsidR="0083076E" w:rsidRPr="0034061C" w:rsidRDefault="0083076E" w:rsidP="00EE1384">
      <w:pPr>
        <w:pStyle w:val="Heading4"/>
        <w:rPr>
          <w:noProof/>
        </w:rPr>
      </w:pPr>
      <w:r w:rsidRPr="0034061C">
        <w:rPr>
          <w:noProof/>
        </w:rPr>
        <w:t xml:space="preserve">About half </w:t>
      </w:r>
      <w:r>
        <w:rPr>
          <w:noProof/>
        </w:rPr>
        <w:t xml:space="preserve">of the </w:t>
      </w:r>
      <w:r w:rsidRPr="0034061C">
        <w:rPr>
          <w:noProof/>
        </w:rPr>
        <w:t>women</w:t>
      </w:r>
      <w:r>
        <w:rPr>
          <w:noProof/>
        </w:rPr>
        <w:t xml:space="preserve"> surveyed reported having</w:t>
      </w:r>
      <w:r w:rsidRPr="0034061C">
        <w:rPr>
          <w:noProof/>
        </w:rPr>
        <w:t xml:space="preserve"> </w:t>
      </w:r>
      <w:r>
        <w:rPr>
          <w:noProof/>
        </w:rPr>
        <w:t xml:space="preserve">taken </w:t>
      </w:r>
      <w:r w:rsidRPr="0034061C">
        <w:rPr>
          <w:noProof/>
        </w:rPr>
        <w:t>folic acid supplement</w:t>
      </w:r>
      <w:r>
        <w:rPr>
          <w:noProof/>
        </w:rPr>
        <w:t>s</w:t>
      </w:r>
      <w:r w:rsidRPr="0034061C">
        <w:rPr>
          <w:noProof/>
        </w:rPr>
        <w:t xml:space="preserve"> before their most recent pregnancy</w:t>
      </w:r>
      <w:r>
        <w:rPr>
          <w:noProof/>
        </w:rPr>
        <w:t xml:space="preserve">; this </w:t>
      </w:r>
      <w:r w:rsidRPr="0034061C">
        <w:rPr>
          <w:noProof/>
        </w:rPr>
        <w:t>was more common among older women</w:t>
      </w:r>
    </w:p>
    <w:p w14:paraId="72F6F68E" w14:textId="77777777" w:rsidR="0074674F" w:rsidRDefault="0083076E" w:rsidP="00EE1384">
      <w:r w:rsidRPr="0034061C">
        <w:t xml:space="preserve">Overall, 48% of women </w:t>
      </w:r>
      <w:r>
        <w:t>reported having taken</w:t>
      </w:r>
      <w:r w:rsidRPr="0034061C">
        <w:t xml:space="preserve"> folic acid tablets/supplements in preparation for their most recent pregnancy in the last five years</w:t>
      </w:r>
      <w:r>
        <w:t>:</w:t>
      </w:r>
    </w:p>
    <w:p w14:paraId="075D9D8D" w14:textId="77777777" w:rsidR="0083076E" w:rsidRDefault="0083076E" w:rsidP="00EE1384">
      <w:pPr>
        <w:pStyle w:val="Bullet"/>
      </w:pPr>
      <w:r w:rsidRPr="0034061C">
        <w:t>21</w:t>
      </w:r>
      <w:r>
        <w:t>%</w:t>
      </w:r>
      <w:r w:rsidRPr="0034061C">
        <w:t xml:space="preserve"> of women aged 16</w:t>
      </w:r>
      <w:r>
        <w:t>–</w:t>
      </w:r>
      <w:r w:rsidRPr="0034061C">
        <w:t>24</w:t>
      </w:r>
      <w:r>
        <w:t xml:space="preserve"> years</w:t>
      </w:r>
    </w:p>
    <w:p w14:paraId="2D71E4BE" w14:textId="77777777" w:rsidR="0074674F" w:rsidRDefault="0083076E" w:rsidP="00EE1384">
      <w:pPr>
        <w:pStyle w:val="Bullet"/>
      </w:pPr>
      <w:r w:rsidRPr="0034061C">
        <w:t xml:space="preserve">about half (47%) </w:t>
      </w:r>
      <w:r>
        <w:t xml:space="preserve">of women </w:t>
      </w:r>
      <w:r w:rsidRPr="0034061C">
        <w:t>aged 25</w:t>
      </w:r>
      <w:r>
        <w:t>–</w:t>
      </w:r>
      <w:r w:rsidRPr="0034061C">
        <w:t>34</w:t>
      </w:r>
      <w:r>
        <w:t xml:space="preserve"> years</w:t>
      </w:r>
    </w:p>
    <w:p w14:paraId="0561218C" w14:textId="77777777" w:rsidR="0083076E" w:rsidRPr="0034061C" w:rsidRDefault="0083076E" w:rsidP="00EE1384">
      <w:pPr>
        <w:pStyle w:val="Bullet"/>
      </w:pPr>
      <w:r w:rsidRPr="0034061C">
        <w:t>63</w:t>
      </w:r>
      <w:r>
        <w:t>% of women</w:t>
      </w:r>
      <w:r w:rsidRPr="0034061C">
        <w:t xml:space="preserve"> aged 35</w:t>
      </w:r>
      <w:r>
        <w:t>–</w:t>
      </w:r>
      <w:r w:rsidRPr="0034061C">
        <w:t>44</w:t>
      </w:r>
      <w:r>
        <w:t xml:space="preserve"> years</w:t>
      </w:r>
      <w:r w:rsidRPr="0034061C">
        <w:t>.</w:t>
      </w:r>
    </w:p>
    <w:p w14:paraId="7A50A723" w14:textId="77777777" w:rsidR="0083076E" w:rsidRPr="0074674F" w:rsidRDefault="0083076E" w:rsidP="00EE1384"/>
    <w:p w14:paraId="0328DB29" w14:textId="77777777" w:rsidR="0083076E" w:rsidRPr="0034061C" w:rsidRDefault="0083076E" w:rsidP="00EE1384">
      <w:pPr>
        <w:pStyle w:val="Figure"/>
      </w:pPr>
      <w:bookmarkStart w:id="21" w:name="_Toc13568988"/>
      <w:bookmarkStart w:id="22" w:name="_Toc22302100"/>
      <w:r w:rsidRPr="0034061C">
        <w:lastRenderedPageBreak/>
        <w:t>Figure 5</w:t>
      </w:r>
      <w:r>
        <w:t xml:space="preserve">: </w:t>
      </w:r>
      <w:r w:rsidRPr="00B92915">
        <w:t>Took folic acid in preparation for pregnancy (among women 16</w:t>
      </w:r>
      <w:r w:rsidR="00EE1384">
        <w:t>–</w:t>
      </w:r>
      <w:r w:rsidRPr="00B92915">
        <w:t xml:space="preserve">44 years old, pregnant at the </w:t>
      </w:r>
      <w:r w:rsidR="00EE1384">
        <w:t>time of survey or in preceding five</w:t>
      </w:r>
      <w:r w:rsidRPr="00B92915">
        <w:t xml:space="preserve"> years)</w:t>
      </w:r>
      <w:r w:rsidRPr="0034061C">
        <w:t>, by age group</w:t>
      </w:r>
      <w:bookmarkEnd w:id="21"/>
      <w:bookmarkEnd w:id="22"/>
    </w:p>
    <w:p w14:paraId="516C67AB" w14:textId="77777777" w:rsidR="0083076E" w:rsidRPr="00EE1384" w:rsidRDefault="0019519F" w:rsidP="0019519F">
      <w:r>
        <w:rPr>
          <w:noProof/>
          <w:lang w:eastAsia="en-NZ"/>
        </w:rPr>
        <w:drawing>
          <wp:inline distT="0" distB="0" distL="0" distR="0" wp14:anchorId="6E3E25BD" wp14:editId="2E25CAEC">
            <wp:extent cx="5122124" cy="3183774"/>
            <wp:effectExtent l="0" t="0" r="2540" b="0"/>
            <wp:docPr id="17" name="Picture 17" descr="Folic acid supplements were most common among women 35-44, where about 60% of women reported taking it. About 45% of women 25-34 took it, and only about 20% of 16-24 year o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b="4762"/>
                    <a:stretch/>
                  </pic:blipFill>
                  <pic:spPr bwMode="auto">
                    <a:xfrm>
                      <a:off x="0" y="0"/>
                      <a:ext cx="5124679" cy="3185362"/>
                    </a:xfrm>
                    <a:prstGeom prst="rect">
                      <a:avLst/>
                    </a:prstGeom>
                    <a:noFill/>
                    <a:ln>
                      <a:noFill/>
                    </a:ln>
                    <a:extLst>
                      <a:ext uri="{53640926-AAD7-44D8-BBD7-CCE9431645EC}">
                        <a14:shadowObscured xmlns:a14="http://schemas.microsoft.com/office/drawing/2010/main"/>
                      </a:ext>
                    </a:extLst>
                  </pic:spPr>
                </pic:pic>
              </a:graphicData>
            </a:graphic>
          </wp:inline>
        </w:drawing>
      </w:r>
    </w:p>
    <w:p w14:paraId="46D1F8AB" w14:textId="77777777" w:rsidR="00EE1384" w:rsidRDefault="00EE1384" w:rsidP="0019519F">
      <w:pPr>
        <w:rPr>
          <w:noProof/>
        </w:rPr>
      </w:pPr>
    </w:p>
    <w:p w14:paraId="003D9809" w14:textId="77777777" w:rsidR="0074674F" w:rsidRDefault="0083076E" w:rsidP="00B2122B">
      <w:pPr>
        <w:pStyle w:val="Heading4"/>
        <w:rPr>
          <w:noProof/>
        </w:rPr>
      </w:pPr>
      <w:r w:rsidRPr="0034061C">
        <w:rPr>
          <w:noProof/>
        </w:rPr>
        <w:t xml:space="preserve">Māori and Pacific women were less likely to </w:t>
      </w:r>
      <w:r>
        <w:rPr>
          <w:noProof/>
        </w:rPr>
        <w:t>report having</w:t>
      </w:r>
      <w:r w:rsidRPr="0034061C">
        <w:rPr>
          <w:noProof/>
        </w:rPr>
        <w:t xml:space="preserve"> taken folic acid supplements prior to their most recent pregnancy</w:t>
      </w:r>
    </w:p>
    <w:p w14:paraId="55FE3190" w14:textId="77777777" w:rsidR="0074674F" w:rsidRDefault="0083076E" w:rsidP="00B2122B">
      <w:pPr>
        <w:pStyle w:val="Bullet"/>
      </w:pPr>
      <w:r w:rsidRPr="00093568">
        <w:t>Fewer Māori (34%) and Pacific (31%) women reported having taken folic acid tablets/supplements in preparation for their most recent pregnancy in the last five years than Asian women (54%) and European/other women (50%) (Figure 6).</w:t>
      </w:r>
    </w:p>
    <w:p w14:paraId="13C0462C" w14:textId="77777777" w:rsidR="0074674F" w:rsidRDefault="0083076E" w:rsidP="00B2122B">
      <w:pPr>
        <w:pStyle w:val="Bullet"/>
      </w:pPr>
      <w:r w:rsidRPr="00093568">
        <w:t>After adjustment for age, Māori women were 0.8 times as likely to report having taken folic acid tablets/supplements prior to their most recent pregnancy in the last five years as non-Māori women, and Pacific women 0.7 times as likely as non-Pacific women to have done so.</w:t>
      </w:r>
    </w:p>
    <w:p w14:paraId="5250B437" w14:textId="77777777" w:rsidR="0083076E" w:rsidRDefault="0083076E" w:rsidP="00B2122B"/>
    <w:p w14:paraId="7D1E7E97" w14:textId="77777777" w:rsidR="0074674F" w:rsidRDefault="0083076E" w:rsidP="00B2122B">
      <w:pPr>
        <w:pStyle w:val="Figure"/>
      </w:pPr>
      <w:bookmarkStart w:id="23" w:name="_Toc13568989"/>
      <w:bookmarkStart w:id="24" w:name="_Toc22302101"/>
      <w:r w:rsidRPr="0034061C">
        <w:lastRenderedPageBreak/>
        <w:t>Figure 6</w:t>
      </w:r>
      <w:r>
        <w:t>:</w:t>
      </w:r>
      <w:r w:rsidR="0074674F">
        <w:t xml:space="preserve"> </w:t>
      </w:r>
      <w:r w:rsidRPr="00B92915">
        <w:t>Took folic acid in preparation for pregnancy (among women 16</w:t>
      </w:r>
      <w:r w:rsidR="00B2122B">
        <w:t>–</w:t>
      </w:r>
      <w:r w:rsidRPr="00B92915">
        <w:t xml:space="preserve">44 years old, pregnant at the time of survey or in preceding </w:t>
      </w:r>
      <w:r w:rsidR="00B2122B">
        <w:t>five</w:t>
      </w:r>
      <w:r w:rsidRPr="00B92915">
        <w:t xml:space="preserve"> years), by </w:t>
      </w:r>
      <w:r>
        <w:t>ethnic</w:t>
      </w:r>
      <w:r w:rsidRPr="00B92915">
        <w:t xml:space="preserve"> group</w:t>
      </w:r>
      <w:bookmarkEnd w:id="23"/>
      <w:bookmarkEnd w:id="24"/>
    </w:p>
    <w:p w14:paraId="15EB542E" w14:textId="77777777" w:rsidR="0083076E" w:rsidRPr="00B2122B" w:rsidRDefault="0019519F" w:rsidP="0019519F">
      <w:r>
        <w:rPr>
          <w:noProof/>
          <w:lang w:eastAsia="en-NZ"/>
        </w:rPr>
        <w:drawing>
          <wp:inline distT="0" distB="0" distL="0" distR="0" wp14:anchorId="2259D66C" wp14:editId="0E4162BC">
            <wp:extent cx="5107480" cy="3183774"/>
            <wp:effectExtent l="0" t="0" r="0" b="0"/>
            <wp:docPr id="18" name="Picture 18" descr="Over 50% of Asian women took folic acid. Just under 50% of European/other women took folic acid, about 35% of Māori women, and about 30% of Pacific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b="4489"/>
                    <a:stretch/>
                  </pic:blipFill>
                  <pic:spPr bwMode="auto">
                    <a:xfrm>
                      <a:off x="0" y="0"/>
                      <a:ext cx="5119053" cy="3190988"/>
                    </a:xfrm>
                    <a:prstGeom prst="rect">
                      <a:avLst/>
                    </a:prstGeom>
                    <a:noFill/>
                    <a:ln>
                      <a:noFill/>
                    </a:ln>
                    <a:extLst>
                      <a:ext uri="{53640926-AAD7-44D8-BBD7-CCE9431645EC}">
                        <a14:shadowObscured xmlns:a14="http://schemas.microsoft.com/office/drawing/2010/main"/>
                      </a:ext>
                    </a:extLst>
                  </pic:spPr>
                </pic:pic>
              </a:graphicData>
            </a:graphic>
          </wp:inline>
        </w:drawing>
      </w:r>
    </w:p>
    <w:p w14:paraId="00091CCA" w14:textId="77777777" w:rsidR="0083076E" w:rsidRDefault="0083076E" w:rsidP="00B2122B">
      <w:pPr>
        <w:pStyle w:val="Note"/>
      </w:pPr>
      <w:r>
        <w:t>Note: Women</w:t>
      </w:r>
      <w:r w:rsidRPr="000F602C">
        <w:t xml:space="preserve"> who reported more than one ethnic group are counted once in each group reported. This means that the total number of responses for all ethnic groups can be greater than the total number of </w:t>
      </w:r>
      <w:r>
        <w:t>women</w:t>
      </w:r>
      <w:r w:rsidRPr="000F602C">
        <w:t xml:space="preserve"> who stated their ethnicities</w:t>
      </w:r>
      <w:r w:rsidR="00B2122B">
        <w:t>.</w:t>
      </w:r>
    </w:p>
    <w:p w14:paraId="78A22E12" w14:textId="77777777" w:rsidR="0083076E" w:rsidRPr="0074674F" w:rsidRDefault="0083076E" w:rsidP="00B2122B"/>
    <w:p w14:paraId="00CE6DB1" w14:textId="77777777" w:rsidR="0074674F" w:rsidRDefault="0083076E" w:rsidP="00B2122B">
      <w:r>
        <w:t xml:space="preserve">The percentage of women reporting having taken folic acid tablets/supplements prior to their most recent pregnancy did not differ by neighbourhood deprivation, after adjustment </w:t>
      </w:r>
      <w:r w:rsidRPr="0034061C">
        <w:t>for age and ethnicity.</w:t>
      </w:r>
    </w:p>
    <w:p w14:paraId="0A52D7E0" w14:textId="77777777" w:rsidR="00B2122B" w:rsidRDefault="00B2122B" w:rsidP="00B2122B"/>
    <w:p w14:paraId="2730652C" w14:textId="77777777" w:rsidR="0083076E" w:rsidRPr="00093568" w:rsidRDefault="0083076E" w:rsidP="00B2122B">
      <w:pPr>
        <w:pStyle w:val="Heading1"/>
        <w:ind w:right="-851"/>
      </w:pPr>
      <w:bookmarkStart w:id="25" w:name="_Toc536449898"/>
      <w:bookmarkStart w:id="26" w:name="_Toc13568493"/>
      <w:bookmarkStart w:id="27" w:name="_Toc22302091"/>
      <w:r w:rsidRPr="00093568">
        <w:lastRenderedPageBreak/>
        <w:t xml:space="preserve">Healthier eating </w:t>
      </w:r>
      <w:bookmarkEnd w:id="25"/>
      <w:r w:rsidRPr="00093568">
        <w:t>in preparation for pregnancy</w:t>
      </w:r>
      <w:bookmarkEnd w:id="26"/>
      <w:bookmarkEnd w:id="27"/>
    </w:p>
    <w:p w14:paraId="06A62231" w14:textId="77777777" w:rsidR="00B2122B" w:rsidRDefault="0083076E" w:rsidP="00B2122B">
      <w:r w:rsidRPr="00093568">
        <w:t>The last LMUP question in the survey asked women:</w:t>
      </w:r>
    </w:p>
    <w:p w14:paraId="2E7A5B6D" w14:textId="77777777" w:rsidR="0074674F" w:rsidRDefault="0074674F" w:rsidP="00B2122B">
      <w:pPr>
        <w:pStyle w:val="Quote"/>
      </w:pPr>
      <w:r>
        <w:t>‘</w:t>
      </w:r>
      <w:r w:rsidR="0083076E" w:rsidRPr="00093568">
        <w:t>Before you became pregnant, did you do anything to improve your health in preparation for pregnancy?</w:t>
      </w:r>
    </w:p>
    <w:p w14:paraId="27122779" w14:textId="77777777" w:rsidR="0083076E" w:rsidRPr="00093568" w:rsidRDefault="00B2122B" w:rsidP="00B2122B">
      <w:pPr>
        <w:spacing w:before="60"/>
        <w:ind w:left="709" w:hanging="425"/>
      </w:pPr>
      <w:r>
        <w:t>1.</w:t>
      </w:r>
      <w:r>
        <w:tab/>
      </w:r>
      <w:r w:rsidR="0083076E" w:rsidRPr="00093568">
        <w:t>Took folic acid tablets/supplements</w:t>
      </w:r>
    </w:p>
    <w:p w14:paraId="7E8117FF" w14:textId="77777777" w:rsidR="0083076E" w:rsidRPr="00093568" w:rsidRDefault="00B2122B" w:rsidP="00B2122B">
      <w:pPr>
        <w:spacing w:before="60"/>
        <w:ind w:left="709" w:hanging="425"/>
      </w:pPr>
      <w:r>
        <w:t>2.</w:t>
      </w:r>
      <w:r>
        <w:tab/>
      </w:r>
      <w:r w:rsidR="0083076E" w:rsidRPr="00093568">
        <w:t>Stopped or cut down smoking</w:t>
      </w:r>
    </w:p>
    <w:p w14:paraId="39827B53" w14:textId="77777777" w:rsidR="0083076E" w:rsidRPr="00093568" w:rsidRDefault="00B2122B" w:rsidP="00B2122B">
      <w:pPr>
        <w:spacing w:before="60"/>
        <w:ind w:left="709" w:hanging="425"/>
      </w:pPr>
      <w:r>
        <w:t>3.</w:t>
      </w:r>
      <w:r>
        <w:tab/>
      </w:r>
      <w:r w:rsidR="0083076E" w:rsidRPr="00093568">
        <w:t>Stopped or cut down drinking alcohol</w:t>
      </w:r>
    </w:p>
    <w:p w14:paraId="5DC1EDC0" w14:textId="77777777" w:rsidR="0083076E" w:rsidRPr="00093568" w:rsidRDefault="00B2122B" w:rsidP="00B2122B">
      <w:pPr>
        <w:spacing w:before="60"/>
        <w:ind w:left="709" w:hanging="425"/>
      </w:pPr>
      <w:r>
        <w:t>4.</w:t>
      </w:r>
      <w:r>
        <w:tab/>
      </w:r>
      <w:r w:rsidR="0083076E" w:rsidRPr="00093568">
        <w:t>Ate more healthily</w:t>
      </w:r>
    </w:p>
    <w:p w14:paraId="73CACD57" w14:textId="77777777" w:rsidR="0083076E" w:rsidRPr="00093568" w:rsidRDefault="00B2122B" w:rsidP="00B2122B">
      <w:pPr>
        <w:spacing w:before="60"/>
        <w:ind w:left="709" w:hanging="425"/>
      </w:pPr>
      <w:r>
        <w:t>5.</w:t>
      </w:r>
      <w:r>
        <w:tab/>
      </w:r>
      <w:r w:rsidR="0083076E" w:rsidRPr="00093568">
        <w:t>Sought medical/health advice</w:t>
      </w:r>
    </w:p>
    <w:p w14:paraId="463486B4" w14:textId="77777777" w:rsidR="0083076E" w:rsidRPr="00093568" w:rsidRDefault="00B2122B" w:rsidP="00B2122B">
      <w:pPr>
        <w:spacing w:before="60"/>
        <w:ind w:left="709" w:hanging="425"/>
      </w:pPr>
      <w:r>
        <w:t>6.</w:t>
      </w:r>
      <w:r>
        <w:tab/>
      </w:r>
      <w:r w:rsidR="0083076E" w:rsidRPr="00093568">
        <w:t>Took some other action</w:t>
      </w:r>
    </w:p>
    <w:p w14:paraId="68208A38" w14:textId="77777777" w:rsidR="0083076E" w:rsidRPr="00093568" w:rsidRDefault="00B2122B" w:rsidP="00B2122B">
      <w:pPr>
        <w:spacing w:before="60"/>
        <w:ind w:left="709" w:hanging="425"/>
      </w:pPr>
      <w:r>
        <w:t>7.</w:t>
      </w:r>
      <w:r>
        <w:tab/>
      </w:r>
      <w:r w:rsidR="0083076E" w:rsidRPr="00093568">
        <w:t>I did not do any of the above before my pregnancy.</w:t>
      </w:r>
      <w:r w:rsidR="0074674F">
        <w:t>’</w:t>
      </w:r>
    </w:p>
    <w:p w14:paraId="43637696" w14:textId="77777777" w:rsidR="0083076E" w:rsidRPr="00093568" w:rsidRDefault="0083076E" w:rsidP="00B2122B"/>
    <w:p w14:paraId="59C93614" w14:textId="77777777" w:rsidR="0083076E" w:rsidRPr="00093568" w:rsidRDefault="0083076E" w:rsidP="00B2122B">
      <w:r w:rsidRPr="00093568">
        <w:t>This section focuses on the fourth item in that list: eating more healthily.</w:t>
      </w:r>
    </w:p>
    <w:p w14:paraId="172C7216" w14:textId="77777777" w:rsidR="0083076E" w:rsidRPr="0034061C" w:rsidRDefault="0083076E" w:rsidP="00B2122B"/>
    <w:p w14:paraId="1F218126" w14:textId="77777777" w:rsidR="0083076E" w:rsidRPr="00D046B7" w:rsidRDefault="0083076E" w:rsidP="00B2122B">
      <w:pPr>
        <w:pStyle w:val="Heading4"/>
        <w:rPr>
          <w:noProof/>
        </w:rPr>
      </w:pPr>
      <w:r>
        <w:rPr>
          <w:noProof/>
        </w:rPr>
        <w:t>One-</w:t>
      </w:r>
      <w:r w:rsidRPr="00D046B7">
        <w:rPr>
          <w:noProof/>
        </w:rPr>
        <w:t xml:space="preserve">third of women </w:t>
      </w:r>
      <w:r>
        <w:rPr>
          <w:noProof/>
        </w:rPr>
        <w:t xml:space="preserve">reported having eaten </w:t>
      </w:r>
      <w:r w:rsidRPr="00D046B7">
        <w:rPr>
          <w:noProof/>
        </w:rPr>
        <w:t>more healthily prior to their most recent pregnancy</w:t>
      </w:r>
    </w:p>
    <w:p w14:paraId="63644966" w14:textId="77777777" w:rsidR="0074674F" w:rsidRDefault="0083076E" w:rsidP="00B2122B">
      <w:r w:rsidRPr="00093568">
        <w:t>Overall, 33% of women reported having eaten more healthily in preparation for their most recent pregnancy in the last five years:</w:t>
      </w:r>
    </w:p>
    <w:p w14:paraId="1960A98B" w14:textId="77777777" w:rsidR="0083076E" w:rsidRPr="00093568" w:rsidRDefault="0083076E" w:rsidP="00B2122B">
      <w:pPr>
        <w:pStyle w:val="Bullet"/>
      </w:pPr>
      <w:r w:rsidRPr="00093568">
        <w:t>16</w:t>
      </w:r>
      <w:r>
        <w:t>%</w:t>
      </w:r>
      <w:r w:rsidRPr="00093568">
        <w:t xml:space="preserve"> of women aged 16–24 years</w:t>
      </w:r>
    </w:p>
    <w:p w14:paraId="2C550B05" w14:textId="77777777" w:rsidR="0074674F" w:rsidRDefault="0083076E" w:rsidP="00B2122B">
      <w:pPr>
        <w:pStyle w:val="Bullet"/>
      </w:pPr>
      <w:r w:rsidRPr="00093568">
        <w:t>32</w:t>
      </w:r>
      <w:r>
        <w:t>%</w:t>
      </w:r>
      <w:r w:rsidRPr="00093568">
        <w:t xml:space="preserve"> of women aged 25–34 years</w:t>
      </w:r>
    </w:p>
    <w:p w14:paraId="55948A45" w14:textId="77777777" w:rsidR="0074674F" w:rsidRDefault="0083076E" w:rsidP="00B2122B">
      <w:pPr>
        <w:pStyle w:val="Bullet"/>
      </w:pPr>
      <w:r w:rsidRPr="00093568">
        <w:t>42</w:t>
      </w:r>
      <w:r>
        <w:t>%</w:t>
      </w:r>
      <w:r w:rsidRPr="00093568">
        <w:t xml:space="preserve"> of women aged 35–44 years (Figure 7).</w:t>
      </w:r>
    </w:p>
    <w:p w14:paraId="3E894F89" w14:textId="77777777" w:rsidR="0083076E" w:rsidRDefault="0083076E" w:rsidP="00B2122B"/>
    <w:p w14:paraId="34BD05C6" w14:textId="77777777" w:rsidR="0074674F" w:rsidRDefault="0083076E" w:rsidP="00B2122B">
      <w:pPr>
        <w:pStyle w:val="Figure"/>
      </w:pPr>
      <w:bookmarkStart w:id="28" w:name="_Toc13568990"/>
      <w:bookmarkStart w:id="29" w:name="_Toc22302102"/>
      <w:r w:rsidRPr="00D046B7">
        <w:lastRenderedPageBreak/>
        <w:t>Figure 7</w:t>
      </w:r>
      <w:r>
        <w:t>:</w:t>
      </w:r>
      <w:r w:rsidR="0074674F">
        <w:t xml:space="preserve"> </w:t>
      </w:r>
      <w:r w:rsidRPr="00B92915">
        <w:t>Healthier eating in preparation for pregnancy (among women 16</w:t>
      </w:r>
      <w:r w:rsidR="00B2122B">
        <w:t>–</w:t>
      </w:r>
      <w:r w:rsidRPr="00B92915">
        <w:t xml:space="preserve">44 years old, pregnant at the time of survey or in preceding </w:t>
      </w:r>
      <w:r w:rsidR="00B2122B">
        <w:t>five</w:t>
      </w:r>
      <w:r w:rsidRPr="00B92915">
        <w:t xml:space="preserve"> years)</w:t>
      </w:r>
      <w:r w:rsidRPr="00D046B7">
        <w:t>, by age group</w:t>
      </w:r>
      <w:bookmarkEnd w:id="28"/>
      <w:bookmarkEnd w:id="29"/>
    </w:p>
    <w:p w14:paraId="52934FF3" w14:textId="77777777" w:rsidR="0083076E" w:rsidRPr="00B2122B" w:rsidRDefault="006F2430" w:rsidP="006F2430">
      <w:pPr>
        <w:rPr>
          <w:rFonts w:eastAsiaTheme="minorHAnsi"/>
        </w:rPr>
      </w:pPr>
      <w:r>
        <w:rPr>
          <w:rFonts w:eastAsiaTheme="minorHAnsi"/>
          <w:noProof/>
          <w:lang w:eastAsia="en-NZ"/>
        </w:rPr>
        <w:drawing>
          <wp:inline distT="0" distB="0" distL="0" distR="0" wp14:anchorId="3617BC81" wp14:editId="6D2F7A77">
            <wp:extent cx="5117471" cy="3192087"/>
            <wp:effectExtent l="0" t="0" r="6985" b="8890"/>
            <wp:docPr id="19" name="Picture 19" descr="About 40% of women 35-44 reported eating healthier in preparation for pregnancy. The same was true for about 33% of women 25-34 and 15% of women 1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b="4427"/>
                    <a:stretch/>
                  </pic:blipFill>
                  <pic:spPr bwMode="auto">
                    <a:xfrm>
                      <a:off x="0" y="0"/>
                      <a:ext cx="5126875" cy="3197953"/>
                    </a:xfrm>
                    <a:prstGeom prst="rect">
                      <a:avLst/>
                    </a:prstGeom>
                    <a:noFill/>
                    <a:ln>
                      <a:noFill/>
                    </a:ln>
                    <a:extLst>
                      <a:ext uri="{53640926-AAD7-44D8-BBD7-CCE9431645EC}">
                        <a14:shadowObscured xmlns:a14="http://schemas.microsoft.com/office/drawing/2010/main"/>
                      </a:ext>
                    </a:extLst>
                  </pic:spPr>
                </pic:pic>
              </a:graphicData>
            </a:graphic>
          </wp:inline>
        </w:drawing>
      </w:r>
    </w:p>
    <w:p w14:paraId="786F0101" w14:textId="77777777" w:rsidR="0083076E" w:rsidRPr="0074674F" w:rsidRDefault="0083076E" w:rsidP="00B2122B"/>
    <w:p w14:paraId="55867A80" w14:textId="77777777" w:rsidR="0074674F" w:rsidRDefault="0083076E" w:rsidP="00B2122B">
      <w:pPr>
        <w:pStyle w:val="Bullet"/>
      </w:pPr>
      <w:r w:rsidRPr="00093568">
        <w:t>Reports of having eaten more healthily in preparation for their most recent pregnancy were most common among Asian women (39%) and least common among Māori (30%) women. 33</w:t>
      </w:r>
      <w:r>
        <w:t>%</w:t>
      </w:r>
      <w:r w:rsidRPr="00093568">
        <w:t xml:space="preserve"> of Pacific women and 32</w:t>
      </w:r>
      <w:r>
        <w:t>%</w:t>
      </w:r>
      <w:r w:rsidRPr="00093568">
        <w:t xml:space="preserve"> of European/other women reported having done so.</w:t>
      </w:r>
    </w:p>
    <w:p w14:paraId="23165326" w14:textId="77777777" w:rsidR="0083076E" w:rsidRPr="00093568" w:rsidRDefault="0083076E" w:rsidP="00B2122B">
      <w:pPr>
        <w:pStyle w:val="Bullet"/>
      </w:pPr>
      <w:r w:rsidRPr="00093568">
        <w:t>After adjustment for age, there were no differences in women</w:t>
      </w:r>
      <w:r w:rsidR="0074674F">
        <w:t>’</w:t>
      </w:r>
      <w:r w:rsidRPr="00093568">
        <w:t>s reporting they had eaten more healthily in preparation for their most recent pregnancy by ethnicity.</w:t>
      </w:r>
    </w:p>
    <w:p w14:paraId="2A8099B2" w14:textId="77777777" w:rsidR="0083076E" w:rsidRDefault="0083076E" w:rsidP="00B2122B">
      <w:pPr>
        <w:rPr>
          <w:noProof/>
        </w:rPr>
      </w:pPr>
    </w:p>
    <w:p w14:paraId="229500AE" w14:textId="77777777" w:rsidR="0083076E" w:rsidRPr="00D046B7" w:rsidRDefault="0083076E" w:rsidP="00B2122B">
      <w:pPr>
        <w:pStyle w:val="Heading4"/>
        <w:rPr>
          <w:noProof/>
        </w:rPr>
      </w:pPr>
      <w:r w:rsidRPr="00D046B7">
        <w:rPr>
          <w:noProof/>
        </w:rPr>
        <w:t xml:space="preserve">Women living in the most deprived neighbourhoods were less likely to </w:t>
      </w:r>
      <w:r>
        <w:rPr>
          <w:noProof/>
        </w:rPr>
        <w:t>report having</w:t>
      </w:r>
      <w:r w:rsidRPr="00D046B7">
        <w:rPr>
          <w:noProof/>
        </w:rPr>
        <w:t xml:space="preserve"> eaten more healthily in preparation for their most recent pregnancy than those living in the least</w:t>
      </w:r>
      <w:r>
        <w:rPr>
          <w:noProof/>
        </w:rPr>
        <w:t xml:space="preserve"> deprived neighbourhoods</w:t>
      </w:r>
    </w:p>
    <w:p w14:paraId="4947E3D5" w14:textId="77777777" w:rsidR="0074674F" w:rsidRDefault="0083076E" w:rsidP="00B2122B">
      <w:pPr>
        <w:pStyle w:val="Bullet"/>
      </w:pPr>
      <w:r w:rsidRPr="00093568">
        <w:t>One-quarter of women living in the most deprived neighbourhoods reported having eaten more healthily in preparation for their most recent pregnancy, compared with around 39</w:t>
      </w:r>
      <w:r>
        <w:t>%</w:t>
      </w:r>
      <w:r w:rsidR="00B2122B">
        <w:t xml:space="preserve"> </w:t>
      </w:r>
      <w:r w:rsidRPr="00093568">
        <w:t>of women living in the least deprived neighbourhoods.</w:t>
      </w:r>
    </w:p>
    <w:p w14:paraId="65FC4D4D" w14:textId="77777777" w:rsidR="0083076E" w:rsidRPr="00093568" w:rsidRDefault="0083076E" w:rsidP="00B2122B">
      <w:pPr>
        <w:pStyle w:val="Bullet"/>
      </w:pPr>
      <w:r w:rsidRPr="00093568">
        <w:t>After adjusting for age and ethnicity, women living in the most deprived areas were 0.6</w:t>
      </w:r>
      <w:r w:rsidR="00B2122B">
        <w:t> </w:t>
      </w:r>
      <w:r w:rsidRPr="00093568">
        <w:t>times less likely to report having eaten more healthily in preparation for their most recent pregnancy than those living in the least deprived neighbourhoods.</w:t>
      </w:r>
    </w:p>
    <w:p w14:paraId="1B2E6488" w14:textId="77777777" w:rsidR="0083076E" w:rsidRPr="0074674F" w:rsidRDefault="0083076E" w:rsidP="00B2122B"/>
    <w:p w14:paraId="5DD37BEA" w14:textId="77777777" w:rsidR="0083076E" w:rsidRPr="00093568" w:rsidRDefault="0083076E" w:rsidP="00B2122B">
      <w:pPr>
        <w:pStyle w:val="Heading1"/>
      </w:pPr>
      <w:bookmarkStart w:id="30" w:name="_Toc13568494"/>
      <w:bookmarkStart w:id="31" w:name="_Toc22302092"/>
      <w:r w:rsidRPr="00093568">
        <w:lastRenderedPageBreak/>
        <w:t>Interpretation notes</w:t>
      </w:r>
      <w:bookmarkEnd w:id="30"/>
      <w:bookmarkEnd w:id="31"/>
    </w:p>
    <w:p w14:paraId="154596ED" w14:textId="77777777" w:rsidR="0083076E" w:rsidRPr="00093568" w:rsidRDefault="0083076E" w:rsidP="00B2122B">
      <w:r w:rsidRPr="00093568">
        <w:t xml:space="preserve">This section provides some key points for interpreting the survey results presented in this report. For more details about the survey methodology, see the </w:t>
      </w:r>
      <w:r w:rsidRPr="00093568">
        <w:rPr>
          <w:i/>
        </w:rPr>
        <w:t xml:space="preserve">Methodology Report 2014/15: New Zealand Health Survey </w:t>
      </w:r>
      <w:r w:rsidRPr="00093568">
        <w:t>(Ministry of Health 2015b) and</w:t>
      </w:r>
      <w:r w:rsidRPr="00093568">
        <w:rPr>
          <w:i/>
        </w:rPr>
        <w:t xml:space="preserve"> Sexual and Reproductive Health Indicator Interpretation</w:t>
      </w:r>
      <w:r w:rsidRPr="00093568">
        <w:t xml:space="preserve"> </w:t>
      </w:r>
      <w:r w:rsidRPr="00093568">
        <w:rPr>
          <w:i/>
        </w:rPr>
        <w:t xml:space="preserve">Guide 2014/15: New Zealand Health Survey </w:t>
      </w:r>
      <w:r w:rsidRPr="00093568">
        <w:t>(Ministry of Health 2019).</w:t>
      </w:r>
    </w:p>
    <w:p w14:paraId="29BBD08D" w14:textId="77777777" w:rsidR="0083076E" w:rsidRPr="00A838B1" w:rsidRDefault="0083076E" w:rsidP="00B2122B"/>
    <w:p w14:paraId="253C6B85" w14:textId="77777777" w:rsidR="0083076E" w:rsidRPr="00093568" w:rsidRDefault="0083076E" w:rsidP="00B2122B">
      <w:pPr>
        <w:pStyle w:val="Heading3"/>
        <w:rPr>
          <w:b/>
          <w:i/>
        </w:rPr>
      </w:pPr>
      <w:r w:rsidRPr="00093568">
        <w:t>Statistical significance</w:t>
      </w:r>
    </w:p>
    <w:p w14:paraId="19F58CEF" w14:textId="77777777" w:rsidR="0083076E" w:rsidRPr="00093568" w:rsidRDefault="0083076E" w:rsidP="00B2122B">
      <w:r w:rsidRPr="00093568">
        <w:t>Unless otherwise specified, the results discussed in this report only refer to differences that are statistically significant at the 5</w:t>
      </w:r>
      <w:r w:rsidR="00B2122B">
        <w:t>%</w:t>
      </w:r>
      <w:r w:rsidRPr="00093568">
        <w:t xml:space="preserve"> level (</w:t>
      </w:r>
      <w:proofErr w:type="spellStart"/>
      <w:r w:rsidRPr="00093568">
        <w:t>ie</w:t>
      </w:r>
      <w:proofErr w:type="spellEnd"/>
      <w:r w:rsidRPr="00093568">
        <w:t xml:space="preserve">, those with a p-value of less than 0.05). </w:t>
      </w:r>
      <w:r w:rsidR="0074674F">
        <w:t>‘</w:t>
      </w:r>
      <w:r w:rsidRPr="00093568">
        <w:t>Statistically significant</w:t>
      </w:r>
      <w:r w:rsidR="0074674F">
        <w:t>’</w:t>
      </w:r>
      <w:r w:rsidRPr="00093568">
        <w:t xml:space="preserve"> means that the difference between the sample groups is likely to reflect real differences in the population groups, rather than being caused by chance. A statistically significant difference does not necessarily mean the difference between the population groups is meaningful.</w:t>
      </w:r>
    </w:p>
    <w:p w14:paraId="7C2C6877" w14:textId="77777777" w:rsidR="0083076E" w:rsidRPr="00A838B1" w:rsidRDefault="0083076E" w:rsidP="00B2122B"/>
    <w:p w14:paraId="4EB08D8C" w14:textId="77777777" w:rsidR="0083076E" w:rsidRPr="00093568" w:rsidRDefault="0083076E" w:rsidP="00B2122B">
      <w:pPr>
        <w:pStyle w:val="Heading3"/>
        <w:rPr>
          <w:b/>
          <w:i/>
        </w:rPr>
      </w:pPr>
      <w:r w:rsidRPr="00093568">
        <w:t>Confidence intervals</w:t>
      </w:r>
    </w:p>
    <w:p w14:paraId="513F4B13" w14:textId="7A0A2C48" w:rsidR="0083076E" w:rsidRDefault="00AC65A4" w:rsidP="00B2122B">
      <w:r w:rsidRPr="00AC65A4">
        <w:t>We use 95% confidence intervals to show the statistical precision of the estimates. Wider confidence intervals indicate less precise estimates than narrow intervals, caused by higher variation with a sample and/or smaller numbers in a sample. Confidence intervals generally agree with statistical significance. When confidence intervals for two estimates don't overlap, there is a statistically significant difference between the estimates. However</w:t>
      </w:r>
      <w:r>
        <w:t>,</w:t>
      </w:r>
      <w:r w:rsidRPr="00AC65A4">
        <w:t xml:space="preserve"> the opposite may not always be true.</w:t>
      </w:r>
    </w:p>
    <w:p w14:paraId="043005AD" w14:textId="77777777" w:rsidR="0083076E" w:rsidRPr="00093568" w:rsidRDefault="0083076E" w:rsidP="00B2122B">
      <w:pPr>
        <w:pStyle w:val="Heading3"/>
        <w:rPr>
          <w:b/>
          <w:i/>
        </w:rPr>
      </w:pPr>
      <w:r w:rsidRPr="00093568">
        <w:t>Comparing population subgroups</w:t>
      </w:r>
    </w:p>
    <w:p w14:paraId="4156754B" w14:textId="77777777" w:rsidR="0083076E" w:rsidRPr="00093568" w:rsidRDefault="0083076E" w:rsidP="00B2122B">
      <w:r w:rsidRPr="00093568">
        <w:t>This report uses adjusted ratios to test if the prevalence of indicators is statistically significantly different between groups. We have adjusted these ratios for demographic factors that may be influencing the comparison, such as age, gender and ethnicity. The adjusted ratio indicates whe</w:t>
      </w:r>
      <w:bookmarkStart w:id="32" w:name="_GoBack"/>
      <w:bookmarkEnd w:id="32"/>
      <w:r w:rsidRPr="00093568">
        <w:t>ther the results are less or more likely in the group of interest than the comparison group. A ratio of less than 1 indicates that the result is less likely and a ratio greater than 1 indicates that it is more likely.</w:t>
      </w:r>
    </w:p>
    <w:p w14:paraId="2CDEA7F9" w14:textId="77777777" w:rsidR="0083076E" w:rsidRPr="00093568" w:rsidRDefault="0083076E" w:rsidP="00B2122B"/>
    <w:p w14:paraId="74DEBA3E" w14:textId="77777777" w:rsidR="0083076E" w:rsidRPr="00093568" w:rsidRDefault="0083076E" w:rsidP="00B2122B">
      <w:r w:rsidRPr="00093568">
        <w:t xml:space="preserve">The survey uses the New Zealand Index of Deprivation 2013 (NZDep2013) to measure neighbourhood deprivation. The survey groups neighbourhoods into five quintiles (the label </w:t>
      </w:r>
      <w:r w:rsidR="0074674F">
        <w:t>‘</w:t>
      </w:r>
      <w:r w:rsidRPr="00093568">
        <w:t>quintile 1</w:t>
      </w:r>
      <w:r w:rsidR="0074674F">
        <w:t>’</w:t>
      </w:r>
      <w:r w:rsidRPr="00093568">
        <w:t xml:space="preserve"> applies to neighbourhoods with the lowest levels of deprivation, and </w:t>
      </w:r>
      <w:r w:rsidR="0074674F">
        <w:t>‘</w:t>
      </w:r>
      <w:r w:rsidRPr="00093568">
        <w:t>quintile 5</w:t>
      </w:r>
      <w:r w:rsidR="0074674F">
        <w:t>’</w:t>
      </w:r>
      <w:r w:rsidRPr="00093568">
        <w:t xml:space="preserve"> to those with the highest). Indicators are reported for each quintile.</w:t>
      </w:r>
      <w:r w:rsidRPr="00093568" w:rsidDel="005D7206">
        <w:t xml:space="preserve"> </w:t>
      </w:r>
      <w:r w:rsidRPr="00093568">
        <w:t>The adjusted ratios for deprivation compare the highest and lowest deprivation areas, after adjusting for age, ethnic group, gender and the pattern across all five quintiles.</w:t>
      </w:r>
    </w:p>
    <w:p w14:paraId="1F9BE4F8" w14:textId="77777777" w:rsidR="0083076E" w:rsidRDefault="0083076E" w:rsidP="00B2122B"/>
    <w:p w14:paraId="3AABCF18" w14:textId="77777777" w:rsidR="0083076E" w:rsidRPr="00093568" w:rsidRDefault="0083076E" w:rsidP="00B2122B">
      <w:pPr>
        <w:pStyle w:val="Heading3"/>
        <w:rPr>
          <w:b/>
          <w:i/>
        </w:rPr>
      </w:pPr>
      <w:r w:rsidRPr="00093568">
        <w:lastRenderedPageBreak/>
        <w:t>Gender</w:t>
      </w:r>
    </w:p>
    <w:p w14:paraId="6C348CC1" w14:textId="77777777" w:rsidR="0083076E" w:rsidRPr="00093568" w:rsidRDefault="0083076E" w:rsidP="00B2122B">
      <w:r w:rsidRPr="00093568">
        <w:t>Gender is self-defined by respondents in the survey. For some people their gender is not the same as their biological sex at birth. Respondents were asked if they were male or female, and while what these options meant was open to the respondent</w:t>
      </w:r>
      <w:r w:rsidR="0074674F">
        <w:t>’</w:t>
      </w:r>
      <w:r w:rsidRPr="00093568">
        <w:t>s interpretation, gender-diverse options (</w:t>
      </w:r>
      <w:proofErr w:type="spellStart"/>
      <w:r w:rsidRPr="00093568">
        <w:t>eg</w:t>
      </w:r>
      <w:proofErr w:type="spellEnd"/>
      <w:r w:rsidRPr="00093568">
        <w:t xml:space="preserve">, </w:t>
      </w:r>
      <w:r w:rsidR="0074674F">
        <w:t>‘</w:t>
      </w:r>
      <w:r w:rsidRPr="00093568">
        <w:t>gender non-conforming</w:t>
      </w:r>
      <w:r w:rsidR="0074674F">
        <w:t>’</w:t>
      </w:r>
      <w:r w:rsidRPr="00093568">
        <w:t xml:space="preserve"> or </w:t>
      </w:r>
      <w:r w:rsidR="0074674F">
        <w:t>‘</w:t>
      </w:r>
      <w:r w:rsidRPr="00093568">
        <w:t>other</w:t>
      </w:r>
      <w:r w:rsidR="0074674F">
        <w:t>’</w:t>
      </w:r>
      <w:r w:rsidRPr="00093568">
        <w:t xml:space="preserve">) were not available. The Ministry of Health acknowledges the need to improve data collection in this </w:t>
      </w:r>
      <w:proofErr w:type="gramStart"/>
      <w:r w:rsidRPr="00093568">
        <w:t>area, and</w:t>
      </w:r>
      <w:proofErr w:type="gramEnd"/>
      <w:r w:rsidRPr="00093568">
        <w:t xml:space="preserve"> is considering implementing the statistical standard for gender identity in future surveys (Statistics New Zealand 2015).</w:t>
      </w:r>
    </w:p>
    <w:p w14:paraId="3708BB6E" w14:textId="77777777" w:rsidR="0083076E" w:rsidRDefault="0083076E" w:rsidP="00B2122B"/>
    <w:p w14:paraId="650B336A" w14:textId="77777777" w:rsidR="0083076E" w:rsidRPr="00093568" w:rsidRDefault="0083076E" w:rsidP="00B2122B">
      <w:pPr>
        <w:pStyle w:val="Heading3"/>
        <w:rPr>
          <w:b/>
          <w:i/>
        </w:rPr>
      </w:pPr>
      <w:r w:rsidRPr="00093568">
        <w:t>Non-sampling error</w:t>
      </w:r>
    </w:p>
    <w:p w14:paraId="79C05C25" w14:textId="77777777" w:rsidR="0083076E" w:rsidRPr="00093568" w:rsidRDefault="0083076E" w:rsidP="00B2122B">
      <w:r w:rsidRPr="00093568">
        <w:t>The survey results may underestimate or overestimate some indicators because the data is self-reported. The accuracy of a person</w:t>
      </w:r>
      <w:r w:rsidR="0074674F">
        <w:t>’</w:t>
      </w:r>
      <w:r w:rsidRPr="00093568">
        <w:t>s memory may vary depending on many factors, including social norms, the importance of the event being recalled, the individual</w:t>
      </w:r>
      <w:r w:rsidR="0074674F">
        <w:t>’</w:t>
      </w:r>
      <w:r w:rsidRPr="00093568">
        <w:t>s age at the time and the period of time that has passed since the event occurred.</w:t>
      </w:r>
    </w:p>
    <w:p w14:paraId="639BF432" w14:textId="77777777" w:rsidR="0083076E" w:rsidRDefault="0083076E" w:rsidP="00B2122B"/>
    <w:p w14:paraId="70F40CA2" w14:textId="77777777" w:rsidR="0083076E" w:rsidRPr="00093568" w:rsidRDefault="0083076E" w:rsidP="00B2122B">
      <w:pPr>
        <w:pStyle w:val="Heading1"/>
      </w:pPr>
      <w:bookmarkStart w:id="33" w:name="_Toc13568495"/>
      <w:bookmarkStart w:id="34" w:name="_Toc22302093"/>
      <w:r w:rsidRPr="00093568">
        <w:lastRenderedPageBreak/>
        <w:t>Overview of survey methodology</w:t>
      </w:r>
      <w:bookmarkEnd w:id="33"/>
      <w:bookmarkEnd w:id="34"/>
    </w:p>
    <w:p w14:paraId="5D95A753" w14:textId="77777777" w:rsidR="0074674F" w:rsidRDefault="0083076E" w:rsidP="00B2122B">
      <w:r w:rsidRPr="00093568">
        <w:t>This section gives a brief overview of the survey methodology for the New Zealand Health Survey.</w:t>
      </w:r>
    </w:p>
    <w:p w14:paraId="5140FA63" w14:textId="77777777" w:rsidR="00B2122B" w:rsidRDefault="00B2122B" w:rsidP="00B2122B"/>
    <w:p w14:paraId="44D27CA2" w14:textId="77777777" w:rsidR="0083076E" w:rsidRPr="00093568" w:rsidRDefault="0083076E" w:rsidP="00B2122B">
      <w:pPr>
        <w:pStyle w:val="Heading3"/>
        <w:rPr>
          <w:b/>
          <w:i/>
        </w:rPr>
      </w:pPr>
      <w:r w:rsidRPr="00093568">
        <w:t>How were people selected for the survey?</w:t>
      </w:r>
    </w:p>
    <w:p w14:paraId="5A04366E" w14:textId="77777777" w:rsidR="0083076E" w:rsidRPr="00093568" w:rsidRDefault="0083076E" w:rsidP="00B2122B">
      <w:r w:rsidRPr="00093568">
        <w:t xml:space="preserve">The 2014/15 results refer to the sample selected for the period July 2014–June 2015. The survey has a multi-stage sampling design that involves randomly selecting a sample of small geographic areas, households within the selected areas and individuals within the selected households. One adult aged 15 years or older and one child aged 14 years or younger (if there were any) were chosen at random from each selected household. Adults aged 16–74 years who had completed the 2014/15 survey were invited to participate in the Sexual and Reproductive Health module. Further details are available in </w:t>
      </w:r>
      <w:r w:rsidRPr="00093568">
        <w:rPr>
          <w:i/>
        </w:rPr>
        <w:t>The New Zealand Health Survey: Sample design, years 1–3 (2011–2013)</w:t>
      </w:r>
      <w:r w:rsidRPr="00093568">
        <w:t xml:space="preserve"> (Ministry of Health 2011).</w:t>
      </w:r>
    </w:p>
    <w:p w14:paraId="6EA90328" w14:textId="77777777" w:rsidR="0083076E" w:rsidRDefault="0083076E" w:rsidP="00B2122B"/>
    <w:p w14:paraId="64EB16A1" w14:textId="77777777" w:rsidR="0083076E" w:rsidRPr="00093568" w:rsidRDefault="0083076E" w:rsidP="00B2122B">
      <w:pPr>
        <w:pStyle w:val="Heading3"/>
        <w:rPr>
          <w:b/>
          <w:i/>
        </w:rPr>
      </w:pPr>
      <w:r w:rsidRPr="00093568">
        <w:t>How was data collected?</w:t>
      </w:r>
    </w:p>
    <w:p w14:paraId="29D01D7E" w14:textId="77777777" w:rsidR="0083076E" w:rsidRPr="00093568" w:rsidRDefault="0083076E" w:rsidP="00B2122B">
      <w:r w:rsidRPr="00093568">
        <w:t>Professional surveyors from CBG Health Research Ltd collected data in respondents</w:t>
      </w:r>
      <w:r w:rsidR="0074674F">
        <w:t>’</w:t>
      </w:r>
      <w:r w:rsidRPr="00093568">
        <w:t xml:space="preserve"> homes. For the core part of the survey, data was collected through a face-to-face interview. However, participants completed the Sexual and Reproductive Health module by themselves, directly entering responses into a program run on a tablet computer. Surveyors provided minimal </w:t>
      </w:r>
      <w:proofErr w:type="gramStart"/>
      <w:r w:rsidRPr="00093568">
        <w:t>assistance, and</w:t>
      </w:r>
      <w:proofErr w:type="gramEnd"/>
      <w:r w:rsidRPr="00093568">
        <w:t xml:space="preserve"> reiterated that they would not be able to see the answers. Respondents could answer </w:t>
      </w:r>
      <w:r w:rsidR="0074674F">
        <w:t>‘</w:t>
      </w:r>
      <w:r w:rsidRPr="00093568">
        <w:t>Don</w:t>
      </w:r>
      <w:r w:rsidR="0074674F">
        <w:t>’</w:t>
      </w:r>
      <w:r w:rsidRPr="00093568">
        <w:t>t know</w:t>
      </w:r>
      <w:r w:rsidR="0074674F">
        <w:t>’</w:t>
      </w:r>
      <w:r w:rsidRPr="00093568">
        <w:t xml:space="preserve"> or </w:t>
      </w:r>
      <w:r w:rsidR="0074674F">
        <w:t>‘</w:t>
      </w:r>
      <w:r w:rsidRPr="00093568">
        <w:t>Choose not to answer</w:t>
      </w:r>
      <w:r w:rsidR="0074674F">
        <w:t>’</w:t>
      </w:r>
      <w:r w:rsidRPr="00093568">
        <w:t xml:space="preserve"> to any question. If they chose either of those options for the question about having ever had sex with someone of a different sex, then they were not asked to complete the rest of the survey module.</w:t>
      </w:r>
    </w:p>
    <w:p w14:paraId="3008400B" w14:textId="77777777" w:rsidR="0083076E" w:rsidRPr="00EA3E17" w:rsidRDefault="0083076E" w:rsidP="00B2122B"/>
    <w:p w14:paraId="478DB499" w14:textId="77777777" w:rsidR="0083076E" w:rsidRPr="00093568" w:rsidRDefault="0083076E" w:rsidP="00B2122B">
      <w:pPr>
        <w:pStyle w:val="Heading3"/>
        <w:rPr>
          <w:b/>
          <w:i/>
        </w:rPr>
      </w:pPr>
      <w:r w:rsidRPr="00093568">
        <w:t>How many people took part?</w:t>
      </w:r>
    </w:p>
    <w:p w14:paraId="225619D1" w14:textId="77777777" w:rsidR="0083076E" w:rsidRPr="00093568" w:rsidRDefault="0083076E" w:rsidP="00B2122B">
      <w:pPr>
        <w:keepNext/>
      </w:pPr>
      <w:r w:rsidRPr="00093568">
        <w:t xml:space="preserve">11,993 adults aged 16–74 years completed the core 2014/15 survey and were eligible for the Sexual and Reproductive Health module. This report is based on the responses </w:t>
      </w:r>
      <w:r w:rsidRPr="00093568">
        <w:lastRenderedPageBreak/>
        <w:t>from 10,198 adults (or 87% of eligible respondents). Some eligible respondents were not included in the final data set for the following reasons.</w:t>
      </w:r>
    </w:p>
    <w:p w14:paraId="5C291E4C" w14:textId="77777777" w:rsidR="0083076E" w:rsidRPr="00EA3E17" w:rsidRDefault="0083076E" w:rsidP="00B2122B">
      <w:pPr>
        <w:pStyle w:val="Bullet"/>
        <w:keepNext/>
      </w:pPr>
      <w:r w:rsidRPr="00EA3E17">
        <w:t>668 respondents (5.6% of those who were eligible)</w:t>
      </w:r>
      <w:r>
        <w:t xml:space="preserve"> </w:t>
      </w:r>
      <w:r w:rsidRPr="00EA3E17">
        <w:t>did not start the module, either because they refused or because of English language and/or cognitive difficulties</w:t>
      </w:r>
      <w:r>
        <w:t>.</w:t>
      </w:r>
    </w:p>
    <w:p w14:paraId="307C2C5E" w14:textId="77777777" w:rsidR="0083076E" w:rsidRPr="00EA3E17" w:rsidRDefault="0083076E" w:rsidP="00B2122B">
      <w:pPr>
        <w:pStyle w:val="Bullet"/>
        <w:keepNext/>
      </w:pPr>
      <w:r w:rsidRPr="00EA3E17">
        <w:t>991 respondents (6.5% of eligible respondents) started the module but stopped before the end of the module</w:t>
      </w:r>
      <w:r>
        <w:t>.</w:t>
      </w:r>
    </w:p>
    <w:p w14:paraId="26BED510" w14:textId="77777777" w:rsidR="0083076E" w:rsidRPr="00EA3E17" w:rsidRDefault="0083076E" w:rsidP="00B2122B">
      <w:pPr>
        <w:pStyle w:val="Bullet"/>
      </w:pPr>
      <w:r w:rsidRPr="00EA3E17">
        <w:t xml:space="preserve">123 respondents (1.2% of eligible respondents) completed the module but their records were discarded because at least half of their responses were </w:t>
      </w:r>
      <w:r w:rsidR="0074674F">
        <w:t>‘</w:t>
      </w:r>
      <w:r>
        <w:t>D</w:t>
      </w:r>
      <w:r w:rsidRPr="00EA3E17">
        <w:t>on</w:t>
      </w:r>
      <w:r w:rsidR="0074674F">
        <w:t>’</w:t>
      </w:r>
      <w:r w:rsidRPr="00EA3E17">
        <w:t>t know</w:t>
      </w:r>
      <w:r w:rsidR="0074674F">
        <w:t>’</w:t>
      </w:r>
      <w:r w:rsidRPr="004142E5">
        <w:t xml:space="preserve"> </w:t>
      </w:r>
      <w:r w:rsidRPr="00EA3E17">
        <w:t xml:space="preserve">or </w:t>
      </w:r>
      <w:r w:rsidR="0074674F">
        <w:t>‘</w:t>
      </w:r>
      <w:r>
        <w:t>C</w:t>
      </w:r>
      <w:r w:rsidRPr="00EA3E17">
        <w:t>hoose not to answer</w:t>
      </w:r>
      <w:r w:rsidR="0074674F">
        <w:t>’</w:t>
      </w:r>
      <w:r w:rsidRPr="00EA3E17">
        <w:t>.</w:t>
      </w:r>
    </w:p>
    <w:p w14:paraId="02008229" w14:textId="77777777" w:rsidR="0083076E" w:rsidRDefault="0083076E" w:rsidP="00B2122B"/>
    <w:p w14:paraId="688E0CF9" w14:textId="77777777" w:rsidR="0083076E" w:rsidRPr="00093568" w:rsidRDefault="0083076E" w:rsidP="00B2122B">
      <w:r w:rsidRPr="00093568">
        <w:t>Of the people who completed the Sexual and Reproductive Health module, 4,358 gave their gender as male and 5,840 as female. The table below summarises the 10,198 survey respondents by ethnic group.</w:t>
      </w:r>
    </w:p>
    <w:p w14:paraId="2C94A180" w14:textId="77777777" w:rsidR="0083076E" w:rsidRPr="00EA3E17" w:rsidRDefault="0083076E" w:rsidP="00B2122B"/>
    <w:p w14:paraId="5D046B56" w14:textId="653A44E8" w:rsidR="0083076E" w:rsidRPr="00195942" w:rsidRDefault="0083076E" w:rsidP="00B2122B">
      <w:pPr>
        <w:pStyle w:val="Table"/>
        <w:rPr>
          <w:i/>
          <w:iCs/>
        </w:rPr>
      </w:pPr>
      <w:bookmarkStart w:id="35" w:name="_Toc13477686"/>
      <w:bookmarkStart w:id="36" w:name="_Toc22302103"/>
      <w:r w:rsidRPr="0074674F">
        <w:t xml:space="preserve">Table </w:t>
      </w:r>
      <w:r w:rsidR="002B73BA">
        <w:rPr>
          <w:noProof/>
        </w:rPr>
        <w:fldChar w:fldCharType="begin"/>
      </w:r>
      <w:r w:rsidR="002B73BA">
        <w:rPr>
          <w:noProof/>
        </w:rPr>
        <w:instrText xml:space="preserve"> SEQ Table \* ARABIC </w:instrText>
      </w:r>
      <w:r w:rsidR="002B73BA">
        <w:rPr>
          <w:noProof/>
        </w:rPr>
        <w:fldChar w:fldCharType="separate"/>
      </w:r>
      <w:r w:rsidR="00A07F89">
        <w:rPr>
          <w:noProof/>
        </w:rPr>
        <w:t>1</w:t>
      </w:r>
      <w:r w:rsidR="002B73BA">
        <w:rPr>
          <w:noProof/>
        </w:rPr>
        <w:fldChar w:fldCharType="end"/>
      </w:r>
      <w:r w:rsidRPr="00195942">
        <w:t>: Participation in the Sexual and Reproductive Health module of the New Zealand Health Survey, by ethnicity</w:t>
      </w:r>
      <w:bookmarkEnd w:id="35"/>
      <w:bookmarkEnd w:id="36"/>
    </w:p>
    <w:tbl>
      <w:tblPr>
        <w:tblStyle w:val="TableGrid"/>
        <w:tblW w:w="0" w:type="auto"/>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3119"/>
        <w:gridCol w:w="1276"/>
      </w:tblGrid>
      <w:tr w:rsidR="0083076E" w:rsidRPr="00B2122B" w14:paraId="31B417F1" w14:textId="77777777" w:rsidTr="00CA2F65">
        <w:trPr>
          <w:cantSplit/>
        </w:trPr>
        <w:tc>
          <w:tcPr>
            <w:tcW w:w="3119" w:type="dxa"/>
            <w:tcBorders>
              <w:top w:val="nil"/>
              <w:bottom w:val="nil"/>
            </w:tcBorders>
            <w:shd w:val="clear" w:color="auto" w:fill="D9D9D9" w:themeFill="background1" w:themeFillShade="D9"/>
          </w:tcPr>
          <w:p w14:paraId="0D96B928" w14:textId="77777777" w:rsidR="0083076E" w:rsidRPr="00B2122B" w:rsidRDefault="0083076E" w:rsidP="00B2122B">
            <w:pPr>
              <w:pStyle w:val="TableText"/>
              <w:rPr>
                <w:b/>
                <w:lang w:val="en-NZ"/>
              </w:rPr>
            </w:pPr>
            <w:r w:rsidRPr="00B2122B">
              <w:rPr>
                <w:b/>
                <w:lang w:val="en-NZ"/>
              </w:rPr>
              <w:t>Ethnic group</w:t>
            </w:r>
          </w:p>
        </w:tc>
        <w:tc>
          <w:tcPr>
            <w:tcW w:w="1276" w:type="dxa"/>
            <w:tcBorders>
              <w:top w:val="nil"/>
              <w:bottom w:val="nil"/>
            </w:tcBorders>
            <w:shd w:val="clear" w:color="auto" w:fill="D9D9D9" w:themeFill="background1" w:themeFillShade="D9"/>
          </w:tcPr>
          <w:p w14:paraId="6A49F11F" w14:textId="77777777" w:rsidR="0083076E" w:rsidRPr="00B2122B" w:rsidRDefault="0083076E" w:rsidP="00B2122B">
            <w:pPr>
              <w:pStyle w:val="TableText"/>
              <w:jc w:val="center"/>
              <w:rPr>
                <w:b/>
                <w:lang w:val="en-NZ"/>
              </w:rPr>
            </w:pPr>
            <w:r w:rsidRPr="00B2122B">
              <w:rPr>
                <w:b/>
                <w:lang w:val="en-NZ"/>
              </w:rPr>
              <w:t>Number</w:t>
            </w:r>
          </w:p>
        </w:tc>
      </w:tr>
      <w:tr w:rsidR="0083076E" w:rsidRPr="00EA3E17" w14:paraId="32AD4825" w14:textId="77777777" w:rsidTr="00CA2F65">
        <w:trPr>
          <w:cantSplit/>
        </w:trPr>
        <w:tc>
          <w:tcPr>
            <w:tcW w:w="3119" w:type="dxa"/>
            <w:tcBorders>
              <w:top w:val="nil"/>
            </w:tcBorders>
            <w:shd w:val="clear" w:color="auto" w:fill="auto"/>
            <w:vAlign w:val="center"/>
          </w:tcPr>
          <w:p w14:paraId="65073EAF" w14:textId="77777777" w:rsidR="0083076E" w:rsidRPr="0074674F" w:rsidRDefault="0083076E" w:rsidP="00B2122B">
            <w:pPr>
              <w:pStyle w:val="TableText"/>
              <w:rPr>
                <w:lang w:val="en-NZ"/>
              </w:rPr>
            </w:pPr>
            <w:r w:rsidRPr="0074674F">
              <w:rPr>
                <w:lang w:val="en-NZ"/>
              </w:rPr>
              <w:t>Māori</w:t>
            </w:r>
          </w:p>
        </w:tc>
        <w:tc>
          <w:tcPr>
            <w:tcW w:w="1276" w:type="dxa"/>
            <w:tcBorders>
              <w:top w:val="nil"/>
            </w:tcBorders>
            <w:shd w:val="clear" w:color="auto" w:fill="auto"/>
            <w:vAlign w:val="center"/>
          </w:tcPr>
          <w:p w14:paraId="61FC9A03" w14:textId="77777777" w:rsidR="0083076E" w:rsidRPr="0074674F" w:rsidRDefault="0083076E" w:rsidP="00B2122B">
            <w:pPr>
              <w:pStyle w:val="TableText"/>
              <w:tabs>
                <w:tab w:val="decimal" w:pos="793"/>
              </w:tabs>
              <w:rPr>
                <w:lang w:val="en-NZ"/>
              </w:rPr>
            </w:pPr>
            <w:r w:rsidRPr="0074674F">
              <w:rPr>
                <w:lang w:val="en-NZ"/>
              </w:rPr>
              <w:t>2,460</w:t>
            </w:r>
          </w:p>
        </w:tc>
      </w:tr>
      <w:tr w:rsidR="0083076E" w:rsidRPr="00EA3E17" w14:paraId="488DEF30" w14:textId="77777777" w:rsidTr="00CA2F65">
        <w:trPr>
          <w:cantSplit/>
        </w:trPr>
        <w:tc>
          <w:tcPr>
            <w:tcW w:w="3119" w:type="dxa"/>
            <w:shd w:val="clear" w:color="auto" w:fill="auto"/>
            <w:vAlign w:val="center"/>
          </w:tcPr>
          <w:p w14:paraId="3CB5923A" w14:textId="77777777" w:rsidR="0083076E" w:rsidRPr="0074674F" w:rsidRDefault="0083076E" w:rsidP="00B2122B">
            <w:pPr>
              <w:pStyle w:val="TableText"/>
              <w:rPr>
                <w:lang w:val="en-NZ"/>
              </w:rPr>
            </w:pPr>
            <w:r w:rsidRPr="0074674F">
              <w:rPr>
                <w:lang w:val="en-NZ"/>
              </w:rPr>
              <w:t>Pacific</w:t>
            </w:r>
          </w:p>
        </w:tc>
        <w:tc>
          <w:tcPr>
            <w:tcW w:w="1276" w:type="dxa"/>
            <w:shd w:val="clear" w:color="auto" w:fill="auto"/>
            <w:vAlign w:val="center"/>
          </w:tcPr>
          <w:p w14:paraId="1CB78C4C" w14:textId="77777777" w:rsidR="0083076E" w:rsidRPr="0074674F" w:rsidRDefault="0083076E" w:rsidP="00B2122B">
            <w:pPr>
              <w:pStyle w:val="TableText"/>
              <w:tabs>
                <w:tab w:val="decimal" w:pos="793"/>
              </w:tabs>
              <w:rPr>
                <w:lang w:val="en-NZ"/>
              </w:rPr>
            </w:pPr>
            <w:r w:rsidRPr="0074674F">
              <w:rPr>
                <w:lang w:val="en-NZ"/>
              </w:rPr>
              <w:t>619</w:t>
            </w:r>
          </w:p>
        </w:tc>
      </w:tr>
      <w:tr w:rsidR="0083076E" w:rsidRPr="00EA3E17" w14:paraId="5E7DE07C" w14:textId="77777777" w:rsidTr="00CA2F65">
        <w:trPr>
          <w:cantSplit/>
        </w:trPr>
        <w:tc>
          <w:tcPr>
            <w:tcW w:w="3119" w:type="dxa"/>
            <w:shd w:val="clear" w:color="auto" w:fill="auto"/>
            <w:vAlign w:val="center"/>
          </w:tcPr>
          <w:p w14:paraId="081DEB65" w14:textId="77777777" w:rsidR="0083076E" w:rsidRPr="0074674F" w:rsidRDefault="0083076E" w:rsidP="00B2122B">
            <w:pPr>
              <w:pStyle w:val="TableText"/>
              <w:rPr>
                <w:lang w:val="en-NZ"/>
              </w:rPr>
            </w:pPr>
            <w:r w:rsidRPr="0074674F">
              <w:rPr>
                <w:lang w:val="en-NZ"/>
              </w:rPr>
              <w:t>Asian</w:t>
            </w:r>
          </w:p>
        </w:tc>
        <w:tc>
          <w:tcPr>
            <w:tcW w:w="1276" w:type="dxa"/>
            <w:shd w:val="clear" w:color="auto" w:fill="auto"/>
            <w:vAlign w:val="center"/>
          </w:tcPr>
          <w:p w14:paraId="7EDC24D4" w14:textId="77777777" w:rsidR="0083076E" w:rsidRPr="0074674F" w:rsidRDefault="0083076E" w:rsidP="00B2122B">
            <w:pPr>
              <w:pStyle w:val="TableText"/>
              <w:tabs>
                <w:tab w:val="decimal" w:pos="793"/>
              </w:tabs>
              <w:rPr>
                <w:lang w:val="en-NZ"/>
              </w:rPr>
            </w:pPr>
            <w:r w:rsidRPr="0074674F">
              <w:rPr>
                <w:lang w:val="en-NZ"/>
              </w:rPr>
              <w:t>814</w:t>
            </w:r>
          </w:p>
        </w:tc>
      </w:tr>
      <w:tr w:rsidR="0083076E" w:rsidRPr="00EA3E17" w14:paraId="69689D5C" w14:textId="77777777" w:rsidTr="00CA2F65">
        <w:trPr>
          <w:cantSplit/>
        </w:trPr>
        <w:tc>
          <w:tcPr>
            <w:tcW w:w="3119" w:type="dxa"/>
            <w:shd w:val="clear" w:color="auto" w:fill="auto"/>
            <w:vAlign w:val="center"/>
          </w:tcPr>
          <w:p w14:paraId="1E19DE79" w14:textId="77777777" w:rsidR="0083076E" w:rsidRPr="0074674F" w:rsidRDefault="0083076E" w:rsidP="00B2122B">
            <w:pPr>
              <w:pStyle w:val="TableText"/>
              <w:rPr>
                <w:lang w:val="en-NZ"/>
              </w:rPr>
            </w:pPr>
            <w:r w:rsidRPr="0074674F">
              <w:rPr>
                <w:lang w:val="en-NZ"/>
              </w:rPr>
              <w:t>European/Other</w:t>
            </w:r>
          </w:p>
        </w:tc>
        <w:tc>
          <w:tcPr>
            <w:tcW w:w="1276" w:type="dxa"/>
            <w:shd w:val="clear" w:color="auto" w:fill="auto"/>
            <w:vAlign w:val="center"/>
          </w:tcPr>
          <w:p w14:paraId="6178913C" w14:textId="77777777" w:rsidR="0083076E" w:rsidRPr="0074674F" w:rsidRDefault="0083076E" w:rsidP="00B2122B">
            <w:pPr>
              <w:pStyle w:val="TableText"/>
              <w:tabs>
                <w:tab w:val="decimal" w:pos="793"/>
              </w:tabs>
              <w:rPr>
                <w:lang w:val="en-NZ"/>
              </w:rPr>
            </w:pPr>
            <w:r w:rsidRPr="0074674F">
              <w:rPr>
                <w:lang w:val="en-NZ"/>
              </w:rPr>
              <w:t>7,542</w:t>
            </w:r>
          </w:p>
        </w:tc>
      </w:tr>
    </w:tbl>
    <w:p w14:paraId="6D69C835" w14:textId="77777777" w:rsidR="0083076E" w:rsidRDefault="0083076E" w:rsidP="00B2122B">
      <w:pPr>
        <w:pStyle w:val="Note"/>
        <w:rPr>
          <w:lang w:eastAsia="en-US"/>
        </w:rPr>
      </w:pPr>
      <w:r>
        <w:rPr>
          <w:lang w:eastAsia="en-US"/>
        </w:rPr>
        <w:t xml:space="preserve">Note: </w:t>
      </w:r>
      <w:r w:rsidRPr="00F111CA">
        <w:rPr>
          <w:lang w:eastAsia="en-US"/>
        </w:rPr>
        <w:t xml:space="preserve">Adults who reported more than one ethnic group are counted once in each group reported. This means that the total number of responses for all ethnic groups </w:t>
      </w:r>
      <w:r>
        <w:rPr>
          <w:lang w:eastAsia="en-US"/>
        </w:rPr>
        <w:t>can</w:t>
      </w:r>
      <w:r w:rsidRPr="00F111CA">
        <w:rPr>
          <w:lang w:eastAsia="en-US"/>
        </w:rPr>
        <w:t xml:space="preserve"> be greater than the total number of adults who stated their ethnicities.</w:t>
      </w:r>
    </w:p>
    <w:p w14:paraId="0E3287C7" w14:textId="77777777" w:rsidR="0083076E" w:rsidRPr="00EA3E17" w:rsidRDefault="0083076E" w:rsidP="00B2122B"/>
    <w:p w14:paraId="438F8DC6" w14:textId="77777777" w:rsidR="0083076E" w:rsidRPr="00093568" w:rsidRDefault="0083076E" w:rsidP="00B2122B">
      <w:pPr>
        <w:pStyle w:val="Heading3"/>
        <w:rPr>
          <w:b/>
          <w:i/>
        </w:rPr>
      </w:pPr>
      <w:r w:rsidRPr="00093568">
        <w:t>Survey weights</w:t>
      </w:r>
    </w:p>
    <w:p w14:paraId="753EAC69" w14:textId="77777777" w:rsidR="0083076E" w:rsidRPr="00093568" w:rsidRDefault="0083076E" w:rsidP="00B2122B">
      <w:r w:rsidRPr="00093568">
        <w:t xml:space="preserve">The Sexual and Reproductive Health data set was weighted so that the responding sample represented the New Zealand </w:t>
      </w:r>
      <w:r w:rsidR="0074674F">
        <w:t>‘</w:t>
      </w:r>
      <w:r w:rsidRPr="00093568">
        <w:t>usually resident</w:t>
      </w:r>
      <w:r w:rsidR="0074674F">
        <w:t>’</w:t>
      </w:r>
      <w:r w:rsidRPr="00093568">
        <w:t xml:space="preserve"> population in that year, using external population benchmarks (age, sex, ethnicity and neighbourhood deprivation) and demographic and behavioural benchmarks (</w:t>
      </w:r>
      <w:proofErr w:type="spellStart"/>
      <w:r w:rsidRPr="00093568">
        <w:t>eg</w:t>
      </w:r>
      <w:proofErr w:type="spellEnd"/>
      <w:r w:rsidRPr="00093568">
        <w:t xml:space="preserve">, educational level and hazardous drinking). After an initial selection weight was calculated, it was adjusted for those who did not complete the module (for any reason). This should have minimised the impact of any differences in the characteristics of people who did or did not participate in the Sexual and Reproductive Health module. For more detail about the survey methodology, refer to the </w:t>
      </w:r>
      <w:r w:rsidRPr="00093568">
        <w:rPr>
          <w:i/>
        </w:rPr>
        <w:t>Methodology Report 2014/15</w:t>
      </w:r>
      <w:r w:rsidRPr="00093568">
        <w:t xml:space="preserve"> (Ministry of Health 2015b).</w:t>
      </w:r>
    </w:p>
    <w:p w14:paraId="00691CED" w14:textId="77777777" w:rsidR="0083076E" w:rsidRDefault="0083076E" w:rsidP="00B2122B"/>
    <w:p w14:paraId="5B876F69" w14:textId="77777777" w:rsidR="0083076E" w:rsidRPr="00093568" w:rsidRDefault="0083076E" w:rsidP="00B2122B">
      <w:pPr>
        <w:pStyle w:val="Heading3"/>
        <w:rPr>
          <w:b/>
          <w:i/>
        </w:rPr>
      </w:pPr>
      <w:r w:rsidRPr="00093568">
        <w:t>Additional information</w:t>
      </w:r>
    </w:p>
    <w:p w14:paraId="75C9FBA4" w14:textId="77777777" w:rsidR="0083076E" w:rsidRPr="00093568" w:rsidRDefault="0083076E" w:rsidP="00B2122B">
      <w:pPr>
        <w:keepNext/>
      </w:pPr>
      <w:r w:rsidRPr="00093568">
        <w:t>See also the following documents:</w:t>
      </w:r>
    </w:p>
    <w:p w14:paraId="60C7AB67" w14:textId="77777777" w:rsidR="0083076E" w:rsidRPr="007D1594" w:rsidRDefault="0083076E" w:rsidP="00B2122B">
      <w:pPr>
        <w:pStyle w:val="Bullet"/>
      </w:pPr>
      <w:r w:rsidRPr="00093568">
        <w:rPr>
          <w:i/>
        </w:rPr>
        <w:t>The New Zealand Health Survey: Sample design years 1–3 (2011–2013)</w:t>
      </w:r>
      <w:r w:rsidRPr="007D1594">
        <w:t xml:space="preserve"> </w:t>
      </w:r>
      <w:r>
        <w:t>(Ministry of Health 2011). Note</w:t>
      </w:r>
      <w:r w:rsidR="00B2122B">
        <w:t>:</w:t>
      </w:r>
      <w:r>
        <w:t xml:space="preserve"> despite the report title being 2011-13, this sample design was used for the 2014/15 Health Survey</w:t>
      </w:r>
    </w:p>
    <w:p w14:paraId="67076CC0" w14:textId="77777777" w:rsidR="0083076E" w:rsidRPr="007D1594" w:rsidRDefault="0083076E" w:rsidP="00B2122B">
      <w:pPr>
        <w:pStyle w:val="Bullet"/>
      </w:pPr>
      <w:r w:rsidRPr="00093568">
        <w:rPr>
          <w:i/>
        </w:rPr>
        <w:lastRenderedPageBreak/>
        <w:t>Methodology Report 2014/15: New Zealand Health Survey</w:t>
      </w:r>
      <w:r w:rsidRPr="007D1594">
        <w:t xml:space="preserve"> </w:t>
      </w:r>
      <w:r>
        <w:t>(Ministry of Health 2015b)</w:t>
      </w:r>
    </w:p>
    <w:p w14:paraId="22E3F5E4" w14:textId="77777777" w:rsidR="0083076E" w:rsidRPr="007D1594" w:rsidRDefault="0083076E" w:rsidP="00B2122B">
      <w:pPr>
        <w:pStyle w:val="Bullet"/>
      </w:pPr>
      <w:r w:rsidRPr="00093568">
        <w:rPr>
          <w:i/>
        </w:rPr>
        <w:t>Content Guide 2014/15: New Zealand Health Survey</w:t>
      </w:r>
      <w:r w:rsidRPr="007D1594">
        <w:t xml:space="preserve"> </w:t>
      </w:r>
      <w:r>
        <w:t>(Ministry of Health 2015a)</w:t>
      </w:r>
    </w:p>
    <w:p w14:paraId="1E5CF423" w14:textId="77777777" w:rsidR="0083076E" w:rsidRPr="00E16BA9" w:rsidRDefault="0083076E" w:rsidP="00B2122B">
      <w:pPr>
        <w:pStyle w:val="Bullet"/>
      </w:pPr>
      <w:r w:rsidRPr="00A26AA1">
        <w:t xml:space="preserve">Questionnaires </w:t>
      </w:r>
      <w:r>
        <w:t xml:space="preserve">for the </w:t>
      </w:r>
      <w:r w:rsidRPr="00A26AA1">
        <w:t>New Zealand Health Survey</w:t>
      </w:r>
      <w:r>
        <w:t xml:space="preserve"> 2014/15 (Ministry of Health 2016a; Ministry of Heath 2016b)</w:t>
      </w:r>
    </w:p>
    <w:p w14:paraId="6F0EA10D" w14:textId="77777777" w:rsidR="0083076E" w:rsidRDefault="0083076E" w:rsidP="00B2122B">
      <w:pPr>
        <w:pStyle w:val="Bullet"/>
      </w:pPr>
      <w:r w:rsidRPr="00093568">
        <w:rPr>
          <w:i/>
        </w:rPr>
        <w:t>Sexual and Reproductive Health Indicator Interpretation Guide 2014/15: New Zealand Health Survey</w:t>
      </w:r>
      <w:r w:rsidRPr="00093568">
        <w:t xml:space="preserve"> </w:t>
      </w:r>
      <w:r w:rsidRPr="00E16BA9">
        <w:t>(Ministry of Health 2019)</w:t>
      </w:r>
      <w:r>
        <w:t>.</w:t>
      </w:r>
    </w:p>
    <w:p w14:paraId="1F4574B9" w14:textId="77777777" w:rsidR="0083076E" w:rsidRPr="00093568" w:rsidRDefault="0083076E" w:rsidP="0083076E">
      <w:pPr>
        <w:pStyle w:val="Heading1"/>
        <w:rPr>
          <w:b w:val="0"/>
        </w:rPr>
      </w:pPr>
      <w:bookmarkStart w:id="37" w:name="_Toc536449900"/>
      <w:bookmarkStart w:id="38" w:name="_Toc13568496"/>
      <w:bookmarkStart w:id="39" w:name="_Toc22302094"/>
      <w:r w:rsidRPr="00093568">
        <w:lastRenderedPageBreak/>
        <w:t>References</w:t>
      </w:r>
      <w:bookmarkEnd w:id="37"/>
      <w:bookmarkEnd w:id="38"/>
      <w:bookmarkEnd w:id="39"/>
    </w:p>
    <w:p w14:paraId="469BA091" w14:textId="77777777" w:rsidR="0083076E" w:rsidRPr="00195942" w:rsidRDefault="0083076E" w:rsidP="00B2122B">
      <w:pPr>
        <w:pStyle w:val="References"/>
      </w:pPr>
      <w:r w:rsidRPr="00195942">
        <w:t xml:space="preserve">Bacharach CA, Newcomer S. 1999. Intended pregnancies and unintended pregnancies: distinct categories or opposite ends of a continuum? </w:t>
      </w:r>
      <w:r w:rsidRPr="00195942">
        <w:rPr>
          <w:i/>
        </w:rPr>
        <w:t>Family Planning Perspectives</w:t>
      </w:r>
      <w:r w:rsidRPr="00195942">
        <w:t xml:space="preserve"> 31(5): 251–2.</w:t>
      </w:r>
    </w:p>
    <w:p w14:paraId="5B6BBFD4" w14:textId="77777777" w:rsidR="0083076E" w:rsidRPr="00195942" w:rsidRDefault="0083076E" w:rsidP="00B2122B">
      <w:pPr>
        <w:pStyle w:val="References"/>
      </w:pPr>
      <w:r w:rsidRPr="00195942">
        <w:t xml:space="preserve">Barrett G, Smith S, </w:t>
      </w:r>
      <w:proofErr w:type="spellStart"/>
      <w:r w:rsidRPr="00195942">
        <w:t>Wellings</w:t>
      </w:r>
      <w:proofErr w:type="spellEnd"/>
      <w:r w:rsidRPr="00195942">
        <w:t xml:space="preserve"> K. 2004. Conceptualisation, development, and evaluation of a measure of unplanned pregnancy. </w:t>
      </w:r>
      <w:r w:rsidRPr="00195942">
        <w:rPr>
          <w:i/>
        </w:rPr>
        <w:t>Journal of Epidemiology and Community Health</w:t>
      </w:r>
      <w:r w:rsidRPr="00195942">
        <w:t xml:space="preserve"> 58(5): 426–33.</w:t>
      </w:r>
    </w:p>
    <w:p w14:paraId="4FAB0A19" w14:textId="77777777" w:rsidR="0083076E" w:rsidRPr="00195942" w:rsidRDefault="0083076E" w:rsidP="00B2122B">
      <w:pPr>
        <w:pStyle w:val="References"/>
      </w:pPr>
      <w:r w:rsidRPr="00195942">
        <w:t xml:space="preserve">Barrett G, </w:t>
      </w:r>
      <w:proofErr w:type="spellStart"/>
      <w:r w:rsidRPr="00195942">
        <w:t>Wellings</w:t>
      </w:r>
      <w:proofErr w:type="spellEnd"/>
      <w:r w:rsidRPr="00195942">
        <w:t xml:space="preserve"> K. 2002. What is a </w:t>
      </w:r>
      <w:r w:rsidR="0074674F">
        <w:t>‘</w:t>
      </w:r>
      <w:r w:rsidRPr="00195942">
        <w:t>planned</w:t>
      </w:r>
      <w:r w:rsidR="0074674F">
        <w:t>’</w:t>
      </w:r>
      <w:r w:rsidRPr="00195942">
        <w:t xml:space="preserve"> pregnancy? Empirical data from a British study. </w:t>
      </w:r>
      <w:r w:rsidRPr="00195942">
        <w:rPr>
          <w:i/>
        </w:rPr>
        <w:t>Social Science &amp; Medicine</w:t>
      </w:r>
      <w:r w:rsidRPr="00195942">
        <w:t xml:space="preserve"> 55(4): 495–57.</w:t>
      </w:r>
    </w:p>
    <w:p w14:paraId="6FAF3201" w14:textId="77777777" w:rsidR="0083076E" w:rsidRPr="00195942" w:rsidRDefault="0083076E" w:rsidP="00B2122B">
      <w:pPr>
        <w:pStyle w:val="References"/>
        <w:rPr>
          <w:color w:val="000000"/>
        </w:rPr>
      </w:pPr>
      <w:r w:rsidRPr="00195942">
        <w:rPr>
          <w:color w:val="000000"/>
        </w:rPr>
        <w:t xml:space="preserve">Carson C, </w:t>
      </w:r>
      <w:proofErr w:type="spellStart"/>
      <w:r w:rsidRPr="00195942">
        <w:rPr>
          <w:color w:val="000000"/>
        </w:rPr>
        <w:t>Redshaw</w:t>
      </w:r>
      <w:proofErr w:type="spellEnd"/>
      <w:r w:rsidRPr="00195942">
        <w:rPr>
          <w:color w:val="000000"/>
        </w:rPr>
        <w:t xml:space="preserve"> M, Sacker A, et al. 2013. Effects of pregnancy planning, fertility, and assisted reproductive treatment on child </w:t>
      </w:r>
      <w:proofErr w:type="spellStart"/>
      <w:r w:rsidRPr="00195942">
        <w:rPr>
          <w:color w:val="000000"/>
        </w:rPr>
        <w:t>behavioral</w:t>
      </w:r>
      <w:proofErr w:type="spellEnd"/>
      <w:r w:rsidRPr="00195942">
        <w:rPr>
          <w:color w:val="000000"/>
        </w:rPr>
        <w:t xml:space="preserve"> problems at 5 and 7 years: evidence from the Millennium Cohort Study. </w:t>
      </w:r>
      <w:r w:rsidRPr="00195942">
        <w:rPr>
          <w:i/>
          <w:color w:val="000000"/>
        </w:rPr>
        <w:t>Fertility and Sterility</w:t>
      </w:r>
      <w:r w:rsidRPr="00195942">
        <w:rPr>
          <w:color w:val="000000"/>
        </w:rPr>
        <w:t xml:space="preserve"> 99(2): 456–63.</w:t>
      </w:r>
    </w:p>
    <w:p w14:paraId="2F1E30CC" w14:textId="77777777" w:rsidR="0083076E" w:rsidRPr="00195942" w:rsidRDefault="0083076E" w:rsidP="00B2122B">
      <w:pPr>
        <w:pStyle w:val="References"/>
      </w:pPr>
      <w:r w:rsidRPr="00195942">
        <w:t xml:space="preserve">Gipson JD, Koenig MA, </w:t>
      </w:r>
      <w:proofErr w:type="spellStart"/>
      <w:r w:rsidRPr="00195942">
        <w:t>Hindin</w:t>
      </w:r>
      <w:proofErr w:type="spellEnd"/>
      <w:r w:rsidRPr="00195942">
        <w:t xml:space="preserve"> MJ. 2008. The effects of unintended pregnancy on infant, child, and parental health: a review of the literature. </w:t>
      </w:r>
      <w:r w:rsidRPr="00195942">
        <w:rPr>
          <w:i/>
        </w:rPr>
        <w:t>Studies in Family Planning</w:t>
      </w:r>
      <w:r w:rsidRPr="00195942">
        <w:t xml:space="preserve"> 39(1): 18–38.</w:t>
      </w:r>
    </w:p>
    <w:p w14:paraId="3442D342" w14:textId="77777777" w:rsidR="0074674F" w:rsidRDefault="0083076E" w:rsidP="00B2122B">
      <w:pPr>
        <w:pStyle w:val="References"/>
        <w:rPr>
          <w:iCs/>
          <w:color w:val="000000"/>
        </w:rPr>
      </w:pPr>
      <w:r w:rsidRPr="00195942">
        <w:rPr>
          <w:color w:val="000000"/>
        </w:rPr>
        <w:t>Health Committee. 2013.</w:t>
      </w:r>
      <w:r w:rsidRPr="00195942">
        <w:rPr>
          <w:i/>
          <w:iCs/>
          <w:color w:val="000000"/>
        </w:rPr>
        <w:t xml:space="preserve"> Inquiry into </w:t>
      </w:r>
      <w:r w:rsidR="00B2122B">
        <w:rPr>
          <w:i/>
          <w:iCs/>
          <w:color w:val="000000"/>
        </w:rPr>
        <w:t>I</w:t>
      </w:r>
      <w:r w:rsidRPr="00195942">
        <w:rPr>
          <w:i/>
          <w:iCs/>
          <w:color w:val="000000"/>
        </w:rPr>
        <w:t xml:space="preserve">mproving </w:t>
      </w:r>
      <w:r w:rsidR="00B2122B">
        <w:rPr>
          <w:i/>
          <w:iCs/>
          <w:color w:val="000000"/>
        </w:rPr>
        <w:t>C</w:t>
      </w:r>
      <w:r w:rsidRPr="00195942">
        <w:rPr>
          <w:i/>
          <w:iCs/>
          <w:color w:val="000000"/>
        </w:rPr>
        <w:t xml:space="preserve">hild </w:t>
      </w:r>
      <w:r w:rsidR="00B2122B">
        <w:rPr>
          <w:i/>
          <w:iCs/>
          <w:color w:val="000000"/>
        </w:rPr>
        <w:t>H</w:t>
      </w:r>
      <w:r w:rsidRPr="00195942">
        <w:rPr>
          <w:i/>
          <w:iCs/>
          <w:color w:val="000000"/>
        </w:rPr>
        <w:t xml:space="preserve">ealth </w:t>
      </w:r>
      <w:r w:rsidR="00B2122B">
        <w:rPr>
          <w:i/>
          <w:iCs/>
          <w:color w:val="000000"/>
        </w:rPr>
        <w:t>O</w:t>
      </w:r>
      <w:r w:rsidRPr="00195942">
        <w:rPr>
          <w:i/>
          <w:iCs/>
          <w:color w:val="000000"/>
        </w:rPr>
        <w:t xml:space="preserve">utcomes and </w:t>
      </w:r>
      <w:r w:rsidR="00B2122B">
        <w:rPr>
          <w:i/>
          <w:iCs/>
          <w:color w:val="000000"/>
        </w:rPr>
        <w:t>P</w:t>
      </w:r>
      <w:r w:rsidRPr="00195942">
        <w:rPr>
          <w:i/>
          <w:iCs/>
          <w:color w:val="000000"/>
        </w:rPr>
        <w:t xml:space="preserve">reventing </w:t>
      </w:r>
      <w:r w:rsidR="00B2122B">
        <w:rPr>
          <w:i/>
          <w:iCs/>
          <w:color w:val="000000"/>
        </w:rPr>
        <w:t>C</w:t>
      </w:r>
      <w:r w:rsidRPr="00195942">
        <w:rPr>
          <w:i/>
          <w:iCs/>
          <w:color w:val="000000"/>
        </w:rPr>
        <w:t xml:space="preserve">hild </w:t>
      </w:r>
      <w:r w:rsidR="00B2122B">
        <w:rPr>
          <w:i/>
          <w:iCs/>
          <w:color w:val="000000"/>
        </w:rPr>
        <w:t>A</w:t>
      </w:r>
      <w:r w:rsidRPr="00195942">
        <w:rPr>
          <w:i/>
          <w:iCs/>
          <w:color w:val="000000"/>
        </w:rPr>
        <w:t xml:space="preserve">buse, with a </w:t>
      </w:r>
      <w:r w:rsidR="00B2122B">
        <w:rPr>
          <w:i/>
          <w:iCs/>
          <w:color w:val="000000"/>
        </w:rPr>
        <w:t>F</w:t>
      </w:r>
      <w:r w:rsidRPr="00195942">
        <w:rPr>
          <w:i/>
          <w:iCs/>
          <w:color w:val="000000"/>
        </w:rPr>
        <w:t xml:space="preserve">ocus from </w:t>
      </w:r>
      <w:r w:rsidR="00B2122B">
        <w:rPr>
          <w:i/>
          <w:iCs/>
          <w:color w:val="000000"/>
        </w:rPr>
        <w:t>P</w:t>
      </w:r>
      <w:r w:rsidRPr="00195942">
        <w:rPr>
          <w:i/>
          <w:iCs/>
          <w:color w:val="000000"/>
        </w:rPr>
        <w:t xml:space="preserve">reconception until </w:t>
      </w:r>
      <w:r w:rsidR="00B2122B">
        <w:rPr>
          <w:i/>
          <w:iCs/>
          <w:color w:val="000000"/>
        </w:rPr>
        <w:t>T</w:t>
      </w:r>
      <w:r w:rsidRPr="00195942">
        <w:rPr>
          <w:i/>
          <w:iCs/>
          <w:color w:val="000000"/>
        </w:rPr>
        <w:t xml:space="preserve">hree </w:t>
      </w:r>
      <w:r w:rsidR="00B2122B">
        <w:rPr>
          <w:i/>
          <w:iCs/>
          <w:color w:val="000000"/>
        </w:rPr>
        <w:t>Y</w:t>
      </w:r>
      <w:r w:rsidRPr="00195942">
        <w:rPr>
          <w:i/>
          <w:iCs/>
          <w:color w:val="000000"/>
        </w:rPr>
        <w:t xml:space="preserve">ears of </w:t>
      </w:r>
      <w:r w:rsidR="00B2122B">
        <w:rPr>
          <w:i/>
          <w:iCs/>
          <w:color w:val="000000"/>
        </w:rPr>
        <w:t>A</w:t>
      </w:r>
      <w:r w:rsidRPr="00195942">
        <w:rPr>
          <w:i/>
          <w:iCs/>
          <w:color w:val="000000"/>
        </w:rPr>
        <w:t>ge: Report of the Health Committee</w:t>
      </w:r>
      <w:r w:rsidRPr="00195942">
        <w:rPr>
          <w:iCs/>
          <w:color w:val="000000"/>
        </w:rPr>
        <w:t>.</w:t>
      </w:r>
      <w:r w:rsidRPr="00195942">
        <w:rPr>
          <w:i/>
          <w:iCs/>
          <w:color w:val="000000"/>
        </w:rPr>
        <w:t xml:space="preserve"> </w:t>
      </w:r>
      <w:r w:rsidRPr="00195942">
        <w:rPr>
          <w:iCs/>
          <w:color w:val="000000"/>
        </w:rPr>
        <w:t>Wellington: New Zealand House of Representatives.</w:t>
      </w:r>
    </w:p>
    <w:p w14:paraId="02AF59F4" w14:textId="77777777" w:rsidR="0074674F" w:rsidRDefault="0083076E" w:rsidP="00B2122B">
      <w:pPr>
        <w:pStyle w:val="References"/>
        <w:rPr>
          <w:iCs/>
          <w:color w:val="000000"/>
        </w:rPr>
      </w:pPr>
      <w:proofErr w:type="spellStart"/>
      <w:r w:rsidRPr="00195942">
        <w:rPr>
          <w:color w:val="000000"/>
        </w:rPr>
        <w:t>HealthEd</w:t>
      </w:r>
      <w:proofErr w:type="spellEnd"/>
      <w:r w:rsidRPr="00195942">
        <w:rPr>
          <w:color w:val="000000"/>
        </w:rPr>
        <w:t xml:space="preserve">. 2017. </w:t>
      </w:r>
      <w:r w:rsidRPr="00195942">
        <w:rPr>
          <w:i/>
          <w:iCs/>
          <w:color w:val="000000"/>
        </w:rPr>
        <w:t>Eating for Healthy Pregnant Women/</w:t>
      </w:r>
      <w:proofErr w:type="spellStart"/>
      <w:r w:rsidRPr="00195942">
        <w:rPr>
          <w:i/>
          <w:iCs/>
          <w:color w:val="000000"/>
        </w:rPr>
        <w:t>Ngā</w:t>
      </w:r>
      <w:proofErr w:type="spellEnd"/>
      <w:r w:rsidRPr="00195942">
        <w:rPr>
          <w:i/>
          <w:iCs/>
          <w:color w:val="000000"/>
        </w:rPr>
        <w:t xml:space="preserve"> Kai </w:t>
      </w:r>
      <w:proofErr w:type="spellStart"/>
      <w:r w:rsidRPr="00195942">
        <w:rPr>
          <w:i/>
          <w:iCs/>
          <w:color w:val="000000"/>
        </w:rPr>
        <w:t>Totika</w:t>
      </w:r>
      <w:proofErr w:type="spellEnd"/>
      <w:r w:rsidRPr="00195942">
        <w:rPr>
          <w:i/>
          <w:iCs/>
          <w:color w:val="000000"/>
        </w:rPr>
        <w:t xml:space="preserve"> </w:t>
      </w:r>
      <w:proofErr w:type="spellStart"/>
      <w:r w:rsidRPr="00195942">
        <w:rPr>
          <w:i/>
          <w:iCs/>
          <w:color w:val="000000"/>
        </w:rPr>
        <w:t>mā</w:t>
      </w:r>
      <w:proofErr w:type="spellEnd"/>
      <w:r w:rsidRPr="00195942">
        <w:rPr>
          <w:i/>
          <w:iCs/>
          <w:color w:val="000000"/>
        </w:rPr>
        <w:t xml:space="preserve"> </w:t>
      </w:r>
      <w:proofErr w:type="spellStart"/>
      <w:r w:rsidRPr="00195942">
        <w:rPr>
          <w:i/>
          <w:iCs/>
          <w:color w:val="000000"/>
        </w:rPr>
        <w:t>te</w:t>
      </w:r>
      <w:proofErr w:type="spellEnd"/>
      <w:r w:rsidRPr="00195942">
        <w:rPr>
          <w:i/>
          <w:iCs/>
          <w:color w:val="000000"/>
        </w:rPr>
        <w:t xml:space="preserve"> </w:t>
      </w:r>
      <w:proofErr w:type="spellStart"/>
      <w:r w:rsidRPr="00195942">
        <w:rPr>
          <w:i/>
          <w:iCs/>
          <w:color w:val="000000"/>
        </w:rPr>
        <w:t>Wahine</w:t>
      </w:r>
      <w:proofErr w:type="spellEnd"/>
      <w:r w:rsidRPr="00195942">
        <w:rPr>
          <w:i/>
          <w:iCs/>
          <w:color w:val="000000"/>
        </w:rPr>
        <w:t xml:space="preserve"> </w:t>
      </w:r>
      <w:proofErr w:type="spellStart"/>
      <w:r w:rsidRPr="00195942">
        <w:rPr>
          <w:i/>
          <w:iCs/>
          <w:color w:val="000000"/>
        </w:rPr>
        <w:t>Hapū</w:t>
      </w:r>
      <w:proofErr w:type="spellEnd"/>
      <w:r w:rsidRPr="00195942">
        <w:rPr>
          <w:iCs/>
          <w:color w:val="000000"/>
        </w:rPr>
        <w:t>.</w:t>
      </w:r>
      <w:r w:rsidRPr="00195942">
        <w:rPr>
          <w:i/>
          <w:iCs/>
          <w:color w:val="000000"/>
        </w:rPr>
        <w:t xml:space="preserve"> </w:t>
      </w:r>
      <w:r w:rsidRPr="00195942">
        <w:rPr>
          <w:iCs/>
          <w:color w:val="000000"/>
        </w:rPr>
        <w:t xml:space="preserve">Christchurch: </w:t>
      </w:r>
      <w:proofErr w:type="spellStart"/>
      <w:r w:rsidRPr="00195942">
        <w:rPr>
          <w:iCs/>
          <w:color w:val="000000"/>
        </w:rPr>
        <w:t>HealthEd</w:t>
      </w:r>
      <w:proofErr w:type="spellEnd"/>
      <w:r w:rsidRPr="00195942">
        <w:rPr>
          <w:iCs/>
          <w:color w:val="000000"/>
        </w:rPr>
        <w:t>.</w:t>
      </w:r>
    </w:p>
    <w:p w14:paraId="1C1AAA5A" w14:textId="77777777" w:rsidR="0083076E" w:rsidRPr="00195942" w:rsidRDefault="0083076E" w:rsidP="00B2122B">
      <w:pPr>
        <w:pStyle w:val="References"/>
        <w:rPr>
          <w:color w:val="000000"/>
        </w:rPr>
      </w:pPr>
      <w:r w:rsidRPr="00195942">
        <w:rPr>
          <w:color w:val="000000"/>
        </w:rPr>
        <w:t xml:space="preserve">Hohmann-Marriott BE. 2018. Unplanned pregnancies in New Zealand. </w:t>
      </w:r>
      <w:r w:rsidRPr="00195942">
        <w:rPr>
          <w:i/>
          <w:color w:val="000000"/>
        </w:rPr>
        <w:t>Australian and New Zealand Journal of Obstetrics and Gynaecology</w:t>
      </w:r>
      <w:r w:rsidRPr="00195942">
        <w:rPr>
          <w:color w:val="000000"/>
        </w:rPr>
        <w:t xml:space="preserve"> 58(2): 247–50.</w:t>
      </w:r>
    </w:p>
    <w:p w14:paraId="460607D4" w14:textId="77777777" w:rsidR="0083076E" w:rsidRPr="00195942" w:rsidRDefault="0083076E" w:rsidP="00B2122B">
      <w:pPr>
        <w:pStyle w:val="References"/>
      </w:pPr>
      <w:proofErr w:type="spellStart"/>
      <w:r w:rsidRPr="00195942">
        <w:t>Lanzi</w:t>
      </w:r>
      <w:proofErr w:type="spellEnd"/>
      <w:r w:rsidRPr="00195942">
        <w:t xml:space="preserve"> RG, Bert SC, Jacobs BK, et al. 2009. Depression among a sample of first-time adolescent and adult mothers. </w:t>
      </w:r>
      <w:r w:rsidRPr="00195942">
        <w:rPr>
          <w:i/>
        </w:rPr>
        <w:t>Journal of Child and Adolescent Psychiatric Nursing</w:t>
      </w:r>
      <w:r w:rsidRPr="00195942">
        <w:t xml:space="preserve"> 22(4): 194–202.</w:t>
      </w:r>
    </w:p>
    <w:p w14:paraId="2A175638" w14:textId="77777777" w:rsidR="00931EF3" w:rsidRDefault="00931EF3" w:rsidP="00931EF3">
      <w:pPr>
        <w:pStyle w:val="References"/>
        <w:spacing w:after="120"/>
      </w:pPr>
      <w:r w:rsidRPr="00AE3208">
        <w:t xml:space="preserve">Ministry of Health. 2011. </w:t>
      </w:r>
      <w:r w:rsidRPr="00565ED6">
        <w:rPr>
          <w:i/>
        </w:rPr>
        <w:t>The New Zealand Health Survey: Sample design, years 1–3 (2011–2013)</w:t>
      </w:r>
      <w:r w:rsidRPr="00AE3208">
        <w:t>. Wellington: Ministry of Health.</w:t>
      </w:r>
    </w:p>
    <w:p w14:paraId="5C536A33" w14:textId="77777777" w:rsidR="00931EF3" w:rsidRDefault="00931EF3" w:rsidP="00931EF3">
      <w:pPr>
        <w:pStyle w:val="References"/>
        <w:spacing w:after="120"/>
      </w:pPr>
      <w:r w:rsidRPr="00AE3208">
        <w:t xml:space="preserve">Ministry of Health. </w:t>
      </w:r>
      <w:r w:rsidRPr="007E54E5">
        <w:t>2015a.</w:t>
      </w:r>
      <w:r w:rsidRPr="00AE3208">
        <w:t xml:space="preserve"> </w:t>
      </w:r>
      <w:r w:rsidRPr="00565ED6">
        <w:rPr>
          <w:i/>
        </w:rPr>
        <w:t xml:space="preserve">Content </w:t>
      </w:r>
      <w:r>
        <w:rPr>
          <w:i/>
        </w:rPr>
        <w:t>G</w:t>
      </w:r>
      <w:r w:rsidRPr="00565ED6">
        <w:rPr>
          <w:i/>
        </w:rPr>
        <w:t>uide 2014/15: New Zealand Health Survey</w:t>
      </w:r>
      <w:r w:rsidRPr="00AE3208">
        <w:t>. Wellington: Ministry of Health.</w:t>
      </w:r>
    </w:p>
    <w:p w14:paraId="071E07CA" w14:textId="77777777" w:rsidR="00931EF3" w:rsidRDefault="00931EF3" w:rsidP="00931EF3">
      <w:pPr>
        <w:pStyle w:val="References"/>
        <w:spacing w:after="120"/>
      </w:pPr>
      <w:r w:rsidRPr="00AE3208">
        <w:t xml:space="preserve">Ministry of Health. </w:t>
      </w:r>
      <w:r w:rsidRPr="007E54E5">
        <w:t>2015b.</w:t>
      </w:r>
      <w:r w:rsidRPr="00AE3208">
        <w:t xml:space="preserve"> </w:t>
      </w:r>
      <w:r w:rsidRPr="00565ED6">
        <w:rPr>
          <w:i/>
        </w:rPr>
        <w:t xml:space="preserve">Methodology </w:t>
      </w:r>
      <w:r>
        <w:rPr>
          <w:i/>
        </w:rPr>
        <w:t>R</w:t>
      </w:r>
      <w:r w:rsidRPr="00565ED6">
        <w:rPr>
          <w:i/>
        </w:rPr>
        <w:t>eport 2014/15: New Zealand Health Survey</w:t>
      </w:r>
      <w:r w:rsidRPr="00AE3208">
        <w:t>. Wellington: Ministry of Health.</w:t>
      </w:r>
    </w:p>
    <w:p w14:paraId="261D7B05" w14:textId="77777777" w:rsidR="00931EF3" w:rsidRPr="007E54E5" w:rsidRDefault="00931EF3" w:rsidP="00931EF3">
      <w:pPr>
        <w:pStyle w:val="References"/>
        <w:spacing w:after="120"/>
      </w:pPr>
      <w:r w:rsidRPr="007E54E5">
        <w:t xml:space="preserve">Ministry of Health. 2016a. </w:t>
      </w:r>
      <w:r w:rsidRPr="007E54E5">
        <w:rPr>
          <w:i/>
        </w:rPr>
        <w:t xml:space="preserve">Adult </w:t>
      </w:r>
      <w:r>
        <w:rPr>
          <w:i/>
        </w:rPr>
        <w:t>S</w:t>
      </w:r>
      <w:r w:rsidRPr="007E54E5">
        <w:rPr>
          <w:i/>
        </w:rPr>
        <w:t xml:space="preserve">exual </w:t>
      </w:r>
      <w:r>
        <w:rPr>
          <w:i/>
        </w:rPr>
        <w:t>R</w:t>
      </w:r>
      <w:r w:rsidRPr="007E54E5">
        <w:rPr>
          <w:i/>
        </w:rPr>
        <w:t xml:space="preserve">eproductive </w:t>
      </w:r>
      <w:r>
        <w:rPr>
          <w:i/>
        </w:rPr>
        <w:t>H</w:t>
      </w:r>
      <w:r w:rsidRPr="007E54E5">
        <w:rPr>
          <w:i/>
        </w:rPr>
        <w:t xml:space="preserve">ealth </w:t>
      </w:r>
      <w:r>
        <w:rPr>
          <w:i/>
        </w:rPr>
        <w:t>M</w:t>
      </w:r>
      <w:r w:rsidRPr="007E54E5">
        <w:rPr>
          <w:i/>
        </w:rPr>
        <w:t>odule (Year 4)</w:t>
      </w:r>
      <w:r w:rsidRPr="007E54E5">
        <w:t>. Wellington: Ministry of Health.</w:t>
      </w:r>
    </w:p>
    <w:p w14:paraId="54052FDA" w14:textId="77777777" w:rsidR="00931EF3" w:rsidRPr="007E54E5" w:rsidRDefault="00931EF3" w:rsidP="00931EF3">
      <w:pPr>
        <w:pStyle w:val="References"/>
        <w:spacing w:after="120"/>
      </w:pPr>
      <w:r w:rsidRPr="007E54E5">
        <w:t xml:space="preserve">Ministry of Health. 2016b. </w:t>
      </w:r>
      <w:r w:rsidRPr="007E54E5">
        <w:rPr>
          <w:i/>
        </w:rPr>
        <w:t xml:space="preserve">New Zealand Health Survey </w:t>
      </w:r>
      <w:r>
        <w:rPr>
          <w:i/>
        </w:rPr>
        <w:t>A</w:t>
      </w:r>
      <w:r w:rsidRPr="007E54E5">
        <w:rPr>
          <w:i/>
        </w:rPr>
        <w:t xml:space="preserve">dult </w:t>
      </w:r>
      <w:r>
        <w:rPr>
          <w:i/>
        </w:rPr>
        <w:t>Q</w:t>
      </w:r>
      <w:r w:rsidRPr="007E54E5">
        <w:rPr>
          <w:i/>
        </w:rPr>
        <w:t>uestionnaire (Year 4)</w:t>
      </w:r>
      <w:r w:rsidRPr="007E54E5">
        <w:t>. Wellington: Ministry of Health.</w:t>
      </w:r>
    </w:p>
    <w:p w14:paraId="7137AFDF" w14:textId="77777777" w:rsidR="0074674F" w:rsidRDefault="0083076E" w:rsidP="00B2122B">
      <w:pPr>
        <w:pStyle w:val="References"/>
        <w:rPr>
          <w:highlight w:val="yellow"/>
        </w:rPr>
      </w:pPr>
      <w:proofErr w:type="spellStart"/>
      <w:r w:rsidRPr="00195942">
        <w:t>Mohllajee</w:t>
      </w:r>
      <w:proofErr w:type="spellEnd"/>
      <w:r w:rsidRPr="00195942">
        <w:t xml:space="preserve"> AP, Curtis KM, Morrow B, et al. 2007. Pregnancy intention and its relationship to birth and maternal outcomes. </w:t>
      </w:r>
      <w:r w:rsidRPr="00195942">
        <w:rPr>
          <w:i/>
        </w:rPr>
        <w:t xml:space="preserve">Obstetrics and </w:t>
      </w:r>
      <w:proofErr w:type="spellStart"/>
      <w:r w:rsidRPr="00195942">
        <w:rPr>
          <w:i/>
        </w:rPr>
        <w:t>Gynecology</w:t>
      </w:r>
      <w:proofErr w:type="spellEnd"/>
      <w:r w:rsidRPr="00195942">
        <w:t xml:space="preserve"> 109(3): 678–86.</w:t>
      </w:r>
    </w:p>
    <w:p w14:paraId="0062E7AA" w14:textId="77777777" w:rsidR="0083076E" w:rsidRPr="00195942" w:rsidRDefault="0083076E" w:rsidP="00B2122B">
      <w:pPr>
        <w:pStyle w:val="References"/>
        <w:rPr>
          <w:color w:val="000000"/>
        </w:rPr>
      </w:pPr>
      <w:r w:rsidRPr="00195942">
        <w:rPr>
          <w:color w:val="000000"/>
        </w:rPr>
        <w:lastRenderedPageBreak/>
        <w:t xml:space="preserve">Morton SMB, </w:t>
      </w:r>
      <w:proofErr w:type="spellStart"/>
      <w:r w:rsidRPr="00195942">
        <w:rPr>
          <w:color w:val="000000"/>
        </w:rPr>
        <w:t>Atatoa</w:t>
      </w:r>
      <w:proofErr w:type="spellEnd"/>
      <w:r w:rsidRPr="00195942">
        <w:rPr>
          <w:color w:val="000000"/>
        </w:rPr>
        <w:t xml:space="preserve"> </w:t>
      </w:r>
      <w:proofErr w:type="spellStart"/>
      <w:r w:rsidRPr="00195942">
        <w:rPr>
          <w:color w:val="000000"/>
        </w:rPr>
        <w:t>Carr</w:t>
      </w:r>
      <w:proofErr w:type="spellEnd"/>
      <w:r w:rsidRPr="00195942">
        <w:rPr>
          <w:color w:val="000000"/>
        </w:rPr>
        <w:t xml:space="preserve"> PE, Grant CC, et al. 2012. </w:t>
      </w:r>
      <w:r w:rsidRPr="00195942">
        <w:rPr>
          <w:i/>
          <w:color w:val="000000"/>
        </w:rPr>
        <w:t>Growing Up in New Zealand: A</w:t>
      </w:r>
      <w:r w:rsidR="00B2122B">
        <w:rPr>
          <w:i/>
          <w:color w:val="000000"/>
        </w:rPr>
        <w:t> </w:t>
      </w:r>
      <w:r w:rsidRPr="00195942">
        <w:rPr>
          <w:i/>
          <w:color w:val="000000"/>
        </w:rPr>
        <w:t>longitudinal study of New Zealand children and their families. Report 2: Now we are born</w:t>
      </w:r>
      <w:r w:rsidRPr="00195942">
        <w:rPr>
          <w:color w:val="000000"/>
        </w:rPr>
        <w:t>. Auckland: Growing Up in New Zealand.</w:t>
      </w:r>
    </w:p>
    <w:p w14:paraId="6D5E1CBA" w14:textId="77777777" w:rsidR="0083076E" w:rsidRPr="00195942" w:rsidRDefault="0083076E" w:rsidP="00B2122B">
      <w:pPr>
        <w:pStyle w:val="References"/>
      </w:pPr>
      <w:r w:rsidRPr="00195942">
        <w:t xml:space="preserve">Shah PS, </w:t>
      </w:r>
      <w:proofErr w:type="spellStart"/>
      <w:r w:rsidRPr="00195942">
        <w:t>Balkhair</w:t>
      </w:r>
      <w:proofErr w:type="spellEnd"/>
      <w:r w:rsidRPr="00195942">
        <w:t xml:space="preserve"> T, Ohlsson A, et al. 2011. Intention to become pregnant and low birth weight and preterm birth: a systematic review. </w:t>
      </w:r>
      <w:r w:rsidRPr="00195942">
        <w:rPr>
          <w:i/>
        </w:rPr>
        <w:t>Maternal and Child Health Journal</w:t>
      </w:r>
      <w:r w:rsidRPr="00195942">
        <w:t xml:space="preserve"> 15(2):</w:t>
      </w:r>
      <w:r w:rsidR="00B2122B">
        <w:t> </w:t>
      </w:r>
      <w:r w:rsidRPr="00195942">
        <w:t>205–16.</w:t>
      </w:r>
    </w:p>
    <w:p w14:paraId="4E80FFB6" w14:textId="77777777" w:rsidR="00B2122B" w:rsidRPr="00F36A45" w:rsidRDefault="00B2122B" w:rsidP="00B2122B">
      <w:pPr>
        <w:pStyle w:val="References"/>
      </w:pPr>
      <w:r w:rsidRPr="00F36A45">
        <w:t>Statistics New Zealand. 2015</w:t>
      </w:r>
      <w:r>
        <w:t>a</w:t>
      </w:r>
      <w:r w:rsidRPr="00F36A45">
        <w:t xml:space="preserve">. </w:t>
      </w:r>
      <w:r w:rsidRPr="00EE1384">
        <w:rPr>
          <w:i/>
        </w:rPr>
        <w:t xml:space="preserve">Births </w:t>
      </w:r>
      <w:r>
        <w:rPr>
          <w:i/>
        </w:rPr>
        <w:t>T</w:t>
      </w:r>
      <w:r w:rsidRPr="00EE1384">
        <w:rPr>
          <w:i/>
        </w:rPr>
        <w:t>ables</w:t>
      </w:r>
      <w:r w:rsidRPr="00F36A45">
        <w:t xml:space="preserve">. URL: </w:t>
      </w:r>
      <w:r w:rsidRPr="00EE1384">
        <w:rPr>
          <w:rStyle w:val="Hyperlink"/>
        </w:rPr>
        <w:t>http://archive.stats.govt.nz/browse_for_stats/population/births/births-tables.aspx</w:t>
      </w:r>
      <w:r w:rsidRPr="00F36A45">
        <w:t xml:space="preserve"> (accessed 26 February 2019).</w:t>
      </w:r>
    </w:p>
    <w:p w14:paraId="45DEBFCF" w14:textId="77777777" w:rsidR="0074674F" w:rsidRDefault="0083076E" w:rsidP="00B2122B">
      <w:pPr>
        <w:pStyle w:val="References"/>
      </w:pPr>
      <w:r w:rsidRPr="00195942">
        <w:t>Statistics New Zealand. 2015</w:t>
      </w:r>
      <w:r w:rsidR="00B2122B">
        <w:t>b</w:t>
      </w:r>
      <w:r w:rsidRPr="00195942">
        <w:t xml:space="preserve">. </w:t>
      </w:r>
      <w:r w:rsidRPr="00195942">
        <w:rPr>
          <w:i/>
        </w:rPr>
        <w:t>Statistical standard for gender identity</w:t>
      </w:r>
      <w:r w:rsidRPr="00195942">
        <w:t>. Wellington: Statistics New Zealand.</w:t>
      </w:r>
    </w:p>
    <w:p w14:paraId="0D71481C" w14:textId="77777777" w:rsidR="0083076E" w:rsidRDefault="0083076E" w:rsidP="0083076E">
      <w:pPr>
        <w:pStyle w:val="Heading1"/>
      </w:pPr>
      <w:bookmarkStart w:id="40" w:name="_Toc13475836"/>
      <w:bookmarkStart w:id="41" w:name="_Toc13568497"/>
      <w:bookmarkStart w:id="42" w:name="_Toc22302095"/>
      <w:r>
        <w:lastRenderedPageBreak/>
        <w:t>Appendix 1:</w:t>
      </w:r>
      <w:r w:rsidR="00CA2F65">
        <w:br/>
      </w:r>
      <w:r>
        <w:t>The LMUP questions</w:t>
      </w:r>
      <w:bookmarkEnd w:id="40"/>
      <w:bookmarkEnd w:id="41"/>
      <w:bookmarkEnd w:id="42"/>
    </w:p>
    <w:p w14:paraId="4DE820D4" w14:textId="77777777" w:rsidR="0083076E" w:rsidRDefault="0083076E" w:rsidP="00CA2F65">
      <w:pPr>
        <w:rPr>
          <w:rFonts w:cstheme="minorHAnsi"/>
        </w:rPr>
      </w:pPr>
      <w:r>
        <w:t xml:space="preserve">A total score of </w:t>
      </w:r>
      <w:r w:rsidRPr="00FD26B4">
        <w:t xml:space="preserve">0–3 </w:t>
      </w:r>
      <w:r>
        <w:t xml:space="preserve">is classified as </w:t>
      </w:r>
      <w:r w:rsidR="0074674F">
        <w:t>‘</w:t>
      </w:r>
      <w:r w:rsidRPr="00FD26B4">
        <w:t>unplanned</w:t>
      </w:r>
      <w:r w:rsidR="0074674F">
        <w:t>’</w:t>
      </w:r>
      <w:r w:rsidRPr="00FD26B4">
        <w:t xml:space="preserve">, 4–9 as </w:t>
      </w:r>
      <w:r w:rsidR="0074674F">
        <w:t>‘</w:t>
      </w:r>
      <w:r w:rsidRPr="003D062A">
        <w:rPr>
          <w:rFonts w:cstheme="minorHAnsi"/>
        </w:rPr>
        <w:t>ambivalent</w:t>
      </w:r>
      <w:r w:rsidR="0074674F">
        <w:rPr>
          <w:rFonts w:cstheme="minorHAnsi"/>
        </w:rPr>
        <w:t>’</w:t>
      </w:r>
      <w:r w:rsidRPr="003D062A">
        <w:rPr>
          <w:rFonts w:cstheme="minorHAnsi"/>
        </w:rPr>
        <w:t xml:space="preserve"> and 10–12 as </w:t>
      </w:r>
      <w:r w:rsidR="0074674F">
        <w:rPr>
          <w:rFonts w:cstheme="minorHAnsi"/>
        </w:rPr>
        <w:t>‘</w:t>
      </w:r>
      <w:r w:rsidRPr="003D062A">
        <w:rPr>
          <w:rFonts w:cstheme="minorHAnsi"/>
        </w:rPr>
        <w:t>planned</w:t>
      </w:r>
      <w:r w:rsidR="0074674F">
        <w:rPr>
          <w:rFonts w:cstheme="minorHAnsi"/>
        </w:rPr>
        <w:t>’</w:t>
      </w:r>
      <w:r w:rsidR="00CA2F65">
        <w:rPr>
          <w:rFonts w:cstheme="minorHAnsi"/>
        </w:rPr>
        <w:t>.</w:t>
      </w:r>
    </w:p>
    <w:p w14:paraId="5D4049DE" w14:textId="77777777" w:rsidR="0083076E" w:rsidRDefault="0083076E" w:rsidP="00CA2F65"/>
    <w:p w14:paraId="065EB639" w14:textId="77777777" w:rsidR="0083076E" w:rsidRPr="00CA2F65" w:rsidRDefault="0083076E" w:rsidP="00DD09A6">
      <w:pPr>
        <w:spacing w:before="120"/>
        <w:rPr>
          <w:b/>
        </w:rPr>
      </w:pPr>
      <w:r w:rsidRPr="00CA2F65">
        <w:rPr>
          <w:b/>
        </w:rPr>
        <w:t>1)</w:t>
      </w:r>
      <w:r w:rsidR="00CA2F65" w:rsidRPr="00CA2F65">
        <w:rPr>
          <w:b/>
        </w:rPr>
        <w:tab/>
      </w:r>
      <w:r w:rsidRPr="00CA2F65">
        <w:rPr>
          <w:b/>
        </w:rPr>
        <w:t>In the month that I became pregnant</w:t>
      </w:r>
      <w:r w:rsidR="00CA2F65" w:rsidRPr="00CA2F65">
        <w:rPr>
          <w:b/>
        </w:rPr>
        <w:t xml:space="preserve"> ...</w:t>
      </w:r>
    </w:p>
    <w:p w14:paraId="7A8163BF" w14:textId="77777777" w:rsidR="0083076E" w:rsidRDefault="0083076E" w:rsidP="00DD09A6">
      <w:pPr>
        <w:spacing w:before="60"/>
        <w:ind w:left="1134" w:hanging="567"/>
      </w:pPr>
      <w:r>
        <w:t>2</w:t>
      </w:r>
      <w:r w:rsidR="00DD09A6">
        <w:tab/>
      </w:r>
      <w:r>
        <w:t>I/we were not using contraception</w:t>
      </w:r>
    </w:p>
    <w:p w14:paraId="50DC9BAF" w14:textId="77777777" w:rsidR="0083076E" w:rsidRDefault="0083076E" w:rsidP="00DD09A6">
      <w:pPr>
        <w:spacing w:before="60"/>
        <w:ind w:left="1134" w:hanging="567"/>
      </w:pPr>
      <w:r>
        <w:t>1</w:t>
      </w:r>
      <w:r w:rsidR="00DD09A6">
        <w:tab/>
      </w:r>
      <w:r>
        <w:t>I/we were using contraception, but not on every occasion</w:t>
      </w:r>
    </w:p>
    <w:p w14:paraId="3A4D67CF" w14:textId="77777777" w:rsidR="0083076E" w:rsidRDefault="0083076E" w:rsidP="00DD09A6">
      <w:pPr>
        <w:spacing w:before="60"/>
        <w:ind w:left="1134" w:hanging="567"/>
      </w:pPr>
      <w:r>
        <w:t>1</w:t>
      </w:r>
      <w:r w:rsidR="00DD09A6">
        <w:tab/>
      </w:r>
      <w:r>
        <w:t>I/we always used contraception, but knew that the method had failed (</w:t>
      </w:r>
      <w:proofErr w:type="spellStart"/>
      <w:r>
        <w:t>ie</w:t>
      </w:r>
      <w:proofErr w:type="spellEnd"/>
      <w:r w:rsidR="00DD09A6">
        <w:t>, </w:t>
      </w:r>
      <w:r>
        <w:t>broke, moved, came off, came out,</w:t>
      </w:r>
      <w:r w:rsidR="0074674F">
        <w:t xml:space="preserve"> </w:t>
      </w:r>
      <w:r>
        <w:t>not worked</w:t>
      </w:r>
      <w:r w:rsidR="00DD09A6">
        <w:t>,</w:t>
      </w:r>
      <w:r>
        <w:t xml:space="preserve"> etc) at least once</w:t>
      </w:r>
    </w:p>
    <w:p w14:paraId="469444DE" w14:textId="77777777" w:rsidR="0083076E" w:rsidRPr="008C4D27" w:rsidRDefault="0083076E" w:rsidP="00DD09A6">
      <w:pPr>
        <w:spacing w:before="60"/>
        <w:ind w:left="1134" w:hanging="567"/>
      </w:pPr>
      <w:r>
        <w:t>0</w:t>
      </w:r>
      <w:r w:rsidR="00DD09A6">
        <w:tab/>
      </w:r>
      <w:r w:rsidRPr="008C4D27">
        <w:t>I/we always used contraception</w:t>
      </w:r>
    </w:p>
    <w:p w14:paraId="4122DC3A" w14:textId="77777777" w:rsidR="0083076E" w:rsidRDefault="0083076E" w:rsidP="00CA2F65"/>
    <w:p w14:paraId="71678644" w14:textId="77777777" w:rsidR="0083076E" w:rsidRPr="00CA2F65" w:rsidRDefault="0083076E" w:rsidP="00DD09A6">
      <w:pPr>
        <w:spacing w:before="120"/>
        <w:ind w:left="567" w:hanging="567"/>
        <w:rPr>
          <w:b/>
        </w:rPr>
      </w:pPr>
      <w:r w:rsidRPr="00CA2F65">
        <w:rPr>
          <w:b/>
        </w:rPr>
        <w:t>2)</w:t>
      </w:r>
      <w:r w:rsidR="00CA2F65">
        <w:rPr>
          <w:b/>
        </w:rPr>
        <w:tab/>
      </w:r>
      <w:r w:rsidRPr="00CA2F65">
        <w:rPr>
          <w:b/>
        </w:rPr>
        <w:t xml:space="preserve">In terms of becoming a mother </w:t>
      </w:r>
      <w:r w:rsidRPr="00CA2F65">
        <w:rPr>
          <w:rFonts w:ascii="Arial,Italic" w:hAnsi="Arial,Italic" w:cs="Arial,Italic"/>
          <w:b/>
          <w:i/>
          <w:iCs/>
        </w:rPr>
        <w:t>(first time or again)</w:t>
      </w:r>
      <w:r w:rsidRPr="00CA2F65">
        <w:rPr>
          <w:b/>
        </w:rPr>
        <w:t>, I feel that my pregnancy happened at the</w:t>
      </w:r>
      <w:r w:rsidR="00CA2F65">
        <w:rPr>
          <w:b/>
        </w:rPr>
        <w:t xml:space="preserve"> ...</w:t>
      </w:r>
    </w:p>
    <w:p w14:paraId="2B96DFCE" w14:textId="77777777" w:rsidR="0083076E" w:rsidRDefault="0083076E" w:rsidP="00DD09A6">
      <w:pPr>
        <w:spacing w:before="60"/>
        <w:ind w:left="1134" w:hanging="567"/>
      </w:pPr>
      <w:r>
        <w:t>2</w:t>
      </w:r>
      <w:r w:rsidR="00DD09A6">
        <w:tab/>
      </w:r>
      <w:r>
        <w:t>right time</w:t>
      </w:r>
    </w:p>
    <w:p w14:paraId="5614BA7A" w14:textId="77777777" w:rsidR="0083076E" w:rsidRDefault="0083076E" w:rsidP="00DD09A6">
      <w:pPr>
        <w:spacing w:before="60"/>
        <w:ind w:left="1134" w:hanging="567"/>
      </w:pPr>
      <w:r>
        <w:t>1</w:t>
      </w:r>
      <w:r w:rsidR="00DD09A6">
        <w:tab/>
      </w:r>
      <w:r>
        <w:t>ok, but not quite right time</w:t>
      </w:r>
    </w:p>
    <w:p w14:paraId="7442AF96" w14:textId="77777777" w:rsidR="0083076E" w:rsidRDefault="0083076E" w:rsidP="00DD09A6">
      <w:pPr>
        <w:spacing w:before="60"/>
        <w:ind w:left="1134" w:hanging="567"/>
      </w:pPr>
      <w:r>
        <w:t>0</w:t>
      </w:r>
      <w:r w:rsidR="00DD09A6">
        <w:tab/>
      </w:r>
      <w:r>
        <w:t>wrong time</w:t>
      </w:r>
    </w:p>
    <w:p w14:paraId="3D570275" w14:textId="77777777" w:rsidR="0083076E" w:rsidRDefault="0083076E" w:rsidP="00CA2F65"/>
    <w:p w14:paraId="4E060ACF" w14:textId="77777777" w:rsidR="0083076E" w:rsidRPr="00CA2F65" w:rsidRDefault="0083076E" w:rsidP="00DD09A6">
      <w:pPr>
        <w:spacing w:before="120"/>
        <w:rPr>
          <w:b/>
        </w:rPr>
      </w:pPr>
      <w:r w:rsidRPr="00CA2F65">
        <w:rPr>
          <w:b/>
        </w:rPr>
        <w:t>3)</w:t>
      </w:r>
      <w:r w:rsidR="00CA2F65">
        <w:rPr>
          <w:b/>
        </w:rPr>
        <w:tab/>
      </w:r>
      <w:r w:rsidRPr="00CA2F65">
        <w:rPr>
          <w:b/>
        </w:rPr>
        <w:t>Just before I became pregnant</w:t>
      </w:r>
      <w:r w:rsidR="00CA2F65">
        <w:rPr>
          <w:b/>
        </w:rPr>
        <w:t xml:space="preserve"> ...</w:t>
      </w:r>
    </w:p>
    <w:p w14:paraId="58D98BE7" w14:textId="77777777" w:rsidR="0083076E" w:rsidRDefault="0083076E" w:rsidP="00DD09A6">
      <w:pPr>
        <w:spacing w:before="60"/>
        <w:ind w:left="1134" w:hanging="567"/>
      </w:pPr>
      <w:r>
        <w:t>2</w:t>
      </w:r>
      <w:r w:rsidR="00DD09A6">
        <w:tab/>
      </w:r>
      <w:r>
        <w:t>I intended to get pregnant</w:t>
      </w:r>
    </w:p>
    <w:p w14:paraId="2CD8FB8E" w14:textId="77777777" w:rsidR="0083076E" w:rsidRDefault="0083076E" w:rsidP="00DD09A6">
      <w:pPr>
        <w:spacing w:before="60"/>
        <w:ind w:left="1134" w:hanging="567"/>
      </w:pPr>
      <w:r>
        <w:t>1</w:t>
      </w:r>
      <w:r w:rsidR="00DD09A6">
        <w:tab/>
      </w:r>
      <w:r>
        <w:t>my intentions kept changing</w:t>
      </w:r>
    </w:p>
    <w:p w14:paraId="1B3739E0" w14:textId="77777777" w:rsidR="0083076E" w:rsidRDefault="0083076E" w:rsidP="00DD09A6">
      <w:pPr>
        <w:spacing w:before="60"/>
        <w:ind w:left="1134" w:hanging="567"/>
      </w:pPr>
      <w:r>
        <w:t>0</w:t>
      </w:r>
      <w:r w:rsidR="00DD09A6">
        <w:tab/>
      </w:r>
      <w:r>
        <w:t>I did not intend to get pregnant</w:t>
      </w:r>
    </w:p>
    <w:p w14:paraId="30B3FE33" w14:textId="77777777" w:rsidR="0083076E" w:rsidRDefault="0083076E" w:rsidP="00CA2F65"/>
    <w:p w14:paraId="042BAA5F" w14:textId="77777777" w:rsidR="0083076E" w:rsidRPr="00CA2F65" w:rsidRDefault="0083076E" w:rsidP="00DD09A6">
      <w:pPr>
        <w:spacing w:before="120"/>
        <w:rPr>
          <w:b/>
        </w:rPr>
      </w:pPr>
      <w:r w:rsidRPr="00CA2F65">
        <w:rPr>
          <w:b/>
        </w:rPr>
        <w:t>4)</w:t>
      </w:r>
      <w:r w:rsidR="00CA2F65">
        <w:rPr>
          <w:b/>
        </w:rPr>
        <w:tab/>
      </w:r>
      <w:r w:rsidRPr="00CA2F65">
        <w:rPr>
          <w:b/>
        </w:rPr>
        <w:t>Just before I became pregnant</w:t>
      </w:r>
      <w:r w:rsidR="00CA2F65">
        <w:rPr>
          <w:b/>
        </w:rPr>
        <w:t xml:space="preserve"> ...</w:t>
      </w:r>
    </w:p>
    <w:p w14:paraId="1A33A8B3" w14:textId="77777777" w:rsidR="0083076E" w:rsidRDefault="0083076E" w:rsidP="00DD09A6">
      <w:pPr>
        <w:spacing w:before="60"/>
        <w:ind w:left="1134" w:hanging="567"/>
      </w:pPr>
      <w:r>
        <w:t>2</w:t>
      </w:r>
      <w:r w:rsidR="00DD09A6">
        <w:tab/>
      </w:r>
      <w:r>
        <w:t>I wanted to have a baby</w:t>
      </w:r>
    </w:p>
    <w:p w14:paraId="4ADB989E" w14:textId="77777777" w:rsidR="0083076E" w:rsidRDefault="0083076E" w:rsidP="00DD09A6">
      <w:pPr>
        <w:spacing w:before="60"/>
        <w:ind w:left="1134" w:hanging="567"/>
      </w:pPr>
      <w:r>
        <w:t>1</w:t>
      </w:r>
      <w:r w:rsidR="00DD09A6">
        <w:tab/>
      </w:r>
      <w:r>
        <w:t>I had mixed feelings about having a baby</w:t>
      </w:r>
    </w:p>
    <w:p w14:paraId="657ACB13" w14:textId="77777777" w:rsidR="0083076E" w:rsidRDefault="0083076E" w:rsidP="00DD09A6">
      <w:pPr>
        <w:spacing w:before="60"/>
        <w:ind w:left="1134" w:hanging="567"/>
      </w:pPr>
      <w:r>
        <w:t>0</w:t>
      </w:r>
      <w:r w:rsidR="00DD09A6">
        <w:tab/>
      </w:r>
      <w:r>
        <w:t>I did not want to have a baby</w:t>
      </w:r>
    </w:p>
    <w:p w14:paraId="32CD8466" w14:textId="77777777" w:rsidR="00DD09A6" w:rsidRDefault="00DD09A6" w:rsidP="00DD09A6"/>
    <w:p w14:paraId="115D177F" w14:textId="77777777" w:rsidR="0083076E" w:rsidRPr="00CA2F65" w:rsidRDefault="0083076E" w:rsidP="00DD09A6">
      <w:pPr>
        <w:spacing w:before="120"/>
        <w:rPr>
          <w:b/>
        </w:rPr>
      </w:pPr>
      <w:r w:rsidRPr="00CA2F65">
        <w:rPr>
          <w:b/>
        </w:rPr>
        <w:t>5)</w:t>
      </w:r>
      <w:r w:rsidR="00CA2F65">
        <w:rPr>
          <w:b/>
        </w:rPr>
        <w:tab/>
      </w:r>
      <w:r w:rsidRPr="00CA2F65">
        <w:rPr>
          <w:b/>
        </w:rPr>
        <w:t>Before I became pregnant</w:t>
      </w:r>
      <w:r w:rsidR="00CA2F65">
        <w:rPr>
          <w:b/>
        </w:rPr>
        <w:t xml:space="preserve"> ...</w:t>
      </w:r>
    </w:p>
    <w:p w14:paraId="3B5B1FD4" w14:textId="77777777" w:rsidR="0083076E" w:rsidRDefault="0083076E" w:rsidP="00DD09A6">
      <w:pPr>
        <w:spacing w:before="60"/>
        <w:ind w:left="1134" w:hanging="567"/>
      </w:pPr>
      <w:r>
        <w:t>2</w:t>
      </w:r>
      <w:r w:rsidR="00DD09A6">
        <w:tab/>
        <w:t>m</w:t>
      </w:r>
      <w:r>
        <w:t>y partner and I had agreed that we would like me to be pregnant</w:t>
      </w:r>
    </w:p>
    <w:p w14:paraId="31E0E6CD" w14:textId="77777777" w:rsidR="0083076E" w:rsidRDefault="0083076E" w:rsidP="00DD09A6">
      <w:pPr>
        <w:spacing w:before="60"/>
        <w:ind w:left="1134" w:hanging="567"/>
      </w:pPr>
      <w:r>
        <w:t>1</w:t>
      </w:r>
      <w:r w:rsidR="00DD09A6">
        <w:tab/>
        <w:t>m</w:t>
      </w:r>
      <w:r>
        <w:t>y partner and I had discussed having children together, but hadn</w:t>
      </w:r>
      <w:r w:rsidR="0074674F">
        <w:t>’</w:t>
      </w:r>
      <w:r>
        <w:t>t agreed for me to get pregnant</w:t>
      </w:r>
    </w:p>
    <w:p w14:paraId="1C0317B3" w14:textId="77777777" w:rsidR="0083076E" w:rsidRDefault="0083076E" w:rsidP="00DD09A6">
      <w:pPr>
        <w:spacing w:before="60"/>
        <w:ind w:left="1134" w:hanging="567"/>
      </w:pPr>
      <w:r>
        <w:t>0</w:t>
      </w:r>
      <w:r w:rsidR="00DD09A6">
        <w:tab/>
        <w:t>w</w:t>
      </w:r>
      <w:r>
        <w:t>e never discussed having children together</w:t>
      </w:r>
    </w:p>
    <w:p w14:paraId="3DB0DD9B" w14:textId="77777777" w:rsidR="0083076E" w:rsidRDefault="0083076E" w:rsidP="00CA2F65"/>
    <w:p w14:paraId="45326A43" w14:textId="77777777" w:rsidR="0083076E" w:rsidRPr="00CA2F65" w:rsidRDefault="0083076E" w:rsidP="00DD09A6">
      <w:pPr>
        <w:keepNext/>
        <w:spacing w:before="120"/>
        <w:ind w:left="567" w:hanging="567"/>
        <w:rPr>
          <w:b/>
        </w:rPr>
      </w:pPr>
      <w:r w:rsidRPr="00CA2F65">
        <w:rPr>
          <w:b/>
        </w:rPr>
        <w:lastRenderedPageBreak/>
        <w:t>6)</w:t>
      </w:r>
      <w:r w:rsidR="00CA2F65" w:rsidRPr="00CA2F65">
        <w:rPr>
          <w:b/>
        </w:rPr>
        <w:tab/>
      </w:r>
      <w:r w:rsidRPr="00CA2F65">
        <w:rPr>
          <w:b/>
        </w:rPr>
        <w:t>Before you became pregnant, did you do anything to improve your health in preparation for pregnancy?</w:t>
      </w:r>
    </w:p>
    <w:p w14:paraId="3A2355D8" w14:textId="77777777" w:rsidR="0083076E" w:rsidRDefault="0083076E" w:rsidP="00DD09A6">
      <w:pPr>
        <w:pStyle w:val="Bullet"/>
        <w:keepNext/>
        <w:ind w:left="851"/>
      </w:pPr>
      <w:r>
        <w:t>took folic acid</w:t>
      </w:r>
    </w:p>
    <w:p w14:paraId="78A12093" w14:textId="77777777" w:rsidR="0083076E" w:rsidRDefault="0083076E" w:rsidP="00DD09A6">
      <w:pPr>
        <w:pStyle w:val="Bullet"/>
        <w:keepNext/>
        <w:ind w:left="851"/>
      </w:pPr>
      <w:r>
        <w:t>stopped or cut down smoking</w:t>
      </w:r>
    </w:p>
    <w:p w14:paraId="586B90D3" w14:textId="77777777" w:rsidR="0083076E" w:rsidRDefault="0083076E" w:rsidP="00DD09A6">
      <w:pPr>
        <w:pStyle w:val="Bullet"/>
        <w:ind w:left="851"/>
      </w:pPr>
      <w:r>
        <w:t>stopped or cut down drinking alcohol</w:t>
      </w:r>
    </w:p>
    <w:p w14:paraId="319FDE5F" w14:textId="77777777" w:rsidR="0083076E" w:rsidRDefault="0083076E" w:rsidP="00DD09A6">
      <w:pPr>
        <w:pStyle w:val="Bullet"/>
        <w:ind w:left="851"/>
      </w:pPr>
      <w:r>
        <w:t>ate more healthily</w:t>
      </w:r>
    </w:p>
    <w:p w14:paraId="5D22B5AE" w14:textId="77777777" w:rsidR="0083076E" w:rsidRDefault="0083076E" w:rsidP="00DD09A6">
      <w:pPr>
        <w:pStyle w:val="Bullet"/>
        <w:ind w:left="851"/>
      </w:pPr>
      <w:r>
        <w:t>sought medical/health advice</w:t>
      </w:r>
    </w:p>
    <w:p w14:paraId="17A0C5E1" w14:textId="77777777" w:rsidR="0083076E" w:rsidRDefault="0083076E" w:rsidP="00DD09A6">
      <w:pPr>
        <w:pStyle w:val="Bullet"/>
        <w:ind w:left="851"/>
      </w:pPr>
      <w:r>
        <w:t>took some other action, please describe ____________________________</w:t>
      </w:r>
    </w:p>
    <w:p w14:paraId="0DD41146" w14:textId="77777777" w:rsidR="0083076E" w:rsidRDefault="0083076E" w:rsidP="00DD09A6">
      <w:pPr>
        <w:pStyle w:val="Bullet"/>
        <w:ind w:left="851"/>
      </w:pPr>
      <w:r>
        <w:t>I did not do any of the above before my pregnancy</w:t>
      </w:r>
    </w:p>
    <w:p w14:paraId="1BA75750" w14:textId="77777777" w:rsidR="0083076E" w:rsidRDefault="0083076E" w:rsidP="00DD09A6">
      <w:pPr>
        <w:ind w:left="567"/>
      </w:pPr>
    </w:p>
    <w:p w14:paraId="7DCD6A55" w14:textId="77777777" w:rsidR="0083076E" w:rsidRDefault="0083076E" w:rsidP="00DD09A6">
      <w:pPr>
        <w:ind w:left="567"/>
      </w:pPr>
      <w:r>
        <w:t>1 = 1 action</w:t>
      </w:r>
    </w:p>
    <w:p w14:paraId="4C7529A7" w14:textId="77777777" w:rsidR="0083076E" w:rsidRDefault="0083076E" w:rsidP="00DD09A6">
      <w:pPr>
        <w:ind w:left="567"/>
      </w:pPr>
      <w:r>
        <w:t>2 = 2 or more actions</w:t>
      </w:r>
    </w:p>
    <w:p w14:paraId="45CBBF5D" w14:textId="77777777" w:rsidR="0083076E" w:rsidRDefault="0083076E" w:rsidP="00DD09A6"/>
    <w:sectPr w:rsidR="0083076E" w:rsidSect="002B7BEC">
      <w:footerReference w:type="even" r:id="rId26"/>
      <w:footerReference w:type="default" r:id="rId27"/>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6DB77" w14:textId="77777777" w:rsidR="006C5790" w:rsidRDefault="006C5790">
      <w:r>
        <w:separator/>
      </w:r>
    </w:p>
    <w:p w14:paraId="6F2E2963" w14:textId="77777777" w:rsidR="006C5790" w:rsidRDefault="006C5790"/>
  </w:endnote>
  <w:endnote w:type="continuationSeparator" w:id="0">
    <w:p w14:paraId="0C33A55F" w14:textId="77777777" w:rsidR="006C5790" w:rsidRDefault="006C5790">
      <w:r>
        <w:continuationSeparator/>
      </w:r>
    </w:p>
    <w:p w14:paraId="345BF824" w14:textId="77777777" w:rsidR="006C5790" w:rsidRDefault="006C57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1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36E67" w14:textId="77777777" w:rsidR="006C5790" w:rsidRPr="00581136" w:rsidRDefault="006C5790" w:rsidP="005A79E5">
    <w:pPr>
      <w:pStyle w:val="Footer"/>
      <w:pBdr>
        <w:bottom w:val="single" w:sz="4" w:space="1" w:color="auto"/>
      </w:pBdr>
      <w:tabs>
        <w:tab w:val="right" w:pos="9639"/>
      </w:tabs>
      <w:rPr>
        <w:b/>
      </w:rPr>
    </w:pPr>
    <w:r w:rsidRPr="00581136">
      <w:rPr>
        <w:b/>
      </w:rPr>
      <w:t>Released 201</w:t>
    </w:r>
    <w:r>
      <w:rPr>
        <w:b/>
      </w:rPr>
      <w:t>9</w:t>
    </w:r>
    <w:r w:rsidRPr="00581136">
      <w:rPr>
        <w:b/>
      </w:rPr>
      <w:tab/>
      <w:t>health.govt.nz</w:t>
    </w:r>
  </w:p>
  <w:p w14:paraId="24BF1B25" w14:textId="77777777" w:rsidR="006C5790" w:rsidRPr="005A79E5" w:rsidRDefault="006C5790">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B9265" w14:textId="77777777" w:rsidR="006C5790" w:rsidRDefault="006C5790"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501B9" w14:textId="77777777" w:rsidR="006C5790" w:rsidRDefault="006C57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6C5790" w14:paraId="6E7AF3A0" w14:textId="77777777" w:rsidTr="00D662F8">
      <w:trPr>
        <w:cantSplit/>
      </w:trPr>
      <w:tc>
        <w:tcPr>
          <w:tcW w:w="709" w:type="dxa"/>
          <w:vAlign w:val="center"/>
        </w:tcPr>
        <w:p w14:paraId="2F0890DB" w14:textId="77777777" w:rsidR="006C5790" w:rsidRPr="00931466" w:rsidRDefault="006C5790"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9E5966">
            <w:rPr>
              <w:rStyle w:val="PageNumber"/>
              <w:noProof/>
            </w:rPr>
            <w:t>iv</w:t>
          </w:r>
          <w:r w:rsidRPr="00931466">
            <w:rPr>
              <w:rStyle w:val="PageNumber"/>
            </w:rPr>
            <w:fldChar w:fldCharType="end"/>
          </w:r>
        </w:p>
      </w:tc>
      <w:tc>
        <w:tcPr>
          <w:tcW w:w="8080" w:type="dxa"/>
          <w:vAlign w:val="center"/>
        </w:tcPr>
        <w:p w14:paraId="76A9E31E" w14:textId="77777777" w:rsidR="006C5790" w:rsidRDefault="006C5790" w:rsidP="00767B99">
          <w:pPr>
            <w:pStyle w:val="RectoFooter"/>
            <w:jc w:val="left"/>
          </w:pPr>
          <w:r>
            <w:t>pregnancy planning: findings from the 2014/15 new zealand health survey</w:t>
          </w:r>
        </w:p>
      </w:tc>
    </w:tr>
  </w:tbl>
  <w:p w14:paraId="7DE13988" w14:textId="77777777" w:rsidR="006C5790" w:rsidRPr="00571223" w:rsidRDefault="006C5790"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6C5790" w14:paraId="7B3EABFE" w14:textId="77777777" w:rsidTr="006E2886">
      <w:trPr>
        <w:cantSplit/>
      </w:trPr>
      <w:tc>
        <w:tcPr>
          <w:tcW w:w="8080" w:type="dxa"/>
          <w:vAlign w:val="center"/>
        </w:tcPr>
        <w:p w14:paraId="0DFFB726" w14:textId="77777777" w:rsidR="006C5790" w:rsidRDefault="006C5790" w:rsidP="004D534B">
          <w:pPr>
            <w:pStyle w:val="RectoFooter"/>
          </w:pPr>
          <w:r>
            <w:t>pregnancy planning: findings from the 2014/15 new zealand health survey</w:t>
          </w:r>
        </w:p>
      </w:tc>
      <w:tc>
        <w:tcPr>
          <w:tcW w:w="709" w:type="dxa"/>
          <w:vAlign w:val="center"/>
        </w:tcPr>
        <w:p w14:paraId="2621D6EB" w14:textId="77777777" w:rsidR="006C5790" w:rsidRPr="00931466" w:rsidRDefault="006C5790"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9E5966">
            <w:rPr>
              <w:rStyle w:val="PageNumber"/>
              <w:noProof/>
            </w:rPr>
            <w:t>v</w:t>
          </w:r>
          <w:r w:rsidRPr="00931466">
            <w:rPr>
              <w:rStyle w:val="PageNumber"/>
            </w:rPr>
            <w:fldChar w:fldCharType="end"/>
          </w:r>
        </w:p>
      </w:tc>
    </w:tr>
  </w:tbl>
  <w:p w14:paraId="2E591913" w14:textId="77777777" w:rsidR="006C5790" w:rsidRPr="00581EB8" w:rsidRDefault="006C5790"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567" w:type="dxa"/>
      <w:tblLayout w:type="fixed"/>
      <w:tblLook w:val="04A0" w:firstRow="1" w:lastRow="0" w:firstColumn="1" w:lastColumn="0" w:noHBand="0" w:noVBand="1"/>
    </w:tblPr>
    <w:tblGrid>
      <w:gridCol w:w="675"/>
      <w:gridCol w:w="9072"/>
    </w:tblGrid>
    <w:tr w:rsidR="006C5790" w14:paraId="37A29BF8" w14:textId="77777777" w:rsidTr="006E2886">
      <w:trPr>
        <w:cantSplit/>
      </w:trPr>
      <w:tc>
        <w:tcPr>
          <w:tcW w:w="675" w:type="dxa"/>
          <w:vAlign w:val="center"/>
        </w:tcPr>
        <w:p w14:paraId="13B0385C" w14:textId="77777777" w:rsidR="006C5790" w:rsidRPr="00931466" w:rsidRDefault="006C5790"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9072" w:type="dxa"/>
          <w:vAlign w:val="center"/>
        </w:tcPr>
        <w:p w14:paraId="6A6ECC5B" w14:textId="77777777" w:rsidR="006C5790" w:rsidRDefault="006C5790" w:rsidP="00767B99">
          <w:pPr>
            <w:pStyle w:val="RectoFooter"/>
            <w:jc w:val="left"/>
          </w:pPr>
          <w:r>
            <w:t>pregnancy planning: findings from the 2014/15 new zealand health survey</w:t>
          </w:r>
        </w:p>
      </w:tc>
    </w:tr>
  </w:tbl>
  <w:p w14:paraId="74465BEC" w14:textId="77777777" w:rsidR="006C5790" w:rsidRPr="00571223" w:rsidRDefault="006C5790"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567" w:type="dxa"/>
      <w:tblLayout w:type="fixed"/>
      <w:tblLook w:val="04A0" w:firstRow="1" w:lastRow="0" w:firstColumn="1" w:lastColumn="0" w:noHBand="0" w:noVBand="1"/>
    </w:tblPr>
    <w:tblGrid>
      <w:gridCol w:w="675"/>
      <w:gridCol w:w="9072"/>
    </w:tblGrid>
    <w:tr w:rsidR="006C5790" w14:paraId="0E6DF4E2" w14:textId="77777777" w:rsidTr="006E2886">
      <w:trPr>
        <w:cantSplit/>
      </w:trPr>
      <w:tc>
        <w:tcPr>
          <w:tcW w:w="675" w:type="dxa"/>
          <w:vAlign w:val="center"/>
        </w:tcPr>
        <w:p w14:paraId="4898C08E" w14:textId="77777777" w:rsidR="006C5790" w:rsidRPr="00931466" w:rsidRDefault="006C5790"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9E5966">
            <w:rPr>
              <w:rStyle w:val="PageNumber"/>
              <w:noProof/>
            </w:rPr>
            <w:t>2</w:t>
          </w:r>
          <w:r w:rsidRPr="00931466">
            <w:rPr>
              <w:rStyle w:val="PageNumber"/>
            </w:rPr>
            <w:fldChar w:fldCharType="end"/>
          </w:r>
        </w:p>
      </w:tc>
      <w:tc>
        <w:tcPr>
          <w:tcW w:w="9072" w:type="dxa"/>
          <w:vAlign w:val="center"/>
        </w:tcPr>
        <w:p w14:paraId="271FEA58" w14:textId="77777777" w:rsidR="006C5790" w:rsidRDefault="006C5790" w:rsidP="004D534B">
          <w:pPr>
            <w:pStyle w:val="RectoFooter"/>
            <w:jc w:val="left"/>
          </w:pPr>
          <w:r>
            <w:t>pregnancy planning: findings from the 2014/15 new zealand health survey</w:t>
          </w:r>
        </w:p>
      </w:tc>
    </w:tr>
  </w:tbl>
  <w:p w14:paraId="2B583D72" w14:textId="77777777" w:rsidR="006C5790" w:rsidRPr="00571223" w:rsidRDefault="006C5790" w:rsidP="00571223">
    <w:pPr>
      <w:pStyle w:val="Verso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6C5790" w14:paraId="1564AE04" w14:textId="77777777" w:rsidTr="006E2886">
      <w:trPr>
        <w:cantSplit/>
      </w:trPr>
      <w:tc>
        <w:tcPr>
          <w:tcW w:w="8080" w:type="dxa"/>
          <w:vAlign w:val="center"/>
        </w:tcPr>
        <w:p w14:paraId="15F25099" w14:textId="77777777" w:rsidR="006C5790" w:rsidRDefault="006C5790" w:rsidP="004D534B">
          <w:pPr>
            <w:pStyle w:val="RectoFooter"/>
          </w:pPr>
          <w:r>
            <w:t>pregnancy planning: findings from the 2014/15 new zealand health survey</w:t>
          </w:r>
        </w:p>
      </w:tc>
      <w:tc>
        <w:tcPr>
          <w:tcW w:w="709" w:type="dxa"/>
          <w:vAlign w:val="center"/>
        </w:tcPr>
        <w:p w14:paraId="0C0ACCEF" w14:textId="77777777" w:rsidR="006C5790" w:rsidRPr="00931466" w:rsidRDefault="006C5790"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9E5966">
            <w:rPr>
              <w:rStyle w:val="PageNumber"/>
              <w:noProof/>
            </w:rPr>
            <w:t>1</w:t>
          </w:r>
          <w:r w:rsidRPr="00931466">
            <w:rPr>
              <w:rStyle w:val="PageNumber"/>
            </w:rPr>
            <w:fldChar w:fldCharType="end"/>
          </w:r>
        </w:p>
      </w:tc>
    </w:tr>
  </w:tbl>
  <w:p w14:paraId="527483FA" w14:textId="77777777" w:rsidR="006C5790" w:rsidRPr="00581EB8" w:rsidRDefault="006C5790"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CB9E8" w14:textId="77777777" w:rsidR="006C5790" w:rsidRPr="00A26E6B" w:rsidRDefault="006C5790" w:rsidP="00A26E6B"/>
  </w:footnote>
  <w:footnote w:type="continuationSeparator" w:id="0">
    <w:p w14:paraId="2AFBEA26" w14:textId="77777777" w:rsidR="006C5790" w:rsidRDefault="006C5790">
      <w:r>
        <w:continuationSeparator/>
      </w:r>
    </w:p>
    <w:p w14:paraId="1D527C7D" w14:textId="77777777" w:rsidR="006C5790" w:rsidRDefault="006C5790"/>
  </w:footnote>
  <w:footnote w:id="1">
    <w:p w14:paraId="485A7242" w14:textId="77777777" w:rsidR="006C5790" w:rsidRPr="0074674F" w:rsidRDefault="006C5790" w:rsidP="00EE1384">
      <w:pPr>
        <w:pStyle w:val="FootnoteText"/>
      </w:pPr>
      <w:r w:rsidRPr="00EE1384">
        <w:rPr>
          <w:rStyle w:val="FootnoteReference"/>
        </w:rPr>
        <w:footnoteRef/>
      </w:r>
      <w:r>
        <w:tab/>
      </w:r>
      <w:r w:rsidRPr="0074674F">
        <w:t>The lower rates of pregnancies in the last five years among Pacific women (35%) in comparison to Māori women (44%) were unexpected. The total fertility rates calculated from the 2013 New Zealand Census data show a higher lifetime fertility for Pacific women (2.73 children) in comparison to Māori women (2.49 children) (Statistics New Zealand 2015).</w:t>
      </w:r>
    </w:p>
    <w:p w14:paraId="50DE2C03" w14:textId="77777777" w:rsidR="006C5790" w:rsidRPr="0074674F" w:rsidRDefault="006C5790" w:rsidP="0083076E">
      <w:pPr>
        <w:pStyle w:val="FootnoteText"/>
        <w:rPr>
          <w:rFonts w:cs="Segoe UI"/>
          <w:szCs w:val="17"/>
        </w:rPr>
      </w:pPr>
    </w:p>
  </w:footnote>
  <w:footnote w:id="2">
    <w:p w14:paraId="764B475A" w14:textId="77777777" w:rsidR="006C5790" w:rsidRPr="00EE1384" w:rsidRDefault="006C5790" w:rsidP="00EE1384">
      <w:pPr>
        <w:pStyle w:val="FootnoteText"/>
      </w:pPr>
      <w:r w:rsidRPr="00EE1384">
        <w:rPr>
          <w:rStyle w:val="FootnoteReference"/>
        </w:rPr>
        <w:footnoteRef/>
      </w:r>
      <w:r>
        <w:rPr>
          <w:rStyle w:val="FootnoteTextChar"/>
        </w:rPr>
        <w:tab/>
      </w:r>
      <w:r w:rsidRPr="00EE1384">
        <w:rPr>
          <w:rStyle w:val="FootnoteTextChar"/>
        </w:rPr>
        <w:t>The appendix lists out the questions and the scoring methodology.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5210"/>
      <w:gridCol w:w="4429"/>
    </w:tblGrid>
    <w:tr w:rsidR="006C5790" w14:paraId="2D20BD45" w14:textId="77777777" w:rsidTr="005A79E5">
      <w:trPr>
        <w:cantSplit/>
      </w:trPr>
      <w:tc>
        <w:tcPr>
          <w:tcW w:w="5210" w:type="dxa"/>
        </w:tcPr>
        <w:p w14:paraId="2FD3CCBC" w14:textId="77777777" w:rsidR="006C5790" w:rsidRDefault="006C5790" w:rsidP="008814E8">
          <w:pPr>
            <w:pStyle w:val="Header"/>
          </w:pPr>
          <w:r>
            <w:rPr>
              <w:noProof/>
              <w:lang w:eastAsia="en-NZ"/>
            </w:rPr>
            <w:drawing>
              <wp:inline distT="0" distB="0" distL="0" distR="0" wp14:anchorId="39141D17" wp14:editId="63CC59C3">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6B621732" w14:textId="77777777" w:rsidR="006C5790" w:rsidRDefault="006C5790" w:rsidP="008814E8">
          <w:pPr>
            <w:pStyle w:val="Header"/>
            <w:jc w:val="right"/>
          </w:pPr>
          <w:r>
            <w:rPr>
              <w:noProof/>
              <w:lang w:eastAsia="en-NZ"/>
            </w:rPr>
            <w:drawing>
              <wp:inline distT="0" distB="0" distL="0" distR="0" wp14:anchorId="24C15BC6" wp14:editId="676DD09C">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5C09CD51" w14:textId="77777777" w:rsidR="006C5790" w:rsidRDefault="006C5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0EB1D" w14:textId="77777777" w:rsidR="006C5790" w:rsidRDefault="006C5790"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6E296" w14:textId="77777777" w:rsidR="006C5790" w:rsidRDefault="006C5790"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D64"/>
    <w:multiLevelType w:val="multilevel"/>
    <w:tmpl w:val="33B63C2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424"/>
        </w:tabs>
        <w:ind w:left="1066" w:hanging="357"/>
      </w:pPr>
      <w:rPr>
        <w:rFonts w:ascii="Symbol" w:hAnsi="Symbol" w:hint="default"/>
        <w:sz w:val="22"/>
        <w:vertAlign w:val="superscript"/>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623B1E"/>
    <w:multiLevelType w:val="hybridMultilevel"/>
    <w:tmpl w:val="4A3E85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1B64AE7"/>
    <w:multiLevelType w:val="hybridMultilevel"/>
    <w:tmpl w:val="7AF4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15:restartNumberingAfterBreak="0">
    <w:nsid w:val="05954F30"/>
    <w:multiLevelType w:val="hybridMultilevel"/>
    <w:tmpl w:val="40485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6FA6483"/>
    <w:multiLevelType w:val="hybridMultilevel"/>
    <w:tmpl w:val="8394396E"/>
    <w:lvl w:ilvl="0" w:tplc="14090001">
      <w:start w:val="1"/>
      <w:numFmt w:val="bullet"/>
      <w:lvlText w:val=""/>
      <w:lvlJc w:val="left"/>
      <w:pPr>
        <w:ind w:left="790" w:hanging="360"/>
      </w:pPr>
      <w:rPr>
        <w:rFonts w:ascii="Symbol" w:hAnsi="Symbol" w:hint="default"/>
      </w:rPr>
    </w:lvl>
    <w:lvl w:ilvl="1" w:tplc="14090003" w:tentative="1">
      <w:start w:val="1"/>
      <w:numFmt w:val="bullet"/>
      <w:lvlText w:val="o"/>
      <w:lvlJc w:val="left"/>
      <w:pPr>
        <w:ind w:left="1510" w:hanging="360"/>
      </w:pPr>
      <w:rPr>
        <w:rFonts w:ascii="Courier New" w:hAnsi="Courier New" w:cs="Courier New" w:hint="default"/>
      </w:rPr>
    </w:lvl>
    <w:lvl w:ilvl="2" w:tplc="14090005" w:tentative="1">
      <w:start w:val="1"/>
      <w:numFmt w:val="bullet"/>
      <w:lvlText w:val=""/>
      <w:lvlJc w:val="left"/>
      <w:pPr>
        <w:ind w:left="2230" w:hanging="360"/>
      </w:pPr>
      <w:rPr>
        <w:rFonts w:ascii="Wingdings" w:hAnsi="Wingdings" w:hint="default"/>
      </w:rPr>
    </w:lvl>
    <w:lvl w:ilvl="3" w:tplc="14090001" w:tentative="1">
      <w:start w:val="1"/>
      <w:numFmt w:val="bullet"/>
      <w:lvlText w:val=""/>
      <w:lvlJc w:val="left"/>
      <w:pPr>
        <w:ind w:left="2950" w:hanging="360"/>
      </w:pPr>
      <w:rPr>
        <w:rFonts w:ascii="Symbol" w:hAnsi="Symbol" w:hint="default"/>
      </w:rPr>
    </w:lvl>
    <w:lvl w:ilvl="4" w:tplc="14090003" w:tentative="1">
      <w:start w:val="1"/>
      <w:numFmt w:val="bullet"/>
      <w:lvlText w:val="o"/>
      <w:lvlJc w:val="left"/>
      <w:pPr>
        <w:ind w:left="3670" w:hanging="360"/>
      </w:pPr>
      <w:rPr>
        <w:rFonts w:ascii="Courier New" w:hAnsi="Courier New" w:cs="Courier New" w:hint="default"/>
      </w:rPr>
    </w:lvl>
    <w:lvl w:ilvl="5" w:tplc="14090005" w:tentative="1">
      <w:start w:val="1"/>
      <w:numFmt w:val="bullet"/>
      <w:lvlText w:val=""/>
      <w:lvlJc w:val="left"/>
      <w:pPr>
        <w:ind w:left="4390" w:hanging="360"/>
      </w:pPr>
      <w:rPr>
        <w:rFonts w:ascii="Wingdings" w:hAnsi="Wingdings" w:hint="default"/>
      </w:rPr>
    </w:lvl>
    <w:lvl w:ilvl="6" w:tplc="14090001" w:tentative="1">
      <w:start w:val="1"/>
      <w:numFmt w:val="bullet"/>
      <w:lvlText w:val=""/>
      <w:lvlJc w:val="left"/>
      <w:pPr>
        <w:ind w:left="5110" w:hanging="360"/>
      </w:pPr>
      <w:rPr>
        <w:rFonts w:ascii="Symbol" w:hAnsi="Symbol" w:hint="default"/>
      </w:rPr>
    </w:lvl>
    <w:lvl w:ilvl="7" w:tplc="14090003" w:tentative="1">
      <w:start w:val="1"/>
      <w:numFmt w:val="bullet"/>
      <w:lvlText w:val="o"/>
      <w:lvlJc w:val="left"/>
      <w:pPr>
        <w:ind w:left="5830" w:hanging="360"/>
      </w:pPr>
      <w:rPr>
        <w:rFonts w:ascii="Courier New" w:hAnsi="Courier New" w:cs="Courier New" w:hint="default"/>
      </w:rPr>
    </w:lvl>
    <w:lvl w:ilvl="8" w:tplc="14090005" w:tentative="1">
      <w:start w:val="1"/>
      <w:numFmt w:val="bullet"/>
      <w:lvlText w:val=""/>
      <w:lvlJc w:val="left"/>
      <w:pPr>
        <w:ind w:left="6550" w:hanging="360"/>
      </w:pPr>
      <w:rPr>
        <w:rFonts w:ascii="Wingdings" w:hAnsi="Wingdings" w:hint="default"/>
      </w:rPr>
    </w:lvl>
  </w:abstractNum>
  <w:abstractNum w:abstractNumId="7" w15:restartNumberingAfterBreak="0">
    <w:nsid w:val="076735CD"/>
    <w:multiLevelType w:val="hybridMultilevel"/>
    <w:tmpl w:val="8C5057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8142377"/>
    <w:multiLevelType w:val="hybridMultilevel"/>
    <w:tmpl w:val="C02C123E"/>
    <w:lvl w:ilvl="0" w:tplc="78E449E2">
      <w:start w:val="1"/>
      <w:numFmt w:val="lowerRoman"/>
      <w:lvlText w:val="%1."/>
      <w:lvlJc w:val="left"/>
      <w:pPr>
        <w:ind w:left="1440" w:hanging="720"/>
      </w:pPr>
      <w:rPr>
        <w:rFonts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0C8C07BC"/>
    <w:multiLevelType w:val="hybridMultilevel"/>
    <w:tmpl w:val="ABA8FA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D8C5D5A"/>
    <w:multiLevelType w:val="multilevel"/>
    <w:tmpl w:val="2CD092E4"/>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1" w15:restartNumberingAfterBreak="0">
    <w:nsid w:val="12370A65"/>
    <w:multiLevelType w:val="multilevel"/>
    <w:tmpl w:val="14090029"/>
    <w:lvl w:ilvl="0">
      <w:start w:val="1"/>
      <w:numFmt w:val="decimal"/>
      <w:suff w:val="space"/>
      <w:lvlText w:val="Chapter %1"/>
      <w:lvlJc w:val="left"/>
      <w:pPr>
        <w:ind w:left="397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AD060F0"/>
    <w:multiLevelType w:val="multilevel"/>
    <w:tmpl w:val="8362BF2E"/>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3" w15:restartNumberingAfterBreak="0">
    <w:nsid w:val="1C39728D"/>
    <w:multiLevelType w:val="hybridMultilevel"/>
    <w:tmpl w:val="FD2042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D905CD6"/>
    <w:multiLevelType w:val="hybridMultilevel"/>
    <w:tmpl w:val="B16E5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E817AA5"/>
    <w:multiLevelType w:val="hybridMultilevel"/>
    <w:tmpl w:val="9FB0AE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1F7F0F6A"/>
    <w:multiLevelType w:val="hybridMultilevel"/>
    <w:tmpl w:val="B2A02E4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21307344"/>
    <w:multiLevelType w:val="hybridMultilevel"/>
    <w:tmpl w:val="7D0A4E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247E2E29"/>
    <w:multiLevelType w:val="hybridMultilevel"/>
    <w:tmpl w:val="FE7448D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EA0626C"/>
    <w:multiLevelType w:val="multilevel"/>
    <w:tmpl w:val="1422C38A"/>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0" w15:restartNumberingAfterBreak="0">
    <w:nsid w:val="2F3E22D3"/>
    <w:multiLevelType w:val="multilevel"/>
    <w:tmpl w:val="758E542E"/>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1" w15:restartNumberingAfterBreak="0">
    <w:nsid w:val="34DB6753"/>
    <w:multiLevelType w:val="multilevel"/>
    <w:tmpl w:val="CFA0ECDC"/>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22" w15:restartNumberingAfterBreak="0">
    <w:nsid w:val="35C46315"/>
    <w:multiLevelType w:val="hybridMultilevel"/>
    <w:tmpl w:val="98C66A74"/>
    <w:lvl w:ilvl="0" w:tplc="B4C469BA">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15:restartNumberingAfterBreak="0">
    <w:nsid w:val="36F214BA"/>
    <w:multiLevelType w:val="multilevel"/>
    <w:tmpl w:val="9C9A3D3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o"/>
      <w:lvlJc w:val="left"/>
      <w:pPr>
        <w:tabs>
          <w:tab w:val="num" w:pos="1785"/>
        </w:tabs>
        <w:ind w:left="1428" w:hanging="357"/>
      </w:pPr>
      <w:rPr>
        <w:rFonts w:ascii="Courier New" w:hAnsi="Courier New" w:cs="Courier New"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4" w15:restartNumberingAfterBreak="0">
    <w:nsid w:val="370C0CD8"/>
    <w:multiLevelType w:val="hybridMultilevel"/>
    <w:tmpl w:val="B48854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3BBE233B"/>
    <w:multiLevelType w:val="multilevel"/>
    <w:tmpl w:val="050295E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6"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7264AA"/>
    <w:multiLevelType w:val="multilevel"/>
    <w:tmpl w:val="48462F1A"/>
    <w:lvl w:ilvl="0">
      <w:start w:val="1"/>
      <w:numFmt w:val="bullet"/>
      <w:lvlText w:val=""/>
      <w:lvlJc w:val="left"/>
      <w:pPr>
        <w:ind w:left="357" w:hanging="357"/>
      </w:pPr>
      <w:rPr>
        <w:rFonts w:ascii="Symbol" w:hAnsi="Symbol"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9" w15:restartNumberingAfterBreak="0">
    <w:nsid w:val="46A02079"/>
    <w:multiLevelType w:val="multilevel"/>
    <w:tmpl w:val="F910959A"/>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0" w15:restartNumberingAfterBreak="0">
    <w:nsid w:val="4F843D9E"/>
    <w:multiLevelType w:val="multilevel"/>
    <w:tmpl w:val="68EA507E"/>
    <w:lvl w:ilvl="0">
      <w:start w:val="1"/>
      <w:numFmt w:val="decimal"/>
      <w:suff w:val="nothing"/>
      <w:lvlText w:val="Chapter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F8D26E9"/>
    <w:multiLevelType w:val="hybridMultilevel"/>
    <w:tmpl w:val="FB3CB93A"/>
    <w:lvl w:ilvl="0" w:tplc="39B8B2EC">
      <w:start w:val="1"/>
      <w:numFmt w:val="bullet"/>
      <w:lvlText w:val=""/>
      <w:lvlJc w:val="left"/>
      <w:pPr>
        <w:tabs>
          <w:tab w:val="num" w:pos="284"/>
        </w:tabs>
        <w:ind w:left="284" w:hanging="284"/>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B51688"/>
    <w:multiLevelType w:val="hybridMultilevel"/>
    <w:tmpl w:val="204EC29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0FC17C7"/>
    <w:multiLevelType w:val="hybridMultilevel"/>
    <w:tmpl w:val="A13AAA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55167D45"/>
    <w:multiLevelType w:val="hybridMultilevel"/>
    <w:tmpl w:val="3A80A0FC"/>
    <w:lvl w:ilvl="0" w:tplc="0E74F91C">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5" w15:restartNumberingAfterBreak="0">
    <w:nsid w:val="55E73FA0"/>
    <w:multiLevelType w:val="multilevel"/>
    <w:tmpl w:val="1AAA43B4"/>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6" w15:restartNumberingAfterBreak="0">
    <w:nsid w:val="56E67972"/>
    <w:multiLevelType w:val="hybridMultilevel"/>
    <w:tmpl w:val="93E8BCA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15:restartNumberingAfterBreak="0">
    <w:nsid w:val="59BE1EDB"/>
    <w:multiLevelType w:val="hybridMultilevel"/>
    <w:tmpl w:val="BBB6D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B441916"/>
    <w:multiLevelType w:val="multilevel"/>
    <w:tmpl w:val="33189EF0"/>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9" w15:restartNumberingAfterBreak="0">
    <w:nsid w:val="5C44586F"/>
    <w:multiLevelType w:val="multilevel"/>
    <w:tmpl w:val="DE3893F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40" w15:restartNumberingAfterBreak="0">
    <w:nsid w:val="5C5B64C5"/>
    <w:multiLevelType w:val="hybridMultilevel"/>
    <w:tmpl w:val="50F8BC6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1" w15:restartNumberingAfterBreak="0">
    <w:nsid w:val="5D8323CD"/>
    <w:multiLevelType w:val="multilevel"/>
    <w:tmpl w:val="419A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3834E8"/>
    <w:multiLevelType w:val="hybridMultilevel"/>
    <w:tmpl w:val="E8DC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82320D"/>
    <w:multiLevelType w:val="hybridMultilevel"/>
    <w:tmpl w:val="C0029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00F2C85"/>
    <w:multiLevelType w:val="hybridMultilevel"/>
    <w:tmpl w:val="6A54B99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1272775"/>
    <w:multiLevelType w:val="hybridMultilevel"/>
    <w:tmpl w:val="FE12A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41346C0"/>
    <w:multiLevelType w:val="hybridMultilevel"/>
    <w:tmpl w:val="CC847A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7" w15:restartNumberingAfterBreak="0">
    <w:nsid w:val="78EA6977"/>
    <w:multiLevelType w:val="multilevel"/>
    <w:tmpl w:val="8848D1A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48"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49" w15:restartNumberingAfterBreak="0">
    <w:nsid w:val="7C7F67CB"/>
    <w:multiLevelType w:val="hybridMultilevel"/>
    <w:tmpl w:val="38347004"/>
    <w:lvl w:ilvl="0" w:tplc="14090001">
      <w:start w:val="1"/>
      <w:numFmt w:val="bullet"/>
      <w:lvlText w:val=""/>
      <w:lvlJc w:val="left"/>
      <w:pPr>
        <w:ind w:left="740" w:hanging="360"/>
      </w:pPr>
      <w:rPr>
        <w:rFonts w:ascii="Symbol" w:hAnsi="Symbol" w:hint="default"/>
      </w:rPr>
    </w:lvl>
    <w:lvl w:ilvl="1" w:tplc="14090003" w:tentative="1">
      <w:start w:val="1"/>
      <w:numFmt w:val="bullet"/>
      <w:lvlText w:val="o"/>
      <w:lvlJc w:val="left"/>
      <w:pPr>
        <w:ind w:left="1460" w:hanging="360"/>
      </w:pPr>
      <w:rPr>
        <w:rFonts w:ascii="Courier New" w:hAnsi="Courier New" w:cs="Courier New" w:hint="default"/>
      </w:rPr>
    </w:lvl>
    <w:lvl w:ilvl="2" w:tplc="14090005" w:tentative="1">
      <w:start w:val="1"/>
      <w:numFmt w:val="bullet"/>
      <w:lvlText w:val=""/>
      <w:lvlJc w:val="left"/>
      <w:pPr>
        <w:ind w:left="2180" w:hanging="360"/>
      </w:pPr>
      <w:rPr>
        <w:rFonts w:ascii="Wingdings" w:hAnsi="Wingdings" w:hint="default"/>
      </w:rPr>
    </w:lvl>
    <w:lvl w:ilvl="3" w:tplc="14090001" w:tentative="1">
      <w:start w:val="1"/>
      <w:numFmt w:val="bullet"/>
      <w:lvlText w:val=""/>
      <w:lvlJc w:val="left"/>
      <w:pPr>
        <w:ind w:left="2900" w:hanging="360"/>
      </w:pPr>
      <w:rPr>
        <w:rFonts w:ascii="Symbol" w:hAnsi="Symbol" w:hint="default"/>
      </w:rPr>
    </w:lvl>
    <w:lvl w:ilvl="4" w:tplc="14090003" w:tentative="1">
      <w:start w:val="1"/>
      <w:numFmt w:val="bullet"/>
      <w:lvlText w:val="o"/>
      <w:lvlJc w:val="left"/>
      <w:pPr>
        <w:ind w:left="3620" w:hanging="360"/>
      </w:pPr>
      <w:rPr>
        <w:rFonts w:ascii="Courier New" w:hAnsi="Courier New" w:cs="Courier New" w:hint="default"/>
      </w:rPr>
    </w:lvl>
    <w:lvl w:ilvl="5" w:tplc="14090005" w:tentative="1">
      <w:start w:val="1"/>
      <w:numFmt w:val="bullet"/>
      <w:lvlText w:val=""/>
      <w:lvlJc w:val="left"/>
      <w:pPr>
        <w:ind w:left="4340" w:hanging="360"/>
      </w:pPr>
      <w:rPr>
        <w:rFonts w:ascii="Wingdings" w:hAnsi="Wingdings" w:hint="default"/>
      </w:rPr>
    </w:lvl>
    <w:lvl w:ilvl="6" w:tplc="14090001" w:tentative="1">
      <w:start w:val="1"/>
      <w:numFmt w:val="bullet"/>
      <w:lvlText w:val=""/>
      <w:lvlJc w:val="left"/>
      <w:pPr>
        <w:ind w:left="5060" w:hanging="360"/>
      </w:pPr>
      <w:rPr>
        <w:rFonts w:ascii="Symbol" w:hAnsi="Symbol" w:hint="default"/>
      </w:rPr>
    </w:lvl>
    <w:lvl w:ilvl="7" w:tplc="14090003" w:tentative="1">
      <w:start w:val="1"/>
      <w:numFmt w:val="bullet"/>
      <w:lvlText w:val="o"/>
      <w:lvlJc w:val="left"/>
      <w:pPr>
        <w:ind w:left="5780" w:hanging="360"/>
      </w:pPr>
      <w:rPr>
        <w:rFonts w:ascii="Courier New" w:hAnsi="Courier New" w:cs="Courier New" w:hint="default"/>
      </w:rPr>
    </w:lvl>
    <w:lvl w:ilvl="8" w:tplc="14090005" w:tentative="1">
      <w:start w:val="1"/>
      <w:numFmt w:val="bullet"/>
      <w:lvlText w:val=""/>
      <w:lvlJc w:val="left"/>
      <w:pPr>
        <w:ind w:left="6500" w:hanging="360"/>
      </w:pPr>
      <w:rPr>
        <w:rFonts w:ascii="Wingdings" w:hAnsi="Wingdings" w:hint="default"/>
      </w:rPr>
    </w:lvl>
  </w:abstractNum>
  <w:abstractNum w:abstractNumId="50" w15:restartNumberingAfterBreak="0">
    <w:nsid w:val="7EE56D14"/>
    <w:multiLevelType w:val="multilevel"/>
    <w:tmpl w:val="D98A295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num w:numId="1">
    <w:abstractNumId w:val="48"/>
  </w:num>
  <w:num w:numId="2">
    <w:abstractNumId w:val="26"/>
  </w:num>
  <w:num w:numId="3">
    <w:abstractNumId w:val="27"/>
  </w:num>
  <w:num w:numId="4">
    <w:abstractNumId w:val="4"/>
  </w:num>
  <w:num w:numId="5">
    <w:abstractNumId w:val="1"/>
  </w:num>
  <w:num w:numId="6">
    <w:abstractNumId w:val="31"/>
  </w:num>
  <w:num w:numId="7">
    <w:abstractNumId w:val="41"/>
  </w:num>
  <w:num w:numId="8">
    <w:abstractNumId w:val="3"/>
  </w:num>
  <w:num w:numId="9">
    <w:abstractNumId w:val="42"/>
  </w:num>
  <w:num w:numId="10">
    <w:abstractNumId w:val="33"/>
  </w:num>
  <w:num w:numId="11">
    <w:abstractNumId w:val="19"/>
  </w:num>
  <w:num w:numId="12">
    <w:abstractNumId w:val="25"/>
  </w:num>
  <w:num w:numId="13">
    <w:abstractNumId w:val="0"/>
  </w:num>
  <w:num w:numId="14">
    <w:abstractNumId w:val="12"/>
  </w:num>
  <w:num w:numId="15">
    <w:abstractNumId w:val="22"/>
  </w:num>
  <w:num w:numId="16">
    <w:abstractNumId w:val="34"/>
  </w:num>
  <w:num w:numId="17">
    <w:abstractNumId w:val="8"/>
  </w:num>
  <w:num w:numId="18">
    <w:abstractNumId w:val="14"/>
  </w:num>
  <w:num w:numId="19">
    <w:abstractNumId w:val="9"/>
  </w:num>
  <w:num w:numId="20">
    <w:abstractNumId w:val="6"/>
  </w:num>
  <w:num w:numId="21">
    <w:abstractNumId w:val="45"/>
  </w:num>
  <w:num w:numId="22">
    <w:abstractNumId w:val="13"/>
  </w:num>
  <w:num w:numId="23">
    <w:abstractNumId w:val="43"/>
  </w:num>
  <w:num w:numId="24">
    <w:abstractNumId w:val="2"/>
  </w:num>
  <w:num w:numId="25">
    <w:abstractNumId w:val="7"/>
  </w:num>
  <w:num w:numId="26">
    <w:abstractNumId w:val="5"/>
  </w:num>
  <w:num w:numId="27">
    <w:abstractNumId w:val="37"/>
  </w:num>
  <w:num w:numId="28">
    <w:abstractNumId w:val="44"/>
  </w:num>
  <w:num w:numId="29">
    <w:abstractNumId w:val="21"/>
  </w:num>
  <w:num w:numId="30">
    <w:abstractNumId w:val="11"/>
  </w:num>
  <w:num w:numId="31">
    <w:abstractNumId w:val="32"/>
  </w:num>
  <w:num w:numId="32">
    <w:abstractNumId w:val="23"/>
  </w:num>
  <w:num w:numId="33">
    <w:abstractNumId w:val="50"/>
  </w:num>
  <w:num w:numId="34">
    <w:abstractNumId w:val="20"/>
  </w:num>
  <w:num w:numId="35">
    <w:abstractNumId w:val="39"/>
  </w:num>
  <w:num w:numId="36">
    <w:abstractNumId w:val="35"/>
  </w:num>
  <w:num w:numId="37">
    <w:abstractNumId w:val="47"/>
  </w:num>
  <w:num w:numId="38">
    <w:abstractNumId w:val="38"/>
  </w:num>
  <w:num w:numId="39">
    <w:abstractNumId w:val="28"/>
  </w:num>
  <w:num w:numId="40">
    <w:abstractNumId w:val="29"/>
  </w:num>
  <w:num w:numId="41">
    <w:abstractNumId w:val="10"/>
  </w:num>
  <w:num w:numId="42">
    <w:abstractNumId w:val="30"/>
  </w:num>
  <w:num w:numId="43">
    <w:abstractNumId w:val="49"/>
  </w:num>
  <w:num w:numId="44">
    <w:abstractNumId w:val="24"/>
  </w:num>
  <w:num w:numId="45">
    <w:abstractNumId w:val="18"/>
  </w:num>
  <w:num w:numId="46">
    <w:abstractNumId w:val="36"/>
  </w:num>
  <w:num w:numId="47">
    <w:abstractNumId w:val="15"/>
  </w:num>
  <w:num w:numId="48">
    <w:abstractNumId w:val="17"/>
  </w:num>
  <w:num w:numId="49">
    <w:abstractNumId w:val="46"/>
  </w:num>
  <w:num w:numId="50">
    <w:abstractNumId w:val="16"/>
  </w:num>
  <w:num w:numId="51">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25B8"/>
    <w:rsid w:val="00005BB5"/>
    <w:rsid w:val="00025A6F"/>
    <w:rsid w:val="0002618D"/>
    <w:rsid w:val="00030B26"/>
    <w:rsid w:val="00030E84"/>
    <w:rsid w:val="00032C0A"/>
    <w:rsid w:val="000332A5"/>
    <w:rsid w:val="00035257"/>
    <w:rsid w:val="00035D68"/>
    <w:rsid w:val="00036027"/>
    <w:rsid w:val="00045613"/>
    <w:rsid w:val="00047899"/>
    <w:rsid w:val="00053921"/>
    <w:rsid w:val="00054B44"/>
    <w:rsid w:val="0006006B"/>
    <w:rsid w:val="0006228D"/>
    <w:rsid w:val="00072BD6"/>
    <w:rsid w:val="00075B78"/>
    <w:rsid w:val="000763E9"/>
    <w:rsid w:val="00082CD6"/>
    <w:rsid w:val="0008437D"/>
    <w:rsid w:val="00085AFE"/>
    <w:rsid w:val="00094800"/>
    <w:rsid w:val="000A0158"/>
    <w:rsid w:val="000A373D"/>
    <w:rsid w:val="000A41ED"/>
    <w:rsid w:val="000B0730"/>
    <w:rsid w:val="000D19F4"/>
    <w:rsid w:val="000D58DD"/>
    <w:rsid w:val="000F1F42"/>
    <w:rsid w:val="000F2AE2"/>
    <w:rsid w:val="000F2BFF"/>
    <w:rsid w:val="00102063"/>
    <w:rsid w:val="0010541C"/>
    <w:rsid w:val="00105770"/>
    <w:rsid w:val="00106F93"/>
    <w:rsid w:val="00111D50"/>
    <w:rsid w:val="00113B8E"/>
    <w:rsid w:val="00117F59"/>
    <w:rsid w:val="0012053C"/>
    <w:rsid w:val="00122363"/>
    <w:rsid w:val="00125D45"/>
    <w:rsid w:val="001342C7"/>
    <w:rsid w:val="0013585C"/>
    <w:rsid w:val="00142261"/>
    <w:rsid w:val="00142954"/>
    <w:rsid w:val="001460E0"/>
    <w:rsid w:val="001472F0"/>
    <w:rsid w:val="00147F71"/>
    <w:rsid w:val="00150A6E"/>
    <w:rsid w:val="001519D9"/>
    <w:rsid w:val="0016304B"/>
    <w:rsid w:val="0016318F"/>
    <w:rsid w:val="0016468A"/>
    <w:rsid w:val="0017070E"/>
    <w:rsid w:val="00174F02"/>
    <w:rsid w:val="001820B8"/>
    <w:rsid w:val="0018376C"/>
    <w:rsid w:val="0018662D"/>
    <w:rsid w:val="0019519F"/>
    <w:rsid w:val="00197427"/>
    <w:rsid w:val="001A21B4"/>
    <w:rsid w:val="001A5CF5"/>
    <w:rsid w:val="001B39D2"/>
    <w:rsid w:val="001B4BF8"/>
    <w:rsid w:val="001B7B14"/>
    <w:rsid w:val="001C4326"/>
    <w:rsid w:val="001C665E"/>
    <w:rsid w:val="001D3541"/>
    <w:rsid w:val="001D3E4E"/>
    <w:rsid w:val="001E254A"/>
    <w:rsid w:val="001E7386"/>
    <w:rsid w:val="001F45A7"/>
    <w:rsid w:val="001F5E27"/>
    <w:rsid w:val="0020027C"/>
    <w:rsid w:val="00201A01"/>
    <w:rsid w:val="0020754B"/>
    <w:rsid w:val="002104D3"/>
    <w:rsid w:val="00213A33"/>
    <w:rsid w:val="0021763B"/>
    <w:rsid w:val="00245748"/>
    <w:rsid w:val="00246DB1"/>
    <w:rsid w:val="002476B5"/>
    <w:rsid w:val="002520CC"/>
    <w:rsid w:val="00253ECF"/>
    <w:rsid w:val="00254044"/>
    <w:rsid w:val="002546A1"/>
    <w:rsid w:val="002575E8"/>
    <w:rsid w:val="00257EF1"/>
    <w:rsid w:val="002628F4"/>
    <w:rsid w:val="00275D08"/>
    <w:rsid w:val="002839AF"/>
    <w:rsid w:val="002858E3"/>
    <w:rsid w:val="0029190A"/>
    <w:rsid w:val="00292C5A"/>
    <w:rsid w:val="00295241"/>
    <w:rsid w:val="002A4DFC"/>
    <w:rsid w:val="002A4E9E"/>
    <w:rsid w:val="002B047D"/>
    <w:rsid w:val="002B732B"/>
    <w:rsid w:val="002B73BA"/>
    <w:rsid w:val="002B76A7"/>
    <w:rsid w:val="002B7BEC"/>
    <w:rsid w:val="002C2219"/>
    <w:rsid w:val="002C2552"/>
    <w:rsid w:val="002C380A"/>
    <w:rsid w:val="002D0DF2"/>
    <w:rsid w:val="002D23BD"/>
    <w:rsid w:val="002E0B47"/>
    <w:rsid w:val="002F3A0D"/>
    <w:rsid w:val="002F4685"/>
    <w:rsid w:val="002F7213"/>
    <w:rsid w:val="0030311F"/>
    <w:rsid w:val="0030382F"/>
    <w:rsid w:val="0030408D"/>
    <w:rsid w:val="003060E4"/>
    <w:rsid w:val="003160E7"/>
    <w:rsid w:val="0031739E"/>
    <w:rsid w:val="00317DA3"/>
    <w:rsid w:val="00321381"/>
    <w:rsid w:val="003235C6"/>
    <w:rsid w:val="003309CA"/>
    <w:rsid w:val="003325AB"/>
    <w:rsid w:val="003332D1"/>
    <w:rsid w:val="0033412B"/>
    <w:rsid w:val="0033448B"/>
    <w:rsid w:val="00341161"/>
    <w:rsid w:val="00343365"/>
    <w:rsid w:val="003445F4"/>
    <w:rsid w:val="00353501"/>
    <w:rsid w:val="00353734"/>
    <w:rsid w:val="003538D4"/>
    <w:rsid w:val="003606F8"/>
    <w:rsid w:val="003648EF"/>
    <w:rsid w:val="003673E6"/>
    <w:rsid w:val="00377264"/>
    <w:rsid w:val="003779D2"/>
    <w:rsid w:val="00385E38"/>
    <w:rsid w:val="003A26A5"/>
    <w:rsid w:val="003A3761"/>
    <w:rsid w:val="003A512D"/>
    <w:rsid w:val="003A5FEA"/>
    <w:rsid w:val="003A710B"/>
    <w:rsid w:val="003B1D10"/>
    <w:rsid w:val="003C310C"/>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13021"/>
    <w:rsid w:val="00414C35"/>
    <w:rsid w:val="004171B7"/>
    <w:rsid w:val="004301C6"/>
    <w:rsid w:val="0043478F"/>
    <w:rsid w:val="0043602B"/>
    <w:rsid w:val="004367D2"/>
    <w:rsid w:val="00440BE0"/>
    <w:rsid w:val="00442A06"/>
    <w:rsid w:val="00442C1C"/>
    <w:rsid w:val="0044584B"/>
    <w:rsid w:val="00447CB7"/>
    <w:rsid w:val="00455CC9"/>
    <w:rsid w:val="00460826"/>
    <w:rsid w:val="00460B1E"/>
    <w:rsid w:val="00460EA7"/>
    <w:rsid w:val="0046195B"/>
    <w:rsid w:val="0046362D"/>
    <w:rsid w:val="0046596D"/>
    <w:rsid w:val="004852AB"/>
    <w:rsid w:val="00487C04"/>
    <w:rsid w:val="004907E1"/>
    <w:rsid w:val="00494C8E"/>
    <w:rsid w:val="004961C0"/>
    <w:rsid w:val="004A035B"/>
    <w:rsid w:val="004A2108"/>
    <w:rsid w:val="004A38D7"/>
    <w:rsid w:val="004A778C"/>
    <w:rsid w:val="004B14DD"/>
    <w:rsid w:val="004B48C7"/>
    <w:rsid w:val="004B6891"/>
    <w:rsid w:val="004C2E6A"/>
    <w:rsid w:val="004C64B8"/>
    <w:rsid w:val="004D1C7F"/>
    <w:rsid w:val="004D2A2D"/>
    <w:rsid w:val="004D479F"/>
    <w:rsid w:val="004D534B"/>
    <w:rsid w:val="004D6689"/>
    <w:rsid w:val="004E1D1D"/>
    <w:rsid w:val="004E7AC8"/>
    <w:rsid w:val="004F05F4"/>
    <w:rsid w:val="004F0C94"/>
    <w:rsid w:val="005019AE"/>
    <w:rsid w:val="00503749"/>
    <w:rsid w:val="00503D59"/>
    <w:rsid w:val="00504CF4"/>
    <w:rsid w:val="0050635B"/>
    <w:rsid w:val="005075B3"/>
    <w:rsid w:val="005151C2"/>
    <w:rsid w:val="005275E8"/>
    <w:rsid w:val="005309FE"/>
    <w:rsid w:val="0053199F"/>
    <w:rsid w:val="00531E12"/>
    <w:rsid w:val="00533B90"/>
    <w:rsid w:val="005410F8"/>
    <w:rsid w:val="005448EC"/>
    <w:rsid w:val="00545963"/>
    <w:rsid w:val="00550256"/>
    <w:rsid w:val="00553165"/>
    <w:rsid w:val="00553958"/>
    <w:rsid w:val="00556BB7"/>
    <w:rsid w:val="0055763D"/>
    <w:rsid w:val="00561516"/>
    <w:rsid w:val="00561B69"/>
    <w:rsid w:val="005621F2"/>
    <w:rsid w:val="00567B58"/>
    <w:rsid w:val="00571223"/>
    <w:rsid w:val="005763E0"/>
    <w:rsid w:val="00581136"/>
    <w:rsid w:val="00581EB8"/>
    <w:rsid w:val="005839E7"/>
    <w:rsid w:val="0058437F"/>
    <w:rsid w:val="005A27CA"/>
    <w:rsid w:val="005A43BD"/>
    <w:rsid w:val="005A79E5"/>
    <w:rsid w:val="005D034C"/>
    <w:rsid w:val="005E226E"/>
    <w:rsid w:val="005E2636"/>
    <w:rsid w:val="006015D7"/>
    <w:rsid w:val="00601B21"/>
    <w:rsid w:val="006041F0"/>
    <w:rsid w:val="00605C6D"/>
    <w:rsid w:val="006120CA"/>
    <w:rsid w:val="0061235E"/>
    <w:rsid w:val="0061443A"/>
    <w:rsid w:val="0061659B"/>
    <w:rsid w:val="00624174"/>
    <w:rsid w:val="00626CF8"/>
    <w:rsid w:val="006314AF"/>
    <w:rsid w:val="00634003"/>
    <w:rsid w:val="00634ED8"/>
    <w:rsid w:val="00636D7D"/>
    <w:rsid w:val="00637408"/>
    <w:rsid w:val="00642868"/>
    <w:rsid w:val="00647AFE"/>
    <w:rsid w:val="00650417"/>
    <w:rsid w:val="006512BC"/>
    <w:rsid w:val="00653A5A"/>
    <w:rsid w:val="006554AC"/>
    <w:rsid w:val="006575F4"/>
    <w:rsid w:val="006579E6"/>
    <w:rsid w:val="00660682"/>
    <w:rsid w:val="00660F74"/>
    <w:rsid w:val="00663EDC"/>
    <w:rsid w:val="00671078"/>
    <w:rsid w:val="006758CA"/>
    <w:rsid w:val="00680A04"/>
    <w:rsid w:val="00686D80"/>
    <w:rsid w:val="00694895"/>
    <w:rsid w:val="00697E2E"/>
    <w:rsid w:val="006A25A2"/>
    <w:rsid w:val="006A3B87"/>
    <w:rsid w:val="006B0A88"/>
    <w:rsid w:val="006B0E73"/>
    <w:rsid w:val="006B1E3D"/>
    <w:rsid w:val="006B209B"/>
    <w:rsid w:val="006B4A4D"/>
    <w:rsid w:val="006B5695"/>
    <w:rsid w:val="006B62E6"/>
    <w:rsid w:val="006B7B2E"/>
    <w:rsid w:val="006C5790"/>
    <w:rsid w:val="006C78EB"/>
    <w:rsid w:val="006D1660"/>
    <w:rsid w:val="006D63E5"/>
    <w:rsid w:val="006E1753"/>
    <w:rsid w:val="006E2886"/>
    <w:rsid w:val="006E3911"/>
    <w:rsid w:val="006E69F4"/>
    <w:rsid w:val="006F1B67"/>
    <w:rsid w:val="006F2430"/>
    <w:rsid w:val="006F4D9C"/>
    <w:rsid w:val="0070091D"/>
    <w:rsid w:val="00702854"/>
    <w:rsid w:val="00716A2C"/>
    <w:rsid w:val="0071741C"/>
    <w:rsid w:val="00742B90"/>
    <w:rsid w:val="0074434D"/>
    <w:rsid w:val="0074674F"/>
    <w:rsid w:val="007570C4"/>
    <w:rsid w:val="007605B8"/>
    <w:rsid w:val="00767B99"/>
    <w:rsid w:val="00771B1E"/>
    <w:rsid w:val="00773C95"/>
    <w:rsid w:val="0078171E"/>
    <w:rsid w:val="0078658E"/>
    <w:rsid w:val="007920E2"/>
    <w:rsid w:val="0079566E"/>
    <w:rsid w:val="00795B34"/>
    <w:rsid w:val="007A067F"/>
    <w:rsid w:val="007B1770"/>
    <w:rsid w:val="007B4D3E"/>
    <w:rsid w:val="007B7C70"/>
    <w:rsid w:val="007B7DEB"/>
    <w:rsid w:val="007C0449"/>
    <w:rsid w:val="007C43B6"/>
    <w:rsid w:val="007D1816"/>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52E1"/>
    <w:rsid w:val="00811EEB"/>
    <w:rsid w:val="00822F2C"/>
    <w:rsid w:val="00823DEE"/>
    <w:rsid w:val="008305E8"/>
    <w:rsid w:val="0083076E"/>
    <w:rsid w:val="00836165"/>
    <w:rsid w:val="008365B2"/>
    <w:rsid w:val="0084640C"/>
    <w:rsid w:val="00856088"/>
    <w:rsid w:val="00860826"/>
    <w:rsid w:val="00860E21"/>
    <w:rsid w:val="00863117"/>
    <w:rsid w:val="0086388B"/>
    <w:rsid w:val="008642E5"/>
    <w:rsid w:val="00864488"/>
    <w:rsid w:val="00870A36"/>
    <w:rsid w:val="00872D93"/>
    <w:rsid w:val="00880470"/>
    <w:rsid w:val="00880D94"/>
    <w:rsid w:val="008814E8"/>
    <w:rsid w:val="00886F64"/>
    <w:rsid w:val="008924DE"/>
    <w:rsid w:val="008A3755"/>
    <w:rsid w:val="008B19DC"/>
    <w:rsid w:val="008B264F"/>
    <w:rsid w:val="008B6F83"/>
    <w:rsid w:val="008B7FD8"/>
    <w:rsid w:val="008C2973"/>
    <w:rsid w:val="008C6324"/>
    <w:rsid w:val="008C64C4"/>
    <w:rsid w:val="008D2CDD"/>
    <w:rsid w:val="008D74D5"/>
    <w:rsid w:val="008D7C9F"/>
    <w:rsid w:val="008E04BA"/>
    <w:rsid w:val="008E0ED1"/>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1EF3"/>
    <w:rsid w:val="00932D69"/>
    <w:rsid w:val="009354FD"/>
    <w:rsid w:val="00935589"/>
    <w:rsid w:val="00937408"/>
    <w:rsid w:val="0094251A"/>
    <w:rsid w:val="009427FA"/>
    <w:rsid w:val="00944647"/>
    <w:rsid w:val="009469E2"/>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2D86"/>
    <w:rsid w:val="009E36ED"/>
    <w:rsid w:val="009E3B47"/>
    <w:rsid w:val="009E3C8C"/>
    <w:rsid w:val="009E5966"/>
    <w:rsid w:val="009E6B77"/>
    <w:rsid w:val="009F4372"/>
    <w:rsid w:val="009F460A"/>
    <w:rsid w:val="00A043FB"/>
    <w:rsid w:val="00A06BE4"/>
    <w:rsid w:val="00A0729C"/>
    <w:rsid w:val="00A073CF"/>
    <w:rsid w:val="00A07779"/>
    <w:rsid w:val="00A07F89"/>
    <w:rsid w:val="00A1166A"/>
    <w:rsid w:val="00A20B2E"/>
    <w:rsid w:val="00A24F33"/>
    <w:rsid w:val="00A25069"/>
    <w:rsid w:val="00A26E6B"/>
    <w:rsid w:val="00A3068F"/>
    <w:rsid w:val="00A3145B"/>
    <w:rsid w:val="00A339D0"/>
    <w:rsid w:val="00A3415C"/>
    <w:rsid w:val="00A41002"/>
    <w:rsid w:val="00A4201A"/>
    <w:rsid w:val="00A5465D"/>
    <w:rsid w:val="00A553CE"/>
    <w:rsid w:val="00A5677A"/>
    <w:rsid w:val="00A56DCC"/>
    <w:rsid w:val="00A625E8"/>
    <w:rsid w:val="00A63DFF"/>
    <w:rsid w:val="00A64496"/>
    <w:rsid w:val="00A6490D"/>
    <w:rsid w:val="00A67033"/>
    <w:rsid w:val="00A7415D"/>
    <w:rsid w:val="00A80363"/>
    <w:rsid w:val="00A80939"/>
    <w:rsid w:val="00A83E9D"/>
    <w:rsid w:val="00A87C05"/>
    <w:rsid w:val="00A9169D"/>
    <w:rsid w:val="00A93598"/>
    <w:rsid w:val="00A97A3A"/>
    <w:rsid w:val="00AA240C"/>
    <w:rsid w:val="00AB0332"/>
    <w:rsid w:val="00AC101C"/>
    <w:rsid w:val="00AC65A4"/>
    <w:rsid w:val="00AD4CF1"/>
    <w:rsid w:val="00AD5988"/>
    <w:rsid w:val="00AD6293"/>
    <w:rsid w:val="00AE1643"/>
    <w:rsid w:val="00AE16AF"/>
    <w:rsid w:val="00AF372E"/>
    <w:rsid w:val="00AF7800"/>
    <w:rsid w:val="00AF7CFE"/>
    <w:rsid w:val="00B00CF5"/>
    <w:rsid w:val="00B06D72"/>
    <w:rsid w:val="00B072E0"/>
    <w:rsid w:val="00B1007E"/>
    <w:rsid w:val="00B13D41"/>
    <w:rsid w:val="00B2122B"/>
    <w:rsid w:val="00B21EB6"/>
    <w:rsid w:val="00B253F6"/>
    <w:rsid w:val="00B26675"/>
    <w:rsid w:val="00B305DB"/>
    <w:rsid w:val="00B332F8"/>
    <w:rsid w:val="00B3492B"/>
    <w:rsid w:val="00B44A60"/>
    <w:rsid w:val="00B4646F"/>
    <w:rsid w:val="00B55C7D"/>
    <w:rsid w:val="00B61929"/>
    <w:rsid w:val="00B63038"/>
    <w:rsid w:val="00B64BD8"/>
    <w:rsid w:val="00B701D1"/>
    <w:rsid w:val="00B73AF2"/>
    <w:rsid w:val="00B73D79"/>
    <w:rsid w:val="00B7551A"/>
    <w:rsid w:val="00B773F1"/>
    <w:rsid w:val="00B86AB1"/>
    <w:rsid w:val="00B87726"/>
    <w:rsid w:val="00B91B22"/>
    <w:rsid w:val="00BA7EBA"/>
    <w:rsid w:val="00BB2A06"/>
    <w:rsid w:val="00BB2CBB"/>
    <w:rsid w:val="00BB4198"/>
    <w:rsid w:val="00BC03EE"/>
    <w:rsid w:val="00BC59F1"/>
    <w:rsid w:val="00BD488E"/>
    <w:rsid w:val="00BE2D54"/>
    <w:rsid w:val="00BF3DE1"/>
    <w:rsid w:val="00BF4843"/>
    <w:rsid w:val="00BF5205"/>
    <w:rsid w:val="00C05132"/>
    <w:rsid w:val="00C12508"/>
    <w:rsid w:val="00C23728"/>
    <w:rsid w:val="00C3026C"/>
    <w:rsid w:val="00C313A9"/>
    <w:rsid w:val="00C347C8"/>
    <w:rsid w:val="00C358E4"/>
    <w:rsid w:val="00C441CF"/>
    <w:rsid w:val="00C45AA2"/>
    <w:rsid w:val="00C4792C"/>
    <w:rsid w:val="00C55BEF"/>
    <w:rsid w:val="00C601AF"/>
    <w:rsid w:val="00C61A63"/>
    <w:rsid w:val="00C66296"/>
    <w:rsid w:val="00C7394D"/>
    <w:rsid w:val="00C756B7"/>
    <w:rsid w:val="00C77282"/>
    <w:rsid w:val="00C84DE5"/>
    <w:rsid w:val="00C86248"/>
    <w:rsid w:val="00C90B31"/>
    <w:rsid w:val="00CA0D6F"/>
    <w:rsid w:val="00CA2F65"/>
    <w:rsid w:val="00CA4C33"/>
    <w:rsid w:val="00CA6F4A"/>
    <w:rsid w:val="00CB3483"/>
    <w:rsid w:val="00CB6427"/>
    <w:rsid w:val="00CC0FBE"/>
    <w:rsid w:val="00CD2119"/>
    <w:rsid w:val="00CD237A"/>
    <w:rsid w:val="00CD36AC"/>
    <w:rsid w:val="00CE13A3"/>
    <w:rsid w:val="00CE36BC"/>
    <w:rsid w:val="00CE4DD9"/>
    <w:rsid w:val="00CF1747"/>
    <w:rsid w:val="00CF60ED"/>
    <w:rsid w:val="00D05D74"/>
    <w:rsid w:val="00D20C59"/>
    <w:rsid w:val="00D23323"/>
    <w:rsid w:val="00D2392A"/>
    <w:rsid w:val="00D25FFE"/>
    <w:rsid w:val="00D27922"/>
    <w:rsid w:val="00D27A64"/>
    <w:rsid w:val="00D37D80"/>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A7F9E"/>
    <w:rsid w:val="00DB39CF"/>
    <w:rsid w:val="00DB7256"/>
    <w:rsid w:val="00DC0401"/>
    <w:rsid w:val="00DC20BD"/>
    <w:rsid w:val="00DD09A6"/>
    <w:rsid w:val="00DD0BCD"/>
    <w:rsid w:val="00DD447A"/>
    <w:rsid w:val="00DE3B20"/>
    <w:rsid w:val="00DE6C94"/>
    <w:rsid w:val="00DE6FD7"/>
    <w:rsid w:val="00DF0C7C"/>
    <w:rsid w:val="00E10B18"/>
    <w:rsid w:val="00E23271"/>
    <w:rsid w:val="00E24F80"/>
    <w:rsid w:val="00E259F3"/>
    <w:rsid w:val="00E30985"/>
    <w:rsid w:val="00E33238"/>
    <w:rsid w:val="00E33934"/>
    <w:rsid w:val="00E376B7"/>
    <w:rsid w:val="00E42F5D"/>
    <w:rsid w:val="00E4486C"/>
    <w:rsid w:val="00E460B6"/>
    <w:rsid w:val="00E511D5"/>
    <w:rsid w:val="00E53A9F"/>
    <w:rsid w:val="00E57349"/>
    <w:rsid w:val="00E60249"/>
    <w:rsid w:val="00E62238"/>
    <w:rsid w:val="00E65269"/>
    <w:rsid w:val="00E76D66"/>
    <w:rsid w:val="00EA796A"/>
    <w:rsid w:val="00EB1856"/>
    <w:rsid w:val="00EC50CE"/>
    <w:rsid w:val="00EC5B34"/>
    <w:rsid w:val="00ED021E"/>
    <w:rsid w:val="00ED323C"/>
    <w:rsid w:val="00EE1384"/>
    <w:rsid w:val="00EE2D5C"/>
    <w:rsid w:val="00EE4ADE"/>
    <w:rsid w:val="00EE4DE8"/>
    <w:rsid w:val="00EE5CB7"/>
    <w:rsid w:val="00F000BF"/>
    <w:rsid w:val="00F024FE"/>
    <w:rsid w:val="00F05AD4"/>
    <w:rsid w:val="00F103BE"/>
    <w:rsid w:val="00F10EB6"/>
    <w:rsid w:val="00F13F07"/>
    <w:rsid w:val="00F140B2"/>
    <w:rsid w:val="00F16595"/>
    <w:rsid w:val="00F25970"/>
    <w:rsid w:val="00F311A9"/>
    <w:rsid w:val="00F31343"/>
    <w:rsid w:val="00F36A45"/>
    <w:rsid w:val="00F37381"/>
    <w:rsid w:val="00F5180D"/>
    <w:rsid w:val="00F54E74"/>
    <w:rsid w:val="00F63781"/>
    <w:rsid w:val="00F67496"/>
    <w:rsid w:val="00F7421E"/>
    <w:rsid w:val="00F801BA"/>
    <w:rsid w:val="00F807AD"/>
    <w:rsid w:val="00F9366A"/>
    <w:rsid w:val="00F946C9"/>
    <w:rsid w:val="00F96CA7"/>
    <w:rsid w:val="00FA0EA5"/>
    <w:rsid w:val="00FA68C7"/>
    <w:rsid w:val="00FA74EE"/>
    <w:rsid w:val="00FC3711"/>
    <w:rsid w:val="00FC46E7"/>
    <w:rsid w:val="00FC5D25"/>
    <w:rsid w:val="00FD0D7E"/>
    <w:rsid w:val="00FD16C4"/>
    <w:rsid w:val="00FD362F"/>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589E3DC"/>
  <w15:docId w15:val="{C5D4F393-1E07-452A-85C4-2EC2F545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qFormat/>
    <w:rsid w:val="00DA7F9E"/>
    <w:pPr>
      <w:pageBreakBefore/>
      <w:spacing w:after="360"/>
      <w:outlineLvl w:val="0"/>
    </w:pPr>
    <w:rPr>
      <w:b/>
      <w:color w:val="23305D"/>
      <w:spacing w:val="-10"/>
      <w:sz w:val="72"/>
    </w:rPr>
  </w:style>
  <w:style w:type="paragraph" w:styleId="Heading2">
    <w:name w:val="heading 2"/>
    <w:basedOn w:val="Normal"/>
    <w:next w:val="Normal"/>
    <w:link w:val="Heading2Char"/>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27FA"/>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1B7B14"/>
    <w:pPr>
      <w:tabs>
        <w:tab w:val="right" w:pos="8080"/>
      </w:tabs>
      <w:spacing w:before="60"/>
      <w:ind w:left="284" w:right="567"/>
    </w:pPr>
    <w:rPr>
      <w:sz w:val="22"/>
    </w:rPr>
  </w:style>
  <w:style w:type="paragraph" w:styleId="TOC3">
    <w:name w:val="toc 3"/>
    <w:basedOn w:val="Normal"/>
    <w:next w:val="Normal"/>
    <w:uiPriority w:val="39"/>
    <w:rsid w:val="00DD09A6"/>
    <w:pPr>
      <w:tabs>
        <w:tab w:val="right" w:pos="8080"/>
      </w:tabs>
      <w:spacing w:before="120"/>
      <w:ind w:left="992" w:right="567" w:hanging="992"/>
    </w:pPr>
  </w:style>
  <w:style w:type="paragraph" w:customStyle="1" w:styleId="Bullet">
    <w:name w:val="Bullet"/>
    <w:basedOn w:val="Normal"/>
    <w:link w:val="BulletChar"/>
    <w:qFormat/>
    <w:rsid w:val="0019519F"/>
    <w:pPr>
      <w:numPr>
        <w:numId w:val="1"/>
      </w:numPr>
      <w:tabs>
        <w:tab w:val="clear" w:pos="284"/>
      </w:tabs>
      <w:spacing w:before="120"/>
    </w:pPr>
  </w:style>
  <w:style w:type="character" w:customStyle="1" w:styleId="BulletChar">
    <w:name w:val="Bullet Char"/>
    <w:link w:val="Bullet"/>
    <w:locked/>
    <w:rsid w:val="0019519F"/>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5"/>
        <w:numId w:val="5"/>
      </w:numPr>
      <w:spacing w:before="90"/>
    </w:pPr>
    <w:rPr>
      <w:rFonts w:eastAsia="Arial Unicode MS"/>
    </w:rPr>
  </w:style>
  <w:style w:type="paragraph" w:styleId="BalloonText">
    <w:name w:val="Balloon Text"/>
    <w:basedOn w:val="Normal"/>
    <w:link w:val="BalloonTextChar"/>
    <w:semiHidden/>
    <w:unhideWhenUsed/>
    <w:rsid w:val="00B44A60"/>
    <w:rPr>
      <w:rFonts w:ascii="Tahoma" w:hAnsi="Tahoma" w:cs="Tahoma"/>
      <w:sz w:val="16"/>
      <w:szCs w:val="16"/>
    </w:rPr>
  </w:style>
  <w:style w:type="character" w:customStyle="1" w:styleId="BalloonTextChar">
    <w:name w:val="Balloon Text Char"/>
    <w:basedOn w:val="DefaultParagraphFont"/>
    <w:link w:val="BalloonText"/>
    <w:semiHidden/>
    <w:rsid w:val="00B44A60"/>
    <w:rPr>
      <w:rFonts w:ascii="Tahoma" w:hAnsi="Tahoma" w:cs="Tahoma"/>
      <w:sz w:val="16"/>
      <w:szCs w:val="16"/>
      <w:lang w:eastAsia="en-GB"/>
    </w:rPr>
  </w:style>
  <w:style w:type="character" w:styleId="CommentReference">
    <w:name w:val="annotation reference"/>
    <w:basedOn w:val="DefaultParagraphFont"/>
    <w:semiHidden/>
    <w:unhideWhenUsed/>
    <w:rsid w:val="004961C0"/>
    <w:rPr>
      <w:sz w:val="16"/>
      <w:szCs w:val="16"/>
    </w:rPr>
  </w:style>
  <w:style w:type="paragraph" w:styleId="CommentText">
    <w:name w:val="annotation text"/>
    <w:basedOn w:val="Normal"/>
    <w:link w:val="CommentTextChar"/>
    <w:semiHidden/>
    <w:unhideWhenUsed/>
    <w:rsid w:val="004961C0"/>
    <w:rPr>
      <w:sz w:val="20"/>
    </w:rPr>
  </w:style>
  <w:style w:type="character" w:customStyle="1" w:styleId="CommentTextChar">
    <w:name w:val="Comment Text Char"/>
    <w:basedOn w:val="DefaultParagraphFont"/>
    <w:link w:val="CommentText"/>
    <w:semiHidden/>
    <w:rsid w:val="004961C0"/>
    <w:rPr>
      <w:rFonts w:ascii="Segoe UI" w:hAnsi="Segoe UI"/>
      <w:lang w:eastAsia="en-GB"/>
    </w:rPr>
  </w:style>
  <w:style w:type="paragraph" w:styleId="CommentSubject">
    <w:name w:val="annotation subject"/>
    <w:basedOn w:val="CommentText"/>
    <w:next w:val="CommentText"/>
    <w:link w:val="CommentSubjectChar"/>
    <w:semiHidden/>
    <w:unhideWhenUsed/>
    <w:rsid w:val="004961C0"/>
    <w:rPr>
      <w:b/>
      <w:bCs/>
    </w:rPr>
  </w:style>
  <w:style w:type="character" w:customStyle="1" w:styleId="CommentSubjectChar">
    <w:name w:val="Comment Subject Char"/>
    <w:basedOn w:val="CommentTextChar"/>
    <w:link w:val="CommentSubject"/>
    <w:semiHidden/>
    <w:rsid w:val="004961C0"/>
    <w:rPr>
      <w:rFonts w:ascii="Segoe UI" w:hAnsi="Segoe UI"/>
      <w:b/>
      <w:bCs/>
      <w:lang w:eastAsia="en-GB"/>
    </w:rPr>
  </w:style>
  <w:style w:type="table" w:styleId="TableGrid">
    <w:name w:val="Table Grid"/>
    <w:basedOn w:val="TableNormal"/>
    <w:uiPriority w:val="39"/>
    <w:rsid w:val="0083076E"/>
    <w:rPr>
      <w:rFonts w:asciiTheme="minorHAnsi" w:eastAsiaTheme="minorHAnsi" w:hAnsiTheme="minorHAnsi" w:cstheme="minorBid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footer" Target="footer8.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AB02A-2E6F-4CD0-A42B-677B6EF71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27</Pages>
  <Words>4767</Words>
  <Characters>26436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Pregnancy Planning: Findings from the 2014/15 New Zealand Health Survey</vt:lpstr>
    </vt:vector>
  </TitlesOfParts>
  <Company>Microsoft</Company>
  <LinksUpToDate>false</LinksUpToDate>
  <CharactersWithSpaces>31141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Pregnancy Planning: Findings from the 2014/15 New Zealand Health Survey</dc:title>
  <dc:creator>Ministry of Health</dc:creator>
  <cp:lastModifiedBy>Geneva Ruppert-Wise</cp:lastModifiedBy>
  <cp:revision>3</cp:revision>
  <cp:lastPrinted>2020-01-13T01:01:00Z</cp:lastPrinted>
  <dcterms:created xsi:type="dcterms:W3CDTF">2020-01-13T01:01:00Z</dcterms:created>
  <dcterms:modified xsi:type="dcterms:W3CDTF">2020-01-13T01:02:00Z</dcterms:modified>
</cp:coreProperties>
</file>