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1.xml" ContentType="application/vnd.openxmlformats-officedocument.drawingml.chartshapes+xml"/>
  <Override PartName="/word/charts/chart24.xml" ContentType="application/vnd.openxmlformats-officedocument.drawingml.chart+xml"/>
  <Override PartName="/word/drawings/drawing2.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drawings/drawing3.xml" ContentType="application/vnd.openxmlformats-officedocument.drawingml.chartshapes+xml"/>
  <Override PartName="/word/charts/chart28.xml" ContentType="application/vnd.openxmlformats-officedocument.drawingml.chart+xml"/>
  <Override PartName="/word/drawings/drawing4.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9DBBC" w14:textId="77777777" w:rsidR="00C86248" w:rsidRDefault="00410071" w:rsidP="00926083">
      <w:pPr>
        <w:pStyle w:val="Title"/>
      </w:pPr>
      <w:r>
        <w:t>2020 Regulatory Report</w:t>
      </w:r>
    </w:p>
    <w:p w14:paraId="4D3F6CAD" w14:textId="77777777" w:rsidR="00D27922" w:rsidRDefault="00410071" w:rsidP="00D27922">
      <w:pPr>
        <w:pStyle w:val="Subhead"/>
      </w:pPr>
      <w:r>
        <w:t>Office of the Director of Mental Health and Addiction Services</w:t>
      </w:r>
    </w:p>
    <w:p w14:paraId="1538F73A" w14:textId="77777777" w:rsidR="00C05132" w:rsidRDefault="00C05132" w:rsidP="00A06BE4"/>
    <w:p w14:paraId="45711F65"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1FCE4FCB"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10071">
        <w:rPr>
          <w:rFonts w:cs="Segoe UI"/>
        </w:rPr>
        <w:t>2021</w:t>
      </w:r>
      <w:r w:rsidR="00442C1C" w:rsidRPr="00C05132">
        <w:rPr>
          <w:rFonts w:cs="Segoe UI"/>
        </w:rPr>
        <w:t xml:space="preserve">. </w:t>
      </w:r>
      <w:r w:rsidR="00410071">
        <w:rPr>
          <w:rFonts w:cs="Segoe UI"/>
          <w:i/>
        </w:rPr>
        <w:t>Office of the Director of Mental Health and Addiction Services 2020 Regulatory Report</w:t>
      </w:r>
      <w:r w:rsidR="00442C1C" w:rsidRPr="00C05132">
        <w:rPr>
          <w:rFonts w:cs="Segoe UI"/>
        </w:rPr>
        <w:t>. Wellington: Ministry of Health.</w:t>
      </w:r>
    </w:p>
    <w:p w14:paraId="48D7DA04" w14:textId="15F3383B" w:rsidR="00C86248" w:rsidRDefault="00C86248">
      <w:pPr>
        <w:pStyle w:val="Imprint"/>
      </w:pPr>
      <w:r>
        <w:t xml:space="preserve">Published in </w:t>
      </w:r>
      <w:r w:rsidR="00BD1FD2">
        <w:t>November</w:t>
      </w:r>
      <w:r w:rsidR="00410071">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BD398EE" w14:textId="33246D40" w:rsidR="00082CD6" w:rsidRPr="009C0F2D" w:rsidRDefault="00D863D0" w:rsidP="00082CD6">
      <w:pPr>
        <w:pStyle w:val="Imprint"/>
      </w:pPr>
      <w:r>
        <w:t>ISBN</w:t>
      </w:r>
      <w:r w:rsidR="00442C1C">
        <w:t xml:space="preserve"> </w:t>
      </w:r>
      <w:r w:rsidR="00B17A35">
        <w:rPr>
          <w:rStyle w:val="normaltextrun"/>
          <w:rFonts w:cs="Segoe UI"/>
          <w:color w:val="000000"/>
          <w:shd w:val="clear" w:color="auto" w:fill="FFFFFF"/>
          <w:lang w:val="en-US"/>
        </w:rPr>
        <w:t>978-1-99-100788-9</w:t>
      </w:r>
      <w:r w:rsidR="00B17A35">
        <w:rPr>
          <w:rStyle w:val="eop"/>
          <w:rFonts w:cs="Segoe UI"/>
          <w:color w:val="000000"/>
          <w:shd w:val="clear" w:color="auto" w:fill="FFFFFF"/>
        </w:rPr>
        <w:t> </w:t>
      </w:r>
      <w:r w:rsidR="002B7BEC">
        <w:t xml:space="preserve"> </w:t>
      </w:r>
      <w:r>
        <w:t>(</w:t>
      </w:r>
      <w:r w:rsidR="00442C1C">
        <w:t>online</w:t>
      </w:r>
      <w:r>
        <w:t>)</w:t>
      </w:r>
      <w:r w:rsidR="00082CD6">
        <w:br/>
      </w:r>
      <w:r w:rsidR="00082CD6" w:rsidRPr="009C0F2D">
        <w:t xml:space="preserve">HP </w:t>
      </w:r>
      <w:r w:rsidR="00A91390">
        <w:t>7961</w:t>
      </w:r>
    </w:p>
    <w:p w14:paraId="1F9EB542" w14:textId="77777777" w:rsidR="00C86248" w:rsidRDefault="008C64C4" w:rsidP="00D27922">
      <w:pPr>
        <w:spacing w:before="360"/>
      </w:pPr>
      <w:r>
        <w:rPr>
          <w:noProof/>
          <w:lang w:eastAsia="en-NZ"/>
        </w:rPr>
        <w:drawing>
          <wp:inline distT="0" distB="0" distL="0" distR="0" wp14:anchorId="6B5E6AED" wp14:editId="087BD99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69C73CE"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47BFEFE0" w14:textId="77777777" w:rsidTr="00A63DFF">
        <w:trPr>
          <w:cantSplit/>
        </w:trPr>
        <w:tc>
          <w:tcPr>
            <w:tcW w:w="1526" w:type="dxa"/>
          </w:tcPr>
          <w:p w14:paraId="5B135C9B"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4C51FF7" wp14:editId="5968130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0D49E0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9624316" w14:textId="77777777" w:rsidR="007E74F1" w:rsidRPr="001F45A7" w:rsidRDefault="007E74F1" w:rsidP="006E2886">
      <w:pPr>
        <w:pStyle w:val="Imprint"/>
      </w:pPr>
    </w:p>
    <w:p w14:paraId="39B46D3F"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59CFE3F3" w14:textId="77777777" w:rsidR="00414C35" w:rsidRDefault="00414C35" w:rsidP="00F54E74">
      <w:pPr>
        <w:pStyle w:val="Heading1"/>
      </w:pPr>
      <w:bookmarkStart w:id="0" w:name="_Toc519278551"/>
      <w:bookmarkStart w:id="1" w:name="_Toc405792991"/>
      <w:bookmarkStart w:id="2" w:name="_Toc405793224"/>
      <w:bookmarkStart w:id="3" w:name="_Toc88826944"/>
      <w:r>
        <w:lastRenderedPageBreak/>
        <w:t>Foreword</w:t>
      </w:r>
      <w:bookmarkEnd w:id="0"/>
      <w:bookmarkEnd w:id="3"/>
    </w:p>
    <w:p w14:paraId="1768C7DB" w14:textId="77777777" w:rsidR="0039221C" w:rsidRDefault="00410071" w:rsidP="00EC625C">
      <w:r>
        <w:t>Welcome to our regulatory report for 2020. I recommend you read this report in conjunction with the mental health and wellbeing year in review report and quarterly updates to get a full picture of mental health and addiction supports and services in Aotearoa New Zealand over the 2020 year</w:t>
      </w:r>
      <w:r w:rsidR="00EC625C">
        <w:t>.</w:t>
      </w:r>
      <w:r w:rsidRPr="00EC625C">
        <w:rPr>
          <w:rStyle w:val="FootnoteReference"/>
        </w:rPr>
        <w:footnoteReference w:id="1"/>
      </w:r>
      <w:r>
        <w:t xml:space="preserve"> This report is in a new format and continues the data series of the annual reports for this Office published since 2006.</w:t>
      </w:r>
    </w:p>
    <w:p w14:paraId="29C7E996" w14:textId="77777777" w:rsidR="00410071" w:rsidRDefault="00410071" w:rsidP="00EC625C"/>
    <w:p w14:paraId="7558EED7" w14:textId="77777777" w:rsidR="00410071" w:rsidRDefault="00410071" w:rsidP="00EC625C">
      <w:r>
        <w:t xml:space="preserve">The report provides information relating to my role in the mental health and addiction sector – it </w:t>
      </w:r>
      <w:r w:rsidRPr="00104C6B">
        <w:t>presents data about the use of compulsory assessment and treatment legislation in Aotearoa New Zealand, including the Mental Health (Compulsory Assessment and Treatment) Act 1992 (the Mental Health Act)</w:t>
      </w:r>
      <w:r>
        <w:t xml:space="preserve"> and </w:t>
      </w:r>
      <w:r w:rsidRPr="00104C6B">
        <w:t>the Substance Addiction (Compulsory Assessment and Treatment) Act 2017 (the Substance Addiction Act</w:t>
      </w:r>
      <w:r>
        <w:t>)</w:t>
      </w:r>
      <w:r w:rsidRPr="00104C6B">
        <w:t>.</w:t>
      </w:r>
    </w:p>
    <w:p w14:paraId="6FCF95A7" w14:textId="77777777" w:rsidR="00410071" w:rsidRDefault="00410071" w:rsidP="00EC625C"/>
    <w:p w14:paraId="09AD2913" w14:textId="77777777" w:rsidR="00410071" w:rsidRDefault="00410071" w:rsidP="00EC625C">
      <w:r>
        <w:t xml:space="preserve">As the Director of both Mental Health and Addiction Services, I am the </w:t>
      </w:r>
      <w:r w:rsidRPr="00EC5EF1">
        <w:t xml:space="preserve">chief statutory officer under the Mental Health </w:t>
      </w:r>
      <w:r>
        <w:t xml:space="preserve">and Substance Addiction </w:t>
      </w:r>
      <w:r w:rsidRPr="00EC5EF1">
        <w:t>Act</w:t>
      </w:r>
      <w:r>
        <w:t>s. I am responsible for the general administration this legislation</w:t>
      </w:r>
      <w:r w:rsidRPr="00EC5EF1">
        <w:t xml:space="preserve"> under the direction of the Minister of Health and </w:t>
      </w:r>
      <w:r>
        <w:t xml:space="preserve">the </w:t>
      </w:r>
      <w:r w:rsidRPr="00EC5EF1">
        <w:t>Director-General of Health</w:t>
      </w:r>
      <w:r>
        <w:t xml:space="preserve">. My </w:t>
      </w:r>
      <w:r w:rsidRPr="00EC5EF1">
        <w:t>functions and powers under the Mental Health Act allow the Ministry</w:t>
      </w:r>
      <w:r>
        <w:t xml:space="preserve"> of Health</w:t>
      </w:r>
      <w:r w:rsidRPr="00EC5EF1">
        <w:t xml:space="preserve"> </w:t>
      </w:r>
      <w:r>
        <w:t xml:space="preserve">(the Ministry) </w:t>
      </w:r>
      <w:r w:rsidRPr="00EC5EF1">
        <w:t xml:space="preserve">to provide guidance </w:t>
      </w:r>
      <w:r>
        <w:t xml:space="preserve">and oversight </w:t>
      </w:r>
      <w:r w:rsidRPr="00EC5EF1">
        <w:t>to mental health services.</w:t>
      </w:r>
      <w:r>
        <w:t xml:space="preserve"> I also provide the overall regulation of the services and have powers that enable intervention when required.</w:t>
      </w:r>
    </w:p>
    <w:p w14:paraId="530D65B0" w14:textId="77777777" w:rsidR="00410071" w:rsidRDefault="00410071" w:rsidP="00EC625C"/>
    <w:p w14:paraId="4402FC16" w14:textId="77777777" w:rsidR="00410071" w:rsidRPr="00EC5EF1" w:rsidRDefault="00410071" w:rsidP="00EC625C">
      <w:r>
        <w:t xml:space="preserve">My office has responsibilities in relation to district inspectors, who play a critical role in protecting the rights of people who are subject to compulsory treatment. </w:t>
      </w:r>
      <w:r w:rsidRPr="00EC5EF1">
        <w:t>The</w:t>
      </w:r>
      <w:r>
        <w:t xml:space="preserve">se </w:t>
      </w:r>
      <w:r w:rsidRPr="00EC5EF1">
        <w:t>responsibilities include:</w:t>
      </w:r>
    </w:p>
    <w:p w14:paraId="418DA817" w14:textId="77777777" w:rsidR="00410071" w:rsidRPr="002031A6" w:rsidRDefault="00410071" w:rsidP="00EC625C">
      <w:pPr>
        <w:pStyle w:val="Bullet"/>
        <w:rPr>
          <w:rFonts w:eastAsiaTheme="minorHAnsi"/>
        </w:rPr>
      </w:pPr>
      <w:r w:rsidRPr="002031A6">
        <w:rPr>
          <w:rFonts w:eastAsiaTheme="minorHAnsi"/>
        </w:rPr>
        <w:t>coordinating the appointment and reappointment of district inspectors</w:t>
      </w:r>
    </w:p>
    <w:p w14:paraId="72765ADC" w14:textId="77777777" w:rsidR="00410071" w:rsidRPr="002031A6" w:rsidRDefault="00410071" w:rsidP="00EC625C">
      <w:pPr>
        <w:pStyle w:val="Bullet"/>
        <w:rPr>
          <w:rFonts w:eastAsiaTheme="minorHAnsi"/>
        </w:rPr>
      </w:pPr>
      <w:r w:rsidRPr="002031A6">
        <w:rPr>
          <w:rFonts w:eastAsiaTheme="minorHAnsi"/>
        </w:rPr>
        <w:t>receiving and responding to monthly reports from district inspectors</w:t>
      </w:r>
    </w:p>
    <w:p w14:paraId="4188A853" w14:textId="77777777" w:rsidR="00410071" w:rsidRPr="002031A6" w:rsidRDefault="00410071" w:rsidP="00EC625C">
      <w:pPr>
        <w:pStyle w:val="Bullet"/>
        <w:rPr>
          <w:rFonts w:eastAsiaTheme="minorHAnsi"/>
        </w:rPr>
      </w:pPr>
      <w:r w:rsidRPr="002031A6">
        <w:rPr>
          <w:rFonts w:eastAsiaTheme="minorHAnsi"/>
        </w:rPr>
        <w:t>facilitating inquiries under section 95 of the Mental Health Act</w:t>
      </w:r>
    </w:p>
    <w:p w14:paraId="32AE627A" w14:textId="77777777" w:rsidR="00410071" w:rsidRPr="00220E9C" w:rsidRDefault="00410071" w:rsidP="00EC625C">
      <w:pPr>
        <w:pStyle w:val="Bullet"/>
        <w:rPr>
          <w:rFonts w:eastAsiaTheme="minorHAnsi"/>
          <w:lang w:eastAsia="en-US"/>
        </w:rPr>
      </w:pPr>
      <w:r w:rsidRPr="002031A6">
        <w:rPr>
          <w:rFonts w:eastAsiaTheme="minorHAnsi"/>
        </w:rPr>
        <w:t>implementing the findings of section 95 inquiries</w:t>
      </w:r>
      <w:r w:rsidRPr="00220E9C">
        <w:rPr>
          <w:rFonts w:eastAsiaTheme="minorHAnsi"/>
          <w:lang w:eastAsia="en-US"/>
        </w:rPr>
        <w:t>.</w:t>
      </w:r>
    </w:p>
    <w:p w14:paraId="6704B27E" w14:textId="77777777" w:rsidR="00410071" w:rsidRDefault="00410071" w:rsidP="00EC625C"/>
    <w:p w14:paraId="3A407340" w14:textId="77777777" w:rsidR="00EC625C" w:rsidRPr="00EC625C" w:rsidRDefault="00410071" w:rsidP="00EC625C">
      <w:pPr>
        <w:rPr>
          <w:spacing w:val="-2"/>
        </w:rPr>
      </w:pPr>
      <w:r w:rsidRPr="00EC625C">
        <w:rPr>
          <w:spacing w:val="-2"/>
        </w:rPr>
        <w:t>We are transforming Aotearoa New Zealand</w:t>
      </w:r>
      <w:r w:rsidR="0039221C" w:rsidRPr="00EC625C">
        <w:rPr>
          <w:spacing w:val="-2"/>
        </w:rPr>
        <w:t>’</w:t>
      </w:r>
      <w:r w:rsidRPr="00EC625C">
        <w:rPr>
          <w:spacing w:val="-2"/>
        </w:rPr>
        <w:t xml:space="preserve">s approach to mental health and addiction so that people get the support they need, when and where they need it. </w:t>
      </w:r>
      <w:r w:rsidRPr="00EC625C">
        <w:rPr>
          <w:i/>
          <w:iCs/>
          <w:spacing w:val="-2"/>
        </w:rPr>
        <w:t xml:space="preserve">He Ara Oranga: Report of the Government Inquiry into Mental Health and Addiction </w:t>
      </w:r>
      <w:r w:rsidRPr="00EC625C">
        <w:rPr>
          <w:spacing w:val="-2"/>
        </w:rPr>
        <w:t>(</w:t>
      </w:r>
      <w:r w:rsidRPr="00EC625C">
        <w:rPr>
          <w:i/>
          <w:iCs/>
          <w:spacing w:val="-2"/>
        </w:rPr>
        <w:t>He Ara Oranga)</w:t>
      </w:r>
      <w:r w:rsidRPr="00EC625C">
        <w:rPr>
          <w:rStyle w:val="FootnoteReference"/>
          <w:iCs/>
          <w:spacing w:val="-2"/>
        </w:rPr>
        <w:footnoteReference w:id="2"/>
      </w:r>
      <w:r w:rsidRPr="00EC625C">
        <w:rPr>
          <w:spacing w:val="-2"/>
        </w:rPr>
        <w:t xml:space="preserve"> and the investment in mental health through Budget 2019 has resulted in a significant amount of work to improve mental health and addiction supports and services.</w:t>
      </w:r>
    </w:p>
    <w:p w14:paraId="5592322B" w14:textId="77777777" w:rsidR="00410071" w:rsidRDefault="00410071" w:rsidP="00EC625C">
      <w:pPr>
        <w:keepNext/>
        <w:keepLines/>
      </w:pPr>
      <w:r>
        <w:lastRenderedPageBreak/>
        <w:t xml:space="preserve">There is acknowledgement that improving the mental wellbeing of all New Zealanders requires activities to support people to proactively manage their own wellbeing through mental health promotion and prevention as well as strengthening specialist services for whānau and individuals who are experiencing complex mental health and addiction needs. You can read more about our long-term pathway to mental wellbeing in </w:t>
      </w:r>
      <w:r w:rsidRPr="00562733">
        <w:rPr>
          <w:i/>
          <w:iCs/>
        </w:rPr>
        <w:t>Kia Manawanui Aotearoa</w:t>
      </w:r>
      <w:r>
        <w:t>, which was released in September 2021.</w:t>
      </w:r>
      <w:r w:rsidRPr="00EC625C">
        <w:rPr>
          <w:rStyle w:val="FootnoteReference"/>
        </w:rPr>
        <w:footnoteReference w:id="3"/>
      </w:r>
    </w:p>
    <w:p w14:paraId="649B863E" w14:textId="77777777" w:rsidR="00EC625C" w:rsidRDefault="00EC625C" w:rsidP="00EC625C"/>
    <w:p w14:paraId="3D79E492" w14:textId="77777777" w:rsidR="00410071" w:rsidRDefault="00410071" w:rsidP="00EC625C">
      <w:r>
        <w:t xml:space="preserve">My office is very focused on the care of the 6 percent of New Zealanders using </w:t>
      </w:r>
      <w:r w:rsidRPr="00EC6218">
        <w:t>specialist mental health and addiction service</w:t>
      </w:r>
      <w:r>
        <w:t>s who are receiving treatment under the Mental Health Act, as well as the small number of people under the Substance Addiction Act.</w:t>
      </w:r>
    </w:p>
    <w:p w14:paraId="08428C09" w14:textId="77777777" w:rsidR="00410071" w:rsidRDefault="00410071" w:rsidP="00EC625C"/>
    <w:p w14:paraId="7C02E452" w14:textId="77777777" w:rsidR="00410071" w:rsidRDefault="00410071" w:rsidP="00EC625C">
      <w:r>
        <w:t>In the 2020 year, we have seen an increase in the number of people treated under the Mental Health Act. This is not unexpected – demand for specialist mental health and addiction services has been increasing over time. This is likely due to population growth</w:t>
      </w:r>
      <w:r w:rsidRPr="00316584">
        <w:t>, improved visibility and access to service</w:t>
      </w:r>
      <w:r>
        <w:t>s</w:t>
      </w:r>
      <w:r w:rsidRPr="00316584">
        <w:t xml:space="preserve"> and stronger referral relationships between health providers (as well as </w:t>
      </w:r>
      <w:r>
        <w:t xml:space="preserve">improvements </w:t>
      </w:r>
      <w:r w:rsidRPr="00316584">
        <w:t>in data reporting).</w:t>
      </w:r>
    </w:p>
    <w:p w14:paraId="15FE20B1" w14:textId="77777777" w:rsidR="00410071" w:rsidRDefault="00410071" w:rsidP="00EC625C"/>
    <w:p w14:paraId="5138E65D" w14:textId="684A73BB" w:rsidR="0039221C" w:rsidRDefault="00410071" w:rsidP="00EC625C">
      <w:r w:rsidRPr="00BB0AAA">
        <w:t>Reducing and eliminatin</w:t>
      </w:r>
      <w:r>
        <w:t>g</w:t>
      </w:r>
      <w:r w:rsidRPr="00BB0AAA">
        <w:t xml:space="preserve"> seclusion continue to be a focus for my office</w:t>
      </w:r>
      <w:r>
        <w:t xml:space="preserve"> and the wider mental health and addictions directorate</w:t>
      </w:r>
      <w:r w:rsidRPr="00BB0AAA">
        <w:t>.</w:t>
      </w:r>
      <w:r>
        <w:t xml:space="preserve"> </w:t>
      </w:r>
      <w:r w:rsidRPr="003F7009">
        <w:t xml:space="preserve">In 2009, the Ministry introduced a seclusion reduction policy, and </w:t>
      </w:r>
      <w:r>
        <w:t>it</w:t>
      </w:r>
      <w:r w:rsidRPr="003F7009">
        <w:t xml:space="preserve"> has been working with </w:t>
      </w:r>
      <w:r>
        <w:t>district health boards (</w:t>
      </w:r>
      <w:r w:rsidRPr="003F7009">
        <w:t>DHBs</w:t>
      </w:r>
      <w:r>
        <w:t>)</w:t>
      </w:r>
      <w:r w:rsidRPr="003F7009">
        <w:t xml:space="preserve"> to reduce </w:t>
      </w:r>
      <w:r>
        <w:t>the</w:t>
      </w:r>
      <w:r w:rsidRPr="003F7009">
        <w:t xml:space="preserve"> practice</w:t>
      </w:r>
      <w:r>
        <w:t xml:space="preserve"> of seclusion</w:t>
      </w:r>
      <w:r w:rsidRPr="003F7009">
        <w:t xml:space="preserve">. </w:t>
      </w:r>
      <w:r>
        <w:t>As a result, s</w:t>
      </w:r>
      <w:r w:rsidRPr="003F7009">
        <w:t xml:space="preserve">eclusion rates </w:t>
      </w:r>
      <w:r>
        <w:t>have steadily decreased and now plateaued. T</w:t>
      </w:r>
      <w:r w:rsidRPr="003F7009">
        <w:t xml:space="preserve">he Health Quality &amp; Safety Commission </w:t>
      </w:r>
      <w:r>
        <w:t xml:space="preserve">New Zealand (HQSC) </w:t>
      </w:r>
      <w:r w:rsidRPr="003F7009">
        <w:t>is coordinating a mental health and addiction quality improvement programme. The programme began in 2017</w:t>
      </w:r>
      <w:r>
        <w:t xml:space="preserve"> and includes a </w:t>
      </w:r>
      <w:r w:rsidRPr="003F7009">
        <w:t xml:space="preserve">collaborative project </w:t>
      </w:r>
      <w:r>
        <w:t>between</w:t>
      </w:r>
      <w:r w:rsidRPr="003F7009">
        <w:t xml:space="preserve"> the </w:t>
      </w:r>
      <w:r>
        <w:t>HQSC,</w:t>
      </w:r>
      <w:r w:rsidRPr="003F7009">
        <w:t xml:space="preserve"> Te Pou (the </w:t>
      </w:r>
      <w:r>
        <w:t xml:space="preserve">national </w:t>
      </w:r>
      <w:r w:rsidRPr="003F7009">
        <w:t xml:space="preserve">workforce development organisation </w:t>
      </w:r>
      <w:r>
        <w:t xml:space="preserve">for </w:t>
      </w:r>
      <w:r w:rsidRPr="003F7009">
        <w:t>mental health</w:t>
      </w:r>
      <w:r>
        <w:t>,</w:t>
      </w:r>
      <w:r w:rsidRPr="003F7009">
        <w:t xml:space="preserve"> addiction </w:t>
      </w:r>
      <w:r>
        <w:t>and disability</w:t>
      </w:r>
      <w:r w:rsidRPr="003F7009">
        <w:t xml:space="preserve">) </w:t>
      </w:r>
      <w:r>
        <w:t>and</w:t>
      </w:r>
      <w:r w:rsidRPr="003F7009">
        <w:t xml:space="preserve"> </w:t>
      </w:r>
      <w:r>
        <w:t>DHBs to</w:t>
      </w:r>
      <w:r w:rsidRPr="003F7009">
        <w:t xml:space="preserve"> continu</w:t>
      </w:r>
      <w:r>
        <w:t>e the</w:t>
      </w:r>
      <w:r w:rsidRPr="003F7009">
        <w:t xml:space="preserve"> focus on eliminating seclusion in </w:t>
      </w:r>
      <w:r>
        <w:t xml:space="preserve">Aotearoa </w:t>
      </w:r>
      <w:r w:rsidRPr="003F7009">
        <w:t>New Zealand, with a particular focus on reducing seclusion rates for Māori and Pacific service users.</w:t>
      </w:r>
      <w:r w:rsidRPr="00EC625C">
        <w:rPr>
          <w:rStyle w:val="FootnoteReference"/>
        </w:rPr>
        <w:footnoteReference w:id="4"/>
      </w:r>
    </w:p>
    <w:p w14:paraId="0EEA633E" w14:textId="77777777" w:rsidR="00410071" w:rsidRDefault="00410071" w:rsidP="00EC625C"/>
    <w:p w14:paraId="50EDF2C0" w14:textId="77777777" w:rsidR="00410071" w:rsidRPr="00EC625C" w:rsidRDefault="00410071" w:rsidP="00EC625C">
      <w:pPr>
        <w:rPr>
          <w:spacing w:val="-2"/>
        </w:rPr>
      </w:pPr>
      <w:r w:rsidRPr="00EC625C">
        <w:rPr>
          <w:spacing w:val="-2"/>
        </w:rPr>
        <w:t xml:space="preserve">We are currently consulting on repealing and replacing the Mental Health Act, which was recommended in </w:t>
      </w:r>
      <w:r w:rsidRPr="00EC625C">
        <w:rPr>
          <w:i/>
          <w:iCs/>
          <w:spacing w:val="-2"/>
        </w:rPr>
        <w:t xml:space="preserve">He Ara Oranga, </w:t>
      </w:r>
      <w:r w:rsidRPr="00EC625C">
        <w:rPr>
          <w:spacing w:val="-2"/>
        </w:rPr>
        <w:t>as it has not kept pace with the shift towards a recovery and wellbeing approach to care and has never been comprehensively reviewed. To this end, we need to think about how we provide the least restrictive mental health care while still keeping individuals, whānau and our communities safe, as well as how to set in place clear guidelines for minimising restrictive practices and support specific populations within our society. We have the opportunity to create new mental health legislation that respects family and whānau, recognises Te Tiriti o Waitangi and improves equity. The legislation should be a last resort for people in a vulnerable and distressed state: it should not be used as a way for a person to access treatment and services. You can find out more about the public consultation and make a submission on our website (</w:t>
      </w:r>
      <w:hyperlink r:id="rId15" w:history="1">
        <w:r w:rsidRPr="00EC625C">
          <w:rPr>
            <w:rStyle w:val="Hyperlink"/>
            <w:rFonts w:eastAsiaTheme="majorEastAsia"/>
            <w:spacing w:val="-2"/>
          </w:rPr>
          <w:t>https://www.health.govt.nz/our-work/mental-health-and-addiction/mental-health-legislation/repealing-and-replacing-mental-health-act</w:t>
        </w:r>
      </w:hyperlink>
      <w:r w:rsidRPr="00EC625C">
        <w:rPr>
          <w:spacing w:val="-2"/>
        </w:rPr>
        <w:t>).</w:t>
      </w:r>
    </w:p>
    <w:p w14:paraId="5386968D" w14:textId="77777777" w:rsidR="00410071" w:rsidRDefault="00410071" w:rsidP="00EC625C"/>
    <w:p w14:paraId="6D4A8127" w14:textId="77777777" w:rsidR="0039221C" w:rsidRDefault="00410071" w:rsidP="00EC625C">
      <w:r w:rsidRPr="00FF3A6F">
        <w:lastRenderedPageBreak/>
        <w:t xml:space="preserve">Amendments to the Mental Health Act were recently passed into legislation to eliminate indefinite treatment orders, allow family members of patients to attend meetings audio-visually and ensure </w:t>
      </w:r>
      <w:r w:rsidR="0039221C">
        <w:t>‘</w:t>
      </w:r>
      <w:r w:rsidRPr="00FF3A6F">
        <w:t>special patients</w:t>
      </w:r>
      <w:r w:rsidR="0039221C">
        <w:t>’</w:t>
      </w:r>
      <w:r w:rsidRPr="00FF3A6F">
        <w:t xml:space="preserve"> experiencing severe mental illness are safer when being transported.</w:t>
      </w:r>
      <w:r>
        <w:t xml:space="preserve"> This is an important step to </w:t>
      </w:r>
      <w:r w:rsidRPr="00FF3A6F">
        <w:t>ensure patient safety until the whole Act can be replaced</w:t>
      </w:r>
      <w:r w:rsidRPr="007F532A">
        <w:t>.</w:t>
      </w:r>
    </w:p>
    <w:p w14:paraId="5E499E84" w14:textId="77777777" w:rsidR="00410071" w:rsidRDefault="00410071" w:rsidP="00EC625C"/>
    <w:p w14:paraId="495316C7" w14:textId="77777777" w:rsidR="00410071" w:rsidRDefault="00410071" w:rsidP="00EC625C">
      <w:r>
        <w:t>I</w:t>
      </w:r>
      <w:r w:rsidR="0039221C">
        <w:t>’</w:t>
      </w:r>
      <w:r>
        <w:t>d like to take this opportunity thank the mental health and addiction workforce in Aotearoa New Zealand. This dedicated group does incredible work to support those who need help. There is increasing demand for services, and the COVID-19 pandemic is also highlighting the importance of having supports in place to help people with their mental wellbeing. We know there is more to do to better strengthen and grow this workforce and we</w:t>
      </w:r>
      <w:r w:rsidR="0039221C">
        <w:t>’</w:t>
      </w:r>
      <w:r>
        <w:t>ve got programmes underway to achieve this.</w:t>
      </w:r>
    </w:p>
    <w:p w14:paraId="139DAE8E" w14:textId="77777777" w:rsidR="00410071" w:rsidRDefault="00410071" w:rsidP="00EC625C"/>
    <w:p w14:paraId="233E4465" w14:textId="77777777" w:rsidR="00410071" w:rsidRDefault="00410071" w:rsidP="00EC625C">
      <w:r>
        <w:t>Noho ora mai</w:t>
      </w:r>
    </w:p>
    <w:p w14:paraId="26D2A31F" w14:textId="77777777" w:rsidR="00410071" w:rsidRDefault="00410071" w:rsidP="00EC625C"/>
    <w:p w14:paraId="79C89A39" w14:textId="77777777" w:rsidR="00410071" w:rsidRDefault="00410071" w:rsidP="00EC625C">
      <w:r>
        <w:t>Dr John Crawshaw</w:t>
      </w:r>
      <w:r>
        <w:br/>
        <w:t>Director of Mental Health</w:t>
      </w:r>
    </w:p>
    <w:p w14:paraId="1FD1853B" w14:textId="77777777" w:rsidR="00410071" w:rsidRDefault="00410071" w:rsidP="00EC625C">
      <w:r>
        <w:t>Director of Addiction Services</w:t>
      </w:r>
    </w:p>
    <w:p w14:paraId="43F0DA1C" w14:textId="77777777" w:rsidR="00FB0A5B" w:rsidRDefault="00FB0A5B" w:rsidP="00414C35"/>
    <w:p w14:paraId="09EC4E6C" w14:textId="77777777" w:rsidR="00414C35" w:rsidRDefault="00414C35" w:rsidP="00414C35">
      <w:pPr>
        <w:sectPr w:rsidR="00414C35" w:rsidSect="001D3E4E">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49894E70" w14:textId="77777777" w:rsidR="00414C35" w:rsidRDefault="00414C35" w:rsidP="00414C35"/>
    <w:p w14:paraId="33930A49" w14:textId="77777777" w:rsidR="00414C35" w:rsidRDefault="00414C35" w:rsidP="00414C35">
      <w:pPr>
        <w:sectPr w:rsidR="00414C35" w:rsidSect="0078658E">
          <w:footerReference w:type="even" r:id="rId20"/>
          <w:footerReference w:type="default" r:id="rId21"/>
          <w:pgSz w:w="11907" w:h="16840" w:code="9"/>
          <w:pgMar w:top="1418" w:right="1701" w:bottom="1134" w:left="1843" w:header="284" w:footer="425" w:gutter="284"/>
          <w:pgNumType w:fmt="lowerRoman"/>
          <w:cols w:space="720"/>
        </w:sectPr>
      </w:pPr>
    </w:p>
    <w:p w14:paraId="2AFE6611" w14:textId="77777777" w:rsidR="00C86248" w:rsidRDefault="00C86248" w:rsidP="00025A6F">
      <w:pPr>
        <w:pStyle w:val="IntroHead"/>
      </w:pPr>
      <w:r>
        <w:lastRenderedPageBreak/>
        <w:t>Contents</w:t>
      </w:r>
      <w:bookmarkEnd w:id="1"/>
      <w:bookmarkEnd w:id="2"/>
    </w:p>
    <w:p w14:paraId="7F9CCB22" w14:textId="4CC05954" w:rsidR="00245FD9" w:rsidRDefault="00245FD9">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8826944" w:history="1">
        <w:r w:rsidRPr="00DB2C1B">
          <w:rPr>
            <w:rStyle w:val="Hyperlink"/>
            <w:noProof/>
          </w:rPr>
          <w:t>Foreword</w:t>
        </w:r>
        <w:r>
          <w:rPr>
            <w:noProof/>
            <w:webHidden/>
          </w:rPr>
          <w:tab/>
        </w:r>
        <w:r>
          <w:rPr>
            <w:noProof/>
            <w:webHidden/>
          </w:rPr>
          <w:fldChar w:fldCharType="begin"/>
        </w:r>
        <w:r>
          <w:rPr>
            <w:noProof/>
            <w:webHidden/>
          </w:rPr>
          <w:instrText xml:space="preserve"> PAGEREF _Toc88826944 \h </w:instrText>
        </w:r>
        <w:r>
          <w:rPr>
            <w:noProof/>
            <w:webHidden/>
          </w:rPr>
        </w:r>
        <w:r>
          <w:rPr>
            <w:noProof/>
            <w:webHidden/>
          </w:rPr>
          <w:fldChar w:fldCharType="separate"/>
        </w:r>
        <w:r w:rsidR="00840F18">
          <w:rPr>
            <w:noProof/>
            <w:webHidden/>
          </w:rPr>
          <w:t>iii</w:t>
        </w:r>
        <w:r>
          <w:rPr>
            <w:noProof/>
            <w:webHidden/>
          </w:rPr>
          <w:fldChar w:fldCharType="end"/>
        </w:r>
      </w:hyperlink>
    </w:p>
    <w:p w14:paraId="3D29DB4D" w14:textId="273A71ED" w:rsidR="00245FD9" w:rsidRDefault="00245FD9">
      <w:pPr>
        <w:pStyle w:val="TOC1"/>
        <w:rPr>
          <w:rFonts w:asciiTheme="minorHAnsi" w:eastAsiaTheme="minorEastAsia" w:hAnsiTheme="minorHAnsi" w:cstheme="minorBidi"/>
          <w:noProof/>
          <w:sz w:val="22"/>
          <w:szCs w:val="22"/>
          <w:lang w:eastAsia="en-NZ"/>
        </w:rPr>
      </w:pPr>
      <w:hyperlink w:anchor="_Toc88826945" w:history="1">
        <w:r w:rsidRPr="00DB2C1B">
          <w:rPr>
            <w:rStyle w:val="Hyperlink"/>
            <w:noProof/>
          </w:rPr>
          <w:t>Use of the Mental Health Act</w:t>
        </w:r>
        <w:r>
          <w:rPr>
            <w:noProof/>
            <w:webHidden/>
          </w:rPr>
          <w:tab/>
        </w:r>
        <w:r>
          <w:rPr>
            <w:noProof/>
            <w:webHidden/>
          </w:rPr>
          <w:fldChar w:fldCharType="begin"/>
        </w:r>
        <w:r>
          <w:rPr>
            <w:noProof/>
            <w:webHidden/>
          </w:rPr>
          <w:instrText xml:space="preserve"> PAGEREF _Toc88826945 \h </w:instrText>
        </w:r>
        <w:r>
          <w:rPr>
            <w:noProof/>
            <w:webHidden/>
          </w:rPr>
        </w:r>
        <w:r>
          <w:rPr>
            <w:noProof/>
            <w:webHidden/>
          </w:rPr>
          <w:fldChar w:fldCharType="separate"/>
        </w:r>
        <w:r w:rsidR="00840F18">
          <w:rPr>
            <w:noProof/>
            <w:webHidden/>
          </w:rPr>
          <w:t>1</w:t>
        </w:r>
        <w:r>
          <w:rPr>
            <w:noProof/>
            <w:webHidden/>
          </w:rPr>
          <w:fldChar w:fldCharType="end"/>
        </w:r>
      </w:hyperlink>
    </w:p>
    <w:p w14:paraId="09CEEDDF" w14:textId="6A2E12E0" w:rsidR="00245FD9" w:rsidRDefault="00245FD9">
      <w:pPr>
        <w:pStyle w:val="TOC1"/>
        <w:rPr>
          <w:rFonts w:asciiTheme="minorHAnsi" w:eastAsiaTheme="minorEastAsia" w:hAnsiTheme="minorHAnsi" w:cstheme="minorBidi"/>
          <w:noProof/>
          <w:sz w:val="22"/>
          <w:szCs w:val="22"/>
          <w:lang w:eastAsia="en-NZ"/>
        </w:rPr>
      </w:pPr>
      <w:hyperlink w:anchor="_Toc88826946" w:history="1">
        <w:r w:rsidRPr="00DB2C1B">
          <w:rPr>
            <w:rStyle w:val="Hyperlink"/>
            <w:noProof/>
          </w:rPr>
          <w:t>The Mental Health Act process</w:t>
        </w:r>
        <w:r>
          <w:rPr>
            <w:noProof/>
            <w:webHidden/>
          </w:rPr>
          <w:tab/>
        </w:r>
        <w:r>
          <w:rPr>
            <w:noProof/>
            <w:webHidden/>
          </w:rPr>
          <w:fldChar w:fldCharType="begin"/>
        </w:r>
        <w:r>
          <w:rPr>
            <w:noProof/>
            <w:webHidden/>
          </w:rPr>
          <w:instrText xml:space="preserve"> PAGEREF _Toc88826946 \h </w:instrText>
        </w:r>
        <w:r>
          <w:rPr>
            <w:noProof/>
            <w:webHidden/>
          </w:rPr>
        </w:r>
        <w:r>
          <w:rPr>
            <w:noProof/>
            <w:webHidden/>
          </w:rPr>
          <w:fldChar w:fldCharType="separate"/>
        </w:r>
        <w:r w:rsidR="00840F18">
          <w:rPr>
            <w:noProof/>
            <w:webHidden/>
          </w:rPr>
          <w:t>2</w:t>
        </w:r>
        <w:r>
          <w:rPr>
            <w:noProof/>
            <w:webHidden/>
          </w:rPr>
          <w:fldChar w:fldCharType="end"/>
        </w:r>
      </w:hyperlink>
    </w:p>
    <w:p w14:paraId="62882FC5" w14:textId="320465B8" w:rsidR="00245FD9" w:rsidRDefault="00245FD9">
      <w:pPr>
        <w:pStyle w:val="TOC2"/>
        <w:rPr>
          <w:rFonts w:asciiTheme="minorHAnsi" w:eastAsiaTheme="minorEastAsia" w:hAnsiTheme="minorHAnsi" w:cstheme="minorBidi"/>
          <w:noProof/>
          <w:sz w:val="22"/>
          <w:szCs w:val="22"/>
          <w:lang w:eastAsia="en-NZ"/>
        </w:rPr>
      </w:pPr>
      <w:hyperlink w:anchor="_Toc88826947" w:history="1">
        <w:r w:rsidRPr="00DB2C1B">
          <w:rPr>
            <w:rStyle w:val="Hyperlink"/>
            <w:noProof/>
          </w:rPr>
          <w:t>Compulsory assessment in 2020</w:t>
        </w:r>
        <w:r>
          <w:rPr>
            <w:noProof/>
            <w:webHidden/>
          </w:rPr>
          <w:tab/>
        </w:r>
        <w:r>
          <w:rPr>
            <w:noProof/>
            <w:webHidden/>
          </w:rPr>
          <w:fldChar w:fldCharType="begin"/>
        </w:r>
        <w:r>
          <w:rPr>
            <w:noProof/>
            <w:webHidden/>
          </w:rPr>
          <w:instrText xml:space="preserve"> PAGEREF _Toc88826947 \h </w:instrText>
        </w:r>
        <w:r>
          <w:rPr>
            <w:noProof/>
            <w:webHidden/>
          </w:rPr>
        </w:r>
        <w:r>
          <w:rPr>
            <w:noProof/>
            <w:webHidden/>
          </w:rPr>
          <w:fldChar w:fldCharType="separate"/>
        </w:r>
        <w:r w:rsidR="00840F18">
          <w:rPr>
            <w:noProof/>
            <w:webHidden/>
          </w:rPr>
          <w:t>2</w:t>
        </w:r>
        <w:r>
          <w:rPr>
            <w:noProof/>
            <w:webHidden/>
          </w:rPr>
          <w:fldChar w:fldCharType="end"/>
        </w:r>
      </w:hyperlink>
    </w:p>
    <w:p w14:paraId="1D9D7568" w14:textId="540000FE" w:rsidR="00245FD9" w:rsidRDefault="00245FD9">
      <w:pPr>
        <w:pStyle w:val="TOC2"/>
        <w:rPr>
          <w:rFonts w:asciiTheme="minorHAnsi" w:eastAsiaTheme="minorEastAsia" w:hAnsiTheme="minorHAnsi" w:cstheme="minorBidi"/>
          <w:noProof/>
          <w:sz w:val="22"/>
          <w:szCs w:val="22"/>
          <w:lang w:eastAsia="en-NZ"/>
        </w:rPr>
      </w:pPr>
      <w:hyperlink w:anchor="_Toc88826948" w:history="1">
        <w:r w:rsidRPr="00DB2C1B">
          <w:rPr>
            <w:rStyle w:val="Hyperlink"/>
            <w:noProof/>
          </w:rPr>
          <w:t>Compulsory treatment in 2020</w:t>
        </w:r>
        <w:r>
          <w:rPr>
            <w:noProof/>
            <w:webHidden/>
          </w:rPr>
          <w:tab/>
        </w:r>
        <w:r>
          <w:rPr>
            <w:noProof/>
            <w:webHidden/>
          </w:rPr>
          <w:fldChar w:fldCharType="begin"/>
        </w:r>
        <w:r>
          <w:rPr>
            <w:noProof/>
            <w:webHidden/>
          </w:rPr>
          <w:instrText xml:space="preserve"> PAGEREF _Toc88826948 \h </w:instrText>
        </w:r>
        <w:r>
          <w:rPr>
            <w:noProof/>
            <w:webHidden/>
          </w:rPr>
        </w:r>
        <w:r>
          <w:rPr>
            <w:noProof/>
            <w:webHidden/>
          </w:rPr>
          <w:fldChar w:fldCharType="separate"/>
        </w:r>
        <w:r w:rsidR="00840F18">
          <w:rPr>
            <w:noProof/>
            <w:webHidden/>
          </w:rPr>
          <w:t>2</w:t>
        </w:r>
        <w:r>
          <w:rPr>
            <w:noProof/>
            <w:webHidden/>
          </w:rPr>
          <w:fldChar w:fldCharType="end"/>
        </w:r>
      </w:hyperlink>
    </w:p>
    <w:p w14:paraId="3CADCC48" w14:textId="003221DD" w:rsidR="00245FD9" w:rsidRDefault="00245FD9">
      <w:pPr>
        <w:pStyle w:val="TOC2"/>
        <w:rPr>
          <w:rFonts w:asciiTheme="minorHAnsi" w:eastAsiaTheme="minorEastAsia" w:hAnsiTheme="minorHAnsi" w:cstheme="minorBidi"/>
          <w:noProof/>
          <w:sz w:val="22"/>
          <w:szCs w:val="22"/>
          <w:lang w:eastAsia="en-NZ"/>
        </w:rPr>
      </w:pPr>
      <w:hyperlink w:anchor="_Toc88826949" w:history="1">
        <w:r w:rsidRPr="00DB2C1B">
          <w:rPr>
            <w:rStyle w:val="Hyperlink"/>
            <w:noProof/>
          </w:rPr>
          <w:t>Comparing compulsory assessment and treatment among DHBs</w:t>
        </w:r>
        <w:r>
          <w:rPr>
            <w:noProof/>
            <w:webHidden/>
          </w:rPr>
          <w:tab/>
        </w:r>
        <w:r>
          <w:rPr>
            <w:noProof/>
            <w:webHidden/>
          </w:rPr>
          <w:fldChar w:fldCharType="begin"/>
        </w:r>
        <w:r>
          <w:rPr>
            <w:noProof/>
            <w:webHidden/>
          </w:rPr>
          <w:instrText xml:space="preserve"> PAGEREF _Toc88826949 \h </w:instrText>
        </w:r>
        <w:r>
          <w:rPr>
            <w:noProof/>
            <w:webHidden/>
          </w:rPr>
        </w:r>
        <w:r>
          <w:rPr>
            <w:noProof/>
            <w:webHidden/>
          </w:rPr>
          <w:fldChar w:fldCharType="separate"/>
        </w:r>
        <w:r w:rsidR="00840F18">
          <w:rPr>
            <w:noProof/>
            <w:webHidden/>
          </w:rPr>
          <w:t>4</w:t>
        </w:r>
        <w:r>
          <w:rPr>
            <w:noProof/>
            <w:webHidden/>
          </w:rPr>
          <w:fldChar w:fldCharType="end"/>
        </w:r>
      </w:hyperlink>
    </w:p>
    <w:p w14:paraId="7282B427" w14:textId="12D28664" w:rsidR="00245FD9" w:rsidRDefault="00245FD9">
      <w:pPr>
        <w:pStyle w:val="TOC2"/>
        <w:rPr>
          <w:rFonts w:asciiTheme="minorHAnsi" w:eastAsiaTheme="minorEastAsia" w:hAnsiTheme="minorHAnsi" w:cstheme="minorBidi"/>
          <w:noProof/>
          <w:sz w:val="22"/>
          <w:szCs w:val="22"/>
          <w:lang w:eastAsia="en-NZ"/>
        </w:rPr>
      </w:pPr>
      <w:hyperlink w:anchor="_Toc88826950" w:history="1">
        <w:r w:rsidRPr="00DB2C1B">
          <w:rPr>
            <w:rStyle w:val="Hyperlink"/>
            <w:noProof/>
          </w:rPr>
          <w:t>Compulsory treatment by age and sex in 2020</w:t>
        </w:r>
        <w:r>
          <w:rPr>
            <w:noProof/>
            <w:webHidden/>
          </w:rPr>
          <w:tab/>
        </w:r>
        <w:r>
          <w:rPr>
            <w:noProof/>
            <w:webHidden/>
          </w:rPr>
          <w:fldChar w:fldCharType="begin"/>
        </w:r>
        <w:r>
          <w:rPr>
            <w:noProof/>
            <w:webHidden/>
          </w:rPr>
          <w:instrText xml:space="preserve"> PAGEREF _Toc88826950 \h </w:instrText>
        </w:r>
        <w:r>
          <w:rPr>
            <w:noProof/>
            <w:webHidden/>
          </w:rPr>
        </w:r>
        <w:r>
          <w:rPr>
            <w:noProof/>
            <w:webHidden/>
          </w:rPr>
          <w:fldChar w:fldCharType="separate"/>
        </w:r>
        <w:r w:rsidR="00840F18">
          <w:rPr>
            <w:noProof/>
            <w:webHidden/>
          </w:rPr>
          <w:t>7</w:t>
        </w:r>
        <w:r>
          <w:rPr>
            <w:noProof/>
            <w:webHidden/>
          </w:rPr>
          <w:fldChar w:fldCharType="end"/>
        </w:r>
      </w:hyperlink>
    </w:p>
    <w:p w14:paraId="1B463FBF" w14:textId="423ECD8A" w:rsidR="00245FD9" w:rsidRDefault="00245FD9">
      <w:pPr>
        <w:pStyle w:val="TOC1"/>
        <w:rPr>
          <w:rFonts w:asciiTheme="minorHAnsi" w:eastAsiaTheme="minorEastAsia" w:hAnsiTheme="minorHAnsi" w:cstheme="minorBidi"/>
          <w:noProof/>
          <w:sz w:val="22"/>
          <w:szCs w:val="22"/>
          <w:lang w:eastAsia="en-NZ"/>
        </w:rPr>
      </w:pPr>
      <w:hyperlink w:anchor="_Toc88826951" w:history="1">
        <w:r w:rsidRPr="00DB2C1B">
          <w:rPr>
            <w:rStyle w:val="Hyperlink"/>
            <w:noProof/>
          </w:rPr>
          <w:t>Tāngata whai ora</w:t>
        </w:r>
        <w:r>
          <w:rPr>
            <w:noProof/>
            <w:webHidden/>
          </w:rPr>
          <w:tab/>
        </w:r>
        <w:r>
          <w:rPr>
            <w:noProof/>
            <w:webHidden/>
          </w:rPr>
          <w:fldChar w:fldCharType="begin"/>
        </w:r>
        <w:r>
          <w:rPr>
            <w:noProof/>
            <w:webHidden/>
          </w:rPr>
          <w:instrText xml:space="preserve"> PAGEREF _Toc88826951 \h </w:instrText>
        </w:r>
        <w:r>
          <w:rPr>
            <w:noProof/>
            <w:webHidden/>
          </w:rPr>
        </w:r>
        <w:r>
          <w:rPr>
            <w:noProof/>
            <w:webHidden/>
          </w:rPr>
          <w:fldChar w:fldCharType="separate"/>
        </w:r>
        <w:r w:rsidR="00840F18">
          <w:rPr>
            <w:noProof/>
            <w:webHidden/>
          </w:rPr>
          <w:t>9</w:t>
        </w:r>
        <w:r>
          <w:rPr>
            <w:noProof/>
            <w:webHidden/>
          </w:rPr>
          <w:fldChar w:fldCharType="end"/>
        </w:r>
      </w:hyperlink>
    </w:p>
    <w:p w14:paraId="7108345C" w14:textId="40FE8590" w:rsidR="00245FD9" w:rsidRDefault="00245FD9">
      <w:pPr>
        <w:pStyle w:val="TOC2"/>
        <w:rPr>
          <w:rFonts w:asciiTheme="minorHAnsi" w:eastAsiaTheme="minorEastAsia" w:hAnsiTheme="minorHAnsi" w:cstheme="minorBidi"/>
          <w:noProof/>
          <w:sz w:val="22"/>
          <w:szCs w:val="22"/>
          <w:lang w:eastAsia="en-NZ"/>
        </w:rPr>
      </w:pPr>
      <w:hyperlink w:anchor="_Toc88826952" w:history="1">
        <w:r w:rsidRPr="00DB2C1B">
          <w:rPr>
            <w:rStyle w:val="Hyperlink"/>
            <w:noProof/>
          </w:rPr>
          <w:t>Compulsory assessment</w:t>
        </w:r>
        <w:r>
          <w:rPr>
            <w:noProof/>
            <w:webHidden/>
          </w:rPr>
          <w:tab/>
        </w:r>
        <w:r>
          <w:rPr>
            <w:noProof/>
            <w:webHidden/>
          </w:rPr>
          <w:fldChar w:fldCharType="begin"/>
        </w:r>
        <w:r>
          <w:rPr>
            <w:noProof/>
            <w:webHidden/>
          </w:rPr>
          <w:instrText xml:space="preserve"> PAGEREF _Toc88826952 \h </w:instrText>
        </w:r>
        <w:r>
          <w:rPr>
            <w:noProof/>
            <w:webHidden/>
          </w:rPr>
        </w:r>
        <w:r>
          <w:rPr>
            <w:noProof/>
            <w:webHidden/>
          </w:rPr>
          <w:fldChar w:fldCharType="separate"/>
        </w:r>
        <w:r w:rsidR="00840F18">
          <w:rPr>
            <w:noProof/>
            <w:webHidden/>
          </w:rPr>
          <w:t>10</w:t>
        </w:r>
        <w:r>
          <w:rPr>
            <w:noProof/>
            <w:webHidden/>
          </w:rPr>
          <w:fldChar w:fldCharType="end"/>
        </w:r>
      </w:hyperlink>
    </w:p>
    <w:p w14:paraId="62CDB38B" w14:textId="405CF0E8" w:rsidR="00245FD9" w:rsidRDefault="00245FD9">
      <w:pPr>
        <w:pStyle w:val="TOC2"/>
        <w:rPr>
          <w:rFonts w:asciiTheme="minorHAnsi" w:eastAsiaTheme="minorEastAsia" w:hAnsiTheme="minorHAnsi" w:cstheme="minorBidi"/>
          <w:noProof/>
          <w:sz w:val="22"/>
          <w:szCs w:val="22"/>
          <w:lang w:eastAsia="en-NZ"/>
        </w:rPr>
      </w:pPr>
      <w:hyperlink w:anchor="_Toc88826953" w:history="1">
        <w:r w:rsidRPr="00DB2C1B">
          <w:rPr>
            <w:rStyle w:val="Hyperlink"/>
            <w:noProof/>
          </w:rPr>
          <w:t>Compulsory treatment orders</w:t>
        </w:r>
        <w:r>
          <w:rPr>
            <w:noProof/>
            <w:webHidden/>
          </w:rPr>
          <w:tab/>
        </w:r>
        <w:r>
          <w:rPr>
            <w:noProof/>
            <w:webHidden/>
          </w:rPr>
          <w:fldChar w:fldCharType="begin"/>
        </w:r>
        <w:r>
          <w:rPr>
            <w:noProof/>
            <w:webHidden/>
          </w:rPr>
          <w:instrText xml:space="preserve"> PAGEREF _Toc88826953 \h </w:instrText>
        </w:r>
        <w:r>
          <w:rPr>
            <w:noProof/>
            <w:webHidden/>
          </w:rPr>
        </w:r>
        <w:r>
          <w:rPr>
            <w:noProof/>
            <w:webHidden/>
          </w:rPr>
          <w:fldChar w:fldCharType="separate"/>
        </w:r>
        <w:r w:rsidR="00840F18">
          <w:rPr>
            <w:noProof/>
            <w:webHidden/>
          </w:rPr>
          <w:t>10</w:t>
        </w:r>
        <w:r>
          <w:rPr>
            <w:noProof/>
            <w:webHidden/>
          </w:rPr>
          <w:fldChar w:fldCharType="end"/>
        </w:r>
      </w:hyperlink>
    </w:p>
    <w:p w14:paraId="086DBABC" w14:textId="41C3DAE7" w:rsidR="00245FD9" w:rsidRDefault="00245FD9">
      <w:pPr>
        <w:pStyle w:val="TOC2"/>
        <w:rPr>
          <w:rFonts w:asciiTheme="minorHAnsi" w:eastAsiaTheme="minorEastAsia" w:hAnsiTheme="minorHAnsi" w:cstheme="minorBidi"/>
          <w:noProof/>
          <w:sz w:val="22"/>
          <w:szCs w:val="22"/>
          <w:lang w:eastAsia="en-NZ"/>
        </w:rPr>
      </w:pPr>
      <w:hyperlink w:anchor="_Toc88826954" w:history="1">
        <w:r w:rsidRPr="00DB2C1B">
          <w:rPr>
            <w:rStyle w:val="Hyperlink"/>
            <w:noProof/>
          </w:rPr>
          <w:t>Length of time spent subject to compulsory treatment orders</w:t>
        </w:r>
        <w:r>
          <w:rPr>
            <w:noProof/>
            <w:webHidden/>
          </w:rPr>
          <w:tab/>
        </w:r>
        <w:r>
          <w:rPr>
            <w:noProof/>
            <w:webHidden/>
          </w:rPr>
          <w:fldChar w:fldCharType="begin"/>
        </w:r>
        <w:r>
          <w:rPr>
            <w:noProof/>
            <w:webHidden/>
          </w:rPr>
          <w:instrText xml:space="preserve"> PAGEREF _Toc88826954 \h </w:instrText>
        </w:r>
        <w:r>
          <w:rPr>
            <w:noProof/>
            <w:webHidden/>
          </w:rPr>
        </w:r>
        <w:r>
          <w:rPr>
            <w:noProof/>
            <w:webHidden/>
          </w:rPr>
          <w:fldChar w:fldCharType="separate"/>
        </w:r>
        <w:r w:rsidR="00840F18">
          <w:rPr>
            <w:noProof/>
            <w:webHidden/>
          </w:rPr>
          <w:t>13</w:t>
        </w:r>
        <w:r>
          <w:rPr>
            <w:noProof/>
            <w:webHidden/>
          </w:rPr>
          <w:fldChar w:fldCharType="end"/>
        </w:r>
      </w:hyperlink>
    </w:p>
    <w:p w14:paraId="74A16C9A" w14:textId="656EA44E" w:rsidR="00245FD9" w:rsidRDefault="00245FD9">
      <w:pPr>
        <w:pStyle w:val="TOC2"/>
        <w:rPr>
          <w:rFonts w:asciiTheme="minorHAnsi" w:eastAsiaTheme="minorEastAsia" w:hAnsiTheme="minorHAnsi" w:cstheme="minorBidi"/>
          <w:noProof/>
          <w:sz w:val="22"/>
          <w:szCs w:val="22"/>
          <w:lang w:eastAsia="en-NZ"/>
        </w:rPr>
      </w:pPr>
      <w:hyperlink w:anchor="_Toc88826955" w:history="1">
        <w:r w:rsidRPr="00DB2C1B">
          <w:rPr>
            <w:rStyle w:val="Hyperlink"/>
            <w:noProof/>
          </w:rPr>
          <w:t>Family and whānau consultation under the Mental Health Act</w:t>
        </w:r>
        <w:r>
          <w:rPr>
            <w:noProof/>
            <w:webHidden/>
          </w:rPr>
          <w:tab/>
        </w:r>
        <w:r>
          <w:rPr>
            <w:noProof/>
            <w:webHidden/>
          </w:rPr>
          <w:fldChar w:fldCharType="begin"/>
        </w:r>
        <w:r>
          <w:rPr>
            <w:noProof/>
            <w:webHidden/>
          </w:rPr>
          <w:instrText xml:space="preserve"> PAGEREF _Toc88826955 \h </w:instrText>
        </w:r>
        <w:r>
          <w:rPr>
            <w:noProof/>
            <w:webHidden/>
          </w:rPr>
        </w:r>
        <w:r>
          <w:rPr>
            <w:noProof/>
            <w:webHidden/>
          </w:rPr>
          <w:fldChar w:fldCharType="separate"/>
        </w:r>
        <w:r w:rsidR="00840F18">
          <w:rPr>
            <w:noProof/>
            <w:webHidden/>
          </w:rPr>
          <w:t>16</w:t>
        </w:r>
        <w:r>
          <w:rPr>
            <w:noProof/>
            <w:webHidden/>
          </w:rPr>
          <w:fldChar w:fldCharType="end"/>
        </w:r>
      </w:hyperlink>
    </w:p>
    <w:p w14:paraId="6FD03386" w14:textId="499151CF" w:rsidR="00245FD9" w:rsidRDefault="00245FD9">
      <w:pPr>
        <w:pStyle w:val="TOC1"/>
        <w:rPr>
          <w:rFonts w:asciiTheme="minorHAnsi" w:eastAsiaTheme="minorEastAsia" w:hAnsiTheme="minorHAnsi" w:cstheme="minorBidi"/>
          <w:noProof/>
          <w:sz w:val="22"/>
          <w:szCs w:val="22"/>
          <w:lang w:eastAsia="en-NZ"/>
        </w:rPr>
      </w:pPr>
      <w:hyperlink w:anchor="_Toc88826956" w:history="1">
        <w:r w:rsidRPr="00DB2C1B">
          <w:rPr>
            <w:rStyle w:val="Hyperlink"/>
            <w:noProof/>
          </w:rPr>
          <w:t>Indefinite compulsory treatment orders</w:t>
        </w:r>
        <w:r>
          <w:rPr>
            <w:noProof/>
            <w:webHidden/>
          </w:rPr>
          <w:tab/>
        </w:r>
        <w:r>
          <w:rPr>
            <w:noProof/>
            <w:webHidden/>
          </w:rPr>
          <w:fldChar w:fldCharType="begin"/>
        </w:r>
        <w:r>
          <w:rPr>
            <w:noProof/>
            <w:webHidden/>
          </w:rPr>
          <w:instrText xml:space="preserve"> PAGEREF _Toc88826956 \h </w:instrText>
        </w:r>
        <w:r>
          <w:rPr>
            <w:noProof/>
            <w:webHidden/>
          </w:rPr>
        </w:r>
        <w:r>
          <w:rPr>
            <w:noProof/>
            <w:webHidden/>
          </w:rPr>
          <w:fldChar w:fldCharType="separate"/>
        </w:r>
        <w:r w:rsidR="00840F18">
          <w:rPr>
            <w:noProof/>
            <w:webHidden/>
          </w:rPr>
          <w:t>19</w:t>
        </w:r>
        <w:r>
          <w:rPr>
            <w:noProof/>
            <w:webHidden/>
          </w:rPr>
          <w:fldChar w:fldCharType="end"/>
        </w:r>
      </w:hyperlink>
    </w:p>
    <w:p w14:paraId="215584F5" w14:textId="7779B340" w:rsidR="00245FD9" w:rsidRDefault="00245FD9">
      <w:pPr>
        <w:pStyle w:val="TOC2"/>
        <w:rPr>
          <w:rFonts w:asciiTheme="minorHAnsi" w:eastAsiaTheme="minorEastAsia" w:hAnsiTheme="minorHAnsi" w:cstheme="minorBidi"/>
          <w:noProof/>
          <w:sz w:val="22"/>
          <w:szCs w:val="22"/>
          <w:lang w:eastAsia="en-NZ"/>
        </w:rPr>
      </w:pPr>
      <w:hyperlink w:anchor="_Toc88826957" w:history="1">
        <w:r w:rsidRPr="00DB2C1B">
          <w:rPr>
            <w:rStyle w:val="Hyperlink"/>
            <w:noProof/>
          </w:rPr>
          <w:t>Indefinite community treatment orders</w:t>
        </w:r>
        <w:r>
          <w:rPr>
            <w:noProof/>
            <w:webHidden/>
          </w:rPr>
          <w:tab/>
        </w:r>
        <w:r>
          <w:rPr>
            <w:noProof/>
            <w:webHidden/>
          </w:rPr>
          <w:fldChar w:fldCharType="begin"/>
        </w:r>
        <w:r>
          <w:rPr>
            <w:noProof/>
            <w:webHidden/>
          </w:rPr>
          <w:instrText xml:space="preserve"> PAGEREF _Toc88826957 \h </w:instrText>
        </w:r>
        <w:r>
          <w:rPr>
            <w:noProof/>
            <w:webHidden/>
          </w:rPr>
        </w:r>
        <w:r>
          <w:rPr>
            <w:noProof/>
            <w:webHidden/>
          </w:rPr>
          <w:fldChar w:fldCharType="separate"/>
        </w:r>
        <w:r w:rsidR="00840F18">
          <w:rPr>
            <w:noProof/>
            <w:webHidden/>
          </w:rPr>
          <w:t>19</w:t>
        </w:r>
        <w:r>
          <w:rPr>
            <w:noProof/>
            <w:webHidden/>
          </w:rPr>
          <w:fldChar w:fldCharType="end"/>
        </w:r>
      </w:hyperlink>
    </w:p>
    <w:p w14:paraId="68DA666B" w14:textId="010A1E8C" w:rsidR="00245FD9" w:rsidRDefault="00245FD9">
      <w:pPr>
        <w:pStyle w:val="TOC2"/>
        <w:rPr>
          <w:rFonts w:asciiTheme="minorHAnsi" w:eastAsiaTheme="minorEastAsia" w:hAnsiTheme="minorHAnsi" w:cstheme="minorBidi"/>
          <w:noProof/>
          <w:sz w:val="22"/>
          <w:szCs w:val="22"/>
          <w:lang w:eastAsia="en-NZ"/>
        </w:rPr>
      </w:pPr>
      <w:hyperlink w:anchor="_Toc88826958" w:history="1">
        <w:r w:rsidRPr="00DB2C1B">
          <w:rPr>
            <w:rStyle w:val="Hyperlink"/>
            <w:noProof/>
          </w:rPr>
          <w:t>Indefinite inpatient treatment orders</w:t>
        </w:r>
        <w:r>
          <w:rPr>
            <w:noProof/>
            <w:webHidden/>
          </w:rPr>
          <w:tab/>
        </w:r>
        <w:r>
          <w:rPr>
            <w:noProof/>
            <w:webHidden/>
          </w:rPr>
          <w:fldChar w:fldCharType="begin"/>
        </w:r>
        <w:r>
          <w:rPr>
            <w:noProof/>
            <w:webHidden/>
          </w:rPr>
          <w:instrText xml:space="preserve"> PAGEREF _Toc88826958 \h </w:instrText>
        </w:r>
        <w:r>
          <w:rPr>
            <w:noProof/>
            <w:webHidden/>
          </w:rPr>
        </w:r>
        <w:r>
          <w:rPr>
            <w:noProof/>
            <w:webHidden/>
          </w:rPr>
          <w:fldChar w:fldCharType="separate"/>
        </w:r>
        <w:r w:rsidR="00840F18">
          <w:rPr>
            <w:noProof/>
            <w:webHidden/>
          </w:rPr>
          <w:t>22</w:t>
        </w:r>
        <w:r>
          <w:rPr>
            <w:noProof/>
            <w:webHidden/>
          </w:rPr>
          <w:fldChar w:fldCharType="end"/>
        </w:r>
      </w:hyperlink>
    </w:p>
    <w:p w14:paraId="1D9818A6" w14:textId="21781676" w:rsidR="00245FD9" w:rsidRDefault="00245FD9">
      <w:pPr>
        <w:pStyle w:val="TOC1"/>
        <w:rPr>
          <w:rFonts w:asciiTheme="minorHAnsi" w:eastAsiaTheme="minorEastAsia" w:hAnsiTheme="minorHAnsi" w:cstheme="minorBidi"/>
          <w:noProof/>
          <w:sz w:val="22"/>
          <w:szCs w:val="22"/>
          <w:lang w:eastAsia="en-NZ"/>
        </w:rPr>
      </w:pPr>
      <w:hyperlink w:anchor="_Toc88826959" w:history="1">
        <w:r w:rsidRPr="00DB2C1B">
          <w:rPr>
            <w:rStyle w:val="Hyperlink"/>
            <w:noProof/>
          </w:rPr>
          <w:t>Seclusion</w:t>
        </w:r>
        <w:r>
          <w:rPr>
            <w:noProof/>
            <w:webHidden/>
          </w:rPr>
          <w:tab/>
        </w:r>
        <w:r>
          <w:rPr>
            <w:noProof/>
            <w:webHidden/>
          </w:rPr>
          <w:fldChar w:fldCharType="begin"/>
        </w:r>
        <w:r>
          <w:rPr>
            <w:noProof/>
            <w:webHidden/>
          </w:rPr>
          <w:instrText xml:space="preserve"> PAGEREF _Toc88826959 \h </w:instrText>
        </w:r>
        <w:r>
          <w:rPr>
            <w:noProof/>
            <w:webHidden/>
          </w:rPr>
        </w:r>
        <w:r>
          <w:rPr>
            <w:noProof/>
            <w:webHidden/>
          </w:rPr>
          <w:fldChar w:fldCharType="separate"/>
        </w:r>
        <w:r w:rsidR="00840F18">
          <w:rPr>
            <w:noProof/>
            <w:webHidden/>
          </w:rPr>
          <w:t>26</w:t>
        </w:r>
        <w:r>
          <w:rPr>
            <w:noProof/>
            <w:webHidden/>
          </w:rPr>
          <w:fldChar w:fldCharType="end"/>
        </w:r>
      </w:hyperlink>
    </w:p>
    <w:p w14:paraId="6EF662DB" w14:textId="52A6D116" w:rsidR="00245FD9" w:rsidRDefault="00245FD9">
      <w:pPr>
        <w:pStyle w:val="TOC2"/>
        <w:rPr>
          <w:rFonts w:asciiTheme="minorHAnsi" w:eastAsiaTheme="minorEastAsia" w:hAnsiTheme="minorHAnsi" w:cstheme="minorBidi"/>
          <w:noProof/>
          <w:sz w:val="22"/>
          <w:szCs w:val="22"/>
          <w:lang w:eastAsia="en-NZ"/>
        </w:rPr>
      </w:pPr>
      <w:hyperlink w:anchor="_Toc88826960" w:history="1">
        <w:r w:rsidRPr="00DB2C1B">
          <w:rPr>
            <w:rStyle w:val="Hyperlink"/>
            <w:noProof/>
          </w:rPr>
          <w:t>Seclusion in Aotearoa New Zealand mental health services in 2020</w:t>
        </w:r>
        <w:r>
          <w:rPr>
            <w:noProof/>
            <w:webHidden/>
          </w:rPr>
          <w:tab/>
        </w:r>
        <w:r>
          <w:rPr>
            <w:noProof/>
            <w:webHidden/>
          </w:rPr>
          <w:fldChar w:fldCharType="begin"/>
        </w:r>
        <w:r>
          <w:rPr>
            <w:noProof/>
            <w:webHidden/>
          </w:rPr>
          <w:instrText xml:space="preserve"> PAGEREF _Toc88826960 \h </w:instrText>
        </w:r>
        <w:r>
          <w:rPr>
            <w:noProof/>
            <w:webHidden/>
          </w:rPr>
        </w:r>
        <w:r>
          <w:rPr>
            <w:noProof/>
            <w:webHidden/>
          </w:rPr>
          <w:fldChar w:fldCharType="separate"/>
        </w:r>
        <w:r w:rsidR="00840F18">
          <w:rPr>
            <w:noProof/>
            <w:webHidden/>
          </w:rPr>
          <w:t>28</w:t>
        </w:r>
        <w:r>
          <w:rPr>
            <w:noProof/>
            <w:webHidden/>
          </w:rPr>
          <w:fldChar w:fldCharType="end"/>
        </w:r>
      </w:hyperlink>
    </w:p>
    <w:p w14:paraId="7D3B617E" w14:textId="532DF746" w:rsidR="00245FD9" w:rsidRDefault="00245FD9">
      <w:pPr>
        <w:pStyle w:val="TOC2"/>
        <w:rPr>
          <w:rFonts w:asciiTheme="minorHAnsi" w:eastAsiaTheme="minorEastAsia" w:hAnsiTheme="minorHAnsi" w:cstheme="minorBidi"/>
          <w:noProof/>
          <w:sz w:val="22"/>
          <w:szCs w:val="22"/>
          <w:lang w:eastAsia="en-NZ"/>
        </w:rPr>
      </w:pPr>
      <w:hyperlink w:anchor="_Toc88826961" w:history="1">
        <w:r w:rsidRPr="00DB2C1B">
          <w:rPr>
            <w:rStyle w:val="Hyperlink"/>
            <w:noProof/>
          </w:rPr>
          <w:t>Use of seclusion by DHBs in 2020</w:t>
        </w:r>
        <w:r>
          <w:rPr>
            <w:noProof/>
            <w:webHidden/>
          </w:rPr>
          <w:tab/>
        </w:r>
        <w:r>
          <w:rPr>
            <w:noProof/>
            <w:webHidden/>
          </w:rPr>
          <w:fldChar w:fldCharType="begin"/>
        </w:r>
        <w:r>
          <w:rPr>
            <w:noProof/>
            <w:webHidden/>
          </w:rPr>
          <w:instrText xml:space="preserve"> PAGEREF _Toc88826961 \h </w:instrText>
        </w:r>
        <w:r>
          <w:rPr>
            <w:noProof/>
            <w:webHidden/>
          </w:rPr>
        </w:r>
        <w:r>
          <w:rPr>
            <w:noProof/>
            <w:webHidden/>
          </w:rPr>
          <w:fldChar w:fldCharType="separate"/>
        </w:r>
        <w:r w:rsidR="00840F18">
          <w:rPr>
            <w:noProof/>
            <w:webHidden/>
          </w:rPr>
          <w:t>30</w:t>
        </w:r>
        <w:r>
          <w:rPr>
            <w:noProof/>
            <w:webHidden/>
          </w:rPr>
          <w:fldChar w:fldCharType="end"/>
        </w:r>
      </w:hyperlink>
    </w:p>
    <w:p w14:paraId="6A181B60" w14:textId="70413A7F" w:rsidR="00245FD9" w:rsidRDefault="00245FD9">
      <w:pPr>
        <w:pStyle w:val="TOC2"/>
        <w:rPr>
          <w:rFonts w:asciiTheme="minorHAnsi" w:eastAsiaTheme="minorEastAsia" w:hAnsiTheme="minorHAnsi" w:cstheme="minorBidi"/>
          <w:noProof/>
          <w:sz w:val="22"/>
          <w:szCs w:val="22"/>
          <w:lang w:eastAsia="en-NZ"/>
        </w:rPr>
      </w:pPr>
      <w:hyperlink w:anchor="_Toc88826962" w:history="1">
        <w:r w:rsidRPr="00DB2C1B">
          <w:rPr>
            <w:rStyle w:val="Hyperlink"/>
            <w:noProof/>
          </w:rPr>
          <w:t>Seclusion and ethnicity in 2020</w:t>
        </w:r>
        <w:r>
          <w:rPr>
            <w:noProof/>
            <w:webHidden/>
          </w:rPr>
          <w:tab/>
        </w:r>
        <w:r>
          <w:rPr>
            <w:noProof/>
            <w:webHidden/>
          </w:rPr>
          <w:fldChar w:fldCharType="begin"/>
        </w:r>
        <w:r>
          <w:rPr>
            <w:noProof/>
            <w:webHidden/>
          </w:rPr>
          <w:instrText xml:space="preserve"> PAGEREF _Toc88826962 \h </w:instrText>
        </w:r>
        <w:r>
          <w:rPr>
            <w:noProof/>
            <w:webHidden/>
          </w:rPr>
        </w:r>
        <w:r>
          <w:rPr>
            <w:noProof/>
            <w:webHidden/>
          </w:rPr>
          <w:fldChar w:fldCharType="separate"/>
        </w:r>
        <w:r w:rsidR="00840F18">
          <w:rPr>
            <w:noProof/>
            <w:webHidden/>
          </w:rPr>
          <w:t>32</w:t>
        </w:r>
        <w:r>
          <w:rPr>
            <w:noProof/>
            <w:webHidden/>
          </w:rPr>
          <w:fldChar w:fldCharType="end"/>
        </w:r>
      </w:hyperlink>
    </w:p>
    <w:p w14:paraId="39DF34C7" w14:textId="44B3B2DB" w:rsidR="00245FD9" w:rsidRDefault="00245FD9">
      <w:pPr>
        <w:pStyle w:val="TOC2"/>
        <w:rPr>
          <w:rFonts w:asciiTheme="minorHAnsi" w:eastAsiaTheme="minorEastAsia" w:hAnsiTheme="minorHAnsi" w:cstheme="minorBidi"/>
          <w:noProof/>
          <w:sz w:val="22"/>
          <w:szCs w:val="22"/>
          <w:lang w:eastAsia="en-NZ"/>
        </w:rPr>
      </w:pPr>
      <w:hyperlink w:anchor="_Toc88826963" w:history="1">
        <w:r w:rsidRPr="00DB2C1B">
          <w:rPr>
            <w:rStyle w:val="Hyperlink"/>
            <w:noProof/>
          </w:rPr>
          <w:t>Seclusion in forensic units in 2020</w:t>
        </w:r>
        <w:r>
          <w:rPr>
            <w:noProof/>
            <w:webHidden/>
          </w:rPr>
          <w:tab/>
        </w:r>
        <w:r>
          <w:rPr>
            <w:noProof/>
            <w:webHidden/>
          </w:rPr>
          <w:fldChar w:fldCharType="begin"/>
        </w:r>
        <w:r>
          <w:rPr>
            <w:noProof/>
            <w:webHidden/>
          </w:rPr>
          <w:instrText xml:space="preserve"> PAGEREF _Toc88826963 \h </w:instrText>
        </w:r>
        <w:r>
          <w:rPr>
            <w:noProof/>
            <w:webHidden/>
          </w:rPr>
        </w:r>
        <w:r>
          <w:rPr>
            <w:noProof/>
            <w:webHidden/>
          </w:rPr>
          <w:fldChar w:fldCharType="separate"/>
        </w:r>
        <w:r w:rsidR="00840F18">
          <w:rPr>
            <w:noProof/>
            <w:webHidden/>
          </w:rPr>
          <w:t>35</w:t>
        </w:r>
        <w:r>
          <w:rPr>
            <w:noProof/>
            <w:webHidden/>
          </w:rPr>
          <w:fldChar w:fldCharType="end"/>
        </w:r>
      </w:hyperlink>
    </w:p>
    <w:p w14:paraId="42F87648" w14:textId="2D704664" w:rsidR="00245FD9" w:rsidRDefault="00245FD9">
      <w:pPr>
        <w:pStyle w:val="TOC2"/>
        <w:rPr>
          <w:rFonts w:asciiTheme="minorHAnsi" w:eastAsiaTheme="minorEastAsia" w:hAnsiTheme="minorHAnsi" w:cstheme="minorBidi"/>
          <w:noProof/>
          <w:sz w:val="22"/>
          <w:szCs w:val="22"/>
          <w:lang w:eastAsia="en-NZ"/>
        </w:rPr>
      </w:pPr>
      <w:hyperlink w:anchor="_Toc88826964" w:history="1">
        <w:r w:rsidRPr="00DB2C1B">
          <w:rPr>
            <w:rStyle w:val="Hyperlink"/>
            <w:noProof/>
          </w:rPr>
          <w:t>People with intellectual disabilities cared for in an intellectual disability forensic service</w:t>
        </w:r>
        <w:r>
          <w:rPr>
            <w:noProof/>
            <w:webHidden/>
          </w:rPr>
          <w:tab/>
        </w:r>
        <w:r>
          <w:rPr>
            <w:noProof/>
            <w:webHidden/>
          </w:rPr>
          <w:fldChar w:fldCharType="begin"/>
        </w:r>
        <w:r>
          <w:rPr>
            <w:noProof/>
            <w:webHidden/>
          </w:rPr>
          <w:instrText xml:space="preserve"> PAGEREF _Toc88826964 \h </w:instrText>
        </w:r>
        <w:r>
          <w:rPr>
            <w:noProof/>
            <w:webHidden/>
          </w:rPr>
        </w:r>
        <w:r>
          <w:rPr>
            <w:noProof/>
            <w:webHidden/>
          </w:rPr>
          <w:fldChar w:fldCharType="separate"/>
        </w:r>
        <w:r w:rsidR="00840F18">
          <w:rPr>
            <w:noProof/>
            <w:webHidden/>
          </w:rPr>
          <w:t>36</w:t>
        </w:r>
        <w:r>
          <w:rPr>
            <w:noProof/>
            <w:webHidden/>
          </w:rPr>
          <w:fldChar w:fldCharType="end"/>
        </w:r>
      </w:hyperlink>
    </w:p>
    <w:p w14:paraId="50DE86A4" w14:textId="5C8D480C" w:rsidR="00245FD9" w:rsidRDefault="00245FD9">
      <w:pPr>
        <w:pStyle w:val="TOC2"/>
        <w:rPr>
          <w:rFonts w:asciiTheme="minorHAnsi" w:eastAsiaTheme="minorEastAsia" w:hAnsiTheme="minorHAnsi" w:cstheme="minorBidi"/>
          <w:noProof/>
          <w:sz w:val="22"/>
          <w:szCs w:val="22"/>
          <w:lang w:eastAsia="en-NZ"/>
        </w:rPr>
      </w:pPr>
      <w:hyperlink w:anchor="_Toc88826965" w:history="1">
        <w:r w:rsidRPr="00DB2C1B">
          <w:rPr>
            <w:rStyle w:val="Hyperlink"/>
            <w:noProof/>
          </w:rPr>
          <w:t>Night safety procedures</w:t>
        </w:r>
        <w:r>
          <w:rPr>
            <w:noProof/>
            <w:webHidden/>
          </w:rPr>
          <w:tab/>
        </w:r>
        <w:r>
          <w:rPr>
            <w:noProof/>
            <w:webHidden/>
          </w:rPr>
          <w:fldChar w:fldCharType="begin"/>
        </w:r>
        <w:r>
          <w:rPr>
            <w:noProof/>
            <w:webHidden/>
          </w:rPr>
          <w:instrText xml:space="preserve"> PAGEREF _Toc88826965 \h </w:instrText>
        </w:r>
        <w:r>
          <w:rPr>
            <w:noProof/>
            <w:webHidden/>
          </w:rPr>
        </w:r>
        <w:r>
          <w:rPr>
            <w:noProof/>
            <w:webHidden/>
          </w:rPr>
          <w:fldChar w:fldCharType="separate"/>
        </w:r>
        <w:r w:rsidR="00840F18">
          <w:rPr>
            <w:noProof/>
            <w:webHidden/>
          </w:rPr>
          <w:t>38</w:t>
        </w:r>
        <w:r>
          <w:rPr>
            <w:noProof/>
            <w:webHidden/>
          </w:rPr>
          <w:fldChar w:fldCharType="end"/>
        </w:r>
      </w:hyperlink>
    </w:p>
    <w:p w14:paraId="03E01D4B" w14:textId="4FEC0BFF" w:rsidR="00245FD9" w:rsidRDefault="00245FD9">
      <w:pPr>
        <w:pStyle w:val="TOC1"/>
        <w:rPr>
          <w:rFonts w:asciiTheme="minorHAnsi" w:eastAsiaTheme="minorEastAsia" w:hAnsiTheme="minorHAnsi" w:cstheme="minorBidi"/>
          <w:noProof/>
          <w:sz w:val="22"/>
          <w:szCs w:val="22"/>
          <w:lang w:eastAsia="en-NZ"/>
        </w:rPr>
      </w:pPr>
      <w:hyperlink w:anchor="_Toc88826966" w:history="1">
        <w:r w:rsidRPr="00DB2C1B">
          <w:rPr>
            <w:rStyle w:val="Hyperlink"/>
            <w:noProof/>
          </w:rPr>
          <w:t>Special and restricted patients</w:t>
        </w:r>
        <w:r>
          <w:rPr>
            <w:noProof/>
            <w:webHidden/>
          </w:rPr>
          <w:tab/>
        </w:r>
        <w:r>
          <w:rPr>
            <w:noProof/>
            <w:webHidden/>
          </w:rPr>
          <w:fldChar w:fldCharType="begin"/>
        </w:r>
        <w:r>
          <w:rPr>
            <w:noProof/>
            <w:webHidden/>
          </w:rPr>
          <w:instrText xml:space="preserve"> PAGEREF _Toc88826966 \h </w:instrText>
        </w:r>
        <w:r>
          <w:rPr>
            <w:noProof/>
            <w:webHidden/>
          </w:rPr>
        </w:r>
        <w:r>
          <w:rPr>
            <w:noProof/>
            <w:webHidden/>
          </w:rPr>
          <w:fldChar w:fldCharType="separate"/>
        </w:r>
        <w:r w:rsidR="00840F18">
          <w:rPr>
            <w:noProof/>
            <w:webHidden/>
          </w:rPr>
          <w:t>39</w:t>
        </w:r>
        <w:r>
          <w:rPr>
            <w:noProof/>
            <w:webHidden/>
          </w:rPr>
          <w:fldChar w:fldCharType="end"/>
        </w:r>
      </w:hyperlink>
    </w:p>
    <w:p w14:paraId="47D0864F" w14:textId="4BE11D16" w:rsidR="00245FD9" w:rsidRDefault="00245FD9">
      <w:pPr>
        <w:pStyle w:val="TOC2"/>
        <w:rPr>
          <w:rFonts w:asciiTheme="minorHAnsi" w:eastAsiaTheme="minorEastAsia" w:hAnsiTheme="minorHAnsi" w:cstheme="minorBidi"/>
          <w:noProof/>
          <w:sz w:val="22"/>
          <w:szCs w:val="22"/>
          <w:lang w:eastAsia="en-NZ"/>
        </w:rPr>
      </w:pPr>
      <w:hyperlink w:anchor="_Toc88826967" w:history="1">
        <w:r w:rsidRPr="00DB2C1B">
          <w:rPr>
            <w:rStyle w:val="Hyperlink"/>
            <w:noProof/>
          </w:rPr>
          <w:t>Extended forensic care special patients</w:t>
        </w:r>
        <w:r>
          <w:rPr>
            <w:noProof/>
            <w:webHidden/>
          </w:rPr>
          <w:tab/>
        </w:r>
        <w:r>
          <w:rPr>
            <w:noProof/>
            <w:webHidden/>
          </w:rPr>
          <w:fldChar w:fldCharType="begin"/>
        </w:r>
        <w:r>
          <w:rPr>
            <w:noProof/>
            <w:webHidden/>
          </w:rPr>
          <w:instrText xml:space="preserve"> PAGEREF _Toc88826967 \h </w:instrText>
        </w:r>
        <w:r>
          <w:rPr>
            <w:noProof/>
            <w:webHidden/>
          </w:rPr>
        </w:r>
        <w:r>
          <w:rPr>
            <w:noProof/>
            <w:webHidden/>
          </w:rPr>
          <w:fldChar w:fldCharType="separate"/>
        </w:r>
        <w:r w:rsidR="00840F18">
          <w:rPr>
            <w:noProof/>
            <w:webHidden/>
          </w:rPr>
          <w:t>40</w:t>
        </w:r>
        <w:r>
          <w:rPr>
            <w:noProof/>
            <w:webHidden/>
          </w:rPr>
          <w:fldChar w:fldCharType="end"/>
        </w:r>
      </w:hyperlink>
    </w:p>
    <w:p w14:paraId="25BD6A27" w14:textId="3D6661EC" w:rsidR="00245FD9" w:rsidRDefault="00245FD9">
      <w:pPr>
        <w:pStyle w:val="TOC2"/>
        <w:rPr>
          <w:rFonts w:asciiTheme="minorHAnsi" w:eastAsiaTheme="minorEastAsia" w:hAnsiTheme="minorHAnsi" w:cstheme="minorBidi"/>
          <w:noProof/>
          <w:sz w:val="22"/>
          <w:szCs w:val="22"/>
          <w:lang w:eastAsia="en-NZ"/>
        </w:rPr>
      </w:pPr>
      <w:hyperlink w:anchor="_Toc88826968" w:history="1">
        <w:r w:rsidRPr="00DB2C1B">
          <w:rPr>
            <w:rStyle w:val="Hyperlink"/>
            <w:noProof/>
          </w:rPr>
          <w:t>Short-term forensic care special patients</w:t>
        </w:r>
        <w:r>
          <w:rPr>
            <w:noProof/>
            <w:webHidden/>
          </w:rPr>
          <w:tab/>
        </w:r>
        <w:r>
          <w:rPr>
            <w:noProof/>
            <w:webHidden/>
          </w:rPr>
          <w:fldChar w:fldCharType="begin"/>
        </w:r>
        <w:r>
          <w:rPr>
            <w:noProof/>
            <w:webHidden/>
          </w:rPr>
          <w:instrText xml:space="preserve"> PAGEREF _Toc88826968 \h </w:instrText>
        </w:r>
        <w:r>
          <w:rPr>
            <w:noProof/>
            <w:webHidden/>
          </w:rPr>
        </w:r>
        <w:r>
          <w:rPr>
            <w:noProof/>
            <w:webHidden/>
          </w:rPr>
          <w:fldChar w:fldCharType="separate"/>
        </w:r>
        <w:r w:rsidR="00840F18">
          <w:rPr>
            <w:noProof/>
            <w:webHidden/>
          </w:rPr>
          <w:t>41</w:t>
        </w:r>
        <w:r>
          <w:rPr>
            <w:noProof/>
            <w:webHidden/>
          </w:rPr>
          <w:fldChar w:fldCharType="end"/>
        </w:r>
      </w:hyperlink>
    </w:p>
    <w:p w14:paraId="6E9E31C2" w14:textId="4FC70671" w:rsidR="00245FD9" w:rsidRDefault="00245FD9">
      <w:pPr>
        <w:pStyle w:val="TOC2"/>
        <w:rPr>
          <w:rFonts w:asciiTheme="minorHAnsi" w:eastAsiaTheme="minorEastAsia" w:hAnsiTheme="minorHAnsi" w:cstheme="minorBidi"/>
          <w:noProof/>
          <w:sz w:val="22"/>
          <w:szCs w:val="22"/>
          <w:lang w:eastAsia="en-NZ"/>
        </w:rPr>
      </w:pPr>
      <w:hyperlink w:anchor="_Toc88826969" w:history="1">
        <w:r w:rsidRPr="00DB2C1B">
          <w:rPr>
            <w:rStyle w:val="Hyperlink"/>
            <w:noProof/>
          </w:rPr>
          <w:t>Sex, age and ethnicity of special patients in 2020</w:t>
        </w:r>
        <w:r>
          <w:rPr>
            <w:noProof/>
            <w:webHidden/>
          </w:rPr>
          <w:tab/>
        </w:r>
        <w:r>
          <w:rPr>
            <w:noProof/>
            <w:webHidden/>
          </w:rPr>
          <w:fldChar w:fldCharType="begin"/>
        </w:r>
        <w:r>
          <w:rPr>
            <w:noProof/>
            <w:webHidden/>
          </w:rPr>
          <w:instrText xml:space="preserve"> PAGEREF _Toc88826969 \h </w:instrText>
        </w:r>
        <w:r>
          <w:rPr>
            <w:noProof/>
            <w:webHidden/>
          </w:rPr>
        </w:r>
        <w:r>
          <w:rPr>
            <w:noProof/>
            <w:webHidden/>
          </w:rPr>
          <w:fldChar w:fldCharType="separate"/>
        </w:r>
        <w:r w:rsidR="00840F18">
          <w:rPr>
            <w:noProof/>
            <w:webHidden/>
          </w:rPr>
          <w:t>43</w:t>
        </w:r>
        <w:r>
          <w:rPr>
            <w:noProof/>
            <w:webHidden/>
          </w:rPr>
          <w:fldChar w:fldCharType="end"/>
        </w:r>
      </w:hyperlink>
    </w:p>
    <w:p w14:paraId="45E7C647" w14:textId="6E792DF4" w:rsidR="00245FD9" w:rsidRDefault="00245FD9">
      <w:pPr>
        <w:pStyle w:val="TOC2"/>
        <w:rPr>
          <w:rFonts w:asciiTheme="minorHAnsi" w:eastAsiaTheme="minorEastAsia" w:hAnsiTheme="minorHAnsi" w:cstheme="minorBidi"/>
          <w:noProof/>
          <w:sz w:val="22"/>
          <w:szCs w:val="22"/>
          <w:lang w:eastAsia="en-NZ"/>
        </w:rPr>
      </w:pPr>
      <w:hyperlink w:anchor="_Toc88826970" w:history="1">
        <w:r w:rsidRPr="00DB2C1B">
          <w:rPr>
            <w:rStyle w:val="Hyperlink"/>
            <w:noProof/>
          </w:rPr>
          <w:t>Decisions about leave and change of legal status for special and restricted patients</w:t>
        </w:r>
        <w:r>
          <w:rPr>
            <w:noProof/>
            <w:webHidden/>
          </w:rPr>
          <w:tab/>
        </w:r>
        <w:r>
          <w:rPr>
            <w:noProof/>
            <w:webHidden/>
          </w:rPr>
          <w:fldChar w:fldCharType="begin"/>
        </w:r>
        <w:r>
          <w:rPr>
            <w:noProof/>
            <w:webHidden/>
          </w:rPr>
          <w:instrText xml:space="preserve"> PAGEREF _Toc88826970 \h </w:instrText>
        </w:r>
        <w:r>
          <w:rPr>
            <w:noProof/>
            <w:webHidden/>
          </w:rPr>
        </w:r>
        <w:r>
          <w:rPr>
            <w:noProof/>
            <w:webHidden/>
          </w:rPr>
          <w:fldChar w:fldCharType="separate"/>
        </w:r>
        <w:r w:rsidR="00840F18">
          <w:rPr>
            <w:noProof/>
            <w:webHidden/>
          </w:rPr>
          <w:t>45</w:t>
        </w:r>
        <w:r>
          <w:rPr>
            <w:noProof/>
            <w:webHidden/>
          </w:rPr>
          <w:fldChar w:fldCharType="end"/>
        </w:r>
      </w:hyperlink>
    </w:p>
    <w:p w14:paraId="67AE73B9" w14:textId="1B7091E0" w:rsidR="00245FD9" w:rsidRDefault="00245FD9">
      <w:pPr>
        <w:pStyle w:val="TOC1"/>
        <w:rPr>
          <w:rFonts w:asciiTheme="minorHAnsi" w:eastAsiaTheme="minorEastAsia" w:hAnsiTheme="minorHAnsi" w:cstheme="minorBidi"/>
          <w:noProof/>
          <w:sz w:val="22"/>
          <w:szCs w:val="22"/>
          <w:lang w:eastAsia="en-NZ"/>
        </w:rPr>
      </w:pPr>
      <w:hyperlink w:anchor="_Toc88826971" w:history="1">
        <w:r w:rsidRPr="00DB2C1B">
          <w:rPr>
            <w:rStyle w:val="Hyperlink"/>
            <w:noProof/>
          </w:rPr>
          <w:t>Mental health and addiction adverse event reporting</w:t>
        </w:r>
        <w:r>
          <w:rPr>
            <w:noProof/>
            <w:webHidden/>
          </w:rPr>
          <w:tab/>
        </w:r>
        <w:r>
          <w:rPr>
            <w:noProof/>
            <w:webHidden/>
          </w:rPr>
          <w:fldChar w:fldCharType="begin"/>
        </w:r>
        <w:r>
          <w:rPr>
            <w:noProof/>
            <w:webHidden/>
          </w:rPr>
          <w:instrText xml:space="preserve"> PAGEREF _Toc88826971 \h </w:instrText>
        </w:r>
        <w:r>
          <w:rPr>
            <w:noProof/>
            <w:webHidden/>
          </w:rPr>
        </w:r>
        <w:r>
          <w:rPr>
            <w:noProof/>
            <w:webHidden/>
          </w:rPr>
          <w:fldChar w:fldCharType="separate"/>
        </w:r>
        <w:r w:rsidR="00840F18">
          <w:rPr>
            <w:noProof/>
            <w:webHidden/>
          </w:rPr>
          <w:t>47</w:t>
        </w:r>
        <w:r>
          <w:rPr>
            <w:noProof/>
            <w:webHidden/>
          </w:rPr>
          <w:fldChar w:fldCharType="end"/>
        </w:r>
      </w:hyperlink>
    </w:p>
    <w:p w14:paraId="2A9A698F" w14:textId="2F0A23CA" w:rsidR="00245FD9" w:rsidRDefault="00245FD9">
      <w:pPr>
        <w:pStyle w:val="TOC2"/>
        <w:rPr>
          <w:rFonts w:asciiTheme="minorHAnsi" w:eastAsiaTheme="minorEastAsia" w:hAnsiTheme="minorHAnsi" w:cstheme="minorBidi"/>
          <w:noProof/>
          <w:sz w:val="22"/>
          <w:szCs w:val="22"/>
          <w:lang w:eastAsia="en-NZ"/>
        </w:rPr>
      </w:pPr>
      <w:hyperlink w:anchor="_Toc88826972" w:history="1">
        <w:r w:rsidRPr="00DB2C1B">
          <w:rPr>
            <w:rStyle w:val="Hyperlink"/>
            <w:noProof/>
          </w:rPr>
          <w:t>Adverse events reported by DHB mental health services</w:t>
        </w:r>
        <w:r>
          <w:rPr>
            <w:noProof/>
            <w:webHidden/>
          </w:rPr>
          <w:tab/>
        </w:r>
        <w:r>
          <w:rPr>
            <w:noProof/>
            <w:webHidden/>
          </w:rPr>
          <w:fldChar w:fldCharType="begin"/>
        </w:r>
        <w:r>
          <w:rPr>
            <w:noProof/>
            <w:webHidden/>
          </w:rPr>
          <w:instrText xml:space="preserve"> PAGEREF _Toc88826972 \h </w:instrText>
        </w:r>
        <w:r>
          <w:rPr>
            <w:noProof/>
            <w:webHidden/>
          </w:rPr>
        </w:r>
        <w:r>
          <w:rPr>
            <w:noProof/>
            <w:webHidden/>
          </w:rPr>
          <w:fldChar w:fldCharType="separate"/>
        </w:r>
        <w:r w:rsidR="00840F18">
          <w:rPr>
            <w:noProof/>
            <w:webHidden/>
          </w:rPr>
          <w:t>47</w:t>
        </w:r>
        <w:r>
          <w:rPr>
            <w:noProof/>
            <w:webHidden/>
          </w:rPr>
          <w:fldChar w:fldCharType="end"/>
        </w:r>
      </w:hyperlink>
    </w:p>
    <w:p w14:paraId="00D05544" w14:textId="67CCFE63" w:rsidR="00245FD9" w:rsidRDefault="00245FD9">
      <w:pPr>
        <w:pStyle w:val="TOC2"/>
        <w:rPr>
          <w:rFonts w:asciiTheme="minorHAnsi" w:eastAsiaTheme="minorEastAsia" w:hAnsiTheme="minorHAnsi" w:cstheme="minorBidi"/>
          <w:noProof/>
          <w:sz w:val="22"/>
          <w:szCs w:val="22"/>
          <w:lang w:eastAsia="en-NZ"/>
        </w:rPr>
      </w:pPr>
      <w:hyperlink w:anchor="_Toc88826973" w:history="1">
        <w:r w:rsidRPr="00DB2C1B">
          <w:rPr>
            <w:rStyle w:val="Hyperlink"/>
            <w:noProof/>
          </w:rPr>
          <w:t>Deaths reported to the Director of Mental Health</w:t>
        </w:r>
        <w:r>
          <w:rPr>
            <w:noProof/>
            <w:webHidden/>
          </w:rPr>
          <w:tab/>
        </w:r>
        <w:r>
          <w:rPr>
            <w:noProof/>
            <w:webHidden/>
          </w:rPr>
          <w:fldChar w:fldCharType="begin"/>
        </w:r>
        <w:r>
          <w:rPr>
            <w:noProof/>
            <w:webHidden/>
          </w:rPr>
          <w:instrText xml:space="preserve"> PAGEREF _Toc88826973 \h </w:instrText>
        </w:r>
        <w:r>
          <w:rPr>
            <w:noProof/>
            <w:webHidden/>
          </w:rPr>
        </w:r>
        <w:r>
          <w:rPr>
            <w:noProof/>
            <w:webHidden/>
          </w:rPr>
          <w:fldChar w:fldCharType="separate"/>
        </w:r>
        <w:r w:rsidR="00840F18">
          <w:rPr>
            <w:noProof/>
            <w:webHidden/>
          </w:rPr>
          <w:t>49</w:t>
        </w:r>
        <w:r>
          <w:rPr>
            <w:noProof/>
            <w:webHidden/>
          </w:rPr>
          <w:fldChar w:fldCharType="end"/>
        </w:r>
      </w:hyperlink>
    </w:p>
    <w:p w14:paraId="5363BBAA" w14:textId="6B823C6D" w:rsidR="00245FD9" w:rsidRDefault="00245FD9">
      <w:pPr>
        <w:pStyle w:val="TOC2"/>
        <w:rPr>
          <w:rFonts w:asciiTheme="minorHAnsi" w:eastAsiaTheme="minorEastAsia" w:hAnsiTheme="minorHAnsi" w:cstheme="minorBidi"/>
          <w:noProof/>
          <w:sz w:val="22"/>
          <w:szCs w:val="22"/>
          <w:lang w:eastAsia="en-NZ"/>
        </w:rPr>
      </w:pPr>
      <w:hyperlink w:anchor="_Toc88826974" w:history="1">
        <w:r w:rsidRPr="00DB2C1B">
          <w:rPr>
            <w:rStyle w:val="Hyperlink"/>
            <w:noProof/>
          </w:rPr>
          <w:t>Section 95 inquiries</w:t>
        </w:r>
        <w:r>
          <w:rPr>
            <w:noProof/>
            <w:webHidden/>
          </w:rPr>
          <w:tab/>
        </w:r>
        <w:r>
          <w:rPr>
            <w:noProof/>
            <w:webHidden/>
          </w:rPr>
          <w:fldChar w:fldCharType="begin"/>
        </w:r>
        <w:r>
          <w:rPr>
            <w:noProof/>
            <w:webHidden/>
          </w:rPr>
          <w:instrText xml:space="preserve"> PAGEREF _Toc88826974 \h </w:instrText>
        </w:r>
        <w:r>
          <w:rPr>
            <w:noProof/>
            <w:webHidden/>
          </w:rPr>
        </w:r>
        <w:r>
          <w:rPr>
            <w:noProof/>
            <w:webHidden/>
          </w:rPr>
          <w:fldChar w:fldCharType="separate"/>
        </w:r>
        <w:r w:rsidR="00840F18">
          <w:rPr>
            <w:noProof/>
            <w:webHidden/>
          </w:rPr>
          <w:t>49</w:t>
        </w:r>
        <w:r>
          <w:rPr>
            <w:noProof/>
            <w:webHidden/>
          </w:rPr>
          <w:fldChar w:fldCharType="end"/>
        </w:r>
      </w:hyperlink>
    </w:p>
    <w:p w14:paraId="342337CF" w14:textId="1FFF09AD" w:rsidR="00245FD9" w:rsidRDefault="00245FD9">
      <w:pPr>
        <w:pStyle w:val="TOC1"/>
        <w:rPr>
          <w:rFonts w:asciiTheme="minorHAnsi" w:eastAsiaTheme="minorEastAsia" w:hAnsiTheme="minorHAnsi" w:cstheme="minorBidi"/>
          <w:noProof/>
          <w:sz w:val="22"/>
          <w:szCs w:val="22"/>
          <w:lang w:eastAsia="en-NZ"/>
        </w:rPr>
      </w:pPr>
      <w:hyperlink w:anchor="_Toc88826975" w:history="1">
        <w:r w:rsidRPr="00DB2C1B">
          <w:rPr>
            <w:rStyle w:val="Hyperlink"/>
            <w:noProof/>
          </w:rPr>
          <w:t>Electroconvulsive therapy</w:t>
        </w:r>
        <w:r>
          <w:rPr>
            <w:noProof/>
            <w:webHidden/>
          </w:rPr>
          <w:tab/>
        </w:r>
        <w:r>
          <w:rPr>
            <w:noProof/>
            <w:webHidden/>
          </w:rPr>
          <w:fldChar w:fldCharType="begin"/>
        </w:r>
        <w:r>
          <w:rPr>
            <w:noProof/>
            <w:webHidden/>
          </w:rPr>
          <w:instrText xml:space="preserve"> PAGEREF _Toc88826975 \h </w:instrText>
        </w:r>
        <w:r>
          <w:rPr>
            <w:noProof/>
            <w:webHidden/>
          </w:rPr>
        </w:r>
        <w:r>
          <w:rPr>
            <w:noProof/>
            <w:webHidden/>
          </w:rPr>
          <w:fldChar w:fldCharType="separate"/>
        </w:r>
        <w:r w:rsidR="00840F18">
          <w:rPr>
            <w:noProof/>
            <w:webHidden/>
          </w:rPr>
          <w:t>51</w:t>
        </w:r>
        <w:r>
          <w:rPr>
            <w:noProof/>
            <w:webHidden/>
          </w:rPr>
          <w:fldChar w:fldCharType="end"/>
        </w:r>
      </w:hyperlink>
    </w:p>
    <w:p w14:paraId="4620D757" w14:textId="57A14656" w:rsidR="00245FD9" w:rsidRDefault="00245FD9">
      <w:pPr>
        <w:pStyle w:val="TOC2"/>
        <w:rPr>
          <w:rFonts w:asciiTheme="minorHAnsi" w:eastAsiaTheme="minorEastAsia" w:hAnsiTheme="minorHAnsi" w:cstheme="minorBidi"/>
          <w:noProof/>
          <w:sz w:val="22"/>
          <w:szCs w:val="22"/>
          <w:lang w:eastAsia="en-NZ"/>
        </w:rPr>
      </w:pPr>
      <w:hyperlink w:anchor="_Toc88826976" w:history="1">
        <w:r w:rsidRPr="00DB2C1B">
          <w:rPr>
            <w:rStyle w:val="Hyperlink"/>
            <w:noProof/>
          </w:rPr>
          <w:t>ECT treatments in 2020</w:t>
        </w:r>
        <w:r>
          <w:rPr>
            <w:noProof/>
            <w:webHidden/>
          </w:rPr>
          <w:tab/>
        </w:r>
        <w:r>
          <w:rPr>
            <w:noProof/>
            <w:webHidden/>
          </w:rPr>
          <w:fldChar w:fldCharType="begin"/>
        </w:r>
        <w:r>
          <w:rPr>
            <w:noProof/>
            <w:webHidden/>
          </w:rPr>
          <w:instrText xml:space="preserve"> PAGEREF _Toc88826976 \h </w:instrText>
        </w:r>
        <w:r>
          <w:rPr>
            <w:noProof/>
            <w:webHidden/>
          </w:rPr>
        </w:r>
        <w:r>
          <w:rPr>
            <w:noProof/>
            <w:webHidden/>
          </w:rPr>
          <w:fldChar w:fldCharType="separate"/>
        </w:r>
        <w:r w:rsidR="00840F18">
          <w:rPr>
            <w:noProof/>
            <w:webHidden/>
          </w:rPr>
          <w:t>51</w:t>
        </w:r>
        <w:r>
          <w:rPr>
            <w:noProof/>
            <w:webHidden/>
          </w:rPr>
          <w:fldChar w:fldCharType="end"/>
        </w:r>
      </w:hyperlink>
    </w:p>
    <w:p w14:paraId="74F207F5" w14:textId="5DF953F9" w:rsidR="00245FD9" w:rsidRDefault="00245FD9">
      <w:pPr>
        <w:pStyle w:val="TOC2"/>
        <w:rPr>
          <w:rFonts w:asciiTheme="minorHAnsi" w:eastAsiaTheme="minorEastAsia" w:hAnsiTheme="minorHAnsi" w:cstheme="minorBidi"/>
          <w:noProof/>
          <w:sz w:val="22"/>
          <w:szCs w:val="22"/>
          <w:lang w:eastAsia="en-NZ"/>
        </w:rPr>
      </w:pPr>
      <w:hyperlink w:anchor="_Toc88826977" w:history="1">
        <w:r w:rsidRPr="00DB2C1B">
          <w:rPr>
            <w:rStyle w:val="Hyperlink"/>
            <w:noProof/>
          </w:rPr>
          <w:t>ECT by region</w:t>
        </w:r>
        <w:r>
          <w:rPr>
            <w:noProof/>
            <w:webHidden/>
          </w:rPr>
          <w:tab/>
        </w:r>
        <w:r>
          <w:rPr>
            <w:noProof/>
            <w:webHidden/>
          </w:rPr>
          <w:fldChar w:fldCharType="begin"/>
        </w:r>
        <w:r>
          <w:rPr>
            <w:noProof/>
            <w:webHidden/>
          </w:rPr>
          <w:instrText xml:space="preserve"> PAGEREF _Toc88826977 \h </w:instrText>
        </w:r>
        <w:r>
          <w:rPr>
            <w:noProof/>
            <w:webHidden/>
          </w:rPr>
        </w:r>
        <w:r>
          <w:rPr>
            <w:noProof/>
            <w:webHidden/>
          </w:rPr>
          <w:fldChar w:fldCharType="separate"/>
        </w:r>
        <w:r w:rsidR="00840F18">
          <w:rPr>
            <w:noProof/>
            <w:webHidden/>
          </w:rPr>
          <w:t>52</w:t>
        </w:r>
        <w:r>
          <w:rPr>
            <w:noProof/>
            <w:webHidden/>
          </w:rPr>
          <w:fldChar w:fldCharType="end"/>
        </w:r>
      </w:hyperlink>
    </w:p>
    <w:p w14:paraId="04283CAA" w14:textId="36E71EA9" w:rsidR="00245FD9" w:rsidRDefault="00245FD9">
      <w:pPr>
        <w:pStyle w:val="TOC2"/>
        <w:rPr>
          <w:rFonts w:asciiTheme="minorHAnsi" w:eastAsiaTheme="minorEastAsia" w:hAnsiTheme="minorHAnsi" w:cstheme="minorBidi"/>
          <w:noProof/>
          <w:sz w:val="22"/>
          <w:szCs w:val="22"/>
          <w:lang w:eastAsia="en-NZ"/>
        </w:rPr>
      </w:pPr>
      <w:hyperlink w:anchor="_Toc88826978" w:history="1">
        <w:r w:rsidRPr="00DB2C1B">
          <w:rPr>
            <w:rStyle w:val="Hyperlink"/>
            <w:noProof/>
          </w:rPr>
          <w:t>Sex and age of people receiving ECT</w:t>
        </w:r>
        <w:r>
          <w:rPr>
            <w:noProof/>
            <w:webHidden/>
          </w:rPr>
          <w:tab/>
        </w:r>
        <w:r>
          <w:rPr>
            <w:noProof/>
            <w:webHidden/>
          </w:rPr>
          <w:fldChar w:fldCharType="begin"/>
        </w:r>
        <w:r>
          <w:rPr>
            <w:noProof/>
            <w:webHidden/>
          </w:rPr>
          <w:instrText xml:space="preserve"> PAGEREF _Toc88826978 \h </w:instrText>
        </w:r>
        <w:r>
          <w:rPr>
            <w:noProof/>
            <w:webHidden/>
          </w:rPr>
        </w:r>
        <w:r>
          <w:rPr>
            <w:noProof/>
            <w:webHidden/>
          </w:rPr>
          <w:fldChar w:fldCharType="separate"/>
        </w:r>
        <w:r w:rsidR="00840F18">
          <w:rPr>
            <w:noProof/>
            <w:webHidden/>
          </w:rPr>
          <w:t>55</w:t>
        </w:r>
        <w:r>
          <w:rPr>
            <w:noProof/>
            <w:webHidden/>
          </w:rPr>
          <w:fldChar w:fldCharType="end"/>
        </w:r>
      </w:hyperlink>
    </w:p>
    <w:p w14:paraId="16AC0693" w14:textId="4121F7C3" w:rsidR="00245FD9" w:rsidRDefault="00245FD9">
      <w:pPr>
        <w:pStyle w:val="TOC2"/>
        <w:rPr>
          <w:rFonts w:asciiTheme="minorHAnsi" w:eastAsiaTheme="minorEastAsia" w:hAnsiTheme="minorHAnsi" w:cstheme="minorBidi"/>
          <w:noProof/>
          <w:sz w:val="22"/>
          <w:szCs w:val="22"/>
          <w:lang w:eastAsia="en-NZ"/>
        </w:rPr>
      </w:pPr>
      <w:hyperlink w:anchor="_Toc88826979" w:history="1">
        <w:r w:rsidRPr="00DB2C1B">
          <w:rPr>
            <w:rStyle w:val="Hyperlink"/>
            <w:noProof/>
          </w:rPr>
          <w:t>Ethnicity of people treated with ECT</w:t>
        </w:r>
        <w:r>
          <w:rPr>
            <w:noProof/>
            <w:webHidden/>
          </w:rPr>
          <w:tab/>
        </w:r>
        <w:r>
          <w:rPr>
            <w:noProof/>
            <w:webHidden/>
          </w:rPr>
          <w:fldChar w:fldCharType="begin"/>
        </w:r>
        <w:r>
          <w:rPr>
            <w:noProof/>
            <w:webHidden/>
          </w:rPr>
          <w:instrText xml:space="preserve"> PAGEREF _Toc88826979 \h </w:instrText>
        </w:r>
        <w:r>
          <w:rPr>
            <w:noProof/>
            <w:webHidden/>
          </w:rPr>
        </w:r>
        <w:r>
          <w:rPr>
            <w:noProof/>
            <w:webHidden/>
          </w:rPr>
          <w:fldChar w:fldCharType="separate"/>
        </w:r>
        <w:r w:rsidR="00840F18">
          <w:rPr>
            <w:noProof/>
            <w:webHidden/>
          </w:rPr>
          <w:t>56</w:t>
        </w:r>
        <w:r>
          <w:rPr>
            <w:noProof/>
            <w:webHidden/>
          </w:rPr>
          <w:fldChar w:fldCharType="end"/>
        </w:r>
      </w:hyperlink>
    </w:p>
    <w:p w14:paraId="6084ED72" w14:textId="387D59BF" w:rsidR="00245FD9" w:rsidRDefault="00245FD9">
      <w:pPr>
        <w:pStyle w:val="TOC2"/>
        <w:rPr>
          <w:rFonts w:asciiTheme="minorHAnsi" w:eastAsiaTheme="minorEastAsia" w:hAnsiTheme="minorHAnsi" w:cstheme="minorBidi"/>
          <w:noProof/>
          <w:sz w:val="22"/>
          <w:szCs w:val="22"/>
          <w:lang w:eastAsia="en-NZ"/>
        </w:rPr>
      </w:pPr>
      <w:hyperlink w:anchor="_Toc88826980" w:history="1">
        <w:r w:rsidRPr="00DB2C1B">
          <w:rPr>
            <w:rStyle w:val="Hyperlink"/>
            <w:noProof/>
          </w:rPr>
          <w:t>Consent to treatment</w:t>
        </w:r>
        <w:r>
          <w:rPr>
            <w:noProof/>
            <w:webHidden/>
          </w:rPr>
          <w:tab/>
        </w:r>
        <w:r>
          <w:rPr>
            <w:noProof/>
            <w:webHidden/>
          </w:rPr>
          <w:fldChar w:fldCharType="begin"/>
        </w:r>
        <w:r>
          <w:rPr>
            <w:noProof/>
            <w:webHidden/>
          </w:rPr>
          <w:instrText xml:space="preserve"> PAGEREF _Toc88826980 \h </w:instrText>
        </w:r>
        <w:r>
          <w:rPr>
            <w:noProof/>
            <w:webHidden/>
          </w:rPr>
        </w:r>
        <w:r>
          <w:rPr>
            <w:noProof/>
            <w:webHidden/>
          </w:rPr>
          <w:fldChar w:fldCharType="separate"/>
        </w:r>
        <w:r w:rsidR="00840F18">
          <w:rPr>
            <w:noProof/>
            <w:webHidden/>
          </w:rPr>
          <w:t>56</w:t>
        </w:r>
        <w:r>
          <w:rPr>
            <w:noProof/>
            <w:webHidden/>
          </w:rPr>
          <w:fldChar w:fldCharType="end"/>
        </w:r>
      </w:hyperlink>
    </w:p>
    <w:p w14:paraId="66962985" w14:textId="6AA7367C" w:rsidR="00245FD9" w:rsidRDefault="00245FD9">
      <w:pPr>
        <w:pStyle w:val="TOC1"/>
        <w:rPr>
          <w:rFonts w:asciiTheme="minorHAnsi" w:eastAsiaTheme="minorEastAsia" w:hAnsiTheme="minorHAnsi" w:cstheme="minorBidi"/>
          <w:noProof/>
          <w:sz w:val="22"/>
          <w:szCs w:val="22"/>
          <w:lang w:eastAsia="en-NZ"/>
        </w:rPr>
      </w:pPr>
      <w:hyperlink w:anchor="_Toc88826981" w:history="1">
        <w:r w:rsidRPr="00DB2C1B">
          <w:rPr>
            <w:rStyle w:val="Hyperlink"/>
            <w:noProof/>
          </w:rPr>
          <w:t>2020 substance use treatment</w:t>
        </w:r>
        <w:r>
          <w:rPr>
            <w:noProof/>
            <w:webHidden/>
          </w:rPr>
          <w:tab/>
        </w:r>
        <w:r>
          <w:rPr>
            <w:noProof/>
            <w:webHidden/>
          </w:rPr>
          <w:fldChar w:fldCharType="begin"/>
        </w:r>
        <w:r>
          <w:rPr>
            <w:noProof/>
            <w:webHidden/>
          </w:rPr>
          <w:instrText xml:space="preserve"> PAGEREF _Toc88826981 \h </w:instrText>
        </w:r>
        <w:r>
          <w:rPr>
            <w:noProof/>
            <w:webHidden/>
          </w:rPr>
        </w:r>
        <w:r>
          <w:rPr>
            <w:noProof/>
            <w:webHidden/>
          </w:rPr>
          <w:fldChar w:fldCharType="separate"/>
        </w:r>
        <w:r w:rsidR="00840F18">
          <w:rPr>
            <w:noProof/>
            <w:webHidden/>
          </w:rPr>
          <w:t>58</w:t>
        </w:r>
        <w:r>
          <w:rPr>
            <w:noProof/>
            <w:webHidden/>
          </w:rPr>
          <w:fldChar w:fldCharType="end"/>
        </w:r>
      </w:hyperlink>
    </w:p>
    <w:p w14:paraId="29C3BDDE" w14:textId="1E148419" w:rsidR="00245FD9" w:rsidRDefault="00245FD9">
      <w:pPr>
        <w:pStyle w:val="TOC2"/>
        <w:rPr>
          <w:rFonts w:asciiTheme="minorHAnsi" w:eastAsiaTheme="minorEastAsia" w:hAnsiTheme="minorHAnsi" w:cstheme="minorBidi"/>
          <w:noProof/>
          <w:sz w:val="22"/>
          <w:szCs w:val="22"/>
          <w:lang w:eastAsia="en-NZ"/>
        </w:rPr>
      </w:pPr>
      <w:hyperlink w:anchor="_Toc88826982" w:history="1">
        <w:r w:rsidRPr="00DB2C1B">
          <w:rPr>
            <w:rStyle w:val="Hyperlink"/>
            <w:noProof/>
          </w:rPr>
          <w:t>Substance Addiction (Compulsory Assessment and Treatment) Act 2017</w:t>
        </w:r>
        <w:r>
          <w:rPr>
            <w:noProof/>
            <w:webHidden/>
          </w:rPr>
          <w:tab/>
        </w:r>
        <w:r>
          <w:rPr>
            <w:noProof/>
            <w:webHidden/>
          </w:rPr>
          <w:fldChar w:fldCharType="begin"/>
        </w:r>
        <w:r>
          <w:rPr>
            <w:noProof/>
            <w:webHidden/>
          </w:rPr>
          <w:instrText xml:space="preserve"> PAGEREF _Toc88826982 \h </w:instrText>
        </w:r>
        <w:r>
          <w:rPr>
            <w:noProof/>
            <w:webHidden/>
          </w:rPr>
        </w:r>
        <w:r>
          <w:rPr>
            <w:noProof/>
            <w:webHidden/>
          </w:rPr>
          <w:fldChar w:fldCharType="separate"/>
        </w:r>
        <w:r w:rsidR="00840F18">
          <w:rPr>
            <w:noProof/>
            <w:webHidden/>
          </w:rPr>
          <w:t>58</w:t>
        </w:r>
        <w:r>
          <w:rPr>
            <w:noProof/>
            <w:webHidden/>
          </w:rPr>
          <w:fldChar w:fldCharType="end"/>
        </w:r>
      </w:hyperlink>
    </w:p>
    <w:p w14:paraId="5557AC5D" w14:textId="24E15C38" w:rsidR="00245FD9" w:rsidRDefault="00245FD9">
      <w:pPr>
        <w:pStyle w:val="TOC2"/>
        <w:rPr>
          <w:rFonts w:asciiTheme="minorHAnsi" w:eastAsiaTheme="minorEastAsia" w:hAnsiTheme="minorHAnsi" w:cstheme="minorBidi"/>
          <w:noProof/>
          <w:sz w:val="22"/>
          <w:szCs w:val="22"/>
          <w:lang w:eastAsia="en-NZ"/>
        </w:rPr>
      </w:pPr>
      <w:hyperlink w:anchor="_Toc88826983" w:history="1">
        <w:r w:rsidRPr="00DB2C1B">
          <w:rPr>
            <w:rStyle w:val="Hyperlink"/>
            <w:noProof/>
          </w:rPr>
          <w:t>Land Transport Act 1998</w:t>
        </w:r>
        <w:r>
          <w:rPr>
            <w:noProof/>
            <w:webHidden/>
          </w:rPr>
          <w:tab/>
        </w:r>
        <w:r>
          <w:rPr>
            <w:noProof/>
            <w:webHidden/>
          </w:rPr>
          <w:fldChar w:fldCharType="begin"/>
        </w:r>
        <w:r>
          <w:rPr>
            <w:noProof/>
            <w:webHidden/>
          </w:rPr>
          <w:instrText xml:space="preserve"> PAGEREF _Toc88826983 \h </w:instrText>
        </w:r>
        <w:r>
          <w:rPr>
            <w:noProof/>
            <w:webHidden/>
          </w:rPr>
        </w:r>
        <w:r>
          <w:rPr>
            <w:noProof/>
            <w:webHidden/>
          </w:rPr>
          <w:fldChar w:fldCharType="separate"/>
        </w:r>
        <w:r w:rsidR="00840F18">
          <w:rPr>
            <w:noProof/>
            <w:webHidden/>
          </w:rPr>
          <w:t>59</w:t>
        </w:r>
        <w:r>
          <w:rPr>
            <w:noProof/>
            <w:webHidden/>
          </w:rPr>
          <w:fldChar w:fldCharType="end"/>
        </w:r>
      </w:hyperlink>
    </w:p>
    <w:p w14:paraId="1F7C46E6" w14:textId="1297A1DA" w:rsidR="00245FD9" w:rsidRDefault="00245FD9">
      <w:pPr>
        <w:pStyle w:val="TOC2"/>
        <w:rPr>
          <w:rFonts w:asciiTheme="minorHAnsi" w:eastAsiaTheme="minorEastAsia" w:hAnsiTheme="minorHAnsi" w:cstheme="minorBidi"/>
          <w:noProof/>
          <w:sz w:val="22"/>
          <w:szCs w:val="22"/>
          <w:lang w:eastAsia="en-NZ"/>
        </w:rPr>
      </w:pPr>
      <w:hyperlink w:anchor="_Toc88826984" w:history="1">
        <w:r w:rsidRPr="00DB2C1B">
          <w:rPr>
            <w:rStyle w:val="Hyperlink"/>
            <w:noProof/>
          </w:rPr>
          <w:t>Opioid substitution treatment</w:t>
        </w:r>
        <w:r>
          <w:rPr>
            <w:noProof/>
            <w:webHidden/>
          </w:rPr>
          <w:tab/>
        </w:r>
        <w:r>
          <w:rPr>
            <w:noProof/>
            <w:webHidden/>
          </w:rPr>
          <w:fldChar w:fldCharType="begin"/>
        </w:r>
        <w:r>
          <w:rPr>
            <w:noProof/>
            <w:webHidden/>
          </w:rPr>
          <w:instrText xml:space="preserve"> PAGEREF _Toc88826984 \h </w:instrText>
        </w:r>
        <w:r>
          <w:rPr>
            <w:noProof/>
            <w:webHidden/>
          </w:rPr>
        </w:r>
        <w:r>
          <w:rPr>
            <w:noProof/>
            <w:webHidden/>
          </w:rPr>
          <w:fldChar w:fldCharType="separate"/>
        </w:r>
        <w:r w:rsidR="00840F18">
          <w:rPr>
            <w:noProof/>
            <w:webHidden/>
          </w:rPr>
          <w:t>59</w:t>
        </w:r>
        <w:r>
          <w:rPr>
            <w:noProof/>
            <w:webHidden/>
          </w:rPr>
          <w:fldChar w:fldCharType="end"/>
        </w:r>
      </w:hyperlink>
    </w:p>
    <w:p w14:paraId="7DB8BA98" w14:textId="63C78164" w:rsidR="00245FD9" w:rsidRDefault="00245FD9">
      <w:pPr>
        <w:pStyle w:val="TOC1"/>
        <w:rPr>
          <w:rFonts w:asciiTheme="minorHAnsi" w:eastAsiaTheme="minorEastAsia" w:hAnsiTheme="minorHAnsi" w:cstheme="minorBidi"/>
          <w:noProof/>
          <w:sz w:val="22"/>
          <w:szCs w:val="22"/>
          <w:lang w:eastAsia="en-NZ"/>
        </w:rPr>
      </w:pPr>
      <w:hyperlink w:anchor="_Toc88826985" w:history="1">
        <w:r w:rsidRPr="00DB2C1B">
          <w:rPr>
            <w:rStyle w:val="Hyperlink"/>
            <w:noProof/>
          </w:rPr>
          <w:t>Appendix: Additional statistics</w:t>
        </w:r>
        <w:r>
          <w:rPr>
            <w:noProof/>
            <w:webHidden/>
          </w:rPr>
          <w:tab/>
        </w:r>
        <w:r>
          <w:rPr>
            <w:noProof/>
            <w:webHidden/>
          </w:rPr>
          <w:fldChar w:fldCharType="begin"/>
        </w:r>
        <w:r>
          <w:rPr>
            <w:noProof/>
            <w:webHidden/>
          </w:rPr>
          <w:instrText xml:space="preserve"> PAGEREF _Toc88826985 \h </w:instrText>
        </w:r>
        <w:r>
          <w:rPr>
            <w:noProof/>
            <w:webHidden/>
          </w:rPr>
        </w:r>
        <w:r>
          <w:rPr>
            <w:noProof/>
            <w:webHidden/>
          </w:rPr>
          <w:fldChar w:fldCharType="separate"/>
        </w:r>
        <w:r w:rsidR="00840F18">
          <w:rPr>
            <w:noProof/>
            <w:webHidden/>
          </w:rPr>
          <w:t>65</w:t>
        </w:r>
        <w:r>
          <w:rPr>
            <w:noProof/>
            <w:webHidden/>
          </w:rPr>
          <w:fldChar w:fldCharType="end"/>
        </w:r>
      </w:hyperlink>
    </w:p>
    <w:p w14:paraId="32DB5FA4" w14:textId="7A67612A" w:rsidR="00245FD9" w:rsidRDefault="00245FD9">
      <w:pPr>
        <w:pStyle w:val="TOC2"/>
        <w:rPr>
          <w:rFonts w:asciiTheme="minorHAnsi" w:eastAsiaTheme="minorEastAsia" w:hAnsiTheme="minorHAnsi" w:cstheme="minorBidi"/>
          <w:noProof/>
          <w:sz w:val="22"/>
          <w:szCs w:val="22"/>
          <w:lang w:eastAsia="en-NZ"/>
        </w:rPr>
      </w:pPr>
      <w:hyperlink w:anchor="_Toc88826986" w:history="1">
        <w:r w:rsidRPr="00DB2C1B">
          <w:rPr>
            <w:rStyle w:val="Hyperlink"/>
            <w:noProof/>
          </w:rPr>
          <w:t>Ministry of Justice</w:t>
        </w:r>
        <w:r>
          <w:rPr>
            <w:noProof/>
            <w:webHidden/>
          </w:rPr>
          <w:tab/>
        </w:r>
        <w:r>
          <w:rPr>
            <w:noProof/>
            <w:webHidden/>
          </w:rPr>
          <w:fldChar w:fldCharType="begin"/>
        </w:r>
        <w:r>
          <w:rPr>
            <w:noProof/>
            <w:webHidden/>
          </w:rPr>
          <w:instrText xml:space="preserve"> PAGEREF _Toc88826986 \h </w:instrText>
        </w:r>
        <w:r>
          <w:rPr>
            <w:noProof/>
            <w:webHidden/>
          </w:rPr>
        </w:r>
        <w:r>
          <w:rPr>
            <w:noProof/>
            <w:webHidden/>
          </w:rPr>
          <w:fldChar w:fldCharType="separate"/>
        </w:r>
        <w:r w:rsidR="00840F18">
          <w:rPr>
            <w:noProof/>
            <w:webHidden/>
          </w:rPr>
          <w:t>65</w:t>
        </w:r>
        <w:r>
          <w:rPr>
            <w:noProof/>
            <w:webHidden/>
          </w:rPr>
          <w:fldChar w:fldCharType="end"/>
        </w:r>
      </w:hyperlink>
    </w:p>
    <w:p w14:paraId="24F0EB53" w14:textId="1A0DF3FF" w:rsidR="00245FD9" w:rsidRDefault="00245FD9">
      <w:pPr>
        <w:pStyle w:val="TOC2"/>
        <w:rPr>
          <w:rFonts w:asciiTheme="minorHAnsi" w:eastAsiaTheme="minorEastAsia" w:hAnsiTheme="minorHAnsi" w:cstheme="minorBidi"/>
          <w:noProof/>
          <w:sz w:val="22"/>
          <w:szCs w:val="22"/>
          <w:lang w:eastAsia="en-NZ"/>
        </w:rPr>
      </w:pPr>
      <w:hyperlink w:anchor="_Toc88826987" w:history="1">
        <w:r w:rsidRPr="00DB2C1B">
          <w:rPr>
            <w:rStyle w:val="Hyperlink"/>
            <w:noProof/>
          </w:rPr>
          <w:t>Seclusion data incorporating outlier data</w:t>
        </w:r>
        <w:r>
          <w:rPr>
            <w:noProof/>
            <w:webHidden/>
          </w:rPr>
          <w:tab/>
        </w:r>
        <w:r>
          <w:rPr>
            <w:noProof/>
            <w:webHidden/>
          </w:rPr>
          <w:fldChar w:fldCharType="begin"/>
        </w:r>
        <w:r>
          <w:rPr>
            <w:noProof/>
            <w:webHidden/>
          </w:rPr>
          <w:instrText xml:space="preserve"> PAGEREF _Toc88826987 \h </w:instrText>
        </w:r>
        <w:r>
          <w:rPr>
            <w:noProof/>
            <w:webHidden/>
          </w:rPr>
        </w:r>
        <w:r>
          <w:rPr>
            <w:noProof/>
            <w:webHidden/>
          </w:rPr>
          <w:fldChar w:fldCharType="separate"/>
        </w:r>
        <w:r w:rsidR="00840F18">
          <w:rPr>
            <w:noProof/>
            <w:webHidden/>
          </w:rPr>
          <w:t>67</w:t>
        </w:r>
        <w:r>
          <w:rPr>
            <w:noProof/>
            <w:webHidden/>
          </w:rPr>
          <w:fldChar w:fldCharType="end"/>
        </w:r>
      </w:hyperlink>
    </w:p>
    <w:p w14:paraId="49809356" w14:textId="1D3ECDD3" w:rsidR="00245FD9" w:rsidRDefault="00245FD9">
      <w:pPr>
        <w:pStyle w:val="TOC2"/>
        <w:rPr>
          <w:rFonts w:asciiTheme="minorHAnsi" w:eastAsiaTheme="minorEastAsia" w:hAnsiTheme="minorHAnsi" w:cstheme="minorBidi"/>
          <w:noProof/>
          <w:sz w:val="22"/>
          <w:szCs w:val="22"/>
          <w:lang w:eastAsia="en-NZ"/>
        </w:rPr>
      </w:pPr>
      <w:hyperlink w:anchor="_Toc88826988" w:history="1">
        <w:r w:rsidRPr="00DB2C1B">
          <w:rPr>
            <w:rStyle w:val="Hyperlink"/>
            <w:noProof/>
          </w:rPr>
          <w:t>Substance Addiction (Compulsory Assessment and Treatment) Act 2017 data covering 1 July 2020 to 30 June 2021</w:t>
        </w:r>
        <w:r>
          <w:rPr>
            <w:noProof/>
            <w:webHidden/>
          </w:rPr>
          <w:tab/>
        </w:r>
        <w:r>
          <w:rPr>
            <w:noProof/>
            <w:webHidden/>
          </w:rPr>
          <w:fldChar w:fldCharType="begin"/>
        </w:r>
        <w:r>
          <w:rPr>
            <w:noProof/>
            <w:webHidden/>
          </w:rPr>
          <w:instrText xml:space="preserve"> PAGEREF _Toc88826988 \h </w:instrText>
        </w:r>
        <w:r>
          <w:rPr>
            <w:noProof/>
            <w:webHidden/>
          </w:rPr>
        </w:r>
        <w:r>
          <w:rPr>
            <w:noProof/>
            <w:webHidden/>
          </w:rPr>
          <w:fldChar w:fldCharType="separate"/>
        </w:r>
        <w:r w:rsidR="00840F18">
          <w:rPr>
            <w:noProof/>
            <w:webHidden/>
          </w:rPr>
          <w:t>68</w:t>
        </w:r>
        <w:r>
          <w:rPr>
            <w:noProof/>
            <w:webHidden/>
          </w:rPr>
          <w:fldChar w:fldCharType="end"/>
        </w:r>
      </w:hyperlink>
    </w:p>
    <w:p w14:paraId="7C479F43" w14:textId="64A12F52" w:rsidR="00C86248" w:rsidRDefault="00245FD9">
      <w:r>
        <w:rPr>
          <w:rFonts w:ascii="Segoe UI Semibold" w:hAnsi="Segoe UI Semibold"/>
          <w:b/>
          <w:sz w:val="24"/>
        </w:rPr>
        <w:fldChar w:fldCharType="end"/>
      </w:r>
    </w:p>
    <w:p w14:paraId="62B5B4F7" w14:textId="77777777" w:rsidR="002B76A7" w:rsidRDefault="002B76A7" w:rsidP="002B76A7">
      <w:pPr>
        <w:pStyle w:val="TOC1"/>
        <w:keepNext/>
      </w:pPr>
      <w:r>
        <w:t>List of Tables</w:t>
      </w:r>
    </w:p>
    <w:p w14:paraId="6FEC49A9" w14:textId="75424F2D" w:rsidR="00363B3A"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363B3A">
        <w:rPr>
          <w:noProof/>
        </w:rPr>
        <w:t>Table 1:</w:t>
      </w:r>
      <w:r w:rsidR="00363B3A">
        <w:rPr>
          <w:noProof/>
        </w:rPr>
        <w:tab/>
        <w:t>Average number of people each month required to undergo assessment under sections 11, 13 and 14(4) of the Mental Health Act per 100,000 population, by DHB, 1 January to 31 December 2020</w:t>
      </w:r>
      <w:r w:rsidR="00363B3A">
        <w:rPr>
          <w:noProof/>
        </w:rPr>
        <w:tab/>
      </w:r>
      <w:r w:rsidR="00363B3A">
        <w:rPr>
          <w:noProof/>
        </w:rPr>
        <w:fldChar w:fldCharType="begin"/>
      </w:r>
      <w:r w:rsidR="00363B3A">
        <w:rPr>
          <w:noProof/>
        </w:rPr>
        <w:instrText xml:space="preserve"> PAGEREF _Toc88561356 \h </w:instrText>
      </w:r>
      <w:r w:rsidR="00363B3A">
        <w:rPr>
          <w:noProof/>
        </w:rPr>
      </w:r>
      <w:r w:rsidR="00363B3A">
        <w:rPr>
          <w:noProof/>
        </w:rPr>
        <w:fldChar w:fldCharType="separate"/>
      </w:r>
      <w:r w:rsidR="00840F18">
        <w:rPr>
          <w:noProof/>
        </w:rPr>
        <w:t>5</w:t>
      </w:r>
      <w:r w:rsidR="00363B3A">
        <w:rPr>
          <w:noProof/>
        </w:rPr>
        <w:fldChar w:fldCharType="end"/>
      </w:r>
    </w:p>
    <w:p w14:paraId="56D2C1BE" w14:textId="531C200B" w:rsidR="00363B3A" w:rsidRDefault="00363B3A">
      <w:pPr>
        <w:pStyle w:val="TOC3"/>
        <w:rPr>
          <w:rFonts w:asciiTheme="minorHAnsi" w:eastAsiaTheme="minorEastAsia" w:hAnsiTheme="minorHAnsi" w:cstheme="minorBidi"/>
          <w:noProof/>
          <w:sz w:val="22"/>
          <w:szCs w:val="22"/>
          <w:lang w:eastAsia="en-NZ"/>
        </w:rPr>
      </w:pPr>
      <w:r>
        <w:rPr>
          <w:noProof/>
        </w:rPr>
        <w:t>Table 2:</w:t>
      </w:r>
      <w:r>
        <w:rPr>
          <w:noProof/>
        </w:rPr>
        <w:tab/>
        <w:t>Average number of people on a given day subject to sections 29, 30 and 31 of the Mental Health Act per 100,000 population, by DHB, 1</w:t>
      </w:r>
      <w:r w:rsidR="005C4994">
        <w:rPr>
          <w:noProof/>
        </w:rPr>
        <w:t> </w:t>
      </w:r>
      <w:r>
        <w:rPr>
          <w:noProof/>
        </w:rPr>
        <w:t>January to 31 December 2020</w:t>
      </w:r>
      <w:r>
        <w:rPr>
          <w:noProof/>
        </w:rPr>
        <w:tab/>
      </w:r>
      <w:r>
        <w:rPr>
          <w:noProof/>
        </w:rPr>
        <w:fldChar w:fldCharType="begin"/>
      </w:r>
      <w:r>
        <w:rPr>
          <w:noProof/>
        </w:rPr>
        <w:instrText xml:space="preserve"> PAGEREF _Toc88561357 \h </w:instrText>
      </w:r>
      <w:r>
        <w:rPr>
          <w:noProof/>
        </w:rPr>
      </w:r>
      <w:r>
        <w:rPr>
          <w:noProof/>
        </w:rPr>
        <w:fldChar w:fldCharType="separate"/>
      </w:r>
      <w:r w:rsidR="00840F18">
        <w:rPr>
          <w:noProof/>
        </w:rPr>
        <w:t>5</w:t>
      </w:r>
      <w:r>
        <w:rPr>
          <w:noProof/>
        </w:rPr>
        <w:fldChar w:fldCharType="end"/>
      </w:r>
    </w:p>
    <w:p w14:paraId="6E5F7ED8" w14:textId="79E952F5" w:rsidR="00363B3A" w:rsidRDefault="00363B3A">
      <w:pPr>
        <w:pStyle w:val="TOC3"/>
        <w:rPr>
          <w:rFonts w:asciiTheme="minorHAnsi" w:eastAsiaTheme="minorEastAsia" w:hAnsiTheme="minorHAnsi" w:cstheme="minorBidi"/>
          <w:noProof/>
          <w:sz w:val="22"/>
          <w:szCs w:val="22"/>
          <w:lang w:eastAsia="en-NZ"/>
        </w:rPr>
      </w:pPr>
      <w:r>
        <w:rPr>
          <w:noProof/>
        </w:rPr>
        <w:t>Table 3:</w:t>
      </w:r>
      <w:r>
        <w:rPr>
          <w:noProof/>
        </w:rPr>
        <w:tab/>
        <w:t>Number of people required to undergo assessment under sections 11, 13 and 14(4) of the Mental Health Act, by ethnicity, 1 January to 31 December 2020</w:t>
      </w:r>
      <w:r>
        <w:rPr>
          <w:noProof/>
        </w:rPr>
        <w:tab/>
      </w:r>
      <w:r>
        <w:rPr>
          <w:noProof/>
        </w:rPr>
        <w:fldChar w:fldCharType="begin"/>
      </w:r>
      <w:r>
        <w:rPr>
          <w:noProof/>
        </w:rPr>
        <w:instrText xml:space="preserve"> PAGEREF _Toc88561358 \h </w:instrText>
      </w:r>
      <w:r>
        <w:rPr>
          <w:noProof/>
        </w:rPr>
      </w:r>
      <w:r>
        <w:rPr>
          <w:noProof/>
        </w:rPr>
        <w:fldChar w:fldCharType="separate"/>
      </w:r>
      <w:r w:rsidR="00840F18">
        <w:rPr>
          <w:noProof/>
        </w:rPr>
        <w:t>10</w:t>
      </w:r>
      <w:r>
        <w:rPr>
          <w:noProof/>
        </w:rPr>
        <w:fldChar w:fldCharType="end"/>
      </w:r>
    </w:p>
    <w:p w14:paraId="60922917" w14:textId="01A58710" w:rsidR="00363B3A" w:rsidRDefault="00363B3A">
      <w:pPr>
        <w:pStyle w:val="TOC3"/>
        <w:rPr>
          <w:rFonts w:asciiTheme="minorHAnsi" w:eastAsiaTheme="minorEastAsia" w:hAnsiTheme="minorHAnsi" w:cstheme="minorBidi"/>
          <w:noProof/>
          <w:sz w:val="22"/>
          <w:szCs w:val="22"/>
          <w:lang w:eastAsia="en-NZ"/>
        </w:rPr>
      </w:pPr>
      <w:r>
        <w:rPr>
          <w:noProof/>
        </w:rPr>
        <w:t>Table 4:</w:t>
      </w:r>
      <w:r>
        <w:rPr>
          <w:noProof/>
        </w:rPr>
        <w:tab/>
        <w:t>Number of people subject to a compulsory treatment order under sections 29 or 30 of the Mental Health Act, by ethnicity, 1 January to 31 December 2020</w:t>
      </w:r>
      <w:r>
        <w:rPr>
          <w:noProof/>
        </w:rPr>
        <w:tab/>
      </w:r>
      <w:r>
        <w:rPr>
          <w:noProof/>
        </w:rPr>
        <w:fldChar w:fldCharType="begin"/>
      </w:r>
      <w:r>
        <w:rPr>
          <w:noProof/>
        </w:rPr>
        <w:instrText xml:space="preserve"> PAGEREF _Toc88561359 \h </w:instrText>
      </w:r>
      <w:r>
        <w:rPr>
          <w:noProof/>
        </w:rPr>
      </w:r>
      <w:r>
        <w:rPr>
          <w:noProof/>
        </w:rPr>
        <w:fldChar w:fldCharType="separate"/>
      </w:r>
      <w:r w:rsidR="00840F18">
        <w:rPr>
          <w:noProof/>
        </w:rPr>
        <w:t>10</w:t>
      </w:r>
      <w:r>
        <w:rPr>
          <w:noProof/>
        </w:rPr>
        <w:fldChar w:fldCharType="end"/>
      </w:r>
    </w:p>
    <w:p w14:paraId="623F44AD" w14:textId="63AFF64A" w:rsidR="00363B3A" w:rsidRDefault="00363B3A" w:rsidP="00370238">
      <w:pPr>
        <w:pStyle w:val="TOC3"/>
        <w:rPr>
          <w:rFonts w:asciiTheme="minorHAnsi" w:eastAsiaTheme="minorEastAsia" w:hAnsiTheme="minorHAnsi" w:cstheme="minorBidi"/>
          <w:noProof/>
          <w:sz w:val="22"/>
          <w:szCs w:val="22"/>
          <w:lang w:eastAsia="en-NZ"/>
        </w:rPr>
      </w:pPr>
      <w:r>
        <w:rPr>
          <w:noProof/>
        </w:rPr>
        <w:t>Table 5:</w:t>
      </w:r>
      <w:r>
        <w:rPr>
          <w:noProof/>
        </w:rPr>
        <w:tab/>
        <w:t>Age-standardised rates of Māori, Pacific peoples and other ethnicities subject to community and inpatient treatment orders (sections 29 and 30 respectively) under the Mental Health Act, by sex, 1 January to 31 December 2020</w:t>
      </w:r>
      <w:r>
        <w:rPr>
          <w:noProof/>
        </w:rPr>
        <w:tab/>
      </w:r>
      <w:r>
        <w:rPr>
          <w:noProof/>
        </w:rPr>
        <w:fldChar w:fldCharType="begin"/>
      </w:r>
      <w:r>
        <w:rPr>
          <w:noProof/>
        </w:rPr>
        <w:instrText xml:space="preserve"> PAGEREF _Toc88561360 \h </w:instrText>
      </w:r>
      <w:r>
        <w:rPr>
          <w:noProof/>
        </w:rPr>
      </w:r>
      <w:r>
        <w:rPr>
          <w:noProof/>
        </w:rPr>
        <w:fldChar w:fldCharType="separate"/>
      </w:r>
      <w:r w:rsidR="00840F18">
        <w:rPr>
          <w:noProof/>
        </w:rPr>
        <w:t>12</w:t>
      </w:r>
      <w:r>
        <w:rPr>
          <w:noProof/>
        </w:rPr>
        <w:fldChar w:fldCharType="end"/>
      </w:r>
    </w:p>
    <w:p w14:paraId="303A7B36" w14:textId="3C1234E9" w:rsidR="00363B3A" w:rsidRDefault="00363B3A" w:rsidP="00370238">
      <w:pPr>
        <w:pStyle w:val="TOC3"/>
        <w:keepNext/>
        <w:rPr>
          <w:rFonts w:asciiTheme="minorHAnsi" w:eastAsiaTheme="minorEastAsia" w:hAnsiTheme="minorHAnsi" w:cstheme="minorBidi"/>
          <w:noProof/>
          <w:sz w:val="22"/>
          <w:szCs w:val="22"/>
          <w:lang w:eastAsia="en-NZ"/>
        </w:rPr>
      </w:pPr>
      <w:r>
        <w:rPr>
          <w:noProof/>
        </w:rPr>
        <w:t>Table 6:</w:t>
      </w:r>
      <w:r>
        <w:rPr>
          <w:noProof/>
        </w:rPr>
        <w:tab/>
        <w:t>Rate ratio of Māori to non-Māori subject to indefinite community treatment orders per 100,000 population, orders open at 31 December 2020</w:t>
      </w:r>
      <w:r>
        <w:rPr>
          <w:noProof/>
        </w:rPr>
        <w:tab/>
      </w:r>
      <w:r>
        <w:rPr>
          <w:noProof/>
        </w:rPr>
        <w:fldChar w:fldCharType="begin"/>
      </w:r>
      <w:r>
        <w:rPr>
          <w:noProof/>
        </w:rPr>
        <w:instrText xml:space="preserve"> PAGEREF _Toc88561361 \h </w:instrText>
      </w:r>
      <w:r>
        <w:rPr>
          <w:noProof/>
        </w:rPr>
      </w:r>
      <w:r>
        <w:rPr>
          <w:noProof/>
        </w:rPr>
        <w:fldChar w:fldCharType="separate"/>
      </w:r>
      <w:r w:rsidR="00840F18">
        <w:rPr>
          <w:noProof/>
        </w:rPr>
        <w:t>21</w:t>
      </w:r>
      <w:r>
        <w:rPr>
          <w:noProof/>
        </w:rPr>
        <w:fldChar w:fldCharType="end"/>
      </w:r>
    </w:p>
    <w:p w14:paraId="4E95A2B4" w14:textId="763291E4" w:rsidR="00363B3A" w:rsidRDefault="00363B3A">
      <w:pPr>
        <w:pStyle w:val="TOC3"/>
        <w:rPr>
          <w:rFonts w:asciiTheme="minorHAnsi" w:eastAsiaTheme="minorEastAsia" w:hAnsiTheme="minorHAnsi" w:cstheme="minorBidi"/>
          <w:noProof/>
          <w:sz w:val="22"/>
          <w:szCs w:val="22"/>
          <w:lang w:eastAsia="en-NZ"/>
        </w:rPr>
      </w:pPr>
      <w:r>
        <w:rPr>
          <w:noProof/>
        </w:rPr>
        <w:t>Table 7:</w:t>
      </w:r>
      <w:r>
        <w:rPr>
          <w:noProof/>
        </w:rPr>
        <w:tab/>
        <w:t>Rate ratio of Māori to non-Māori subject to indefinite inpatient treatment orders per 100,000 population, orders open at 31 December 2020</w:t>
      </w:r>
      <w:r>
        <w:rPr>
          <w:noProof/>
        </w:rPr>
        <w:tab/>
      </w:r>
      <w:r>
        <w:rPr>
          <w:noProof/>
        </w:rPr>
        <w:fldChar w:fldCharType="begin"/>
      </w:r>
      <w:r>
        <w:rPr>
          <w:noProof/>
        </w:rPr>
        <w:instrText xml:space="preserve"> PAGEREF _Toc88561362 \h </w:instrText>
      </w:r>
      <w:r>
        <w:rPr>
          <w:noProof/>
        </w:rPr>
      </w:r>
      <w:r>
        <w:rPr>
          <w:noProof/>
        </w:rPr>
        <w:fldChar w:fldCharType="separate"/>
      </w:r>
      <w:r w:rsidR="00840F18">
        <w:rPr>
          <w:noProof/>
        </w:rPr>
        <w:t>24</w:t>
      </w:r>
      <w:r>
        <w:rPr>
          <w:noProof/>
        </w:rPr>
        <w:fldChar w:fldCharType="end"/>
      </w:r>
    </w:p>
    <w:p w14:paraId="5D8FB64B" w14:textId="4E842EF2" w:rsidR="00363B3A" w:rsidRDefault="00363B3A">
      <w:pPr>
        <w:pStyle w:val="TOC3"/>
        <w:rPr>
          <w:rFonts w:asciiTheme="minorHAnsi" w:eastAsiaTheme="minorEastAsia" w:hAnsiTheme="minorHAnsi" w:cstheme="minorBidi"/>
          <w:noProof/>
          <w:sz w:val="22"/>
          <w:szCs w:val="22"/>
          <w:lang w:eastAsia="en-NZ"/>
        </w:rPr>
      </w:pPr>
      <w:r>
        <w:rPr>
          <w:noProof/>
        </w:rPr>
        <w:lastRenderedPageBreak/>
        <w:t>Table 8:</w:t>
      </w:r>
      <w:r>
        <w:rPr>
          <w:noProof/>
        </w:rPr>
        <w:tab/>
        <w:t>Seclusion indicators for forensic mental health services, by DHB, 1 January to 31 December 2020</w:t>
      </w:r>
      <w:r>
        <w:rPr>
          <w:noProof/>
        </w:rPr>
        <w:tab/>
      </w:r>
      <w:r>
        <w:rPr>
          <w:noProof/>
        </w:rPr>
        <w:fldChar w:fldCharType="begin"/>
      </w:r>
      <w:r>
        <w:rPr>
          <w:noProof/>
        </w:rPr>
        <w:instrText xml:space="preserve"> PAGEREF _Toc88561363 \h </w:instrText>
      </w:r>
      <w:r>
        <w:rPr>
          <w:noProof/>
        </w:rPr>
      </w:r>
      <w:r>
        <w:rPr>
          <w:noProof/>
        </w:rPr>
        <w:fldChar w:fldCharType="separate"/>
      </w:r>
      <w:r w:rsidR="00840F18">
        <w:rPr>
          <w:noProof/>
        </w:rPr>
        <w:t>35</w:t>
      </w:r>
      <w:r>
        <w:rPr>
          <w:noProof/>
        </w:rPr>
        <w:fldChar w:fldCharType="end"/>
      </w:r>
    </w:p>
    <w:p w14:paraId="6D515274" w14:textId="52CE5324" w:rsidR="00363B3A" w:rsidRDefault="00363B3A">
      <w:pPr>
        <w:pStyle w:val="TOC3"/>
        <w:rPr>
          <w:rFonts w:asciiTheme="minorHAnsi" w:eastAsiaTheme="minorEastAsia" w:hAnsiTheme="minorHAnsi" w:cstheme="minorBidi"/>
          <w:noProof/>
          <w:sz w:val="22"/>
          <w:szCs w:val="22"/>
          <w:lang w:eastAsia="en-NZ"/>
        </w:rPr>
      </w:pPr>
      <w:r>
        <w:rPr>
          <w:noProof/>
        </w:rPr>
        <w:t>Table 9:</w:t>
      </w:r>
      <w:r>
        <w:rPr>
          <w:noProof/>
        </w:rPr>
        <w:tab/>
        <w:t>Seclusion indicators for people with intellectual disabilities, by DHB, 1 January to 31 December 2020</w:t>
      </w:r>
      <w:r>
        <w:rPr>
          <w:noProof/>
        </w:rPr>
        <w:tab/>
      </w:r>
      <w:r>
        <w:rPr>
          <w:noProof/>
        </w:rPr>
        <w:fldChar w:fldCharType="begin"/>
      </w:r>
      <w:r>
        <w:rPr>
          <w:noProof/>
        </w:rPr>
        <w:instrText xml:space="preserve"> PAGEREF _Toc88561364 \h </w:instrText>
      </w:r>
      <w:r>
        <w:rPr>
          <w:noProof/>
        </w:rPr>
      </w:r>
      <w:r>
        <w:rPr>
          <w:noProof/>
        </w:rPr>
        <w:fldChar w:fldCharType="separate"/>
      </w:r>
      <w:r w:rsidR="00840F18">
        <w:rPr>
          <w:noProof/>
        </w:rPr>
        <w:t>36</w:t>
      </w:r>
      <w:r>
        <w:rPr>
          <w:noProof/>
        </w:rPr>
        <w:fldChar w:fldCharType="end"/>
      </w:r>
    </w:p>
    <w:p w14:paraId="63D52BF7" w14:textId="69C95FDC" w:rsidR="00363B3A" w:rsidRDefault="00363B3A">
      <w:pPr>
        <w:pStyle w:val="TOC3"/>
        <w:rPr>
          <w:rFonts w:asciiTheme="minorHAnsi" w:eastAsiaTheme="minorEastAsia" w:hAnsiTheme="minorHAnsi" w:cstheme="minorBidi"/>
          <w:noProof/>
          <w:sz w:val="22"/>
          <w:szCs w:val="22"/>
          <w:lang w:eastAsia="en-NZ"/>
        </w:rPr>
      </w:pPr>
      <w:r>
        <w:rPr>
          <w:noProof/>
        </w:rPr>
        <w:t>Table 10:</w:t>
      </w:r>
      <w:r>
        <w:rPr>
          <w:noProof/>
        </w:rPr>
        <w:tab/>
        <w:t>Seclusion duration for people with intellectual disabilities, by DHB, 1 January to 31 December 2020</w:t>
      </w:r>
      <w:r>
        <w:rPr>
          <w:noProof/>
        </w:rPr>
        <w:tab/>
      </w:r>
      <w:r>
        <w:rPr>
          <w:noProof/>
        </w:rPr>
        <w:fldChar w:fldCharType="begin"/>
      </w:r>
      <w:r>
        <w:rPr>
          <w:noProof/>
        </w:rPr>
        <w:instrText xml:space="preserve"> PAGEREF _Toc88561365 \h </w:instrText>
      </w:r>
      <w:r>
        <w:rPr>
          <w:noProof/>
        </w:rPr>
      </w:r>
      <w:r>
        <w:rPr>
          <w:noProof/>
        </w:rPr>
        <w:fldChar w:fldCharType="separate"/>
      </w:r>
      <w:r w:rsidR="00840F18">
        <w:rPr>
          <w:noProof/>
        </w:rPr>
        <w:t>37</w:t>
      </w:r>
      <w:r>
        <w:rPr>
          <w:noProof/>
        </w:rPr>
        <w:fldChar w:fldCharType="end"/>
      </w:r>
    </w:p>
    <w:p w14:paraId="04049E71" w14:textId="67CDB810" w:rsidR="00363B3A" w:rsidRDefault="00363B3A">
      <w:pPr>
        <w:pStyle w:val="TOC3"/>
        <w:rPr>
          <w:rFonts w:asciiTheme="minorHAnsi" w:eastAsiaTheme="minorEastAsia" w:hAnsiTheme="minorHAnsi" w:cstheme="minorBidi"/>
          <w:noProof/>
          <w:sz w:val="22"/>
          <w:szCs w:val="22"/>
          <w:lang w:eastAsia="en-NZ"/>
        </w:rPr>
      </w:pPr>
      <w:r>
        <w:rPr>
          <w:noProof/>
        </w:rPr>
        <w:t>Table 11:</w:t>
      </w:r>
      <w:r>
        <w:rPr>
          <w:noProof/>
        </w:rPr>
        <w:tab/>
        <w:t>Seclusion indicators for people with intellectual disabilities, by ethnicity, 1 January to 31 December 2020</w:t>
      </w:r>
      <w:r>
        <w:rPr>
          <w:noProof/>
        </w:rPr>
        <w:tab/>
      </w:r>
      <w:r>
        <w:rPr>
          <w:noProof/>
        </w:rPr>
        <w:fldChar w:fldCharType="begin"/>
      </w:r>
      <w:r>
        <w:rPr>
          <w:noProof/>
        </w:rPr>
        <w:instrText xml:space="preserve"> PAGEREF _Toc88561366 \h </w:instrText>
      </w:r>
      <w:r>
        <w:rPr>
          <w:noProof/>
        </w:rPr>
      </w:r>
      <w:r>
        <w:rPr>
          <w:noProof/>
        </w:rPr>
        <w:fldChar w:fldCharType="separate"/>
      </w:r>
      <w:r w:rsidR="00840F18">
        <w:rPr>
          <w:noProof/>
        </w:rPr>
        <w:t>37</w:t>
      </w:r>
      <w:r>
        <w:rPr>
          <w:noProof/>
        </w:rPr>
        <w:fldChar w:fldCharType="end"/>
      </w:r>
    </w:p>
    <w:p w14:paraId="403F0442" w14:textId="60CE00A4" w:rsidR="00363B3A" w:rsidRDefault="00363B3A">
      <w:pPr>
        <w:pStyle w:val="TOC3"/>
        <w:rPr>
          <w:rFonts w:asciiTheme="minorHAnsi" w:eastAsiaTheme="minorEastAsia" w:hAnsiTheme="minorHAnsi" w:cstheme="minorBidi"/>
          <w:noProof/>
          <w:sz w:val="22"/>
          <w:szCs w:val="22"/>
          <w:lang w:eastAsia="en-NZ"/>
        </w:rPr>
      </w:pPr>
      <w:r>
        <w:rPr>
          <w:noProof/>
        </w:rPr>
        <w:t>Table 12:</w:t>
      </w:r>
      <w:r>
        <w:rPr>
          <w:noProof/>
        </w:rPr>
        <w:tab/>
        <w:t>Total number of special patients, by type and DHB, 1 January to 31 December 2020</w:t>
      </w:r>
      <w:r>
        <w:rPr>
          <w:noProof/>
        </w:rPr>
        <w:tab/>
      </w:r>
      <w:r>
        <w:rPr>
          <w:noProof/>
        </w:rPr>
        <w:fldChar w:fldCharType="begin"/>
      </w:r>
      <w:r>
        <w:rPr>
          <w:noProof/>
        </w:rPr>
        <w:instrText xml:space="preserve"> PAGEREF _Toc88561367 \h </w:instrText>
      </w:r>
      <w:r>
        <w:rPr>
          <w:noProof/>
        </w:rPr>
      </w:r>
      <w:r>
        <w:rPr>
          <w:noProof/>
        </w:rPr>
        <w:fldChar w:fldCharType="separate"/>
      </w:r>
      <w:r w:rsidR="00840F18">
        <w:rPr>
          <w:noProof/>
        </w:rPr>
        <w:t>41</w:t>
      </w:r>
      <w:r>
        <w:rPr>
          <w:noProof/>
        </w:rPr>
        <w:fldChar w:fldCharType="end"/>
      </w:r>
    </w:p>
    <w:p w14:paraId="4C931C16" w14:textId="22AEF959" w:rsidR="00363B3A" w:rsidRDefault="00363B3A">
      <w:pPr>
        <w:pStyle w:val="TOC3"/>
        <w:rPr>
          <w:rFonts w:asciiTheme="minorHAnsi" w:eastAsiaTheme="minorEastAsia" w:hAnsiTheme="minorHAnsi" w:cstheme="minorBidi"/>
          <w:noProof/>
          <w:sz w:val="22"/>
          <w:szCs w:val="22"/>
          <w:lang w:eastAsia="en-NZ"/>
        </w:rPr>
      </w:pPr>
      <w:r>
        <w:rPr>
          <w:noProof/>
        </w:rPr>
        <w:t>Table 13:</w:t>
      </w:r>
      <w:r>
        <w:rPr>
          <w:noProof/>
        </w:rPr>
        <w:tab/>
        <w:t>Number of section 50 long leave, revocation and reclassification applications sent to the Minister of Health for special patients and restricted patients, 1 January to 31 December 2020</w:t>
      </w:r>
      <w:r>
        <w:rPr>
          <w:noProof/>
        </w:rPr>
        <w:tab/>
      </w:r>
      <w:r>
        <w:rPr>
          <w:noProof/>
        </w:rPr>
        <w:fldChar w:fldCharType="begin"/>
      </w:r>
      <w:r>
        <w:rPr>
          <w:noProof/>
        </w:rPr>
        <w:instrText xml:space="preserve"> PAGEREF _Toc88561368 \h </w:instrText>
      </w:r>
      <w:r>
        <w:rPr>
          <w:noProof/>
        </w:rPr>
      </w:r>
      <w:r>
        <w:rPr>
          <w:noProof/>
        </w:rPr>
        <w:fldChar w:fldCharType="separate"/>
      </w:r>
      <w:r w:rsidR="00840F18">
        <w:rPr>
          <w:noProof/>
        </w:rPr>
        <w:t>46</w:t>
      </w:r>
      <w:r>
        <w:rPr>
          <w:noProof/>
        </w:rPr>
        <w:fldChar w:fldCharType="end"/>
      </w:r>
    </w:p>
    <w:p w14:paraId="42A9561A" w14:textId="04E7F1F0" w:rsidR="00363B3A" w:rsidRDefault="00363B3A">
      <w:pPr>
        <w:pStyle w:val="TOC3"/>
        <w:rPr>
          <w:rFonts w:asciiTheme="minorHAnsi" w:eastAsiaTheme="minorEastAsia" w:hAnsiTheme="minorHAnsi" w:cstheme="minorBidi"/>
          <w:noProof/>
          <w:sz w:val="22"/>
          <w:szCs w:val="22"/>
          <w:lang w:eastAsia="en-NZ"/>
        </w:rPr>
      </w:pPr>
      <w:r>
        <w:rPr>
          <w:noProof/>
        </w:rPr>
        <w:t>Table 14:</w:t>
      </w:r>
      <w:r>
        <w:rPr>
          <w:noProof/>
        </w:rPr>
        <w:tab/>
        <w:t>Number of mental health adverse events that DHBs reported to the HQSC, by type of event, 1 January to 31 December 2020</w:t>
      </w:r>
      <w:r>
        <w:rPr>
          <w:noProof/>
        </w:rPr>
        <w:tab/>
      </w:r>
      <w:r>
        <w:rPr>
          <w:noProof/>
        </w:rPr>
        <w:fldChar w:fldCharType="begin"/>
      </w:r>
      <w:r>
        <w:rPr>
          <w:noProof/>
        </w:rPr>
        <w:instrText xml:space="preserve"> PAGEREF _Toc88561369 \h </w:instrText>
      </w:r>
      <w:r>
        <w:rPr>
          <w:noProof/>
        </w:rPr>
      </w:r>
      <w:r>
        <w:rPr>
          <w:noProof/>
        </w:rPr>
        <w:fldChar w:fldCharType="separate"/>
      </w:r>
      <w:r w:rsidR="00840F18">
        <w:rPr>
          <w:noProof/>
        </w:rPr>
        <w:t>48</w:t>
      </w:r>
      <w:r>
        <w:rPr>
          <w:noProof/>
        </w:rPr>
        <w:fldChar w:fldCharType="end"/>
      </w:r>
    </w:p>
    <w:p w14:paraId="755902AD" w14:textId="1CF670F7" w:rsidR="00363B3A" w:rsidRDefault="00363B3A">
      <w:pPr>
        <w:pStyle w:val="TOC3"/>
        <w:rPr>
          <w:rFonts w:asciiTheme="minorHAnsi" w:eastAsiaTheme="minorEastAsia" w:hAnsiTheme="minorHAnsi" w:cstheme="minorBidi"/>
          <w:noProof/>
          <w:sz w:val="22"/>
          <w:szCs w:val="22"/>
          <w:lang w:eastAsia="en-NZ"/>
        </w:rPr>
      </w:pPr>
      <w:r>
        <w:rPr>
          <w:noProof/>
        </w:rPr>
        <w:t>Table 15:</w:t>
      </w:r>
      <w:r>
        <w:rPr>
          <w:noProof/>
        </w:rPr>
        <w:tab/>
        <w:t>Mental health adverse events that DHBs reported to the HQSC, by DHB, 1 January to 31 December 2020</w:t>
      </w:r>
      <w:r>
        <w:rPr>
          <w:noProof/>
        </w:rPr>
        <w:tab/>
      </w:r>
      <w:r>
        <w:rPr>
          <w:noProof/>
        </w:rPr>
        <w:fldChar w:fldCharType="begin"/>
      </w:r>
      <w:r>
        <w:rPr>
          <w:noProof/>
        </w:rPr>
        <w:instrText xml:space="preserve"> PAGEREF _Toc88561370 \h </w:instrText>
      </w:r>
      <w:r>
        <w:rPr>
          <w:noProof/>
        </w:rPr>
      </w:r>
      <w:r>
        <w:rPr>
          <w:noProof/>
        </w:rPr>
        <w:fldChar w:fldCharType="separate"/>
      </w:r>
      <w:r w:rsidR="00840F18">
        <w:rPr>
          <w:noProof/>
        </w:rPr>
        <w:t>48</w:t>
      </w:r>
      <w:r>
        <w:rPr>
          <w:noProof/>
        </w:rPr>
        <w:fldChar w:fldCharType="end"/>
      </w:r>
    </w:p>
    <w:p w14:paraId="72C8A1E1" w14:textId="1C622395" w:rsidR="00363B3A" w:rsidRDefault="00363B3A">
      <w:pPr>
        <w:pStyle w:val="TOC3"/>
        <w:rPr>
          <w:rFonts w:asciiTheme="minorHAnsi" w:eastAsiaTheme="minorEastAsia" w:hAnsiTheme="minorHAnsi" w:cstheme="minorBidi"/>
          <w:noProof/>
          <w:sz w:val="22"/>
          <w:szCs w:val="22"/>
          <w:lang w:eastAsia="en-NZ"/>
        </w:rPr>
      </w:pPr>
      <w:r>
        <w:rPr>
          <w:noProof/>
        </w:rPr>
        <w:t>Table 16:</w:t>
      </w:r>
      <w:r>
        <w:rPr>
          <w:noProof/>
        </w:rPr>
        <w:tab/>
        <w:t>Outcomes of reportable death notifications under section 132 of the Mental Health Act, 1 January to 31 December 2020</w:t>
      </w:r>
      <w:r>
        <w:rPr>
          <w:noProof/>
        </w:rPr>
        <w:tab/>
      </w:r>
      <w:r>
        <w:rPr>
          <w:noProof/>
        </w:rPr>
        <w:fldChar w:fldCharType="begin"/>
      </w:r>
      <w:r>
        <w:rPr>
          <w:noProof/>
        </w:rPr>
        <w:instrText xml:space="preserve"> PAGEREF _Toc88561371 \h </w:instrText>
      </w:r>
      <w:r>
        <w:rPr>
          <w:noProof/>
        </w:rPr>
      </w:r>
      <w:r>
        <w:rPr>
          <w:noProof/>
        </w:rPr>
        <w:fldChar w:fldCharType="separate"/>
      </w:r>
      <w:r w:rsidR="00840F18">
        <w:rPr>
          <w:noProof/>
        </w:rPr>
        <w:t>49</w:t>
      </w:r>
      <w:r>
        <w:rPr>
          <w:noProof/>
        </w:rPr>
        <w:fldChar w:fldCharType="end"/>
      </w:r>
    </w:p>
    <w:p w14:paraId="15F71879" w14:textId="0610B7DC" w:rsidR="00363B3A" w:rsidRDefault="00363B3A">
      <w:pPr>
        <w:pStyle w:val="TOC3"/>
        <w:rPr>
          <w:rFonts w:asciiTheme="minorHAnsi" w:eastAsiaTheme="minorEastAsia" w:hAnsiTheme="minorHAnsi" w:cstheme="minorBidi"/>
          <w:noProof/>
          <w:sz w:val="22"/>
          <w:szCs w:val="22"/>
          <w:lang w:eastAsia="en-NZ"/>
        </w:rPr>
      </w:pPr>
      <w:r>
        <w:rPr>
          <w:noProof/>
        </w:rPr>
        <w:t>Table 17:</w:t>
      </w:r>
      <w:r>
        <w:rPr>
          <w:noProof/>
        </w:rPr>
        <w:tab/>
        <w:t>Number of completed section 95 inquiry reports received by the Director of Mental Health, 2005–2020</w:t>
      </w:r>
      <w:r>
        <w:rPr>
          <w:noProof/>
        </w:rPr>
        <w:tab/>
      </w:r>
      <w:r>
        <w:rPr>
          <w:noProof/>
        </w:rPr>
        <w:fldChar w:fldCharType="begin"/>
      </w:r>
      <w:r>
        <w:rPr>
          <w:noProof/>
        </w:rPr>
        <w:instrText xml:space="preserve"> PAGEREF _Toc88561372 \h </w:instrText>
      </w:r>
      <w:r>
        <w:rPr>
          <w:noProof/>
        </w:rPr>
      </w:r>
      <w:r>
        <w:rPr>
          <w:noProof/>
        </w:rPr>
        <w:fldChar w:fldCharType="separate"/>
      </w:r>
      <w:r w:rsidR="00840F18">
        <w:rPr>
          <w:noProof/>
        </w:rPr>
        <w:t>50</w:t>
      </w:r>
      <w:r>
        <w:rPr>
          <w:noProof/>
        </w:rPr>
        <w:fldChar w:fldCharType="end"/>
      </w:r>
    </w:p>
    <w:p w14:paraId="43728471" w14:textId="66F95596" w:rsidR="00363B3A" w:rsidRDefault="00363B3A">
      <w:pPr>
        <w:pStyle w:val="TOC3"/>
        <w:rPr>
          <w:rFonts w:asciiTheme="minorHAnsi" w:eastAsiaTheme="minorEastAsia" w:hAnsiTheme="minorHAnsi" w:cstheme="minorBidi"/>
          <w:noProof/>
          <w:sz w:val="22"/>
          <w:szCs w:val="22"/>
          <w:lang w:eastAsia="en-NZ"/>
        </w:rPr>
      </w:pPr>
      <w:r>
        <w:rPr>
          <w:noProof/>
        </w:rPr>
        <w:t>Table 18:</w:t>
      </w:r>
      <w:r>
        <w:rPr>
          <w:noProof/>
        </w:rPr>
        <w:tab/>
        <w:t>ECT indicators, by DHB of domicile, 1 January to 31 December 2020</w:t>
      </w:r>
      <w:r>
        <w:rPr>
          <w:noProof/>
        </w:rPr>
        <w:tab/>
      </w:r>
      <w:r>
        <w:rPr>
          <w:noProof/>
        </w:rPr>
        <w:fldChar w:fldCharType="begin"/>
      </w:r>
      <w:r>
        <w:rPr>
          <w:noProof/>
        </w:rPr>
        <w:instrText xml:space="preserve"> PAGEREF _Toc88561373 \h </w:instrText>
      </w:r>
      <w:r>
        <w:rPr>
          <w:noProof/>
        </w:rPr>
      </w:r>
      <w:r>
        <w:rPr>
          <w:noProof/>
        </w:rPr>
        <w:fldChar w:fldCharType="separate"/>
      </w:r>
      <w:r w:rsidR="00840F18">
        <w:rPr>
          <w:noProof/>
        </w:rPr>
        <w:t>53</w:t>
      </w:r>
      <w:r>
        <w:rPr>
          <w:noProof/>
        </w:rPr>
        <w:fldChar w:fldCharType="end"/>
      </w:r>
    </w:p>
    <w:p w14:paraId="1B4FBC85" w14:textId="0E70099B" w:rsidR="00363B3A" w:rsidRDefault="00363B3A">
      <w:pPr>
        <w:pStyle w:val="TOC3"/>
        <w:rPr>
          <w:rFonts w:asciiTheme="minorHAnsi" w:eastAsiaTheme="minorEastAsia" w:hAnsiTheme="minorHAnsi" w:cstheme="minorBidi"/>
          <w:noProof/>
          <w:sz w:val="22"/>
          <w:szCs w:val="22"/>
          <w:lang w:eastAsia="en-NZ"/>
        </w:rPr>
      </w:pPr>
      <w:r>
        <w:rPr>
          <w:noProof/>
        </w:rPr>
        <w:t>Table 19:</w:t>
      </w:r>
      <w:r>
        <w:rPr>
          <w:noProof/>
        </w:rPr>
        <w:tab/>
        <w:t>Number of people treated with ECT, by ethnicity, 1 January to 31 December 2020</w:t>
      </w:r>
      <w:r>
        <w:rPr>
          <w:noProof/>
        </w:rPr>
        <w:tab/>
      </w:r>
      <w:r>
        <w:rPr>
          <w:noProof/>
        </w:rPr>
        <w:fldChar w:fldCharType="begin"/>
      </w:r>
      <w:r>
        <w:rPr>
          <w:noProof/>
        </w:rPr>
        <w:instrText xml:space="preserve"> PAGEREF _Toc88561374 \h </w:instrText>
      </w:r>
      <w:r>
        <w:rPr>
          <w:noProof/>
        </w:rPr>
      </w:r>
      <w:r>
        <w:rPr>
          <w:noProof/>
        </w:rPr>
        <w:fldChar w:fldCharType="separate"/>
      </w:r>
      <w:r w:rsidR="00840F18">
        <w:rPr>
          <w:noProof/>
        </w:rPr>
        <w:t>56</w:t>
      </w:r>
      <w:r>
        <w:rPr>
          <w:noProof/>
        </w:rPr>
        <w:fldChar w:fldCharType="end"/>
      </w:r>
    </w:p>
    <w:p w14:paraId="5CFFE925" w14:textId="10471797" w:rsidR="00363B3A" w:rsidRDefault="00363B3A">
      <w:pPr>
        <w:pStyle w:val="TOC3"/>
        <w:rPr>
          <w:rFonts w:asciiTheme="minorHAnsi" w:eastAsiaTheme="minorEastAsia" w:hAnsiTheme="minorHAnsi" w:cstheme="minorBidi"/>
          <w:noProof/>
          <w:sz w:val="22"/>
          <w:szCs w:val="22"/>
          <w:lang w:eastAsia="en-NZ"/>
        </w:rPr>
      </w:pPr>
      <w:r>
        <w:rPr>
          <w:noProof/>
        </w:rPr>
        <w:t>Table 20:</w:t>
      </w:r>
      <w:r>
        <w:rPr>
          <w:noProof/>
        </w:rPr>
        <w:tab/>
        <w:t>ECT administered under second opinion without consent, by DHB of service, 1 January to 31 December 2020</w:t>
      </w:r>
      <w:r>
        <w:rPr>
          <w:noProof/>
        </w:rPr>
        <w:tab/>
      </w:r>
      <w:r>
        <w:rPr>
          <w:noProof/>
        </w:rPr>
        <w:fldChar w:fldCharType="begin"/>
      </w:r>
      <w:r>
        <w:rPr>
          <w:noProof/>
        </w:rPr>
        <w:instrText xml:space="preserve"> PAGEREF _Toc88561375 \h </w:instrText>
      </w:r>
      <w:r>
        <w:rPr>
          <w:noProof/>
        </w:rPr>
      </w:r>
      <w:r>
        <w:rPr>
          <w:noProof/>
        </w:rPr>
        <w:fldChar w:fldCharType="separate"/>
      </w:r>
      <w:r w:rsidR="00840F18">
        <w:rPr>
          <w:noProof/>
        </w:rPr>
        <w:t>57</w:t>
      </w:r>
      <w:r>
        <w:rPr>
          <w:noProof/>
        </w:rPr>
        <w:fldChar w:fldCharType="end"/>
      </w:r>
    </w:p>
    <w:p w14:paraId="60A01E6F" w14:textId="24948623" w:rsidR="00363B3A" w:rsidRDefault="00363B3A">
      <w:pPr>
        <w:pStyle w:val="TOC3"/>
        <w:rPr>
          <w:rFonts w:asciiTheme="minorHAnsi" w:eastAsiaTheme="minorEastAsia" w:hAnsiTheme="minorHAnsi" w:cstheme="minorBidi"/>
          <w:noProof/>
          <w:sz w:val="22"/>
          <w:szCs w:val="22"/>
          <w:lang w:eastAsia="en-NZ"/>
        </w:rPr>
      </w:pPr>
      <w:r>
        <w:rPr>
          <w:noProof/>
        </w:rPr>
        <w:t>Table A1:</w:t>
      </w:r>
      <w:r>
        <w:rPr>
          <w:noProof/>
        </w:rPr>
        <w:tab/>
        <w:t>Applications for compulsory treatment orders or extensions,</w:t>
      </w:r>
      <w:r w:rsidR="005C4994">
        <w:rPr>
          <w:noProof/>
        </w:rPr>
        <w:br/>
      </w:r>
      <w:r>
        <w:rPr>
          <w:noProof/>
        </w:rPr>
        <w:t>2004–2020</w:t>
      </w:r>
      <w:r>
        <w:rPr>
          <w:noProof/>
        </w:rPr>
        <w:tab/>
      </w:r>
      <w:r>
        <w:rPr>
          <w:noProof/>
        </w:rPr>
        <w:fldChar w:fldCharType="begin"/>
      </w:r>
      <w:r>
        <w:rPr>
          <w:noProof/>
        </w:rPr>
        <w:instrText xml:space="preserve"> PAGEREF _Toc88561376 \h </w:instrText>
      </w:r>
      <w:r>
        <w:rPr>
          <w:noProof/>
        </w:rPr>
      </w:r>
      <w:r>
        <w:rPr>
          <w:noProof/>
        </w:rPr>
        <w:fldChar w:fldCharType="separate"/>
      </w:r>
      <w:r w:rsidR="00840F18">
        <w:rPr>
          <w:noProof/>
        </w:rPr>
        <w:t>65</w:t>
      </w:r>
      <w:r>
        <w:rPr>
          <w:noProof/>
        </w:rPr>
        <w:fldChar w:fldCharType="end"/>
      </w:r>
    </w:p>
    <w:p w14:paraId="79BC7B09" w14:textId="754C7B3E" w:rsidR="00363B3A" w:rsidRDefault="00363B3A">
      <w:pPr>
        <w:pStyle w:val="TOC3"/>
        <w:rPr>
          <w:rFonts w:asciiTheme="minorHAnsi" w:eastAsiaTheme="minorEastAsia" w:hAnsiTheme="minorHAnsi" w:cstheme="minorBidi"/>
          <w:noProof/>
          <w:sz w:val="22"/>
          <w:szCs w:val="22"/>
          <w:lang w:eastAsia="en-NZ"/>
        </w:rPr>
      </w:pPr>
      <w:r>
        <w:rPr>
          <w:noProof/>
        </w:rPr>
        <w:t>Table A2:</w:t>
      </w:r>
      <w:r>
        <w:rPr>
          <w:noProof/>
        </w:rPr>
        <w:tab/>
        <w:t>Types of compulsory treatment orders made on granted applications, 2004–2020</w:t>
      </w:r>
      <w:r>
        <w:rPr>
          <w:noProof/>
        </w:rPr>
        <w:tab/>
      </w:r>
      <w:r>
        <w:rPr>
          <w:noProof/>
        </w:rPr>
        <w:fldChar w:fldCharType="begin"/>
      </w:r>
      <w:r>
        <w:rPr>
          <w:noProof/>
        </w:rPr>
        <w:instrText xml:space="preserve"> PAGEREF _Toc88561377 \h </w:instrText>
      </w:r>
      <w:r>
        <w:rPr>
          <w:noProof/>
        </w:rPr>
      </w:r>
      <w:r>
        <w:rPr>
          <w:noProof/>
        </w:rPr>
        <w:fldChar w:fldCharType="separate"/>
      </w:r>
      <w:r w:rsidR="00840F18">
        <w:rPr>
          <w:noProof/>
        </w:rPr>
        <w:t>66</w:t>
      </w:r>
      <w:r>
        <w:rPr>
          <w:noProof/>
        </w:rPr>
        <w:fldChar w:fldCharType="end"/>
      </w:r>
    </w:p>
    <w:p w14:paraId="4EC90BFE" w14:textId="17161AF0" w:rsidR="00363B3A" w:rsidRDefault="00363B3A">
      <w:pPr>
        <w:pStyle w:val="TOC3"/>
        <w:rPr>
          <w:rFonts w:asciiTheme="minorHAnsi" w:eastAsiaTheme="minorEastAsia" w:hAnsiTheme="minorHAnsi" w:cstheme="minorBidi"/>
          <w:noProof/>
          <w:sz w:val="22"/>
          <w:szCs w:val="22"/>
          <w:lang w:eastAsia="en-NZ"/>
        </w:rPr>
      </w:pPr>
      <w:r>
        <w:rPr>
          <w:noProof/>
        </w:rPr>
        <w:t>Table A3:</w:t>
      </w:r>
      <w:r>
        <w:rPr>
          <w:noProof/>
        </w:rPr>
        <w:tab/>
        <w:t>Seclusion data in Aotearoa New Zealand mental health services, 1 January to 31 December 2020</w:t>
      </w:r>
      <w:r>
        <w:rPr>
          <w:noProof/>
        </w:rPr>
        <w:tab/>
      </w:r>
      <w:r>
        <w:rPr>
          <w:noProof/>
        </w:rPr>
        <w:fldChar w:fldCharType="begin"/>
      </w:r>
      <w:r>
        <w:rPr>
          <w:noProof/>
        </w:rPr>
        <w:instrText xml:space="preserve"> PAGEREF _Toc88561378 \h </w:instrText>
      </w:r>
      <w:r>
        <w:rPr>
          <w:noProof/>
        </w:rPr>
      </w:r>
      <w:r>
        <w:rPr>
          <w:noProof/>
        </w:rPr>
        <w:fldChar w:fldCharType="separate"/>
      </w:r>
      <w:r w:rsidR="00840F18">
        <w:rPr>
          <w:noProof/>
        </w:rPr>
        <w:t>67</w:t>
      </w:r>
      <w:r>
        <w:rPr>
          <w:noProof/>
        </w:rPr>
        <w:fldChar w:fldCharType="end"/>
      </w:r>
    </w:p>
    <w:p w14:paraId="11DDF5B4" w14:textId="77777777" w:rsidR="0033448B" w:rsidRDefault="002B76A7" w:rsidP="00370238">
      <w:pPr>
        <w:pStyle w:val="TOC1"/>
        <w:keepNext/>
        <w:spacing w:before="480"/>
      </w:pPr>
      <w:r>
        <w:fldChar w:fldCharType="end"/>
      </w:r>
      <w:r w:rsidR="0033448B">
        <w:t>List of Figures</w:t>
      </w:r>
    </w:p>
    <w:p w14:paraId="0B27B97C" w14:textId="10BB67F8" w:rsidR="00363B3A" w:rsidRDefault="0033448B" w:rsidP="00370238">
      <w:pPr>
        <w:pStyle w:val="TOC3"/>
        <w:keepNext/>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363B3A">
        <w:rPr>
          <w:noProof/>
        </w:rPr>
        <w:t>Figure 1:</w:t>
      </w:r>
      <w:r w:rsidR="00363B3A">
        <w:rPr>
          <w:noProof/>
        </w:rPr>
        <w:tab/>
        <w:t>Applications for compulsory treatment orders and extensions,</w:t>
      </w:r>
      <w:r w:rsidR="005C4994">
        <w:rPr>
          <w:noProof/>
        </w:rPr>
        <w:br/>
      </w:r>
      <w:r w:rsidR="00363B3A">
        <w:rPr>
          <w:noProof/>
        </w:rPr>
        <w:t>2004–2020</w:t>
      </w:r>
      <w:r w:rsidR="00363B3A">
        <w:rPr>
          <w:noProof/>
        </w:rPr>
        <w:tab/>
      </w:r>
      <w:r w:rsidR="00363B3A">
        <w:rPr>
          <w:noProof/>
        </w:rPr>
        <w:fldChar w:fldCharType="begin"/>
      </w:r>
      <w:r w:rsidR="00363B3A">
        <w:rPr>
          <w:noProof/>
        </w:rPr>
        <w:instrText xml:space="preserve"> PAGEREF _Toc88561382 \h </w:instrText>
      </w:r>
      <w:r w:rsidR="00363B3A">
        <w:rPr>
          <w:noProof/>
        </w:rPr>
      </w:r>
      <w:r w:rsidR="00363B3A">
        <w:rPr>
          <w:noProof/>
        </w:rPr>
        <w:fldChar w:fldCharType="separate"/>
      </w:r>
      <w:r w:rsidR="00840F18">
        <w:rPr>
          <w:noProof/>
        </w:rPr>
        <w:t>3</w:t>
      </w:r>
      <w:r w:rsidR="00363B3A">
        <w:rPr>
          <w:noProof/>
        </w:rPr>
        <w:fldChar w:fldCharType="end"/>
      </w:r>
    </w:p>
    <w:p w14:paraId="0E037B47" w14:textId="3D7B9556" w:rsidR="00363B3A" w:rsidRDefault="00363B3A">
      <w:pPr>
        <w:pStyle w:val="TOC3"/>
        <w:rPr>
          <w:rFonts w:asciiTheme="minorHAnsi" w:eastAsiaTheme="minorEastAsia" w:hAnsiTheme="minorHAnsi" w:cstheme="minorBidi"/>
          <w:noProof/>
          <w:sz w:val="22"/>
          <w:szCs w:val="22"/>
          <w:lang w:eastAsia="en-NZ"/>
        </w:rPr>
      </w:pPr>
      <w:r>
        <w:rPr>
          <w:noProof/>
        </w:rPr>
        <w:t>Figure 2:</w:t>
      </w:r>
      <w:r>
        <w:rPr>
          <w:noProof/>
        </w:rPr>
        <w:tab/>
        <w:t>Number of granted compulsory treatment orders and extensions, 2004–2020</w:t>
      </w:r>
      <w:r>
        <w:rPr>
          <w:noProof/>
        </w:rPr>
        <w:tab/>
      </w:r>
      <w:r>
        <w:rPr>
          <w:noProof/>
        </w:rPr>
        <w:fldChar w:fldCharType="begin"/>
      </w:r>
      <w:r>
        <w:rPr>
          <w:noProof/>
        </w:rPr>
        <w:instrText xml:space="preserve"> PAGEREF _Toc88561383 \h </w:instrText>
      </w:r>
      <w:r>
        <w:rPr>
          <w:noProof/>
        </w:rPr>
      </w:r>
      <w:r>
        <w:rPr>
          <w:noProof/>
        </w:rPr>
        <w:fldChar w:fldCharType="separate"/>
      </w:r>
      <w:r w:rsidR="00840F18">
        <w:rPr>
          <w:noProof/>
        </w:rPr>
        <w:t>4</w:t>
      </w:r>
      <w:r>
        <w:rPr>
          <w:noProof/>
        </w:rPr>
        <w:fldChar w:fldCharType="end"/>
      </w:r>
    </w:p>
    <w:p w14:paraId="369D133B" w14:textId="732D4C83" w:rsidR="00363B3A" w:rsidRDefault="00363B3A">
      <w:pPr>
        <w:pStyle w:val="TOC3"/>
        <w:rPr>
          <w:rFonts w:asciiTheme="minorHAnsi" w:eastAsiaTheme="minorEastAsia" w:hAnsiTheme="minorHAnsi" w:cstheme="minorBidi"/>
          <w:noProof/>
          <w:sz w:val="22"/>
          <w:szCs w:val="22"/>
          <w:lang w:eastAsia="en-NZ"/>
        </w:rPr>
      </w:pPr>
      <w:r>
        <w:rPr>
          <w:noProof/>
        </w:rPr>
        <w:t>Figure 3:</w:t>
      </w:r>
      <w:r>
        <w:rPr>
          <w:noProof/>
        </w:rPr>
        <w:tab/>
        <w:t>Average number of people on a given day subject to a community treatment order (section 29 of the Mental Health Act) per 100,000 population, by DHB, 1 January to 31 December 2020</w:t>
      </w:r>
      <w:r>
        <w:rPr>
          <w:noProof/>
        </w:rPr>
        <w:tab/>
      </w:r>
      <w:r>
        <w:rPr>
          <w:noProof/>
        </w:rPr>
        <w:fldChar w:fldCharType="begin"/>
      </w:r>
      <w:r>
        <w:rPr>
          <w:noProof/>
        </w:rPr>
        <w:instrText xml:space="preserve"> PAGEREF _Toc88561384 \h </w:instrText>
      </w:r>
      <w:r>
        <w:rPr>
          <w:noProof/>
        </w:rPr>
      </w:r>
      <w:r>
        <w:rPr>
          <w:noProof/>
        </w:rPr>
        <w:fldChar w:fldCharType="separate"/>
      </w:r>
      <w:r w:rsidR="00840F18">
        <w:rPr>
          <w:noProof/>
        </w:rPr>
        <w:t>6</w:t>
      </w:r>
      <w:r>
        <w:rPr>
          <w:noProof/>
        </w:rPr>
        <w:fldChar w:fldCharType="end"/>
      </w:r>
    </w:p>
    <w:p w14:paraId="42F7A05D" w14:textId="60FD2D7A" w:rsidR="00363B3A" w:rsidRDefault="00363B3A">
      <w:pPr>
        <w:pStyle w:val="TOC3"/>
        <w:rPr>
          <w:rFonts w:asciiTheme="minorHAnsi" w:eastAsiaTheme="minorEastAsia" w:hAnsiTheme="minorHAnsi" w:cstheme="minorBidi"/>
          <w:noProof/>
          <w:sz w:val="22"/>
          <w:szCs w:val="22"/>
          <w:lang w:eastAsia="en-NZ"/>
        </w:rPr>
      </w:pPr>
      <w:r>
        <w:rPr>
          <w:noProof/>
        </w:rPr>
        <w:lastRenderedPageBreak/>
        <w:t>Figure 4:</w:t>
      </w:r>
      <w:r>
        <w:rPr>
          <w:noProof/>
        </w:rPr>
        <w:tab/>
        <w:t>Average number of people on a given day subject to an inpatient treatment order (section 30 of the Mental Health Act) per 100,000 population, by DHB, 1 January to 31 December 2020</w:t>
      </w:r>
      <w:r>
        <w:rPr>
          <w:noProof/>
        </w:rPr>
        <w:tab/>
      </w:r>
      <w:r>
        <w:rPr>
          <w:noProof/>
        </w:rPr>
        <w:fldChar w:fldCharType="begin"/>
      </w:r>
      <w:r>
        <w:rPr>
          <w:noProof/>
        </w:rPr>
        <w:instrText xml:space="preserve"> PAGEREF _Toc88561385 \h </w:instrText>
      </w:r>
      <w:r>
        <w:rPr>
          <w:noProof/>
        </w:rPr>
      </w:r>
      <w:r>
        <w:rPr>
          <w:noProof/>
        </w:rPr>
        <w:fldChar w:fldCharType="separate"/>
      </w:r>
      <w:r w:rsidR="00840F18">
        <w:rPr>
          <w:noProof/>
        </w:rPr>
        <w:t>7</w:t>
      </w:r>
      <w:r>
        <w:rPr>
          <w:noProof/>
        </w:rPr>
        <w:fldChar w:fldCharType="end"/>
      </w:r>
    </w:p>
    <w:p w14:paraId="30CFF923" w14:textId="38448782" w:rsidR="00363B3A" w:rsidRDefault="00363B3A">
      <w:pPr>
        <w:pStyle w:val="TOC3"/>
        <w:rPr>
          <w:rFonts w:asciiTheme="minorHAnsi" w:eastAsiaTheme="minorEastAsia" w:hAnsiTheme="minorHAnsi" w:cstheme="minorBidi"/>
          <w:noProof/>
          <w:sz w:val="22"/>
          <w:szCs w:val="22"/>
          <w:lang w:eastAsia="en-NZ"/>
        </w:rPr>
      </w:pPr>
      <w:r>
        <w:rPr>
          <w:noProof/>
        </w:rPr>
        <w:t>Figure 5:</w:t>
      </w:r>
      <w:r>
        <w:rPr>
          <w:noProof/>
        </w:rPr>
        <w:tab/>
        <w:t>Rate of people subject to compulsory treatment order applications (including extensions) per 100,000 population, by age group,</w:t>
      </w:r>
      <w:r w:rsidR="005C4994">
        <w:rPr>
          <w:noProof/>
        </w:rPr>
        <w:br/>
      </w:r>
      <w:r>
        <w:rPr>
          <w:noProof/>
        </w:rPr>
        <w:t>2004–2020</w:t>
      </w:r>
      <w:r>
        <w:rPr>
          <w:noProof/>
        </w:rPr>
        <w:tab/>
      </w:r>
      <w:r>
        <w:rPr>
          <w:noProof/>
        </w:rPr>
        <w:fldChar w:fldCharType="begin"/>
      </w:r>
      <w:r>
        <w:rPr>
          <w:noProof/>
        </w:rPr>
        <w:instrText xml:space="preserve"> PAGEREF _Toc88561386 \h </w:instrText>
      </w:r>
      <w:r>
        <w:rPr>
          <w:noProof/>
        </w:rPr>
      </w:r>
      <w:r>
        <w:rPr>
          <w:noProof/>
        </w:rPr>
        <w:fldChar w:fldCharType="separate"/>
      </w:r>
      <w:r w:rsidR="00840F18">
        <w:rPr>
          <w:noProof/>
        </w:rPr>
        <w:t>8</w:t>
      </w:r>
      <w:r>
        <w:rPr>
          <w:noProof/>
        </w:rPr>
        <w:fldChar w:fldCharType="end"/>
      </w:r>
    </w:p>
    <w:p w14:paraId="35957607" w14:textId="3E9AD83B" w:rsidR="00363B3A" w:rsidRDefault="00363B3A">
      <w:pPr>
        <w:pStyle w:val="TOC3"/>
        <w:rPr>
          <w:rFonts w:asciiTheme="minorHAnsi" w:eastAsiaTheme="minorEastAsia" w:hAnsiTheme="minorHAnsi" w:cstheme="minorBidi"/>
          <w:noProof/>
          <w:sz w:val="22"/>
          <w:szCs w:val="22"/>
          <w:lang w:eastAsia="en-NZ"/>
        </w:rPr>
      </w:pPr>
      <w:r>
        <w:rPr>
          <w:noProof/>
        </w:rPr>
        <w:t>Figure 6:</w:t>
      </w:r>
      <w:r>
        <w:rPr>
          <w:noProof/>
        </w:rPr>
        <w:tab/>
        <w:t>Rate of people subject to compulsory treatment order applications (including extensions) per 100,000 population, by sex, 2004–2020</w:t>
      </w:r>
      <w:r>
        <w:rPr>
          <w:noProof/>
        </w:rPr>
        <w:tab/>
      </w:r>
      <w:r>
        <w:rPr>
          <w:noProof/>
        </w:rPr>
        <w:fldChar w:fldCharType="begin"/>
      </w:r>
      <w:r>
        <w:rPr>
          <w:noProof/>
        </w:rPr>
        <w:instrText xml:space="preserve"> PAGEREF _Toc88561387 \h </w:instrText>
      </w:r>
      <w:r>
        <w:rPr>
          <w:noProof/>
        </w:rPr>
      </w:r>
      <w:r>
        <w:rPr>
          <w:noProof/>
        </w:rPr>
        <w:fldChar w:fldCharType="separate"/>
      </w:r>
      <w:r w:rsidR="00840F18">
        <w:rPr>
          <w:noProof/>
        </w:rPr>
        <w:t>8</w:t>
      </w:r>
      <w:r>
        <w:rPr>
          <w:noProof/>
        </w:rPr>
        <w:fldChar w:fldCharType="end"/>
      </w:r>
    </w:p>
    <w:p w14:paraId="41DDBADE" w14:textId="4ABA7A91" w:rsidR="00363B3A" w:rsidRDefault="00363B3A">
      <w:pPr>
        <w:pStyle w:val="TOC3"/>
        <w:rPr>
          <w:rFonts w:asciiTheme="minorHAnsi" w:eastAsiaTheme="minorEastAsia" w:hAnsiTheme="minorHAnsi" w:cstheme="minorBidi"/>
          <w:noProof/>
          <w:sz w:val="22"/>
          <w:szCs w:val="22"/>
          <w:lang w:eastAsia="en-NZ"/>
        </w:rPr>
      </w:pPr>
      <w:r>
        <w:rPr>
          <w:noProof/>
        </w:rPr>
        <w:t>Figure 7:</w:t>
      </w:r>
      <w:r>
        <w:rPr>
          <w:noProof/>
        </w:rPr>
        <w:tab/>
        <w:t>Rate ratio of Māori to non-Māori subject to a community treatment order (section 29) under the Mental Health Act per 100,000 population, by DHB, 1 January to 31 December 2020</w:t>
      </w:r>
      <w:r>
        <w:rPr>
          <w:noProof/>
        </w:rPr>
        <w:tab/>
      </w:r>
      <w:r>
        <w:rPr>
          <w:noProof/>
        </w:rPr>
        <w:fldChar w:fldCharType="begin"/>
      </w:r>
      <w:r>
        <w:rPr>
          <w:noProof/>
        </w:rPr>
        <w:instrText xml:space="preserve"> PAGEREF _Toc88561388 \h </w:instrText>
      </w:r>
      <w:r>
        <w:rPr>
          <w:noProof/>
        </w:rPr>
      </w:r>
      <w:r>
        <w:rPr>
          <w:noProof/>
        </w:rPr>
        <w:fldChar w:fldCharType="separate"/>
      </w:r>
      <w:r w:rsidR="00840F18">
        <w:rPr>
          <w:noProof/>
        </w:rPr>
        <w:t>11</w:t>
      </w:r>
      <w:r>
        <w:rPr>
          <w:noProof/>
        </w:rPr>
        <w:fldChar w:fldCharType="end"/>
      </w:r>
    </w:p>
    <w:p w14:paraId="7256A5B2" w14:textId="79350FD3" w:rsidR="00363B3A" w:rsidRDefault="00363B3A">
      <w:pPr>
        <w:pStyle w:val="TOC3"/>
        <w:rPr>
          <w:rFonts w:asciiTheme="minorHAnsi" w:eastAsiaTheme="minorEastAsia" w:hAnsiTheme="minorHAnsi" w:cstheme="minorBidi"/>
          <w:noProof/>
          <w:sz w:val="22"/>
          <w:szCs w:val="22"/>
          <w:lang w:eastAsia="en-NZ"/>
        </w:rPr>
      </w:pPr>
      <w:r>
        <w:rPr>
          <w:noProof/>
        </w:rPr>
        <w:t>Figure 8:</w:t>
      </w:r>
      <w:r>
        <w:rPr>
          <w:noProof/>
        </w:rPr>
        <w:tab/>
        <w:t>Rate ratio of Māori to non-Māori subject to an inpatient treatment order (section 30) under the Mental Health Act per 100,000 population, by DHB, 1 January to 31 December 2020</w:t>
      </w:r>
      <w:r>
        <w:rPr>
          <w:noProof/>
        </w:rPr>
        <w:tab/>
      </w:r>
      <w:r>
        <w:rPr>
          <w:noProof/>
        </w:rPr>
        <w:fldChar w:fldCharType="begin"/>
      </w:r>
      <w:r>
        <w:rPr>
          <w:noProof/>
        </w:rPr>
        <w:instrText xml:space="preserve"> PAGEREF _Toc88561389 \h </w:instrText>
      </w:r>
      <w:r>
        <w:rPr>
          <w:noProof/>
        </w:rPr>
      </w:r>
      <w:r>
        <w:rPr>
          <w:noProof/>
        </w:rPr>
        <w:fldChar w:fldCharType="separate"/>
      </w:r>
      <w:r w:rsidR="00840F18">
        <w:rPr>
          <w:noProof/>
        </w:rPr>
        <w:t>12</w:t>
      </w:r>
      <w:r>
        <w:rPr>
          <w:noProof/>
        </w:rPr>
        <w:fldChar w:fldCharType="end"/>
      </w:r>
    </w:p>
    <w:p w14:paraId="011F8FB6" w14:textId="22E0414E" w:rsidR="00363B3A" w:rsidRDefault="00363B3A">
      <w:pPr>
        <w:pStyle w:val="TOC3"/>
        <w:rPr>
          <w:rFonts w:asciiTheme="minorHAnsi" w:eastAsiaTheme="minorEastAsia" w:hAnsiTheme="minorHAnsi" w:cstheme="minorBidi"/>
          <w:noProof/>
          <w:sz w:val="22"/>
          <w:szCs w:val="22"/>
          <w:lang w:eastAsia="en-NZ"/>
        </w:rPr>
      </w:pPr>
      <w:r>
        <w:rPr>
          <w:noProof/>
        </w:rPr>
        <w:t>Figure 9:</w:t>
      </w:r>
      <w:r>
        <w:rPr>
          <w:noProof/>
        </w:rPr>
        <w:tab/>
        <w:t>Age-standardised rates of Māori, Pacific peoples and other ethnicities subject to community and inpatient treatment orders (sections 29 and 30 respectively) under the Mental Health Act, by sex, 1 January to 31 December 2020</w:t>
      </w:r>
      <w:r>
        <w:rPr>
          <w:noProof/>
        </w:rPr>
        <w:tab/>
      </w:r>
      <w:r>
        <w:rPr>
          <w:noProof/>
        </w:rPr>
        <w:fldChar w:fldCharType="begin"/>
      </w:r>
      <w:r>
        <w:rPr>
          <w:noProof/>
        </w:rPr>
        <w:instrText xml:space="preserve"> PAGEREF _Toc88561390 \h </w:instrText>
      </w:r>
      <w:r>
        <w:rPr>
          <w:noProof/>
        </w:rPr>
      </w:r>
      <w:r>
        <w:rPr>
          <w:noProof/>
        </w:rPr>
        <w:fldChar w:fldCharType="separate"/>
      </w:r>
      <w:r w:rsidR="00840F18">
        <w:rPr>
          <w:noProof/>
        </w:rPr>
        <w:t>13</w:t>
      </w:r>
      <w:r>
        <w:rPr>
          <w:noProof/>
        </w:rPr>
        <w:fldChar w:fldCharType="end"/>
      </w:r>
    </w:p>
    <w:p w14:paraId="32D8D7EA" w14:textId="06DD6E4B" w:rsidR="00363B3A" w:rsidRDefault="00363B3A">
      <w:pPr>
        <w:pStyle w:val="TOC3"/>
        <w:rPr>
          <w:rFonts w:asciiTheme="minorHAnsi" w:eastAsiaTheme="minorEastAsia" w:hAnsiTheme="minorHAnsi" w:cstheme="minorBidi"/>
          <w:noProof/>
          <w:sz w:val="22"/>
          <w:szCs w:val="22"/>
          <w:lang w:eastAsia="en-NZ"/>
        </w:rPr>
      </w:pPr>
      <w:r>
        <w:rPr>
          <w:noProof/>
        </w:rPr>
        <w:t>Figure 10:</w:t>
      </w:r>
      <w:r>
        <w:rPr>
          <w:noProof/>
        </w:rPr>
        <w:tab/>
        <w:t>Length of time spent subject to community orders (section 29) under the Mental Health Act for Māori, Pacific peoples and people of other ethnicities, 2009–2018</w:t>
      </w:r>
      <w:r>
        <w:rPr>
          <w:noProof/>
        </w:rPr>
        <w:tab/>
      </w:r>
      <w:r>
        <w:rPr>
          <w:noProof/>
        </w:rPr>
        <w:fldChar w:fldCharType="begin"/>
      </w:r>
      <w:r>
        <w:rPr>
          <w:noProof/>
        </w:rPr>
        <w:instrText xml:space="preserve"> PAGEREF _Toc88561391 \h </w:instrText>
      </w:r>
      <w:r>
        <w:rPr>
          <w:noProof/>
        </w:rPr>
      </w:r>
      <w:r>
        <w:rPr>
          <w:noProof/>
        </w:rPr>
        <w:fldChar w:fldCharType="separate"/>
      </w:r>
      <w:r w:rsidR="00840F18">
        <w:rPr>
          <w:noProof/>
        </w:rPr>
        <w:t>14</w:t>
      </w:r>
      <w:r>
        <w:rPr>
          <w:noProof/>
        </w:rPr>
        <w:fldChar w:fldCharType="end"/>
      </w:r>
    </w:p>
    <w:p w14:paraId="43DFF896" w14:textId="70837944" w:rsidR="00363B3A" w:rsidRDefault="00363B3A">
      <w:pPr>
        <w:pStyle w:val="TOC3"/>
        <w:rPr>
          <w:rFonts w:asciiTheme="minorHAnsi" w:eastAsiaTheme="minorEastAsia" w:hAnsiTheme="minorHAnsi" w:cstheme="minorBidi"/>
          <w:noProof/>
          <w:sz w:val="22"/>
          <w:szCs w:val="22"/>
          <w:lang w:eastAsia="en-NZ"/>
        </w:rPr>
      </w:pPr>
      <w:r>
        <w:rPr>
          <w:noProof/>
        </w:rPr>
        <w:t>Figure 11:</w:t>
      </w:r>
      <w:r>
        <w:rPr>
          <w:noProof/>
        </w:rPr>
        <w:tab/>
        <w:t>Length of time spent subject to inpatient orders (section 30) under the Mental Health Act for Māori, Pacific peoples and people of other ethnicities, 2009–2018</w:t>
      </w:r>
      <w:r>
        <w:rPr>
          <w:noProof/>
        </w:rPr>
        <w:tab/>
      </w:r>
      <w:r>
        <w:rPr>
          <w:noProof/>
        </w:rPr>
        <w:fldChar w:fldCharType="begin"/>
      </w:r>
      <w:r>
        <w:rPr>
          <w:noProof/>
        </w:rPr>
        <w:instrText xml:space="preserve"> PAGEREF _Toc88561392 \h </w:instrText>
      </w:r>
      <w:r>
        <w:rPr>
          <w:noProof/>
        </w:rPr>
      </w:r>
      <w:r>
        <w:rPr>
          <w:noProof/>
        </w:rPr>
        <w:fldChar w:fldCharType="separate"/>
      </w:r>
      <w:r w:rsidR="00840F18">
        <w:rPr>
          <w:noProof/>
        </w:rPr>
        <w:t>14</w:t>
      </w:r>
      <w:r>
        <w:rPr>
          <w:noProof/>
        </w:rPr>
        <w:fldChar w:fldCharType="end"/>
      </w:r>
    </w:p>
    <w:p w14:paraId="025069E6" w14:textId="0E57348E" w:rsidR="00363B3A" w:rsidRDefault="00363B3A">
      <w:pPr>
        <w:pStyle w:val="TOC3"/>
        <w:rPr>
          <w:rFonts w:asciiTheme="minorHAnsi" w:eastAsiaTheme="minorEastAsia" w:hAnsiTheme="minorHAnsi" w:cstheme="minorBidi"/>
          <w:noProof/>
          <w:sz w:val="22"/>
          <w:szCs w:val="22"/>
          <w:lang w:eastAsia="en-NZ"/>
        </w:rPr>
      </w:pPr>
      <w:r>
        <w:rPr>
          <w:noProof/>
        </w:rPr>
        <w:t>Figure 12:</w:t>
      </w:r>
      <w:r>
        <w:rPr>
          <w:noProof/>
        </w:rPr>
        <w:tab/>
        <w:t>Rate ratio of Māori to non-Māori subject to indefinite community treatment orders per 100,000 population, by DHB, 1 January to 31</w:t>
      </w:r>
      <w:r w:rsidR="005C4994">
        <w:rPr>
          <w:noProof/>
        </w:rPr>
        <w:t> </w:t>
      </w:r>
      <w:r>
        <w:rPr>
          <w:noProof/>
        </w:rPr>
        <w:t>December 2020</w:t>
      </w:r>
      <w:r>
        <w:rPr>
          <w:noProof/>
        </w:rPr>
        <w:tab/>
      </w:r>
      <w:r>
        <w:rPr>
          <w:noProof/>
        </w:rPr>
        <w:fldChar w:fldCharType="begin"/>
      </w:r>
      <w:r>
        <w:rPr>
          <w:noProof/>
        </w:rPr>
        <w:instrText xml:space="preserve"> PAGEREF _Toc88561393 \h </w:instrText>
      </w:r>
      <w:r>
        <w:rPr>
          <w:noProof/>
        </w:rPr>
      </w:r>
      <w:r>
        <w:rPr>
          <w:noProof/>
        </w:rPr>
        <w:fldChar w:fldCharType="separate"/>
      </w:r>
      <w:r w:rsidR="00840F18">
        <w:rPr>
          <w:noProof/>
        </w:rPr>
        <w:t>15</w:t>
      </w:r>
      <w:r>
        <w:rPr>
          <w:noProof/>
        </w:rPr>
        <w:fldChar w:fldCharType="end"/>
      </w:r>
    </w:p>
    <w:p w14:paraId="61FB5ECA" w14:textId="716E3B84" w:rsidR="00363B3A" w:rsidRDefault="00363B3A">
      <w:pPr>
        <w:pStyle w:val="TOC3"/>
        <w:rPr>
          <w:rFonts w:asciiTheme="minorHAnsi" w:eastAsiaTheme="minorEastAsia" w:hAnsiTheme="minorHAnsi" w:cstheme="minorBidi"/>
          <w:noProof/>
          <w:sz w:val="22"/>
          <w:szCs w:val="22"/>
          <w:lang w:eastAsia="en-NZ"/>
        </w:rPr>
      </w:pPr>
      <w:r>
        <w:rPr>
          <w:noProof/>
        </w:rPr>
        <w:t>Figure 13:</w:t>
      </w:r>
      <w:r>
        <w:rPr>
          <w:noProof/>
        </w:rPr>
        <w:tab/>
        <w:t>Rate ratio of Māori to non-Māori subject to indefinite inpatient treatment orders per 100,000 population, by DHB, 1 January to 31</w:t>
      </w:r>
      <w:r w:rsidR="005C4994">
        <w:rPr>
          <w:noProof/>
        </w:rPr>
        <w:t> </w:t>
      </w:r>
      <w:r>
        <w:rPr>
          <w:noProof/>
        </w:rPr>
        <w:t>December 2020</w:t>
      </w:r>
      <w:r>
        <w:rPr>
          <w:noProof/>
        </w:rPr>
        <w:tab/>
      </w:r>
      <w:r>
        <w:rPr>
          <w:noProof/>
        </w:rPr>
        <w:fldChar w:fldCharType="begin"/>
      </w:r>
      <w:r>
        <w:rPr>
          <w:noProof/>
        </w:rPr>
        <w:instrText xml:space="preserve"> PAGEREF _Toc88561394 \h </w:instrText>
      </w:r>
      <w:r>
        <w:rPr>
          <w:noProof/>
        </w:rPr>
      </w:r>
      <w:r>
        <w:rPr>
          <w:noProof/>
        </w:rPr>
        <w:fldChar w:fldCharType="separate"/>
      </w:r>
      <w:r w:rsidR="00840F18">
        <w:rPr>
          <w:noProof/>
        </w:rPr>
        <w:t>16</w:t>
      </w:r>
      <w:r>
        <w:rPr>
          <w:noProof/>
        </w:rPr>
        <w:fldChar w:fldCharType="end"/>
      </w:r>
    </w:p>
    <w:p w14:paraId="03705B1B" w14:textId="48E6955D" w:rsidR="00363B3A" w:rsidRDefault="00363B3A">
      <w:pPr>
        <w:pStyle w:val="TOC3"/>
        <w:rPr>
          <w:rFonts w:asciiTheme="minorHAnsi" w:eastAsiaTheme="minorEastAsia" w:hAnsiTheme="minorHAnsi" w:cstheme="minorBidi"/>
          <w:noProof/>
          <w:sz w:val="22"/>
          <w:szCs w:val="22"/>
          <w:lang w:eastAsia="en-NZ"/>
        </w:rPr>
      </w:pPr>
      <w:r>
        <w:rPr>
          <w:noProof/>
        </w:rPr>
        <w:t>Figure 14:</w:t>
      </w:r>
      <w:r>
        <w:rPr>
          <w:noProof/>
        </w:rPr>
        <w:tab/>
        <w:t>Average national percentage of family/whānau consultation for particular assessment/treatment events, sections 10, 12, 14 and 76, 1</w:t>
      </w:r>
      <w:r w:rsidR="005C4994">
        <w:rPr>
          <w:noProof/>
        </w:rPr>
        <w:t> </w:t>
      </w:r>
      <w:r>
        <w:rPr>
          <w:noProof/>
        </w:rPr>
        <w:t>January to 31 December 2020</w:t>
      </w:r>
      <w:r>
        <w:rPr>
          <w:noProof/>
        </w:rPr>
        <w:tab/>
      </w:r>
      <w:r>
        <w:rPr>
          <w:noProof/>
        </w:rPr>
        <w:fldChar w:fldCharType="begin"/>
      </w:r>
      <w:r>
        <w:rPr>
          <w:noProof/>
        </w:rPr>
        <w:instrText xml:space="preserve"> PAGEREF _Toc88561395 \h </w:instrText>
      </w:r>
      <w:r>
        <w:rPr>
          <w:noProof/>
        </w:rPr>
      </w:r>
      <w:r>
        <w:rPr>
          <w:noProof/>
        </w:rPr>
        <w:fldChar w:fldCharType="separate"/>
      </w:r>
      <w:r w:rsidR="00840F18">
        <w:rPr>
          <w:noProof/>
        </w:rPr>
        <w:t>17</w:t>
      </w:r>
      <w:r>
        <w:rPr>
          <w:noProof/>
        </w:rPr>
        <w:fldChar w:fldCharType="end"/>
      </w:r>
    </w:p>
    <w:p w14:paraId="0863DE9F" w14:textId="14E98976" w:rsidR="00363B3A" w:rsidRDefault="00363B3A" w:rsidP="005C4994">
      <w:pPr>
        <w:pStyle w:val="TOC3"/>
        <w:keepNext/>
        <w:rPr>
          <w:rFonts w:asciiTheme="minorHAnsi" w:eastAsiaTheme="minorEastAsia" w:hAnsiTheme="minorHAnsi" w:cstheme="minorBidi"/>
          <w:noProof/>
          <w:sz w:val="22"/>
          <w:szCs w:val="22"/>
          <w:lang w:eastAsia="en-NZ"/>
        </w:rPr>
      </w:pPr>
      <w:r>
        <w:rPr>
          <w:noProof/>
        </w:rPr>
        <w:t>Figure 15:</w:t>
      </w:r>
      <w:r>
        <w:rPr>
          <w:noProof/>
        </w:rPr>
        <w:tab/>
        <w:t>Average percentage of family/whānau consultation across all assessment/treatment events, by DHB, 1 January to 31 December 2020</w:t>
      </w:r>
      <w:r>
        <w:rPr>
          <w:noProof/>
        </w:rPr>
        <w:tab/>
      </w:r>
      <w:r>
        <w:rPr>
          <w:noProof/>
        </w:rPr>
        <w:fldChar w:fldCharType="begin"/>
      </w:r>
      <w:r>
        <w:rPr>
          <w:noProof/>
        </w:rPr>
        <w:instrText xml:space="preserve"> PAGEREF _Toc88561396 \h </w:instrText>
      </w:r>
      <w:r>
        <w:rPr>
          <w:noProof/>
        </w:rPr>
      </w:r>
      <w:r>
        <w:rPr>
          <w:noProof/>
        </w:rPr>
        <w:fldChar w:fldCharType="separate"/>
      </w:r>
      <w:r w:rsidR="00840F18">
        <w:rPr>
          <w:noProof/>
        </w:rPr>
        <w:t>18</w:t>
      </w:r>
      <w:r>
        <w:rPr>
          <w:noProof/>
        </w:rPr>
        <w:fldChar w:fldCharType="end"/>
      </w:r>
    </w:p>
    <w:p w14:paraId="7A603BFF" w14:textId="030ED9B5" w:rsidR="00363B3A" w:rsidRDefault="00363B3A">
      <w:pPr>
        <w:pStyle w:val="TOC3"/>
        <w:rPr>
          <w:rFonts w:asciiTheme="minorHAnsi" w:eastAsiaTheme="minorEastAsia" w:hAnsiTheme="minorHAnsi" w:cstheme="minorBidi"/>
          <w:noProof/>
          <w:sz w:val="22"/>
          <w:szCs w:val="22"/>
          <w:lang w:eastAsia="en-NZ"/>
        </w:rPr>
      </w:pPr>
      <w:r>
        <w:rPr>
          <w:noProof/>
        </w:rPr>
        <w:t>Figure 16:</w:t>
      </w:r>
      <w:r>
        <w:rPr>
          <w:noProof/>
        </w:rPr>
        <w:tab/>
        <w:t>Reasons for not consulting families and whānau, 1 January to 31 December 2020</w:t>
      </w:r>
      <w:r>
        <w:rPr>
          <w:noProof/>
        </w:rPr>
        <w:tab/>
      </w:r>
      <w:r>
        <w:rPr>
          <w:noProof/>
        </w:rPr>
        <w:fldChar w:fldCharType="begin"/>
      </w:r>
      <w:r>
        <w:rPr>
          <w:noProof/>
        </w:rPr>
        <w:instrText xml:space="preserve"> PAGEREF _Toc88561397 \h </w:instrText>
      </w:r>
      <w:r>
        <w:rPr>
          <w:noProof/>
        </w:rPr>
      </w:r>
      <w:r>
        <w:rPr>
          <w:noProof/>
        </w:rPr>
        <w:fldChar w:fldCharType="separate"/>
      </w:r>
      <w:r w:rsidR="00840F18">
        <w:rPr>
          <w:noProof/>
        </w:rPr>
        <w:t>18</w:t>
      </w:r>
      <w:r>
        <w:rPr>
          <w:noProof/>
        </w:rPr>
        <w:fldChar w:fldCharType="end"/>
      </w:r>
    </w:p>
    <w:p w14:paraId="58EA955B" w14:textId="24CE1BD8" w:rsidR="00363B3A" w:rsidRDefault="00363B3A">
      <w:pPr>
        <w:pStyle w:val="TOC3"/>
        <w:rPr>
          <w:rFonts w:asciiTheme="minorHAnsi" w:eastAsiaTheme="minorEastAsia" w:hAnsiTheme="minorHAnsi" w:cstheme="minorBidi"/>
          <w:noProof/>
          <w:sz w:val="22"/>
          <w:szCs w:val="22"/>
          <w:lang w:eastAsia="en-NZ"/>
        </w:rPr>
      </w:pPr>
      <w:r>
        <w:rPr>
          <w:noProof/>
        </w:rPr>
        <w:t>Figure 17:</w:t>
      </w:r>
      <w:r>
        <w:rPr>
          <w:noProof/>
        </w:rPr>
        <w:tab/>
        <w:t>Number of people subject to indefinite community treatment orders per 100,000 population, by DHB, orders open at 31 December 2020</w:t>
      </w:r>
      <w:r>
        <w:rPr>
          <w:noProof/>
        </w:rPr>
        <w:tab/>
      </w:r>
      <w:r>
        <w:rPr>
          <w:noProof/>
        </w:rPr>
        <w:fldChar w:fldCharType="begin"/>
      </w:r>
      <w:r>
        <w:rPr>
          <w:noProof/>
        </w:rPr>
        <w:instrText xml:space="preserve"> PAGEREF _Toc88561398 \h </w:instrText>
      </w:r>
      <w:r>
        <w:rPr>
          <w:noProof/>
        </w:rPr>
      </w:r>
      <w:r>
        <w:rPr>
          <w:noProof/>
        </w:rPr>
        <w:fldChar w:fldCharType="separate"/>
      </w:r>
      <w:r w:rsidR="00840F18">
        <w:rPr>
          <w:noProof/>
        </w:rPr>
        <w:t>20</w:t>
      </w:r>
      <w:r>
        <w:rPr>
          <w:noProof/>
        </w:rPr>
        <w:fldChar w:fldCharType="end"/>
      </w:r>
    </w:p>
    <w:p w14:paraId="3A70974E" w14:textId="62BE1438" w:rsidR="00363B3A" w:rsidRDefault="00363B3A">
      <w:pPr>
        <w:pStyle w:val="TOC3"/>
        <w:rPr>
          <w:rFonts w:asciiTheme="minorHAnsi" w:eastAsiaTheme="minorEastAsia" w:hAnsiTheme="minorHAnsi" w:cstheme="minorBidi"/>
          <w:noProof/>
          <w:sz w:val="22"/>
          <w:szCs w:val="22"/>
          <w:lang w:eastAsia="en-NZ"/>
        </w:rPr>
      </w:pPr>
      <w:r>
        <w:rPr>
          <w:noProof/>
        </w:rPr>
        <w:t>Figure 18:</w:t>
      </w:r>
      <w:r>
        <w:rPr>
          <w:noProof/>
        </w:rPr>
        <w:tab/>
        <w:t>Rate ratio of Māori to non-Māori subject to indefinite community treatment orders per 100,000 population, orders open at 31</w:t>
      </w:r>
      <w:r w:rsidR="005C4994">
        <w:rPr>
          <w:noProof/>
        </w:rPr>
        <w:t> </w:t>
      </w:r>
      <w:r>
        <w:rPr>
          <w:noProof/>
        </w:rPr>
        <w:t>December 2020</w:t>
      </w:r>
      <w:r>
        <w:rPr>
          <w:noProof/>
        </w:rPr>
        <w:tab/>
      </w:r>
      <w:r>
        <w:rPr>
          <w:noProof/>
        </w:rPr>
        <w:fldChar w:fldCharType="begin"/>
      </w:r>
      <w:r>
        <w:rPr>
          <w:noProof/>
        </w:rPr>
        <w:instrText xml:space="preserve"> PAGEREF _Toc88561399 \h </w:instrText>
      </w:r>
      <w:r>
        <w:rPr>
          <w:noProof/>
        </w:rPr>
      </w:r>
      <w:r>
        <w:rPr>
          <w:noProof/>
        </w:rPr>
        <w:fldChar w:fldCharType="separate"/>
      </w:r>
      <w:r w:rsidR="00840F18">
        <w:rPr>
          <w:noProof/>
        </w:rPr>
        <w:t>21</w:t>
      </w:r>
      <w:r>
        <w:rPr>
          <w:noProof/>
        </w:rPr>
        <w:fldChar w:fldCharType="end"/>
      </w:r>
    </w:p>
    <w:p w14:paraId="0C695D9C" w14:textId="629384A3" w:rsidR="00363B3A" w:rsidRDefault="00363B3A">
      <w:pPr>
        <w:pStyle w:val="TOC3"/>
        <w:rPr>
          <w:rFonts w:asciiTheme="minorHAnsi" w:eastAsiaTheme="minorEastAsia" w:hAnsiTheme="minorHAnsi" w:cstheme="minorBidi"/>
          <w:noProof/>
          <w:sz w:val="22"/>
          <w:szCs w:val="22"/>
          <w:lang w:eastAsia="en-NZ"/>
        </w:rPr>
      </w:pPr>
      <w:r>
        <w:rPr>
          <w:noProof/>
        </w:rPr>
        <w:lastRenderedPageBreak/>
        <w:t>Figure 19:</w:t>
      </w:r>
      <w:r>
        <w:rPr>
          <w:noProof/>
        </w:rPr>
        <w:tab/>
        <w:t>Number of people subject to indefinite community treatment orders, by sex, 1 January to 31 December 2020</w:t>
      </w:r>
      <w:r>
        <w:rPr>
          <w:noProof/>
        </w:rPr>
        <w:tab/>
      </w:r>
      <w:r>
        <w:rPr>
          <w:noProof/>
        </w:rPr>
        <w:fldChar w:fldCharType="begin"/>
      </w:r>
      <w:r>
        <w:rPr>
          <w:noProof/>
        </w:rPr>
        <w:instrText xml:space="preserve"> PAGEREF _Toc88561400 \h </w:instrText>
      </w:r>
      <w:r>
        <w:rPr>
          <w:noProof/>
        </w:rPr>
      </w:r>
      <w:r>
        <w:rPr>
          <w:noProof/>
        </w:rPr>
        <w:fldChar w:fldCharType="separate"/>
      </w:r>
      <w:r w:rsidR="00840F18">
        <w:rPr>
          <w:noProof/>
        </w:rPr>
        <w:t>22</w:t>
      </w:r>
      <w:r>
        <w:rPr>
          <w:noProof/>
        </w:rPr>
        <w:fldChar w:fldCharType="end"/>
      </w:r>
    </w:p>
    <w:p w14:paraId="4138EE15" w14:textId="4FDF5AE8" w:rsidR="00363B3A" w:rsidRDefault="00363B3A">
      <w:pPr>
        <w:pStyle w:val="TOC3"/>
        <w:rPr>
          <w:rFonts w:asciiTheme="minorHAnsi" w:eastAsiaTheme="minorEastAsia" w:hAnsiTheme="minorHAnsi" w:cstheme="minorBidi"/>
          <w:noProof/>
          <w:sz w:val="22"/>
          <w:szCs w:val="22"/>
          <w:lang w:eastAsia="en-NZ"/>
        </w:rPr>
      </w:pPr>
      <w:r>
        <w:rPr>
          <w:noProof/>
        </w:rPr>
        <w:t>Figure 20:</w:t>
      </w:r>
      <w:r>
        <w:rPr>
          <w:noProof/>
        </w:rPr>
        <w:tab/>
        <w:t>Number of people subject to indefinite inpatient treatment orders per 100,000 population, by DHB, 1 January to 31 December 2020</w:t>
      </w:r>
      <w:r>
        <w:rPr>
          <w:noProof/>
        </w:rPr>
        <w:tab/>
      </w:r>
      <w:r>
        <w:rPr>
          <w:noProof/>
        </w:rPr>
        <w:fldChar w:fldCharType="begin"/>
      </w:r>
      <w:r>
        <w:rPr>
          <w:noProof/>
        </w:rPr>
        <w:instrText xml:space="preserve"> PAGEREF _Toc88561401 \h </w:instrText>
      </w:r>
      <w:r>
        <w:rPr>
          <w:noProof/>
        </w:rPr>
      </w:r>
      <w:r>
        <w:rPr>
          <w:noProof/>
        </w:rPr>
        <w:fldChar w:fldCharType="separate"/>
      </w:r>
      <w:r w:rsidR="00840F18">
        <w:rPr>
          <w:noProof/>
        </w:rPr>
        <w:t>23</w:t>
      </w:r>
      <w:r>
        <w:rPr>
          <w:noProof/>
        </w:rPr>
        <w:fldChar w:fldCharType="end"/>
      </w:r>
    </w:p>
    <w:p w14:paraId="40126F40" w14:textId="4D5F956B" w:rsidR="00363B3A" w:rsidRDefault="00363B3A">
      <w:pPr>
        <w:pStyle w:val="TOC3"/>
        <w:rPr>
          <w:rFonts w:asciiTheme="minorHAnsi" w:eastAsiaTheme="minorEastAsia" w:hAnsiTheme="minorHAnsi" w:cstheme="minorBidi"/>
          <w:noProof/>
          <w:sz w:val="22"/>
          <w:szCs w:val="22"/>
          <w:lang w:eastAsia="en-NZ"/>
        </w:rPr>
      </w:pPr>
      <w:r>
        <w:rPr>
          <w:noProof/>
        </w:rPr>
        <w:t>Figure 21:</w:t>
      </w:r>
      <w:r>
        <w:rPr>
          <w:noProof/>
        </w:rPr>
        <w:tab/>
        <w:t>Rate ratio of Māori to non-Māori subject to indefinite inpatient treatment orders per 100,000 population, orders open at 31</w:t>
      </w:r>
      <w:r w:rsidR="005C4994">
        <w:rPr>
          <w:noProof/>
        </w:rPr>
        <w:t> </w:t>
      </w:r>
      <w:r>
        <w:rPr>
          <w:noProof/>
        </w:rPr>
        <w:t>December 2020</w:t>
      </w:r>
      <w:r>
        <w:rPr>
          <w:noProof/>
        </w:rPr>
        <w:tab/>
      </w:r>
      <w:r>
        <w:rPr>
          <w:noProof/>
        </w:rPr>
        <w:fldChar w:fldCharType="begin"/>
      </w:r>
      <w:r>
        <w:rPr>
          <w:noProof/>
        </w:rPr>
        <w:instrText xml:space="preserve"> PAGEREF _Toc88561402 \h </w:instrText>
      </w:r>
      <w:r>
        <w:rPr>
          <w:noProof/>
        </w:rPr>
      </w:r>
      <w:r>
        <w:rPr>
          <w:noProof/>
        </w:rPr>
        <w:fldChar w:fldCharType="separate"/>
      </w:r>
      <w:r w:rsidR="00840F18">
        <w:rPr>
          <w:noProof/>
        </w:rPr>
        <w:t>24</w:t>
      </w:r>
      <w:r>
        <w:rPr>
          <w:noProof/>
        </w:rPr>
        <w:fldChar w:fldCharType="end"/>
      </w:r>
    </w:p>
    <w:p w14:paraId="1E42B901" w14:textId="3A5BED7F" w:rsidR="00363B3A" w:rsidRDefault="00363B3A">
      <w:pPr>
        <w:pStyle w:val="TOC3"/>
        <w:rPr>
          <w:rFonts w:asciiTheme="minorHAnsi" w:eastAsiaTheme="minorEastAsia" w:hAnsiTheme="minorHAnsi" w:cstheme="minorBidi"/>
          <w:noProof/>
          <w:sz w:val="22"/>
          <w:szCs w:val="22"/>
          <w:lang w:eastAsia="en-NZ"/>
        </w:rPr>
      </w:pPr>
      <w:r>
        <w:rPr>
          <w:noProof/>
        </w:rPr>
        <w:t>Figure 22:</w:t>
      </w:r>
      <w:r>
        <w:rPr>
          <w:noProof/>
        </w:rPr>
        <w:tab/>
        <w:t>Number of people subject to indefinite inpatient treatment orders, by sex, 1 January to 31 December 2020</w:t>
      </w:r>
      <w:r>
        <w:rPr>
          <w:noProof/>
        </w:rPr>
        <w:tab/>
      </w:r>
      <w:r>
        <w:rPr>
          <w:noProof/>
        </w:rPr>
        <w:fldChar w:fldCharType="begin"/>
      </w:r>
      <w:r>
        <w:rPr>
          <w:noProof/>
        </w:rPr>
        <w:instrText xml:space="preserve"> PAGEREF _Toc88561403 \h </w:instrText>
      </w:r>
      <w:r>
        <w:rPr>
          <w:noProof/>
        </w:rPr>
      </w:r>
      <w:r>
        <w:rPr>
          <w:noProof/>
        </w:rPr>
        <w:fldChar w:fldCharType="separate"/>
      </w:r>
      <w:r w:rsidR="00840F18">
        <w:rPr>
          <w:noProof/>
        </w:rPr>
        <w:t>25</w:t>
      </w:r>
      <w:r>
        <w:rPr>
          <w:noProof/>
        </w:rPr>
        <w:fldChar w:fldCharType="end"/>
      </w:r>
    </w:p>
    <w:p w14:paraId="00C00B2C" w14:textId="33D4A02F" w:rsidR="00363B3A" w:rsidRDefault="00363B3A">
      <w:pPr>
        <w:pStyle w:val="TOC3"/>
        <w:rPr>
          <w:rFonts w:asciiTheme="minorHAnsi" w:eastAsiaTheme="minorEastAsia" w:hAnsiTheme="minorHAnsi" w:cstheme="minorBidi"/>
          <w:noProof/>
          <w:sz w:val="22"/>
          <w:szCs w:val="22"/>
          <w:lang w:eastAsia="en-NZ"/>
        </w:rPr>
      </w:pPr>
      <w:r>
        <w:rPr>
          <w:noProof/>
        </w:rPr>
        <w:t>Figure 23:</w:t>
      </w:r>
      <w:r>
        <w:rPr>
          <w:noProof/>
        </w:rPr>
        <w:tab/>
        <w:t>Number of people secluded in adult inpatient services nationally, 2007–2020</w:t>
      </w:r>
      <w:r>
        <w:rPr>
          <w:noProof/>
        </w:rPr>
        <w:tab/>
      </w:r>
      <w:r>
        <w:rPr>
          <w:noProof/>
        </w:rPr>
        <w:fldChar w:fldCharType="begin"/>
      </w:r>
      <w:r>
        <w:rPr>
          <w:noProof/>
        </w:rPr>
        <w:instrText xml:space="preserve"> PAGEREF _Toc88561404 \h </w:instrText>
      </w:r>
      <w:r>
        <w:rPr>
          <w:noProof/>
        </w:rPr>
      </w:r>
      <w:r>
        <w:rPr>
          <w:noProof/>
        </w:rPr>
        <w:fldChar w:fldCharType="separate"/>
      </w:r>
      <w:r w:rsidR="00840F18">
        <w:rPr>
          <w:noProof/>
        </w:rPr>
        <w:t>27</w:t>
      </w:r>
      <w:r>
        <w:rPr>
          <w:noProof/>
        </w:rPr>
        <w:fldChar w:fldCharType="end"/>
      </w:r>
    </w:p>
    <w:p w14:paraId="6279461D" w14:textId="6FB5694D" w:rsidR="00363B3A" w:rsidRDefault="00363B3A">
      <w:pPr>
        <w:pStyle w:val="TOC3"/>
        <w:rPr>
          <w:rFonts w:asciiTheme="minorHAnsi" w:eastAsiaTheme="minorEastAsia" w:hAnsiTheme="minorHAnsi" w:cstheme="minorBidi"/>
          <w:noProof/>
          <w:sz w:val="22"/>
          <w:szCs w:val="22"/>
          <w:lang w:eastAsia="en-NZ"/>
        </w:rPr>
      </w:pPr>
      <w:r>
        <w:rPr>
          <w:noProof/>
        </w:rPr>
        <w:t>Figure 24:</w:t>
      </w:r>
      <w:r>
        <w:rPr>
          <w:noProof/>
        </w:rPr>
        <w:tab/>
        <w:t>Total number of seclusion hours in adult inpatient services nationally, 2007–2020</w:t>
      </w:r>
      <w:r>
        <w:rPr>
          <w:noProof/>
        </w:rPr>
        <w:tab/>
      </w:r>
      <w:r>
        <w:rPr>
          <w:noProof/>
        </w:rPr>
        <w:fldChar w:fldCharType="begin"/>
      </w:r>
      <w:r>
        <w:rPr>
          <w:noProof/>
        </w:rPr>
        <w:instrText xml:space="preserve"> PAGEREF _Toc88561405 \h </w:instrText>
      </w:r>
      <w:r>
        <w:rPr>
          <w:noProof/>
        </w:rPr>
      </w:r>
      <w:r>
        <w:rPr>
          <w:noProof/>
        </w:rPr>
        <w:fldChar w:fldCharType="separate"/>
      </w:r>
      <w:r w:rsidR="00840F18">
        <w:rPr>
          <w:noProof/>
        </w:rPr>
        <w:t>27</w:t>
      </w:r>
      <w:r>
        <w:rPr>
          <w:noProof/>
        </w:rPr>
        <w:fldChar w:fldCharType="end"/>
      </w:r>
    </w:p>
    <w:p w14:paraId="6183AA0A" w14:textId="0F54C6CB" w:rsidR="00363B3A" w:rsidRDefault="00363B3A">
      <w:pPr>
        <w:pStyle w:val="TOC3"/>
        <w:rPr>
          <w:rFonts w:asciiTheme="minorHAnsi" w:eastAsiaTheme="minorEastAsia" w:hAnsiTheme="minorHAnsi" w:cstheme="minorBidi"/>
          <w:noProof/>
          <w:sz w:val="22"/>
          <w:szCs w:val="22"/>
          <w:lang w:eastAsia="en-NZ"/>
        </w:rPr>
      </w:pPr>
      <w:r>
        <w:rPr>
          <w:noProof/>
        </w:rPr>
        <w:t>Figure 25:</w:t>
      </w:r>
      <w:r>
        <w:rPr>
          <w:noProof/>
        </w:rPr>
        <w:tab/>
        <w:t>Number of people secluded across all inpatient services (adult, forensic, intellectual disability and youth), by age group, 1 January to 31 December 2020</w:t>
      </w:r>
      <w:r>
        <w:rPr>
          <w:noProof/>
        </w:rPr>
        <w:tab/>
      </w:r>
      <w:r>
        <w:rPr>
          <w:noProof/>
        </w:rPr>
        <w:fldChar w:fldCharType="begin"/>
      </w:r>
      <w:r>
        <w:rPr>
          <w:noProof/>
        </w:rPr>
        <w:instrText xml:space="preserve"> PAGEREF _Toc88561406 \h </w:instrText>
      </w:r>
      <w:r>
        <w:rPr>
          <w:noProof/>
        </w:rPr>
      </w:r>
      <w:r>
        <w:rPr>
          <w:noProof/>
        </w:rPr>
        <w:fldChar w:fldCharType="separate"/>
      </w:r>
      <w:r w:rsidR="00840F18">
        <w:rPr>
          <w:noProof/>
        </w:rPr>
        <w:t>28</w:t>
      </w:r>
      <w:r>
        <w:rPr>
          <w:noProof/>
        </w:rPr>
        <w:fldChar w:fldCharType="end"/>
      </w:r>
    </w:p>
    <w:p w14:paraId="131F2F55" w14:textId="390BC168" w:rsidR="00363B3A" w:rsidRDefault="00363B3A">
      <w:pPr>
        <w:pStyle w:val="TOC3"/>
        <w:rPr>
          <w:rFonts w:asciiTheme="minorHAnsi" w:eastAsiaTheme="minorEastAsia" w:hAnsiTheme="minorHAnsi" w:cstheme="minorBidi"/>
          <w:noProof/>
          <w:sz w:val="22"/>
          <w:szCs w:val="22"/>
          <w:lang w:eastAsia="en-NZ"/>
        </w:rPr>
      </w:pPr>
      <w:r>
        <w:rPr>
          <w:noProof/>
        </w:rPr>
        <w:t>Figure 26:</w:t>
      </w:r>
      <w:r>
        <w:rPr>
          <w:noProof/>
        </w:rPr>
        <w:tab/>
        <w:t>Number of seclusion events across all inpatient services (adult, forensic, intellectual disability and youth), by duration of event, 1</w:t>
      </w:r>
      <w:r w:rsidR="005C4994">
        <w:rPr>
          <w:noProof/>
        </w:rPr>
        <w:t> </w:t>
      </w:r>
      <w:r>
        <w:rPr>
          <w:noProof/>
        </w:rPr>
        <w:t>January to 31 December 2020</w:t>
      </w:r>
      <w:r>
        <w:rPr>
          <w:noProof/>
        </w:rPr>
        <w:tab/>
      </w:r>
      <w:r>
        <w:rPr>
          <w:noProof/>
        </w:rPr>
        <w:fldChar w:fldCharType="begin"/>
      </w:r>
      <w:r>
        <w:rPr>
          <w:noProof/>
        </w:rPr>
        <w:instrText xml:space="preserve"> PAGEREF _Toc88561407 \h </w:instrText>
      </w:r>
      <w:r>
        <w:rPr>
          <w:noProof/>
        </w:rPr>
      </w:r>
      <w:r>
        <w:rPr>
          <w:noProof/>
        </w:rPr>
        <w:fldChar w:fldCharType="separate"/>
      </w:r>
      <w:r w:rsidR="00840F18">
        <w:rPr>
          <w:noProof/>
        </w:rPr>
        <w:t>29</w:t>
      </w:r>
      <w:r>
        <w:rPr>
          <w:noProof/>
        </w:rPr>
        <w:fldChar w:fldCharType="end"/>
      </w:r>
    </w:p>
    <w:p w14:paraId="2E67805C" w14:textId="238AE2DC" w:rsidR="00363B3A" w:rsidRDefault="00363B3A">
      <w:pPr>
        <w:pStyle w:val="TOC3"/>
        <w:rPr>
          <w:rFonts w:asciiTheme="minorHAnsi" w:eastAsiaTheme="minorEastAsia" w:hAnsiTheme="minorHAnsi" w:cstheme="minorBidi"/>
          <w:noProof/>
          <w:sz w:val="22"/>
          <w:szCs w:val="22"/>
          <w:lang w:eastAsia="en-NZ"/>
        </w:rPr>
      </w:pPr>
      <w:r>
        <w:rPr>
          <w:noProof/>
        </w:rPr>
        <w:t>Figure 27:</w:t>
      </w:r>
      <w:r>
        <w:rPr>
          <w:noProof/>
        </w:rPr>
        <w:tab/>
        <w:t>Number of people secluded in adult inpatient services per 100,000 population, by DHB, 1 January to 31 December 2020</w:t>
      </w:r>
      <w:r>
        <w:rPr>
          <w:noProof/>
        </w:rPr>
        <w:tab/>
      </w:r>
      <w:r>
        <w:rPr>
          <w:noProof/>
        </w:rPr>
        <w:fldChar w:fldCharType="begin"/>
      </w:r>
      <w:r>
        <w:rPr>
          <w:noProof/>
        </w:rPr>
        <w:instrText xml:space="preserve"> PAGEREF _Toc88561408 \h </w:instrText>
      </w:r>
      <w:r>
        <w:rPr>
          <w:noProof/>
        </w:rPr>
      </w:r>
      <w:r>
        <w:rPr>
          <w:noProof/>
        </w:rPr>
        <w:fldChar w:fldCharType="separate"/>
      </w:r>
      <w:r w:rsidR="00840F18">
        <w:rPr>
          <w:noProof/>
        </w:rPr>
        <w:t>30</w:t>
      </w:r>
      <w:r>
        <w:rPr>
          <w:noProof/>
        </w:rPr>
        <w:fldChar w:fldCharType="end"/>
      </w:r>
    </w:p>
    <w:p w14:paraId="53B410E7" w14:textId="51F4C079" w:rsidR="00363B3A" w:rsidRDefault="00363B3A">
      <w:pPr>
        <w:pStyle w:val="TOC3"/>
        <w:rPr>
          <w:rFonts w:asciiTheme="minorHAnsi" w:eastAsiaTheme="minorEastAsia" w:hAnsiTheme="minorHAnsi" w:cstheme="minorBidi"/>
          <w:noProof/>
          <w:sz w:val="22"/>
          <w:szCs w:val="22"/>
          <w:lang w:eastAsia="en-NZ"/>
        </w:rPr>
      </w:pPr>
      <w:r>
        <w:rPr>
          <w:noProof/>
        </w:rPr>
        <w:t>Figure 28:</w:t>
      </w:r>
      <w:r>
        <w:rPr>
          <w:noProof/>
        </w:rPr>
        <w:tab/>
        <w:t>Number of seclusion events in adult inpatient services per 100,000 population, by DHB, 1 January to 31 December 2020</w:t>
      </w:r>
      <w:r>
        <w:rPr>
          <w:noProof/>
        </w:rPr>
        <w:tab/>
      </w:r>
      <w:r>
        <w:rPr>
          <w:noProof/>
        </w:rPr>
        <w:fldChar w:fldCharType="begin"/>
      </w:r>
      <w:r>
        <w:rPr>
          <w:noProof/>
        </w:rPr>
        <w:instrText xml:space="preserve"> PAGEREF _Toc88561409 \h </w:instrText>
      </w:r>
      <w:r>
        <w:rPr>
          <w:noProof/>
        </w:rPr>
      </w:r>
      <w:r>
        <w:rPr>
          <w:noProof/>
        </w:rPr>
        <w:fldChar w:fldCharType="separate"/>
      </w:r>
      <w:r w:rsidR="00840F18">
        <w:rPr>
          <w:noProof/>
        </w:rPr>
        <w:t>31</w:t>
      </w:r>
      <w:r>
        <w:rPr>
          <w:noProof/>
        </w:rPr>
        <w:fldChar w:fldCharType="end"/>
      </w:r>
    </w:p>
    <w:p w14:paraId="3DF952B2" w14:textId="5D4B083B" w:rsidR="00363B3A" w:rsidRDefault="00363B3A">
      <w:pPr>
        <w:pStyle w:val="TOC3"/>
        <w:rPr>
          <w:rFonts w:asciiTheme="minorHAnsi" w:eastAsiaTheme="minorEastAsia" w:hAnsiTheme="minorHAnsi" w:cstheme="minorBidi"/>
          <w:noProof/>
          <w:sz w:val="22"/>
          <w:szCs w:val="22"/>
          <w:lang w:eastAsia="en-NZ"/>
        </w:rPr>
      </w:pPr>
      <w:r>
        <w:rPr>
          <w:noProof/>
        </w:rPr>
        <w:t>Figure 29:</w:t>
      </w:r>
      <w:r>
        <w:rPr>
          <w:noProof/>
        </w:rPr>
        <w:tab/>
        <w:t>Number of people secluded, by ethnicity, 1 January to 31 December 2020</w:t>
      </w:r>
      <w:r>
        <w:rPr>
          <w:noProof/>
        </w:rPr>
        <w:tab/>
      </w:r>
      <w:r>
        <w:rPr>
          <w:noProof/>
        </w:rPr>
        <w:fldChar w:fldCharType="begin"/>
      </w:r>
      <w:r>
        <w:rPr>
          <w:noProof/>
        </w:rPr>
        <w:instrText xml:space="preserve"> PAGEREF _Toc88561410 \h </w:instrText>
      </w:r>
      <w:r>
        <w:rPr>
          <w:noProof/>
        </w:rPr>
      </w:r>
      <w:r>
        <w:rPr>
          <w:noProof/>
        </w:rPr>
        <w:fldChar w:fldCharType="separate"/>
      </w:r>
      <w:r w:rsidR="00840F18">
        <w:rPr>
          <w:noProof/>
        </w:rPr>
        <w:t>32</w:t>
      </w:r>
      <w:r>
        <w:rPr>
          <w:noProof/>
        </w:rPr>
        <w:fldChar w:fldCharType="end"/>
      </w:r>
    </w:p>
    <w:p w14:paraId="20E65C45" w14:textId="4AC7594B" w:rsidR="00363B3A" w:rsidRDefault="00363B3A">
      <w:pPr>
        <w:pStyle w:val="TOC3"/>
        <w:rPr>
          <w:rFonts w:asciiTheme="minorHAnsi" w:eastAsiaTheme="minorEastAsia" w:hAnsiTheme="minorHAnsi" w:cstheme="minorBidi"/>
          <w:noProof/>
          <w:sz w:val="22"/>
          <w:szCs w:val="22"/>
          <w:lang w:eastAsia="en-NZ"/>
        </w:rPr>
      </w:pPr>
      <w:r>
        <w:rPr>
          <w:noProof/>
        </w:rPr>
        <w:t>Figure 30:</w:t>
      </w:r>
      <w:r>
        <w:rPr>
          <w:noProof/>
        </w:rPr>
        <w:tab/>
        <w:t>Seclusion indicators for adult inpatient services, Māori, Pacific peoples and other ethnicities, 1 January to 31 December 2020</w:t>
      </w:r>
      <w:r>
        <w:rPr>
          <w:noProof/>
        </w:rPr>
        <w:tab/>
      </w:r>
      <w:r>
        <w:rPr>
          <w:noProof/>
        </w:rPr>
        <w:fldChar w:fldCharType="begin"/>
      </w:r>
      <w:r>
        <w:rPr>
          <w:noProof/>
        </w:rPr>
        <w:instrText xml:space="preserve"> PAGEREF _Toc88561411 \h </w:instrText>
      </w:r>
      <w:r>
        <w:rPr>
          <w:noProof/>
        </w:rPr>
      </w:r>
      <w:r>
        <w:rPr>
          <w:noProof/>
        </w:rPr>
        <w:fldChar w:fldCharType="separate"/>
      </w:r>
      <w:r w:rsidR="00840F18">
        <w:rPr>
          <w:noProof/>
        </w:rPr>
        <w:t>33</w:t>
      </w:r>
      <w:r>
        <w:rPr>
          <w:noProof/>
        </w:rPr>
        <w:fldChar w:fldCharType="end"/>
      </w:r>
    </w:p>
    <w:p w14:paraId="406E823B" w14:textId="52EF9D15" w:rsidR="00363B3A" w:rsidRDefault="00363B3A">
      <w:pPr>
        <w:pStyle w:val="TOC3"/>
        <w:rPr>
          <w:rFonts w:asciiTheme="minorHAnsi" w:eastAsiaTheme="minorEastAsia" w:hAnsiTheme="minorHAnsi" w:cstheme="minorBidi"/>
          <w:noProof/>
          <w:sz w:val="22"/>
          <w:szCs w:val="22"/>
          <w:lang w:eastAsia="en-NZ"/>
        </w:rPr>
      </w:pPr>
      <w:r>
        <w:rPr>
          <w:noProof/>
        </w:rPr>
        <w:t>Figure 31:</w:t>
      </w:r>
      <w:r>
        <w:rPr>
          <w:noProof/>
        </w:rPr>
        <w:tab/>
        <w:t>Percentage of people with inpatient admissions that spent time in seclusion in adult inpatient services, Māori, Pacific peoples and other ethnicities, males and females, 1 January to 31 December 2020</w:t>
      </w:r>
      <w:r>
        <w:rPr>
          <w:noProof/>
        </w:rPr>
        <w:tab/>
      </w:r>
      <w:r>
        <w:rPr>
          <w:noProof/>
        </w:rPr>
        <w:fldChar w:fldCharType="begin"/>
      </w:r>
      <w:r>
        <w:rPr>
          <w:noProof/>
        </w:rPr>
        <w:instrText xml:space="preserve"> PAGEREF _Toc88561412 \h </w:instrText>
      </w:r>
      <w:r>
        <w:rPr>
          <w:noProof/>
        </w:rPr>
      </w:r>
      <w:r>
        <w:rPr>
          <w:noProof/>
        </w:rPr>
        <w:fldChar w:fldCharType="separate"/>
      </w:r>
      <w:r w:rsidR="00840F18">
        <w:rPr>
          <w:noProof/>
        </w:rPr>
        <w:t>33</w:t>
      </w:r>
      <w:r>
        <w:rPr>
          <w:noProof/>
        </w:rPr>
        <w:fldChar w:fldCharType="end"/>
      </w:r>
    </w:p>
    <w:p w14:paraId="6A86EFFE" w14:textId="7940C4D7" w:rsidR="00363B3A" w:rsidRDefault="00363B3A" w:rsidP="005C4994">
      <w:pPr>
        <w:pStyle w:val="TOC3"/>
        <w:keepNext/>
        <w:rPr>
          <w:rFonts w:asciiTheme="minorHAnsi" w:eastAsiaTheme="minorEastAsia" w:hAnsiTheme="minorHAnsi" w:cstheme="minorBidi"/>
          <w:noProof/>
          <w:sz w:val="22"/>
          <w:szCs w:val="22"/>
          <w:lang w:eastAsia="en-NZ"/>
        </w:rPr>
      </w:pPr>
      <w:r>
        <w:rPr>
          <w:noProof/>
        </w:rPr>
        <w:t>Figure 32:</w:t>
      </w:r>
      <w:r>
        <w:rPr>
          <w:noProof/>
        </w:rPr>
        <w:tab/>
        <w:t>Number of Māori and non-Māori aged 20–64 years secluded in adult inpatient services, 2007–2020</w:t>
      </w:r>
      <w:r>
        <w:rPr>
          <w:noProof/>
        </w:rPr>
        <w:tab/>
      </w:r>
      <w:r>
        <w:rPr>
          <w:noProof/>
        </w:rPr>
        <w:fldChar w:fldCharType="begin"/>
      </w:r>
      <w:r>
        <w:rPr>
          <w:noProof/>
        </w:rPr>
        <w:instrText xml:space="preserve"> PAGEREF _Toc88561413 \h </w:instrText>
      </w:r>
      <w:r>
        <w:rPr>
          <w:noProof/>
        </w:rPr>
      </w:r>
      <w:r>
        <w:rPr>
          <w:noProof/>
        </w:rPr>
        <w:fldChar w:fldCharType="separate"/>
      </w:r>
      <w:r w:rsidR="00840F18">
        <w:rPr>
          <w:noProof/>
        </w:rPr>
        <w:t>34</w:t>
      </w:r>
      <w:r>
        <w:rPr>
          <w:noProof/>
        </w:rPr>
        <w:fldChar w:fldCharType="end"/>
      </w:r>
    </w:p>
    <w:p w14:paraId="55B1C5F4" w14:textId="6DA0EFB1" w:rsidR="00363B3A" w:rsidRDefault="00363B3A">
      <w:pPr>
        <w:pStyle w:val="TOC3"/>
        <w:rPr>
          <w:rFonts w:asciiTheme="minorHAnsi" w:eastAsiaTheme="minorEastAsia" w:hAnsiTheme="minorHAnsi" w:cstheme="minorBidi"/>
          <w:noProof/>
          <w:sz w:val="22"/>
          <w:szCs w:val="22"/>
          <w:lang w:eastAsia="en-NZ"/>
        </w:rPr>
      </w:pPr>
      <w:r>
        <w:rPr>
          <w:noProof/>
        </w:rPr>
        <w:t>Figure 33:</w:t>
      </w:r>
      <w:r>
        <w:rPr>
          <w:noProof/>
        </w:rPr>
        <w:tab/>
        <w:t>Total number of special patients, by DHB, 1 January to 31 December 2020</w:t>
      </w:r>
      <w:r>
        <w:rPr>
          <w:noProof/>
        </w:rPr>
        <w:tab/>
      </w:r>
      <w:r>
        <w:rPr>
          <w:noProof/>
        </w:rPr>
        <w:fldChar w:fldCharType="begin"/>
      </w:r>
      <w:r>
        <w:rPr>
          <w:noProof/>
        </w:rPr>
        <w:instrText xml:space="preserve"> PAGEREF _Toc88561414 \h </w:instrText>
      </w:r>
      <w:r>
        <w:rPr>
          <w:noProof/>
        </w:rPr>
      </w:r>
      <w:r>
        <w:rPr>
          <w:noProof/>
        </w:rPr>
        <w:fldChar w:fldCharType="separate"/>
      </w:r>
      <w:r w:rsidR="00840F18">
        <w:rPr>
          <w:noProof/>
        </w:rPr>
        <w:t>40</w:t>
      </w:r>
      <w:r>
        <w:rPr>
          <w:noProof/>
        </w:rPr>
        <w:fldChar w:fldCharType="end"/>
      </w:r>
    </w:p>
    <w:p w14:paraId="200403F3" w14:textId="0B091D5F" w:rsidR="00363B3A" w:rsidRDefault="00363B3A">
      <w:pPr>
        <w:pStyle w:val="TOC3"/>
        <w:rPr>
          <w:rFonts w:asciiTheme="minorHAnsi" w:eastAsiaTheme="minorEastAsia" w:hAnsiTheme="minorHAnsi" w:cstheme="minorBidi"/>
          <w:noProof/>
          <w:sz w:val="22"/>
          <w:szCs w:val="22"/>
          <w:lang w:eastAsia="en-NZ"/>
        </w:rPr>
      </w:pPr>
      <w:r>
        <w:rPr>
          <w:noProof/>
        </w:rPr>
        <w:t>Figure 34:</w:t>
      </w:r>
      <w:r>
        <w:rPr>
          <w:noProof/>
        </w:rPr>
        <w:tab/>
        <w:t>Percentage of court orders given for extended forensic care relative to short-term forensic care legal statuses, by DHB, 1 January to 31</w:t>
      </w:r>
      <w:r w:rsidR="005C4994">
        <w:rPr>
          <w:noProof/>
        </w:rPr>
        <w:t> </w:t>
      </w:r>
      <w:r>
        <w:rPr>
          <w:noProof/>
        </w:rPr>
        <w:t>December 2020</w:t>
      </w:r>
      <w:r>
        <w:rPr>
          <w:noProof/>
        </w:rPr>
        <w:tab/>
      </w:r>
      <w:r>
        <w:rPr>
          <w:noProof/>
        </w:rPr>
        <w:fldChar w:fldCharType="begin"/>
      </w:r>
      <w:r>
        <w:rPr>
          <w:noProof/>
        </w:rPr>
        <w:instrText xml:space="preserve"> PAGEREF _Toc88561415 \h </w:instrText>
      </w:r>
      <w:r>
        <w:rPr>
          <w:noProof/>
        </w:rPr>
      </w:r>
      <w:r>
        <w:rPr>
          <w:noProof/>
        </w:rPr>
        <w:fldChar w:fldCharType="separate"/>
      </w:r>
      <w:r w:rsidR="00840F18">
        <w:rPr>
          <w:noProof/>
        </w:rPr>
        <w:t>42</w:t>
      </w:r>
      <w:r>
        <w:rPr>
          <w:noProof/>
        </w:rPr>
        <w:fldChar w:fldCharType="end"/>
      </w:r>
    </w:p>
    <w:p w14:paraId="551840BE" w14:textId="79938443" w:rsidR="00363B3A" w:rsidRDefault="00363B3A">
      <w:pPr>
        <w:pStyle w:val="TOC3"/>
        <w:rPr>
          <w:rFonts w:asciiTheme="minorHAnsi" w:eastAsiaTheme="minorEastAsia" w:hAnsiTheme="minorHAnsi" w:cstheme="minorBidi"/>
          <w:noProof/>
          <w:sz w:val="22"/>
          <w:szCs w:val="22"/>
          <w:lang w:eastAsia="en-NZ"/>
        </w:rPr>
      </w:pPr>
      <w:r>
        <w:rPr>
          <w:noProof/>
        </w:rPr>
        <w:t>Figure 35:</w:t>
      </w:r>
      <w:r>
        <w:rPr>
          <w:noProof/>
        </w:rPr>
        <w:tab/>
        <w:t>Number of special patients, by sex, 1 January to 31 December 2020</w:t>
      </w:r>
      <w:r>
        <w:rPr>
          <w:noProof/>
        </w:rPr>
        <w:tab/>
      </w:r>
      <w:r>
        <w:rPr>
          <w:noProof/>
        </w:rPr>
        <w:fldChar w:fldCharType="begin"/>
      </w:r>
      <w:r>
        <w:rPr>
          <w:noProof/>
        </w:rPr>
        <w:instrText xml:space="preserve"> PAGEREF _Toc88561416 \h </w:instrText>
      </w:r>
      <w:r>
        <w:rPr>
          <w:noProof/>
        </w:rPr>
      </w:r>
      <w:r>
        <w:rPr>
          <w:noProof/>
        </w:rPr>
        <w:fldChar w:fldCharType="separate"/>
      </w:r>
      <w:r w:rsidR="00840F18">
        <w:rPr>
          <w:noProof/>
        </w:rPr>
        <w:t>43</w:t>
      </w:r>
      <w:r>
        <w:rPr>
          <w:noProof/>
        </w:rPr>
        <w:fldChar w:fldCharType="end"/>
      </w:r>
    </w:p>
    <w:p w14:paraId="1E788D18" w14:textId="3662B655" w:rsidR="00363B3A" w:rsidRDefault="00363B3A">
      <w:pPr>
        <w:pStyle w:val="TOC3"/>
        <w:rPr>
          <w:rFonts w:asciiTheme="minorHAnsi" w:eastAsiaTheme="minorEastAsia" w:hAnsiTheme="minorHAnsi" w:cstheme="minorBidi"/>
          <w:noProof/>
          <w:sz w:val="22"/>
          <w:szCs w:val="22"/>
          <w:lang w:eastAsia="en-NZ"/>
        </w:rPr>
      </w:pPr>
      <w:r>
        <w:rPr>
          <w:noProof/>
        </w:rPr>
        <w:t>Figure 36:</w:t>
      </w:r>
      <w:r>
        <w:rPr>
          <w:noProof/>
        </w:rPr>
        <w:tab/>
        <w:t>Total number of special patients, by age group, 1 January to 31</w:t>
      </w:r>
      <w:r w:rsidR="005C4994">
        <w:rPr>
          <w:noProof/>
        </w:rPr>
        <w:t> </w:t>
      </w:r>
      <w:r>
        <w:rPr>
          <w:noProof/>
        </w:rPr>
        <w:t>December 2020</w:t>
      </w:r>
      <w:r>
        <w:rPr>
          <w:noProof/>
        </w:rPr>
        <w:tab/>
      </w:r>
      <w:r>
        <w:rPr>
          <w:noProof/>
        </w:rPr>
        <w:fldChar w:fldCharType="begin"/>
      </w:r>
      <w:r>
        <w:rPr>
          <w:noProof/>
        </w:rPr>
        <w:instrText xml:space="preserve"> PAGEREF _Toc88561417 \h </w:instrText>
      </w:r>
      <w:r>
        <w:rPr>
          <w:noProof/>
        </w:rPr>
      </w:r>
      <w:r>
        <w:rPr>
          <w:noProof/>
        </w:rPr>
        <w:fldChar w:fldCharType="separate"/>
      </w:r>
      <w:r w:rsidR="00840F18">
        <w:rPr>
          <w:noProof/>
        </w:rPr>
        <w:t>43</w:t>
      </w:r>
      <w:r>
        <w:rPr>
          <w:noProof/>
        </w:rPr>
        <w:fldChar w:fldCharType="end"/>
      </w:r>
    </w:p>
    <w:p w14:paraId="11C9A3EB" w14:textId="1AFEC664" w:rsidR="00363B3A" w:rsidRDefault="00363B3A">
      <w:pPr>
        <w:pStyle w:val="TOC3"/>
        <w:rPr>
          <w:rFonts w:asciiTheme="minorHAnsi" w:eastAsiaTheme="minorEastAsia" w:hAnsiTheme="minorHAnsi" w:cstheme="minorBidi"/>
          <w:noProof/>
          <w:sz w:val="22"/>
          <w:szCs w:val="22"/>
          <w:lang w:eastAsia="en-NZ"/>
        </w:rPr>
      </w:pPr>
      <w:r>
        <w:rPr>
          <w:noProof/>
        </w:rPr>
        <w:t>Figure 37:</w:t>
      </w:r>
      <w:r>
        <w:rPr>
          <w:noProof/>
        </w:rPr>
        <w:tab/>
        <w:t>Percentage of special patients, by ethnicity, 1 January to 31</w:t>
      </w:r>
      <w:r w:rsidR="005C4994">
        <w:rPr>
          <w:noProof/>
        </w:rPr>
        <w:t> </w:t>
      </w:r>
      <w:r>
        <w:rPr>
          <w:noProof/>
        </w:rPr>
        <w:t>December 2020</w:t>
      </w:r>
      <w:r>
        <w:rPr>
          <w:noProof/>
        </w:rPr>
        <w:tab/>
      </w:r>
      <w:r>
        <w:rPr>
          <w:noProof/>
        </w:rPr>
        <w:fldChar w:fldCharType="begin"/>
      </w:r>
      <w:r>
        <w:rPr>
          <w:noProof/>
        </w:rPr>
        <w:instrText xml:space="preserve"> PAGEREF _Toc88561418 \h </w:instrText>
      </w:r>
      <w:r>
        <w:rPr>
          <w:noProof/>
        </w:rPr>
      </w:r>
      <w:r>
        <w:rPr>
          <w:noProof/>
        </w:rPr>
        <w:fldChar w:fldCharType="separate"/>
      </w:r>
      <w:r w:rsidR="00840F18">
        <w:rPr>
          <w:noProof/>
        </w:rPr>
        <w:t>44</w:t>
      </w:r>
      <w:r>
        <w:rPr>
          <w:noProof/>
        </w:rPr>
        <w:fldChar w:fldCharType="end"/>
      </w:r>
    </w:p>
    <w:p w14:paraId="7FA22BCF" w14:textId="1909245C" w:rsidR="00363B3A" w:rsidRDefault="00363B3A">
      <w:pPr>
        <w:pStyle w:val="TOC3"/>
        <w:rPr>
          <w:rFonts w:asciiTheme="minorHAnsi" w:eastAsiaTheme="minorEastAsia" w:hAnsiTheme="minorHAnsi" w:cstheme="minorBidi"/>
          <w:noProof/>
          <w:sz w:val="22"/>
          <w:szCs w:val="22"/>
          <w:lang w:eastAsia="en-NZ"/>
        </w:rPr>
      </w:pPr>
      <w:r>
        <w:rPr>
          <w:noProof/>
        </w:rPr>
        <w:lastRenderedPageBreak/>
        <w:t>Figure 38:</w:t>
      </w:r>
      <w:r>
        <w:rPr>
          <w:noProof/>
        </w:rPr>
        <w:tab/>
        <w:t>Number of special patients, by ethnicity and special patient type, 1</w:t>
      </w:r>
      <w:r w:rsidR="005C4994">
        <w:rPr>
          <w:noProof/>
        </w:rPr>
        <w:t> </w:t>
      </w:r>
      <w:r>
        <w:rPr>
          <w:noProof/>
        </w:rPr>
        <w:t>January to 31 December 2020</w:t>
      </w:r>
      <w:r>
        <w:rPr>
          <w:noProof/>
        </w:rPr>
        <w:tab/>
      </w:r>
      <w:r>
        <w:rPr>
          <w:noProof/>
        </w:rPr>
        <w:fldChar w:fldCharType="begin"/>
      </w:r>
      <w:r>
        <w:rPr>
          <w:noProof/>
        </w:rPr>
        <w:instrText xml:space="preserve"> PAGEREF _Toc88561419 \h </w:instrText>
      </w:r>
      <w:r>
        <w:rPr>
          <w:noProof/>
        </w:rPr>
      </w:r>
      <w:r>
        <w:rPr>
          <w:noProof/>
        </w:rPr>
        <w:fldChar w:fldCharType="separate"/>
      </w:r>
      <w:r w:rsidR="00840F18">
        <w:rPr>
          <w:noProof/>
        </w:rPr>
        <w:t>44</w:t>
      </w:r>
      <w:r>
        <w:rPr>
          <w:noProof/>
        </w:rPr>
        <w:fldChar w:fldCharType="end"/>
      </w:r>
    </w:p>
    <w:p w14:paraId="0B77A24F" w14:textId="250903F6" w:rsidR="00363B3A" w:rsidRDefault="00363B3A">
      <w:pPr>
        <w:pStyle w:val="TOC3"/>
        <w:rPr>
          <w:rFonts w:asciiTheme="minorHAnsi" w:eastAsiaTheme="minorEastAsia" w:hAnsiTheme="minorHAnsi" w:cstheme="minorBidi"/>
          <w:noProof/>
          <w:sz w:val="22"/>
          <w:szCs w:val="22"/>
          <w:lang w:eastAsia="en-NZ"/>
        </w:rPr>
      </w:pPr>
      <w:r>
        <w:rPr>
          <w:noProof/>
        </w:rPr>
        <w:t>Figure 39:</w:t>
      </w:r>
      <w:r>
        <w:rPr>
          <w:noProof/>
        </w:rPr>
        <w:tab/>
        <w:t>Rate of people treated with ECT per 100,000 population, 2005–2020</w:t>
      </w:r>
      <w:r>
        <w:rPr>
          <w:noProof/>
        </w:rPr>
        <w:tab/>
      </w:r>
      <w:r>
        <w:rPr>
          <w:noProof/>
        </w:rPr>
        <w:fldChar w:fldCharType="begin"/>
      </w:r>
      <w:r>
        <w:rPr>
          <w:noProof/>
        </w:rPr>
        <w:instrText xml:space="preserve"> PAGEREF _Toc88561420 \h </w:instrText>
      </w:r>
      <w:r>
        <w:rPr>
          <w:noProof/>
        </w:rPr>
      </w:r>
      <w:r>
        <w:rPr>
          <w:noProof/>
        </w:rPr>
        <w:fldChar w:fldCharType="separate"/>
      </w:r>
      <w:r w:rsidR="00840F18">
        <w:rPr>
          <w:noProof/>
        </w:rPr>
        <w:t>52</w:t>
      </w:r>
      <w:r>
        <w:rPr>
          <w:noProof/>
        </w:rPr>
        <w:fldChar w:fldCharType="end"/>
      </w:r>
    </w:p>
    <w:p w14:paraId="079A58CA" w14:textId="550BBF43" w:rsidR="00363B3A" w:rsidRDefault="00363B3A">
      <w:pPr>
        <w:pStyle w:val="TOC3"/>
        <w:rPr>
          <w:rFonts w:asciiTheme="minorHAnsi" w:eastAsiaTheme="minorEastAsia" w:hAnsiTheme="minorHAnsi" w:cstheme="minorBidi"/>
          <w:noProof/>
          <w:sz w:val="22"/>
          <w:szCs w:val="22"/>
          <w:lang w:eastAsia="en-NZ"/>
        </w:rPr>
      </w:pPr>
      <w:r>
        <w:rPr>
          <w:noProof/>
        </w:rPr>
        <w:t>Figure 40:</w:t>
      </w:r>
      <w:r>
        <w:rPr>
          <w:noProof/>
        </w:rPr>
        <w:tab/>
        <w:t>Number of people per 100,000 population treated with ECT, by DHB, 1 January to 31 December 2020</w:t>
      </w:r>
      <w:r>
        <w:rPr>
          <w:noProof/>
        </w:rPr>
        <w:tab/>
      </w:r>
      <w:r>
        <w:rPr>
          <w:noProof/>
        </w:rPr>
        <w:fldChar w:fldCharType="begin"/>
      </w:r>
      <w:r>
        <w:rPr>
          <w:noProof/>
        </w:rPr>
        <w:instrText xml:space="preserve"> PAGEREF _Toc88561421 \h </w:instrText>
      </w:r>
      <w:r>
        <w:rPr>
          <w:noProof/>
        </w:rPr>
      </w:r>
      <w:r>
        <w:rPr>
          <w:noProof/>
        </w:rPr>
        <w:fldChar w:fldCharType="separate"/>
      </w:r>
      <w:r w:rsidR="00840F18">
        <w:rPr>
          <w:noProof/>
        </w:rPr>
        <w:t>54</w:t>
      </w:r>
      <w:r>
        <w:rPr>
          <w:noProof/>
        </w:rPr>
        <w:fldChar w:fldCharType="end"/>
      </w:r>
    </w:p>
    <w:p w14:paraId="474CF7AD" w14:textId="4CEB50B3" w:rsidR="00363B3A" w:rsidRDefault="00363B3A">
      <w:pPr>
        <w:pStyle w:val="TOC3"/>
        <w:rPr>
          <w:rFonts w:asciiTheme="minorHAnsi" w:eastAsiaTheme="minorEastAsia" w:hAnsiTheme="minorHAnsi" w:cstheme="minorBidi"/>
          <w:noProof/>
          <w:sz w:val="22"/>
          <w:szCs w:val="22"/>
          <w:lang w:eastAsia="en-NZ"/>
        </w:rPr>
      </w:pPr>
      <w:r>
        <w:rPr>
          <w:noProof/>
        </w:rPr>
        <w:t>Figure 41:</w:t>
      </w:r>
      <w:r>
        <w:rPr>
          <w:noProof/>
        </w:rPr>
        <w:tab/>
        <w:t>Number of people treated with ECT, by age group and sex, 1 January to 31 December 2020</w:t>
      </w:r>
      <w:r>
        <w:rPr>
          <w:noProof/>
        </w:rPr>
        <w:tab/>
      </w:r>
      <w:r>
        <w:rPr>
          <w:noProof/>
        </w:rPr>
        <w:fldChar w:fldCharType="begin"/>
      </w:r>
      <w:r>
        <w:rPr>
          <w:noProof/>
        </w:rPr>
        <w:instrText xml:space="preserve"> PAGEREF _Toc88561422 \h </w:instrText>
      </w:r>
      <w:r>
        <w:rPr>
          <w:noProof/>
        </w:rPr>
      </w:r>
      <w:r>
        <w:rPr>
          <w:noProof/>
        </w:rPr>
        <w:fldChar w:fldCharType="separate"/>
      </w:r>
      <w:r w:rsidR="00840F18">
        <w:rPr>
          <w:noProof/>
        </w:rPr>
        <w:t>55</w:t>
      </w:r>
      <w:r>
        <w:rPr>
          <w:noProof/>
        </w:rPr>
        <w:fldChar w:fldCharType="end"/>
      </w:r>
    </w:p>
    <w:p w14:paraId="6EC68DD3" w14:textId="2BB1F9A8" w:rsidR="00363B3A" w:rsidRDefault="00363B3A">
      <w:pPr>
        <w:pStyle w:val="TOC3"/>
        <w:rPr>
          <w:rFonts w:asciiTheme="minorHAnsi" w:eastAsiaTheme="minorEastAsia" w:hAnsiTheme="minorHAnsi" w:cstheme="minorBidi"/>
          <w:noProof/>
          <w:sz w:val="22"/>
          <w:szCs w:val="22"/>
          <w:lang w:eastAsia="en-NZ"/>
        </w:rPr>
      </w:pPr>
      <w:r>
        <w:rPr>
          <w:noProof/>
        </w:rPr>
        <w:t>Figure 42:</w:t>
      </w:r>
      <w:r>
        <w:rPr>
          <w:noProof/>
        </w:rPr>
        <w:tab/>
        <w:t>Percentage of people receiving opioid substitution treatment from specialist services and general practice, by DHB, 1 January to 31</w:t>
      </w:r>
      <w:r w:rsidR="005C4994">
        <w:rPr>
          <w:noProof/>
        </w:rPr>
        <w:t> </w:t>
      </w:r>
      <w:r>
        <w:rPr>
          <w:noProof/>
        </w:rPr>
        <w:t>December 2020</w:t>
      </w:r>
      <w:r>
        <w:rPr>
          <w:noProof/>
        </w:rPr>
        <w:tab/>
      </w:r>
      <w:r>
        <w:rPr>
          <w:noProof/>
        </w:rPr>
        <w:fldChar w:fldCharType="begin"/>
      </w:r>
      <w:r>
        <w:rPr>
          <w:noProof/>
        </w:rPr>
        <w:instrText xml:space="preserve"> PAGEREF _Toc88561423 \h </w:instrText>
      </w:r>
      <w:r>
        <w:rPr>
          <w:noProof/>
        </w:rPr>
      </w:r>
      <w:r>
        <w:rPr>
          <w:noProof/>
        </w:rPr>
        <w:fldChar w:fldCharType="separate"/>
      </w:r>
      <w:r w:rsidR="00840F18">
        <w:rPr>
          <w:noProof/>
        </w:rPr>
        <w:t>61</w:t>
      </w:r>
      <w:r>
        <w:rPr>
          <w:noProof/>
        </w:rPr>
        <w:fldChar w:fldCharType="end"/>
      </w:r>
    </w:p>
    <w:p w14:paraId="523BB9A8" w14:textId="16433965" w:rsidR="00363B3A" w:rsidRDefault="00363B3A">
      <w:pPr>
        <w:pStyle w:val="TOC3"/>
        <w:rPr>
          <w:rFonts w:asciiTheme="minorHAnsi" w:eastAsiaTheme="minorEastAsia" w:hAnsiTheme="minorHAnsi" w:cstheme="minorBidi"/>
          <w:noProof/>
          <w:sz w:val="22"/>
          <w:szCs w:val="22"/>
          <w:lang w:eastAsia="en-NZ"/>
        </w:rPr>
      </w:pPr>
      <w:r>
        <w:rPr>
          <w:noProof/>
        </w:rPr>
        <w:t>Figure 43:</w:t>
      </w:r>
      <w:r>
        <w:rPr>
          <w:noProof/>
        </w:rPr>
        <w:tab/>
        <w:t>Number of people receiving opioid substitution treatment from a specialist service, general practice or prison service, 2008–2020</w:t>
      </w:r>
      <w:r>
        <w:rPr>
          <w:noProof/>
        </w:rPr>
        <w:tab/>
      </w:r>
      <w:r>
        <w:rPr>
          <w:noProof/>
        </w:rPr>
        <w:fldChar w:fldCharType="begin"/>
      </w:r>
      <w:r>
        <w:rPr>
          <w:noProof/>
        </w:rPr>
        <w:instrText xml:space="preserve"> PAGEREF _Toc88561424 \h </w:instrText>
      </w:r>
      <w:r>
        <w:rPr>
          <w:noProof/>
        </w:rPr>
      </w:r>
      <w:r>
        <w:rPr>
          <w:noProof/>
        </w:rPr>
        <w:fldChar w:fldCharType="separate"/>
      </w:r>
      <w:r w:rsidR="00840F18">
        <w:rPr>
          <w:noProof/>
        </w:rPr>
        <w:t>62</w:t>
      </w:r>
      <w:r>
        <w:rPr>
          <w:noProof/>
        </w:rPr>
        <w:fldChar w:fldCharType="end"/>
      </w:r>
    </w:p>
    <w:p w14:paraId="584E5259" w14:textId="3AF8A977" w:rsidR="00363B3A" w:rsidRDefault="00363B3A">
      <w:pPr>
        <w:pStyle w:val="TOC3"/>
        <w:rPr>
          <w:rFonts w:asciiTheme="minorHAnsi" w:eastAsiaTheme="minorEastAsia" w:hAnsiTheme="minorHAnsi" w:cstheme="minorBidi"/>
          <w:noProof/>
          <w:sz w:val="22"/>
          <w:szCs w:val="22"/>
          <w:lang w:eastAsia="en-NZ"/>
        </w:rPr>
      </w:pPr>
      <w:r>
        <w:rPr>
          <w:noProof/>
        </w:rPr>
        <w:t>Figure 44:</w:t>
      </w:r>
      <w:r>
        <w:rPr>
          <w:noProof/>
        </w:rPr>
        <w:tab/>
        <w:t>Number of people prescribed suboxone, 2008–2020</w:t>
      </w:r>
      <w:r>
        <w:rPr>
          <w:noProof/>
        </w:rPr>
        <w:tab/>
      </w:r>
      <w:r>
        <w:rPr>
          <w:noProof/>
        </w:rPr>
        <w:fldChar w:fldCharType="begin"/>
      </w:r>
      <w:r>
        <w:rPr>
          <w:noProof/>
        </w:rPr>
        <w:instrText xml:space="preserve"> PAGEREF _Toc88561425 \h </w:instrText>
      </w:r>
      <w:r>
        <w:rPr>
          <w:noProof/>
        </w:rPr>
      </w:r>
      <w:r>
        <w:rPr>
          <w:noProof/>
        </w:rPr>
        <w:fldChar w:fldCharType="separate"/>
      </w:r>
      <w:r w:rsidR="00840F18">
        <w:rPr>
          <w:noProof/>
        </w:rPr>
        <w:t>63</w:t>
      </w:r>
      <w:r>
        <w:rPr>
          <w:noProof/>
        </w:rPr>
        <w:fldChar w:fldCharType="end"/>
      </w:r>
    </w:p>
    <w:p w14:paraId="4FBA04E3" w14:textId="7887B25E" w:rsidR="00363B3A" w:rsidRDefault="00363B3A">
      <w:pPr>
        <w:pStyle w:val="TOC3"/>
        <w:rPr>
          <w:rFonts w:asciiTheme="minorHAnsi" w:eastAsiaTheme="minorEastAsia" w:hAnsiTheme="minorHAnsi" w:cstheme="minorBidi"/>
          <w:noProof/>
          <w:sz w:val="22"/>
          <w:szCs w:val="22"/>
          <w:lang w:eastAsia="en-NZ"/>
        </w:rPr>
      </w:pPr>
      <w:r>
        <w:rPr>
          <w:noProof/>
        </w:rPr>
        <w:t>Figure 45:</w:t>
      </w:r>
      <w:r>
        <w:rPr>
          <w:noProof/>
        </w:rPr>
        <w:tab/>
        <w:t>Number of opioid substitution treatment clients, by age group, 2008–2020</w:t>
      </w:r>
      <w:r>
        <w:rPr>
          <w:noProof/>
        </w:rPr>
        <w:tab/>
      </w:r>
      <w:r>
        <w:rPr>
          <w:noProof/>
        </w:rPr>
        <w:fldChar w:fldCharType="begin"/>
      </w:r>
      <w:r>
        <w:rPr>
          <w:noProof/>
        </w:rPr>
        <w:instrText xml:space="preserve"> PAGEREF _Toc88561426 \h </w:instrText>
      </w:r>
      <w:r>
        <w:rPr>
          <w:noProof/>
        </w:rPr>
      </w:r>
      <w:r>
        <w:rPr>
          <w:noProof/>
        </w:rPr>
        <w:fldChar w:fldCharType="separate"/>
      </w:r>
      <w:r w:rsidR="00840F18">
        <w:rPr>
          <w:noProof/>
        </w:rPr>
        <w:t>63</w:t>
      </w:r>
      <w:r>
        <w:rPr>
          <w:noProof/>
        </w:rPr>
        <w:fldChar w:fldCharType="end"/>
      </w:r>
    </w:p>
    <w:p w14:paraId="2E5A492A" w14:textId="18358DED" w:rsidR="00363B3A" w:rsidRDefault="00363B3A">
      <w:pPr>
        <w:pStyle w:val="TOC3"/>
        <w:rPr>
          <w:rFonts w:asciiTheme="minorHAnsi" w:eastAsiaTheme="minorEastAsia" w:hAnsiTheme="minorHAnsi" w:cstheme="minorBidi"/>
          <w:noProof/>
          <w:sz w:val="22"/>
          <w:szCs w:val="22"/>
          <w:lang w:eastAsia="en-NZ"/>
        </w:rPr>
      </w:pPr>
      <w:r>
        <w:rPr>
          <w:noProof/>
        </w:rPr>
        <w:t>Figure 46:</w:t>
      </w:r>
      <w:r>
        <w:rPr>
          <w:noProof/>
        </w:rPr>
        <w:tab/>
        <w:t>Percentage of withdrawals from opioid substitution treatment programmes, by reason (voluntary, involuntary or death), 2008–2020</w:t>
      </w:r>
      <w:r>
        <w:rPr>
          <w:noProof/>
        </w:rPr>
        <w:tab/>
      </w:r>
      <w:r>
        <w:rPr>
          <w:noProof/>
        </w:rPr>
        <w:fldChar w:fldCharType="begin"/>
      </w:r>
      <w:r>
        <w:rPr>
          <w:noProof/>
        </w:rPr>
        <w:instrText xml:space="preserve"> PAGEREF _Toc88561427 \h </w:instrText>
      </w:r>
      <w:r>
        <w:rPr>
          <w:noProof/>
        </w:rPr>
      </w:r>
      <w:r>
        <w:rPr>
          <w:noProof/>
        </w:rPr>
        <w:fldChar w:fldCharType="separate"/>
      </w:r>
      <w:r w:rsidR="00840F18">
        <w:rPr>
          <w:noProof/>
        </w:rPr>
        <w:t>64</w:t>
      </w:r>
      <w:r>
        <w:rPr>
          <w:noProof/>
        </w:rPr>
        <w:fldChar w:fldCharType="end"/>
      </w:r>
    </w:p>
    <w:p w14:paraId="58B59BC9" w14:textId="6636F80F" w:rsidR="00363B3A" w:rsidRDefault="00363B3A">
      <w:pPr>
        <w:pStyle w:val="TOC3"/>
        <w:rPr>
          <w:rFonts w:asciiTheme="minorHAnsi" w:eastAsiaTheme="minorEastAsia" w:hAnsiTheme="minorHAnsi" w:cstheme="minorBidi"/>
          <w:noProof/>
          <w:sz w:val="22"/>
          <w:szCs w:val="22"/>
          <w:lang w:eastAsia="en-NZ"/>
        </w:rPr>
      </w:pPr>
      <w:r>
        <w:rPr>
          <w:noProof/>
        </w:rPr>
        <w:t>Figure A1:</w:t>
      </w:r>
      <w:r>
        <w:rPr>
          <w:noProof/>
        </w:rPr>
        <w:tab/>
        <w:t>Percentage of patients subject to compulsory treatment certificates, by ethnicity, 1 July 2020 to 30 June 2021</w:t>
      </w:r>
      <w:r>
        <w:rPr>
          <w:noProof/>
        </w:rPr>
        <w:tab/>
      </w:r>
      <w:r>
        <w:rPr>
          <w:noProof/>
        </w:rPr>
        <w:fldChar w:fldCharType="begin"/>
      </w:r>
      <w:r>
        <w:rPr>
          <w:noProof/>
        </w:rPr>
        <w:instrText xml:space="preserve"> PAGEREF _Toc88561428 \h </w:instrText>
      </w:r>
      <w:r>
        <w:rPr>
          <w:noProof/>
        </w:rPr>
      </w:r>
      <w:r>
        <w:rPr>
          <w:noProof/>
        </w:rPr>
        <w:fldChar w:fldCharType="separate"/>
      </w:r>
      <w:r w:rsidR="00840F18">
        <w:rPr>
          <w:noProof/>
        </w:rPr>
        <w:t>71</w:t>
      </w:r>
      <w:r>
        <w:rPr>
          <w:noProof/>
        </w:rPr>
        <w:fldChar w:fldCharType="end"/>
      </w:r>
    </w:p>
    <w:p w14:paraId="4A264B74" w14:textId="0D200353" w:rsidR="00363B3A" w:rsidRDefault="00363B3A">
      <w:pPr>
        <w:pStyle w:val="TOC3"/>
        <w:rPr>
          <w:rFonts w:asciiTheme="minorHAnsi" w:eastAsiaTheme="minorEastAsia" w:hAnsiTheme="minorHAnsi" w:cstheme="minorBidi"/>
          <w:noProof/>
          <w:sz w:val="22"/>
          <w:szCs w:val="22"/>
          <w:lang w:eastAsia="en-NZ"/>
        </w:rPr>
      </w:pPr>
      <w:r>
        <w:rPr>
          <w:noProof/>
        </w:rPr>
        <w:t>Figure A2:</w:t>
      </w:r>
      <w:r>
        <w:rPr>
          <w:noProof/>
        </w:rPr>
        <w:tab/>
        <w:t>Percentage of patients subject to compulsory treatment certificates, by referring region, 1 July 2020 to 30 June 2021</w:t>
      </w:r>
      <w:r>
        <w:rPr>
          <w:noProof/>
        </w:rPr>
        <w:tab/>
      </w:r>
      <w:r>
        <w:rPr>
          <w:noProof/>
        </w:rPr>
        <w:fldChar w:fldCharType="begin"/>
      </w:r>
      <w:r>
        <w:rPr>
          <w:noProof/>
        </w:rPr>
        <w:instrText xml:space="preserve"> PAGEREF _Toc88561429 \h </w:instrText>
      </w:r>
      <w:r>
        <w:rPr>
          <w:noProof/>
        </w:rPr>
      </w:r>
      <w:r>
        <w:rPr>
          <w:noProof/>
        </w:rPr>
        <w:fldChar w:fldCharType="separate"/>
      </w:r>
      <w:r w:rsidR="00840F18">
        <w:rPr>
          <w:noProof/>
        </w:rPr>
        <w:t>71</w:t>
      </w:r>
      <w:r>
        <w:rPr>
          <w:noProof/>
        </w:rPr>
        <w:fldChar w:fldCharType="end"/>
      </w:r>
    </w:p>
    <w:p w14:paraId="3A298E63" w14:textId="5AE92EA2" w:rsidR="00363B3A" w:rsidRDefault="00363B3A">
      <w:pPr>
        <w:pStyle w:val="TOC3"/>
        <w:rPr>
          <w:rFonts w:asciiTheme="minorHAnsi" w:eastAsiaTheme="minorEastAsia" w:hAnsiTheme="minorHAnsi" w:cstheme="minorBidi"/>
          <w:noProof/>
          <w:sz w:val="22"/>
          <w:szCs w:val="22"/>
          <w:lang w:eastAsia="en-NZ"/>
        </w:rPr>
      </w:pPr>
      <w:r>
        <w:rPr>
          <w:noProof/>
        </w:rPr>
        <w:t>Figure A3:</w:t>
      </w:r>
      <w:r>
        <w:rPr>
          <w:noProof/>
        </w:rPr>
        <w:tab/>
        <w:t>Percentage of patients subject to compulsory treatment orders, by number of weeks in detention, 1 July 2020 to 30 June 2021</w:t>
      </w:r>
      <w:r>
        <w:rPr>
          <w:noProof/>
        </w:rPr>
        <w:tab/>
      </w:r>
      <w:r>
        <w:rPr>
          <w:noProof/>
        </w:rPr>
        <w:fldChar w:fldCharType="begin"/>
      </w:r>
      <w:r>
        <w:rPr>
          <w:noProof/>
        </w:rPr>
        <w:instrText xml:space="preserve"> PAGEREF _Toc88561430 \h </w:instrText>
      </w:r>
      <w:r>
        <w:rPr>
          <w:noProof/>
        </w:rPr>
      </w:r>
      <w:r>
        <w:rPr>
          <w:noProof/>
        </w:rPr>
        <w:fldChar w:fldCharType="separate"/>
      </w:r>
      <w:r w:rsidR="00840F18">
        <w:rPr>
          <w:noProof/>
        </w:rPr>
        <w:t>72</w:t>
      </w:r>
      <w:r>
        <w:rPr>
          <w:noProof/>
        </w:rPr>
        <w:fldChar w:fldCharType="end"/>
      </w:r>
    </w:p>
    <w:p w14:paraId="67483F5C" w14:textId="77777777" w:rsidR="00FB0A5B" w:rsidRDefault="0033448B" w:rsidP="003A5FEA">
      <w:r>
        <w:fldChar w:fldCharType="end"/>
      </w:r>
    </w:p>
    <w:p w14:paraId="59B38CA1" w14:textId="77777777" w:rsidR="001D3E4E" w:rsidRDefault="001D3E4E" w:rsidP="003A5FEA">
      <w:pPr>
        <w:sectPr w:rsidR="001D3E4E" w:rsidSect="00925892">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5826DF05" w14:textId="77777777" w:rsidR="008C2973" w:rsidRDefault="00410071" w:rsidP="00F54E74">
      <w:pPr>
        <w:pStyle w:val="Heading1"/>
      </w:pPr>
      <w:bookmarkStart w:id="4" w:name="_Toc88826945"/>
      <w:r>
        <w:lastRenderedPageBreak/>
        <w:t>Use of the Mental Health Act</w:t>
      </w:r>
      <w:bookmarkEnd w:id="4"/>
    </w:p>
    <w:p w14:paraId="6646972F" w14:textId="77777777" w:rsidR="00410071" w:rsidRPr="00200234" w:rsidRDefault="00410071" w:rsidP="00EC625C">
      <w:r w:rsidRPr="00200234">
        <w:t>In summary, in 20</w:t>
      </w:r>
      <w:r>
        <w:t>20</w:t>
      </w:r>
      <w:r w:rsidRPr="00200234">
        <w:t>:</w:t>
      </w:r>
    </w:p>
    <w:p w14:paraId="3D22D425" w14:textId="77777777" w:rsidR="00410071" w:rsidRPr="00ED4FA1" w:rsidRDefault="00410071" w:rsidP="00EC625C">
      <w:pPr>
        <w:pStyle w:val="Bullet"/>
        <w:spacing w:before="120"/>
      </w:pPr>
      <w:r>
        <w:t>11,146</w:t>
      </w:r>
      <w:r w:rsidRPr="00ED4FA1">
        <w:t xml:space="preserve"> people (</w:t>
      </w:r>
      <w:r>
        <w:t>6.0</w:t>
      </w:r>
      <w:r w:rsidRPr="00ED4FA1">
        <w:t xml:space="preserve"> percent of specialist mental health and addiction service users) were subject to the Mental Health (Compulsory Assessment and Treatment) Act 1992 (the Mental Health Act),</w:t>
      </w:r>
      <w:r w:rsidRPr="00EC625C">
        <w:rPr>
          <w:rStyle w:val="FootnoteReference"/>
          <w:rFonts w:eastAsia="MS Gothic"/>
        </w:rPr>
        <w:footnoteReference w:id="5"/>
      </w:r>
      <w:r w:rsidRPr="00ED4FA1">
        <w:t xml:space="preserve"> and on the last day of 20</w:t>
      </w:r>
      <w:r>
        <w:t>20,</w:t>
      </w:r>
      <w:r w:rsidRPr="00ED4FA1">
        <w:t xml:space="preserve"> approximately </w:t>
      </w:r>
      <w:r>
        <w:t>5,655</w:t>
      </w:r>
      <w:r w:rsidR="00EC625C">
        <w:t> </w:t>
      </w:r>
      <w:r w:rsidRPr="00ED4FA1">
        <w:t>people were subject to either compulsory assessment or compulsory treatment under the Mental Health Act</w:t>
      </w:r>
    </w:p>
    <w:p w14:paraId="7C3162C2" w14:textId="77777777" w:rsidR="00410071" w:rsidRPr="00ED4FA1" w:rsidRDefault="00410071" w:rsidP="00EC625C">
      <w:pPr>
        <w:pStyle w:val="Bullet"/>
        <w:spacing w:before="120"/>
      </w:pPr>
      <w:r w:rsidRPr="00ED4FA1">
        <w:t>males were more likely to be subject to the Mental Health Act than females</w:t>
      </w:r>
    </w:p>
    <w:p w14:paraId="0DA6AC15" w14:textId="77777777" w:rsidR="00410071" w:rsidRPr="00ED4FA1" w:rsidRDefault="00410071" w:rsidP="00EC625C">
      <w:pPr>
        <w:pStyle w:val="Bullet"/>
        <w:spacing w:before="120"/>
      </w:pPr>
      <w:r w:rsidRPr="00ED4FA1">
        <w:t xml:space="preserve">people aged </w:t>
      </w:r>
      <w:r>
        <w:t>25</w:t>
      </w:r>
      <w:r w:rsidRPr="00ED4FA1">
        <w:t>–</w:t>
      </w:r>
      <w:r>
        <w:t>34</w:t>
      </w:r>
      <w:r w:rsidRPr="00ED4FA1">
        <w:t xml:space="preserve"> years were the most likely </w:t>
      </w:r>
      <w:r>
        <w:t xml:space="preserve">age group </w:t>
      </w:r>
      <w:r w:rsidRPr="00ED4FA1">
        <w:t xml:space="preserve">to be subject to compulsory treatment, and people </w:t>
      </w:r>
      <w:r>
        <w:t>aged 65 years and over</w:t>
      </w:r>
      <w:r w:rsidRPr="00ED4FA1">
        <w:t xml:space="preserve"> were the least likely</w:t>
      </w:r>
    </w:p>
    <w:p w14:paraId="4E2461FE" w14:textId="77777777" w:rsidR="00410071" w:rsidRPr="00ED4FA1" w:rsidRDefault="00410071" w:rsidP="00EC625C">
      <w:pPr>
        <w:pStyle w:val="Bullet"/>
        <w:spacing w:before="120"/>
      </w:pPr>
      <w:r w:rsidRPr="00ED4FA1">
        <w:t xml:space="preserve">Māori were more likely to be assessed or treated under the Mental Health Act than </w:t>
      </w:r>
      <w:r>
        <w:t>Pacific peoples and other ethnicities</w:t>
      </w:r>
      <w:r w:rsidR="00EC625C">
        <w:t>.</w:t>
      </w:r>
      <w:r w:rsidRPr="00EC625C">
        <w:rPr>
          <w:rStyle w:val="FootnoteReference"/>
        </w:rPr>
        <w:footnoteReference w:id="6"/>
      </w:r>
      <w:r w:rsidR="00EC625C" w:rsidRPr="00EC625C">
        <w:rPr>
          <w:vertAlign w:val="superscript"/>
        </w:rPr>
        <w:t>,</w:t>
      </w:r>
      <w:r w:rsidRPr="00EC625C">
        <w:rPr>
          <w:rStyle w:val="FootnoteReference"/>
        </w:rPr>
        <w:footnoteReference w:id="7"/>
      </w:r>
    </w:p>
    <w:p w14:paraId="64D0283C" w14:textId="77777777" w:rsidR="00410071" w:rsidRDefault="00410071" w:rsidP="00EC625C"/>
    <w:p w14:paraId="20A47345" w14:textId="77777777" w:rsidR="00410071" w:rsidRPr="00200234" w:rsidRDefault="00410071" w:rsidP="00EC625C">
      <w:pPr>
        <w:pStyle w:val="Heading1"/>
      </w:pPr>
      <w:bookmarkStart w:id="5" w:name="_Toc65141611"/>
      <w:bookmarkStart w:id="6" w:name="_Toc75176434"/>
      <w:bookmarkStart w:id="7" w:name="_Toc87429898"/>
      <w:bookmarkStart w:id="8" w:name="_Toc88826946"/>
      <w:r w:rsidRPr="00200234">
        <w:lastRenderedPageBreak/>
        <w:t>The Mental Health Act process</w:t>
      </w:r>
      <w:bookmarkEnd w:id="5"/>
      <w:bookmarkEnd w:id="6"/>
      <w:bookmarkEnd w:id="7"/>
      <w:bookmarkEnd w:id="8"/>
    </w:p>
    <w:p w14:paraId="5FE6E000" w14:textId="77777777" w:rsidR="00410071" w:rsidRPr="00200234" w:rsidRDefault="00410071" w:rsidP="00EC625C">
      <w:pPr>
        <w:pStyle w:val="Heading2"/>
      </w:pPr>
      <w:bookmarkStart w:id="9" w:name="_Toc65141612"/>
      <w:bookmarkStart w:id="10" w:name="_Toc75176435"/>
      <w:bookmarkStart w:id="11" w:name="_Toc87429899"/>
      <w:bookmarkStart w:id="12" w:name="_Toc88826947"/>
      <w:r w:rsidRPr="00200234">
        <w:t>Compulsory assessment</w:t>
      </w:r>
      <w:bookmarkEnd w:id="9"/>
      <w:bookmarkEnd w:id="10"/>
      <w:r>
        <w:t xml:space="preserve"> in 2020</w:t>
      </w:r>
      <w:r w:rsidRPr="00EC625C">
        <w:rPr>
          <w:rStyle w:val="FootnoteReference"/>
        </w:rPr>
        <w:footnoteReference w:id="8"/>
      </w:r>
      <w:bookmarkEnd w:id="11"/>
      <w:bookmarkEnd w:id="12"/>
    </w:p>
    <w:p w14:paraId="372C5A35" w14:textId="77777777" w:rsidR="00410071" w:rsidRPr="00ED4FA1" w:rsidRDefault="00410071" w:rsidP="00EC625C">
      <w:pPr>
        <w:pStyle w:val="Bullet"/>
      </w:pPr>
      <w:r w:rsidRPr="00ED4FA1">
        <w:t xml:space="preserve">Clinicians made </w:t>
      </w:r>
      <w:r>
        <w:t>5,874</w:t>
      </w:r>
      <w:r w:rsidRPr="00ED4FA1">
        <w:t xml:space="preserve"> applications for compulsory treatment or extensions under the Mental Health Act. Of these applications, the courts granted </w:t>
      </w:r>
      <w:r>
        <w:t>5,137</w:t>
      </w:r>
      <w:r w:rsidRPr="00ED4FA1">
        <w:t xml:space="preserve"> (</w:t>
      </w:r>
      <w:r>
        <w:t>87.5</w:t>
      </w:r>
      <w:r w:rsidR="00EC625C">
        <w:t> </w:t>
      </w:r>
      <w:r w:rsidRPr="00ED4FA1">
        <w:t>percent).</w:t>
      </w:r>
    </w:p>
    <w:p w14:paraId="3B8D86E9" w14:textId="77777777" w:rsidR="00410071" w:rsidRDefault="00410071" w:rsidP="00EC625C">
      <w:pPr>
        <w:pStyle w:val="Bullet"/>
        <w:spacing w:before="120"/>
      </w:pPr>
      <w:r w:rsidRPr="00ED4FA1">
        <w:t xml:space="preserve">Approximately </w:t>
      </w:r>
      <w:r>
        <w:t>1,422</w:t>
      </w:r>
      <w:r w:rsidRPr="00ED4FA1">
        <w:t xml:space="preserve"> applications were filed for a judge</w:t>
      </w:r>
      <w:r w:rsidR="0039221C">
        <w:t>’</w:t>
      </w:r>
      <w:r w:rsidRPr="00ED4FA1">
        <w:t>s review of the patient</w:t>
      </w:r>
      <w:r w:rsidR="0039221C">
        <w:t>’</w:t>
      </w:r>
      <w:r w:rsidRPr="00ED4FA1">
        <w:t xml:space="preserve">s condition, in line with section 16 of the Mental Health Act. Of </w:t>
      </w:r>
      <w:r>
        <w:t>these applications</w:t>
      </w:r>
      <w:r w:rsidRPr="00ED4FA1">
        <w:t xml:space="preserve">, judges issued an order to release a person from compulsory status in </w:t>
      </w:r>
      <w:r>
        <w:t>39</w:t>
      </w:r>
      <w:r w:rsidRPr="00ED4FA1">
        <w:t xml:space="preserve"> cases</w:t>
      </w:r>
      <w:r>
        <w:t xml:space="preserve"> (2.7</w:t>
      </w:r>
      <w:r w:rsidR="00EC625C">
        <w:t> </w:t>
      </w:r>
      <w:r>
        <w:t>percent)</w:t>
      </w:r>
      <w:r w:rsidRPr="00ED4FA1">
        <w:t xml:space="preserve"> and dismissed </w:t>
      </w:r>
      <w:r>
        <w:t>747 applications (52.5 percent)</w:t>
      </w:r>
      <w:r w:rsidRPr="00ED4FA1">
        <w:t>. The remaining applications were withdrawn.</w:t>
      </w:r>
    </w:p>
    <w:p w14:paraId="3F7D6273" w14:textId="77777777" w:rsidR="00410071" w:rsidRPr="00903FE5" w:rsidRDefault="00410071" w:rsidP="00EC625C"/>
    <w:p w14:paraId="4836AC65" w14:textId="77777777" w:rsidR="00410071" w:rsidRPr="00200234" w:rsidRDefault="00410071" w:rsidP="00EC625C">
      <w:pPr>
        <w:pStyle w:val="Heading2"/>
      </w:pPr>
      <w:bookmarkStart w:id="13" w:name="_Toc65141613"/>
      <w:bookmarkStart w:id="14" w:name="_Toc75176436"/>
      <w:bookmarkStart w:id="15" w:name="_Toc87429900"/>
      <w:bookmarkStart w:id="16" w:name="_Toc88826948"/>
      <w:r w:rsidRPr="00200234">
        <w:t>Compulsory treatment</w:t>
      </w:r>
      <w:bookmarkEnd w:id="13"/>
      <w:bookmarkEnd w:id="14"/>
      <w:r>
        <w:t xml:space="preserve"> in 2020</w:t>
      </w:r>
      <w:bookmarkEnd w:id="15"/>
      <w:bookmarkEnd w:id="16"/>
    </w:p>
    <w:p w14:paraId="748077A1" w14:textId="77777777" w:rsidR="00410071" w:rsidRPr="00ED4FA1" w:rsidRDefault="00410071" w:rsidP="00EC625C">
      <w:pPr>
        <w:pStyle w:val="Bullet"/>
      </w:pPr>
      <w:r w:rsidRPr="00ED4FA1">
        <w:t>On the last day of 20</w:t>
      </w:r>
      <w:r>
        <w:t>20</w:t>
      </w:r>
      <w:r w:rsidRPr="00ED4FA1">
        <w:t xml:space="preserve">, a total of </w:t>
      </w:r>
      <w:r>
        <w:t>5,655</w:t>
      </w:r>
      <w:r w:rsidRPr="00ED4FA1">
        <w:t xml:space="preserve"> people were subject to either compulsory assessment or compulsory treatment under the Mental Health Act.</w:t>
      </w:r>
      <w:r w:rsidRPr="00EC625C">
        <w:rPr>
          <w:rStyle w:val="FootnoteReference"/>
        </w:rPr>
        <w:footnoteReference w:id="9"/>
      </w:r>
    </w:p>
    <w:p w14:paraId="7F7A4CA0" w14:textId="77777777" w:rsidR="00410071" w:rsidRPr="00ED4FA1" w:rsidRDefault="00410071" w:rsidP="00EC625C">
      <w:pPr>
        <w:pStyle w:val="Bullet"/>
        <w:spacing w:before="120" w:after="120"/>
      </w:pPr>
      <w:r w:rsidRPr="00ED4FA1">
        <w:t>On average within each month of 20</w:t>
      </w:r>
      <w:r>
        <w:t>20</w:t>
      </w:r>
      <w:r w:rsidRPr="00ED4FA1">
        <w:t>, the assessment provisions of the Mental Health Act were applied as follows.</w:t>
      </w:r>
    </w:p>
    <w:tbl>
      <w:tblPr>
        <w:tblW w:w="0" w:type="auto"/>
        <w:tblInd w:w="3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01"/>
        <w:gridCol w:w="3544"/>
        <w:gridCol w:w="2835"/>
      </w:tblGrid>
      <w:tr w:rsidR="00EC625C" w:rsidRPr="000C5A1A" w14:paraId="15535255" w14:textId="77777777" w:rsidTr="00EC625C">
        <w:trPr>
          <w:cantSplit/>
        </w:trPr>
        <w:tc>
          <w:tcPr>
            <w:tcW w:w="1401" w:type="dxa"/>
            <w:tcBorders>
              <w:top w:val="single" w:sz="4" w:space="0" w:color="D9D9D9" w:themeColor="background1" w:themeShade="D9"/>
              <w:bottom w:val="single" w:sz="4" w:space="0" w:color="FFFFFF" w:themeColor="background1"/>
            </w:tcBorders>
            <w:shd w:val="clear" w:color="auto" w:fill="D9D9D9" w:themeFill="background1" w:themeFillShade="D9"/>
          </w:tcPr>
          <w:p w14:paraId="11DAA11F" w14:textId="77777777" w:rsidR="00410071" w:rsidRPr="00EC625C" w:rsidRDefault="00410071" w:rsidP="00EC625C">
            <w:pPr>
              <w:pStyle w:val="TableText"/>
              <w:rPr>
                <w:b/>
              </w:rPr>
            </w:pPr>
            <w:r w:rsidRPr="00EC625C">
              <w:rPr>
                <w:b/>
              </w:rPr>
              <w:t>Section 11</w:t>
            </w:r>
          </w:p>
        </w:tc>
        <w:tc>
          <w:tcPr>
            <w:tcW w:w="3544" w:type="dxa"/>
            <w:shd w:val="clear" w:color="auto" w:fill="auto"/>
          </w:tcPr>
          <w:p w14:paraId="0B63D3A5" w14:textId="77777777" w:rsidR="00410071" w:rsidRPr="000C5A1A" w:rsidRDefault="00410071" w:rsidP="00EC625C">
            <w:pPr>
              <w:pStyle w:val="TableText"/>
              <w:ind w:right="113"/>
            </w:pPr>
            <w:r>
              <w:t>644</w:t>
            </w:r>
            <w:r w:rsidRPr="000C5A1A">
              <w:t xml:space="preserve"> people were subject to an initial assessment</w:t>
            </w:r>
            <w:r>
              <w:t>.</w:t>
            </w:r>
          </w:p>
        </w:tc>
        <w:tc>
          <w:tcPr>
            <w:tcW w:w="2835" w:type="dxa"/>
            <w:shd w:val="clear" w:color="auto" w:fill="auto"/>
          </w:tcPr>
          <w:p w14:paraId="0FBB08F5" w14:textId="77777777" w:rsidR="00410071" w:rsidRPr="000C5A1A" w:rsidRDefault="00410071" w:rsidP="00EC625C">
            <w:pPr>
              <w:pStyle w:val="TableText"/>
            </w:pPr>
            <w:r>
              <w:t>13</w:t>
            </w:r>
            <w:r w:rsidRPr="000C5A1A">
              <w:t xml:space="preserve"> people per 100,000 population</w:t>
            </w:r>
          </w:p>
        </w:tc>
      </w:tr>
      <w:tr w:rsidR="00EC625C" w:rsidRPr="000C5A1A" w14:paraId="17287361" w14:textId="77777777" w:rsidTr="00EC625C">
        <w:trPr>
          <w:cantSplit/>
        </w:trPr>
        <w:tc>
          <w:tcPr>
            <w:tcW w:w="1401" w:type="dxa"/>
            <w:tcBorders>
              <w:top w:val="single" w:sz="4" w:space="0" w:color="FFFFFF" w:themeColor="background1"/>
              <w:bottom w:val="single" w:sz="4" w:space="0" w:color="FFFFFF" w:themeColor="background1"/>
            </w:tcBorders>
            <w:shd w:val="clear" w:color="auto" w:fill="D9D9D9" w:themeFill="background1" w:themeFillShade="D9"/>
          </w:tcPr>
          <w:p w14:paraId="388A4A9D" w14:textId="77777777" w:rsidR="00410071" w:rsidRPr="00EC625C" w:rsidRDefault="00410071" w:rsidP="00EC625C">
            <w:pPr>
              <w:pStyle w:val="TableText"/>
              <w:rPr>
                <w:b/>
              </w:rPr>
            </w:pPr>
            <w:r w:rsidRPr="00EC625C">
              <w:rPr>
                <w:b/>
              </w:rPr>
              <w:t>Section 13</w:t>
            </w:r>
          </w:p>
        </w:tc>
        <w:tc>
          <w:tcPr>
            <w:tcW w:w="3544" w:type="dxa"/>
            <w:shd w:val="clear" w:color="auto" w:fill="auto"/>
          </w:tcPr>
          <w:p w14:paraId="2C5D4AAB" w14:textId="77777777" w:rsidR="00410071" w:rsidRPr="000C5A1A" w:rsidRDefault="00410071" w:rsidP="00EC625C">
            <w:pPr>
              <w:pStyle w:val="TableText"/>
              <w:ind w:right="113"/>
            </w:pPr>
            <w:r>
              <w:t>667</w:t>
            </w:r>
            <w:r w:rsidRPr="000C5A1A">
              <w:t xml:space="preserve"> people were subject to a second period of assessment</w:t>
            </w:r>
            <w:r>
              <w:t>.</w:t>
            </w:r>
          </w:p>
        </w:tc>
        <w:tc>
          <w:tcPr>
            <w:tcW w:w="2835" w:type="dxa"/>
            <w:shd w:val="clear" w:color="auto" w:fill="auto"/>
          </w:tcPr>
          <w:p w14:paraId="12064F9A" w14:textId="77777777" w:rsidR="00410071" w:rsidRPr="000C5A1A" w:rsidRDefault="00410071" w:rsidP="00EC625C">
            <w:pPr>
              <w:pStyle w:val="TableText"/>
            </w:pPr>
            <w:r>
              <w:t xml:space="preserve">13 </w:t>
            </w:r>
            <w:r w:rsidRPr="000C5A1A">
              <w:t>people per 100,000 population</w:t>
            </w:r>
          </w:p>
        </w:tc>
      </w:tr>
      <w:tr w:rsidR="00EC625C" w:rsidRPr="000C5A1A" w14:paraId="0612A030" w14:textId="77777777" w:rsidTr="00EC625C">
        <w:trPr>
          <w:cantSplit/>
        </w:trPr>
        <w:tc>
          <w:tcPr>
            <w:tcW w:w="1401" w:type="dxa"/>
            <w:tcBorders>
              <w:top w:val="single" w:sz="4" w:space="0" w:color="FFFFFF" w:themeColor="background1"/>
              <w:bottom w:val="single" w:sz="4" w:space="0" w:color="D9D9D9" w:themeColor="background1" w:themeShade="D9"/>
            </w:tcBorders>
            <w:shd w:val="clear" w:color="auto" w:fill="D9D9D9" w:themeFill="background1" w:themeFillShade="D9"/>
          </w:tcPr>
          <w:p w14:paraId="05DF1F11" w14:textId="77777777" w:rsidR="00410071" w:rsidRPr="00EC625C" w:rsidRDefault="00410071" w:rsidP="00EC625C">
            <w:pPr>
              <w:pStyle w:val="TableText"/>
              <w:rPr>
                <w:b/>
              </w:rPr>
            </w:pPr>
            <w:r w:rsidRPr="00EC625C">
              <w:rPr>
                <w:b/>
              </w:rPr>
              <w:t>Section 14(4)</w:t>
            </w:r>
          </w:p>
        </w:tc>
        <w:tc>
          <w:tcPr>
            <w:tcW w:w="3544" w:type="dxa"/>
            <w:shd w:val="clear" w:color="auto" w:fill="auto"/>
          </w:tcPr>
          <w:p w14:paraId="5BB785F2" w14:textId="77777777" w:rsidR="00410071" w:rsidRPr="00EC625C" w:rsidRDefault="00410071" w:rsidP="00EC625C">
            <w:pPr>
              <w:pStyle w:val="TableText"/>
              <w:ind w:right="113"/>
              <w:rPr>
                <w:spacing w:val="-2"/>
              </w:rPr>
            </w:pPr>
            <w:r w:rsidRPr="00EC625C">
              <w:rPr>
                <w:spacing w:val="-2"/>
              </w:rPr>
              <w:t>463 people were subject to an application for a compulsory treatment order.</w:t>
            </w:r>
          </w:p>
        </w:tc>
        <w:tc>
          <w:tcPr>
            <w:tcW w:w="2835" w:type="dxa"/>
            <w:shd w:val="clear" w:color="auto" w:fill="auto"/>
          </w:tcPr>
          <w:p w14:paraId="2A9A8CA7" w14:textId="77777777" w:rsidR="00410071" w:rsidRPr="000C5A1A" w:rsidRDefault="00410071" w:rsidP="00EC625C">
            <w:pPr>
              <w:pStyle w:val="TableText"/>
            </w:pPr>
            <w:r>
              <w:t>9</w:t>
            </w:r>
            <w:r w:rsidRPr="000C5A1A">
              <w:t xml:space="preserve"> people per 100,000 population</w:t>
            </w:r>
          </w:p>
        </w:tc>
      </w:tr>
    </w:tbl>
    <w:p w14:paraId="139809C9" w14:textId="77777777" w:rsidR="00410071" w:rsidRPr="00200234" w:rsidRDefault="00410071" w:rsidP="00EC625C">
      <w:pPr>
        <w:pStyle w:val="Source"/>
        <w:ind w:left="284"/>
      </w:pPr>
      <w:r w:rsidRPr="00200234">
        <w:t>Source: PRIMHD data</w:t>
      </w:r>
      <w:r>
        <w:t xml:space="preserve"> (extracted</w:t>
      </w:r>
      <w:r w:rsidRPr="00200234">
        <w:t xml:space="preserve"> </w:t>
      </w:r>
      <w:r>
        <w:t>1</w:t>
      </w:r>
      <w:r w:rsidRPr="00200234">
        <w:t xml:space="preserve"> July 20</w:t>
      </w:r>
      <w:r>
        <w:t>21)</w:t>
      </w:r>
    </w:p>
    <w:p w14:paraId="4ABC2E46" w14:textId="77777777" w:rsidR="00410071" w:rsidRPr="00ED4FA1" w:rsidRDefault="00410071" w:rsidP="00EC625C">
      <w:pPr>
        <w:pStyle w:val="Bullet"/>
        <w:keepNext/>
        <w:spacing w:before="240" w:after="120"/>
      </w:pPr>
      <w:r w:rsidRPr="00ED4FA1">
        <w:lastRenderedPageBreak/>
        <w:t xml:space="preserve">In </w:t>
      </w:r>
      <w:r>
        <w:t xml:space="preserve">Aotearoa </w:t>
      </w:r>
      <w:r w:rsidRPr="00ED4FA1">
        <w:t>New Zealand, on an average day in 20</w:t>
      </w:r>
      <w:r>
        <w:t>20</w:t>
      </w:r>
      <w:r w:rsidRPr="00ED4FA1">
        <w:t>, the treatment provisions of the Mental Health Act were applied as follows.</w:t>
      </w:r>
    </w:p>
    <w:tbl>
      <w:tblPr>
        <w:tblW w:w="0" w:type="auto"/>
        <w:tblInd w:w="3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3544"/>
        <w:gridCol w:w="2835"/>
      </w:tblGrid>
      <w:tr w:rsidR="00EC625C" w:rsidRPr="000C5A1A" w14:paraId="47B7568E" w14:textId="77777777" w:rsidTr="00EC625C">
        <w:trPr>
          <w:cantSplit/>
        </w:trPr>
        <w:tc>
          <w:tcPr>
            <w:tcW w:w="1418" w:type="dxa"/>
            <w:tcBorders>
              <w:top w:val="single" w:sz="4" w:space="0" w:color="D9D9D9" w:themeColor="background1" w:themeShade="D9"/>
              <w:bottom w:val="single" w:sz="4" w:space="0" w:color="FFFFFF" w:themeColor="background1"/>
            </w:tcBorders>
            <w:shd w:val="clear" w:color="auto" w:fill="D9D9D9" w:themeFill="background1" w:themeFillShade="D9"/>
          </w:tcPr>
          <w:p w14:paraId="30480D7F" w14:textId="77777777" w:rsidR="00410071" w:rsidRPr="00EC625C" w:rsidRDefault="00410071" w:rsidP="00EC625C">
            <w:pPr>
              <w:pStyle w:val="TableText"/>
              <w:keepNext/>
              <w:rPr>
                <w:b/>
              </w:rPr>
            </w:pPr>
            <w:r w:rsidRPr="00EC625C">
              <w:rPr>
                <w:b/>
              </w:rPr>
              <w:t>Section 29</w:t>
            </w:r>
          </w:p>
        </w:tc>
        <w:tc>
          <w:tcPr>
            <w:tcW w:w="3544" w:type="dxa"/>
            <w:shd w:val="clear" w:color="auto" w:fill="auto"/>
          </w:tcPr>
          <w:p w14:paraId="573A8159" w14:textId="77777777" w:rsidR="00410071" w:rsidRPr="000C5A1A" w:rsidRDefault="00410071" w:rsidP="00EC625C">
            <w:pPr>
              <w:pStyle w:val="TableText"/>
              <w:keepNext/>
              <w:ind w:right="113"/>
            </w:pPr>
            <w:r>
              <w:t>4.627</w:t>
            </w:r>
            <w:r w:rsidRPr="000C5A1A">
              <w:t xml:space="preserve"> people were subject to a community treatment order</w:t>
            </w:r>
            <w:r>
              <w:t>.</w:t>
            </w:r>
          </w:p>
        </w:tc>
        <w:tc>
          <w:tcPr>
            <w:tcW w:w="2835" w:type="dxa"/>
            <w:shd w:val="clear" w:color="auto" w:fill="auto"/>
          </w:tcPr>
          <w:p w14:paraId="7A8126B8" w14:textId="77777777" w:rsidR="00410071" w:rsidRPr="000C5A1A" w:rsidRDefault="00410071" w:rsidP="00EC625C">
            <w:pPr>
              <w:pStyle w:val="TableText"/>
              <w:keepNext/>
            </w:pPr>
            <w:r>
              <w:t>91</w:t>
            </w:r>
            <w:r w:rsidRPr="000C5A1A">
              <w:t xml:space="preserve"> people per 100,000 population</w:t>
            </w:r>
          </w:p>
        </w:tc>
      </w:tr>
      <w:tr w:rsidR="00EC625C" w:rsidRPr="000C5A1A" w14:paraId="1FECE60A" w14:textId="77777777" w:rsidTr="00EC625C">
        <w:trPr>
          <w:cantSplit/>
        </w:trPr>
        <w:tc>
          <w:tcPr>
            <w:tcW w:w="1418" w:type="dxa"/>
            <w:tcBorders>
              <w:top w:val="single" w:sz="4" w:space="0" w:color="FFFFFF" w:themeColor="background1"/>
              <w:bottom w:val="single" w:sz="4" w:space="0" w:color="FFFFFF" w:themeColor="background1"/>
            </w:tcBorders>
            <w:shd w:val="clear" w:color="auto" w:fill="D9D9D9" w:themeFill="background1" w:themeFillShade="D9"/>
          </w:tcPr>
          <w:p w14:paraId="5F806D36" w14:textId="77777777" w:rsidR="00410071" w:rsidRPr="00EC625C" w:rsidRDefault="00410071" w:rsidP="00EC625C">
            <w:pPr>
              <w:pStyle w:val="TableText"/>
              <w:keepNext/>
              <w:rPr>
                <w:b/>
              </w:rPr>
            </w:pPr>
            <w:r w:rsidRPr="00EC625C">
              <w:rPr>
                <w:b/>
              </w:rPr>
              <w:t>Section 30</w:t>
            </w:r>
          </w:p>
        </w:tc>
        <w:tc>
          <w:tcPr>
            <w:tcW w:w="3544" w:type="dxa"/>
            <w:shd w:val="clear" w:color="auto" w:fill="auto"/>
          </w:tcPr>
          <w:p w14:paraId="5CEA9279" w14:textId="77777777" w:rsidR="00410071" w:rsidRPr="000C5A1A" w:rsidRDefault="00410071" w:rsidP="00EC625C">
            <w:pPr>
              <w:pStyle w:val="TableText"/>
              <w:keepNext/>
              <w:ind w:right="113"/>
            </w:pPr>
            <w:r>
              <w:t>609</w:t>
            </w:r>
            <w:r w:rsidRPr="000C5A1A">
              <w:t xml:space="preserve"> people were subject to an inpatient treatment order</w:t>
            </w:r>
            <w:r>
              <w:t>.</w:t>
            </w:r>
          </w:p>
        </w:tc>
        <w:tc>
          <w:tcPr>
            <w:tcW w:w="2835" w:type="dxa"/>
            <w:shd w:val="clear" w:color="auto" w:fill="auto"/>
          </w:tcPr>
          <w:p w14:paraId="2E020E57" w14:textId="77777777" w:rsidR="00410071" w:rsidRPr="000C5A1A" w:rsidRDefault="00410071" w:rsidP="00EC625C">
            <w:pPr>
              <w:pStyle w:val="TableText"/>
              <w:keepNext/>
            </w:pPr>
            <w:r>
              <w:t>12</w:t>
            </w:r>
            <w:r w:rsidRPr="000C5A1A">
              <w:t xml:space="preserve"> people per 100,000 population</w:t>
            </w:r>
          </w:p>
        </w:tc>
      </w:tr>
      <w:tr w:rsidR="00EC625C" w:rsidRPr="000C5A1A" w14:paraId="6BAEEE32" w14:textId="77777777" w:rsidTr="00EC625C">
        <w:trPr>
          <w:cantSplit/>
        </w:trPr>
        <w:tc>
          <w:tcPr>
            <w:tcW w:w="1418" w:type="dxa"/>
            <w:tcBorders>
              <w:top w:val="single" w:sz="4" w:space="0" w:color="FFFFFF" w:themeColor="background1"/>
              <w:bottom w:val="single" w:sz="4" w:space="0" w:color="D9D9D9" w:themeColor="background1" w:themeShade="D9"/>
            </w:tcBorders>
            <w:shd w:val="clear" w:color="auto" w:fill="D9D9D9" w:themeFill="background1" w:themeFillShade="D9"/>
          </w:tcPr>
          <w:p w14:paraId="5E41DD94" w14:textId="77777777" w:rsidR="00410071" w:rsidRPr="00EC625C" w:rsidRDefault="00410071" w:rsidP="00EC625C">
            <w:pPr>
              <w:pStyle w:val="TableText"/>
              <w:rPr>
                <w:b/>
              </w:rPr>
            </w:pPr>
            <w:r w:rsidRPr="00EC625C">
              <w:rPr>
                <w:b/>
              </w:rPr>
              <w:t>Section 31</w:t>
            </w:r>
          </w:p>
        </w:tc>
        <w:tc>
          <w:tcPr>
            <w:tcW w:w="3544" w:type="dxa"/>
            <w:shd w:val="clear" w:color="auto" w:fill="auto"/>
          </w:tcPr>
          <w:p w14:paraId="1FDE6FB4" w14:textId="77777777" w:rsidR="00410071" w:rsidRPr="000C5A1A" w:rsidRDefault="00410071" w:rsidP="00EC625C">
            <w:pPr>
              <w:pStyle w:val="TableText"/>
              <w:ind w:right="113"/>
            </w:pPr>
            <w:r>
              <w:t>157</w:t>
            </w:r>
            <w:r w:rsidRPr="000C5A1A">
              <w:t xml:space="preserve"> people were on temporary leave from an inpatient unit</w:t>
            </w:r>
            <w:r>
              <w:t>.</w:t>
            </w:r>
            <w:r w:rsidRPr="000C5A1A">
              <w:t xml:space="preserve"> </w:t>
            </w:r>
          </w:p>
        </w:tc>
        <w:tc>
          <w:tcPr>
            <w:tcW w:w="2835" w:type="dxa"/>
            <w:shd w:val="clear" w:color="auto" w:fill="auto"/>
          </w:tcPr>
          <w:p w14:paraId="33700650" w14:textId="77777777" w:rsidR="00410071" w:rsidRPr="000C5A1A" w:rsidRDefault="00410071" w:rsidP="00EC625C">
            <w:pPr>
              <w:pStyle w:val="TableText"/>
            </w:pPr>
            <w:r>
              <w:t>3</w:t>
            </w:r>
            <w:r w:rsidRPr="000C5A1A">
              <w:t xml:space="preserve"> people per 100,000 population</w:t>
            </w:r>
          </w:p>
        </w:tc>
      </w:tr>
    </w:tbl>
    <w:p w14:paraId="30F4EAC7" w14:textId="77777777" w:rsidR="00410071" w:rsidRPr="00200234" w:rsidRDefault="00410071" w:rsidP="00AE7C03">
      <w:pPr>
        <w:pStyle w:val="Note"/>
        <w:ind w:left="284"/>
      </w:pPr>
      <w:r w:rsidRPr="00200234">
        <w:t xml:space="preserve">Note: </w:t>
      </w:r>
      <w:r w:rsidR="0039221C">
        <w:t>‘</w:t>
      </w:r>
      <w:r w:rsidRPr="00200234">
        <w:t>On a given</w:t>
      </w:r>
      <w:r w:rsidR="00781293">
        <w:t xml:space="preserve"> day</w:t>
      </w:r>
      <w:r w:rsidR="0039221C">
        <w:t>’</w:t>
      </w:r>
      <w:r w:rsidRPr="00200234">
        <w:t xml:space="preserve"> is the average of the last day of each month.</w:t>
      </w:r>
    </w:p>
    <w:p w14:paraId="3EDF9C73" w14:textId="77777777" w:rsidR="00410071" w:rsidRDefault="00410071" w:rsidP="00AE7C03">
      <w:pPr>
        <w:pStyle w:val="Source"/>
        <w:ind w:left="284"/>
      </w:pPr>
      <w:r w:rsidRPr="00200234">
        <w:t>Sources: PRIMHD data</w:t>
      </w:r>
      <w:r>
        <w:t xml:space="preserve"> (extracted</w:t>
      </w:r>
      <w:r w:rsidRPr="00200234">
        <w:t xml:space="preserve"> </w:t>
      </w:r>
      <w:r>
        <w:t>1 July 2021)</w:t>
      </w:r>
      <w:r w:rsidRPr="00200234">
        <w:t xml:space="preserve"> and manual data from </w:t>
      </w:r>
      <w:r>
        <w:t>Counties Manukau</w:t>
      </w:r>
      <w:r w:rsidRPr="00200234">
        <w:t xml:space="preserve"> </w:t>
      </w:r>
      <w:r>
        <w:t>District Health Board (</w:t>
      </w:r>
      <w:r w:rsidRPr="00200234">
        <w:t>DHB</w:t>
      </w:r>
      <w:r>
        <w:t>) (section 30 only)</w:t>
      </w:r>
    </w:p>
    <w:p w14:paraId="2381BE8C" w14:textId="77777777" w:rsidR="00410071" w:rsidRDefault="00410071" w:rsidP="00AE7C03"/>
    <w:p w14:paraId="4377C15F" w14:textId="09CCC01F" w:rsidR="0039221C" w:rsidRDefault="00410071" w:rsidP="00AE7C03">
      <w:r>
        <w:fldChar w:fldCharType="begin"/>
      </w:r>
      <w:r>
        <w:instrText xml:space="preserve"> REF _Ref85553600 \h </w:instrText>
      </w:r>
      <w:r>
        <w:fldChar w:fldCharType="separate"/>
      </w:r>
      <w:r w:rsidR="00840F18">
        <w:t>Figure </w:t>
      </w:r>
      <w:r w:rsidR="00840F18">
        <w:rPr>
          <w:noProof/>
        </w:rPr>
        <w:t>1</w:t>
      </w:r>
      <w:r>
        <w:fldChar w:fldCharType="end"/>
      </w:r>
      <w:r>
        <w:t xml:space="preserve"> shows that the number of compulsory treatment orders and extensions being applied for and being granted has gradually increased since 2004, while the number of applications being dismissed or withdrawn has remained relatively stable.</w:t>
      </w:r>
    </w:p>
    <w:p w14:paraId="64424269" w14:textId="77777777" w:rsidR="00410071" w:rsidRDefault="00410071" w:rsidP="00AE7C03"/>
    <w:p w14:paraId="5CFA9B5F" w14:textId="736F4CA2" w:rsidR="00410071" w:rsidRDefault="00410071" w:rsidP="00410071">
      <w:pPr>
        <w:pStyle w:val="Figure"/>
      </w:pPr>
      <w:bookmarkStart w:id="17" w:name="_Ref85553600"/>
      <w:bookmarkStart w:id="18" w:name="_Toc85442559"/>
      <w:bookmarkStart w:id="19" w:name="_Toc85445899"/>
      <w:bookmarkStart w:id="20" w:name="_Toc87429950"/>
      <w:bookmarkStart w:id="21" w:name="_Toc88561382"/>
      <w:r>
        <w:t>Figure</w:t>
      </w:r>
      <w:r w:rsidR="00AE7C03">
        <w:t> </w:t>
      </w:r>
      <w:r w:rsidR="00592799">
        <w:fldChar w:fldCharType="begin"/>
      </w:r>
      <w:r w:rsidR="00592799">
        <w:instrText xml:space="preserve"> SEQ Figure \* ARABIC </w:instrText>
      </w:r>
      <w:r w:rsidR="00592799">
        <w:fldChar w:fldCharType="separate"/>
      </w:r>
      <w:r w:rsidR="00840F18">
        <w:rPr>
          <w:noProof/>
        </w:rPr>
        <w:t>1</w:t>
      </w:r>
      <w:r w:rsidR="00592799">
        <w:rPr>
          <w:noProof/>
        </w:rPr>
        <w:fldChar w:fldCharType="end"/>
      </w:r>
      <w:bookmarkEnd w:id="17"/>
      <w:r>
        <w:t>: Applications for compulsory treatment orders and extensions, 2004–2020</w:t>
      </w:r>
      <w:bookmarkEnd w:id="18"/>
      <w:bookmarkEnd w:id="19"/>
      <w:bookmarkEnd w:id="20"/>
      <w:bookmarkEnd w:id="21"/>
    </w:p>
    <w:p w14:paraId="15277490" w14:textId="77777777" w:rsidR="00410071" w:rsidRDefault="00410071" w:rsidP="00410071">
      <w:r>
        <w:rPr>
          <w:noProof/>
          <w:lang w:eastAsia="en-NZ"/>
        </w:rPr>
        <w:drawing>
          <wp:inline distT="0" distB="0" distL="0" distR="0" wp14:anchorId="08AE0A1F" wp14:editId="34076117">
            <wp:extent cx="5731510" cy="2581275"/>
            <wp:effectExtent l="0" t="0" r="2540" b="0"/>
            <wp:docPr id="1" name="Chart 1" descr="This line graph shows that the total number of applications has gradually risen from around 4400 in 2004 to 5900 in 2020. The number of granted applications has risen at a similar rate from around 3900 in 2004 to 5100 in 2020, and the number of dismissed applications has ranged between 60 to 100 throughout this time. The number of withdrawn applications has risen from 460 to 599 from 2004 to 2020.">
              <a:extLst xmlns:a="http://schemas.openxmlformats.org/drawingml/2006/main">
                <a:ext uri="{FF2B5EF4-FFF2-40B4-BE49-F238E27FC236}">
                  <a16:creationId xmlns:a16="http://schemas.microsoft.com/office/drawing/2014/main" id="{6B484A93-E74A-4C58-8CA1-16C8C0D838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AF851E" w14:textId="77777777" w:rsidR="00410071" w:rsidRPr="00200234" w:rsidRDefault="00410071" w:rsidP="00AE7C03">
      <w:pPr>
        <w:pStyle w:val="Note"/>
        <w:rPr>
          <w:rFonts w:eastAsia="MS Gothic"/>
        </w:rPr>
      </w:pPr>
      <w:r w:rsidRPr="00200234">
        <w:rPr>
          <w:rFonts w:eastAsia="MS Gothic"/>
        </w:rPr>
        <w:t>Notes: This</w:t>
      </w:r>
      <w:r>
        <w:rPr>
          <w:rFonts w:eastAsia="MS Gothic"/>
        </w:rPr>
        <w:t xml:space="preserve"> figure represents data entered</w:t>
      </w:r>
      <w:r w:rsidRPr="00200234">
        <w:rPr>
          <w:rFonts w:eastAsia="MS Gothic"/>
        </w:rPr>
        <w:t xml:space="preserve"> into the case management system (CMS). The CMS is a live operational database. Figures are subject to minor changes at any time.</w:t>
      </w:r>
    </w:p>
    <w:p w14:paraId="59928A57" w14:textId="77777777" w:rsidR="00410071" w:rsidRDefault="00410071" w:rsidP="00AE7C03">
      <w:pPr>
        <w:pStyle w:val="Source"/>
        <w:rPr>
          <w:rFonts w:eastAsia="MS Gothic"/>
        </w:rPr>
      </w:pPr>
      <w:r w:rsidRPr="00200234">
        <w:rPr>
          <w:rFonts w:eastAsia="MS Gothic"/>
        </w:rPr>
        <w:t xml:space="preserve">Source: Ministry of Justice Integrated Sector Intelligence System as at </w:t>
      </w:r>
      <w:r>
        <w:rPr>
          <w:rFonts w:eastAsia="MS Gothic"/>
        </w:rPr>
        <w:t>1 February 2021.</w:t>
      </w:r>
    </w:p>
    <w:p w14:paraId="65D21F84" w14:textId="77777777" w:rsidR="00410071" w:rsidRDefault="00410071" w:rsidP="00AE7C03">
      <w:pPr>
        <w:rPr>
          <w:rFonts w:eastAsia="MS Gothic"/>
        </w:rPr>
      </w:pPr>
    </w:p>
    <w:p w14:paraId="49100B15" w14:textId="22481D5B" w:rsidR="00410071" w:rsidRDefault="00410071" w:rsidP="00AE7C03">
      <w:pPr>
        <w:rPr>
          <w:rFonts w:eastAsia="MS Gothic"/>
        </w:rPr>
      </w:pPr>
      <w:r>
        <w:rPr>
          <w:rFonts w:eastAsia="MS Gothic"/>
        </w:rPr>
        <w:t xml:space="preserve">The gap between community-based compulsory treatment orders and inpatient compulsory treatment orders appears to be increasing slowly over time. </w:t>
      </w:r>
      <w:r>
        <w:rPr>
          <w:rFonts w:eastAsia="MS Gothic"/>
        </w:rPr>
        <w:fldChar w:fldCharType="begin"/>
      </w:r>
      <w:r>
        <w:rPr>
          <w:rFonts w:eastAsia="MS Gothic"/>
        </w:rPr>
        <w:instrText xml:space="preserve"> REF _Ref84315731 \h </w:instrText>
      </w:r>
      <w:r>
        <w:rPr>
          <w:rFonts w:eastAsia="MS Gothic"/>
        </w:rPr>
      </w:r>
      <w:r>
        <w:rPr>
          <w:rFonts w:eastAsia="MS Gothic"/>
        </w:rPr>
        <w:fldChar w:fldCharType="separate"/>
      </w:r>
      <w:r w:rsidR="00840F18">
        <w:t>Figure </w:t>
      </w:r>
      <w:r w:rsidR="00840F18">
        <w:rPr>
          <w:noProof/>
        </w:rPr>
        <w:t>2</w:t>
      </w:r>
      <w:r>
        <w:rPr>
          <w:rFonts w:eastAsia="MS Gothic"/>
        </w:rPr>
        <w:fldChar w:fldCharType="end"/>
      </w:r>
      <w:r>
        <w:rPr>
          <w:rFonts w:eastAsia="MS Gothic"/>
        </w:rPr>
        <w:t xml:space="preserve"> shows the number of granted applications for community and inpatient compulsory treatment orders since 2004.</w:t>
      </w:r>
    </w:p>
    <w:p w14:paraId="0785EF56" w14:textId="77777777" w:rsidR="00410071" w:rsidRPr="008161EE" w:rsidRDefault="00410071" w:rsidP="00AE7C03">
      <w:pPr>
        <w:rPr>
          <w:rFonts w:eastAsia="MS Gothic"/>
        </w:rPr>
      </w:pPr>
    </w:p>
    <w:p w14:paraId="383B6D64" w14:textId="5A8779EA" w:rsidR="00410071" w:rsidRDefault="00410071" w:rsidP="00D73AC0">
      <w:pPr>
        <w:pStyle w:val="Figure"/>
      </w:pPr>
      <w:bookmarkStart w:id="22" w:name="_Ref84315731"/>
      <w:bookmarkStart w:id="23" w:name="_Toc85442560"/>
      <w:bookmarkStart w:id="24" w:name="_Toc85445900"/>
      <w:bookmarkStart w:id="25" w:name="_Toc87429951"/>
      <w:bookmarkStart w:id="26" w:name="_Toc88561383"/>
      <w:r>
        <w:lastRenderedPageBreak/>
        <w:t>Figure</w:t>
      </w:r>
      <w:r w:rsidR="00AE7C03">
        <w:t> </w:t>
      </w:r>
      <w:r w:rsidR="00592799">
        <w:fldChar w:fldCharType="begin"/>
      </w:r>
      <w:r w:rsidR="00592799">
        <w:instrText xml:space="preserve"> SEQ Figure \* ARABIC </w:instrText>
      </w:r>
      <w:r w:rsidR="00592799">
        <w:fldChar w:fldCharType="separate"/>
      </w:r>
      <w:r w:rsidR="00840F18">
        <w:rPr>
          <w:noProof/>
        </w:rPr>
        <w:t>2</w:t>
      </w:r>
      <w:r w:rsidR="00592799">
        <w:rPr>
          <w:noProof/>
        </w:rPr>
        <w:fldChar w:fldCharType="end"/>
      </w:r>
      <w:bookmarkEnd w:id="22"/>
      <w:r>
        <w:t>: Number of granted compulsory treatment orders and extensions,</w:t>
      </w:r>
      <w:r w:rsidR="00AE7C03">
        <w:br/>
      </w:r>
      <w:r>
        <w:t>2004–2020</w:t>
      </w:r>
      <w:bookmarkEnd w:id="23"/>
      <w:bookmarkEnd w:id="24"/>
      <w:bookmarkEnd w:id="25"/>
      <w:bookmarkEnd w:id="26"/>
    </w:p>
    <w:p w14:paraId="5AE0632D" w14:textId="77777777" w:rsidR="00410071" w:rsidRDefault="00410071" w:rsidP="00410071">
      <w:r>
        <w:rPr>
          <w:noProof/>
          <w:lang w:eastAsia="en-NZ"/>
        </w:rPr>
        <w:drawing>
          <wp:inline distT="0" distB="0" distL="0" distR="0" wp14:anchorId="4A0939C0" wp14:editId="00FF5D1A">
            <wp:extent cx="5690870" cy="2562225"/>
            <wp:effectExtent l="0" t="0" r="5080" b="0"/>
            <wp:docPr id="7" name="Chart 7" descr="This line graph shows that the number of granted applications for community treatment orders has risen from around 1800 in 2004 to 3000 in 2020, with a slight dip in 2017 of 2600. The number of granted inpatient orders has risen from around 1500 in 2004 to 1800 in 2020.">
              <a:extLst xmlns:a="http://schemas.openxmlformats.org/drawingml/2006/main">
                <a:ext uri="{FF2B5EF4-FFF2-40B4-BE49-F238E27FC236}">
                  <a16:creationId xmlns:a16="http://schemas.microsoft.com/office/drawing/2014/main" id="{24CF580E-D83C-43E7-9B34-E60E618578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49AAFC" w14:textId="77777777" w:rsidR="00410071" w:rsidRPr="00200234" w:rsidRDefault="00410071" w:rsidP="00AE7C03">
      <w:pPr>
        <w:pStyle w:val="Note"/>
        <w:rPr>
          <w:rFonts w:eastAsia="MS Gothic"/>
        </w:rPr>
      </w:pPr>
      <w:r w:rsidRPr="00200234">
        <w:rPr>
          <w:rFonts w:eastAsia="MS Gothic"/>
        </w:rPr>
        <w:t xml:space="preserve">Notes: </w:t>
      </w:r>
      <w:r>
        <w:rPr>
          <w:rFonts w:eastAsia="MS Gothic"/>
        </w:rPr>
        <w:t xml:space="preserve">CTO = compulsory treatment order. </w:t>
      </w:r>
      <w:r w:rsidRPr="00200234">
        <w:rPr>
          <w:rFonts w:eastAsia="MS Gothic"/>
        </w:rPr>
        <w:t>This</w:t>
      </w:r>
      <w:r>
        <w:rPr>
          <w:rFonts w:eastAsia="MS Gothic"/>
        </w:rPr>
        <w:t xml:space="preserve"> figure represents data entered</w:t>
      </w:r>
      <w:r w:rsidRPr="00200234">
        <w:rPr>
          <w:rFonts w:eastAsia="MS Gothic"/>
        </w:rPr>
        <w:t xml:space="preserve"> into the case management system (CMS). The CMS is a live operational database. Figures are subject to minor changes at any time.</w:t>
      </w:r>
    </w:p>
    <w:p w14:paraId="3E316621" w14:textId="77777777" w:rsidR="00410071" w:rsidRDefault="00410071" w:rsidP="00AE7C03">
      <w:pPr>
        <w:pStyle w:val="Source"/>
        <w:rPr>
          <w:rFonts w:eastAsia="MS Gothic"/>
        </w:rPr>
      </w:pPr>
      <w:r w:rsidRPr="00200234">
        <w:rPr>
          <w:rFonts w:eastAsia="MS Gothic"/>
        </w:rPr>
        <w:t xml:space="preserve">Source: Ministry of Justice Integrated Sector Intelligence System as at </w:t>
      </w:r>
      <w:r>
        <w:rPr>
          <w:rFonts w:eastAsia="MS Gothic"/>
        </w:rPr>
        <w:t>1 February 2021.</w:t>
      </w:r>
    </w:p>
    <w:p w14:paraId="0827DF13" w14:textId="77777777" w:rsidR="00AE7C03" w:rsidRPr="00AE7C03" w:rsidRDefault="00AE7C03" w:rsidP="00AE7C03">
      <w:pPr>
        <w:rPr>
          <w:rFonts w:eastAsia="MS Gothic"/>
        </w:rPr>
      </w:pPr>
    </w:p>
    <w:p w14:paraId="7CA5A2A2" w14:textId="77777777" w:rsidR="00410071" w:rsidRPr="00200234" w:rsidRDefault="00410071" w:rsidP="00AE7C03">
      <w:pPr>
        <w:pStyle w:val="Heading2"/>
      </w:pPr>
      <w:bookmarkStart w:id="27" w:name="_Toc65141614"/>
      <w:bookmarkStart w:id="28" w:name="_Toc75176437"/>
      <w:bookmarkStart w:id="29" w:name="_Toc87429901"/>
      <w:bookmarkStart w:id="30" w:name="_Toc88826949"/>
      <w:r w:rsidRPr="00200234">
        <w:t xml:space="preserve">Comparing compulsory assessment and treatment among </w:t>
      </w:r>
      <w:bookmarkEnd w:id="27"/>
      <w:r w:rsidRPr="00200234">
        <w:t>DHBs</w:t>
      </w:r>
      <w:bookmarkEnd w:id="28"/>
      <w:bookmarkEnd w:id="29"/>
      <w:bookmarkEnd w:id="30"/>
    </w:p>
    <w:p w14:paraId="795D0CAC" w14:textId="0A340F12" w:rsidR="00410071" w:rsidRPr="00200234" w:rsidRDefault="00410071" w:rsidP="00410071">
      <w:r>
        <w:fldChar w:fldCharType="begin"/>
      </w:r>
      <w:r>
        <w:instrText xml:space="preserve"> REF _Ref85553658 \h </w:instrText>
      </w:r>
      <w:r>
        <w:fldChar w:fldCharType="separate"/>
      </w:r>
      <w:r w:rsidR="00840F18">
        <w:t>Table </w:t>
      </w:r>
      <w:r w:rsidR="00840F18">
        <w:rPr>
          <w:noProof/>
        </w:rPr>
        <w:t>1</w:t>
      </w:r>
      <w:r>
        <w:fldChar w:fldCharType="end"/>
      </w:r>
      <w:r w:rsidRPr="00200234">
        <w:t xml:space="preserve"> show</w:t>
      </w:r>
      <w:r>
        <w:t>s</w:t>
      </w:r>
      <w:r w:rsidRPr="00200234">
        <w:t xml:space="preserve"> the average number of people per month in </w:t>
      </w:r>
      <w:r>
        <w:t>2020</w:t>
      </w:r>
      <w:r w:rsidRPr="00200234">
        <w:t xml:space="preserve"> who were required to undergo assessment under the Mental Health Act in each </w:t>
      </w:r>
      <w:r>
        <w:t>district health board (</w:t>
      </w:r>
      <w:r w:rsidRPr="00200234">
        <w:t>DHB</w:t>
      </w:r>
      <w:r>
        <w:t>)</w:t>
      </w:r>
      <w:r w:rsidRPr="00200234">
        <w:t xml:space="preserve">. </w:t>
      </w:r>
      <w:r>
        <w:fldChar w:fldCharType="begin"/>
      </w:r>
      <w:r>
        <w:instrText xml:space="preserve"> REF _Ref85553671 \h </w:instrText>
      </w:r>
      <w:r>
        <w:fldChar w:fldCharType="separate"/>
      </w:r>
      <w:r w:rsidR="00840F18">
        <w:t>Table </w:t>
      </w:r>
      <w:r w:rsidR="00840F18">
        <w:rPr>
          <w:noProof/>
        </w:rPr>
        <w:t>2</w:t>
      </w:r>
      <w:r>
        <w:fldChar w:fldCharType="end"/>
      </w:r>
      <w:r>
        <w:t xml:space="preserve"> </w:t>
      </w:r>
      <w:r w:rsidRPr="00200234">
        <w:t>show</w:t>
      </w:r>
      <w:r>
        <w:t>s</w:t>
      </w:r>
      <w:r w:rsidRPr="00200234">
        <w:t xml:space="preserve"> the average number of people subject to a compulsory treatment order on a given day in </w:t>
      </w:r>
      <w:r>
        <w:t>2020</w:t>
      </w:r>
      <w:r w:rsidRPr="00200234">
        <w:t xml:space="preserve"> in each DHB. Figures </w:t>
      </w:r>
      <w:r w:rsidRPr="00200234">
        <w:fldChar w:fldCharType="begin"/>
      </w:r>
      <w:r w:rsidRPr="00200234">
        <w:instrText xml:space="preserve"> REF _Ref65671612 \# 0 \h </w:instrText>
      </w:r>
      <w:r w:rsidRPr="00200234">
        <w:fldChar w:fldCharType="separate"/>
      </w:r>
      <w:r w:rsidR="00840F18">
        <w:t>3</w:t>
      </w:r>
      <w:r w:rsidRPr="00200234">
        <w:fldChar w:fldCharType="end"/>
      </w:r>
      <w:r w:rsidRPr="00200234">
        <w:t xml:space="preserve"> </w:t>
      </w:r>
      <w:r>
        <w:t xml:space="preserve">and </w:t>
      </w:r>
      <w:r>
        <w:fldChar w:fldCharType="begin"/>
      </w:r>
      <w:r>
        <w:instrText xml:space="preserve"> REF _Ref84315824 \h </w:instrText>
      </w:r>
      <w:r>
        <w:fldChar w:fldCharType="separate"/>
      </w:r>
      <w:r w:rsidR="00840F18">
        <w:t>Figure </w:t>
      </w:r>
      <w:r w:rsidR="00840F18">
        <w:rPr>
          <w:noProof/>
        </w:rPr>
        <w:t>4</w:t>
      </w:r>
      <w:r>
        <w:fldChar w:fldCharType="end"/>
      </w:r>
      <w:r w:rsidRPr="00200234">
        <w:t xml:space="preserve"> present the average number of people subject to a compulsory treatment order on a given day, focusing specifically on either community treatment orders or inpatient treatment orders.</w:t>
      </w:r>
    </w:p>
    <w:p w14:paraId="01BC0B03" w14:textId="77777777" w:rsidR="00410071" w:rsidRPr="00200234" w:rsidRDefault="00410071" w:rsidP="00410071"/>
    <w:p w14:paraId="25FF348E" w14:textId="77777777" w:rsidR="00410071" w:rsidRPr="00200234" w:rsidRDefault="00410071" w:rsidP="00410071">
      <w:pPr>
        <w:tabs>
          <w:tab w:val="left" w:pos="6736"/>
        </w:tabs>
        <w:spacing w:line="24" w:lineRule="exact"/>
        <w:ind w:left="2285" w:right="-1811"/>
        <w:rPr>
          <w:rFonts w:cs="Segoe UI"/>
          <w:sz w:val="2"/>
        </w:rPr>
      </w:pPr>
      <w:r w:rsidRPr="00200234">
        <w:rPr>
          <w:rFonts w:cs="Segoe UI"/>
        </w:rPr>
        <w:tab/>
      </w:r>
    </w:p>
    <w:p w14:paraId="4A8FE37C" w14:textId="53CBDD93" w:rsidR="00410071" w:rsidRDefault="00410071" w:rsidP="00D73AC0">
      <w:pPr>
        <w:pStyle w:val="Table"/>
      </w:pPr>
      <w:bookmarkStart w:id="31" w:name="_Ref85553658"/>
      <w:bookmarkStart w:id="32" w:name="_Toc87429999"/>
      <w:bookmarkStart w:id="33" w:name="_Toc88561356"/>
      <w:r>
        <w:lastRenderedPageBreak/>
        <w:t>Table</w:t>
      </w:r>
      <w:r w:rsidR="00AE7C03">
        <w:t> </w:t>
      </w:r>
      <w:r w:rsidR="00592799">
        <w:fldChar w:fldCharType="begin"/>
      </w:r>
      <w:r w:rsidR="00592799">
        <w:instrText xml:space="preserve"> SEQ Table \* ARABIC </w:instrText>
      </w:r>
      <w:r w:rsidR="00592799">
        <w:fldChar w:fldCharType="separate"/>
      </w:r>
      <w:r w:rsidR="00840F18">
        <w:rPr>
          <w:noProof/>
        </w:rPr>
        <w:t>1</w:t>
      </w:r>
      <w:r w:rsidR="00592799">
        <w:rPr>
          <w:noProof/>
        </w:rPr>
        <w:fldChar w:fldCharType="end"/>
      </w:r>
      <w:bookmarkEnd w:id="31"/>
      <w:r>
        <w:t>: Average number of people each month required to undergo assessment under sections 11, 13 and 14(4) of the Mental Health Act per 100,000 population, by DHB, 1 January to 31 December 2020</w:t>
      </w:r>
      <w:bookmarkEnd w:id="32"/>
      <w:bookmarkEnd w:id="33"/>
    </w:p>
    <w:tbl>
      <w:tblPr>
        <w:tblW w:w="808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638"/>
        <w:gridCol w:w="638"/>
        <w:gridCol w:w="850"/>
        <w:gridCol w:w="426"/>
        <w:gridCol w:w="1843"/>
        <w:gridCol w:w="567"/>
        <w:gridCol w:w="568"/>
        <w:gridCol w:w="709"/>
      </w:tblGrid>
      <w:tr w:rsidR="00410071" w:rsidRPr="00200234" w14:paraId="6D4DB1B6" w14:textId="77777777" w:rsidTr="00EC625C">
        <w:trPr>
          <w:cantSplit/>
          <w:tblHeader/>
        </w:trPr>
        <w:tc>
          <w:tcPr>
            <w:tcW w:w="1843" w:type="dxa"/>
            <w:tcBorders>
              <w:top w:val="nil"/>
              <w:bottom w:val="nil"/>
            </w:tcBorders>
            <w:shd w:val="clear" w:color="auto" w:fill="D9D9D9" w:themeFill="background1" w:themeFillShade="D9"/>
          </w:tcPr>
          <w:p w14:paraId="0D16E9DC" w14:textId="77777777" w:rsidR="00410071" w:rsidRPr="00200234" w:rsidRDefault="00410071" w:rsidP="00AE7C03">
            <w:pPr>
              <w:pStyle w:val="TableText"/>
              <w:keepNext/>
              <w:spacing w:before="55" w:after="55"/>
              <w:rPr>
                <w:rFonts w:cs="Segoe UI"/>
                <w:b/>
              </w:rPr>
            </w:pPr>
            <w:r w:rsidRPr="00200234">
              <w:rPr>
                <w:rFonts w:cs="Segoe UI"/>
                <w:b/>
              </w:rPr>
              <w:t>DHB</w:t>
            </w:r>
          </w:p>
        </w:tc>
        <w:tc>
          <w:tcPr>
            <w:tcW w:w="638" w:type="dxa"/>
            <w:tcBorders>
              <w:top w:val="nil"/>
              <w:bottom w:val="nil"/>
            </w:tcBorders>
            <w:shd w:val="clear" w:color="auto" w:fill="D9D9D9" w:themeFill="background1" w:themeFillShade="D9"/>
          </w:tcPr>
          <w:p w14:paraId="43166048" w14:textId="77777777" w:rsidR="00410071" w:rsidRPr="00200234" w:rsidRDefault="00410071" w:rsidP="00AE7C03">
            <w:pPr>
              <w:pStyle w:val="TableText"/>
              <w:keepNext/>
              <w:spacing w:before="55" w:after="55"/>
              <w:jc w:val="center"/>
              <w:rPr>
                <w:rFonts w:cs="Segoe UI"/>
                <w:b/>
              </w:rPr>
            </w:pPr>
            <w:r w:rsidRPr="00200234">
              <w:rPr>
                <w:rFonts w:cs="Segoe UI"/>
                <w:b/>
              </w:rPr>
              <w:t>s 11</w:t>
            </w:r>
          </w:p>
        </w:tc>
        <w:tc>
          <w:tcPr>
            <w:tcW w:w="638" w:type="dxa"/>
            <w:tcBorders>
              <w:top w:val="nil"/>
              <w:bottom w:val="nil"/>
            </w:tcBorders>
            <w:shd w:val="clear" w:color="auto" w:fill="D9D9D9" w:themeFill="background1" w:themeFillShade="D9"/>
          </w:tcPr>
          <w:p w14:paraId="4C788F4F" w14:textId="77777777" w:rsidR="00410071" w:rsidRPr="00200234" w:rsidRDefault="00410071" w:rsidP="00AE7C03">
            <w:pPr>
              <w:pStyle w:val="TableText"/>
              <w:keepNext/>
              <w:spacing w:before="55" w:after="55"/>
              <w:jc w:val="center"/>
              <w:rPr>
                <w:rFonts w:cs="Segoe UI"/>
                <w:b/>
              </w:rPr>
            </w:pPr>
            <w:r w:rsidRPr="00200234">
              <w:rPr>
                <w:rFonts w:cs="Segoe UI"/>
                <w:b/>
              </w:rPr>
              <w:t>s 13</w:t>
            </w:r>
          </w:p>
        </w:tc>
        <w:tc>
          <w:tcPr>
            <w:tcW w:w="850" w:type="dxa"/>
            <w:tcBorders>
              <w:top w:val="nil"/>
              <w:bottom w:val="nil"/>
            </w:tcBorders>
            <w:shd w:val="clear" w:color="auto" w:fill="D9D9D9" w:themeFill="background1" w:themeFillShade="D9"/>
          </w:tcPr>
          <w:p w14:paraId="481EABC8" w14:textId="77777777" w:rsidR="00410071" w:rsidRPr="00200234" w:rsidRDefault="00410071" w:rsidP="00AE7C03">
            <w:pPr>
              <w:pStyle w:val="TableText"/>
              <w:keepNext/>
              <w:spacing w:before="55" w:after="55"/>
              <w:jc w:val="center"/>
              <w:rPr>
                <w:rFonts w:cs="Segoe UI"/>
                <w:b/>
              </w:rPr>
            </w:pPr>
            <w:r w:rsidRPr="00200234">
              <w:rPr>
                <w:rFonts w:cs="Segoe UI"/>
                <w:b/>
              </w:rPr>
              <w:t>s 14(4)</w:t>
            </w:r>
          </w:p>
        </w:tc>
        <w:tc>
          <w:tcPr>
            <w:tcW w:w="426" w:type="dxa"/>
            <w:tcBorders>
              <w:top w:val="nil"/>
              <w:bottom w:val="nil"/>
            </w:tcBorders>
            <w:shd w:val="clear" w:color="auto" w:fill="auto"/>
          </w:tcPr>
          <w:p w14:paraId="5BB0E894" w14:textId="77777777" w:rsidR="00410071" w:rsidRPr="00200234" w:rsidRDefault="00410071" w:rsidP="00AE7C03">
            <w:pPr>
              <w:pStyle w:val="TableText"/>
              <w:keepNext/>
              <w:spacing w:before="55" w:after="55"/>
              <w:jc w:val="center"/>
              <w:rPr>
                <w:rFonts w:cs="Segoe UI"/>
                <w:b/>
              </w:rPr>
            </w:pPr>
          </w:p>
        </w:tc>
        <w:tc>
          <w:tcPr>
            <w:tcW w:w="1843" w:type="dxa"/>
            <w:tcBorders>
              <w:top w:val="nil"/>
              <w:bottom w:val="nil"/>
            </w:tcBorders>
            <w:shd w:val="clear" w:color="auto" w:fill="D9D9D9" w:themeFill="background1" w:themeFillShade="D9"/>
          </w:tcPr>
          <w:p w14:paraId="2CD75633" w14:textId="77777777" w:rsidR="00410071" w:rsidRPr="00200234" w:rsidRDefault="00410071" w:rsidP="00AE7C03">
            <w:pPr>
              <w:pStyle w:val="TableText"/>
              <w:keepNext/>
              <w:spacing w:before="55" w:after="55"/>
              <w:rPr>
                <w:rFonts w:cs="Segoe UI"/>
                <w:b/>
              </w:rPr>
            </w:pPr>
            <w:r w:rsidRPr="00200234">
              <w:rPr>
                <w:rFonts w:cs="Segoe UI"/>
                <w:b/>
              </w:rPr>
              <w:t>DHB</w:t>
            </w:r>
          </w:p>
        </w:tc>
        <w:tc>
          <w:tcPr>
            <w:tcW w:w="567" w:type="dxa"/>
            <w:tcBorders>
              <w:top w:val="nil"/>
              <w:bottom w:val="nil"/>
            </w:tcBorders>
            <w:shd w:val="clear" w:color="auto" w:fill="D9D9D9" w:themeFill="background1" w:themeFillShade="D9"/>
          </w:tcPr>
          <w:p w14:paraId="5C12B399" w14:textId="77777777" w:rsidR="00410071" w:rsidRPr="00200234" w:rsidRDefault="00410071" w:rsidP="00AE7C03">
            <w:pPr>
              <w:pStyle w:val="TableText"/>
              <w:keepNext/>
              <w:spacing w:before="55" w:after="55"/>
              <w:jc w:val="center"/>
              <w:rPr>
                <w:rFonts w:cs="Segoe UI"/>
                <w:b/>
              </w:rPr>
            </w:pPr>
            <w:r w:rsidRPr="00200234">
              <w:rPr>
                <w:rFonts w:cs="Segoe UI"/>
                <w:b/>
              </w:rPr>
              <w:t>s 11</w:t>
            </w:r>
          </w:p>
        </w:tc>
        <w:tc>
          <w:tcPr>
            <w:tcW w:w="568" w:type="dxa"/>
            <w:tcBorders>
              <w:top w:val="nil"/>
              <w:bottom w:val="nil"/>
            </w:tcBorders>
            <w:shd w:val="clear" w:color="auto" w:fill="D9D9D9" w:themeFill="background1" w:themeFillShade="D9"/>
          </w:tcPr>
          <w:p w14:paraId="5480E2F3" w14:textId="77777777" w:rsidR="00410071" w:rsidRPr="00200234" w:rsidRDefault="00410071" w:rsidP="00AE7C03">
            <w:pPr>
              <w:pStyle w:val="TableText"/>
              <w:keepNext/>
              <w:spacing w:before="55" w:after="55"/>
              <w:jc w:val="center"/>
              <w:rPr>
                <w:rFonts w:cs="Segoe UI"/>
                <w:b/>
              </w:rPr>
            </w:pPr>
            <w:r w:rsidRPr="00200234">
              <w:rPr>
                <w:rFonts w:cs="Segoe UI"/>
                <w:b/>
              </w:rPr>
              <w:t>s 13</w:t>
            </w:r>
          </w:p>
        </w:tc>
        <w:tc>
          <w:tcPr>
            <w:tcW w:w="709" w:type="dxa"/>
            <w:tcBorders>
              <w:top w:val="nil"/>
              <w:bottom w:val="nil"/>
            </w:tcBorders>
            <w:shd w:val="clear" w:color="auto" w:fill="D9D9D9" w:themeFill="background1" w:themeFillShade="D9"/>
          </w:tcPr>
          <w:p w14:paraId="6F8F7378" w14:textId="77777777" w:rsidR="00410071" w:rsidRPr="00200234" w:rsidRDefault="00410071" w:rsidP="00AE7C03">
            <w:pPr>
              <w:pStyle w:val="TableText"/>
              <w:keepNext/>
              <w:spacing w:before="55" w:after="55"/>
              <w:jc w:val="center"/>
              <w:rPr>
                <w:rFonts w:cs="Segoe UI"/>
                <w:b/>
              </w:rPr>
            </w:pPr>
            <w:r w:rsidRPr="00200234">
              <w:rPr>
                <w:rFonts w:cs="Segoe UI"/>
                <w:b/>
              </w:rPr>
              <w:t>s 14(4)</w:t>
            </w:r>
          </w:p>
        </w:tc>
      </w:tr>
      <w:tr w:rsidR="00410071" w:rsidRPr="00200234" w14:paraId="429FFB7A" w14:textId="77777777" w:rsidTr="00EC625C">
        <w:trPr>
          <w:cantSplit/>
        </w:trPr>
        <w:tc>
          <w:tcPr>
            <w:tcW w:w="1843" w:type="dxa"/>
            <w:tcBorders>
              <w:top w:val="nil"/>
            </w:tcBorders>
          </w:tcPr>
          <w:p w14:paraId="58A77B57" w14:textId="77777777" w:rsidR="00410071" w:rsidRPr="00200234" w:rsidRDefault="00410071" w:rsidP="00AE7C03">
            <w:pPr>
              <w:pStyle w:val="TableText"/>
              <w:keepNext/>
              <w:spacing w:before="55" w:after="55"/>
              <w:rPr>
                <w:rFonts w:cs="Segoe UI"/>
              </w:rPr>
            </w:pPr>
            <w:r w:rsidRPr="00200234">
              <w:rPr>
                <w:rFonts w:cs="Segoe UI"/>
              </w:rPr>
              <w:t>Auckland</w:t>
            </w:r>
          </w:p>
        </w:tc>
        <w:tc>
          <w:tcPr>
            <w:tcW w:w="638" w:type="dxa"/>
            <w:tcBorders>
              <w:top w:val="nil"/>
            </w:tcBorders>
          </w:tcPr>
          <w:p w14:paraId="2C33ABEC" w14:textId="77777777" w:rsidR="00410071" w:rsidRPr="00200234" w:rsidRDefault="00410071" w:rsidP="00AE7C03">
            <w:pPr>
              <w:pStyle w:val="TableText"/>
              <w:keepNext/>
              <w:tabs>
                <w:tab w:val="decimal" w:pos="368"/>
              </w:tabs>
              <w:spacing w:before="55" w:after="55"/>
              <w:rPr>
                <w:rFonts w:cs="Segoe UI"/>
              </w:rPr>
            </w:pPr>
            <w:r>
              <w:rPr>
                <w:rFonts w:cs="Segoe UI"/>
              </w:rPr>
              <w:t>16</w:t>
            </w:r>
          </w:p>
        </w:tc>
        <w:tc>
          <w:tcPr>
            <w:tcW w:w="638" w:type="dxa"/>
            <w:tcBorders>
              <w:top w:val="nil"/>
            </w:tcBorders>
          </w:tcPr>
          <w:p w14:paraId="5557451D" w14:textId="77777777" w:rsidR="00410071" w:rsidRPr="00200234" w:rsidRDefault="00410071" w:rsidP="00AE7C03">
            <w:pPr>
              <w:pStyle w:val="TableText"/>
              <w:keepNext/>
              <w:tabs>
                <w:tab w:val="decimal" w:pos="368"/>
              </w:tabs>
              <w:spacing w:before="55" w:after="55"/>
              <w:rPr>
                <w:rFonts w:cs="Segoe UI"/>
              </w:rPr>
            </w:pPr>
            <w:r>
              <w:rPr>
                <w:rFonts w:cs="Segoe UI"/>
              </w:rPr>
              <w:t>17</w:t>
            </w:r>
          </w:p>
        </w:tc>
        <w:tc>
          <w:tcPr>
            <w:tcW w:w="850" w:type="dxa"/>
            <w:tcBorders>
              <w:top w:val="nil"/>
            </w:tcBorders>
          </w:tcPr>
          <w:p w14:paraId="10035536" w14:textId="77777777" w:rsidR="00410071" w:rsidRPr="00200234" w:rsidRDefault="00410071" w:rsidP="00AE7C03">
            <w:pPr>
              <w:pStyle w:val="TableText"/>
              <w:keepNext/>
              <w:tabs>
                <w:tab w:val="decimal" w:pos="454"/>
              </w:tabs>
              <w:spacing w:before="55" w:after="55"/>
              <w:rPr>
                <w:rFonts w:cs="Segoe UI"/>
              </w:rPr>
            </w:pPr>
            <w:r>
              <w:rPr>
                <w:rFonts w:cs="Segoe UI"/>
              </w:rPr>
              <w:t>12</w:t>
            </w:r>
          </w:p>
        </w:tc>
        <w:tc>
          <w:tcPr>
            <w:tcW w:w="426" w:type="dxa"/>
            <w:tcBorders>
              <w:top w:val="nil"/>
              <w:bottom w:val="nil"/>
            </w:tcBorders>
            <w:shd w:val="clear" w:color="auto" w:fill="auto"/>
          </w:tcPr>
          <w:p w14:paraId="6AE8ACC4" w14:textId="77777777" w:rsidR="00410071" w:rsidRPr="00200234" w:rsidRDefault="00410071" w:rsidP="00AE7C03">
            <w:pPr>
              <w:pStyle w:val="TableText"/>
              <w:keepNext/>
              <w:tabs>
                <w:tab w:val="decimal" w:pos="636"/>
              </w:tabs>
              <w:spacing w:before="55" w:after="55"/>
              <w:rPr>
                <w:rFonts w:cs="Segoe UI"/>
              </w:rPr>
            </w:pPr>
          </w:p>
        </w:tc>
        <w:tc>
          <w:tcPr>
            <w:tcW w:w="1843" w:type="dxa"/>
            <w:tcBorders>
              <w:top w:val="nil"/>
            </w:tcBorders>
          </w:tcPr>
          <w:p w14:paraId="7B38C539" w14:textId="77777777" w:rsidR="00410071" w:rsidRPr="00200234" w:rsidRDefault="00410071" w:rsidP="00AE7C03">
            <w:pPr>
              <w:pStyle w:val="TableText"/>
              <w:keepNext/>
              <w:spacing w:before="55" w:after="55"/>
              <w:jc w:val="both"/>
              <w:rPr>
                <w:rFonts w:cs="Segoe UI"/>
              </w:rPr>
            </w:pPr>
            <w:r w:rsidRPr="00200234">
              <w:rPr>
                <w:rFonts w:cs="Segoe UI"/>
              </w:rPr>
              <w:t>Northland</w:t>
            </w:r>
          </w:p>
        </w:tc>
        <w:tc>
          <w:tcPr>
            <w:tcW w:w="567" w:type="dxa"/>
            <w:tcBorders>
              <w:top w:val="nil"/>
            </w:tcBorders>
          </w:tcPr>
          <w:p w14:paraId="4BF31CCF" w14:textId="77777777" w:rsidR="00410071" w:rsidRPr="00200234" w:rsidRDefault="00410071" w:rsidP="00AE7C03">
            <w:pPr>
              <w:pStyle w:val="TableText"/>
              <w:keepNext/>
              <w:tabs>
                <w:tab w:val="decimal" w:pos="368"/>
              </w:tabs>
              <w:spacing w:before="55" w:after="55"/>
              <w:rPr>
                <w:rFonts w:cs="Segoe UI"/>
              </w:rPr>
            </w:pPr>
            <w:r w:rsidRPr="00200234">
              <w:rPr>
                <w:rFonts w:cs="Segoe UI"/>
              </w:rPr>
              <w:t>16</w:t>
            </w:r>
          </w:p>
        </w:tc>
        <w:tc>
          <w:tcPr>
            <w:tcW w:w="568" w:type="dxa"/>
            <w:tcBorders>
              <w:top w:val="nil"/>
            </w:tcBorders>
          </w:tcPr>
          <w:p w14:paraId="48A509D7" w14:textId="77777777" w:rsidR="00410071" w:rsidRPr="00200234" w:rsidRDefault="00410071" w:rsidP="00AE7C03">
            <w:pPr>
              <w:pStyle w:val="TableText"/>
              <w:keepNext/>
              <w:tabs>
                <w:tab w:val="decimal" w:pos="368"/>
              </w:tabs>
              <w:spacing w:before="55" w:after="55"/>
              <w:rPr>
                <w:rFonts w:cs="Segoe UI"/>
              </w:rPr>
            </w:pPr>
            <w:r>
              <w:rPr>
                <w:rFonts w:cs="Segoe UI"/>
              </w:rPr>
              <w:t>20</w:t>
            </w:r>
          </w:p>
        </w:tc>
        <w:tc>
          <w:tcPr>
            <w:tcW w:w="709" w:type="dxa"/>
            <w:tcBorders>
              <w:top w:val="nil"/>
            </w:tcBorders>
          </w:tcPr>
          <w:p w14:paraId="7E77525F" w14:textId="77777777" w:rsidR="00410071" w:rsidRPr="00200234" w:rsidRDefault="00410071" w:rsidP="00AE7C03">
            <w:pPr>
              <w:pStyle w:val="TableText"/>
              <w:keepNext/>
              <w:tabs>
                <w:tab w:val="decimal" w:pos="454"/>
              </w:tabs>
              <w:spacing w:before="55" w:after="55"/>
              <w:rPr>
                <w:rFonts w:cs="Segoe UI"/>
              </w:rPr>
            </w:pPr>
            <w:r>
              <w:rPr>
                <w:rFonts w:cs="Segoe UI"/>
              </w:rPr>
              <w:t>17</w:t>
            </w:r>
          </w:p>
        </w:tc>
      </w:tr>
      <w:tr w:rsidR="00410071" w:rsidRPr="00200234" w14:paraId="10136674" w14:textId="77777777" w:rsidTr="00EC625C">
        <w:trPr>
          <w:cantSplit/>
        </w:trPr>
        <w:tc>
          <w:tcPr>
            <w:tcW w:w="1843" w:type="dxa"/>
          </w:tcPr>
          <w:p w14:paraId="0E7F3FA1" w14:textId="77777777" w:rsidR="00410071" w:rsidRPr="00200234" w:rsidRDefault="00410071" w:rsidP="00AE7C03">
            <w:pPr>
              <w:pStyle w:val="TableText"/>
              <w:keepNext/>
              <w:spacing w:before="55" w:after="55"/>
              <w:rPr>
                <w:rFonts w:cs="Segoe UI"/>
              </w:rPr>
            </w:pPr>
            <w:r w:rsidRPr="00200234">
              <w:rPr>
                <w:rFonts w:cs="Segoe UI"/>
              </w:rPr>
              <w:t>Bay of Plenty</w:t>
            </w:r>
          </w:p>
        </w:tc>
        <w:tc>
          <w:tcPr>
            <w:tcW w:w="638" w:type="dxa"/>
          </w:tcPr>
          <w:p w14:paraId="42B8C1D4" w14:textId="77777777" w:rsidR="00410071" w:rsidRPr="00200234" w:rsidRDefault="00410071" w:rsidP="00AE7C03">
            <w:pPr>
              <w:pStyle w:val="TableText"/>
              <w:keepNext/>
              <w:tabs>
                <w:tab w:val="decimal" w:pos="368"/>
              </w:tabs>
              <w:spacing w:before="55" w:after="55"/>
              <w:rPr>
                <w:rFonts w:cs="Segoe UI"/>
              </w:rPr>
            </w:pPr>
            <w:r w:rsidRPr="00200234">
              <w:rPr>
                <w:rFonts w:cs="Segoe UI"/>
              </w:rPr>
              <w:t>14</w:t>
            </w:r>
          </w:p>
        </w:tc>
        <w:tc>
          <w:tcPr>
            <w:tcW w:w="638" w:type="dxa"/>
          </w:tcPr>
          <w:p w14:paraId="44F0C0A6"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2</w:t>
            </w:r>
          </w:p>
        </w:tc>
        <w:tc>
          <w:tcPr>
            <w:tcW w:w="850" w:type="dxa"/>
          </w:tcPr>
          <w:p w14:paraId="631B89F4" w14:textId="77777777" w:rsidR="00410071" w:rsidRPr="00200234" w:rsidRDefault="00410071" w:rsidP="00AE7C03">
            <w:pPr>
              <w:pStyle w:val="TableText"/>
              <w:keepNext/>
              <w:tabs>
                <w:tab w:val="decimal" w:pos="454"/>
              </w:tabs>
              <w:spacing w:before="55" w:after="55"/>
              <w:rPr>
                <w:rFonts w:cs="Segoe UI"/>
              </w:rPr>
            </w:pPr>
            <w:r w:rsidRPr="00200234">
              <w:rPr>
                <w:rFonts w:cs="Segoe UI"/>
              </w:rPr>
              <w:t>5</w:t>
            </w:r>
          </w:p>
        </w:tc>
        <w:tc>
          <w:tcPr>
            <w:tcW w:w="426" w:type="dxa"/>
            <w:tcBorders>
              <w:top w:val="nil"/>
              <w:bottom w:val="nil"/>
            </w:tcBorders>
            <w:shd w:val="clear" w:color="auto" w:fill="auto"/>
          </w:tcPr>
          <w:p w14:paraId="328833D4" w14:textId="77777777" w:rsidR="00410071" w:rsidRPr="00200234" w:rsidRDefault="00410071" w:rsidP="00AE7C03">
            <w:pPr>
              <w:pStyle w:val="TableText"/>
              <w:keepNext/>
              <w:tabs>
                <w:tab w:val="decimal" w:pos="636"/>
              </w:tabs>
              <w:spacing w:before="55" w:after="55"/>
              <w:rPr>
                <w:rFonts w:cs="Segoe UI"/>
              </w:rPr>
            </w:pPr>
          </w:p>
        </w:tc>
        <w:tc>
          <w:tcPr>
            <w:tcW w:w="1843" w:type="dxa"/>
          </w:tcPr>
          <w:p w14:paraId="2E390BDB" w14:textId="77777777" w:rsidR="00410071" w:rsidRPr="00200234" w:rsidRDefault="00410071" w:rsidP="00AE7C03">
            <w:pPr>
              <w:pStyle w:val="TableText"/>
              <w:keepNext/>
              <w:spacing w:before="55" w:after="55"/>
              <w:jc w:val="both"/>
              <w:rPr>
                <w:rFonts w:cs="Segoe UI"/>
              </w:rPr>
            </w:pPr>
            <w:r w:rsidRPr="00200234">
              <w:rPr>
                <w:rFonts w:cs="Segoe UI"/>
              </w:rPr>
              <w:t>South Canterbury</w:t>
            </w:r>
          </w:p>
        </w:tc>
        <w:tc>
          <w:tcPr>
            <w:tcW w:w="567" w:type="dxa"/>
          </w:tcPr>
          <w:p w14:paraId="5D88A11B" w14:textId="77777777" w:rsidR="00410071" w:rsidRPr="00200234" w:rsidRDefault="00410071" w:rsidP="00AE7C03">
            <w:pPr>
              <w:pStyle w:val="TableText"/>
              <w:keepNext/>
              <w:tabs>
                <w:tab w:val="decimal" w:pos="368"/>
              </w:tabs>
              <w:spacing w:before="55" w:after="55"/>
              <w:rPr>
                <w:rFonts w:cs="Segoe UI"/>
              </w:rPr>
            </w:pPr>
            <w:r w:rsidRPr="00200234">
              <w:rPr>
                <w:rFonts w:cs="Segoe UI"/>
              </w:rPr>
              <w:t>6</w:t>
            </w:r>
          </w:p>
        </w:tc>
        <w:tc>
          <w:tcPr>
            <w:tcW w:w="568" w:type="dxa"/>
          </w:tcPr>
          <w:p w14:paraId="5D996CC3" w14:textId="77777777" w:rsidR="00410071" w:rsidRPr="00200234" w:rsidRDefault="00410071" w:rsidP="00AE7C03">
            <w:pPr>
              <w:pStyle w:val="TableText"/>
              <w:keepNext/>
              <w:tabs>
                <w:tab w:val="decimal" w:pos="368"/>
              </w:tabs>
              <w:spacing w:before="55" w:after="55"/>
              <w:rPr>
                <w:rFonts w:cs="Segoe UI"/>
              </w:rPr>
            </w:pPr>
            <w:r>
              <w:rPr>
                <w:rFonts w:cs="Segoe UI"/>
              </w:rPr>
              <w:t>5</w:t>
            </w:r>
          </w:p>
        </w:tc>
        <w:tc>
          <w:tcPr>
            <w:tcW w:w="709" w:type="dxa"/>
          </w:tcPr>
          <w:p w14:paraId="61EE5A84" w14:textId="77777777" w:rsidR="00410071" w:rsidRPr="00200234" w:rsidRDefault="00410071" w:rsidP="00AE7C03">
            <w:pPr>
              <w:pStyle w:val="TableText"/>
              <w:keepNext/>
              <w:tabs>
                <w:tab w:val="decimal" w:pos="454"/>
              </w:tabs>
              <w:spacing w:before="55" w:after="55"/>
              <w:rPr>
                <w:rFonts w:cs="Segoe UI"/>
              </w:rPr>
            </w:pPr>
            <w:r w:rsidRPr="00200234">
              <w:rPr>
                <w:rFonts w:cs="Segoe UI"/>
              </w:rPr>
              <w:t>4</w:t>
            </w:r>
          </w:p>
        </w:tc>
      </w:tr>
      <w:tr w:rsidR="00410071" w:rsidRPr="00200234" w14:paraId="46A8ACC8" w14:textId="77777777" w:rsidTr="00EC625C">
        <w:trPr>
          <w:cantSplit/>
        </w:trPr>
        <w:tc>
          <w:tcPr>
            <w:tcW w:w="1843" w:type="dxa"/>
          </w:tcPr>
          <w:p w14:paraId="534E2437" w14:textId="77777777" w:rsidR="00410071" w:rsidRPr="00200234" w:rsidRDefault="00410071" w:rsidP="00AE7C03">
            <w:pPr>
              <w:pStyle w:val="TableText"/>
              <w:keepNext/>
              <w:spacing w:before="55" w:after="55"/>
              <w:rPr>
                <w:rFonts w:cs="Segoe UI"/>
              </w:rPr>
            </w:pPr>
            <w:r w:rsidRPr="00200234">
              <w:rPr>
                <w:rFonts w:cs="Segoe UI"/>
              </w:rPr>
              <w:t>Canterbury</w:t>
            </w:r>
          </w:p>
        </w:tc>
        <w:tc>
          <w:tcPr>
            <w:tcW w:w="638" w:type="dxa"/>
          </w:tcPr>
          <w:p w14:paraId="77D03508"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1</w:t>
            </w:r>
          </w:p>
        </w:tc>
        <w:tc>
          <w:tcPr>
            <w:tcW w:w="638" w:type="dxa"/>
          </w:tcPr>
          <w:p w14:paraId="098F790F"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2</w:t>
            </w:r>
          </w:p>
        </w:tc>
        <w:tc>
          <w:tcPr>
            <w:tcW w:w="850" w:type="dxa"/>
          </w:tcPr>
          <w:p w14:paraId="6023DF62" w14:textId="77777777" w:rsidR="00410071" w:rsidRPr="00200234" w:rsidRDefault="00410071" w:rsidP="00AE7C03">
            <w:pPr>
              <w:pStyle w:val="TableText"/>
              <w:keepNext/>
              <w:tabs>
                <w:tab w:val="decimal" w:pos="454"/>
              </w:tabs>
              <w:spacing w:before="55" w:after="55"/>
              <w:rPr>
                <w:rFonts w:cs="Segoe UI"/>
              </w:rPr>
            </w:pPr>
            <w:r w:rsidRPr="00200234">
              <w:rPr>
                <w:rFonts w:cs="Segoe UI"/>
              </w:rPr>
              <w:t>8</w:t>
            </w:r>
          </w:p>
        </w:tc>
        <w:tc>
          <w:tcPr>
            <w:tcW w:w="426" w:type="dxa"/>
            <w:tcBorders>
              <w:top w:val="nil"/>
              <w:bottom w:val="nil"/>
            </w:tcBorders>
            <w:shd w:val="clear" w:color="auto" w:fill="auto"/>
          </w:tcPr>
          <w:p w14:paraId="5B3D8F83" w14:textId="77777777" w:rsidR="00410071" w:rsidRPr="00200234" w:rsidRDefault="00410071" w:rsidP="00AE7C03">
            <w:pPr>
              <w:pStyle w:val="TableText"/>
              <w:keepNext/>
              <w:tabs>
                <w:tab w:val="decimal" w:pos="636"/>
              </w:tabs>
              <w:spacing w:before="55" w:after="55"/>
              <w:rPr>
                <w:rFonts w:cs="Segoe UI"/>
              </w:rPr>
            </w:pPr>
          </w:p>
        </w:tc>
        <w:tc>
          <w:tcPr>
            <w:tcW w:w="1843" w:type="dxa"/>
          </w:tcPr>
          <w:p w14:paraId="63B7776B" w14:textId="77777777" w:rsidR="00410071" w:rsidRPr="00200234" w:rsidRDefault="00410071" w:rsidP="00AE7C03">
            <w:pPr>
              <w:pStyle w:val="TableText"/>
              <w:keepNext/>
              <w:spacing w:before="55" w:after="55"/>
              <w:jc w:val="both"/>
              <w:rPr>
                <w:rFonts w:cs="Segoe UI"/>
              </w:rPr>
            </w:pPr>
            <w:r w:rsidRPr="00200234">
              <w:rPr>
                <w:rFonts w:cs="Segoe UI"/>
              </w:rPr>
              <w:t>Southern</w:t>
            </w:r>
          </w:p>
        </w:tc>
        <w:tc>
          <w:tcPr>
            <w:tcW w:w="567" w:type="dxa"/>
          </w:tcPr>
          <w:p w14:paraId="106D341E"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1</w:t>
            </w:r>
          </w:p>
        </w:tc>
        <w:tc>
          <w:tcPr>
            <w:tcW w:w="568" w:type="dxa"/>
          </w:tcPr>
          <w:p w14:paraId="48751A1F" w14:textId="77777777" w:rsidR="00410071" w:rsidRPr="00200234" w:rsidRDefault="00410071" w:rsidP="00AE7C03">
            <w:pPr>
              <w:pStyle w:val="TableText"/>
              <w:keepNext/>
              <w:tabs>
                <w:tab w:val="decimal" w:pos="368"/>
              </w:tabs>
              <w:spacing w:before="55" w:after="55"/>
              <w:rPr>
                <w:rFonts w:cs="Segoe UI"/>
              </w:rPr>
            </w:pPr>
            <w:r>
              <w:rPr>
                <w:rFonts w:cs="Segoe UI"/>
              </w:rPr>
              <w:t>9</w:t>
            </w:r>
          </w:p>
        </w:tc>
        <w:tc>
          <w:tcPr>
            <w:tcW w:w="709" w:type="dxa"/>
          </w:tcPr>
          <w:p w14:paraId="4F77EC14" w14:textId="77777777" w:rsidR="00410071" w:rsidRPr="00200234" w:rsidRDefault="00410071" w:rsidP="00AE7C03">
            <w:pPr>
              <w:pStyle w:val="TableText"/>
              <w:keepNext/>
              <w:tabs>
                <w:tab w:val="decimal" w:pos="454"/>
              </w:tabs>
              <w:spacing w:before="55" w:after="55"/>
              <w:rPr>
                <w:rFonts w:cs="Segoe UI"/>
              </w:rPr>
            </w:pPr>
            <w:r>
              <w:rPr>
                <w:rFonts w:cs="Segoe UI"/>
              </w:rPr>
              <w:t>6</w:t>
            </w:r>
          </w:p>
        </w:tc>
      </w:tr>
      <w:tr w:rsidR="00410071" w:rsidRPr="00200234" w14:paraId="15BAF1DB" w14:textId="77777777" w:rsidTr="00EC625C">
        <w:trPr>
          <w:cantSplit/>
        </w:trPr>
        <w:tc>
          <w:tcPr>
            <w:tcW w:w="1843" w:type="dxa"/>
          </w:tcPr>
          <w:p w14:paraId="4FF9559D" w14:textId="77777777" w:rsidR="00410071" w:rsidRPr="00200234" w:rsidRDefault="00410071" w:rsidP="00AE7C03">
            <w:pPr>
              <w:pStyle w:val="TableText"/>
              <w:keepNext/>
              <w:spacing w:before="55" w:after="55"/>
              <w:rPr>
                <w:rFonts w:cs="Segoe UI"/>
              </w:rPr>
            </w:pPr>
            <w:r w:rsidRPr="00200234">
              <w:rPr>
                <w:rFonts w:cs="Segoe UI"/>
              </w:rPr>
              <w:t>Capital &amp; Coast</w:t>
            </w:r>
          </w:p>
        </w:tc>
        <w:tc>
          <w:tcPr>
            <w:tcW w:w="638" w:type="dxa"/>
          </w:tcPr>
          <w:p w14:paraId="2B564386"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2</w:t>
            </w:r>
          </w:p>
        </w:tc>
        <w:tc>
          <w:tcPr>
            <w:tcW w:w="638" w:type="dxa"/>
          </w:tcPr>
          <w:p w14:paraId="27693D34" w14:textId="77777777" w:rsidR="00410071" w:rsidRPr="00200234" w:rsidRDefault="00410071" w:rsidP="00AE7C03">
            <w:pPr>
              <w:pStyle w:val="TableText"/>
              <w:keepNext/>
              <w:tabs>
                <w:tab w:val="decimal" w:pos="368"/>
              </w:tabs>
              <w:spacing w:before="55" w:after="55"/>
              <w:rPr>
                <w:rFonts w:cs="Segoe UI"/>
              </w:rPr>
            </w:pPr>
            <w:r w:rsidRPr="00200234">
              <w:rPr>
                <w:rFonts w:cs="Segoe UI"/>
              </w:rPr>
              <w:t>14</w:t>
            </w:r>
          </w:p>
        </w:tc>
        <w:tc>
          <w:tcPr>
            <w:tcW w:w="850" w:type="dxa"/>
          </w:tcPr>
          <w:p w14:paraId="0B5DBF59" w14:textId="77777777" w:rsidR="00410071" w:rsidRPr="00200234" w:rsidRDefault="00410071" w:rsidP="00AE7C03">
            <w:pPr>
              <w:pStyle w:val="TableText"/>
              <w:keepNext/>
              <w:tabs>
                <w:tab w:val="decimal" w:pos="454"/>
              </w:tabs>
              <w:spacing w:before="55" w:after="55"/>
              <w:rPr>
                <w:rFonts w:cs="Segoe UI"/>
              </w:rPr>
            </w:pPr>
            <w:r w:rsidRPr="00200234">
              <w:rPr>
                <w:rFonts w:cs="Segoe UI"/>
              </w:rPr>
              <w:t>1</w:t>
            </w:r>
            <w:r>
              <w:rPr>
                <w:rFonts w:cs="Segoe UI"/>
              </w:rPr>
              <w:t>1</w:t>
            </w:r>
          </w:p>
        </w:tc>
        <w:tc>
          <w:tcPr>
            <w:tcW w:w="426" w:type="dxa"/>
            <w:tcBorders>
              <w:top w:val="nil"/>
              <w:bottom w:val="nil"/>
            </w:tcBorders>
            <w:shd w:val="clear" w:color="auto" w:fill="auto"/>
          </w:tcPr>
          <w:p w14:paraId="26826970" w14:textId="77777777" w:rsidR="00410071" w:rsidRPr="00200234" w:rsidRDefault="00410071" w:rsidP="00AE7C03">
            <w:pPr>
              <w:pStyle w:val="TableText"/>
              <w:keepNext/>
              <w:tabs>
                <w:tab w:val="decimal" w:pos="636"/>
              </w:tabs>
              <w:spacing w:before="55" w:after="55"/>
              <w:rPr>
                <w:rFonts w:cs="Segoe UI"/>
              </w:rPr>
            </w:pPr>
          </w:p>
        </w:tc>
        <w:tc>
          <w:tcPr>
            <w:tcW w:w="1843" w:type="dxa"/>
          </w:tcPr>
          <w:p w14:paraId="7413B8B0" w14:textId="77777777" w:rsidR="00410071" w:rsidRPr="00200234" w:rsidRDefault="00410071" w:rsidP="00AE7C03">
            <w:pPr>
              <w:pStyle w:val="TableText"/>
              <w:keepNext/>
              <w:spacing w:before="55" w:after="55"/>
              <w:jc w:val="both"/>
              <w:rPr>
                <w:rFonts w:cs="Segoe UI"/>
              </w:rPr>
            </w:pPr>
            <w:r w:rsidRPr="00200234">
              <w:rPr>
                <w:rFonts w:cs="Segoe UI"/>
              </w:rPr>
              <w:t>Tairāwhiti</w:t>
            </w:r>
          </w:p>
        </w:tc>
        <w:tc>
          <w:tcPr>
            <w:tcW w:w="567" w:type="dxa"/>
          </w:tcPr>
          <w:p w14:paraId="33A13153" w14:textId="77777777" w:rsidR="00410071" w:rsidRPr="00200234" w:rsidRDefault="00410071" w:rsidP="00AE7C03">
            <w:pPr>
              <w:pStyle w:val="TableText"/>
              <w:keepNext/>
              <w:tabs>
                <w:tab w:val="decimal" w:pos="368"/>
              </w:tabs>
              <w:spacing w:before="55" w:after="55"/>
              <w:rPr>
                <w:rFonts w:cs="Segoe UI"/>
              </w:rPr>
            </w:pPr>
            <w:r>
              <w:rPr>
                <w:rFonts w:cs="Segoe UI"/>
              </w:rPr>
              <w:t>20</w:t>
            </w:r>
          </w:p>
        </w:tc>
        <w:tc>
          <w:tcPr>
            <w:tcW w:w="568" w:type="dxa"/>
          </w:tcPr>
          <w:p w14:paraId="49EDFA85"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4</w:t>
            </w:r>
          </w:p>
        </w:tc>
        <w:tc>
          <w:tcPr>
            <w:tcW w:w="709" w:type="dxa"/>
          </w:tcPr>
          <w:p w14:paraId="49B09117" w14:textId="77777777" w:rsidR="00410071" w:rsidRPr="00200234" w:rsidRDefault="00410071" w:rsidP="00AE7C03">
            <w:pPr>
              <w:pStyle w:val="TableText"/>
              <w:keepNext/>
              <w:tabs>
                <w:tab w:val="decimal" w:pos="454"/>
              </w:tabs>
              <w:spacing w:before="55" w:after="55"/>
              <w:rPr>
                <w:rFonts w:cs="Segoe UI"/>
              </w:rPr>
            </w:pPr>
            <w:r>
              <w:rPr>
                <w:rFonts w:cs="Segoe UI"/>
              </w:rPr>
              <w:t>7</w:t>
            </w:r>
          </w:p>
        </w:tc>
      </w:tr>
      <w:tr w:rsidR="00410071" w:rsidRPr="00200234" w14:paraId="72E5E3BD" w14:textId="77777777" w:rsidTr="00EC625C">
        <w:trPr>
          <w:cantSplit/>
        </w:trPr>
        <w:tc>
          <w:tcPr>
            <w:tcW w:w="1843" w:type="dxa"/>
          </w:tcPr>
          <w:p w14:paraId="3FDD1183" w14:textId="77777777" w:rsidR="00410071" w:rsidRPr="00200234" w:rsidRDefault="00410071" w:rsidP="00AE7C03">
            <w:pPr>
              <w:pStyle w:val="TableText"/>
              <w:keepNext/>
              <w:spacing w:before="55" w:after="55"/>
              <w:rPr>
                <w:rFonts w:cs="Segoe UI"/>
              </w:rPr>
            </w:pPr>
            <w:r w:rsidRPr="00200234">
              <w:rPr>
                <w:rFonts w:cs="Segoe UI"/>
              </w:rPr>
              <w:t>Counties Manukau</w:t>
            </w:r>
          </w:p>
        </w:tc>
        <w:tc>
          <w:tcPr>
            <w:tcW w:w="638" w:type="dxa"/>
          </w:tcPr>
          <w:p w14:paraId="1EF595D9" w14:textId="77777777" w:rsidR="00410071" w:rsidRPr="00200234" w:rsidRDefault="00410071" w:rsidP="00AE7C03">
            <w:pPr>
              <w:pStyle w:val="TableText"/>
              <w:keepNext/>
              <w:tabs>
                <w:tab w:val="decimal" w:pos="368"/>
              </w:tabs>
              <w:spacing w:before="55" w:after="55"/>
              <w:rPr>
                <w:rFonts w:cs="Segoe UI"/>
              </w:rPr>
            </w:pPr>
            <w:r w:rsidRPr="00200234">
              <w:rPr>
                <w:rFonts w:cs="Segoe UI"/>
              </w:rPr>
              <w:t>11</w:t>
            </w:r>
          </w:p>
        </w:tc>
        <w:tc>
          <w:tcPr>
            <w:tcW w:w="638" w:type="dxa"/>
          </w:tcPr>
          <w:p w14:paraId="4E8275B4" w14:textId="77777777" w:rsidR="00410071" w:rsidRPr="00200234" w:rsidRDefault="00410071" w:rsidP="00AE7C03">
            <w:pPr>
              <w:pStyle w:val="TableText"/>
              <w:keepNext/>
              <w:tabs>
                <w:tab w:val="decimal" w:pos="368"/>
              </w:tabs>
              <w:spacing w:before="55" w:after="55"/>
              <w:rPr>
                <w:rFonts w:cs="Segoe UI"/>
              </w:rPr>
            </w:pPr>
            <w:r w:rsidRPr="00200234">
              <w:rPr>
                <w:rFonts w:cs="Segoe UI"/>
              </w:rPr>
              <w:t>12</w:t>
            </w:r>
          </w:p>
        </w:tc>
        <w:tc>
          <w:tcPr>
            <w:tcW w:w="850" w:type="dxa"/>
          </w:tcPr>
          <w:p w14:paraId="7DEA6C5A" w14:textId="77777777" w:rsidR="00410071" w:rsidRPr="00200234" w:rsidRDefault="00410071" w:rsidP="00AE7C03">
            <w:pPr>
              <w:pStyle w:val="TableText"/>
              <w:keepNext/>
              <w:tabs>
                <w:tab w:val="decimal" w:pos="454"/>
              </w:tabs>
              <w:spacing w:before="55" w:after="55"/>
              <w:rPr>
                <w:rFonts w:cs="Segoe UI"/>
              </w:rPr>
            </w:pPr>
            <w:r>
              <w:rPr>
                <w:rFonts w:cs="Segoe UI"/>
              </w:rPr>
              <w:t>9</w:t>
            </w:r>
          </w:p>
        </w:tc>
        <w:tc>
          <w:tcPr>
            <w:tcW w:w="426" w:type="dxa"/>
            <w:tcBorders>
              <w:top w:val="nil"/>
              <w:bottom w:val="nil"/>
            </w:tcBorders>
            <w:shd w:val="clear" w:color="auto" w:fill="auto"/>
          </w:tcPr>
          <w:p w14:paraId="254BC377" w14:textId="77777777" w:rsidR="00410071" w:rsidRPr="00200234" w:rsidRDefault="00410071" w:rsidP="00AE7C03">
            <w:pPr>
              <w:pStyle w:val="TableText"/>
              <w:keepNext/>
              <w:tabs>
                <w:tab w:val="decimal" w:pos="636"/>
              </w:tabs>
              <w:spacing w:before="55" w:after="55"/>
              <w:rPr>
                <w:rFonts w:cs="Segoe UI"/>
              </w:rPr>
            </w:pPr>
          </w:p>
        </w:tc>
        <w:tc>
          <w:tcPr>
            <w:tcW w:w="1843" w:type="dxa"/>
          </w:tcPr>
          <w:p w14:paraId="66966EFD" w14:textId="77777777" w:rsidR="00410071" w:rsidRPr="00200234" w:rsidRDefault="00410071" w:rsidP="00AE7C03">
            <w:pPr>
              <w:pStyle w:val="TableText"/>
              <w:keepNext/>
              <w:spacing w:before="55" w:after="55"/>
              <w:jc w:val="both"/>
              <w:rPr>
                <w:rFonts w:cs="Segoe UI"/>
              </w:rPr>
            </w:pPr>
            <w:r w:rsidRPr="00200234">
              <w:rPr>
                <w:rFonts w:cs="Segoe UI"/>
              </w:rPr>
              <w:t>Taranaki</w:t>
            </w:r>
          </w:p>
        </w:tc>
        <w:tc>
          <w:tcPr>
            <w:tcW w:w="567" w:type="dxa"/>
          </w:tcPr>
          <w:p w14:paraId="342CDA0B"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6</w:t>
            </w:r>
          </w:p>
        </w:tc>
        <w:tc>
          <w:tcPr>
            <w:tcW w:w="568" w:type="dxa"/>
          </w:tcPr>
          <w:p w14:paraId="37B5B4AF"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2</w:t>
            </w:r>
          </w:p>
        </w:tc>
        <w:tc>
          <w:tcPr>
            <w:tcW w:w="709" w:type="dxa"/>
          </w:tcPr>
          <w:p w14:paraId="50E16B80" w14:textId="77777777" w:rsidR="00410071" w:rsidRPr="00200234" w:rsidRDefault="00410071" w:rsidP="00AE7C03">
            <w:pPr>
              <w:pStyle w:val="TableText"/>
              <w:keepNext/>
              <w:tabs>
                <w:tab w:val="decimal" w:pos="454"/>
              </w:tabs>
              <w:spacing w:before="55" w:after="55"/>
              <w:rPr>
                <w:rFonts w:cs="Segoe UI"/>
              </w:rPr>
            </w:pPr>
            <w:r>
              <w:rPr>
                <w:rFonts w:cs="Segoe UI"/>
              </w:rPr>
              <w:t>5</w:t>
            </w:r>
          </w:p>
        </w:tc>
      </w:tr>
      <w:tr w:rsidR="00410071" w:rsidRPr="00200234" w14:paraId="66578ABE" w14:textId="77777777" w:rsidTr="00EC625C">
        <w:trPr>
          <w:cantSplit/>
        </w:trPr>
        <w:tc>
          <w:tcPr>
            <w:tcW w:w="1843" w:type="dxa"/>
          </w:tcPr>
          <w:p w14:paraId="785ECC7B" w14:textId="77777777" w:rsidR="00410071" w:rsidRPr="00200234" w:rsidRDefault="00410071" w:rsidP="00AE7C03">
            <w:pPr>
              <w:pStyle w:val="TableText"/>
              <w:keepNext/>
              <w:spacing w:before="55" w:after="55"/>
              <w:rPr>
                <w:rFonts w:cs="Segoe UI"/>
              </w:rPr>
            </w:pPr>
            <w:r w:rsidRPr="00200234">
              <w:rPr>
                <w:rFonts w:cs="Segoe UI"/>
              </w:rPr>
              <w:t>Hawke</w:t>
            </w:r>
            <w:r w:rsidR="0039221C">
              <w:rPr>
                <w:rFonts w:cs="Segoe UI"/>
              </w:rPr>
              <w:t>’</w:t>
            </w:r>
            <w:r w:rsidRPr="00200234">
              <w:rPr>
                <w:rFonts w:cs="Segoe UI"/>
              </w:rPr>
              <w:t>s Bay</w:t>
            </w:r>
          </w:p>
        </w:tc>
        <w:tc>
          <w:tcPr>
            <w:tcW w:w="638" w:type="dxa"/>
          </w:tcPr>
          <w:p w14:paraId="67D79094"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5</w:t>
            </w:r>
          </w:p>
        </w:tc>
        <w:tc>
          <w:tcPr>
            <w:tcW w:w="638" w:type="dxa"/>
          </w:tcPr>
          <w:p w14:paraId="53D26E62" w14:textId="77777777" w:rsidR="00410071" w:rsidRPr="00200234" w:rsidRDefault="00410071" w:rsidP="00AE7C03">
            <w:pPr>
              <w:pStyle w:val="TableText"/>
              <w:keepNext/>
              <w:tabs>
                <w:tab w:val="decimal" w:pos="368"/>
              </w:tabs>
              <w:spacing w:before="55" w:after="55"/>
              <w:rPr>
                <w:rFonts w:cs="Segoe UI"/>
              </w:rPr>
            </w:pPr>
            <w:r>
              <w:rPr>
                <w:rFonts w:cs="Segoe UI"/>
              </w:rPr>
              <w:t>10</w:t>
            </w:r>
          </w:p>
        </w:tc>
        <w:tc>
          <w:tcPr>
            <w:tcW w:w="850" w:type="dxa"/>
          </w:tcPr>
          <w:p w14:paraId="4AE17FAA" w14:textId="77777777" w:rsidR="00410071" w:rsidRPr="00200234" w:rsidRDefault="00410071" w:rsidP="00AE7C03">
            <w:pPr>
              <w:pStyle w:val="TableText"/>
              <w:keepNext/>
              <w:tabs>
                <w:tab w:val="decimal" w:pos="454"/>
              </w:tabs>
              <w:spacing w:before="55" w:after="55"/>
              <w:rPr>
                <w:rFonts w:cs="Segoe UI"/>
              </w:rPr>
            </w:pPr>
            <w:r>
              <w:rPr>
                <w:rFonts w:cs="Segoe UI"/>
              </w:rPr>
              <w:t>6</w:t>
            </w:r>
          </w:p>
        </w:tc>
        <w:tc>
          <w:tcPr>
            <w:tcW w:w="426" w:type="dxa"/>
            <w:tcBorders>
              <w:top w:val="nil"/>
              <w:bottom w:val="nil"/>
            </w:tcBorders>
            <w:shd w:val="clear" w:color="auto" w:fill="auto"/>
          </w:tcPr>
          <w:p w14:paraId="47EB8356" w14:textId="77777777" w:rsidR="00410071" w:rsidRPr="00200234" w:rsidRDefault="00410071" w:rsidP="00AE7C03">
            <w:pPr>
              <w:pStyle w:val="TableText"/>
              <w:keepNext/>
              <w:tabs>
                <w:tab w:val="decimal" w:pos="636"/>
              </w:tabs>
              <w:spacing w:before="55" w:after="55"/>
              <w:rPr>
                <w:rFonts w:cs="Segoe UI"/>
              </w:rPr>
            </w:pPr>
          </w:p>
        </w:tc>
        <w:tc>
          <w:tcPr>
            <w:tcW w:w="1843" w:type="dxa"/>
          </w:tcPr>
          <w:p w14:paraId="311A4745" w14:textId="77777777" w:rsidR="00410071" w:rsidRPr="00200234" w:rsidRDefault="00410071" w:rsidP="00AE7C03">
            <w:pPr>
              <w:pStyle w:val="TableText"/>
              <w:keepNext/>
              <w:spacing w:before="55" w:after="55"/>
              <w:jc w:val="both"/>
              <w:rPr>
                <w:rFonts w:cs="Segoe UI"/>
              </w:rPr>
            </w:pPr>
            <w:r w:rsidRPr="00200234">
              <w:rPr>
                <w:rFonts w:cs="Segoe UI"/>
              </w:rPr>
              <w:t>Waikato</w:t>
            </w:r>
          </w:p>
        </w:tc>
        <w:tc>
          <w:tcPr>
            <w:tcW w:w="567" w:type="dxa"/>
          </w:tcPr>
          <w:p w14:paraId="582CF16A" w14:textId="77777777" w:rsidR="00410071" w:rsidRPr="00200234" w:rsidRDefault="00410071" w:rsidP="00AE7C03">
            <w:pPr>
              <w:pStyle w:val="TableText"/>
              <w:keepNext/>
              <w:tabs>
                <w:tab w:val="decimal" w:pos="368"/>
              </w:tabs>
              <w:spacing w:before="55" w:after="55"/>
              <w:rPr>
                <w:rFonts w:cs="Segoe UI"/>
              </w:rPr>
            </w:pPr>
            <w:r>
              <w:rPr>
                <w:rFonts w:cs="Segoe UI"/>
              </w:rPr>
              <w:t>20</w:t>
            </w:r>
          </w:p>
        </w:tc>
        <w:tc>
          <w:tcPr>
            <w:tcW w:w="568" w:type="dxa"/>
          </w:tcPr>
          <w:p w14:paraId="4F36570F" w14:textId="77777777" w:rsidR="00410071" w:rsidRPr="00200234" w:rsidRDefault="00410071" w:rsidP="00AE7C03">
            <w:pPr>
              <w:pStyle w:val="TableText"/>
              <w:keepNext/>
              <w:tabs>
                <w:tab w:val="decimal" w:pos="368"/>
              </w:tabs>
              <w:spacing w:before="55" w:after="55"/>
              <w:rPr>
                <w:rFonts w:cs="Segoe UI"/>
              </w:rPr>
            </w:pPr>
            <w:r>
              <w:rPr>
                <w:rFonts w:cs="Segoe UI"/>
              </w:rPr>
              <w:t>20</w:t>
            </w:r>
          </w:p>
        </w:tc>
        <w:tc>
          <w:tcPr>
            <w:tcW w:w="709" w:type="dxa"/>
          </w:tcPr>
          <w:p w14:paraId="72B6B556" w14:textId="77777777" w:rsidR="00410071" w:rsidRPr="00200234" w:rsidRDefault="00410071" w:rsidP="00AE7C03">
            <w:pPr>
              <w:pStyle w:val="TableText"/>
              <w:keepNext/>
              <w:tabs>
                <w:tab w:val="decimal" w:pos="454"/>
              </w:tabs>
              <w:spacing w:before="55" w:after="55"/>
              <w:rPr>
                <w:rFonts w:cs="Segoe UI"/>
              </w:rPr>
            </w:pPr>
            <w:r w:rsidRPr="00200234">
              <w:rPr>
                <w:rFonts w:cs="Segoe UI"/>
              </w:rPr>
              <w:t>1</w:t>
            </w:r>
            <w:r>
              <w:rPr>
                <w:rFonts w:cs="Segoe UI"/>
              </w:rPr>
              <w:t>3</w:t>
            </w:r>
          </w:p>
        </w:tc>
      </w:tr>
      <w:tr w:rsidR="00410071" w:rsidRPr="00200234" w14:paraId="2391B27D" w14:textId="77777777" w:rsidTr="00EC625C">
        <w:trPr>
          <w:cantSplit/>
        </w:trPr>
        <w:tc>
          <w:tcPr>
            <w:tcW w:w="1843" w:type="dxa"/>
          </w:tcPr>
          <w:p w14:paraId="47728772" w14:textId="77777777" w:rsidR="00410071" w:rsidRPr="00200234" w:rsidRDefault="00410071" w:rsidP="00AE7C03">
            <w:pPr>
              <w:pStyle w:val="TableText"/>
              <w:keepNext/>
              <w:spacing w:before="55" w:after="55"/>
              <w:rPr>
                <w:rFonts w:cs="Segoe UI"/>
              </w:rPr>
            </w:pPr>
            <w:r w:rsidRPr="00200234">
              <w:rPr>
                <w:rFonts w:cs="Segoe UI"/>
              </w:rPr>
              <w:t>Hutt Valley</w:t>
            </w:r>
          </w:p>
        </w:tc>
        <w:tc>
          <w:tcPr>
            <w:tcW w:w="638" w:type="dxa"/>
          </w:tcPr>
          <w:p w14:paraId="0FC2F3E3"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4</w:t>
            </w:r>
          </w:p>
        </w:tc>
        <w:tc>
          <w:tcPr>
            <w:tcW w:w="638" w:type="dxa"/>
          </w:tcPr>
          <w:p w14:paraId="45130C47" w14:textId="77777777" w:rsidR="00410071" w:rsidRPr="00200234" w:rsidRDefault="00410071" w:rsidP="00AE7C03">
            <w:pPr>
              <w:pStyle w:val="TableText"/>
              <w:keepNext/>
              <w:tabs>
                <w:tab w:val="decimal" w:pos="368"/>
              </w:tabs>
              <w:spacing w:before="55" w:after="55"/>
              <w:rPr>
                <w:rFonts w:cs="Segoe UI"/>
              </w:rPr>
            </w:pPr>
            <w:r w:rsidRPr="00200234">
              <w:rPr>
                <w:rFonts w:cs="Segoe UI"/>
              </w:rPr>
              <w:t>16</w:t>
            </w:r>
          </w:p>
        </w:tc>
        <w:tc>
          <w:tcPr>
            <w:tcW w:w="850" w:type="dxa"/>
          </w:tcPr>
          <w:p w14:paraId="06CADE35" w14:textId="77777777" w:rsidR="00410071" w:rsidRPr="00200234" w:rsidRDefault="00410071" w:rsidP="00AE7C03">
            <w:pPr>
              <w:pStyle w:val="TableText"/>
              <w:keepNext/>
              <w:tabs>
                <w:tab w:val="decimal" w:pos="454"/>
              </w:tabs>
              <w:spacing w:before="55" w:after="55"/>
              <w:rPr>
                <w:rFonts w:cs="Segoe UI"/>
              </w:rPr>
            </w:pPr>
            <w:r>
              <w:rPr>
                <w:rFonts w:cs="Segoe UI"/>
              </w:rPr>
              <w:t>9</w:t>
            </w:r>
          </w:p>
        </w:tc>
        <w:tc>
          <w:tcPr>
            <w:tcW w:w="426" w:type="dxa"/>
            <w:tcBorders>
              <w:top w:val="nil"/>
              <w:bottom w:val="nil"/>
            </w:tcBorders>
            <w:shd w:val="clear" w:color="auto" w:fill="auto"/>
          </w:tcPr>
          <w:p w14:paraId="2FBB45A3" w14:textId="77777777" w:rsidR="00410071" w:rsidRPr="00200234" w:rsidRDefault="00410071" w:rsidP="00AE7C03">
            <w:pPr>
              <w:pStyle w:val="TableText"/>
              <w:keepNext/>
              <w:tabs>
                <w:tab w:val="decimal" w:pos="636"/>
              </w:tabs>
              <w:spacing w:before="55" w:after="55"/>
              <w:rPr>
                <w:rFonts w:cs="Segoe UI"/>
              </w:rPr>
            </w:pPr>
          </w:p>
        </w:tc>
        <w:tc>
          <w:tcPr>
            <w:tcW w:w="1843" w:type="dxa"/>
          </w:tcPr>
          <w:p w14:paraId="3E6B4266" w14:textId="77777777" w:rsidR="00410071" w:rsidRPr="00200234" w:rsidRDefault="00410071" w:rsidP="00AE7C03">
            <w:pPr>
              <w:pStyle w:val="TableText"/>
              <w:keepNext/>
              <w:spacing w:before="55" w:after="55"/>
              <w:jc w:val="both"/>
              <w:rPr>
                <w:rFonts w:cs="Segoe UI"/>
              </w:rPr>
            </w:pPr>
            <w:r w:rsidRPr="00200234">
              <w:rPr>
                <w:rFonts w:cs="Segoe UI"/>
              </w:rPr>
              <w:t>Wairarapa</w:t>
            </w:r>
          </w:p>
        </w:tc>
        <w:tc>
          <w:tcPr>
            <w:tcW w:w="567" w:type="dxa"/>
          </w:tcPr>
          <w:p w14:paraId="33DF2822" w14:textId="77777777" w:rsidR="00410071" w:rsidRPr="00200234" w:rsidRDefault="00410071" w:rsidP="00AE7C03">
            <w:pPr>
              <w:pStyle w:val="TableText"/>
              <w:keepNext/>
              <w:tabs>
                <w:tab w:val="decimal" w:pos="368"/>
              </w:tabs>
              <w:spacing w:before="55" w:after="55"/>
              <w:rPr>
                <w:rFonts w:cs="Segoe UI"/>
              </w:rPr>
            </w:pPr>
            <w:r>
              <w:rPr>
                <w:rFonts w:cs="Segoe UI"/>
              </w:rPr>
              <w:t>8</w:t>
            </w:r>
          </w:p>
        </w:tc>
        <w:tc>
          <w:tcPr>
            <w:tcW w:w="568" w:type="dxa"/>
          </w:tcPr>
          <w:p w14:paraId="13137B78" w14:textId="77777777" w:rsidR="00410071" w:rsidRPr="00200234" w:rsidRDefault="00410071" w:rsidP="00AE7C03">
            <w:pPr>
              <w:pStyle w:val="TableText"/>
              <w:keepNext/>
              <w:tabs>
                <w:tab w:val="decimal" w:pos="368"/>
              </w:tabs>
              <w:spacing w:before="55" w:after="55"/>
              <w:rPr>
                <w:rFonts w:cs="Segoe UI"/>
              </w:rPr>
            </w:pPr>
            <w:r>
              <w:rPr>
                <w:rFonts w:cs="Segoe UI"/>
              </w:rPr>
              <w:t>5</w:t>
            </w:r>
          </w:p>
        </w:tc>
        <w:tc>
          <w:tcPr>
            <w:tcW w:w="709" w:type="dxa"/>
          </w:tcPr>
          <w:p w14:paraId="6D745946" w14:textId="77777777" w:rsidR="00410071" w:rsidRPr="00200234" w:rsidRDefault="00410071" w:rsidP="00AE7C03">
            <w:pPr>
              <w:pStyle w:val="TableText"/>
              <w:keepNext/>
              <w:tabs>
                <w:tab w:val="decimal" w:pos="454"/>
              </w:tabs>
              <w:spacing w:before="55" w:after="55"/>
              <w:rPr>
                <w:rFonts w:cs="Segoe UI"/>
              </w:rPr>
            </w:pPr>
            <w:r w:rsidRPr="00200234">
              <w:rPr>
                <w:rFonts w:cs="Segoe UI"/>
              </w:rPr>
              <w:t>9</w:t>
            </w:r>
          </w:p>
        </w:tc>
      </w:tr>
      <w:tr w:rsidR="00410071" w:rsidRPr="00200234" w14:paraId="16B8E9BD" w14:textId="77777777" w:rsidTr="00EC625C">
        <w:trPr>
          <w:cantSplit/>
        </w:trPr>
        <w:tc>
          <w:tcPr>
            <w:tcW w:w="1843" w:type="dxa"/>
          </w:tcPr>
          <w:p w14:paraId="27793A28" w14:textId="77777777" w:rsidR="00410071" w:rsidRPr="00200234" w:rsidRDefault="00410071" w:rsidP="00AE7C03">
            <w:pPr>
              <w:pStyle w:val="TableText"/>
              <w:keepNext/>
              <w:spacing w:before="55" w:after="55"/>
              <w:rPr>
                <w:rFonts w:cs="Segoe UI"/>
              </w:rPr>
            </w:pPr>
            <w:r w:rsidRPr="00200234">
              <w:rPr>
                <w:rFonts w:cs="Segoe UI"/>
              </w:rPr>
              <w:t>Lakes</w:t>
            </w:r>
          </w:p>
        </w:tc>
        <w:tc>
          <w:tcPr>
            <w:tcW w:w="638" w:type="dxa"/>
          </w:tcPr>
          <w:p w14:paraId="70B8D4B7"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5</w:t>
            </w:r>
          </w:p>
        </w:tc>
        <w:tc>
          <w:tcPr>
            <w:tcW w:w="638" w:type="dxa"/>
          </w:tcPr>
          <w:p w14:paraId="7DC5558E" w14:textId="77777777" w:rsidR="00410071" w:rsidRPr="00200234" w:rsidRDefault="00410071" w:rsidP="00AE7C03">
            <w:pPr>
              <w:pStyle w:val="TableText"/>
              <w:keepNext/>
              <w:tabs>
                <w:tab w:val="decimal" w:pos="368"/>
              </w:tabs>
              <w:spacing w:before="55" w:after="55"/>
              <w:rPr>
                <w:rFonts w:cs="Segoe UI"/>
              </w:rPr>
            </w:pPr>
            <w:r>
              <w:rPr>
                <w:rFonts w:cs="Segoe UI"/>
              </w:rPr>
              <w:t>11</w:t>
            </w:r>
          </w:p>
        </w:tc>
        <w:tc>
          <w:tcPr>
            <w:tcW w:w="850" w:type="dxa"/>
          </w:tcPr>
          <w:p w14:paraId="16702A24" w14:textId="77777777" w:rsidR="00410071" w:rsidRPr="00200234" w:rsidRDefault="00410071" w:rsidP="00AE7C03">
            <w:pPr>
              <w:pStyle w:val="TableText"/>
              <w:keepNext/>
              <w:tabs>
                <w:tab w:val="decimal" w:pos="454"/>
              </w:tabs>
              <w:spacing w:before="55" w:after="55"/>
              <w:rPr>
                <w:rFonts w:cs="Segoe UI"/>
              </w:rPr>
            </w:pPr>
            <w:r>
              <w:rPr>
                <w:rFonts w:cs="Segoe UI"/>
              </w:rPr>
              <w:t>7</w:t>
            </w:r>
          </w:p>
        </w:tc>
        <w:tc>
          <w:tcPr>
            <w:tcW w:w="426" w:type="dxa"/>
            <w:tcBorders>
              <w:top w:val="nil"/>
              <w:bottom w:val="nil"/>
            </w:tcBorders>
            <w:shd w:val="clear" w:color="auto" w:fill="auto"/>
          </w:tcPr>
          <w:p w14:paraId="680D5CCD" w14:textId="77777777" w:rsidR="00410071" w:rsidRPr="00200234" w:rsidRDefault="00410071" w:rsidP="00AE7C03">
            <w:pPr>
              <w:pStyle w:val="TableText"/>
              <w:keepNext/>
              <w:tabs>
                <w:tab w:val="decimal" w:pos="636"/>
              </w:tabs>
              <w:spacing w:before="55" w:after="55"/>
              <w:rPr>
                <w:rFonts w:cs="Segoe UI"/>
              </w:rPr>
            </w:pPr>
          </w:p>
        </w:tc>
        <w:tc>
          <w:tcPr>
            <w:tcW w:w="1843" w:type="dxa"/>
          </w:tcPr>
          <w:p w14:paraId="63AE0760" w14:textId="77777777" w:rsidR="00410071" w:rsidRPr="00200234" w:rsidRDefault="00410071" w:rsidP="00AE7C03">
            <w:pPr>
              <w:pStyle w:val="TableText"/>
              <w:keepNext/>
              <w:spacing w:before="55" w:after="55"/>
              <w:jc w:val="both"/>
              <w:rPr>
                <w:rFonts w:cs="Segoe UI"/>
              </w:rPr>
            </w:pPr>
            <w:r w:rsidRPr="00200234">
              <w:rPr>
                <w:rFonts w:cs="Segoe UI"/>
              </w:rPr>
              <w:t>Waitematā</w:t>
            </w:r>
          </w:p>
        </w:tc>
        <w:tc>
          <w:tcPr>
            <w:tcW w:w="567" w:type="dxa"/>
          </w:tcPr>
          <w:p w14:paraId="265DE516"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1</w:t>
            </w:r>
          </w:p>
        </w:tc>
        <w:tc>
          <w:tcPr>
            <w:tcW w:w="568" w:type="dxa"/>
          </w:tcPr>
          <w:p w14:paraId="7B2A5674" w14:textId="77777777" w:rsidR="00410071" w:rsidRPr="00200234" w:rsidRDefault="00410071" w:rsidP="00AE7C03">
            <w:pPr>
              <w:pStyle w:val="TableText"/>
              <w:keepNext/>
              <w:tabs>
                <w:tab w:val="decimal" w:pos="368"/>
              </w:tabs>
              <w:spacing w:before="55" w:after="55"/>
              <w:rPr>
                <w:rFonts w:cs="Segoe UI"/>
              </w:rPr>
            </w:pPr>
            <w:r w:rsidRPr="00200234">
              <w:rPr>
                <w:rFonts w:cs="Segoe UI"/>
              </w:rPr>
              <w:t>1</w:t>
            </w:r>
            <w:r>
              <w:rPr>
                <w:rFonts w:cs="Segoe UI"/>
              </w:rPr>
              <w:t>3</w:t>
            </w:r>
          </w:p>
        </w:tc>
        <w:tc>
          <w:tcPr>
            <w:tcW w:w="709" w:type="dxa"/>
          </w:tcPr>
          <w:p w14:paraId="22439BB3" w14:textId="77777777" w:rsidR="00410071" w:rsidRPr="00200234" w:rsidRDefault="00410071" w:rsidP="00AE7C03">
            <w:pPr>
              <w:pStyle w:val="TableText"/>
              <w:keepNext/>
              <w:tabs>
                <w:tab w:val="decimal" w:pos="454"/>
              </w:tabs>
              <w:spacing w:before="55" w:after="55"/>
              <w:rPr>
                <w:rFonts w:cs="Segoe UI"/>
              </w:rPr>
            </w:pPr>
            <w:r>
              <w:rPr>
                <w:rFonts w:cs="Segoe UI"/>
              </w:rPr>
              <w:t>9</w:t>
            </w:r>
          </w:p>
        </w:tc>
      </w:tr>
      <w:tr w:rsidR="00410071" w:rsidRPr="00200234" w14:paraId="74DC2F67" w14:textId="77777777" w:rsidTr="00EC625C">
        <w:trPr>
          <w:cantSplit/>
        </w:trPr>
        <w:tc>
          <w:tcPr>
            <w:tcW w:w="1843" w:type="dxa"/>
          </w:tcPr>
          <w:p w14:paraId="4EEBA49E" w14:textId="77777777" w:rsidR="00410071" w:rsidRPr="00200234" w:rsidRDefault="00410071" w:rsidP="00EC625C">
            <w:pPr>
              <w:pStyle w:val="TableText"/>
              <w:spacing w:before="55" w:after="55"/>
              <w:rPr>
                <w:rFonts w:cs="Segoe UI"/>
              </w:rPr>
            </w:pPr>
            <w:r w:rsidRPr="00200234">
              <w:rPr>
                <w:rFonts w:cs="Segoe UI"/>
              </w:rPr>
              <w:t>MidCentral</w:t>
            </w:r>
          </w:p>
        </w:tc>
        <w:tc>
          <w:tcPr>
            <w:tcW w:w="638" w:type="dxa"/>
          </w:tcPr>
          <w:p w14:paraId="41171AA3" w14:textId="77777777" w:rsidR="00410071" w:rsidRPr="00200234" w:rsidRDefault="00410071" w:rsidP="00EC625C">
            <w:pPr>
              <w:pStyle w:val="TableText"/>
              <w:tabs>
                <w:tab w:val="decimal" w:pos="368"/>
              </w:tabs>
              <w:spacing w:before="55" w:after="55"/>
              <w:rPr>
                <w:rFonts w:cs="Segoe UI"/>
              </w:rPr>
            </w:pPr>
            <w:r w:rsidRPr="00200234">
              <w:rPr>
                <w:rFonts w:cs="Segoe UI"/>
              </w:rPr>
              <w:t>1</w:t>
            </w:r>
            <w:r>
              <w:rPr>
                <w:rFonts w:cs="Segoe UI"/>
              </w:rPr>
              <w:t>3</w:t>
            </w:r>
          </w:p>
        </w:tc>
        <w:tc>
          <w:tcPr>
            <w:tcW w:w="638" w:type="dxa"/>
          </w:tcPr>
          <w:p w14:paraId="2E65C5DE" w14:textId="77777777" w:rsidR="00410071" w:rsidRPr="00200234" w:rsidRDefault="00410071" w:rsidP="00EC625C">
            <w:pPr>
              <w:pStyle w:val="TableText"/>
              <w:tabs>
                <w:tab w:val="decimal" w:pos="368"/>
              </w:tabs>
              <w:spacing w:before="55" w:after="55"/>
              <w:rPr>
                <w:rFonts w:cs="Segoe UI"/>
              </w:rPr>
            </w:pPr>
            <w:r w:rsidRPr="00200234">
              <w:rPr>
                <w:rFonts w:cs="Segoe UI"/>
              </w:rPr>
              <w:t>1</w:t>
            </w:r>
            <w:r>
              <w:rPr>
                <w:rFonts w:cs="Segoe UI"/>
              </w:rPr>
              <w:t>3</w:t>
            </w:r>
          </w:p>
        </w:tc>
        <w:tc>
          <w:tcPr>
            <w:tcW w:w="850" w:type="dxa"/>
          </w:tcPr>
          <w:p w14:paraId="1164A9A5" w14:textId="77777777" w:rsidR="00410071" w:rsidRPr="00200234" w:rsidRDefault="00410071" w:rsidP="00EC625C">
            <w:pPr>
              <w:pStyle w:val="TableText"/>
              <w:tabs>
                <w:tab w:val="decimal" w:pos="454"/>
              </w:tabs>
              <w:spacing w:before="55" w:after="55"/>
              <w:rPr>
                <w:rFonts w:cs="Segoe UI"/>
              </w:rPr>
            </w:pPr>
            <w:r w:rsidRPr="00200234">
              <w:rPr>
                <w:rFonts w:cs="Segoe UI"/>
              </w:rPr>
              <w:t>1</w:t>
            </w:r>
            <w:r>
              <w:rPr>
                <w:rFonts w:cs="Segoe UI"/>
              </w:rPr>
              <w:t>0</w:t>
            </w:r>
          </w:p>
        </w:tc>
        <w:tc>
          <w:tcPr>
            <w:tcW w:w="426" w:type="dxa"/>
            <w:tcBorders>
              <w:top w:val="nil"/>
              <w:bottom w:val="nil"/>
            </w:tcBorders>
            <w:shd w:val="clear" w:color="auto" w:fill="auto"/>
          </w:tcPr>
          <w:p w14:paraId="5DCCEA2B" w14:textId="77777777" w:rsidR="00410071" w:rsidRPr="00200234" w:rsidRDefault="00410071" w:rsidP="00EC625C">
            <w:pPr>
              <w:pStyle w:val="TableText"/>
              <w:tabs>
                <w:tab w:val="decimal" w:pos="636"/>
              </w:tabs>
              <w:spacing w:before="55" w:after="55"/>
              <w:rPr>
                <w:rFonts w:cs="Segoe UI"/>
              </w:rPr>
            </w:pPr>
          </w:p>
        </w:tc>
        <w:tc>
          <w:tcPr>
            <w:tcW w:w="1843" w:type="dxa"/>
          </w:tcPr>
          <w:p w14:paraId="19405B8D" w14:textId="77777777" w:rsidR="00410071" w:rsidRPr="00200234" w:rsidRDefault="00410071" w:rsidP="00EC625C">
            <w:pPr>
              <w:pStyle w:val="TableText"/>
              <w:spacing w:before="55" w:after="55"/>
              <w:jc w:val="both"/>
              <w:rPr>
                <w:rFonts w:cs="Segoe UI"/>
              </w:rPr>
            </w:pPr>
            <w:r w:rsidRPr="00200234">
              <w:rPr>
                <w:rFonts w:cs="Segoe UI"/>
              </w:rPr>
              <w:t>West Coast</w:t>
            </w:r>
          </w:p>
        </w:tc>
        <w:tc>
          <w:tcPr>
            <w:tcW w:w="567" w:type="dxa"/>
          </w:tcPr>
          <w:p w14:paraId="5504E13A" w14:textId="77777777" w:rsidR="00410071" w:rsidRPr="00200234" w:rsidRDefault="00410071" w:rsidP="00EC625C">
            <w:pPr>
              <w:pStyle w:val="TableText"/>
              <w:tabs>
                <w:tab w:val="decimal" w:pos="368"/>
              </w:tabs>
              <w:spacing w:before="55" w:after="55"/>
              <w:rPr>
                <w:rFonts w:cs="Segoe UI"/>
              </w:rPr>
            </w:pPr>
            <w:r w:rsidRPr="00200234">
              <w:rPr>
                <w:rFonts w:cs="Segoe UI"/>
              </w:rPr>
              <w:t>1</w:t>
            </w:r>
            <w:r>
              <w:rPr>
                <w:rFonts w:cs="Segoe UI"/>
              </w:rPr>
              <w:t>0</w:t>
            </w:r>
          </w:p>
        </w:tc>
        <w:tc>
          <w:tcPr>
            <w:tcW w:w="568" w:type="dxa"/>
          </w:tcPr>
          <w:p w14:paraId="37413FF8" w14:textId="77777777" w:rsidR="00410071" w:rsidRPr="00200234" w:rsidRDefault="00410071" w:rsidP="00EC625C">
            <w:pPr>
              <w:pStyle w:val="TableText"/>
              <w:tabs>
                <w:tab w:val="decimal" w:pos="368"/>
              </w:tabs>
              <w:spacing w:before="55" w:after="55"/>
              <w:rPr>
                <w:rFonts w:cs="Segoe UI"/>
              </w:rPr>
            </w:pPr>
            <w:r>
              <w:rPr>
                <w:rFonts w:cs="Segoe UI"/>
              </w:rPr>
              <w:t>9</w:t>
            </w:r>
          </w:p>
        </w:tc>
        <w:tc>
          <w:tcPr>
            <w:tcW w:w="709" w:type="dxa"/>
          </w:tcPr>
          <w:p w14:paraId="5D3FD506" w14:textId="77777777" w:rsidR="00410071" w:rsidRPr="00200234" w:rsidRDefault="00410071" w:rsidP="00EC625C">
            <w:pPr>
              <w:pStyle w:val="TableText"/>
              <w:tabs>
                <w:tab w:val="decimal" w:pos="454"/>
              </w:tabs>
              <w:spacing w:before="55" w:after="55"/>
              <w:rPr>
                <w:rFonts w:cs="Segoe UI"/>
              </w:rPr>
            </w:pPr>
            <w:r>
              <w:rPr>
                <w:rFonts w:cs="Segoe UI"/>
              </w:rPr>
              <w:t>5</w:t>
            </w:r>
          </w:p>
        </w:tc>
      </w:tr>
      <w:tr w:rsidR="00410071" w:rsidRPr="00200234" w14:paraId="6005F597" w14:textId="77777777" w:rsidTr="00EC625C">
        <w:trPr>
          <w:cantSplit/>
        </w:trPr>
        <w:tc>
          <w:tcPr>
            <w:tcW w:w="1843" w:type="dxa"/>
            <w:tcBorders>
              <w:bottom w:val="single" w:sz="4" w:space="0" w:color="A6A6A6" w:themeColor="background1" w:themeShade="A6"/>
            </w:tcBorders>
          </w:tcPr>
          <w:p w14:paraId="3E1375A8" w14:textId="77777777" w:rsidR="00410071" w:rsidRPr="00200234" w:rsidRDefault="00410071" w:rsidP="00EC625C">
            <w:pPr>
              <w:pStyle w:val="TableText"/>
              <w:spacing w:before="55" w:after="55"/>
              <w:rPr>
                <w:rFonts w:cs="Segoe UI"/>
              </w:rPr>
            </w:pPr>
            <w:r w:rsidRPr="00200234">
              <w:rPr>
                <w:rFonts w:cs="Segoe UI"/>
              </w:rPr>
              <w:t>Nelson Marlborough</w:t>
            </w:r>
          </w:p>
        </w:tc>
        <w:tc>
          <w:tcPr>
            <w:tcW w:w="638" w:type="dxa"/>
            <w:tcBorders>
              <w:bottom w:val="single" w:sz="4" w:space="0" w:color="A6A6A6" w:themeColor="background1" w:themeShade="A6"/>
            </w:tcBorders>
          </w:tcPr>
          <w:p w14:paraId="0B9595F6" w14:textId="77777777" w:rsidR="00410071" w:rsidRPr="00200234" w:rsidRDefault="00410071" w:rsidP="00EC625C">
            <w:pPr>
              <w:pStyle w:val="TableText"/>
              <w:tabs>
                <w:tab w:val="decimal" w:pos="368"/>
              </w:tabs>
              <w:spacing w:before="55" w:after="55"/>
              <w:rPr>
                <w:rFonts w:cs="Segoe UI"/>
              </w:rPr>
            </w:pPr>
            <w:r w:rsidRPr="00200234">
              <w:rPr>
                <w:rFonts w:cs="Segoe UI"/>
              </w:rPr>
              <w:t>11</w:t>
            </w:r>
          </w:p>
        </w:tc>
        <w:tc>
          <w:tcPr>
            <w:tcW w:w="638" w:type="dxa"/>
            <w:tcBorders>
              <w:bottom w:val="single" w:sz="4" w:space="0" w:color="A6A6A6" w:themeColor="background1" w:themeShade="A6"/>
            </w:tcBorders>
          </w:tcPr>
          <w:p w14:paraId="04A6AF60" w14:textId="77777777" w:rsidR="00410071" w:rsidRPr="00200234" w:rsidRDefault="00410071" w:rsidP="00EC625C">
            <w:pPr>
              <w:pStyle w:val="TableText"/>
              <w:tabs>
                <w:tab w:val="decimal" w:pos="368"/>
              </w:tabs>
              <w:spacing w:before="55" w:after="55"/>
              <w:rPr>
                <w:rFonts w:cs="Segoe UI"/>
              </w:rPr>
            </w:pPr>
            <w:r>
              <w:rPr>
                <w:rFonts w:cs="Segoe UI"/>
              </w:rPr>
              <w:t>10</w:t>
            </w:r>
          </w:p>
        </w:tc>
        <w:tc>
          <w:tcPr>
            <w:tcW w:w="850" w:type="dxa"/>
            <w:tcBorders>
              <w:bottom w:val="single" w:sz="4" w:space="0" w:color="A6A6A6" w:themeColor="background1" w:themeShade="A6"/>
            </w:tcBorders>
          </w:tcPr>
          <w:p w14:paraId="09A2A169" w14:textId="77777777" w:rsidR="00410071" w:rsidRPr="00200234" w:rsidRDefault="00410071" w:rsidP="00EC625C">
            <w:pPr>
              <w:pStyle w:val="TableText"/>
              <w:tabs>
                <w:tab w:val="decimal" w:pos="454"/>
              </w:tabs>
              <w:spacing w:before="55" w:after="55"/>
              <w:rPr>
                <w:rFonts w:cs="Segoe UI"/>
              </w:rPr>
            </w:pPr>
            <w:r w:rsidRPr="00200234">
              <w:rPr>
                <w:rFonts w:cs="Segoe UI"/>
              </w:rPr>
              <w:t>1</w:t>
            </w:r>
            <w:r>
              <w:rPr>
                <w:rFonts w:cs="Segoe UI"/>
              </w:rPr>
              <w:t>0</w:t>
            </w:r>
          </w:p>
        </w:tc>
        <w:tc>
          <w:tcPr>
            <w:tcW w:w="426" w:type="dxa"/>
            <w:tcBorders>
              <w:top w:val="nil"/>
              <w:bottom w:val="nil"/>
            </w:tcBorders>
            <w:shd w:val="clear" w:color="auto" w:fill="auto"/>
          </w:tcPr>
          <w:p w14:paraId="3F170113" w14:textId="77777777" w:rsidR="00410071" w:rsidRPr="00200234" w:rsidRDefault="00410071" w:rsidP="00EC625C">
            <w:pPr>
              <w:pStyle w:val="TableText"/>
              <w:tabs>
                <w:tab w:val="decimal" w:pos="636"/>
              </w:tabs>
              <w:spacing w:before="55" w:after="55"/>
              <w:rPr>
                <w:rFonts w:cs="Segoe UI"/>
              </w:rPr>
            </w:pPr>
          </w:p>
        </w:tc>
        <w:tc>
          <w:tcPr>
            <w:tcW w:w="1843" w:type="dxa"/>
          </w:tcPr>
          <w:p w14:paraId="70911E20" w14:textId="77777777" w:rsidR="00410071" w:rsidRPr="00200234" w:rsidRDefault="00410071" w:rsidP="00EC625C">
            <w:pPr>
              <w:pStyle w:val="TableText"/>
              <w:spacing w:before="55" w:after="55"/>
              <w:jc w:val="both"/>
              <w:rPr>
                <w:rFonts w:cs="Segoe UI"/>
              </w:rPr>
            </w:pPr>
            <w:r w:rsidRPr="00200234">
              <w:rPr>
                <w:rFonts w:cs="Segoe UI"/>
              </w:rPr>
              <w:t>Whanganui</w:t>
            </w:r>
          </w:p>
        </w:tc>
        <w:tc>
          <w:tcPr>
            <w:tcW w:w="567" w:type="dxa"/>
          </w:tcPr>
          <w:p w14:paraId="0A3DA4DE" w14:textId="77777777" w:rsidR="00410071" w:rsidRPr="00200234" w:rsidRDefault="00410071" w:rsidP="00EC625C">
            <w:pPr>
              <w:pStyle w:val="TableText"/>
              <w:tabs>
                <w:tab w:val="decimal" w:pos="368"/>
              </w:tabs>
              <w:spacing w:before="55" w:after="55"/>
              <w:rPr>
                <w:rFonts w:cs="Segoe UI"/>
              </w:rPr>
            </w:pPr>
            <w:r w:rsidRPr="00200234">
              <w:rPr>
                <w:rFonts w:cs="Segoe UI"/>
              </w:rPr>
              <w:t>1</w:t>
            </w:r>
            <w:r>
              <w:rPr>
                <w:rFonts w:cs="Segoe UI"/>
              </w:rPr>
              <w:t>3</w:t>
            </w:r>
          </w:p>
        </w:tc>
        <w:tc>
          <w:tcPr>
            <w:tcW w:w="568" w:type="dxa"/>
          </w:tcPr>
          <w:p w14:paraId="79EA9A35" w14:textId="77777777" w:rsidR="00410071" w:rsidRPr="00200234" w:rsidRDefault="00410071" w:rsidP="00EC625C">
            <w:pPr>
              <w:pStyle w:val="TableText"/>
              <w:tabs>
                <w:tab w:val="decimal" w:pos="368"/>
              </w:tabs>
              <w:spacing w:before="55" w:after="55"/>
              <w:rPr>
                <w:rFonts w:cs="Segoe UI"/>
              </w:rPr>
            </w:pPr>
            <w:r w:rsidRPr="00200234">
              <w:rPr>
                <w:rFonts w:cs="Segoe UI"/>
              </w:rPr>
              <w:t>1</w:t>
            </w:r>
            <w:r>
              <w:rPr>
                <w:rFonts w:cs="Segoe UI"/>
              </w:rPr>
              <w:t>4</w:t>
            </w:r>
          </w:p>
        </w:tc>
        <w:tc>
          <w:tcPr>
            <w:tcW w:w="709" w:type="dxa"/>
          </w:tcPr>
          <w:p w14:paraId="382AE0FC" w14:textId="77777777" w:rsidR="00410071" w:rsidRPr="00200234" w:rsidRDefault="00410071" w:rsidP="00EC625C">
            <w:pPr>
              <w:pStyle w:val="TableText"/>
              <w:tabs>
                <w:tab w:val="decimal" w:pos="454"/>
              </w:tabs>
              <w:spacing w:before="55" w:after="55"/>
              <w:rPr>
                <w:rFonts w:cs="Segoe UI"/>
              </w:rPr>
            </w:pPr>
            <w:r>
              <w:rPr>
                <w:rFonts w:cs="Segoe UI"/>
              </w:rPr>
              <w:t>9</w:t>
            </w:r>
          </w:p>
        </w:tc>
      </w:tr>
      <w:tr w:rsidR="00410071" w:rsidRPr="00200234" w14:paraId="398908CE" w14:textId="77777777" w:rsidTr="00EC625C">
        <w:trPr>
          <w:cantSplit/>
        </w:trPr>
        <w:tc>
          <w:tcPr>
            <w:tcW w:w="1843" w:type="dxa"/>
            <w:tcBorders>
              <w:bottom w:val="nil"/>
            </w:tcBorders>
          </w:tcPr>
          <w:p w14:paraId="5FAB9E16" w14:textId="77777777" w:rsidR="00410071" w:rsidRPr="00200234" w:rsidRDefault="00410071" w:rsidP="00EC625C">
            <w:pPr>
              <w:pStyle w:val="TableText"/>
              <w:spacing w:before="55" w:after="55"/>
              <w:rPr>
                <w:rFonts w:cs="Segoe UI"/>
              </w:rPr>
            </w:pPr>
          </w:p>
        </w:tc>
        <w:tc>
          <w:tcPr>
            <w:tcW w:w="638" w:type="dxa"/>
            <w:tcBorders>
              <w:bottom w:val="nil"/>
            </w:tcBorders>
          </w:tcPr>
          <w:p w14:paraId="55DC91F9" w14:textId="77777777" w:rsidR="00410071" w:rsidRPr="00200234" w:rsidRDefault="00410071" w:rsidP="00EC625C">
            <w:pPr>
              <w:pStyle w:val="TableText"/>
              <w:tabs>
                <w:tab w:val="decimal" w:pos="636"/>
              </w:tabs>
              <w:spacing w:before="55" w:after="55"/>
              <w:rPr>
                <w:rFonts w:cs="Segoe UI"/>
              </w:rPr>
            </w:pPr>
          </w:p>
        </w:tc>
        <w:tc>
          <w:tcPr>
            <w:tcW w:w="638" w:type="dxa"/>
            <w:tcBorders>
              <w:bottom w:val="nil"/>
            </w:tcBorders>
          </w:tcPr>
          <w:p w14:paraId="09D8F173" w14:textId="77777777" w:rsidR="00410071" w:rsidRPr="00200234" w:rsidRDefault="00410071" w:rsidP="00EC625C">
            <w:pPr>
              <w:pStyle w:val="TableText"/>
              <w:tabs>
                <w:tab w:val="decimal" w:pos="636"/>
              </w:tabs>
              <w:spacing w:before="55" w:after="55"/>
              <w:rPr>
                <w:rFonts w:cs="Segoe UI"/>
              </w:rPr>
            </w:pPr>
          </w:p>
        </w:tc>
        <w:tc>
          <w:tcPr>
            <w:tcW w:w="850" w:type="dxa"/>
            <w:tcBorders>
              <w:bottom w:val="nil"/>
            </w:tcBorders>
          </w:tcPr>
          <w:p w14:paraId="62B38325" w14:textId="77777777" w:rsidR="00410071" w:rsidRPr="00200234" w:rsidRDefault="00410071" w:rsidP="00EC625C">
            <w:pPr>
              <w:pStyle w:val="TableText"/>
              <w:tabs>
                <w:tab w:val="decimal" w:pos="636"/>
              </w:tabs>
              <w:spacing w:before="55" w:after="55"/>
              <w:rPr>
                <w:rFonts w:cs="Segoe UI"/>
              </w:rPr>
            </w:pPr>
          </w:p>
        </w:tc>
        <w:tc>
          <w:tcPr>
            <w:tcW w:w="426" w:type="dxa"/>
            <w:tcBorders>
              <w:top w:val="nil"/>
              <w:bottom w:val="nil"/>
            </w:tcBorders>
            <w:shd w:val="clear" w:color="auto" w:fill="auto"/>
          </w:tcPr>
          <w:p w14:paraId="1BBB0F64" w14:textId="77777777" w:rsidR="00410071" w:rsidRPr="00200234" w:rsidRDefault="00410071" w:rsidP="00EC625C">
            <w:pPr>
              <w:pStyle w:val="TableText"/>
              <w:tabs>
                <w:tab w:val="decimal" w:pos="636"/>
              </w:tabs>
              <w:spacing w:before="55" w:after="55"/>
              <w:rPr>
                <w:rFonts w:cs="Segoe UI"/>
              </w:rPr>
            </w:pPr>
          </w:p>
        </w:tc>
        <w:tc>
          <w:tcPr>
            <w:tcW w:w="1843" w:type="dxa"/>
          </w:tcPr>
          <w:p w14:paraId="724A26D9" w14:textId="77777777" w:rsidR="00410071" w:rsidRPr="00200234" w:rsidRDefault="00410071" w:rsidP="00EC625C">
            <w:pPr>
              <w:pStyle w:val="TableText"/>
              <w:spacing w:before="55" w:after="55"/>
              <w:jc w:val="both"/>
              <w:rPr>
                <w:rFonts w:cs="Segoe UI"/>
              </w:rPr>
            </w:pPr>
            <w:r w:rsidRPr="00200234">
              <w:rPr>
                <w:rFonts w:cs="Segoe UI"/>
                <w:b/>
              </w:rPr>
              <w:t>National average</w:t>
            </w:r>
          </w:p>
        </w:tc>
        <w:tc>
          <w:tcPr>
            <w:tcW w:w="567" w:type="dxa"/>
          </w:tcPr>
          <w:p w14:paraId="21C14387" w14:textId="77777777" w:rsidR="00410071" w:rsidRPr="00200234" w:rsidRDefault="00410071" w:rsidP="00EC625C">
            <w:pPr>
              <w:pStyle w:val="TableText"/>
              <w:tabs>
                <w:tab w:val="decimal" w:pos="368"/>
              </w:tabs>
              <w:spacing w:before="55" w:after="55"/>
              <w:rPr>
                <w:rFonts w:cs="Segoe UI"/>
              </w:rPr>
            </w:pPr>
            <w:r w:rsidRPr="00200234">
              <w:rPr>
                <w:rFonts w:cs="Segoe UI"/>
                <w:b/>
              </w:rPr>
              <w:t>13</w:t>
            </w:r>
          </w:p>
        </w:tc>
        <w:tc>
          <w:tcPr>
            <w:tcW w:w="568" w:type="dxa"/>
          </w:tcPr>
          <w:p w14:paraId="0E484CB7" w14:textId="77777777" w:rsidR="00410071" w:rsidRPr="00200234" w:rsidRDefault="00410071" w:rsidP="00EC625C">
            <w:pPr>
              <w:pStyle w:val="TableText"/>
              <w:tabs>
                <w:tab w:val="decimal" w:pos="368"/>
              </w:tabs>
              <w:spacing w:before="55" w:after="55"/>
              <w:rPr>
                <w:rFonts w:cs="Segoe UI"/>
              </w:rPr>
            </w:pPr>
            <w:r w:rsidRPr="00200234">
              <w:rPr>
                <w:rFonts w:cs="Segoe UI"/>
                <w:b/>
              </w:rPr>
              <w:t>13</w:t>
            </w:r>
          </w:p>
        </w:tc>
        <w:tc>
          <w:tcPr>
            <w:tcW w:w="709" w:type="dxa"/>
          </w:tcPr>
          <w:p w14:paraId="06B3C494" w14:textId="77777777" w:rsidR="00410071" w:rsidRPr="00200234" w:rsidRDefault="00410071" w:rsidP="00EC625C">
            <w:pPr>
              <w:pStyle w:val="TableText"/>
              <w:tabs>
                <w:tab w:val="decimal" w:pos="454"/>
              </w:tabs>
              <w:spacing w:before="55" w:after="55"/>
              <w:rPr>
                <w:rFonts w:cs="Segoe UI"/>
              </w:rPr>
            </w:pPr>
            <w:r w:rsidRPr="00200234">
              <w:rPr>
                <w:rFonts w:cs="Segoe UI"/>
                <w:b/>
              </w:rPr>
              <w:t>9</w:t>
            </w:r>
          </w:p>
        </w:tc>
      </w:tr>
    </w:tbl>
    <w:p w14:paraId="592392AA" w14:textId="77777777" w:rsidR="0039221C" w:rsidRDefault="00410071" w:rsidP="00AE7C03">
      <w:pPr>
        <w:pStyle w:val="Note"/>
      </w:pPr>
      <w:r w:rsidRPr="00200234">
        <w:t>Note</w:t>
      </w:r>
      <w:r>
        <w:t>s</w:t>
      </w:r>
      <w:r w:rsidRPr="00200234">
        <w:t>: Section 14(4) data may also include PRIMHD records for sections 15(1) and 15(2). The latter provisions describe similar circumstances in which a patient is waiting for a court decision on compulsory treatment. Volumes of section 14(4) in some DHBs may be higher due to reporting extension and indefinite order applications under section 14(4) in addition to original compulsory treatment order applications. This is down to local reporting variation.</w:t>
      </w:r>
    </w:p>
    <w:p w14:paraId="44BE56B4" w14:textId="77777777" w:rsidR="00410071" w:rsidRDefault="00410071" w:rsidP="00AE7C03">
      <w:pPr>
        <w:pStyle w:val="Source"/>
      </w:pPr>
      <w:r w:rsidRPr="00200234">
        <w:t>Source: PRIMHD data</w:t>
      </w:r>
      <w:r>
        <w:t xml:space="preserve"> (extracted</w:t>
      </w:r>
      <w:r w:rsidRPr="00200234">
        <w:t xml:space="preserve"> </w:t>
      </w:r>
      <w:r>
        <w:t>1 July 2021).</w:t>
      </w:r>
    </w:p>
    <w:p w14:paraId="55111427" w14:textId="77777777" w:rsidR="00410071" w:rsidRDefault="00410071" w:rsidP="00AE7C03"/>
    <w:p w14:paraId="0B3EF111" w14:textId="203A7687" w:rsidR="00410071" w:rsidRDefault="00410071" w:rsidP="00D73AC0">
      <w:pPr>
        <w:pStyle w:val="Table"/>
      </w:pPr>
      <w:bookmarkStart w:id="34" w:name="_Ref85553671"/>
      <w:bookmarkStart w:id="35" w:name="_Toc87430000"/>
      <w:bookmarkStart w:id="36" w:name="_Toc88561357"/>
      <w:r>
        <w:t>Table</w:t>
      </w:r>
      <w:r w:rsidR="00AE7C03">
        <w:t> </w:t>
      </w:r>
      <w:r w:rsidR="00592799">
        <w:fldChar w:fldCharType="begin"/>
      </w:r>
      <w:r w:rsidR="00592799">
        <w:instrText xml:space="preserve"> SEQ Table \* ARABIC </w:instrText>
      </w:r>
      <w:r w:rsidR="00592799">
        <w:fldChar w:fldCharType="separate"/>
      </w:r>
      <w:r w:rsidR="00840F18">
        <w:rPr>
          <w:noProof/>
        </w:rPr>
        <w:t>2</w:t>
      </w:r>
      <w:r w:rsidR="00592799">
        <w:rPr>
          <w:noProof/>
        </w:rPr>
        <w:fldChar w:fldCharType="end"/>
      </w:r>
      <w:bookmarkEnd w:id="34"/>
      <w:r w:rsidRPr="00200234">
        <w:t>: Average number of people on a given day subject to sections 29, 30 and 31 of the Mental Health Act per 100,000 population, by DHB, 1 January to 31 December 20</w:t>
      </w:r>
      <w:r>
        <w:t>20</w:t>
      </w:r>
      <w:bookmarkEnd w:id="35"/>
      <w:bookmarkEnd w:id="36"/>
    </w:p>
    <w:tbl>
      <w:tblPr>
        <w:tblW w:w="808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708"/>
        <w:gridCol w:w="709"/>
        <w:gridCol w:w="709"/>
        <w:gridCol w:w="426"/>
        <w:gridCol w:w="1843"/>
        <w:gridCol w:w="614"/>
        <w:gridCol w:w="615"/>
        <w:gridCol w:w="615"/>
      </w:tblGrid>
      <w:tr w:rsidR="00410071" w:rsidRPr="00200234" w14:paraId="20ED2541" w14:textId="77777777" w:rsidTr="00EC625C">
        <w:trPr>
          <w:cantSplit/>
          <w:tblHeader/>
        </w:trPr>
        <w:tc>
          <w:tcPr>
            <w:tcW w:w="1843" w:type="dxa"/>
            <w:tcBorders>
              <w:top w:val="nil"/>
              <w:bottom w:val="nil"/>
              <w:right w:val="nil"/>
            </w:tcBorders>
            <w:shd w:val="clear" w:color="auto" w:fill="D9D9D9" w:themeFill="background1" w:themeFillShade="D9"/>
          </w:tcPr>
          <w:p w14:paraId="08B2C4F0" w14:textId="77777777" w:rsidR="00410071" w:rsidRPr="00200234" w:rsidRDefault="00410071" w:rsidP="00AE7C03">
            <w:pPr>
              <w:pStyle w:val="TableText"/>
              <w:spacing w:before="55" w:after="55"/>
              <w:rPr>
                <w:rFonts w:cs="Segoe UI"/>
                <w:b/>
              </w:rPr>
            </w:pPr>
            <w:r w:rsidRPr="00200234">
              <w:rPr>
                <w:rFonts w:cs="Segoe UI"/>
                <w:b/>
              </w:rPr>
              <w:t>DHB</w:t>
            </w:r>
          </w:p>
        </w:tc>
        <w:tc>
          <w:tcPr>
            <w:tcW w:w="708" w:type="dxa"/>
            <w:tcBorders>
              <w:top w:val="nil"/>
              <w:left w:val="nil"/>
              <w:bottom w:val="nil"/>
              <w:right w:val="nil"/>
            </w:tcBorders>
            <w:shd w:val="clear" w:color="auto" w:fill="D9D9D9" w:themeFill="background1" w:themeFillShade="D9"/>
          </w:tcPr>
          <w:p w14:paraId="4D39E1A9" w14:textId="77777777" w:rsidR="00410071" w:rsidRPr="00200234" w:rsidRDefault="00410071" w:rsidP="00AE7C03">
            <w:pPr>
              <w:pStyle w:val="TableText"/>
              <w:spacing w:before="55" w:after="55"/>
              <w:jc w:val="center"/>
              <w:rPr>
                <w:rFonts w:cs="Segoe UI"/>
                <w:b/>
              </w:rPr>
            </w:pPr>
            <w:r w:rsidRPr="00200234">
              <w:rPr>
                <w:rFonts w:cs="Segoe UI"/>
                <w:b/>
              </w:rPr>
              <w:t>s 29</w:t>
            </w:r>
          </w:p>
        </w:tc>
        <w:tc>
          <w:tcPr>
            <w:tcW w:w="709" w:type="dxa"/>
            <w:tcBorders>
              <w:top w:val="nil"/>
              <w:left w:val="nil"/>
              <w:bottom w:val="nil"/>
              <w:right w:val="nil"/>
            </w:tcBorders>
            <w:shd w:val="clear" w:color="auto" w:fill="D9D9D9" w:themeFill="background1" w:themeFillShade="D9"/>
          </w:tcPr>
          <w:p w14:paraId="4092EC42" w14:textId="77777777" w:rsidR="00410071" w:rsidRPr="00200234" w:rsidRDefault="00410071" w:rsidP="00AE7C03">
            <w:pPr>
              <w:pStyle w:val="TableText"/>
              <w:spacing w:before="55" w:after="55"/>
              <w:jc w:val="center"/>
              <w:rPr>
                <w:rFonts w:cs="Segoe UI"/>
                <w:b/>
              </w:rPr>
            </w:pPr>
            <w:r w:rsidRPr="00200234">
              <w:rPr>
                <w:rFonts w:cs="Segoe UI"/>
                <w:b/>
              </w:rPr>
              <w:t>s 30</w:t>
            </w:r>
          </w:p>
        </w:tc>
        <w:tc>
          <w:tcPr>
            <w:tcW w:w="709" w:type="dxa"/>
            <w:tcBorders>
              <w:top w:val="nil"/>
              <w:left w:val="nil"/>
              <w:bottom w:val="nil"/>
            </w:tcBorders>
            <w:shd w:val="clear" w:color="auto" w:fill="D9D9D9" w:themeFill="background1" w:themeFillShade="D9"/>
          </w:tcPr>
          <w:p w14:paraId="5F7E6DFA" w14:textId="77777777" w:rsidR="00410071" w:rsidRPr="00200234" w:rsidRDefault="00410071" w:rsidP="00AE7C03">
            <w:pPr>
              <w:pStyle w:val="TableText"/>
              <w:spacing w:before="55" w:after="55"/>
              <w:jc w:val="center"/>
              <w:rPr>
                <w:rFonts w:cs="Segoe UI"/>
                <w:b/>
              </w:rPr>
            </w:pPr>
            <w:r w:rsidRPr="00200234">
              <w:rPr>
                <w:rFonts w:cs="Segoe UI"/>
                <w:b/>
              </w:rPr>
              <w:t>s 31</w:t>
            </w:r>
          </w:p>
        </w:tc>
        <w:tc>
          <w:tcPr>
            <w:tcW w:w="426" w:type="dxa"/>
            <w:tcBorders>
              <w:top w:val="nil"/>
              <w:bottom w:val="nil"/>
            </w:tcBorders>
            <w:shd w:val="clear" w:color="auto" w:fill="auto"/>
          </w:tcPr>
          <w:p w14:paraId="104DED09" w14:textId="77777777" w:rsidR="00410071" w:rsidRPr="00200234" w:rsidRDefault="00410071" w:rsidP="00AE7C03">
            <w:pPr>
              <w:pStyle w:val="TableText"/>
              <w:spacing w:before="55" w:after="55"/>
              <w:jc w:val="center"/>
              <w:rPr>
                <w:rFonts w:cs="Segoe UI"/>
                <w:b/>
              </w:rPr>
            </w:pPr>
          </w:p>
        </w:tc>
        <w:tc>
          <w:tcPr>
            <w:tcW w:w="1843" w:type="dxa"/>
            <w:tcBorders>
              <w:top w:val="nil"/>
              <w:bottom w:val="nil"/>
            </w:tcBorders>
            <w:shd w:val="clear" w:color="auto" w:fill="D9D9D9" w:themeFill="background1" w:themeFillShade="D9"/>
          </w:tcPr>
          <w:p w14:paraId="188B2440" w14:textId="77777777" w:rsidR="00410071" w:rsidRPr="00200234" w:rsidRDefault="00410071" w:rsidP="00AE7C03">
            <w:pPr>
              <w:pStyle w:val="TableText"/>
              <w:spacing w:before="55" w:after="55"/>
              <w:rPr>
                <w:rFonts w:cs="Segoe UI"/>
                <w:b/>
              </w:rPr>
            </w:pPr>
            <w:r w:rsidRPr="00200234">
              <w:rPr>
                <w:rFonts w:cs="Segoe UI"/>
                <w:b/>
              </w:rPr>
              <w:t>DHB</w:t>
            </w:r>
          </w:p>
        </w:tc>
        <w:tc>
          <w:tcPr>
            <w:tcW w:w="614" w:type="dxa"/>
            <w:tcBorders>
              <w:top w:val="nil"/>
              <w:bottom w:val="nil"/>
            </w:tcBorders>
            <w:shd w:val="clear" w:color="auto" w:fill="D9D9D9" w:themeFill="background1" w:themeFillShade="D9"/>
          </w:tcPr>
          <w:p w14:paraId="2CFA64A6" w14:textId="77777777" w:rsidR="00410071" w:rsidRPr="00200234" w:rsidRDefault="00410071" w:rsidP="00AE7C03">
            <w:pPr>
              <w:pStyle w:val="TableText"/>
              <w:spacing w:before="55" w:after="55"/>
              <w:jc w:val="center"/>
              <w:rPr>
                <w:rFonts w:cs="Segoe UI"/>
                <w:b/>
              </w:rPr>
            </w:pPr>
            <w:r w:rsidRPr="00200234">
              <w:rPr>
                <w:rFonts w:cs="Segoe UI"/>
                <w:b/>
              </w:rPr>
              <w:t>s 29</w:t>
            </w:r>
          </w:p>
        </w:tc>
        <w:tc>
          <w:tcPr>
            <w:tcW w:w="615" w:type="dxa"/>
            <w:tcBorders>
              <w:top w:val="nil"/>
              <w:bottom w:val="nil"/>
            </w:tcBorders>
            <w:shd w:val="clear" w:color="auto" w:fill="D9D9D9" w:themeFill="background1" w:themeFillShade="D9"/>
          </w:tcPr>
          <w:p w14:paraId="1CF3ED07" w14:textId="77777777" w:rsidR="00410071" w:rsidRPr="00200234" w:rsidRDefault="00410071" w:rsidP="00AE7C03">
            <w:pPr>
              <w:pStyle w:val="TableText"/>
              <w:spacing w:before="55" w:after="55"/>
              <w:jc w:val="center"/>
              <w:rPr>
                <w:rFonts w:cs="Segoe UI"/>
                <w:b/>
              </w:rPr>
            </w:pPr>
            <w:r w:rsidRPr="00200234">
              <w:rPr>
                <w:rFonts w:cs="Segoe UI"/>
                <w:b/>
              </w:rPr>
              <w:t>s 30</w:t>
            </w:r>
          </w:p>
        </w:tc>
        <w:tc>
          <w:tcPr>
            <w:tcW w:w="615" w:type="dxa"/>
            <w:tcBorders>
              <w:top w:val="nil"/>
              <w:bottom w:val="nil"/>
            </w:tcBorders>
            <w:shd w:val="clear" w:color="auto" w:fill="D9D9D9" w:themeFill="background1" w:themeFillShade="D9"/>
          </w:tcPr>
          <w:p w14:paraId="54D8EC46" w14:textId="77777777" w:rsidR="00410071" w:rsidRPr="00200234" w:rsidRDefault="00410071" w:rsidP="00AE7C03">
            <w:pPr>
              <w:pStyle w:val="TableText"/>
              <w:spacing w:before="55" w:after="55"/>
              <w:jc w:val="center"/>
              <w:rPr>
                <w:rFonts w:cs="Segoe UI"/>
                <w:b/>
              </w:rPr>
            </w:pPr>
            <w:r w:rsidRPr="00200234">
              <w:rPr>
                <w:rFonts w:cs="Segoe UI"/>
                <w:b/>
              </w:rPr>
              <w:t>s 31</w:t>
            </w:r>
          </w:p>
        </w:tc>
      </w:tr>
      <w:tr w:rsidR="00410071" w:rsidRPr="00200234" w14:paraId="6E9272D0" w14:textId="77777777" w:rsidTr="00EC625C">
        <w:trPr>
          <w:cantSplit/>
        </w:trPr>
        <w:tc>
          <w:tcPr>
            <w:tcW w:w="1843" w:type="dxa"/>
            <w:tcBorders>
              <w:top w:val="nil"/>
              <w:right w:val="nil"/>
            </w:tcBorders>
          </w:tcPr>
          <w:p w14:paraId="44BAF0B3" w14:textId="77777777" w:rsidR="00410071" w:rsidRPr="00200234" w:rsidRDefault="00410071" w:rsidP="00AE7C03">
            <w:pPr>
              <w:pStyle w:val="TableText"/>
              <w:spacing w:before="55" w:after="55"/>
              <w:rPr>
                <w:rFonts w:cs="Segoe UI"/>
              </w:rPr>
            </w:pPr>
            <w:r w:rsidRPr="00200234">
              <w:rPr>
                <w:rFonts w:cs="Segoe UI"/>
              </w:rPr>
              <w:t>Auckland</w:t>
            </w:r>
          </w:p>
        </w:tc>
        <w:tc>
          <w:tcPr>
            <w:tcW w:w="708" w:type="dxa"/>
            <w:tcBorders>
              <w:top w:val="nil"/>
              <w:left w:val="nil"/>
              <w:right w:val="nil"/>
            </w:tcBorders>
          </w:tcPr>
          <w:p w14:paraId="52B0E4CF" w14:textId="77777777" w:rsidR="00410071" w:rsidRPr="00200234" w:rsidRDefault="00410071" w:rsidP="00AE7C03">
            <w:pPr>
              <w:pStyle w:val="TableText"/>
              <w:tabs>
                <w:tab w:val="decimal" w:pos="510"/>
              </w:tabs>
              <w:spacing w:before="55" w:after="55"/>
              <w:rPr>
                <w:rFonts w:cs="Segoe UI"/>
              </w:rPr>
            </w:pPr>
            <w:r w:rsidRPr="00200234">
              <w:rPr>
                <w:rFonts w:cs="Segoe UI"/>
              </w:rPr>
              <w:t>1</w:t>
            </w:r>
            <w:r>
              <w:rPr>
                <w:rFonts w:cs="Segoe UI"/>
              </w:rPr>
              <w:t>02</w:t>
            </w:r>
          </w:p>
        </w:tc>
        <w:tc>
          <w:tcPr>
            <w:tcW w:w="709" w:type="dxa"/>
            <w:tcBorders>
              <w:top w:val="nil"/>
              <w:left w:val="nil"/>
              <w:right w:val="nil"/>
            </w:tcBorders>
          </w:tcPr>
          <w:p w14:paraId="6746B49C" w14:textId="77777777" w:rsidR="00410071" w:rsidRPr="00200234" w:rsidRDefault="00410071" w:rsidP="00AE7C03">
            <w:pPr>
              <w:pStyle w:val="TableText"/>
              <w:tabs>
                <w:tab w:val="decimal" w:pos="510"/>
              </w:tabs>
              <w:spacing w:before="55" w:after="55"/>
              <w:rPr>
                <w:rFonts w:cs="Segoe UI"/>
              </w:rPr>
            </w:pPr>
            <w:r>
              <w:rPr>
                <w:rFonts w:cs="Segoe UI"/>
              </w:rPr>
              <w:t>11</w:t>
            </w:r>
          </w:p>
        </w:tc>
        <w:tc>
          <w:tcPr>
            <w:tcW w:w="709" w:type="dxa"/>
            <w:tcBorders>
              <w:top w:val="nil"/>
              <w:left w:val="nil"/>
            </w:tcBorders>
          </w:tcPr>
          <w:p w14:paraId="1E8BB597" w14:textId="77777777" w:rsidR="00410071" w:rsidRPr="00200234" w:rsidRDefault="00410071" w:rsidP="00AE7C03">
            <w:pPr>
              <w:pStyle w:val="TableText"/>
              <w:tabs>
                <w:tab w:val="decimal" w:pos="454"/>
              </w:tabs>
              <w:spacing w:before="55" w:after="55"/>
              <w:rPr>
                <w:rFonts w:cs="Segoe UI"/>
              </w:rPr>
            </w:pPr>
            <w:r>
              <w:rPr>
                <w:rFonts w:cs="Segoe UI"/>
              </w:rPr>
              <w:t>1</w:t>
            </w:r>
          </w:p>
        </w:tc>
        <w:tc>
          <w:tcPr>
            <w:tcW w:w="426" w:type="dxa"/>
            <w:tcBorders>
              <w:top w:val="nil"/>
              <w:bottom w:val="nil"/>
            </w:tcBorders>
            <w:shd w:val="clear" w:color="auto" w:fill="auto"/>
          </w:tcPr>
          <w:p w14:paraId="70C2316D"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64EF1F0D" w14:textId="77777777" w:rsidR="00410071" w:rsidRPr="00200234" w:rsidRDefault="00410071" w:rsidP="00AE7C03">
            <w:pPr>
              <w:pStyle w:val="TableText"/>
              <w:spacing w:before="55" w:after="55"/>
              <w:jc w:val="both"/>
              <w:rPr>
                <w:rFonts w:cs="Segoe UI"/>
              </w:rPr>
            </w:pPr>
            <w:r w:rsidRPr="00200234">
              <w:rPr>
                <w:rFonts w:cs="Segoe UI"/>
              </w:rPr>
              <w:t>Northland</w:t>
            </w:r>
          </w:p>
        </w:tc>
        <w:tc>
          <w:tcPr>
            <w:tcW w:w="614" w:type="dxa"/>
            <w:tcBorders>
              <w:top w:val="nil"/>
            </w:tcBorders>
          </w:tcPr>
          <w:p w14:paraId="44872AB0" w14:textId="77777777" w:rsidR="00410071" w:rsidRPr="00200234" w:rsidRDefault="00410071" w:rsidP="00AE7C03">
            <w:pPr>
              <w:pStyle w:val="TableText"/>
              <w:tabs>
                <w:tab w:val="decimal" w:pos="454"/>
              </w:tabs>
              <w:spacing w:before="55" w:after="55"/>
              <w:rPr>
                <w:rFonts w:cs="Segoe UI"/>
              </w:rPr>
            </w:pPr>
            <w:r w:rsidRPr="00200234">
              <w:rPr>
                <w:rFonts w:cs="Segoe UI"/>
              </w:rPr>
              <w:t>1</w:t>
            </w:r>
            <w:r>
              <w:rPr>
                <w:rFonts w:cs="Segoe UI"/>
              </w:rPr>
              <w:t>81</w:t>
            </w:r>
          </w:p>
        </w:tc>
        <w:tc>
          <w:tcPr>
            <w:tcW w:w="615" w:type="dxa"/>
            <w:tcBorders>
              <w:top w:val="nil"/>
            </w:tcBorders>
          </w:tcPr>
          <w:p w14:paraId="107D6A2C" w14:textId="77777777" w:rsidR="00410071" w:rsidRPr="00200234" w:rsidRDefault="00410071" w:rsidP="00AE7C03">
            <w:pPr>
              <w:pStyle w:val="TableText"/>
              <w:tabs>
                <w:tab w:val="decimal" w:pos="454"/>
              </w:tabs>
              <w:spacing w:before="55" w:after="55"/>
              <w:rPr>
                <w:rFonts w:cs="Segoe UI"/>
              </w:rPr>
            </w:pPr>
            <w:r>
              <w:rPr>
                <w:rFonts w:cs="Segoe UI"/>
              </w:rPr>
              <w:t>9</w:t>
            </w:r>
          </w:p>
        </w:tc>
        <w:tc>
          <w:tcPr>
            <w:tcW w:w="615" w:type="dxa"/>
            <w:tcBorders>
              <w:top w:val="nil"/>
            </w:tcBorders>
          </w:tcPr>
          <w:p w14:paraId="365ED15B" w14:textId="77777777" w:rsidR="00410071" w:rsidRPr="00200234" w:rsidRDefault="00410071" w:rsidP="00AE7C03">
            <w:pPr>
              <w:pStyle w:val="TableText"/>
              <w:spacing w:before="55" w:after="55"/>
              <w:jc w:val="center"/>
              <w:rPr>
                <w:rFonts w:cs="Segoe UI"/>
              </w:rPr>
            </w:pPr>
            <w:r w:rsidRPr="00200234">
              <w:rPr>
                <w:rFonts w:cs="Segoe UI"/>
              </w:rPr>
              <w:t>2</w:t>
            </w:r>
          </w:p>
        </w:tc>
      </w:tr>
      <w:tr w:rsidR="00410071" w:rsidRPr="00200234" w14:paraId="526BCE61" w14:textId="77777777" w:rsidTr="00EC625C">
        <w:trPr>
          <w:cantSplit/>
        </w:trPr>
        <w:tc>
          <w:tcPr>
            <w:tcW w:w="1843" w:type="dxa"/>
            <w:tcBorders>
              <w:top w:val="nil"/>
              <w:right w:val="nil"/>
            </w:tcBorders>
          </w:tcPr>
          <w:p w14:paraId="034B7ED7" w14:textId="77777777" w:rsidR="00410071" w:rsidRPr="00200234" w:rsidRDefault="00410071" w:rsidP="00AE7C03">
            <w:pPr>
              <w:pStyle w:val="TableText"/>
              <w:spacing w:before="55" w:after="55"/>
              <w:rPr>
                <w:rFonts w:cs="Segoe UI"/>
              </w:rPr>
            </w:pPr>
            <w:r w:rsidRPr="00200234">
              <w:rPr>
                <w:rFonts w:cs="Segoe UI"/>
              </w:rPr>
              <w:t>Bay of Plenty</w:t>
            </w:r>
          </w:p>
        </w:tc>
        <w:tc>
          <w:tcPr>
            <w:tcW w:w="708" w:type="dxa"/>
            <w:tcBorders>
              <w:top w:val="nil"/>
              <w:left w:val="nil"/>
              <w:right w:val="nil"/>
            </w:tcBorders>
          </w:tcPr>
          <w:p w14:paraId="024DB987" w14:textId="77777777" w:rsidR="00410071" w:rsidRPr="00200234" w:rsidRDefault="00410071" w:rsidP="00AE7C03">
            <w:pPr>
              <w:pStyle w:val="TableText"/>
              <w:tabs>
                <w:tab w:val="decimal" w:pos="510"/>
              </w:tabs>
              <w:spacing w:before="55" w:after="55"/>
              <w:rPr>
                <w:rFonts w:cs="Segoe UI"/>
              </w:rPr>
            </w:pPr>
            <w:r>
              <w:rPr>
                <w:rFonts w:cs="Segoe UI"/>
              </w:rPr>
              <w:t>48</w:t>
            </w:r>
          </w:p>
        </w:tc>
        <w:tc>
          <w:tcPr>
            <w:tcW w:w="709" w:type="dxa"/>
            <w:tcBorders>
              <w:top w:val="nil"/>
              <w:left w:val="nil"/>
              <w:right w:val="nil"/>
            </w:tcBorders>
          </w:tcPr>
          <w:p w14:paraId="7AD32517" w14:textId="77777777" w:rsidR="00410071" w:rsidRPr="00200234" w:rsidRDefault="00410071" w:rsidP="00AE7C03">
            <w:pPr>
              <w:pStyle w:val="TableText"/>
              <w:tabs>
                <w:tab w:val="decimal" w:pos="510"/>
              </w:tabs>
              <w:spacing w:before="55" w:after="55"/>
              <w:rPr>
                <w:rFonts w:cs="Segoe UI"/>
              </w:rPr>
            </w:pPr>
            <w:r>
              <w:rPr>
                <w:rFonts w:cs="Segoe UI"/>
              </w:rPr>
              <w:t>7</w:t>
            </w:r>
          </w:p>
        </w:tc>
        <w:tc>
          <w:tcPr>
            <w:tcW w:w="709" w:type="dxa"/>
            <w:tcBorders>
              <w:top w:val="nil"/>
              <w:left w:val="nil"/>
            </w:tcBorders>
          </w:tcPr>
          <w:p w14:paraId="1142EB46" w14:textId="77777777" w:rsidR="00410071" w:rsidRPr="00200234" w:rsidRDefault="00410071" w:rsidP="00AE7C03">
            <w:pPr>
              <w:pStyle w:val="TableText"/>
              <w:tabs>
                <w:tab w:val="decimal" w:pos="454"/>
              </w:tabs>
              <w:spacing w:before="55" w:after="55"/>
              <w:rPr>
                <w:rFonts w:cs="Segoe UI"/>
              </w:rPr>
            </w:pPr>
            <w:r>
              <w:rPr>
                <w:rFonts w:cs="Segoe UI"/>
              </w:rPr>
              <w:t>2</w:t>
            </w:r>
          </w:p>
        </w:tc>
        <w:tc>
          <w:tcPr>
            <w:tcW w:w="426" w:type="dxa"/>
            <w:tcBorders>
              <w:top w:val="nil"/>
              <w:bottom w:val="nil"/>
            </w:tcBorders>
            <w:shd w:val="clear" w:color="auto" w:fill="auto"/>
          </w:tcPr>
          <w:p w14:paraId="4F489B72"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2F80350A" w14:textId="77777777" w:rsidR="00410071" w:rsidRPr="00200234" w:rsidRDefault="00410071" w:rsidP="00AE7C03">
            <w:pPr>
              <w:pStyle w:val="TableText"/>
              <w:spacing w:before="55" w:after="55"/>
              <w:jc w:val="both"/>
              <w:rPr>
                <w:rFonts w:cs="Segoe UI"/>
              </w:rPr>
            </w:pPr>
            <w:r w:rsidRPr="00200234">
              <w:rPr>
                <w:rFonts w:cs="Segoe UI"/>
              </w:rPr>
              <w:t>South Canterbury</w:t>
            </w:r>
          </w:p>
        </w:tc>
        <w:tc>
          <w:tcPr>
            <w:tcW w:w="614" w:type="dxa"/>
            <w:tcBorders>
              <w:top w:val="nil"/>
            </w:tcBorders>
          </w:tcPr>
          <w:p w14:paraId="647F8531" w14:textId="77777777" w:rsidR="00410071" w:rsidRPr="00200234" w:rsidRDefault="00410071" w:rsidP="00AE7C03">
            <w:pPr>
              <w:pStyle w:val="TableText"/>
              <w:tabs>
                <w:tab w:val="decimal" w:pos="454"/>
              </w:tabs>
              <w:spacing w:before="55" w:after="55"/>
              <w:rPr>
                <w:rFonts w:cs="Segoe UI"/>
              </w:rPr>
            </w:pPr>
            <w:r>
              <w:rPr>
                <w:rFonts w:cs="Segoe UI"/>
              </w:rPr>
              <w:t>81</w:t>
            </w:r>
          </w:p>
        </w:tc>
        <w:tc>
          <w:tcPr>
            <w:tcW w:w="615" w:type="dxa"/>
            <w:tcBorders>
              <w:top w:val="nil"/>
            </w:tcBorders>
          </w:tcPr>
          <w:p w14:paraId="0B258A5C" w14:textId="77777777" w:rsidR="00410071" w:rsidRPr="00200234" w:rsidRDefault="00410071" w:rsidP="00AE7C03">
            <w:pPr>
              <w:pStyle w:val="TableText"/>
              <w:tabs>
                <w:tab w:val="decimal" w:pos="454"/>
              </w:tabs>
              <w:spacing w:before="55" w:after="55"/>
              <w:rPr>
                <w:rFonts w:cs="Segoe UI"/>
              </w:rPr>
            </w:pPr>
            <w:r>
              <w:rPr>
                <w:rFonts w:cs="Segoe UI"/>
              </w:rPr>
              <w:t>6</w:t>
            </w:r>
          </w:p>
        </w:tc>
        <w:tc>
          <w:tcPr>
            <w:tcW w:w="615" w:type="dxa"/>
            <w:tcBorders>
              <w:top w:val="nil"/>
            </w:tcBorders>
          </w:tcPr>
          <w:p w14:paraId="3A39B1EE" w14:textId="77777777" w:rsidR="00410071" w:rsidRPr="00200234" w:rsidRDefault="00410071" w:rsidP="00AE7C03">
            <w:pPr>
              <w:pStyle w:val="TableText"/>
              <w:spacing w:before="55" w:after="55"/>
              <w:jc w:val="center"/>
              <w:rPr>
                <w:rFonts w:cs="Segoe UI"/>
              </w:rPr>
            </w:pPr>
            <w:r w:rsidRPr="00200234">
              <w:rPr>
                <w:rFonts w:cs="Segoe UI"/>
              </w:rPr>
              <w:t>3</w:t>
            </w:r>
          </w:p>
        </w:tc>
      </w:tr>
      <w:tr w:rsidR="00410071" w:rsidRPr="00200234" w14:paraId="2D0FE775" w14:textId="77777777" w:rsidTr="00EC625C">
        <w:trPr>
          <w:cantSplit/>
        </w:trPr>
        <w:tc>
          <w:tcPr>
            <w:tcW w:w="1843" w:type="dxa"/>
            <w:tcBorders>
              <w:top w:val="nil"/>
              <w:right w:val="nil"/>
            </w:tcBorders>
          </w:tcPr>
          <w:p w14:paraId="0CD92DB1" w14:textId="77777777" w:rsidR="00410071" w:rsidRPr="00200234" w:rsidRDefault="00410071" w:rsidP="00AE7C03">
            <w:pPr>
              <w:pStyle w:val="TableText"/>
              <w:spacing w:before="55" w:after="55"/>
              <w:rPr>
                <w:rFonts w:cs="Segoe UI"/>
              </w:rPr>
            </w:pPr>
            <w:r w:rsidRPr="00200234">
              <w:rPr>
                <w:rFonts w:cs="Segoe UI"/>
              </w:rPr>
              <w:t>Canterbury</w:t>
            </w:r>
          </w:p>
        </w:tc>
        <w:tc>
          <w:tcPr>
            <w:tcW w:w="708" w:type="dxa"/>
            <w:tcBorders>
              <w:top w:val="nil"/>
              <w:left w:val="nil"/>
              <w:right w:val="nil"/>
            </w:tcBorders>
          </w:tcPr>
          <w:p w14:paraId="02BA9999" w14:textId="77777777" w:rsidR="00410071" w:rsidRPr="00200234" w:rsidRDefault="00410071" w:rsidP="00AE7C03">
            <w:pPr>
              <w:pStyle w:val="TableText"/>
              <w:tabs>
                <w:tab w:val="decimal" w:pos="510"/>
              </w:tabs>
              <w:spacing w:before="55" w:after="55"/>
              <w:rPr>
                <w:rFonts w:cs="Segoe UI"/>
              </w:rPr>
            </w:pPr>
            <w:r w:rsidRPr="00200234">
              <w:rPr>
                <w:rFonts w:cs="Segoe UI"/>
              </w:rPr>
              <w:t>66</w:t>
            </w:r>
          </w:p>
        </w:tc>
        <w:tc>
          <w:tcPr>
            <w:tcW w:w="709" w:type="dxa"/>
            <w:tcBorders>
              <w:top w:val="nil"/>
              <w:left w:val="nil"/>
              <w:right w:val="nil"/>
            </w:tcBorders>
          </w:tcPr>
          <w:p w14:paraId="4BA34232" w14:textId="77777777" w:rsidR="00410071" w:rsidRPr="00200234" w:rsidRDefault="00410071" w:rsidP="00AE7C03">
            <w:pPr>
              <w:pStyle w:val="TableText"/>
              <w:tabs>
                <w:tab w:val="decimal" w:pos="510"/>
              </w:tabs>
              <w:spacing w:before="55" w:after="55"/>
              <w:rPr>
                <w:rFonts w:cs="Segoe UI"/>
              </w:rPr>
            </w:pPr>
            <w:r w:rsidRPr="00200234">
              <w:rPr>
                <w:rFonts w:cs="Segoe UI"/>
              </w:rPr>
              <w:t>1</w:t>
            </w:r>
            <w:r>
              <w:rPr>
                <w:rFonts w:cs="Segoe UI"/>
              </w:rPr>
              <w:t>7</w:t>
            </w:r>
          </w:p>
        </w:tc>
        <w:tc>
          <w:tcPr>
            <w:tcW w:w="709" w:type="dxa"/>
            <w:tcBorders>
              <w:top w:val="nil"/>
              <w:left w:val="nil"/>
            </w:tcBorders>
          </w:tcPr>
          <w:p w14:paraId="512F5A2C" w14:textId="77777777" w:rsidR="00410071" w:rsidRPr="00200234" w:rsidRDefault="00410071" w:rsidP="00AE7C03">
            <w:pPr>
              <w:pStyle w:val="TableText"/>
              <w:tabs>
                <w:tab w:val="decimal" w:pos="454"/>
              </w:tabs>
              <w:spacing w:before="55" w:after="55"/>
              <w:rPr>
                <w:rFonts w:cs="Segoe UI"/>
              </w:rPr>
            </w:pPr>
            <w:r w:rsidRPr="00200234">
              <w:rPr>
                <w:rFonts w:cs="Segoe UI"/>
              </w:rPr>
              <w:t>7</w:t>
            </w:r>
          </w:p>
        </w:tc>
        <w:tc>
          <w:tcPr>
            <w:tcW w:w="426" w:type="dxa"/>
            <w:tcBorders>
              <w:top w:val="nil"/>
              <w:bottom w:val="nil"/>
            </w:tcBorders>
            <w:shd w:val="clear" w:color="auto" w:fill="auto"/>
          </w:tcPr>
          <w:p w14:paraId="20A32AF2"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2EB33B0A" w14:textId="77777777" w:rsidR="00410071" w:rsidRPr="00200234" w:rsidRDefault="00410071" w:rsidP="00AE7C03">
            <w:pPr>
              <w:pStyle w:val="TableText"/>
              <w:spacing w:before="55" w:after="55"/>
              <w:jc w:val="both"/>
              <w:rPr>
                <w:rFonts w:cs="Segoe UI"/>
              </w:rPr>
            </w:pPr>
            <w:r w:rsidRPr="00200234">
              <w:rPr>
                <w:rFonts w:cs="Segoe UI"/>
              </w:rPr>
              <w:t>Southern</w:t>
            </w:r>
          </w:p>
        </w:tc>
        <w:tc>
          <w:tcPr>
            <w:tcW w:w="614" w:type="dxa"/>
            <w:tcBorders>
              <w:top w:val="nil"/>
            </w:tcBorders>
          </w:tcPr>
          <w:p w14:paraId="2CECC028" w14:textId="77777777" w:rsidR="00410071" w:rsidRPr="00200234" w:rsidRDefault="00410071" w:rsidP="00AE7C03">
            <w:pPr>
              <w:pStyle w:val="TableText"/>
              <w:tabs>
                <w:tab w:val="decimal" w:pos="454"/>
              </w:tabs>
              <w:spacing w:before="55" w:after="55"/>
              <w:rPr>
                <w:rFonts w:cs="Segoe UI"/>
              </w:rPr>
            </w:pPr>
            <w:r w:rsidRPr="00200234">
              <w:rPr>
                <w:rFonts w:cs="Segoe UI"/>
              </w:rPr>
              <w:t>7</w:t>
            </w:r>
            <w:r>
              <w:rPr>
                <w:rFonts w:cs="Segoe UI"/>
              </w:rPr>
              <w:t>1</w:t>
            </w:r>
          </w:p>
        </w:tc>
        <w:tc>
          <w:tcPr>
            <w:tcW w:w="615" w:type="dxa"/>
            <w:tcBorders>
              <w:top w:val="nil"/>
            </w:tcBorders>
          </w:tcPr>
          <w:p w14:paraId="119489FD" w14:textId="77777777" w:rsidR="00410071" w:rsidRPr="00200234" w:rsidRDefault="00410071" w:rsidP="00AE7C03">
            <w:pPr>
              <w:pStyle w:val="TableText"/>
              <w:tabs>
                <w:tab w:val="decimal" w:pos="454"/>
              </w:tabs>
              <w:spacing w:before="55" w:after="55"/>
              <w:rPr>
                <w:rFonts w:cs="Segoe UI"/>
              </w:rPr>
            </w:pPr>
            <w:r w:rsidRPr="00200234">
              <w:rPr>
                <w:rFonts w:cs="Segoe UI"/>
              </w:rPr>
              <w:t>1</w:t>
            </w:r>
            <w:r>
              <w:rPr>
                <w:rFonts w:cs="Segoe UI"/>
              </w:rPr>
              <w:t>2</w:t>
            </w:r>
          </w:p>
        </w:tc>
        <w:tc>
          <w:tcPr>
            <w:tcW w:w="615" w:type="dxa"/>
            <w:tcBorders>
              <w:top w:val="nil"/>
            </w:tcBorders>
          </w:tcPr>
          <w:p w14:paraId="0A7E5F05" w14:textId="77777777" w:rsidR="00410071" w:rsidRPr="00200234" w:rsidRDefault="00410071" w:rsidP="00AE7C03">
            <w:pPr>
              <w:pStyle w:val="TableText"/>
              <w:spacing w:before="55" w:after="55"/>
              <w:jc w:val="center"/>
              <w:rPr>
                <w:rFonts w:cs="Segoe UI"/>
              </w:rPr>
            </w:pPr>
            <w:r w:rsidRPr="00200234">
              <w:rPr>
                <w:rFonts w:cs="Segoe UI"/>
              </w:rPr>
              <w:t>3</w:t>
            </w:r>
          </w:p>
        </w:tc>
      </w:tr>
      <w:tr w:rsidR="00410071" w:rsidRPr="00200234" w14:paraId="7CF329B0" w14:textId="77777777" w:rsidTr="00EC625C">
        <w:trPr>
          <w:cantSplit/>
        </w:trPr>
        <w:tc>
          <w:tcPr>
            <w:tcW w:w="1843" w:type="dxa"/>
            <w:tcBorders>
              <w:top w:val="nil"/>
              <w:right w:val="nil"/>
            </w:tcBorders>
          </w:tcPr>
          <w:p w14:paraId="562F4686" w14:textId="77777777" w:rsidR="00410071" w:rsidRPr="00200234" w:rsidRDefault="00410071" w:rsidP="00AE7C03">
            <w:pPr>
              <w:pStyle w:val="TableText"/>
              <w:spacing w:before="55" w:after="55"/>
              <w:rPr>
                <w:rFonts w:cs="Segoe UI"/>
              </w:rPr>
            </w:pPr>
            <w:r w:rsidRPr="00200234">
              <w:rPr>
                <w:rFonts w:cs="Segoe UI"/>
              </w:rPr>
              <w:t>Capital &amp; Coast</w:t>
            </w:r>
          </w:p>
        </w:tc>
        <w:tc>
          <w:tcPr>
            <w:tcW w:w="708" w:type="dxa"/>
            <w:tcBorders>
              <w:top w:val="nil"/>
              <w:left w:val="nil"/>
              <w:right w:val="nil"/>
            </w:tcBorders>
          </w:tcPr>
          <w:p w14:paraId="6EB16668" w14:textId="77777777" w:rsidR="00410071" w:rsidRPr="00200234" w:rsidRDefault="00410071" w:rsidP="00AE7C03">
            <w:pPr>
              <w:pStyle w:val="TableText"/>
              <w:tabs>
                <w:tab w:val="decimal" w:pos="510"/>
              </w:tabs>
              <w:spacing w:before="55" w:after="55"/>
              <w:rPr>
                <w:rFonts w:cs="Segoe UI"/>
              </w:rPr>
            </w:pPr>
            <w:r w:rsidRPr="00200234">
              <w:rPr>
                <w:rFonts w:cs="Segoe UI"/>
              </w:rPr>
              <w:t>1</w:t>
            </w:r>
            <w:r>
              <w:rPr>
                <w:rFonts w:cs="Segoe UI"/>
              </w:rPr>
              <w:t>58</w:t>
            </w:r>
          </w:p>
        </w:tc>
        <w:tc>
          <w:tcPr>
            <w:tcW w:w="709" w:type="dxa"/>
            <w:tcBorders>
              <w:top w:val="nil"/>
              <w:left w:val="nil"/>
              <w:right w:val="nil"/>
            </w:tcBorders>
          </w:tcPr>
          <w:p w14:paraId="26B29AEB" w14:textId="77777777" w:rsidR="00410071" w:rsidRPr="00200234" w:rsidRDefault="00410071" w:rsidP="00AE7C03">
            <w:pPr>
              <w:pStyle w:val="TableText"/>
              <w:tabs>
                <w:tab w:val="decimal" w:pos="510"/>
              </w:tabs>
              <w:spacing w:before="55" w:after="55"/>
              <w:rPr>
                <w:rFonts w:cs="Segoe UI"/>
              </w:rPr>
            </w:pPr>
            <w:r>
              <w:rPr>
                <w:rFonts w:cs="Segoe UI"/>
              </w:rPr>
              <w:t>36</w:t>
            </w:r>
          </w:p>
        </w:tc>
        <w:tc>
          <w:tcPr>
            <w:tcW w:w="709" w:type="dxa"/>
            <w:tcBorders>
              <w:top w:val="nil"/>
              <w:left w:val="nil"/>
            </w:tcBorders>
          </w:tcPr>
          <w:p w14:paraId="2CEDFC05" w14:textId="77777777" w:rsidR="00410071" w:rsidRPr="00200234" w:rsidRDefault="00410071" w:rsidP="00AE7C03">
            <w:pPr>
              <w:pStyle w:val="TableText"/>
              <w:tabs>
                <w:tab w:val="decimal" w:pos="454"/>
              </w:tabs>
              <w:spacing w:before="55" w:after="55"/>
              <w:rPr>
                <w:rFonts w:cs="Segoe UI"/>
              </w:rPr>
            </w:pPr>
            <w:r>
              <w:rPr>
                <w:rFonts w:cs="Segoe UI"/>
              </w:rPr>
              <w:t>5</w:t>
            </w:r>
          </w:p>
        </w:tc>
        <w:tc>
          <w:tcPr>
            <w:tcW w:w="426" w:type="dxa"/>
            <w:tcBorders>
              <w:top w:val="nil"/>
              <w:bottom w:val="nil"/>
            </w:tcBorders>
            <w:shd w:val="clear" w:color="auto" w:fill="auto"/>
          </w:tcPr>
          <w:p w14:paraId="40EA0CB4"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6DF63AC4" w14:textId="77777777" w:rsidR="00410071" w:rsidRPr="00200234" w:rsidRDefault="00410071" w:rsidP="00AE7C03">
            <w:pPr>
              <w:pStyle w:val="TableText"/>
              <w:spacing w:before="55" w:after="55"/>
              <w:jc w:val="both"/>
              <w:rPr>
                <w:rFonts w:cs="Segoe UI"/>
              </w:rPr>
            </w:pPr>
            <w:r w:rsidRPr="00200234">
              <w:rPr>
                <w:rFonts w:cs="Segoe UI"/>
              </w:rPr>
              <w:t>Tairāwhiti</w:t>
            </w:r>
          </w:p>
        </w:tc>
        <w:tc>
          <w:tcPr>
            <w:tcW w:w="614" w:type="dxa"/>
            <w:tcBorders>
              <w:top w:val="nil"/>
            </w:tcBorders>
          </w:tcPr>
          <w:p w14:paraId="1A396831" w14:textId="77777777" w:rsidR="00410071" w:rsidRPr="00200234" w:rsidRDefault="00410071" w:rsidP="00AE7C03">
            <w:pPr>
              <w:pStyle w:val="TableText"/>
              <w:tabs>
                <w:tab w:val="decimal" w:pos="454"/>
              </w:tabs>
              <w:spacing w:before="55" w:after="55"/>
              <w:rPr>
                <w:rFonts w:cs="Segoe UI"/>
              </w:rPr>
            </w:pPr>
            <w:r>
              <w:rPr>
                <w:rFonts w:cs="Segoe UI"/>
              </w:rPr>
              <w:t>72</w:t>
            </w:r>
          </w:p>
        </w:tc>
        <w:tc>
          <w:tcPr>
            <w:tcW w:w="615" w:type="dxa"/>
            <w:tcBorders>
              <w:top w:val="nil"/>
            </w:tcBorders>
          </w:tcPr>
          <w:p w14:paraId="275EE45D" w14:textId="77777777" w:rsidR="00410071" w:rsidRPr="00200234" w:rsidRDefault="00410071" w:rsidP="00AE7C03">
            <w:pPr>
              <w:pStyle w:val="TableText"/>
              <w:tabs>
                <w:tab w:val="decimal" w:pos="454"/>
              </w:tabs>
              <w:spacing w:before="55" w:after="55"/>
              <w:rPr>
                <w:rFonts w:cs="Segoe UI"/>
              </w:rPr>
            </w:pPr>
            <w:r>
              <w:rPr>
                <w:rFonts w:cs="Segoe UI"/>
              </w:rPr>
              <w:t>4</w:t>
            </w:r>
          </w:p>
        </w:tc>
        <w:tc>
          <w:tcPr>
            <w:tcW w:w="615" w:type="dxa"/>
            <w:tcBorders>
              <w:top w:val="nil"/>
            </w:tcBorders>
          </w:tcPr>
          <w:p w14:paraId="7E6B7EFA" w14:textId="77777777" w:rsidR="00410071" w:rsidRPr="00200234" w:rsidRDefault="00410071" w:rsidP="00AE7C03">
            <w:pPr>
              <w:pStyle w:val="TableText"/>
              <w:spacing w:before="55" w:after="55"/>
              <w:jc w:val="center"/>
              <w:rPr>
                <w:rFonts w:cs="Segoe UI"/>
              </w:rPr>
            </w:pPr>
            <w:r>
              <w:rPr>
                <w:rFonts w:cs="Segoe UI"/>
              </w:rPr>
              <w:t>3</w:t>
            </w:r>
          </w:p>
        </w:tc>
      </w:tr>
      <w:tr w:rsidR="00410071" w:rsidRPr="00200234" w14:paraId="0E641D44" w14:textId="77777777" w:rsidTr="00EC625C">
        <w:trPr>
          <w:cantSplit/>
        </w:trPr>
        <w:tc>
          <w:tcPr>
            <w:tcW w:w="1843" w:type="dxa"/>
            <w:tcBorders>
              <w:top w:val="nil"/>
              <w:right w:val="nil"/>
            </w:tcBorders>
          </w:tcPr>
          <w:p w14:paraId="1793424C" w14:textId="77777777" w:rsidR="00410071" w:rsidRPr="00200234" w:rsidRDefault="00410071" w:rsidP="00AE7C03">
            <w:pPr>
              <w:pStyle w:val="TableText"/>
              <w:spacing w:before="55" w:after="55"/>
              <w:rPr>
                <w:rFonts w:cs="Segoe UI"/>
              </w:rPr>
            </w:pPr>
            <w:r w:rsidRPr="00200234">
              <w:rPr>
                <w:rFonts w:cs="Segoe UI"/>
              </w:rPr>
              <w:t>Counties Manukau</w:t>
            </w:r>
          </w:p>
        </w:tc>
        <w:tc>
          <w:tcPr>
            <w:tcW w:w="708" w:type="dxa"/>
            <w:tcBorders>
              <w:top w:val="nil"/>
              <w:left w:val="nil"/>
              <w:right w:val="nil"/>
            </w:tcBorders>
          </w:tcPr>
          <w:p w14:paraId="07630CBE" w14:textId="77777777" w:rsidR="00410071" w:rsidRPr="00200234" w:rsidRDefault="00410071" w:rsidP="00AE7C03">
            <w:pPr>
              <w:pStyle w:val="TableText"/>
              <w:tabs>
                <w:tab w:val="decimal" w:pos="510"/>
              </w:tabs>
              <w:spacing w:before="55" w:after="55"/>
              <w:rPr>
                <w:rFonts w:cs="Segoe UI"/>
              </w:rPr>
            </w:pPr>
            <w:r>
              <w:rPr>
                <w:rFonts w:cs="Segoe UI"/>
              </w:rPr>
              <w:t>74</w:t>
            </w:r>
          </w:p>
        </w:tc>
        <w:tc>
          <w:tcPr>
            <w:tcW w:w="709" w:type="dxa"/>
            <w:tcBorders>
              <w:top w:val="nil"/>
              <w:left w:val="nil"/>
              <w:right w:val="nil"/>
            </w:tcBorders>
          </w:tcPr>
          <w:p w14:paraId="7DEC9229" w14:textId="77777777" w:rsidR="00410071" w:rsidRPr="00200234" w:rsidRDefault="00410071" w:rsidP="00AE7C03">
            <w:pPr>
              <w:pStyle w:val="TableText"/>
              <w:tabs>
                <w:tab w:val="decimal" w:pos="510"/>
              </w:tabs>
              <w:spacing w:before="55" w:after="55"/>
              <w:rPr>
                <w:rFonts w:cs="Segoe UI"/>
              </w:rPr>
            </w:pPr>
            <w:r>
              <w:rPr>
                <w:rFonts w:cs="Segoe UI"/>
              </w:rPr>
              <w:t>3</w:t>
            </w:r>
          </w:p>
        </w:tc>
        <w:tc>
          <w:tcPr>
            <w:tcW w:w="709" w:type="dxa"/>
            <w:tcBorders>
              <w:top w:val="nil"/>
              <w:left w:val="nil"/>
            </w:tcBorders>
          </w:tcPr>
          <w:p w14:paraId="77B0377C" w14:textId="77777777" w:rsidR="00410071" w:rsidRPr="00200234" w:rsidRDefault="00410071" w:rsidP="00AE7C03">
            <w:pPr>
              <w:pStyle w:val="TableText"/>
              <w:tabs>
                <w:tab w:val="decimal" w:pos="454"/>
              </w:tabs>
              <w:spacing w:before="55" w:after="55"/>
              <w:rPr>
                <w:rFonts w:cs="Segoe UI"/>
              </w:rPr>
            </w:pPr>
            <w:r>
              <w:rPr>
                <w:rFonts w:cs="Segoe UI"/>
              </w:rPr>
              <w:t>1</w:t>
            </w:r>
          </w:p>
        </w:tc>
        <w:tc>
          <w:tcPr>
            <w:tcW w:w="426" w:type="dxa"/>
            <w:tcBorders>
              <w:top w:val="nil"/>
              <w:bottom w:val="nil"/>
            </w:tcBorders>
            <w:shd w:val="clear" w:color="auto" w:fill="auto"/>
          </w:tcPr>
          <w:p w14:paraId="3E4D9558"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41673034" w14:textId="77777777" w:rsidR="00410071" w:rsidRPr="00200234" w:rsidRDefault="00410071" w:rsidP="00AE7C03">
            <w:pPr>
              <w:pStyle w:val="TableText"/>
              <w:spacing w:before="55" w:after="55"/>
              <w:jc w:val="both"/>
              <w:rPr>
                <w:rFonts w:cs="Segoe UI"/>
              </w:rPr>
            </w:pPr>
            <w:r w:rsidRPr="00200234">
              <w:rPr>
                <w:rFonts w:cs="Segoe UI"/>
              </w:rPr>
              <w:t>Taranaki</w:t>
            </w:r>
          </w:p>
        </w:tc>
        <w:tc>
          <w:tcPr>
            <w:tcW w:w="614" w:type="dxa"/>
            <w:tcBorders>
              <w:top w:val="nil"/>
            </w:tcBorders>
          </w:tcPr>
          <w:p w14:paraId="2EB10F90" w14:textId="77777777" w:rsidR="00410071" w:rsidRPr="00200234" w:rsidRDefault="00410071" w:rsidP="00AE7C03">
            <w:pPr>
              <w:pStyle w:val="TableText"/>
              <w:tabs>
                <w:tab w:val="decimal" w:pos="454"/>
              </w:tabs>
              <w:spacing w:before="55" w:after="55"/>
              <w:rPr>
                <w:rFonts w:cs="Segoe UI"/>
              </w:rPr>
            </w:pPr>
            <w:r w:rsidRPr="00200234">
              <w:rPr>
                <w:rFonts w:cs="Segoe UI"/>
              </w:rPr>
              <w:t>84</w:t>
            </w:r>
          </w:p>
        </w:tc>
        <w:tc>
          <w:tcPr>
            <w:tcW w:w="615" w:type="dxa"/>
            <w:tcBorders>
              <w:top w:val="nil"/>
            </w:tcBorders>
          </w:tcPr>
          <w:p w14:paraId="59AEC487" w14:textId="77777777" w:rsidR="00410071" w:rsidRPr="00200234" w:rsidRDefault="00410071" w:rsidP="00AE7C03">
            <w:pPr>
              <w:pStyle w:val="TableText"/>
              <w:tabs>
                <w:tab w:val="decimal" w:pos="454"/>
              </w:tabs>
              <w:spacing w:before="55" w:after="55"/>
              <w:rPr>
                <w:rFonts w:cs="Segoe UI"/>
              </w:rPr>
            </w:pPr>
            <w:r>
              <w:rPr>
                <w:rFonts w:cs="Segoe UI"/>
              </w:rPr>
              <w:t>5</w:t>
            </w:r>
          </w:p>
        </w:tc>
        <w:tc>
          <w:tcPr>
            <w:tcW w:w="615" w:type="dxa"/>
            <w:tcBorders>
              <w:top w:val="nil"/>
            </w:tcBorders>
          </w:tcPr>
          <w:p w14:paraId="20B6583F" w14:textId="77777777" w:rsidR="00410071" w:rsidRPr="00200234" w:rsidRDefault="00410071" w:rsidP="00AE7C03">
            <w:pPr>
              <w:pStyle w:val="TableText"/>
              <w:spacing w:before="55" w:after="55"/>
              <w:jc w:val="center"/>
              <w:rPr>
                <w:rFonts w:cs="Segoe UI"/>
              </w:rPr>
            </w:pPr>
            <w:r w:rsidRPr="00200234">
              <w:rPr>
                <w:rFonts w:cs="Segoe UI"/>
              </w:rPr>
              <w:t>2</w:t>
            </w:r>
          </w:p>
        </w:tc>
      </w:tr>
      <w:tr w:rsidR="00410071" w:rsidRPr="00200234" w14:paraId="768BB041" w14:textId="77777777" w:rsidTr="00EC625C">
        <w:trPr>
          <w:cantSplit/>
        </w:trPr>
        <w:tc>
          <w:tcPr>
            <w:tcW w:w="1843" w:type="dxa"/>
            <w:tcBorders>
              <w:top w:val="nil"/>
              <w:right w:val="nil"/>
            </w:tcBorders>
          </w:tcPr>
          <w:p w14:paraId="31C36BE8" w14:textId="77777777" w:rsidR="00410071" w:rsidRPr="00200234" w:rsidRDefault="00410071" w:rsidP="00AE7C03">
            <w:pPr>
              <w:pStyle w:val="TableText"/>
              <w:spacing w:before="55" w:after="55"/>
              <w:rPr>
                <w:rFonts w:cs="Segoe UI"/>
              </w:rPr>
            </w:pPr>
            <w:r w:rsidRPr="00200234">
              <w:rPr>
                <w:rFonts w:cs="Segoe UI"/>
              </w:rPr>
              <w:t>Hawke</w:t>
            </w:r>
            <w:r w:rsidR="0039221C">
              <w:rPr>
                <w:rFonts w:cs="Segoe UI"/>
              </w:rPr>
              <w:t>’</w:t>
            </w:r>
            <w:r w:rsidRPr="00200234">
              <w:rPr>
                <w:rFonts w:cs="Segoe UI"/>
              </w:rPr>
              <w:t>s Bay</w:t>
            </w:r>
          </w:p>
        </w:tc>
        <w:tc>
          <w:tcPr>
            <w:tcW w:w="708" w:type="dxa"/>
            <w:tcBorders>
              <w:top w:val="nil"/>
              <w:left w:val="nil"/>
              <w:right w:val="nil"/>
            </w:tcBorders>
          </w:tcPr>
          <w:p w14:paraId="310F7195" w14:textId="77777777" w:rsidR="00410071" w:rsidRPr="00200234" w:rsidRDefault="00410071" w:rsidP="00AE7C03">
            <w:pPr>
              <w:pStyle w:val="TableText"/>
              <w:tabs>
                <w:tab w:val="decimal" w:pos="510"/>
              </w:tabs>
              <w:spacing w:before="55" w:after="55"/>
              <w:rPr>
                <w:rFonts w:cs="Segoe UI"/>
              </w:rPr>
            </w:pPr>
            <w:r w:rsidRPr="00200234">
              <w:rPr>
                <w:rFonts w:cs="Segoe UI"/>
              </w:rPr>
              <w:t>1</w:t>
            </w:r>
            <w:r>
              <w:rPr>
                <w:rFonts w:cs="Segoe UI"/>
              </w:rPr>
              <w:t>75</w:t>
            </w:r>
          </w:p>
        </w:tc>
        <w:tc>
          <w:tcPr>
            <w:tcW w:w="709" w:type="dxa"/>
            <w:tcBorders>
              <w:top w:val="nil"/>
              <w:left w:val="nil"/>
              <w:right w:val="nil"/>
            </w:tcBorders>
          </w:tcPr>
          <w:p w14:paraId="388533DA" w14:textId="77777777" w:rsidR="00410071" w:rsidRPr="00200234" w:rsidRDefault="00410071" w:rsidP="00AE7C03">
            <w:pPr>
              <w:pStyle w:val="TableText"/>
              <w:tabs>
                <w:tab w:val="decimal" w:pos="510"/>
              </w:tabs>
              <w:spacing w:before="55" w:after="55"/>
              <w:rPr>
                <w:rFonts w:cs="Segoe UI"/>
              </w:rPr>
            </w:pPr>
            <w:r>
              <w:rPr>
                <w:rFonts w:cs="Segoe UI"/>
              </w:rPr>
              <w:t>22</w:t>
            </w:r>
          </w:p>
        </w:tc>
        <w:tc>
          <w:tcPr>
            <w:tcW w:w="709" w:type="dxa"/>
            <w:tcBorders>
              <w:top w:val="nil"/>
              <w:left w:val="nil"/>
            </w:tcBorders>
          </w:tcPr>
          <w:p w14:paraId="6922FA0D" w14:textId="77777777" w:rsidR="00410071" w:rsidRPr="00200234" w:rsidRDefault="00410071" w:rsidP="00AE7C03">
            <w:pPr>
              <w:pStyle w:val="TableText"/>
              <w:tabs>
                <w:tab w:val="decimal" w:pos="454"/>
              </w:tabs>
              <w:spacing w:before="55" w:after="55"/>
              <w:rPr>
                <w:rFonts w:cs="Segoe UI"/>
              </w:rPr>
            </w:pPr>
            <w:r w:rsidRPr="00200234">
              <w:rPr>
                <w:rFonts w:cs="Segoe UI"/>
              </w:rPr>
              <w:t>1</w:t>
            </w:r>
            <w:r>
              <w:rPr>
                <w:rFonts w:cs="Segoe UI"/>
              </w:rPr>
              <w:t>7</w:t>
            </w:r>
          </w:p>
        </w:tc>
        <w:tc>
          <w:tcPr>
            <w:tcW w:w="426" w:type="dxa"/>
            <w:tcBorders>
              <w:top w:val="nil"/>
              <w:bottom w:val="nil"/>
            </w:tcBorders>
            <w:shd w:val="clear" w:color="auto" w:fill="auto"/>
          </w:tcPr>
          <w:p w14:paraId="7DDFA5FA"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07EF5F2F" w14:textId="77777777" w:rsidR="00410071" w:rsidRPr="00200234" w:rsidRDefault="00410071" w:rsidP="00AE7C03">
            <w:pPr>
              <w:pStyle w:val="TableText"/>
              <w:spacing w:before="55" w:after="55"/>
              <w:jc w:val="both"/>
              <w:rPr>
                <w:rFonts w:cs="Segoe UI"/>
              </w:rPr>
            </w:pPr>
            <w:r w:rsidRPr="00200234">
              <w:rPr>
                <w:rFonts w:cs="Segoe UI"/>
              </w:rPr>
              <w:t>Waikato</w:t>
            </w:r>
          </w:p>
        </w:tc>
        <w:tc>
          <w:tcPr>
            <w:tcW w:w="614" w:type="dxa"/>
            <w:tcBorders>
              <w:top w:val="nil"/>
            </w:tcBorders>
          </w:tcPr>
          <w:p w14:paraId="05234F31" w14:textId="77777777" w:rsidR="00410071" w:rsidRPr="00200234" w:rsidRDefault="00410071" w:rsidP="00AE7C03">
            <w:pPr>
              <w:pStyle w:val="TableText"/>
              <w:tabs>
                <w:tab w:val="decimal" w:pos="454"/>
              </w:tabs>
              <w:spacing w:before="55" w:after="55"/>
              <w:rPr>
                <w:rFonts w:cs="Segoe UI"/>
              </w:rPr>
            </w:pPr>
            <w:r w:rsidRPr="00200234">
              <w:rPr>
                <w:rFonts w:cs="Segoe UI"/>
              </w:rPr>
              <w:t>1</w:t>
            </w:r>
            <w:r>
              <w:rPr>
                <w:rFonts w:cs="Segoe UI"/>
              </w:rPr>
              <w:t>28</w:t>
            </w:r>
          </w:p>
        </w:tc>
        <w:tc>
          <w:tcPr>
            <w:tcW w:w="615" w:type="dxa"/>
            <w:tcBorders>
              <w:top w:val="nil"/>
            </w:tcBorders>
          </w:tcPr>
          <w:p w14:paraId="36A1B85C" w14:textId="77777777" w:rsidR="00410071" w:rsidRPr="00200234" w:rsidRDefault="00410071" w:rsidP="00AE7C03">
            <w:pPr>
              <w:pStyle w:val="TableText"/>
              <w:tabs>
                <w:tab w:val="decimal" w:pos="454"/>
              </w:tabs>
              <w:spacing w:before="55" w:after="55"/>
              <w:rPr>
                <w:rFonts w:cs="Segoe UI"/>
              </w:rPr>
            </w:pPr>
            <w:r w:rsidRPr="00200234">
              <w:rPr>
                <w:rFonts w:cs="Segoe UI"/>
              </w:rPr>
              <w:t>1</w:t>
            </w:r>
            <w:r>
              <w:rPr>
                <w:rFonts w:cs="Segoe UI"/>
              </w:rPr>
              <w:t>5</w:t>
            </w:r>
          </w:p>
        </w:tc>
        <w:tc>
          <w:tcPr>
            <w:tcW w:w="615" w:type="dxa"/>
            <w:tcBorders>
              <w:top w:val="nil"/>
            </w:tcBorders>
          </w:tcPr>
          <w:p w14:paraId="752A65AE" w14:textId="77777777" w:rsidR="00410071" w:rsidRPr="00200234" w:rsidRDefault="00410071" w:rsidP="00AE7C03">
            <w:pPr>
              <w:pStyle w:val="TableText"/>
              <w:spacing w:before="55" w:after="55"/>
              <w:jc w:val="center"/>
              <w:rPr>
                <w:rFonts w:cs="Segoe UI"/>
              </w:rPr>
            </w:pPr>
            <w:r w:rsidRPr="00200234">
              <w:rPr>
                <w:rFonts w:cs="Segoe UI"/>
              </w:rPr>
              <w:t>3</w:t>
            </w:r>
          </w:p>
        </w:tc>
      </w:tr>
      <w:tr w:rsidR="00410071" w:rsidRPr="00200234" w14:paraId="3B777069" w14:textId="77777777" w:rsidTr="00EC625C">
        <w:trPr>
          <w:cantSplit/>
        </w:trPr>
        <w:tc>
          <w:tcPr>
            <w:tcW w:w="1843" w:type="dxa"/>
            <w:tcBorders>
              <w:top w:val="nil"/>
              <w:right w:val="nil"/>
            </w:tcBorders>
          </w:tcPr>
          <w:p w14:paraId="67F5AB1E" w14:textId="77777777" w:rsidR="00410071" w:rsidRPr="00200234" w:rsidRDefault="00410071" w:rsidP="00AE7C03">
            <w:pPr>
              <w:pStyle w:val="TableText"/>
              <w:spacing w:before="55" w:after="55"/>
              <w:rPr>
                <w:rFonts w:cs="Segoe UI"/>
              </w:rPr>
            </w:pPr>
            <w:r w:rsidRPr="00200234">
              <w:rPr>
                <w:rFonts w:cs="Segoe UI"/>
              </w:rPr>
              <w:t>Hutt Valley</w:t>
            </w:r>
          </w:p>
        </w:tc>
        <w:tc>
          <w:tcPr>
            <w:tcW w:w="708" w:type="dxa"/>
            <w:tcBorders>
              <w:top w:val="nil"/>
              <w:left w:val="nil"/>
              <w:right w:val="nil"/>
            </w:tcBorders>
          </w:tcPr>
          <w:p w14:paraId="56B28154" w14:textId="77777777" w:rsidR="00410071" w:rsidRPr="00200234" w:rsidRDefault="00410071" w:rsidP="00AE7C03">
            <w:pPr>
              <w:pStyle w:val="TableText"/>
              <w:tabs>
                <w:tab w:val="decimal" w:pos="510"/>
              </w:tabs>
              <w:spacing w:before="55" w:after="55"/>
              <w:rPr>
                <w:rFonts w:cs="Segoe UI"/>
              </w:rPr>
            </w:pPr>
            <w:r>
              <w:rPr>
                <w:rFonts w:cs="Segoe UI"/>
              </w:rPr>
              <w:t>81</w:t>
            </w:r>
          </w:p>
        </w:tc>
        <w:tc>
          <w:tcPr>
            <w:tcW w:w="709" w:type="dxa"/>
            <w:tcBorders>
              <w:top w:val="nil"/>
              <w:left w:val="nil"/>
              <w:right w:val="nil"/>
            </w:tcBorders>
          </w:tcPr>
          <w:p w14:paraId="19184EC8" w14:textId="77777777" w:rsidR="00410071" w:rsidRPr="00200234" w:rsidRDefault="00410071" w:rsidP="00AE7C03">
            <w:pPr>
              <w:pStyle w:val="TableText"/>
              <w:tabs>
                <w:tab w:val="decimal" w:pos="510"/>
              </w:tabs>
              <w:spacing w:before="55" w:after="55"/>
              <w:rPr>
                <w:rFonts w:cs="Segoe UI"/>
              </w:rPr>
            </w:pPr>
            <w:r w:rsidRPr="00200234">
              <w:rPr>
                <w:rFonts w:cs="Segoe UI"/>
              </w:rPr>
              <w:t>7</w:t>
            </w:r>
          </w:p>
        </w:tc>
        <w:tc>
          <w:tcPr>
            <w:tcW w:w="709" w:type="dxa"/>
            <w:tcBorders>
              <w:top w:val="nil"/>
              <w:left w:val="nil"/>
            </w:tcBorders>
          </w:tcPr>
          <w:p w14:paraId="54930B46" w14:textId="77777777" w:rsidR="00410071" w:rsidRPr="00200234" w:rsidRDefault="00410071" w:rsidP="00AE7C03">
            <w:pPr>
              <w:pStyle w:val="TableText"/>
              <w:tabs>
                <w:tab w:val="decimal" w:pos="454"/>
              </w:tabs>
              <w:spacing w:before="55" w:after="55"/>
              <w:rPr>
                <w:rFonts w:cs="Segoe UI"/>
              </w:rPr>
            </w:pPr>
            <w:r>
              <w:rPr>
                <w:rFonts w:cs="Segoe UI"/>
              </w:rPr>
              <w:t>2</w:t>
            </w:r>
          </w:p>
        </w:tc>
        <w:tc>
          <w:tcPr>
            <w:tcW w:w="426" w:type="dxa"/>
            <w:tcBorders>
              <w:top w:val="nil"/>
              <w:bottom w:val="nil"/>
            </w:tcBorders>
            <w:shd w:val="clear" w:color="auto" w:fill="auto"/>
          </w:tcPr>
          <w:p w14:paraId="2824543F"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14C0CA3C" w14:textId="77777777" w:rsidR="00410071" w:rsidRPr="00CB00DB" w:rsidRDefault="00410071" w:rsidP="00AE7C03">
            <w:pPr>
              <w:pStyle w:val="TableText"/>
              <w:spacing w:before="55" w:after="55"/>
              <w:jc w:val="both"/>
              <w:rPr>
                <w:rFonts w:cs="Segoe UI"/>
              </w:rPr>
            </w:pPr>
            <w:r w:rsidRPr="00CB00DB">
              <w:rPr>
                <w:rFonts w:cs="Segoe UI"/>
              </w:rPr>
              <w:t>Wairarapa</w:t>
            </w:r>
          </w:p>
        </w:tc>
        <w:tc>
          <w:tcPr>
            <w:tcW w:w="614" w:type="dxa"/>
            <w:tcBorders>
              <w:top w:val="nil"/>
            </w:tcBorders>
          </w:tcPr>
          <w:p w14:paraId="431B0F00" w14:textId="77777777" w:rsidR="00410071" w:rsidRPr="00CB00DB" w:rsidRDefault="00410071" w:rsidP="00AE7C03">
            <w:pPr>
              <w:pStyle w:val="TableText"/>
              <w:tabs>
                <w:tab w:val="decimal" w:pos="454"/>
              </w:tabs>
              <w:spacing w:before="55" w:after="55"/>
              <w:rPr>
                <w:rFonts w:cs="Segoe UI"/>
              </w:rPr>
            </w:pPr>
            <w:r w:rsidRPr="00CB00DB">
              <w:rPr>
                <w:rFonts w:cs="Segoe UI"/>
              </w:rPr>
              <w:t>81</w:t>
            </w:r>
          </w:p>
        </w:tc>
        <w:tc>
          <w:tcPr>
            <w:tcW w:w="615" w:type="dxa"/>
            <w:tcBorders>
              <w:top w:val="nil"/>
            </w:tcBorders>
          </w:tcPr>
          <w:p w14:paraId="001B5D7A" w14:textId="77777777" w:rsidR="00410071" w:rsidRPr="00CB00DB" w:rsidRDefault="00410071" w:rsidP="00AE7C03">
            <w:pPr>
              <w:pStyle w:val="TableText"/>
              <w:tabs>
                <w:tab w:val="decimal" w:pos="454"/>
              </w:tabs>
              <w:spacing w:before="55" w:after="55"/>
              <w:rPr>
                <w:rFonts w:cs="Segoe UI"/>
              </w:rPr>
            </w:pPr>
            <w:r w:rsidRPr="00CB00DB">
              <w:rPr>
                <w:rFonts w:cs="Segoe UI"/>
              </w:rPr>
              <w:t>2</w:t>
            </w:r>
          </w:p>
        </w:tc>
        <w:tc>
          <w:tcPr>
            <w:tcW w:w="615" w:type="dxa"/>
            <w:tcBorders>
              <w:top w:val="nil"/>
            </w:tcBorders>
          </w:tcPr>
          <w:p w14:paraId="34DDC911" w14:textId="77777777" w:rsidR="00410071" w:rsidRPr="00CB00DB" w:rsidRDefault="00410071" w:rsidP="00AE7C03">
            <w:pPr>
              <w:pStyle w:val="TableText"/>
              <w:spacing w:before="55" w:after="55"/>
              <w:jc w:val="center"/>
              <w:rPr>
                <w:rFonts w:cs="Segoe UI"/>
              </w:rPr>
            </w:pPr>
            <w:r w:rsidRPr="00CB00DB">
              <w:rPr>
                <w:rFonts w:cs="Segoe UI"/>
              </w:rPr>
              <w:t>2</w:t>
            </w:r>
          </w:p>
        </w:tc>
      </w:tr>
      <w:tr w:rsidR="00410071" w:rsidRPr="00200234" w14:paraId="37ED0C1F" w14:textId="77777777" w:rsidTr="00EC625C">
        <w:trPr>
          <w:cantSplit/>
        </w:trPr>
        <w:tc>
          <w:tcPr>
            <w:tcW w:w="1843" w:type="dxa"/>
            <w:tcBorders>
              <w:top w:val="nil"/>
              <w:right w:val="nil"/>
            </w:tcBorders>
          </w:tcPr>
          <w:p w14:paraId="70204F32" w14:textId="77777777" w:rsidR="00410071" w:rsidRPr="00200234" w:rsidRDefault="00410071" w:rsidP="00AE7C03">
            <w:pPr>
              <w:pStyle w:val="TableText"/>
              <w:spacing w:before="55" w:after="55"/>
              <w:rPr>
                <w:rFonts w:cs="Segoe UI"/>
              </w:rPr>
            </w:pPr>
            <w:r w:rsidRPr="00200234">
              <w:rPr>
                <w:rFonts w:cs="Segoe UI"/>
              </w:rPr>
              <w:t>Lakes</w:t>
            </w:r>
          </w:p>
        </w:tc>
        <w:tc>
          <w:tcPr>
            <w:tcW w:w="708" w:type="dxa"/>
            <w:tcBorders>
              <w:top w:val="nil"/>
              <w:left w:val="nil"/>
              <w:right w:val="nil"/>
            </w:tcBorders>
          </w:tcPr>
          <w:p w14:paraId="228B3650" w14:textId="77777777" w:rsidR="00410071" w:rsidRPr="00200234" w:rsidRDefault="00410071" w:rsidP="00AE7C03">
            <w:pPr>
              <w:pStyle w:val="TableText"/>
              <w:tabs>
                <w:tab w:val="decimal" w:pos="510"/>
              </w:tabs>
              <w:spacing w:before="55" w:after="55"/>
              <w:rPr>
                <w:rFonts w:cs="Segoe UI"/>
              </w:rPr>
            </w:pPr>
            <w:r>
              <w:rPr>
                <w:rFonts w:cs="Segoe UI"/>
              </w:rPr>
              <w:t>71</w:t>
            </w:r>
          </w:p>
        </w:tc>
        <w:tc>
          <w:tcPr>
            <w:tcW w:w="709" w:type="dxa"/>
            <w:tcBorders>
              <w:top w:val="nil"/>
              <w:left w:val="nil"/>
              <w:right w:val="nil"/>
            </w:tcBorders>
          </w:tcPr>
          <w:p w14:paraId="51AF6C5C" w14:textId="77777777" w:rsidR="00410071" w:rsidRPr="00200234" w:rsidRDefault="00410071" w:rsidP="00AE7C03">
            <w:pPr>
              <w:pStyle w:val="TableText"/>
              <w:tabs>
                <w:tab w:val="decimal" w:pos="510"/>
              </w:tabs>
              <w:spacing w:before="55" w:after="55"/>
              <w:rPr>
                <w:rFonts w:cs="Segoe UI"/>
              </w:rPr>
            </w:pPr>
            <w:r>
              <w:rPr>
                <w:rFonts w:cs="Segoe UI"/>
              </w:rPr>
              <w:t>7</w:t>
            </w:r>
          </w:p>
        </w:tc>
        <w:tc>
          <w:tcPr>
            <w:tcW w:w="709" w:type="dxa"/>
            <w:tcBorders>
              <w:top w:val="nil"/>
              <w:left w:val="nil"/>
            </w:tcBorders>
          </w:tcPr>
          <w:p w14:paraId="51DCE255" w14:textId="77777777" w:rsidR="00410071" w:rsidRPr="00200234" w:rsidRDefault="00410071" w:rsidP="00AE7C03">
            <w:pPr>
              <w:pStyle w:val="TableText"/>
              <w:tabs>
                <w:tab w:val="decimal" w:pos="454"/>
              </w:tabs>
              <w:spacing w:before="55" w:after="55"/>
              <w:rPr>
                <w:rFonts w:cs="Segoe UI"/>
              </w:rPr>
            </w:pPr>
            <w:r>
              <w:rPr>
                <w:rFonts w:cs="Segoe UI"/>
              </w:rPr>
              <w:t>3</w:t>
            </w:r>
          </w:p>
        </w:tc>
        <w:tc>
          <w:tcPr>
            <w:tcW w:w="426" w:type="dxa"/>
            <w:tcBorders>
              <w:top w:val="nil"/>
              <w:bottom w:val="nil"/>
            </w:tcBorders>
            <w:shd w:val="clear" w:color="auto" w:fill="auto"/>
          </w:tcPr>
          <w:p w14:paraId="21E3B9B6"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385844FF" w14:textId="77777777" w:rsidR="00410071" w:rsidRPr="00200234" w:rsidRDefault="00410071" w:rsidP="00AE7C03">
            <w:pPr>
              <w:pStyle w:val="TableText"/>
              <w:spacing w:before="55" w:after="55"/>
              <w:jc w:val="both"/>
              <w:rPr>
                <w:rFonts w:cs="Segoe UI"/>
              </w:rPr>
            </w:pPr>
            <w:r w:rsidRPr="00200234">
              <w:rPr>
                <w:rFonts w:cs="Segoe UI"/>
              </w:rPr>
              <w:t>Waitematā</w:t>
            </w:r>
          </w:p>
        </w:tc>
        <w:tc>
          <w:tcPr>
            <w:tcW w:w="614" w:type="dxa"/>
            <w:tcBorders>
              <w:top w:val="nil"/>
            </w:tcBorders>
          </w:tcPr>
          <w:p w14:paraId="2D5BC839" w14:textId="77777777" w:rsidR="00410071" w:rsidRPr="00200234" w:rsidRDefault="00410071" w:rsidP="00AE7C03">
            <w:pPr>
              <w:pStyle w:val="TableText"/>
              <w:tabs>
                <w:tab w:val="decimal" w:pos="454"/>
              </w:tabs>
              <w:spacing w:before="55" w:after="55"/>
              <w:rPr>
                <w:rFonts w:cs="Segoe UI"/>
              </w:rPr>
            </w:pPr>
            <w:r>
              <w:rPr>
                <w:rFonts w:cs="Segoe UI"/>
              </w:rPr>
              <w:t>80</w:t>
            </w:r>
          </w:p>
        </w:tc>
        <w:tc>
          <w:tcPr>
            <w:tcW w:w="615" w:type="dxa"/>
            <w:tcBorders>
              <w:top w:val="nil"/>
            </w:tcBorders>
          </w:tcPr>
          <w:p w14:paraId="351D0787" w14:textId="77777777" w:rsidR="00410071" w:rsidRPr="00200234" w:rsidRDefault="00410071" w:rsidP="00AE7C03">
            <w:pPr>
              <w:pStyle w:val="TableText"/>
              <w:tabs>
                <w:tab w:val="decimal" w:pos="454"/>
              </w:tabs>
              <w:spacing w:before="55" w:after="55"/>
              <w:rPr>
                <w:rFonts w:cs="Segoe UI"/>
              </w:rPr>
            </w:pPr>
            <w:r w:rsidRPr="00200234">
              <w:rPr>
                <w:rFonts w:cs="Segoe UI"/>
              </w:rPr>
              <w:t>12</w:t>
            </w:r>
          </w:p>
        </w:tc>
        <w:tc>
          <w:tcPr>
            <w:tcW w:w="615" w:type="dxa"/>
            <w:tcBorders>
              <w:top w:val="nil"/>
            </w:tcBorders>
          </w:tcPr>
          <w:p w14:paraId="35B69132" w14:textId="77777777" w:rsidR="00410071" w:rsidRPr="00200234" w:rsidRDefault="00410071" w:rsidP="00AE7C03">
            <w:pPr>
              <w:pStyle w:val="TableText"/>
              <w:spacing w:before="55" w:after="55"/>
              <w:jc w:val="center"/>
              <w:rPr>
                <w:rFonts w:cs="Segoe UI"/>
              </w:rPr>
            </w:pPr>
            <w:r w:rsidRPr="00200234">
              <w:rPr>
                <w:rFonts w:cs="Segoe UI"/>
              </w:rPr>
              <w:t>2</w:t>
            </w:r>
          </w:p>
        </w:tc>
      </w:tr>
      <w:tr w:rsidR="00410071" w:rsidRPr="00200234" w14:paraId="150CD8A5" w14:textId="77777777" w:rsidTr="00EC625C">
        <w:trPr>
          <w:cantSplit/>
        </w:trPr>
        <w:tc>
          <w:tcPr>
            <w:tcW w:w="1843" w:type="dxa"/>
            <w:tcBorders>
              <w:top w:val="nil"/>
              <w:right w:val="nil"/>
            </w:tcBorders>
          </w:tcPr>
          <w:p w14:paraId="1BF6DCC0" w14:textId="77777777" w:rsidR="00410071" w:rsidRPr="00200234" w:rsidRDefault="00410071" w:rsidP="00AE7C03">
            <w:pPr>
              <w:pStyle w:val="TableText"/>
              <w:spacing w:before="55" w:after="55"/>
              <w:rPr>
                <w:rFonts w:cs="Segoe UI"/>
              </w:rPr>
            </w:pPr>
            <w:r w:rsidRPr="00200234">
              <w:rPr>
                <w:rFonts w:cs="Segoe UI"/>
              </w:rPr>
              <w:t>MidCentral</w:t>
            </w:r>
          </w:p>
        </w:tc>
        <w:tc>
          <w:tcPr>
            <w:tcW w:w="708" w:type="dxa"/>
            <w:tcBorders>
              <w:top w:val="nil"/>
              <w:left w:val="nil"/>
              <w:right w:val="nil"/>
            </w:tcBorders>
          </w:tcPr>
          <w:p w14:paraId="687F8345" w14:textId="77777777" w:rsidR="00410071" w:rsidRPr="00200234" w:rsidRDefault="00410071" w:rsidP="00AE7C03">
            <w:pPr>
              <w:pStyle w:val="TableText"/>
              <w:tabs>
                <w:tab w:val="decimal" w:pos="510"/>
              </w:tabs>
              <w:spacing w:before="55" w:after="55"/>
              <w:rPr>
                <w:rFonts w:cs="Segoe UI"/>
              </w:rPr>
            </w:pPr>
            <w:r>
              <w:rPr>
                <w:rFonts w:cs="Segoe UI"/>
              </w:rPr>
              <w:t>103</w:t>
            </w:r>
          </w:p>
        </w:tc>
        <w:tc>
          <w:tcPr>
            <w:tcW w:w="709" w:type="dxa"/>
            <w:tcBorders>
              <w:top w:val="nil"/>
              <w:left w:val="nil"/>
              <w:right w:val="nil"/>
            </w:tcBorders>
          </w:tcPr>
          <w:p w14:paraId="7EDBDFE1" w14:textId="77777777" w:rsidR="00410071" w:rsidRPr="00200234" w:rsidRDefault="00410071" w:rsidP="00AE7C03">
            <w:pPr>
              <w:pStyle w:val="TableText"/>
              <w:tabs>
                <w:tab w:val="decimal" w:pos="510"/>
              </w:tabs>
              <w:spacing w:before="55" w:after="55"/>
              <w:rPr>
                <w:rFonts w:cs="Segoe UI"/>
              </w:rPr>
            </w:pPr>
            <w:r>
              <w:rPr>
                <w:rFonts w:cs="Segoe UI"/>
              </w:rPr>
              <w:t>8</w:t>
            </w:r>
          </w:p>
        </w:tc>
        <w:tc>
          <w:tcPr>
            <w:tcW w:w="709" w:type="dxa"/>
            <w:tcBorders>
              <w:top w:val="nil"/>
              <w:left w:val="nil"/>
            </w:tcBorders>
          </w:tcPr>
          <w:p w14:paraId="5428B791" w14:textId="77777777" w:rsidR="00410071" w:rsidRPr="00200234" w:rsidRDefault="00410071" w:rsidP="00AE7C03">
            <w:pPr>
              <w:pStyle w:val="TableText"/>
              <w:tabs>
                <w:tab w:val="decimal" w:pos="454"/>
              </w:tabs>
              <w:spacing w:before="55" w:after="55"/>
              <w:rPr>
                <w:rFonts w:cs="Segoe UI"/>
              </w:rPr>
            </w:pPr>
            <w:r>
              <w:rPr>
                <w:rFonts w:cs="Segoe UI"/>
              </w:rPr>
              <w:t>2</w:t>
            </w:r>
          </w:p>
        </w:tc>
        <w:tc>
          <w:tcPr>
            <w:tcW w:w="426" w:type="dxa"/>
            <w:tcBorders>
              <w:top w:val="nil"/>
              <w:bottom w:val="nil"/>
            </w:tcBorders>
            <w:shd w:val="clear" w:color="auto" w:fill="auto"/>
          </w:tcPr>
          <w:p w14:paraId="39172731"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484763C2" w14:textId="77777777" w:rsidR="00410071" w:rsidRPr="00200234" w:rsidRDefault="00410071" w:rsidP="00AE7C03">
            <w:pPr>
              <w:pStyle w:val="TableText"/>
              <w:spacing w:before="55" w:after="55"/>
              <w:jc w:val="both"/>
              <w:rPr>
                <w:rFonts w:cs="Segoe UI"/>
              </w:rPr>
            </w:pPr>
            <w:r w:rsidRPr="00200234">
              <w:rPr>
                <w:rFonts w:cs="Segoe UI"/>
              </w:rPr>
              <w:t>West Coast</w:t>
            </w:r>
          </w:p>
        </w:tc>
        <w:tc>
          <w:tcPr>
            <w:tcW w:w="614" w:type="dxa"/>
            <w:tcBorders>
              <w:top w:val="nil"/>
            </w:tcBorders>
          </w:tcPr>
          <w:p w14:paraId="75CAE4F6" w14:textId="77777777" w:rsidR="00410071" w:rsidRPr="00200234" w:rsidRDefault="00410071" w:rsidP="00AE7C03">
            <w:pPr>
              <w:pStyle w:val="TableText"/>
              <w:tabs>
                <w:tab w:val="decimal" w:pos="454"/>
              </w:tabs>
              <w:spacing w:before="55" w:after="55"/>
              <w:rPr>
                <w:rFonts w:cs="Segoe UI"/>
              </w:rPr>
            </w:pPr>
            <w:r>
              <w:rPr>
                <w:rFonts w:cs="Segoe UI"/>
              </w:rPr>
              <w:t>77</w:t>
            </w:r>
          </w:p>
        </w:tc>
        <w:tc>
          <w:tcPr>
            <w:tcW w:w="615" w:type="dxa"/>
            <w:tcBorders>
              <w:top w:val="nil"/>
            </w:tcBorders>
          </w:tcPr>
          <w:p w14:paraId="03BEA942" w14:textId="77777777" w:rsidR="00410071" w:rsidRPr="00200234" w:rsidRDefault="00410071" w:rsidP="00AE7C03">
            <w:pPr>
              <w:pStyle w:val="TableText"/>
              <w:tabs>
                <w:tab w:val="decimal" w:pos="454"/>
              </w:tabs>
              <w:spacing w:before="55" w:after="55"/>
              <w:rPr>
                <w:rFonts w:cs="Segoe UI"/>
              </w:rPr>
            </w:pPr>
            <w:r>
              <w:rPr>
                <w:rFonts w:cs="Segoe UI"/>
              </w:rPr>
              <w:t>13</w:t>
            </w:r>
          </w:p>
        </w:tc>
        <w:tc>
          <w:tcPr>
            <w:tcW w:w="615" w:type="dxa"/>
            <w:tcBorders>
              <w:top w:val="nil"/>
            </w:tcBorders>
          </w:tcPr>
          <w:p w14:paraId="446FEE11" w14:textId="77777777" w:rsidR="00410071" w:rsidRPr="00200234" w:rsidRDefault="00410071" w:rsidP="00AE7C03">
            <w:pPr>
              <w:pStyle w:val="TableText"/>
              <w:spacing w:before="55" w:after="55"/>
              <w:jc w:val="center"/>
              <w:rPr>
                <w:rFonts w:cs="Segoe UI"/>
              </w:rPr>
            </w:pPr>
            <w:r>
              <w:rPr>
                <w:rFonts w:cs="Segoe UI"/>
              </w:rPr>
              <w:t>5</w:t>
            </w:r>
          </w:p>
        </w:tc>
      </w:tr>
      <w:tr w:rsidR="00410071" w:rsidRPr="00200234" w14:paraId="4E1ABD96" w14:textId="77777777" w:rsidTr="00EC625C">
        <w:trPr>
          <w:cantSplit/>
        </w:trPr>
        <w:tc>
          <w:tcPr>
            <w:tcW w:w="1843" w:type="dxa"/>
            <w:tcBorders>
              <w:top w:val="nil"/>
              <w:bottom w:val="single" w:sz="4" w:space="0" w:color="A6A6A6" w:themeColor="background1" w:themeShade="A6"/>
              <w:right w:val="nil"/>
            </w:tcBorders>
          </w:tcPr>
          <w:p w14:paraId="28DFFCF2" w14:textId="77777777" w:rsidR="00410071" w:rsidRPr="00200234" w:rsidRDefault="00410071" w:rsidP="00AE7C03">
            <w:pPr>
              <w:pStyle w:val="TableText"/>
              <w:spacing w:before="55" w:after="55"/>
              <w:rPr>
                <w:rFonts w:cs="Segoe UI"/>
              </w:rPr>
            </w:pPr>
            <w:r w:rsidRPr="00200234">
              <w:rPr>
                <w:rFonts w:cs="Segoe UI"/>
              </w:rPr>
              <w:t>Nelson Marlborough</w:t>
            </w:r>
          </w:p>
        </w:tc>
        <w:tc>
          <w:tcPr>
            <w:tcW w:w="708" w:type="dxa"/>
            <w:tcBorders>
              <w:top w:val="nil"/>
              <w:left w:val="nil"/>
              <w:bottom w:val="single" w:sz="4" w:space="0" w:color="A6A6A6" w:themeColor="background1" w:themeShade="A6"/>
              <w:right w:val="nil"/>
            </w:tcBorders>
          </w:tcPr>
          <w:p w14:paraId="33F7A2F0" w14:textId="77777777" w:rsidR="00410071" w:rsidRPr="00200234" w:rsidRDefault="00410071" w:rsidP="00AE7C03">
            <w:pPr>
              <w:pStyle w:val="TableText"/>
              <w:tabs>
                <w:tab w:val="decimal" w:pos="510"/>
              </w:tabs>
              <w:spacing w:before="55" w:after="55"/>
              <w:rPr>
                <w:rFonts w:cs="Segoe UI"/>
              </w:rPr>
            </w:pPr>
            <w:r w:rsidRPr="00200234">
              <w:rPr>
                <w:rFonts w:cs="Segoe UI"/>
              </w:rPr>
              <w:t>7</w:t>
            </w:r>
            <w:r>
              <w:rPr>
                <w:rFonts w:cs="Segoe UI"/>
              </w:rPr>
              <w:t>3</w:t>
            </w:r>
          </w:p>
        </w:tc>
        <w:tc>
          <w:tcPr>
            <w:tcW w:w="709" w:type="dxa"/>
            <w:tcBorders>
              <w:top w:val="nil"/>
              <w:left w:val="nil"/>
              <w:bottom w:val="single" w:sz="4" w:space="0" w:color="A6A6A6" w:themeColor="background1" w:themeShade="A6"/>
              <w:right w:val="nil"/>
            </w:tcBorders>
          </w:tcPr>
          <w:p w14:paraId="3E328E8E" w14:textId="77777777" w:rsidR="00410071" w:rsidRPr="00200234" w:rsidRDefault="00410071" w:rsidP="00AE7C03">
            <w:pPr>
              <w:pStyle w:val="TableText"/>
              <w:tabs>
                <w:tab w:val="decimal" w:pos="510"/>
              </w:tabs>
              <w:spacing w:before="55" w:after="55"/>
              <w:rPr>
                <w:rFonts w:cs="Segoe UI"/>
              </w:rPr>
            </w:pPr>
            <w:r>
              <w:rPr>
                <w:rFonts w:cs="Segoe UI"/>
              </w:rPr>
              <w:t>8</w:t>
            </w:r>
          </w:p>
        </w:tc>
        <w:tc>
          <w:tcPr>
            <w:tcW w:w="709" w:type="dxa"/>
            <w:tcBorders>
              <w:top w:val="nil"/>
              <w:left w:val="nil"/>
              <w:bottom w:val="single" w:sz="4" w:space="0" w:color="A6A6A6" w:themeColor="background1" w:themeShade="A6"/>
            </w:tcBorders>
          </w:tcPr>
          <w:p w14:paraId="3493AE5C" w14:textId="77777777" w:rsidR="00410071" w:rsidRPr="00200234" w:rsidRDefault="00410071" w:rsidP="00AE7C03">
            <w:pPr>
              <w:pStyle w:val="TableText"/>
              <w:tabs>
                <w:tab w:val="decimal" w:pos="454"/>
              </w:tabs>
              <w:spacing w:before="55" w:after="55"/>
              <w:rPr>
                <w:rFonts w:cs="Segoe UI"/>
              </w:rPr>
            </w:pPr>
            <w:r w:rsidRPr="00200234">
              <w:rPr>
                <w:rFonts w:cs="Segoe UI"/>
              </w:rPr>
              <w:t>–</w:t>
            </w:r>
          </w:p>
        </w:tc>
        <w:tc>
          <w:tcPr>
            <w:tcW w:w="426" w:type="dxa"/>
            <w:tcBorders>
              <w:top w:val="nil"/>
              <w:bottom w:val="nil"/>
            </w:tcBorders>
            <w:shd w:val="clear" w:color="auto" w:fill="auto"/>
          </w:tcPr>
          <w:p w14:paraId="2094D1EC"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0845FDB0" w14:textId="77777777" w:rsidR="00410071" w:rsidRPr="00200234" w:rsidRDefault="00410071" w:rsidP="00AE7C03">
            <w:pPr>
              <w:pStyle w:val="TableText"/>
              <w:spacing w:before="55" w:after="55"/>
              <w:jc w:val="both"/>
              <w:rPr>
                <w:rFonts w:cs="Segoe UI"/>
              </w:rPr>
            </w:pPr>
            <w:r w:rsidRPr="00200234">
              <w:rPr>
                <w:rFonts w:cs="Segoe UI"/>
              </w:rPr>
              <w:t>Whanganui</w:t>
            </w:r>
          </w:p>
        </w:tc>
        <w:tc>
          <w:tcPr>
            <w:tcW w:w="614" w:type="dxa"/>
            <w:tcBorders>
              <w:top w:val="nil"/>
            </w:tcBorders>
          </w:tcPr>
          <w:p w14:paraId="00221033" w14:textId="77777777" w:rsidR="00410071" w:rsidRPr="00200234" w:rsidRDefault="00410071" w:rsidP="00AE7C03">
            <w:pPr>
              <w:pStyle w:val="TableText"/>
              <w:tabs>
                <w:tab w:val="decimal" w:pos="454"/>
              </w:tabs>
              <w:spacing w:before="55" w:after="55"/>
              <w:rPr>
                <w:rFonts w:cs="Segoe UI"/>
              </w:rPr>
            </w:pPr>
            <w:r w:rsidRPr="00200234">
              <w:rPr>
                <w:rFonts w:cs="Segoe UI"/>
              </w:rPr>
              <w:t>1</w:t>
            </w:r>
            <w:r>
              <w:rPr>
                <w:rFonts w:cs="Segoe UI"/>
              </w:rPr>
              <w:t>3</w:t>
            </w:r>
            <w:r w:rsidRPr="00200234">
              <w:rPr>
                <w:rFonts w:cs="Segoe UI"/>
              </w:rPr>
              <w:t>4</w:t>
            </w:r>
          </w:p>
        </w:tc>
        <w:tc>
          <w:tcPr>
            <w:tcW w:w="615" w:type="dxa"/>
            <w:tcBorders>
              <w:top w:val="nil"/>
            </w:tcBorders>
          </w:tcPr>
          <w:p w14:paraId="35D41E0A" w14:textId="77777777" w:rsidR="00410071" w:rsidRPr="00200234" w:rsidRDefault="00410071" w:rsidP="00AE7C03">
            <w:pPr>
              <w:pStyle w:val="TableText"/>
              <w:tabs>
                <w:tab w:val="decimal" w:pos="454"/>
              </w:tabs>
              <w:spacing w:before="55" w:after="55"/>
              <w:rPr>
                <w:rFonts w:cs="Segoe UI"/>
              </w:rPr>
            </w:pPr>
            <w:r w:rsidRPr="00200234">
              <w:rPr>
                <w:rFonts w:cs="Segoe UI"/>
              </w:rPr>
              <w:t>2</w:t>
            </w:r>
            <w:r>
              <w:rPr>
                <w:rFonts w:cs="Segoe UI"/>
              </w:rPr>
              <w:t>3</w:t>
            </w:r>
          </w:p>
        </w:tc>
        <w:tc>
          <w:tcPr>
            <w:tcW w:w="615" w:type="dxa"/>
            <w:tcBorders>
              <w:top w:val="nil"/>
            </w:tcBorders>
          </w:tcPr>
          <w:p w14:paraId="2591313D" w14:textId="77777777" w:rsidR="00410071" w:rsidRPr="00200234" w:rsidRDefault="00410071" w:rsidP="00AE7C03">
            <w:pPr>
              <w:pStyle w:val="TableText"/>
              <w:spacing w:before="55" w:after="55"/>
              <w:jc w:val="center"/>
              <w:rPr>
                <w:rFonts w:cs="Segoe UI"/>
              </w:rPr>
            </w:pPr>
            <w:r>
              <w:rPr>
                <w:rFonts w:cs="Segoe UI"/>
              </w:rPr>
              <w:t>5</w:t>
            </w:r>
          </w:p>
        </w:tc>
      </w:tr>
      <w:tr w:rsidR="00410071" w:rsidRPr="00200234" w14:paraId="77D01579" w14:textId="77777777" w:rsidTr="00EC625C">
        <w:trPr>
          <w:cantSplit/>
        </w:trPr>
        <w:tc>
          <w:tcPr>
            <w:tcW w:w="1843" w:type="dxa"/>
            <w:tcBorders>
              <w:top w:val="single" w:sz="4" w:space="0" w:color="A6A6A6" w:themeColor="background1" w:themeShade="A6"/>
              <w:bottom w:val="nil"/>
              <w:right w:val="nil"/>
            </w:tcBorders>
          </w:tcPr>
          <w:p w14:paraId="72E807D2" w14:textId="77777777" w:rsidR="00410071" w:rsidRPr="00200234" w:rsidRDefault="00410071" w:rsidP="00AE7C03">
            <w:pPr>
              <w:pStyle w:val="TableText"/>
              <w:spacing w:before="55" w:after="55"/>
              <w:rPr>
                <w:rFonts w:cs="Segoe UI"/>
              </w:rPr>
            </w:pPr>
          </w:p>
        </w:tc>
        <w:tc>
          <w:tcPr>
            <w:tcW w:w="708" w:type="dxa"/>
            <w:tcBorders>
              <w:top w:val="single" w:sz="4" w:space="0" w:color="A6A6A6" w:themeColor="background1" w:themeShade="A6"/>
              <w:left w:val="nil"/>
              <w:bottom w:val="nil"/>
              <w:right w:val="nil"/>
            </w:tcBorders>
          </w:tcPr>
          <w:p w14:paraId="4A80E572" w14:textId="77777777" w:rsidR="00410071" w:rsidRPr="00200234" w:rsidRDefault="00410071" w:rsidP="00AE7C03">
            <w:pPr>
              <w:pStyle w:val="TableText"/>
              <w:tabs>
                <w:tab w:val="decimal" w:pos="636"/>
              </w:tabs>
              <w:spacing w:before="55" w:after="55"/>
              <w:rPr>
                <w:rFonts w:cs="Segoe UI"/>
              </w:rPr>
            </w:pPr>
          </w:p>
        </w:tc>
        <w:tc>
          <w:tcPr>
            <w:tcW w:w="709" w:type="dxa"/>
            <w:tcBorders>
              <w:top w:val="single" w:sz="4" w:space="0" w:color="A6A6A6" w:themeColor="background1" w:themeShade="A6"/>
              <w:left w:val="nil"/>
              <w:bottom w:val="nil"/>
              <w:right w:val="nil"/>
            </w:tcBorders>
          </w:tcPr>
          <w:p w14:paraId="4DEF1E74" w14:textId="77777777" w:rsidR="00410071" w:rsidRPr="00200234" w:rsidRDefault="00410071" w:rsidP="00AE7C03">
            <w:pPr>
              <w:pStyle w:val="TableText"/>
              <w:tabs>
                <w:tab w:val="decimal" w:pos="636"/>
              </w:tabs>
              <w:spacing w:before="55" w:after="55"/>
              <w:rPr>
                <w:rFonts w:cs="Segoe UI"/>
              </w:rPr>
            </w:pPr>
          </w:p>
        </w:tc>
        <w:tc>
          <w:tcPr>
            <w:tcW w:w="709" w:type="dxa"/>
            <w:tcBorders>
              <w:top w:val="single" w:sz="4" w:space="0" w:color="A6A6A6" w:themeColor="background1" w:themeShade="A6"/>
              <w:left w:val="nil"/>
              <w:bottom w:val="nil"/>
            </w:tcBorders>
          </w:tcPr>
          <w:p w14:paraId="69703263" w14:textId="77777777" w:rsidR="00410071" w:rsidRPr="00200234" w:rsidRDefault="00410071" w:rsidP="00AE7C03">
            <w:pPr>
              <w:pStyle w:val="TableText"/>
              <w:tabs>
                <w:tab w:val="decimal" w:pos="636"/>
              </w:tabs>
              <w:spacing w:before="55" w:after="55"/>
              <w:rPr>
                <w:rFonts w:cs="Segoe UI"/>
              </w:rPr>
            </w:pPr>
          </w:p>
        </w:tc>
        <w:tc>
          <w:tcPr>
            <w:tcW w:w="426" w:type="dxa"/>
            <w:tcBorders>
              <w:top w:val="nil"/>
              <w:bottom w:val="nil"/>
            </w:tcBorders>
            <w:shd w:val="clear" w:color="auto" w:fill="auto"/>
          </w:tcPr>
          <w:p w14:paraId="1049EF89" w14:textId="77777777" w:rsidR="00410071" w:rsidRPr="00200234" w:rsidRDefault="00410071" w:rsidP="00AE7C03">
            <w:pPr>
              <w:pStyle w:val="TableText"/>
              <w:tabs>
                <w:tab w:val="decimal" w:pos="636"/>
              </w:tabs>
              <w:spacing w:before="55" w:after="55"/>
              <w:rPr>
                <w:rFonts w:cs="Segoe UI"/>
              </w:rPr>
            </w:pPr>
          </w:p>
        </w:tc>
        <w:tc>
          <w:tcPr>
            <w:tcW w:w="1843" w:type="dxa"/>
            <w:tcBorders>
              <w:top w:val="nil"/>
            </w:tcBorders>
          </w:tcPr>
          <w:p w14:paraId="7F772000" w14:textId="77777777" w:rsidR="00410071" w:rsidRPr="00200234" w:rsidRDefault="00410071" w:rsidP="00AE7C03">
            <w:pPr>
              <w:pStyle w:val="TableText"/>
              <w:spacing w:before="55" w:after="55"/>
              <w:jc w:val="both"/>
              <w:rPr>
                <w:rFonts w:cs="Segoe UI"/>
                <w:b/>
              </w:rPr>
            </w:pPr>
            <w:r w:rsidRPr="00200234">
              <w:rPr>
                <w:rFonts w:cs="Segoe UI"/>
                <w:b/>
              </w:rPr>
              <w:t>National average</w:t>
            </w:r>
          </w:p>
        </w:tc>
        <w:tc>
          <w:tcPr>
            <w:tcW w:w="614" w:type="dxa"/>
            <w:tcBorders>
              <w:top w:val="nil"/>
            </w:tcBorders>
          </w:tcPr>
          <w:p w14:paraId="181399E9" w14:textId="77777777" w:rsidR="00410071" w:rsidRPr="00200234" w:rsidRDefault="00410071" w:rsidP="00AE7C03">
            <w:pPr>
              <w:pStyle w:val="TableText"/>
              <w:tabs>
                <w:tab w:val="decimal" w:pos="454"/>
              </w:tabs>
              <w:spacing w:before="55" w:after="55"/>
              <w:rPr>
                <w:rFonts w:cs="Segoe UI"/>
                <w:b/>
              </w:rPr>
            </w:pPr>
            <w:r>
              <w:rPr>
                <w:rFonts w:cs="Segoe UI"/>
                <w:b/>
              </w:rPr>
              <w:t>91</w:t>
            </w:r>
          </w:p>
        </w:tc>
        <w:tc>
          <w:tcPr>
            <w:tcW w:w="615" w:type="dxa"/>
            <w:tcBorders>
              <w:top w:val="nil"/>
            </w:tcBorders>
          </w:tcPr>
          <w:p w14:paraId="43044780" w14:textId="77777777" w:rsidR="00410071" w:rsidRPr="00200234" w:rsidRDefault="00410071" w:rsidP="00AE7C03">
            <w:pPr>
              <w:pStyle w:val="TableText"/>
              <w:tabs>
                <w:tab w:val="decimal" w:pos="454"/>
              </w:tabs>
              <w:spacing w:before="55" w:after="55"/>
              <w:rPr>
                <w:rFonts w:cs="Segoe UI"/>
                <w:b/>
              </w:rPr>
            </w:pPr>
            <w:r w:rsidRPr="00200234">
              <w:rPr>
                <w:rFonts w:cs="Segoe UI"/>
                <w:b/>
              </w:rPr>
              <w:t>1</w:t>
            </w:r>
            <w:r>
              <w:rPr>
                <w:rFonts w:cs="Segoe UI"/>
                <w:b/>
              </w:rPr>
              <w:t>2</w:t>
            </w:r>
          </w:p>
        </w:tc>
        <w:tc>
          <w:tcPr>
            <w:tcW w:w="615" w:type="dxa"/>
            <w:tcBorders>
              <w:top w:val="nil"/>
            </w:tcBorders>
          </w:tcPr>
          <w:p w14:paraId="1637DAC3" w14:textId="77777777" w:rsidR="00410071" w:rsidRPr="00200234" w:rsidRDefault="00410071" w:rsidP="00AE7C03">
            <w:pPr>
              <w:pStyle w:val="TableText"/>
              <w:spacing w:before="55" w:after="55"/>
              <w:jc w:val="center"/>
              <w:rPr>
                <w:rFonts w:cs="Segoe UI"/>
                <w:b/>
              </w:rPr>
            </w:pPr>
            <w:r>
              <w:rPr>
                <w:rFonts w:cs="Segoe UI"/>
                <w:b/>
              </w:rPr>
              <w:t>3</w:t>
            </w:r>
          </w:p>
        </w:tc>
      </w:tr>
    </w:tbl>
    <w:p w14:paraId="04D4AA5D" w14:textId="77777777" w:rsidR="00410071" w:rsidRPr="00200234" w:rsidRDefault="00410071" w:rsidP="00AE7C03">
      <w:pPr>
        <w:pStyle w:val="Note"/>
      </w:pPr>
      <w:r w:rsidRPr="00200234">
        <w:t xml:space="preserve">Note: </w:t>
      </w:r>
      <w:r w:rsidR="0039221C">
        <w:t>‘</w:t>
      </w:r>
      <w:r w:rsidRPr="00200234">
        <w:t>On a given day</w:t>
      </w:r>
      <w:r w:rsidR="0039221C">
        <w:t>’</w:t>
      </w:r>
      <w:r w:rsidRPr="00200234">
        <w:t xml:space="preserve"> is the average of the last day of each month.</w:t>
      </w:r>
    </w:p>
    <w:p w14:paraId="6D98585F" w14:textId="77777777" w:rsidR="0039221C" w:rsidRDefault="00410071" w:rsidP="00AE7C03">
      <w:pPr>
        <w:pStyle w:val="Source"/>
      </w:pPr>
      <w:r w:rsidRPr="00200234">
        <w:t>Sources: PRIMHD data</w:t>
      </w:r>
      <w:r>
        <w:t xml:space="preserve"> (extracted</w:t>
      </w:r>
      <w:r w:rsidRPr="00200234">
        <w:t xml:space="preserve"> </w:t>
      </w:r>
      <w:r>
        <w:t>1 July 2021)</w:t>
      </w:r>
      <w:r w:rsidRPr="00200234">
        <w:t xml:space="preserve"> and manual data from </w:t>
      </w:r>
      <w:r>
        <w:t>Counties Manukau DHB for section 30 only</w:t>
      </w:r>
      <w:r w:rsidRPr="00200234">
        <w:t>.</w:t>
      </w:r>
    </w:p>
    <w:p w14:paraId="08832342" w14:textId="77777777" w:rsidR="00410071" w:rsidRPr="004E657C" w:rsidRDefault="00410071" w:rsidP="00AE7C03">
      <w:bookmarkStart w:id="37" w:name="_Ref65671792"/>
      <w:bookmarkStart w:id="38" w:name="_Toc63764668"/>
    </w:p>
    <w:p w14:paraId="29EC6070" w14:textId="4B20958F" w:rsidR="00410071" w:rsidRDefault="00410071" w:rsidP="00410071">
      <w:pPr>
        <w:pStyle w:val="Figure"/>
        <w:rPr>
          <w:rFonts w:cs="Segoe UI"/>
        </w:rPr>
      </w:pPr>
      <w:bookmarkStart w:id="39" w:name="_Ref65671612"/>
      <w:bookmarkStart w:id="40" w:name="_Toc63764742"/>
      <w:bookmarkStart w:id="41" w:name="_Toc75176471"/>
      <w:bookmarkStart w:id="42" w:name="_Toc85442561"/>
      <w:bookmarkStart w:id="43" w:name="_Toc85445903"/>
      <w:bookmarkStart w:id="44" w:name="_Toc87429952"/>
      <w:bookmarkStart w:id="45" w:name="_Toc88561384"/>
      <w:bookmarkEnd w:id="37"/>
      <w:bookmarkEnd w:id="38"/>
      <w:r>
        <w:lastRenderedPageBreak/>
        <w:t>Figure</w:t>
      </w:r>
      <w:r w:rsidR="00AE7C03">
        <w:t> </w:t>
      </w:r>
      <w:r w:rsidR="00592799">
        <w:fldChar w:fldCharType="begin"/>
      </w:r>
      <w:r w:rsidR="00592799">
        <w:instrText xml:space="preserve"> SEQ Figure \* ARABIC </w:instrText>
      </w:r>
      <w:r w:rsidR="00592799">
        <w:fldChar w:fldCharType="separate"/>
      </w:r>
      <w:r w:rsidR="00840F18">
        <w:rPr>
          <w:noProof/>
        </w:rPr>
        <w:t>3</w:t>
      </w:r>
      <w:r w:rsidR="00592799">
        <w:rPr>
          <w:noProof/>
        </w:rPr>
        <w:fldChar w:fldCharType="end"/>
      </w:r>
      <w:bookmarkEnd w:id="39"/>
      <w:r w:rsidRPr="00200234">
        <w:t>: Average number of people on a given day subject to a community treatment order (section 29 of the Mental Health Act) per 100,000 population, by DHB, 1 January to 31 December 20</w:t>
      </w:r>
      <w:bookmarkEnd w:id="40"/>
      <w:r>
        <w:t>20</w:t>
      </w:r>
      <w:bookmarkEnd w:id="41"/>
      <w:bookmarkEnd w:id="42"/>
      <w:bookmarkEnd w:id="43"/>
      <w:bookmarkEnd w:id="44"/>
      <w:bookmarkEnd w:id="45"/>
    </w:p>
    <w:p w14:paraId="6C3C6AC6" w14:textId="77777777" w:rsidR="00410071" w:rsidRPr="00200234" w:rsidRDefault="00410071" w:rsidP="00410071">
      <w:pPr>
        <w:keepNext/>
        <w:rPr>
          <w:rFonts w:cs="Segoe UI"/>
        </w:rPr>
      </w:pPr>
      <w:r>
        <w:rPr>
          <w:noProof/>
          <w:lang w:eastAsia="en-NZ"/>
        </w:rPr>
        <w:drawing>
          <wp:inline distT="0" distB="0" distL="0" distR="0" wp14:anchorId="1F9C061B" wp14:editId="517E6566">
            <wp:extent cx="5039995" cy="3562350"/>
            <wp:effectExtent l="0" t="0" r="8255" b="0"/>
            <wp:docPr id="4" name="Chart 4" descr="This graph shows that the average number of people subject to a community treatment order in each DHB was highest in Northland, Capital &amp; Coast and Hawke's Bay. It was lowest in Bay of Plenty and Canterbury.">
              <a:extLst xmlns:a="http://schemas.openxmlformats.org/drawingml/2006/main">
                <a:ext uri="{FF2B5EF4-FFF2-40B4-BE49-F238E27FC236}">
                  <a16:creationId xmlns:a16="http://schemas.microsoft.com/office/drawing/2014/main" id="{00000000-0008-0000-1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4D90FB6" w14:textId="77777777" w:rsidR="00410071" w:rsidRPr="00200234" w:rsidRDefault="00410071" w:rsidP="00AE7C03">
      <w:pPr>
        <w:pStyle w:val="Note"/>
        <w:rPr>
          <w:rStyle w:val="FootnoteTextChar"/>
          <w:rFonts w:eastAsia="MS Gothic"/>
        </w:rPr>
      </w:pPr>
      <w:r w:rsidRPr="00200234">
        <w:rPr>
          <w:rStyle w:val="FootnoteTextChar"/>
          <w:rFonts w:eastAsia="MS Gothic"/>
        </w:rPr>
        <w:t xml:space="preserve">Notes: </w:t>
      </w:r>
      <w:r w:rsidR="0039221C">
        <w:rPr>
          <w:rStyle w:val="FootnoteTextChar"/>
          <w:rFonts w:eastAsia="MS Gothic"/>
        </w:rPr>
        <w:t>‘</w:t>
      </w:r>
      <w:r w:rsidRPr="00200234">
        <w:rPr>
          <w:rStyle w:val="FootnoteTextChar"/>
          <w:rFonts w:eastAsia="MS Gothic"/>
        </w:rPr>
        <w:t>On a given day</w:t>
      </w:r>
      <w:r w:rsidR="0039221C">
        <w:rPr>
          <w:rStyle w:val="FootnoteTextChar"/>
          <w:rFonts w:eastAsia="MS Gothic"/>
        </w:rPr>
        <w:t>’</w:t>
      </w:r>
      <w:r w:rsidRPr="00200234">
        <w:rPr>
          <w:rStyle w:val="FootnoteTextChar"/>
          <w:rFonts w:eastAsia="MS Gothic"/>
        </w:rPr>
        <w:t xml:space="preserve"> is the average of the last day of each month. This graph shows confidence intervals (for 99</w:t>
      </w:r>
      <w:r>
        <w:rPr>
          <w:rStyle w:val="FootnoteTextChar"/>
          <w:rFonts w:eastAsia="MS Gothic"/>
        </w:rPr>
        <w:t> </w:t>
      </w:r>
      <w:r w:rsidRPr="00200234">
        <w:rPr>
          <w:rStyle w:val="FootnoteTextChar"/>
          <w:rFonts w:eastAsia="MS Gothic"/>
        </w:rPr>
        <w:t>percent confidence) to help in interpreting the data. Where a DHB region</w:t>
      </w:r>
      <w:r w:rsidR="0039221C">
        <w:rPr>
          <w:rStyle w:val="FootnoteTextChar"/>
          <w:rFonts w:eastAsia="MS Gothic"/>
        </w:rPr>
        <w:t>’</w:t>
      </w:r>
      <w:r w:rsidRPr="00200234">
        <w:rPr>
          <w:rStyle w:val="FootnoteTextChar"/>
          <w:rFonts w:eastAsia="MS Gothic"/>
        </w:rPr>
        <w:t>s confidence interval crosses the national average, this means the DHB</w:t>
      </w:r>
      <w:r w:rsidR="0039221C">
        <w:rPr>
          <w:rStyle w:val="FootnoteTextChar"/>
          <w:rFonts w:eastAsia="MS Gothic"/>
        </w:rPr>
        <w:t>’</w:t>
      </w:r>
      <w:r w:rsidRPr="00200234">
        <w:rPr>
          <w:rStyle w:val="FootnoteTextChar"/>
          <w:rFonts w:eastAsia="MS Gothic"/>
        </w:rPr>
        <w:t>s rate was not statistically different from the national average.</w:t>
      </w:r>
    </w:p>
    <w:p w14:paraId="763C949A" w14:textId="77777777" w:rsidR="00410071" w:rsidRDefault="00410071" w:rsidP="00AE7C03">
      <w:pPr>
        <w:pStyle w:val="Source"/>
        <w:rPr>
          <w:rStyle w:val="FootnoteTextChar"/>
          <w:rFonts w:eastAsia="MS Gothic"/>
        </w:rPr>
      </w:pPr>
      <w:r w:rsidRPr="00200234">
        <w:rPr>
          <w:rStyle w:val="FootnoteTextChar"/>
          <w:rFonts w:eastAsia="MS Gothic"/>
        </w:rPr>
        <w:t>Source: PRIMHD data</w:t>
      </w:r>
      <w:r>
        <w:rPr>
          <w:rStyle w:val="FootnoteTextChar"/>
          <w:rFonts w:eastAsia="MS Gothic"/>
        </w:rPr>
        <w:t xml:space="preserve"> (extracted</w:t>
      </w:r>
      <w:r w:rsidRPr="00200234">
        <w:rPr>
          <w:rStyle w:val="FootnoteTextChar"/>
          <w:rFonts w:eastAsia="MS Gothic"/>
        </w:rPr>
        <w:t xml:space="preserve"> </w:t>
      </w:r>
      <w:r>
        <w:rPr>
          <w:rStyle w:val="FootnoteTextChar"/>
          <w:rFonts w:eastAsia="MS Gothic"/>
        </w:rPr>
        <w:t>1 July 2021).</w:t>
      </w:r>
    </w:p>
    <w:p w14:paraId="0D1DCFD6" w14:textId="77777777" w:rsidR="00AE7C03" w:rsidRPr="00AE7C03" w:rsidRDefault="00AE7C03" w:rsidP="00AE7C03">
      <w:pPr>
        <w:rPr>
          <w:rFonts w:eastAsia="MS Gothic"/>
        </w:rPr>
      </w:pPr>
    </w:p>
    <w:p w14:paraId="4BBAE9D5" w14:textId="0B42192B" w:rsidR="00410071" w:rsidRDefault="00410071" w:rsidP="00410071">
      <w:pPr>
        <w:pStyle w:val="Figure"/>
      </w:pPr>
      <w:bookmarkStart w:id="46" w:name="_Ref84315824"/>
      <w:bookmarkStart w:id="47" w:name="_Toc63764744"/>
      <w:bookmarkStart w:id="48" w:name="_Toc75176472"/>
      <w:bookmarkStart w:id="49" w:name="_Toc85442562"/>
      <w:bookmarkStart w:id="50" w:name="_Toc85445904"/>
      <w:bookmarkStart w:id="51" w:name="_Toc87429953"/>
      <w:bookmarkStart w:id="52" w:name="_Toc88561385"/>
      <w:r>
        <w:lastRenderedPageBreak/>
        <w:t>Figure</w:t>
      </w:r>
      <w:r w:rsidR="008B6AFE">
        <w:t> </w:t>
      </w:r>
      <w:r w:rsidR="00592799">
        <w:fldChar w:fldCharType="begin"/>
      </w:r>
      <w:r w:rsidR="00592799">
        <w:instrText xml:space="preserve"> SEQ Figure \* ARABIC </w:instrText>
      </w:r>
      <w:r w:rsidR="00592799">
        <w:fldChar w:fldCharType="separate"/>
      </w:r>
      <w:r w:rsidR="00840F18">
        <w:rPr>
          <w:noProof/>
        </w:rPr>
        <w:t>4</w:t>
      </w:r>
      <w:r w:rsidR="00592799">
        <w:rPr>
          <w:noProof/>
        </w:rPr>
        <w:fldChar w:fldCharType="end"/>
      </w:r>
      <w:bookmarkEnd w:id="46"/>
      <w:r w:rsidRPr="00200234">
        <w:t>: Average number of people on a given day subject to an inpatient treatment order (section 30 of the Mental Health Act) per 100,000 population, by DHB, 1 January to 31 December 20</w:t>
      </w:r>
      <w:bookmarkEnd w:id="47"/>
      <w:r>
        <w:t>20</w:t>
      </w:r>
      <w:bookmarkEnd w:id="48"/>
      <w:bookmarkEnd w:id="49"/>
      <w:bookmarkEnd w:id="50"/>
      <w:bookmarkEnd w:id="51"/>
      <w:bookmarkEnd w:id="52"/>
    </w:p>
    <w:p w14:paraId="5CA966D8" w14:textId="77777777" w:rsidR="00410071" w:rsidRPr="004C1878" w:rsidRDefault="00410071" w:rsidP="00410071">
      <w:r>
        <w:rPr>
          <w:noProof/>
          <w:lang w:eastAsia="en-NZ"/>
        </w:rPr>
        <w:drawing>
          <wp:inline distT="0" distB="0" distL="0" distR="0" wp14:anchorId="6A72A44C" wp14:editId="71AFFCF4">
            <wp:extent cx="5267325" cy="3609975"/>
            <wp:effectExtent l="0" t="0" r="0" b="0"/>
            <wp:docPr id="8" name="Chart 8" descr="This graph shows the average number of people subject to an inpatient treatment order in a DHB was highest in Capital &amp; Coast, Hawke's Bay and Whanganui. It was lowest in Counties Manukau, Tairāwhiti, Taranaki and Wairarapa.">
              <a:extLst xmlns:a="http://schemas.openxmlformats.org/drawingml/2006/main">
                <a:ext uri="{FF2B5EF4-FFF2-40B4-BE49-F238E27FC236}">
                  <a16:creationId xmlns:a16="http://schemas.microsoft.com/office/drawing/2014/main" id="{00000000-0008-0000-1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DB5DD5" w14:textId="77777777" w:rsidR="00410071" w:rsidRPr="00200234" w:rsidRDefault="00410071" w:rsidP="008B6AFE">
      <w:pPr>
        <w:pStyle w:val="Note"/>
        <w:rPr>
          <w:rStyle w:val="FootnoteTextChar"/>
          <w:rFonts w:eastAsia="MS Gothic"/>
        </w:rPr>
      </w:pPr>
      <w:r w:rsidRPr="00200234">
        <w:rPr>
          <w:rStyle w:val="FootnoteTextChar"/>
          <w:rFonts w:eastAsia="MS Gothic"/>
        </w:rPr>
        <w:t xml:space="preserve">Notes: </w:t>
      </w:r>
      <w:r w:rsidR="0039221C">
        <w:rPr>
          <w:rStyle w:val="FootnoteTextChar"/>
          <w:rFonts w:eastAsia="MS Gothic"/>
        </w:rPr>
        <w:t>‘</w:t>
      </w:r>
      <w:r w:rsidRPr="00200234">
        <w:rPr>
          <w:rStyle w:val="FootnoteTextChar"/>
          <w:rFonts w:eastAsia="MS Gothic"/>
        </w:rPr>
        <w:t>On a given day</w:t>
      </w:r>
      <w:r w:rsidR="0039221C">
        <w:rPr>
          <w:rStyle w:val="FootnoteTextChar"/>
          <w:rFonts w:eastAsia="MS Gothic"/>
        </w:rPr>
        <w:t>’</w:t>
      </w:r>
      <w:r w:rsidRPr="00200234">
        <w:rPr>
          <w:rStyle w:val="FootnoteTextChar"/>
          <w:rFonts w:eastAsia="MS Gothic"/>
        </w:rPr>
        <w:t xml:space="preserve"> is the average of the last day of each month. This graph shows confidence intervals (for 99</w:t>
      </w:r>
      <w:r>
        <w:rPr>
          <w:rStyle w:val="FootnoteTextChar"/>
          <w:rFonts w:eastAsia="MS Gothic"/>
        </w:rPr>
        <w:t> </w:t>
      </w:r>
      <w:r w:rsidRPr="00200234">
        <w:rPr>
          <w:rStyle w:val="FootnoteTextChar"/>
          <w:rFonts w:eastAsia="MS Gothic"/>
        </w:rPr>
        <w:t>percent confidence) to help in interpreting the data. Where a DHB region</w:t>
      </w:r>
      <w:r w:rsidR="0039221C">
        <w:rPr>
          <w:rStyle w:val="FootnoteTextChar"/>
          <w:rFonts w:eastAsia="MS Gothic"/>
        </w:rPr>
        <w:t>’</w:t>
      </w:r>
      <w:r w:rsidRPr="00200234">
        <w:rPr>
          <w:rStyle w:val="FootnoteTextChar"/>
          <w:rFonts w:eastAsia="MS Gothic"/>
        </w:rPr>
        <w:t>s confidence interval crosses the national average, this means the DHB</w:t>
      </w:r>
      <w:r w:rsidR="0039221C">
        <w:rPr>
          <w:rStyle w:val="FootnoteTextChar"/>
          <w:rFonts w:eastAsia="MS Gothic"/>
        </w:rPr>
        <w:t>’</w:t>
      </w:r>
      <w:r w:rsidRPr="00200234">
        <w:rPr>
          <w:rStyle w:val="FootnoteTextChar"/>
          <w:rFonts w:eastAsia="MS Gothic"/>
        </w:rPr>
        <w:t>s rate was not statistically different from the national average.</w:t>
      </w:r>
    </w:p>
    <w:p w14:paraId="1FABADC4" w14:textId="77777777" w:rsidR="00410071" w:rsidRDefault="00410071" w:rsidP="008B6AFE">
      <w:pPr>
        <w:pStyle w:val="Source"/>
        <w:rPr>
          <w:rStyle w:val="FootnoteTextChar"/>
          <w:rFonts w:eastAsia="MS Gothic"/>
        </w:rPr>
      </w:pPr>
      <w:r w:rsidRPr="00200234">
        <w:rPr>
          <w:rStyle w:val="FootnoteTextChar"/>
          <w:rFonts w:eastAsia="MS Gothic"/>
        </w:rPr>
        <w:t>Sources: PRIMHD data</w:t>
      </w:r>
      <w:r>
        <w:rPr>
          <w:rStyle w:val="FootnoteTextChar"/>
          <w:rFonts w:eastAsia="MS Gothic"/>
        </w:rPr>
        <w:t xml:space="preserve"> (extracted</w:t>
      </w:r>
      <w:r w:rsidRPr="00200234">
        <w:rPr>
          <w:rStyle w:val="FootnoteTextChar"/>
          <w:rFonts w:eastAsia="MS Gothic"/>
        </w:rPr>
        <w:t xml:space="preserve"> </w:t>
      </w:r>
      <w:r>
        <w:rPr>
          <w:rStyle w:val="FootnoteTextChar"/>
          <w:rFonts w:eastAsia="MS Gothic"/>
        </w:rPr>
        <w:t>1 July 2021)</w:t>
      </w:r>
      <w:r w:rsidRPr="00200234">
        <w:rPr>
          <w:rStyle w:val="FootnoteTextChar"/>
          <w:rFonts w:eastAsia="MS Gothic"/>
        </w:rPr>
        <w:t xml:space="preserve"> and manual data from </w:t>
      </w:r>
      <w:r>
        <w:rPr>
          <w:rStyle w:val="FootnoteTextChar"/>
          <w:rFonts w:eastAsia="MS Gothic"/>
        </w:rPr>
        <w:t>Counties Manukau DHB</w:t>
      </w:r>
      <w:r w:rsidRPr="00200234">
        <w:rPr>
          <w:rStyle w:val="FootnoteTextChar"/>
          <w:rFonts w:eastAsia="MS Gothic"/>
        </w:rPr>
        <w:t>.</w:t>
      </w:r>
    </w:p>
    <w:p w14:paraId="1835F592" w14:textId="77777777" w:rsidR="00410071" w:rsidRPr="00090C73" w:rsidRDefault="00410071" w:rsidP="008B6AFE">
      <w:pPr>
        <w:rPr>
          <w:rFonts w:eastAsia="MS Gothic"/>
        </w:rPr>
      </w:pPr>
    </w:p>
    <w:p w14:paraId="691AB2CF" w14:textId="77777777" w:rsidR="00410071" w:rsidRPr="00200234" w:rsidRDefault="00410071" w:rsidP="008B6AFE">
      <w:pPr>
        <w:pStyle w:val="Heading2"/>
      </w:pPr>
      <w:bookmarkStart w:id="53" w:name="_Toc65141615"/>
      <w:bookmarkStart w:id="54" w:name="_Toc75176438"/>
      <w:bookmarkStart w:id="55" w:name="_Toc87429902"/>
      <w:bookmarkStart w:id="56" w:name="_Toc88826950"/>
      <w:r w:rsidRPr="00200234">
        <w:t>Compulsory treatment by age and sex</w:t>
      </w:r>
      <w:bookmarkEnd w:id="53"/>
      <w:bookmarkEnd w:id="54"/>
      <w:r>
        <w:t xml:space="preserve"> in 2020</w:t>
      </w:r>
      <w:r w:rsidRPr="00200234">
        <w:rPr>
          <w:rStyle w:val="FootnoteReference"/>
          <w:rFonts w:cs="Segoe UI"/>
        </w:rPr>
        <w:footnoteReference w:id="10"/>
      </w:r>
      <w:bookmarkEnd w:id="55"/>
      <w:bookmarkEnd w:id="56"/>
    </w:p>
    <w:p w14:paraId="404AA80F" w14:textId="66A50647" w:rsidR="00410071" w:rsidRPr="00ED4FA1" w:rsidRDefault="00410071" w:rsidP="008B6AFE">
      <w:pPr>
        <w:pStyle w:val="Bullet"/>
      </w:pPr>
      <w:r>
        <w:t>P</w:t>
      </w:r>
      <w:r w:rsidRPr="00ED4FA1">
        <w:t xml:space="preserve">eople aged </w:t>
      </w:r>
      <w:r>
        <w:t>25</w:t>
      </w:r>
      <w:r w:rsidRPr="00ED4FA1">
        <w:t>–</w:t>
      </w:r>
      <w:r>
        <w:t>34</w:t>
      </w:r>
      <w:r w:rsidRPr="00ED4FA1">
        <w:t xml:space="preserve"> years were the most likely </w:t>
      </w:r>
      <w:r>
        <w:t xml:space="preserve">age group </w:t>
      </w:r>
      <w:r w:rsidRPr="00ED4FA1">
        <w:t>to be subject to a compulsory treatment order (</w:t>
      </w:r>
      <w:r>
        <w:t>185.2</w:t>
      </w:r>
      <w:r w:rsidRPr="00ED4FA1">
        <w:t xml:space="preserve"> per 100,000), while people over </w:t>
      </w:r>
      <w:r>
        <w:t>65</w:t>
      </w:r>
      <w:r w:rsidRPr="00ED4FA1">
        <w:t xml:space="preserve"> years of age were the least likely (</w:t>
      </w:r>
      <w:r>
        <w:t>54.2</w:t>
      </w:r>
      <w:r w:rsidRPr="00ED4FA1">
        <w:t xml:space="preserve"> per 100,000) (see </w:t>
      </w:r>
      <w:r w:rsidRPr="00ED4FA1">
        <w:fldChar w:fldCharType="begin"/>
      </w:r>
      <w:r w:rsidRPr="00ED4FA1">
        <w:instrText xml:space="preserve"> REF _Ref65671847 \h </w:instrText>
      </w:r>
      <w:r w:rsidRPr="00ED4FA1">
        <w:fldChar w:fldCharType="separate"/>
      </w:r>
      <w:r w:rsidR="00840F18">
        <w:t>Figure </w:t>
      </w:r>
      <w:r w:rsidR="00840F18">
        <w:rPr>
          <w:noProof/>
        </w:rPr>
        <w:t>5</w:t>
      </w:r>
      <w:r w:rsidRPr="00ED4FA1">
        <w:fldChar w:fldCharType="end"/>
      </w:r>
      <w:r w:rsidRPr="00ED4FA1">
        <w:t>)</w:t>
      </w:r>
      <w:r>
        <w:t>.</w:t>
      </w:r>
    </w:p>
    <w:p w14:paraId="0B1E20C4" w14:textId="64427BF3" w:rsidR="00410071" w:rsidRPr="00ED4FA1" w:rsidRDefault="00410071" w:rsidP="008B6AFE">
      <w:pPr>
        <w:pStyle w:val="Bullet"/>
        <w:spacing w:before="120"/>
      </w:pPr>
      <w:r>
        <w:t>M</w:t>
      </w:r>
      <w:r w:rsidRPr="00ED4FA1">
        <w:t>ales were more likely to be subject to a compulsory treatment order (</w:t>
      </w:r>
      <w:r>
        <w:t>108</w:t>
      </w:r>
      <w:r w:rsidRPr="00ED4FA1">
        <w:t xml:space="preserve"> per 100,000) than females (</w:t>
      </w:r>
      <w:r>
        <w:t>80</w:t>
      </w:r>
      <w:r w:rsidRPr="00ED4FA1">
        <w:t xml:space="preserve"> per 100,000) (see </w:t>
      </w:r>
      <w:r w:rsidRPr="00ED4FA1">
        <w:fldChar w:fldCharType="begin"/>
      </w:r>
      <w:r w:rsidRPr="00ED4FA1">
        <w:instrText xml:space="preserve"> REF _Ref65671854 \h </w:instrText>
      </w:r>
      <w:r w:rsidRPr="00ED4FA1">
        <w:fldChar w:fldCharType="separate"/>
      </w:r>
      <w:r w:rsidR="00840F18">
        <w:t>Figure </w:t>
      </w:r>
      <w:r w:rsidR="00840F18">
        <w:rPr>
          <w:noProof/>
        </w:rPr>
        <w:t>6</w:t>
      </w:r>
      <w:r w:rsidRPr="00ED4FA1">
        <w:fldChar w:fldCharType="end"/>
      </w:r>
      <w:r w:rsidRPr="00ED4FA1">
        <w:t>).</w:t>
      </w:r>
    </w:p>
    <w:p w14:paraId="1DDBC676" w14:textId="77777777" w:rsidR="00410071" w:rsidRPr="00200234" w:rsidRDefault="00410071" w:rsidP="00410071"/>
    <w:p w14:paraId="13596CBE" w14:textId="75B10BA3" w:rsidR="00410071" w:rsidRPr="00200234" w:rsidRDefault="00410071" w:rsidP="00410071">
      <w:pPr>
        <w:pStyle w:val="Figure"/>
      </w:pPr>
      <w:bookmarkStart w:id="57" w:name="_Ref65671847"/>
      <w:bookmarkStart w:id="58" w:name="_Toc65574434"/>
      <w:bookmarkStart w:id="59" w:name="_Toc75176473"/>
      <w:bookmarkStart w:id="60" w:name="_Toc85442563"/>
      <w:bookmarkStart w:id="61" w:name="_Toc85445905"/>
      <w:bookmarkStart w:id="62" w:name="_Toc87429954"/>
      <w:bookmarkStart w:id="63" w:name="_Toc88561386"/>
      <w:r>
        <w:lastRenderedPageBreak/>
        <w:t>Figure</w:t>
      </w:r>
      <w:r w:rsidR="008B6AFE">
        <w:t> </w:t>
      </w:r>
      <w:r w:rsidR="00592799">
        <w:fldChar w:fldCharType="begin"/>
      </w:r>
      <w:r w:rsidR="00592799">
        <w:instrText xml:space="preserve"> SEQ Figure \* ARABIC </w:instrText>
      </w:r>
      <w:r w:rsidR="00592799">
        <w:fldChar w:fldCharType="separate"/>
      </w:r>
      <w:r w:rsidR="00840F18">
        <w:rPr>
          <w:noProof/>
        </w:rPr>
        <w:t>5</w:t>
      </w:r>
      <w:r w:rsidR="00592799">
        <w:rPr>
          <w:noProof/>
        </w:rPr>
        <w:fldChar w:fldCharType="end"/>
      </w:r>
      <w:bookmarkEnd w:id="57"/>
      <w:r w:rsidRPr="00200234">
        <w:t>: Rate of people subject to compulsory treatment order applications (including extensions) per 100,000 population, by age group, 2004–20</w:t>
      </w:r>
      <w:bookmarkEnd w:id="58"/>
      <w:r>
        <w:t>20</w:t>
      </w:r>
      <w:bookmarkEnd w:id="59"/>
      <w:bookmarkEnd w:id="60"/>
      <w:bookmarkEnd w:id="61"/>
      <w:bookmarkEnd w:id="62"/>
      <w:bookmarkEnd w:id="63"/>
    </w:p>
    <w:p w14:paraId="68AD80A0" w14:textId="77777777" w:rsidR="00410071" w:rsidRPr="00200234" w:rsidRDefault="00410071" w:rsidP="00B048AF">
      <w:r>
        <w:rPr>
          <w:noProof/>
          <w:lang w:eastAsia="en-NZ"/>
        </w:rPr>
        <mc:AlternateContent>
          <mc:Choice Requires="wps">
            <w:drawing>
              <wp:anchor distT="45720" distB="45720" distL="114300" distR="114300" simplePos="0" relativeHeight="251661312" behindDoc="0" locked="0" layoutInCell="1" allowOverlap="1" wp14:anchorId="24AB59EB" wp14:editId="5CA54E9B">
                <wp:simplePos x="0" y="0"/>
                <wp:positionH relativeFrom="column">
                  <wp:posOffset>4264949</wp:posOffset>
                </wp:positionH>
                <wp:positionV relativeFrom="paragraph">
                  <wp:posOffset>65463</wp:posOffset>
                </wp:positionV>
                <wp:extent cx="76217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73" cy="1404620"/>
                        </a:xfrm>
                        <a:prstGeom prst="rect">
                          <a:avLst/>
                        </a:prstGeom>
                        <a:noFill/>
                        <a:ln w="9525">
                          <a:noFill/>
                          <a:miter lim="800000"/>
                          <a:headEnd/>
                          <a:tailEnd/>
                        </a:ln>
                      </wps:spPr>
                      <wps:txbx>
                        <w:txbxContent>
                          <w:p w14:paraId="4FE0EA42" w14:textId="77777777" w:rsidR="0095293C" w:rsidRPr="0004309A" w:rsidRDefault="0095293C" w:rsidP="00B048AF">
                            <w:pPr>
                              <w:rPr>
                                <w:sz w:val="16"/>
                                <w:szCs w:val="14"/>
                              </w:rPr>
                            </w:pPr>
                            <w:r w:rsidRPr="0004309A">
                              <w:rPr>
                                <w:sz w:val="18"/>
                                <w:szCs w:val="16"/>
                              </w:rPr>
                              <w:t>Age group (in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B59EB" id="_x0000_t202" coordsize="21600,21600" o:spt="202" path="m,l,21600r21600,l21600,xe">
                <v:stroke joinstyle="miter"/>
                <v:path gradientshapeok="t" o:connecttype="rect"/>
              </v:shapetype>
              <v:shape id="Text Box 2" o:spid="_x0000_s1026" type="#_x0000_t202" style="position:absolute;margin-left:335.8pt;margin-top:5.15pt;width:6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" filled="f" stroked="f">
                <v:textbox style="mso-fit-shape-to-text:t">
                  <w:txbxContent>
                    <w:p w14:paraId="4FE0EA42" w14:textId="77777777" w:rsidR="0095293C" w:rsidRPr="0004309A" w:rsidRDefault="0095293C" w:rsidP="00B048AF">
                      <w:pPr>
                        <w:rPr>
                          <w:sz w:val="16"/>
                          <w:szCs w:val="14"/>
                        </w:rPr>
                      </w:pPr>
                      <w:r w:rsidRPr="0004309A">
                        <w:rPr>
                          <w:sz w:val="18"/>
                          <w:szCs w:val="16"/>
                        </w:rPr>
                        <w:t>Age group (in years)</w:t>
                      </w:r>
                    </w:p>
                  </w:txbxContent>
                </v:textbox>
              </v:shape>
            </w:pict>
          </mc:Fallback>
        </mc:AlternateContent>
      </w:r>
      <w:r>
        <w:rPr>
          <w:noProof/>
          <w:lang w:eastAsia="en-NZ"/>
        </w:rPr>
        <w:drawing>
          <wp:inline distT="0" distB="0" distL="0" distR="0" wp14:anchorId="4CC58007" wp14:editId="2028DEE5">
            <wp:extent cx="5419725" cy="2600325"/>
            <wp:effectExtent l="0" t="0" r="0" b="0"/>
            <wp:docPr id="9" name="Chart 9" descr="This graph shows that the people 25-34 had the highest compulsory treatment order rate, followed by those aged 15-24, 35-44, 45-54, 55-64, over 65 and under 14. ">
              <a:extLst xmlns:a="http://schemas.openxmlformats.org/drawingml/2006/main">
                <a:ext uri="{FF2B5EF4-FFF2-40B4-BE49-F238E27FC236}">
                  <a16:creationId xmlns:a16="http://schemas.microsoft.com/office/drawing/2014/main" id="{52594EC2-3B76-4D20-80B0-399544965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2C5E87" w14:textId="77777777" w:rsidR="00410071" w:rsidRPr="00200234" w:rsidRDefault="00410071" w:rsidP="008B6AFE">
      <w:pPr>
        <w:pStyle w:val="Note"/>
        <w:rPr>
          <w:rFonts w:eastAsia="MS Gothic"/>
        </w:rPr>
      </w:pPr>
      <w:r w:rsidRPr="00200234">
        <w:rPr>
          <w:rFonts w:eastAsia="MS Gothic"/>
        </w:rPr>
        <w:t>Notes: This</w:t>
      </w:r>
      <w:r>
        <w:rPr>
          <w:rFonts w:eastAsia="MS Gothic"/>
        </w:rPr>
        <w:t xml:space="preserve"> figure represents data entered</w:t>
      </w:r>
      <w:r w:rsidRPr="00200234">
        <w:rPr>
          <w:rFonts w:eastAsia="MS Gothic"/>
        </w:rPr>
        <w:t xml:space="preserve"> into the case management system (CMS). The CMS is a live operational database. Figures are subject to minor changes at any time.</w:t>
      </w:r>
    </w:p>
    <w:p w14:paraId="38334A2B" w14:textId="77777777" w:rsidR="00410071" w:rsidRDefault="00410071" w:rsidP="008B6AFE">
      <w:pPr>
        <w:pStyle w:val="Source"/>
        <w:rPr>
          <w:rFonts w:eastAsia="MS Gothic"/>
        </w:rPr>
      </w:pPr>
      <w:r w:rsidRPr="00200234">
        <w:rPr>
          <w:rFonts w:eastAsia="MS Gothic"/>
        </w:rPr>
        <w:t xml:space="preserve">Source: Ministry of Justice Integrated Sector Intelligence System as at </w:t>
      </w:r>
      <w:r>
        <w:rPr>
          <w:rFonts w:eastAsia="MS Gothic"/>
        </w:rPr>
        <w:t>1 February 2021.</w:t>
      </w:r>
    </w:p>
    <w:p w14:paraId="22B12765" w14:textId="77777777" w:rsidR="00410071" w:rsidRPr="00A175D6" w:rsidRDefault="00410071" w:rsidP="00B048AF">
      <w:pPr>
        <w:rPr>
          <w:rFonts w:eastAsia="MS Gothic"/>
        </w:rPr>
      </w:pPr>
    </w:p>
    <w:p w14:paraId="01410405" w14:textId="3AB8EAE0" w:rsidR="00410071" w:rsidRPr="00200234" w:rsidRDefault="00410071" w:rsidP="00410071">
      <w:pPr>
        <w:pStyle w:val="Figure"/>
        <w:rPr>
          <w:rFonts w:cs="Segoe UI"/>
          <w:sz w:val="22"/>
        </w:rPr>
      </w:pPr>
      <w:bookmarkStart w:id="64" w:name="_Ref65671854"/>
      <w:bookmarkStart w:id="65" w:name="_Toc65574435"/>
      <w:bookmarkStart w:id="66" w:name="_Toc75176474"/>
      <w:bookmarkStart w:id="67" w:name="_Toc85442564"/>
      <w:bookmarkStart w:id="68" w:name="_Toc85445906"/>
      <w:bookmarkStart w:id="69" w:name="_Toc87429955"/>
      <w:bookmarkStart w:id="70" w:name="_Toc88561387"/>
      <w:r>
        <w:t>Figure</w:t>
      </w:r>
      <w:r w:rsidR="008B6AFE">
        <w:t> </w:t>
      </w:r>
      <w:r w:rsidR="00592799">
        <w:fldChar w:fldCharType="begin"/>
      </w:r>
      <w:r w:rsidR="00592799">
        <w:instrText xml:space="preserve"> SEQ Figure \* ARABIC </w:instrText>
      </w:r>
      <w:r w:rsidR="00592799">
        <w:fldChar w:fldCharType="separate"/>
      </w:r>
      <w:r w:rsidR="00840F18">
        <w:rPr>
          <w:noProof/>
        </w:rPr>
        <w:t>6</w:t>
      </w:r>
      <w:r w:rsidR="00592799">
        <w:rPr>
          <w:noProof/>
        </w:rPr>
        <w:fldChar w:fldCharType="end"/>
      </w:r>
      <w:bookmarkEnd w:id="64"/>
      <w:r w:rsidRPr="00200234">
        <w:t>: Rate of people subject to compulsory treatment order applications (including extensions) per 100,000 population, by sex, 2004–20</w:t>
      </w:r>
      <w:bookmarkEnd w:id="65"/>
      <w:r>
        <w:t>20</w:t>
      </w:r>
      <w:bookmarkEnd w:id="66"/>
      <w:bookmarkEnd w:id="67"/>
      <w:bookmarkEnd w:id="68"/>
      <w:bookmarkEnd w:id="69"/>
      <w:bookmarkEnd w:id="70"/>
    </w:p>
    <w:p w14:paraId="3643DB61" w14:textId="77777777" w:rsidR="00410071" w:rsidRDefault="00410071" w:rsidP="00B048AF">
      <w:pPr>
        <w:rPr>
          <w:rFonts w:eastAsia="MS Gothic"/>
        </w:rPr>
      </w:pPr>
      <w:r>
        <w:rPr>
          <w:noProof/>
          <w:lang w:eastAsia="en-NZ"/>
        </w:rPr>
        <w:drawing>
          <wp:inline distT="0" distB="0" distL="0" distR="0" wp14:anchorId="14DDBAC9" wp14:editId="0464AD12">
            <wp:extent cx="5591175" cy="2505075"/>
            <wp:effectExtent l="0" t="0" r="0" b="0"/>
            <wp:docPr id="10" name="Chart 10" descr="This graph shows that males have a higher rate of compulsory treatment order than females.">
              <a:extLst xmlns:a="http://schemas.openxmlformats.org/drawingml/2006/main">
                <a:ext uri="{FF2B5EF4-FFF2-40B4-BE49-F238E27FC236}">
                  <a16:creationId xmlns:a16="http://schemas.microsoft.com/office/drawing/2014/main" id="{ECC13A0A-1FAA-4FDE-AD67-34F73A94B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443EE7B" w14:textId="77777777" w:rsidR="00410071" w:rsidRPr="00200234" w:rsidRDefault="00410071" w:rsidP="00B048AF">
      <w:pPr>
        <w:pStyle w:val="Note"/>
        <w:rPr>
          <w:rFonts w:eastAsia="MS Gothic"/>
        </w:rPr>
      </w:pPr>
      <w:r w:rsidRPr="00200234">
        <w:rPr>
          <w:rFonts w:eastAsia="MS Gothic"/>
        </w:rPr>
        <w:t>Notes: This</w:t>
      </w:r>
      <w:r>
        <w:rPr>
          <w:rFonts w:eastAsia="MS Gothic"/>
        </w:rPr>
        <w:t xml:space="preserve"> figure represents data entered</w:t>
      </w:r>
      <w:r w:rsidRPr="00200234">
        <w:rPr>
          <w:rFonts w:eastAsia="MS Gothic"/>
        </w:rPr>
        <w:t xml:space="preserve"> into the case management system (CMS). The CMS is a live operational database. Figures are subject to minor changes at any time.</w:t>
      </w:r>
    </w:p>
    <w:p w14:paraId="1D20CC9D" w14:textId="77777777" w:rsidR="00410071" w:rsidRPr="00200234" w:rsidRDefault="00410071" w:rsidP="00B048AF">
      <w:pPr>
        <w:pStyle w:val="Source"/>
        <w:rPr>
          <w:rFonts w:eastAsia="MS Gothic"/>
        </w:rPr>
      </w:pPr>
      <w:r w:rsidRPr="00200234">
        <w:rPr>
          <w:rFonts w:eastAsia="MS Gothic"/>
        </w:rPr>
        <w:t>Source: Ministry of Justice Integrated Sector Intelligence System as at 1 February 2021.</w:t>
      </w:r>
    </w:p>
    <w:p w14:paraId="0E56540B" w14:textId="77777777" w:rsidR="00410071" w:rsidRDefault="00410071" w:rsidP="00B048AF"/>
    <w:p w14:paraId="20E2D588" w14:textId="77777777" w:rsidR="00410071" w:rsidRPr="00200234" w:rsidRDefault="00410071" w:rsidP="00B048AF">
      <w:pPr>
        <w:pStyle w:val="Heading1"/>
      </w:pPr>
      <w:bookmarkStart w:id="71" w:name="_Hlk80095268"/>
      <w:bookmarkStart w:id="72" w:name="_Toc75176442"/>
      <w:bookmarkStart w:id="73" w:name="_Toc87429903"/>
      <w:bookmarkStart w:id="74" w:name="_Toc88826951"/>
      <w:bookmarkEnd w:id="71"/>
      <w:r w:rsidRPr="00200234">
        <w:lastRenderedPageBreak/>
        <w:t>Tāngata whai</w:t>
      </w:r>
      <w:r>
        <w:t xml:space="preserve"> </w:t>
      </w:r>
      <w:r w:rsidRPr="00200234">
        <w:t>ora</w:t>
      </w:r>
      <w:bookmarkEnd w:id="72"/>
      <w:bookmarkEnd w:id="73"/>
      <w:bookmarkEnd w:id="74"/>
    </w:p>
    <w:p w14:paraId="39268A57" w14:textId="77777777" w:rsidR="0039221C" w:rsidRDefault="00410071" w:rsidP="00B048AF">
      <w:r w:rsidRPr="00200234">
        <w:t>This section presents statistics on tāngata whai</w:t>
      </w:r>
      <w:r>
        <w:t xml:space="preserve"> </w:t>
      </w:r>
      <w:r w:rsidRPr="00200234">
        <w:t xml:space="preserve">ora (people seeking </w:t>
      </w:r>
      <w:r>
        <w:t>wellness</w:t>
      </w:r>
      <w:r w:rsidRPr="00200234">
        <w:t>) under the Mental Health Act</w:t>
      </w:r>
      <w:r>
        <w:t>.</w:t>
      </w:r>
      <w:r w:rsidRPr="00200234">
        <w:t xml:space="preserve"> This information underlines the need for mental health services to take meaningful actions to address the disparity in outcomes for Māori</w:t>
      </w:r>
      <w:r>
        <w:t xml:space="preserve"> and Pacific peoples</w:t>
      </w:r>
      <w:r w:rsidRPr="00200234">
        <w:t xml:space="preserve"> in </w:t>
      </w:r>
      <w:r>
        <w:t xml:space="preserve">Aotearoa </w:t>
      </w:r>
      <w:r w:rsidRPr="00200234">
        <w:t>New Zealand.</w:t>
      </w:r>
    </w:p>
    <w:p w14:paraId="1695ED78" w14:textId="77777777" w:rsidR="00410071" w:rsidRPr="00200234" w:rsidRDefault="00410071" w:rsidP="00B048AF"/>
    <w:p w14:paraId="10C3E179" w14:textId="77777777" w:rsidR="00410071" w:rsidRPr="00200234" w:rsidRDefault="00410071" w:rsidP="00B048AF">
      <w:r w:rsidRPr="00200234">
        <w:t>In summary, in 20</w:t>
      </w:r>
      <w:r>
        <w:t>20</w:t>
      </w:r>
      <w:r w:rsidRPr="00200234">
        <w:t>:</w:t>
      </w:r>
    </w:p>
    <w:p w14:paraId="45ADA05F" w14:textId="77777777" w:rsidR="00410071" w:rsidRPr="00ED4FA1" w:rsidRDefault="00410071" w:rsidP="00B048AF">
      <w:pPr>
        <w:pStyle w:val="Bullet"/>
      </w:pPr>
      <w:bookmarkStart w:id="75" w:name="_Hlk62549156"/>
      <w:r>
        <w:t>6.1</w:t>
      </w:r>
      <w:r w:rsidRPr="00ED4FA1">
        <w:t xml:space="preserve"> percent of Māori accessed mental health and addiction services, compared with </w:t>
      </w:r>
      <w:r>
        <w:t>3.09 percent of non-Māori</w:t>
      </w:r>
    </w:p>
    <w:p w14:paraId="30EE25F1" w14:textId="77777777" w:rsidR="00410071" w:rsidRDefault="00410071" w:rsidP="00B048AF">
      <w:pPr>
        <w:pStyle w:val="Bullet"/>
      </w:pPr>
      <w:r w:rsidRPr="00ED4FA1">
        <w:t xml:space="preserve">Māori were </w:t>
      </w:r>
      <w:r>
        <w:t>1.8</w:t>
      </w:r>
      <w:r w:rsidRPr="00ED4FA1">
        <w:t xml:space="preserve"> times more likely than </w:t>
      </w:r>
      <w:r>
        <w:t>Pacific peoples</w:t>
      </w:r>
      <w:r w:rsidRPr="00ED4FA1">
        <w:t xml:space="preserve"> to be subject to a community treatment order</w:t>
      </w:r>
      <w:r>
        <w:t xml:space="preserve"> and 4.1 times more likely than other ethnicities</w:t>
      </w:r>
      <w:r w:rsidRPr="00B048AF">
        <w:rPr>
          <w:rStyle w:val="FootnoteReference"/>
        </w:rPr>
        <w:footnoteReference w:id="11"/>
      </w:r>
    </w:p>
    <w:p w14:paraId="3B3268B1" w14:textId="77777777" w:rsidR="00410071" w:rsidRPr="00ED4FA1" w:rsidRDefault="00410071" w:rsidP="00B048AF">
      <w:pPr>
        <w:pStyle w:val="Bullet"/>
      </w:pPr>
      <w:r>
        <w:t>Māori were</w:t>
      </w:r>
      <w:r w:rsidRPr="00ED4FA1">
        <w:t xml:space="preserve"> </w:t>
      </w:r>
      <w:r>
        <w:t>1.8</w:t>
      </w:r>
      <w:r w:rsidRPr="00ED4FA1">
        <w:t xml:space="preserve"> times more likely </w:t>
      </w:r>
      <w:r>
        <w:t xml:space="preserve">than Pacific peoples </w:t>
      </w:r>
      <w:r w:rsidRPr="00ED4FA1">
        <w:t>to be subject to an inpatient treatment order</w:t>
      </w:r>
      <w:r>
        <w:t xml:space="preserve"> and 3.5 times more likely than other ethnicities</w:t>
      </w:r>
    </w:p>
    <w:p w14:paraId="17E7157C" w14:textId="77777777" w:rsidR="0039221C" w:rsidRDefault="00410071" w:rsidP="00B048AF">
      <w:pPr>
        <w:pStyle w:val="Bullet"/>
      </w:pPr>
      <w:r>
        <w:t xml:space="preserve">of all population groups, </w:t>
      </w:r>
      <w:r w:rsidRPr="00ED4FA1">
        <w:t>Māori males were the group most likely to be subject to community and inpatient treatment orders</w:t>
      </w:r>
    </w:p>
    <w:p w14:paraId="172FFEF4" w14:textId="77777777" w:rsidR="00410071" w:rsidRPr="00ED4FA1" w:rsidRDefault="00410071" w:rsidP="00B048AF">
      <w:pPr>
        <w:pStyle w:val="Bullet"/>
      </w:pPr>
      <w:r w:rsidRPr="00ED4FA1">
        <w:t>DHBs varied in their ratio of Māori</w:t>
      </w:r>
      <w:r>
        <w:t xml:space="preserve">, Pacific peoples and other ethnicities </w:t>
      </w:r>
      <w:r w:rsidRPr="00ED4FA1">
        <w:t>subject to community and inpatient treatment orders</w:t>
      </w:r>
    </w:p>
    <w:p w14:paraId="2754A65E" w14:textId="77777777" w:rsidR="00410071" w:rsidRPr="00ED4FA1" w:rsidRDefault="00410071" w:rsidP="00B048AF">
      <w:pPr>
        <w:pStyle w:val="Bullet"/>
      </w:pPr>
      <w:r w:rsidRPr="00ED4FA1">
        <w:t>on average, Māori</w:t>
      </w:r>
      <w:r>
        <w:t>, Pacific peoples</w:t>
      </w:r>
      <w:r w:rsidRPr="00ED4FA1">
        <w:t xml:space="preserve"> and </w:t>
      </w:r>
      <w:r>
        <w:t>other ethnicities</w:t>
      </w:r>
      <w:r w:rsidRPr="00ED4FA1">
        <w:t xml:space="preserve"> remained on community and inpatient treatment orders for similar lengths of time</w:t>
      </w:r>
    </w:p>
    <w:p w14:paraId="757F21D0" w14:textId="77777777" w:rsidR="00410071" w:rsidRPr="00ED4FA1" w:rsidRDefault="00410071" w:rsidP="00B048AF">
      <w:pPr>
        <w:pStyle w:val="Bullet"/>
      </w:pPr>
      <w:r w:rsidRPr="00ED4FA1">
        <w:t xml:space="preserve">Māori were </w:t>
      </w:r>
      <w:r>
        <w:t>2.9</w:t>
      </w:r>
      <w:r w:rsidRPr="00ED4FA1">
        <w:t xml:space="preserve"> times more likely to be subject to indefinite community treatment orders</w:t>
      </w:r>
      <w:r>
        <w:t xml:space="preserve"> and indefinite inpatient treatment orders</w:t>
      </w:r>
      <w:r w:rsidRPr="00ED4FA1">
        <w:t xml:space="preserve"> than non-Māori</w:t>
      </w:r>
    </w:p>
    <w:p w14:paraId="29411536" w14:textId="77777777" w:rsidR="00410071" w:rsidRDefault="00410071" w:rsidP="00B048AF">
      <w:pPr>
        <w:pStyle w:val="Bullet"/>
      </w:pPr>
      <w:r w:rsidRPr="00ED4FA1">
        <w:t xml:space="preserve">Māori made up approximately </w:t>
      </w:r>
      <w:r>
        <w:t>17</w:t>
      </w:r>
      <w:r w:rsidRPr="00ED4FA1">
        <w:t xml:space="preserve"> percent of </w:t>
      </w:r>
      <w:r>
        <w:t xml:space="preserve">Aotearoa </w:t>
      </w:r>
      <w:r w:rsidRPr="00ED4FA1">
        <w:t>New Zealand</w:t>
      </w:r>
      <w:r w:rsidR="0039221C">
        <w:t>’</w:t>
      </w:r>
      <w:r w:rsidRPr="00ED4FA1">
        <w:t xml:space="preserve">s population, yet they accounted for </w:t>
      </w:r>
      <w:r>
        <w:t>28.5</w:t>
      </w:r>
      <w:r w:rsidRPr="00ED4FA1">
        <w:t xml:space="preserve"> percent of all mental health service users</w:t>
      </w:r>
    </w:p>
    <w:p w14:paraId="40D77AC7" w14:textId="77777777" w:rsidR="00410071" w:rsidRPr="00ED4FA1" w:rsidRDefault="00410071" w:rsidP="00B048AF">
      <w:pPr>
        <w:pStyle w:val="Bullet"/>
      </w:pPr>
      <w:r>
        <w:t>Pacific peoples made up approximately 7 percent of Aotearoa New Zealand</w:t>
      </w:r>
      <w:r w:rsidR="0039221C">
        <w:t>’</w:t>
      </w:r>
      <w:r>
        <w:t>s population and accounted for 5.8 percent of all mental health service users</w:t>
      </w:r>
    </w:p>
    <w:p w14:paraId="258E0D0B" w14:textId="77777777" w:rsidR="00410071" w:rsidRPr="00ED4FA1" w:rsidRDefault="00410071" w:rsidP="00B048AF">
      <w:pPr>
        <w:pStyle w:val="Bullet"/>
      </w:pPr>
      <w:r>
        <w:t>for service users, 29.4 percent</w:t>
      </w:r>
      <w:r w:rsidRPr="00ED4FA1">
        <w:t xml:space="preserve"> of Māori</w:t>
      </w:r>
      <w:r>
        <w:t>, 27.1 percent of Pacific peoples and 26.9</w:t>
      </w:r>
      <w:r w:rsidR="00B048AF">
        <w:t> percent</w:t>
      </w:r>
      <w:r>
        <w:t xml:space="preserve"> of other ethnicities</w:t>
      </w:r>
      <w:r w:rsidRPr="00ED4FA1">
        <w:t xml:space="preserve"> were under </w:t>
      </w:r>
      <w:r>
        <w:t>20</w:t>
      </w:r>
      <w:r w:rsidRPr="00ED4FA1">
        <w:t xml:space="preserve"> years of age</w:t>
      </w:r>
    </w:p>
    <w:p w14:paraId="55973649" w14:textId="77777777" w:rsidR="00410071" w:rsidRPr="00ED4FA1" w:rsidRDefault="00410071" w:rsidP="00B048AF">
      <w:pPr>
        <w:pStyle w:val="Bullet"/>
      </w:pPr>
      <w:r w:rsidRPr="00ED4FA1">
        <w:t xml:space="preserve">among service users under a community treatment order, </w:t>
      </w:r>
      <w:r>
        <w:t>76</w:t>
      </w:r>
      <w:r w:rsidRPr="00ED4FA1">
        <w:t xml:space="preserve"> percent of Māori </w:t>
      </w:r>
      <w:r>
        <w:t xml:space="preserve">and 75 percent of Pacific Peoples </w:t>
      </w:r>
      <w:r w:rsidRPr="00ED4FA1">
        <w:t xml:space="preserve">were living in the most deprived deciles (8–10), compared with </w:t>
      </w:r>
      <w:r>
        <w:t>56</w:t>
      </w:r>
      <w:r w:rsidRPr="00ED4FA1">
        <w:t xml:space="preserve"> percent of non-Māori</w:t>
      </w:r>
      <w:r>
        <w:t xml:space="preserve"> and non-Pacific peoples</w:t>
      </w:r>
      <w:r w:rsidRPr="00ED4FA1">
        <w:t>.</w:t>
      </w:r>
      <w:r w:rsidRPr="00B048AF">
        <w:rPr>
          <w:rStyle w:val="FootnoteReference"/>
        </w:rPr>
        <w:footnoteReference w:id="12"/>
      </w:r>
    </w:p>
    <w:p w14:paraId="250A7FD0" w14:textId="77777777" w:rsidR="00410071" w:rsidRPr="00200234" w:rsidRDefault="00410071" w:rsidP="00B048AF"/>
    <w:p w14:paraId="1ED61A9E" w14:textId="77777777" w:rsidR="00410071" w:rsidRDefault="00410071" w:rsidP="00B048AF">
      <w:pPr>
        <w:pStyle w:val="Heading2"/>
      </w:pPr>
      <w:bookmarkStart w:id="76" w:name="_Toc87429904"/>
      <w:bookmarkStart w:id="77" w:name="_Toc65141619"/>
      <w:bookmarkStart w:id="78" w:name="_Toc75176443"/>
      <w:bookmarkStart w:id="79" w:name="_Toc88826952"/>
      <w:bookmarkEnd w:id="75"/>
      <w:r>
        <w:lastRenderedPageBreak/>
        <w:t>Compulsory assessment</w:t>
      </w:r>
      <w:bookmarkEnd w:id="76"/>
      <w:bookmarkEnd w:id="79"/>
    </w:p>
    <w:p w14:paraId="16C7E0E3" w14:textId="02516D48" w:rsidR="00410071" w:rsidRDefault="00410071" w:rsidP="00B048AF">
      <w:r>
        <w:t xml:space="preserve">Māori were more likely to undergo compulsory assessment in 2020 than other ethnicities. </w:t>
      </w:r>
      <w:r>
        <w:fldChar w:fldCharType="begin"/>
      </w:r>
      <w:r>
        <w:instrText xml:space="preserve"> REF _Ref85702326 \h </w:instrText>
      </w:r>
      <w:r>
        <w:fldChar w:fldCharType="separate"/>
      </w:r>
      <w:r w:rsidR="00840F18">
        <w:t>Table </w:t>
      </w:r>
      <w:r w:rsidR="00840F18">
        <w:rPr>
          <w:noProof/>
        </w:rPr>
        <w:t>3</w:t>
      </w:r>
      <w:r>
        <w:fldChar w:fldCharType="end"/>
      </w:r>
      <w:r>
        <w:t xml:space="preserve"> shows the number of people subject to compulsory assessment on a national level by ethnicity and the rate per 100,000 population.</w:t>
      </w:r>
    </w:p>
    <w:p w14:paraId="0D0B34DE" w14:textId="77777777" w:rsidR="00410071" w:rsidRPr="00A0332F" w:rsidRDefault="00410071" w:rsidP="00B048AF"/>
    <w:p w14:paraId="01F7D84F" w14:textId="7AB715A0" w:rsidR="00410071" w:rsidRDefault="00410071" w:rsidP="00D73AC0">
      <w:pPr>
        <w:pStyle w:val="Table"/>
      </w:pPr>
      <w:bookmarkStart w:id="80" w:name="_Ref85702326"/>
      <w:bookmarkStart w:id="81" w:name="_Toc87430001"/>
      <w:bookmarkStart w:id="82" w:name="_Toc88561358"/>
      <w:r>
        <w:t>Table</w:t>
      </w:r>
      <w:r w:rsidR="00B048AF">
        <w:t> </w:t>
      </w:r>
      <w:r w:rsidR="00592799">
        <w:fldChar w:fldCharType="begin"/>
      </w:r>
      <w:r w:rsidR="00592799">
        <w:instrText xml:space="preserve"> SEQ Table \* ARABIC </w:instrText>
      </w:r>
      <w:r w:rsidR="00592799">
        <w:fldChar w:fldCharType="separate"/>
      </w:r>
      <w:r w:rsidR="00840F18">
        <w:rPr>
          <w:noProof/>
        </w:rPr>
        <w:t>3</w:t>
      </w:r>
      <w:r w:rsidR="00592799">
        <w:rPr>
          <w:noProof/>
        </w:rPr>
        <w:fldChar w:fldCharType="end"/>
      </w:r>
      <w:bookmarkEnd w:id="80"/>
      <w:r w:rsidRPr="00DD5738">
        <w:t>: Number of people required to undergo assessment under sections 11, 13 and 14(4) of the Mental Health Act, by ethnicity, 1 January to 31 December 2020</w:t>
      </w:r>
      <w:bookmarkEnd w:id="81"/>
      <w:bookmarkEnd w:id="82"/>
    </w:p>
    <w:tbl>
      <w:tblPr>
        <w:tblW w:w="8080" w:type="dxa"/>
        <w:tblInd w:w="57" w:type="dxa"/>
        <w:tblLayout w:type="fixed"/>
        <w:tblCellMar>
          <w:left w:w="57" w:type="dxa"/>
          <w:right w:w="57" w:type="dxa"/>
        </w:tblCellMar>
        <w:tblLook w:val="04A0" w:firstRow="1" w:lastRow="0" w:firstColumn="1" w:lastColumn="0" w:noHBand="0" w:noVBand="1"/>
      </w:tblPr>
      <w:tblGrid>
        <w:gridCol w:w="1560"/>
        <w:gridCol w:w="1086"/>
        <w:gridCol w:w="1087"/>
        <w:gridCol w:w="1087"/>
        <w:gridCol w:w="1086"/>
        <w:gridCol w:w="1087"/>
        <w:gridCol w:w="1087"/>
      </w:tblGrid>
      <w:tr w:rsidR="00B048AF" w:rsidRPr="00B048AF" w14:paraId="454BE6D6" w14:textId="77777777" w:rsidTr="00B048AF">
        <w:trPr>
          <w:cantSplit/>
        </w:trPr>
        <w:tc>
          <w:tcPr>
            <w:tcW w:w="1560" w:type="dxa"/>
            <w:vMerge w:val="restart"/>
            <w:tcBorders>
              <w:right w:val="single" w:sz="4" w:space="0" w:color="A6A6A6" w:themeColor="background1" w:themeShade="A6"/>
            </w:tcBorders>
            <w:shd w:val="clear" w:color="auto" w:fill="D9D9D9" w:themeFill="background1" w:themeFillShade="D9"/>
            <w:noWrap/>
          </w:tcPr>
          <w:p w14:paraId="1C31EFE5" w14:textId="77777777" w:rsidR="00B048AF" w:rsidRPr="00B048AF" w:rsidRDefault="00B048AF" w:rsidP="00B048AF">
            <w:pPr>
              <w:pStyle w:val="TableText"/>
              <w:rPr>
                <w:b/>
              </w:rPr>
            </w:pPr>
            <w:r w:rsidRPr="00B048AF">
              <w:rPr>
                <w:b/>
              </w:rPr>
              <w:t>Ethnicity</w:t>
            </w:r>
          </w:p>
        </w:tc>
        <w:tc>
          <w:tcPr>
            <w:tcW w:w="2173"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42CCE994" w14:textId="77777777" w:rsidR="00B048AF" w:rsidRPr="00B048AF" w:rsidRDefault="00B048AF" w:rsidP="00B048AF">
            <w:pPr>
              <w:pStyle w:val="TableText"/>
              <w:jc w:val="center"/>
              <w:rPr>
                <w:b/>
                <w:bCs/>
                <w:color w:val="000000"/>
                <w:szCs w:val="18"/>
                <w:lang w:eastAsia="en-NZ"/>
              </w:rPr>
            </w:pPr>
            <w:r w:rsidRPr="00B048AF">
              <w:rPr>
                <w:b/>
                <w:bCs/>
                <w:color w:val="000000"/>
                <w:szCs w:val="18"/>
                <w:lang w:eastAsia="en-NZ"/>
              </w:rPr>
              <w:t>Section 11</w:t>
            </w:r>
          </w:p>
        </w:tc>
        <w:tc>
          <w:tcPr>
            <w:tcW w:w="2173"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4A29A4E3" w14:textId="77777777" w:rsidR="00B048AF" w:rsidRPr="00B048AF" w:rsidRDefault="00B048AF" w:rsidP="00B048AF">
            <w:pPr>
              <w:pStyle w:val="TableText"/>
              <w:jc w:val="center"/>
              <w:rPr>
                <w:b/>
                <w:bCs/>
                <w:color w:val="000000"/>
                <w:szCs w:val="18"/>
                <w:lang w:eastAsia="en-NZ"/>
              </w:rPr>
            </w:pPr>
            <w:r w:rsidRPr="00B048AF">
              <w:rPr>
                <w:b/>
                <w:bCs/>
                <w:color w:val="000000"/>
                <w:szCs w:val="18"/>
                <w:lang w:eastAsia="en-NZ"/>
              </w:rPr>
              <w:t>Section 13</w:t>
            </w:r>
          </w:p>
        </w:tc>
        <w:tc>
          <w:tcPr>
            <w:tcW w:w="2174" w:type="dxa"/>
            <w:gridSpan w:val="2"/>
            <w:tcBorders>
              <w:left w:val="single" w:sz="4" w:space="0" w:color="A6A6A6" w:themeColor="background1" w:themeShade="A6"/>
            </w:tcBorders>
            <w:shd w:val="clear" w:color="auto" w:fill="D9D9D9" w:themeFill="background1" w:themeFillShade="D9"/>
          </w:tcPr>
          <w:p w14:paraId="3AA7754D" w14:textId="77777777" w:rsidR="00B048AF" w:rsidRPr="00B048AF" w:rsidRDefault="00B048AF" w:rsidP="00B048AF">
            <w:pPr>
              <w:pStyle w:val="TableText"/>
              <w:jc w:val="center"/>
              <w:rPr>
                <w:b/>
                <w:bCs/>
                <w:color w:val="000000"/>
                <w:szCs w:val="18"/>
                <w:lang w:eastAsia="en-NZ"/>
              </w:rPr>
            </w:pPr>
            <w:r w:rsidRPr="00B048AF">
              <w:rPr>
                <w:b/>
                <w:bCs/>
                <w:color w:val="000000"/>
                <w:szCs w:val="18"/>
                <w:lang w:eastAsia="en-NZ"/>
              </w:rPr>
              <w:t>Section 14(4)</w:t>
            </w:r>
          </w:p>
        </w:tc>
      </w:tr>
      <w:tr w:rsidR="00B048AF" w:rsidRPr="00B048AF" w14:paraId="4837D1AB" w14:textId="77777777" w:rsidTr="00B048AF">
        <w:trPr>
          <w:cantSplit/>
        </w:trPr>
        <w:tc>
          <w:tcPr>
            <w:tcW w:w="1560" w:type="dxa"/>
            <w:vMerge/>
            <w:tcBorders>
              <w:right w:val="single" w:sz="4" w:space="0" w:color="A6A6A6" w:themeColor="background1" w:themeShade="A6"/>
            </w:tcBorders>
            <w:shd w:val="clear" w:color="auto" w:fill="D9D9D9" w:themeFill="background1" w:themeFillShade="D9"/>
            <w:noWrap/>
            <w:hideMark/>
          </w:tcPr>
          <w:p w14:paraId="0BE36DBF" w14:textId="77777777" w:rsidR="00B048AF" w:rsidRPr="00B048AF" w:rsidRDefault="00B048AF" w:rsidP="00B048AF">
            <w:pPr>
              <w:pStyle w:val="TableText"/>
              <w:rPr>
                <w:b/>
              </w:rPr>
            </w:pPr>
          </w:p>
        </w:tc>
        <w:tc>
          <w:tcPr>
            <w:tcW w:w="1086" w:type="dxa"/>
            <w:tcBorders>
              <w:left w:val="single" w:sz="4" w:space="0" w:color="A6A6A6" w:themeColor="background1" w:themeShade="A6"/>
            </w:tcBorders>
            <w:shd w:val="clear" w:color="auto" w:fill="D9D9D9" w:themeFill="background1" w:themeFillShade="D9"/>
            <w:hideMark/>
          </w:tcPr>
          <w:p w14:paraId="2EF5EF3C"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Number</w:t>
            </w:r>
          </w:p>
        </w:tc>
        <w:tc>
          <w:tcPr>
            <w:tcW w:w="1087" w:type="dxa"/>
            <w:tcBorders>
              <w:right w:val="single" w:sz="4" w:space="0" w:color="A6A6A6" w:themeColor="background1" w:themeShade="A6"/>
            </w:tcBorders>
            <w:shd w:val="clear" w:color="auto" w:fill="D9D9D9" w:themeFill="background1" w:themeFillShade="D9"/>
            <w:hideMark/>
          </w:tcPr>
          <w:p w14:paraId="2BE7A924"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Rate</w:t>
            </w:r>
          </w:p>
        </w:tc>
        <w:tc>
          <w:tcPr>
            <w:tcW w:w="1087" w:type="dxa"/>
            <w:tcBorders>
              <w:left w:val="single" w:sz="4" w:space="0" w:color="A6A6A6" w:themeColor="background1" w:themeShade="A6"/>
            </w:tcBorders>
            <w:shd w:val="clear" w:color="auto" w:fill="D9D9D9" w:themeFill="background1" w:themeFillShade="D9"/>
            <w:hideMark/>
          </w:tcPr>
          <w:p w14:paraId="71508378"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Number</w:t>
            </w:r>
          </w:p>
        </w:tc>
        <w:tc>
          <w:tcPr>
            <w:tcW w:w="1086" w:type="dxa"/>
            <w:tcBorders>
              <w:right w:val="single" w:sz="4" w:space="0" w:color="A6A6A6" w:themeColor="background1" w:themeShade="A6"/>
            </w:tcBorders>
            <w:shd w:val="clear" w:color="auto" w:fill="D9D9D9" w:themeFill="background1" w:themeFillShade="D9"/>
            <w:hideMark/>
          </w:tcPr>
          <w:p w14:paraId="38D0980B"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Rate</w:t>
            </w:r>
          </w:p>
        </w:tc>
        <w:tc>
          <w:tcPr>
            <w:tcW w:w="1087" w:type="dxa"/>
            <w:tcBorders>
              <w:left w:val="single" w:sz="4" w:space="0" w:color="A6A6A6" w:themeColor="background1" w:themeShade="A6"/>
            </w:tcBorders>
            <w:shd w:val="clear" w:color="auto" w:fill="D9D9D9" w:themeFill="background1" w:themeFillShade="D9"/>
            <w:hideMark/>
          </w:tcPr>
          <w:p w14:paraId="3565A4CE"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Number</w:t>
            </w:r>
          </w:p>
        </w:tc>
        <w:tc>
          <w:tcPr>
            <w:tcW w:w="1087" w:type="dxa"/>
            <w:shd w:val="clear" w:color="auto" w:fill="D9D9D9" w:themeFill="background1" w:themeFillShade="D9"/>
            <w:hideMark/>
          </w:tcPr>
          <w:p w14:paraId="17703F44"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Rate</w:t>
            </w:r>
          </w:p>
        </w:tc>
      </w:tr>
      <w:tr w:rsidR="00410071" w:rsidRPr="00C80867" w14:paraId="7E8C3E4A" w14:textId="77777777" w:rsidTr="00B048AF">
        <w:trPr>
          <w:cantSplit/>
        </w:trPr>
        <w:tc>
          <w:tcPr>
            <w:tcW w:w="1560" w:type="dxa"/>
            <w:tcBorders>
              <w:bottom w:val="single" w:sz="4" w:space="0" w:color="A6A6A6" w:themeColor="background1" w:themeShade="A6"/>
              <w:right w:val="single" w:sz="4" w:space="0" w:color="A6A6A6" w:themeColor="background1" w:themeShade="A6"/>
            </w:tcBorders>
            <w:shd w:val="clear" w:color="auto" w:fill="auto"/>
            <w:noWrap/>
            <w:hideMark/>
          </w:tcPr>
          <w:p w14:paraId="20736F48" w14:textId="77777777" w:rsidR="00410071" w:rsidRPr="00C80867" w:rsidRDefault="00410071" w:rsidP="00B048AF">
            <w:pPr>
              <w:pStyle w:val="TableText"/>
              <w:rPr>
                <w:color w:val="000000"/>
                <w:szCs w:val="18"/>
                <w:lang w:eastAsia="en-NZ"/>
              </w:rPr>
            </w:pPr>
            <w:r w:rsidRPr="00C80867">
              <w:rPr>
                <w:color w:val="000000"/>
                <w:szCs w:val="18"/>
                <w:lang w:eastAsia="en-NZ"/>
              </w:rPr>
              <w:t>Māori</w:t>
            </w:r>
          </w:p>
        </w:tc>
        <w:tc>
          <w:tcPr>
            <w:tcW w:w="1086" w:type="dxa"/>
            <w:tcBorders>
              <w:left w:val="single" w:sz="4" w:space="0" w:color="A6A6A6" w:themeColor="background1" w:themeShade="A6"/>
              <w:bottom w:val="single" w:sz="4" w:space="0" w:color="A6A6A6" w:themeColor="background1" w:themeShade="A6"/>
            </w:tcBorders>
            <w:shd w:val="clear" w:color="auto" w:fill="auto"/>
            <w:noWrap/>
            <w:hideMark/>
          </w:tcPr>
          <w:p w14:paraId="0780CEB0" w14:textId="77777777" w:rsidR="00410071" w:rsidRPr="00C80867" w:rsidRDefault="00410071" w:rsidP="00B048AF">
            <w:pPr>
              <w:pStyle w:val="TableText"/>
              <w:tabs>
                <w:tab w:val="decimal" w:pos="680"/>
              </w:tabs>
              <w:rPr>
                <w:szCs w:val="18"/>
                <w:lang w:eastAsia="en-NZ"/>
              </w:rPr>
            </w:pPr>
            <w:r w:rsidRPr="00C80867">
              <w:rPr>
                <w:szCs w:val="18"/>
                <w:lang w:eastAsia="en-NZ"/>
              </w:rPr>
              <w:t>2</w:t>
            </w:r>
            <w:r w:rsidRPr="006858A3">
              <w:rPr>
                <w:szCs w:val="18"/>
                <w:lang w:eastAsia="en-NZ"/>
              </w:rPr>
              <w:t>,</w:t>
            </w:r>
            <w:r w:rsidRPr="00C80867">
              <w:rPr>
                <w:szCs w:val="18"/>
                <w:lang w:eastAsia="en-NZ"/>
              </w:rPr>
              <w:t>038</w:t>
            </w:r>
          </w:p>
        </w:tc>
        <w:tc>
          <w:tcPr>
            <w:tcW w:w="1087" w:type="dxa"/>
            <w:tcBorders>
              <w:bottom w:val="single" w:sz="4" w:space="0" w:color="A6A6A6" w:themeColor="background1" w:themeShade="A6"/>
              <w:right w:val="single" w:sz="4" w:space="0" w:color="A6A6A6" w:themeColor="background1" w:themeShade="A6"/>
            </w:tcBorders>
            <w:shd w:val="clear" w:color="auto" w:fill="auto"/>
            <w:noWrap/>
            <w:hideMark/>
          </w:tcPr>
          <w:p w14:paraId="7385EBE2" w14:textId="77777777" w:rsidR="00410071" w:rsidRPr="00C80867" w:rsidRDefault="00410071" w:rsidP="00B048AF">
            <w:pPr>
              <w:pStyle w:val="TableText"/>
              <w:tabs>
                <w:tab w:val="decimal" w:pos="567"/>
              </w:tabs>
              <w:rPr>
                <w:color w:val="000000"/>
                <w:szCs w:val="18"/>
                <w:lang w:eastAsia="en-NZ"/>
              </w:rPr>
            </w:pPr>
            <w:r w:rsidRPr="00C80867">
              <w:rPr>
                <w:color w:val="000000"/>
                <w:szCs w:val="18"/>
                <w:lang w:eastAsia="en-NZ"/>
              </w:rPr>
              <w:t>239</w:t>
            </w:r>
            <w:r>
              <w:rPr>
                <w:color w:val="000000"/>
                <w:szCs w:val="18"/>
                <w:lang w:eastAsia="en-NZ"/>
              </w:rPr>
              <w:t>.5</w:t>
            </w:r>
          </w:p>
        </w:tc>
        <w:tc>
          <w:tcPr>
            <w:tcW w:w="1087" w:type="dxa"/>
            <w:tcBorders>
              <w:left w:val="single" w:sz="4" w:space="0" w:color="A6A6A6" w:themeColor="background1" w:themeShade="A6"/>
              <w:bottom w:val="single" w:sz="4" w:space="0" w:color="A6A6A6" w:themeColor="background1" w:themeShade="A6"/>
            </w:tcBorders>
            <w:shd w:val="clear" w:color="auto" w:fill="auto"/>
            <w:noWrap/>
            <w:hideMark/>
          </w:tcPr>
          <w:p w14:paraId="73B734E9" w14:textId="77777777" w:rsidR="00410071" w:rsidRPr="00C80867" w:rsidRDefault="00410071" w:rsidP="00B048AF">
            <w:pPr>
              <w:pStyle w:val="TableText"/>
              <w:tabs>
                <w:tab w:val="decimal" w:pos="680"/>
              </w:tabs>
              <w:rPr>
                <w:szCs w:val="18"/>
                <w:lang w:eastAsia="en-NZ"/>
              </w:rPr>
            </w:pPr>
            <w:r w:rsidRPr="00C80867">
              <w:rPr>
                <w:szCs w:val="18"/>
                <w:lang w:eastAsia="en-NZ"/>
              </w:rPr>
              <w:t>1</w:t>
            </w:r>
            <w:r w:rsidRPr="006858A3">
              <w:rPr>
                <w:szCs w:val="18"/>
                <w:lang w:eastAsia="en-NZ"/>
              </w:rPr>
              <w:t>,</w:t>
            </w:r>
            <w:r w:rsidRPr="00C80867">
              <w:rPr>
                <w:szCs w:val="18"/>
                <w:lang w:eastAsia="en-NZ"/>
              </w:rPr>
              <w:t>764</w:t>
            </w:r>
          </w:p>
        </w:tc>
        <w:tc>
          <w:tcPr>
            <w:tcW w:w="1086" w:type="dxa"/>
            <w:tcBorders>
              <w:bottom w:val="single" w:sz="4" w:space="0" w:color="A6A6A6" w:themeColor="background1" w:themeShade="A6"/>
              <w:right w:val="single" w:sz="4" w:space="0" w:color="A6A6A6" w:themeColor="background1" w:themeShade="A6"/>
            </w:tcBorders>
            <w:shd w:val="clear" w:color="auto" w:fill="auto"/>
            <w:noWrap/>
            <w:hideMark/>
          </w:tcPr>
          <w:p w14:paraId="5675B991" w14:textId="77777777" w:rsidR="00410071" w:rsidRPr="00C80867" w:rsidRDefault="00410071" w:rsidP="00B048AF">
            <w:pPr>
              <w:pStyle w:val="TableText"/>
              <w:tabs>
                <w:tab w:val="decimal" w:pos="567"/>
              </w:tabs>
              <w:rPr>
                <w:color w:val="000000"/>
                <w:szCs w:val="18"/>
                <w:lang w:eastAsia="en-NZ"/>
              </w:rPr>
            </w:pPr>
            <w:r w:rsidRPr="00C80867">
              <w:rPr>
                <w:color w:val="000000"/>
                <w:szCs w:val="18"/>
                <w:lang w:eastAsia="en-NZ"/>
              </w:rPr>
              <w:t>207</w:t>
            </w:r>
            <w:r>
              <w:rPr>
                <w:color w:val="000000"/>
                <w:szCs w:val="18"/>
                <w:lang w:eastAsia="en-NZ"/>
              </w:rPr>
              <w:t>.3</w:t>
            </w:r>
          </w:p>
        </w:tc>
        <w:tc>
          <w:tcPr>
            <w:tcW w:w="1087" w:type="dxa"/>
            <w:tcBorders>
              <w:left w:val="single" w:sz="4" w:space="0" w:color="A6A6A6" w:themeColor="background1" w:themeShade="A6"/>
              <w:bottom w:val="single" w:sz="4" w:space="0" w:color="A6A6A6" w:themeColor="background1" w:themeShade="A6"/>
            </w:tcBorders>
            <w:shd w:val="clear" w:color="auto" w:fill="auto"/>
            <w:noWrap/>
            <w:hideMark/>
          </w:tcPr>
          <w:p w14:paraId="7D5CD14E" w14:textId="77777777" w:rsidR="00410071" w:rsidRPr="00C80867" w:rsidRDefault="00410071" w:rsidP="00B048AF">
            <w:pPr>
              <w:pStyle w:val="TableText"/>
              <w:tabs>
                <w:tab w:val="decimal" w:pos="680"/>
              </w:tabs>
              <w:rPr>
                <w:szCs w:val="18"/>
                <w:lang w:eastAsia="en-NZ"/>
              </w:rPr>
            </w:pPr>
            <w:r w:rsidRPr="00C80867">
              <w:rPr>
                <w:szCs w:val="18"/>
                <w:lang w:eastAsia="en-NZ"/>
              </w:rPr>
              <w:t>1</w:t>
            </w:r>
            <w:r w:rsidRPr="006858A3">
              <w:rPr>
                <w:szCs w:val="18"/>
                <w:lang w:eastAsia="en-NZ"/>
              </w:rPr>
              <w:t>,</w:t>
            </w:r>
            <w:r w:rsidRPr="00C80867">
              <w:rPr>
                <w:szCs w:val="18"/>
                <w:lang w:eastAsia="en-NZ"/>
              </w:rPr>
              <w:t>265</w:t>
            </w:r>
          </w:p>
        </w:tc>
        <w:tc>
          <w:tcPr>
            <w:tcW w:w="1087" w:type="dxa"/>
            <w:tcBorders>
              <w:bottom w:val="single" w:sz="4" w:space="0" w:color="A6A6A6" w:themeColor="background1" w:themeShade="A6"/>
            </w:tcBorders>
            <w:shd w:val="clear" w:color="auto" w:fill="auto"/>
            <w:noWrap/>
            <w:hideMark/>
          </w:tcPr>
          <w:p w14:paraId="6CD6912C" w14:textId="77777777" w:rsidR="00410071" w:rsidRPr="00C80867" w:rsidRDefault="00410071" w:rsidP="00B048AF">
            <w:pPr>
              <w:pStyle w:val="TableText"/>
              <w:tabs>
                <w:tab w:val="decimal" w:pos="567"/>
              </w:tabs>
              <w:rPr>
                <w:color w:val="000000"/>
                <w:szCs w:val="18"/>
                <w:lang w:eastAsia="en-NZ"/>
              </w:rPr>
            </w:pPr>
            <w:r w:rsidRPr="00C80867">
              <w:rPr>
                <w:color w:val="000000"/>
                <w:szCs w:val="18"/>
                <w:lang w:eastAsia="en-NZ"/>
              </w:rPr>
              <w:t>14</w:t>
            </w:r>
            <w:r>
              <w:rPr>
                <w:color w:val="000000"/>
                <w:szCs w:val="18"/>
                <w:lang w:eastAsia="en-NZ"/>
              </w:rPr>
              <w:t>8.7</w:t>
            </w:r>
          </w:p>
        </w:tc>
      </w:tr>
      <w:tr w:rsidR="00410071" w:rsidRPr="00C80867" w14:paraId="41149F4A" w14:textId="77777777" w:rsidTr="00B048A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53EA015" w14:textId="77777777" w:rsidR="00410071" w:rsidRPr="006858A3" w:rsidRDefault="00410071" w:rsidP="00B048AF">
            <w:pPr>
              <w:pStyle w:val="TableText"/>
              <w:rPr>
                <w:color w:val="000000"/>
                <w:szCs w:val="18"/>
                <w:lang w:eastAsia="en-NZ"/>
              </w:rPr>
            </w:pPr>
            <w:r w:rsidRPr="006858A3">
              <w:rPr>
                <w:color w:val="000000"/>
                <w:szCs w:val="18"/>
                <w:lang w:eastAsia="en-NZ"/>
              </w:rPr>
              <w:t>Pacific people</w:t>
            </w:r>
            <w:r>
              <w:rPr>
                <w:color w:val="000000"/>
                <w:szCs w:val="18"/>
                <w:lang w:eastAsia="en-NZ"/>
              </w:rPr>
              <w:t>s</w:t>
            </w:r>
          </w:p>
        </w:tc>
        <w:tc>
          <w:tcPr>
            <w:tcW w:w="10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E902191" w14:textId="77777777" w:rsidR="00410071" w:rsidRPr="006858A3" w:rsidRDefault="00410071" w:rsidP="00B048AF">
            <w:pPr>
              <w:pStyle w:val="TableText"/>
              <w:tabs>
                <w:tab w:val="decimal" w:pos="680"/>
              </w:tabs>
              <w:rPr>
                <w:szCs w:val="18"/>
                <w:lang w:eastAsia="en-NZ"/>
              </w:rPr>
            </w:pPr>
            <w:r w:rsidRPr="006858A3">
              <w:rPr>
                <w:szCs w:val="18"/>
              </w:rPr>
              <w:t>403</w:t>
            </w:r>
          </w:p>
        </w:tc>
        <w:tc>
          <w:tcPr>
            <w:tcW w:w="10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A648CA4" w14:textId="77777777" w:rsidR="00410071" w:rsidRPr="006858A3" w:rsidRDefault="00410071" w:rsidP="00B048AF">
            <w:pPr>
              <w:pStyle w:val="TableText"/>
              <w:tabs>
                <w:tab w:val="decimal" w:pos="567"/>
              </w:tabs>
              <w:rPr>
                <w:color w:val="000000"/>
                <w:szCs w:val="18"/>
                <w:lang w:eastAsia="en-NZ"/>
              </w:rPr>
            </w:pPr>
            <w:r w:rsidRPr="006858A3">
              <w:rPr>
                <w:color w:val="000000"/>
                <w:szCs w:val="18"/>
              </w:rPr>
              <w:t>117</w:t>
            </w:r>
            <w:r>
              <w:rPr>
                <w:color w:val="000000"/>
                <w:szCs w:val="18"/>
              </w:rPr>
              <w:t>.4</w:t>
            </w:r>
          </w:p>
        </w:tc>
        <w:tc>
          <w:tcPr>
            <w:tcW w:w="10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E746F08" w14:textId="77777777" w:rsidR="00410071" w:rsidRPr="006858A3" w:rsidRDefault="00410071" w:rsidP="00B048AF">
            <w:pPr>
              <w:pStyle w:val="TableText"/>
              <w:tabs>
                <w:tab w:val="decimal" w:pos="680"/>
              </w:tabs>
              <w:rPr>
                <w:szCs w:val="18"/>
                <w:lang w:eastAsia="en-NZ"/>
              </w:rPr>
            </w:pPr>
            <w:r w:rsidRPr="006858A3">
              <w:rPr>
                <w:szCs w:val="18"/>
              </w:rPr>
              <w:t>377</w:t>
            </w:r>
          </w:p>
        </w:tc>
        <w:tc>
          <w:tcPr>
            <w:tcW w:w="10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3D45E9F" w14:textId="77777777" w:rsidR="00410071" w:rsidRPr="006858A3" w:rsidRDefault="00410071" w:rsidP="00B048AF">
            <w:pPr>
              <w:pStyle w:val="TableText"/>
              <w:tabs>
                <w:tab w:val="decimal" w:pos="567"/>
              </w:tabs>
              <w:rPr>
                <w:color w:val="000000"/>
                <w:szCs w:val="18"/>
                <w:lang w:eastAsia="en-NZ"/>
              </w:rPr>
            </w:pPr>
            <w:r w:rsidRPr="006858A3">
              <w:rPr>
                <w:color w:val="000000"/>
                <w:szCs w:val="18"/>
              </w:rPr>
              <w:t>1</w:t>
            </w:r>
            <w:r>
              <w:rPr>
                <w:color w:val="000000"/>
                <w:szCs w:val="18"/>
              </w:rPr>
              <w:t>09.8</w:t>
            </w:r>
          </w:p>
        </w:tc>
        <w:tc>
          <w:tcPr>
            <w:tcW w:w="10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453ED600" w14:textId="77777777" w:rsidR="00410071" w:rsidRPr="006858A3" w:rsidRDefault="00410071" w:rsidP="00B048AF">
            <w:pPr>
              <w:pStyle w:val="TableText"/>
              <w:tabs>
                <w:tab w:val="decimal" w:pos="680"/>
              </w:tabs>
              <w:rPr>
                <w:szCs w:val="18"/>
                <w:lang w:eastAsia="en-NZ"/>
              </w:rPr>
            </w:pPr>
            <w:r w:rsidRPr="006858A3">
              <w:rPr>
                <w:szCs w:val="18"/>
              </w:rPr>
              <w:t>298</w:t>
            </w:r>
          </w:p>
        </w:tc>
        <w:tc>
          <w:tcPr>
            <w:tcW w:w="1087" w:type="dxa"/>
            <w:tcBorders>
              <w:top w:val="single" w:sz="4" w:space="0" w:color="A6A6A6" w:themeColor="background1" w:themeShade="A6"/>
              <w:bottom w:val="single" w:sz="4" w:space="0" w:color="A6A6A6" w:themeColor="background1" w:themeShade="A6"/>
            </w:tcBorders>
            <w:shd w:val="clear" w:color="auto" w:fill="auto"/>
            <w:noWrap/>
          </w:tcPr>
          <w:p w14:paraId="16A4887B" w14:textId="77777777" w:rsidR="00410071" w:rsidRPr="006858A3" w:rsidRDefault="00410071" w:rsidP="00B048AF">
            <w:pPr>
              <w:pStyle w:val="TableText"/>
              <w:tabs>
                <w:tab w:val="decimal" w:pos="567"/>
              </w:tabs>
              <w:rPr>
                <w:color w:val="000000"/>
                <w:szCs w:val="18"/>
                <w:lang w:eastAsia="en-NZ"/>
              </w:rPr>
            </w:pPr>
            <w:r w:rsidRPr="006858A3">
              <w:rPr>
                <w:color w:val="000000"/>
                <w:szCs w:val="18"/>
              </w:rPr>
              <w:t>8</w:t>
            </w:r>
            <w:r>
              <w:rPr>
                <w:color w:val="000000"/>
                <w:szCs w:val="18"/>
              </w:rPr>
              <w:t>6.8</w:t>
            </w:r>
          </w:p>
        </w:tc>
      </w:tr>
      <w:tr w:rsidR="00410071" w:rsidRPr="00C80867" w14:paraId="136011F0" w14:textId="77777777" w:rsidTr="00B048A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F2FB419" w14:textId="77777777" w:rsidR="00410071" w:rsidRPr="006858A3" w:rsidRDefault="00410071" w:rsidP="00B048AF">
            <w:pPr>
              <w:pStyle w:val="TableText"/>
              <w:rPr>
                <w:color w:val="000000"/>
                <w:szCs w:val="18"/>
                <w:lang w:eastAsia="en-NZ"/>
              </w:rPr>
            </w:pPr>
            <w:r w:rsidRPr="006858A3">
              <w:rPr>
                <w:color w:val="000000"/>
                <w:szCs w:val="18"/>
                <w:lang w:eastAsia="en-NZ"/>
              </w:rPr>
              <w:t>Other</w:t>
            </w:r>
          </w:p>
        </w:tc>
        <w:tc>
          <w:tcPr>
            <w:tcW w:w="10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741CF13B" w14:textId="77777777" w:rsidR="00410071" w:rsidRPr="006858A3" w:rsidRDefault="00410071" w:rsidP="00B048AF">
            <w:pPr>
              <w:pStyle w:val="TableText"/>
              <w:tabs>
                <w:tab w:val="decimal" w:pos="680"/>
              </w:tabs>
              <w:rPr>
                <w:szCs w:val="18"/>
                <w:lang w:eastAsia="en-NZ"/>
              </w:rPr>
            </w:pPr>
            <w:r w:rsidRPr="006858A3">
              <w:rPr>
                <w:szCs w:val="18"/>
                <w:lang w:eastAsia="en-NZ"/>
              </w:rPr>
              <w:t>3,592</w:t>
            </w:r>
          </w:p>
        </w:tc>
        <w:tc>
          <w:tcPr>
            <w:tcW w:w="10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55F4F96" w14:textId="77777777" w:rsidR="00410071" w:rsidRPr="006858A3" w:rsidRDefault="00410071" w:rsidP="00B048AF">
            <w:pPr>
              <w:pStyle w:val="TableText"/>
              <w:tabs>
                <w:tab w:val="decimal" w:pos="567"/>
              </w:tabs>
              <w:rPr>
                <w:color w:val="000000"/>
                <w:szCs w:val="18"/>
                <w:lang w:eastAsia="en-NZ"/>
              </w:rPr>
            </w:pPr>
            <w:r>
              <w:rPr>
                <w:color w:val="000000"/>
                <w:szCs w:val="18"/>
                <w:lang w:eastAsia="en-NZ"/>
              </w:rPr>
              <w:t>92.3</w:t>
            </w:r>
          </w:p>
        </w:tc>
        <w:tc>
          <w:tcPr>
            <w:tcW w:w="10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047CD762" w14:textId="77777777" w:rsidR="00410071" w:rsidRPr="006858A3" w:rsidRDefault="00410071" w:rsidP="00B048AF">
            <w:pPr>
              <w:pStyle w:val="TableText"/>
              <w:tabs>
                <w:tab w:val="decimal" w:pos="680"/>
              </w:tabs>
              <w:rPr>
                <w:szCs w:val="18"/>
                <w:lang w:eastAsia="en-NZ"/>
              </w:rPr>
            </w:pPr>
            <w:r w:rsidRPr="006858A3">
              <w:rPr>
                <w:szCs w:val="18"/>
                <w:lang w:eastAsia="en-NZ"/>
              </w:rPr>
              <w:t>2,999</w:t>
            </w:r>
          </w:p>
        </w:tc>
        <w:tc>
          <w:tcPr>
            <w:tcW w:w="10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45F6C52" w14:textId="77777777" w:rsidR="00410071" w:rsidRPr="006858A3" w:rsidRDefault="00410071" w:rsidP="00B048AF">
            <w:pPr>
              <w:pStyle w:val="TableText"/>
              <w:tabs>
                <w:tab w:val="decimal" w:pos="567"/>
              </w:tabs>
              <w:rPr>
                <w:color w:val="000000"/>
                <w:szCs w:val="18"/>
                <w:lang w:eastAsia="en-NZ"/>
              </w:rPr>
            </w:pPr>
            <w:r>
              <w:rPr>
                <w:color w:val="000000"/>
                <w:szCs w:val="18"/>
                <w:lang w:eastAsia="en-NZ"/>
              </w:rPr>
              <w:t>77.0</w:t>
            </w:r>
          </w:p>
        </w:tc>
        <w:tc>
          <w:tcPr>
            <w:tcW w:w="10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1BCB5597" w14:textId="77777777" w:rsidR="00410071" w:rsidRPr="006858A3" w:rsidRDefault="00410071" w:rsidP="00B048AF">
            <w:pPr>
              <w:pStyle w:val="TableText"/>
              <w:tabs>
                <w:tab w:val="decimal" w:pos="680"/>
              </w:tabs>
              <w:rPr>
                <w:szCs w:val="18"/>
                <w:lang w:eastAsia="en-NZ"/>
              </w:rPr>
            </w:pPr>
            <w:r w:rsidRPr="006858A3">
              <w:rPr>
                <w:szCs w:val="18"/>
                <w:lang w:eastAsia="en-NZ"/>
              </w:rPr>
              <w:t>1,918</w:t>
            </w:r>
          </w:p>
        </w:tc>
        <w:tc>
          <w:tcPr>
            <w:tcW w:w="1087" w:type="dxa"/>
            <w:tcBorders>
              <w:top w:val="single" w:sz="4" w:space="0" w:color="A6A6A6" w:themeColor="background1" w:themeShade="A6"/>
              <w:bottom w:val="single" w:sz="4" w:space="0" w:color="A6A6A6" w:themeColor="background1" w:themeShade="A6"/>
            </w:tcBorders>
            <w:shd w:val="clear" w:color="auto" w:fill="auto"/>
            <w:noWrap/>
          </w:tcPr>
          <w:p w14:paraId="629F467D" w14:textId="77777777" w:rsidR="00410071" w:rsidRPr="006858A3" w:rsidRDefault="00410071" w:rsidP="00B048AF">
            <w:pPr>
              <w:pStyle w:val="TableText"/>
              <w:tabs>
                <w:tab w:val="decimal" w:pos="567"/>
              </w:tabs>
              <w:rPr>
                <w:color w:val="000000"/>
                <w:szCs w:val="18"/>
                <w:lang w:eastAsia="en-NZ"/>
              </w:rPr>
            </w:pPr>
            <w:r>
              <w:rPr>
                <w:color w:val="000000"/>
                <w:szCs w:val="18"/>
                <w:lang w:eastAsia="en-NZ"/>
              </w:rPr>
              <w:t>49.3</w:t>
            </w:r>
          </w:p>
        </w:tc>
      </w:tr>
      <w:tr w:rsidR="00410071" w:rsidRPr="00C80867" w14:paraId="2BD71054" w14:textId="77777777" w:rsidTr="00B048A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79CE692" w14:textId="77777777" w:rsidR="00410071" w:rsidRPr="00E74ABA" w:rsidRDefault="00410071" w:rsidP="00B048AF">
            <w:pPr>
              <w:pStyle w:val="TableText"/>
              <w:rPr>
                <w:bCs/>
                <w:color w:val="000000"/>
                <w:szCs w:val="18"/>
                <w:lang w:eastAsia="en-NZ"/>
              </w:rPr>
            </w:pPr>
            <w:r>
              <w:rPr>
                <w:bCs/>
                <w:color w:val="000000"/>
                <w:szCs w:val="18"/>
                <w:lang w:eastAsia="en-NZ"/>
              </w:rPr>
              <w:t>National t</w:t>
            </w:r>
            <w:r w:rsidRPr="00E74ABA">
              <w:rPr>
                <w:bCs/>
                <w:color w:val="000000"/>
                <w:szCs w:val="18"/>
                <w:lang w:eastAsia="en-NZ"/>
              </w:rPr>
              <w:t>otal</w:t>
            </w:r>
          </w:p>
        </w:tc>
        <w:tc>
          <w:tcPr>
            <w:tcW w:w="108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9466CB3" w14:textId="77777777" w:rsidR="00410071" w:rsidRPr="00E74ABA" w:rsidRDefault="00410071" w:rsidP="00B048AF">
            <w:pPr>
              <w:pStyle w:val="TableText"/>
              <w:tabs>
                <w:tab w:val="decimal" w:pos="680"/>
              </w:tabs>
              <w:rPr>
                <w:bCs/>
                <w:szCs w:val="18"/>
                <w:lang w:eastAsia="en-NZ"/>
              </w:rPr>
            </w:pPr>
            <w:r w:rsidRPr="00E74ABA">
              <w:rPr>
                <w:bCs/>
                <w:szCs w:val="18"/>
                <w:lang w:eastAsia="en-NZ"/>
              </w:rPr>
              <w:t>6,033</w:t>
            </w:r>
          </w:p>
        </w:tc>
        <w:tc>
          <w:tcPr>
            <w:tcW w:w="10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DC4B397" w14:textId="77777777" w:rsidR="00410071" w:rsidRPr="00E74ABA" w:rsidRDefault="00410071" w:rsidP="00B048AF">
            <w:pPr>
              <w:pStyle w:val="TableText"/>
              <w:tabs>
                <w:tab w:val="decimal" w:pos="567"/>
              </w:tabs>
              <w:rPr>
                <w:bCs/>
                <w:color w:val="000000"/>
                <w:szCs w:val="18"/>
                <w:lang w:eastAsia="en-NZ"/>
              </w:rPr>
            </w:pPr>
            <w:r>
              <w:rPr>
                <w:bCs/>
                <w:color w:val="000000"/>
                <w:szCs w:val="18"/>
                <w:lang w:eastAsia="en-NZ"/>
              </w:rPr>
              <w:t>–</w:t>
            </w:r>
          </w:p>
        </w:tc>
        <w:tc>
          <w:tcPr>
            <w:tcW w:w="10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E2A9A46" w14:textId="77777777" w:rsidR="00410071" w:rsidRPr="00E74ABA" w:rsidRDefault="00410071" w:rsidP="00B048AF">
            <w:pPr>
              <w:pStyle w:val="TableText"/>
              <w:tabs>
                <w:tab w:val="decimal" w:pos="680"/>
              </w:tabs>
              <w:rPr>
                <w:bCs/>
                <w:szCs w:val="18"/>
                <w:lang w:eastAsia="en-NZ"/>
              </w:rPr>
            </w:pPr>
            <w:r w:rsidRPr="00E74ABA">
              <w:rPr>
                <w:bCs/>
                <w:szCs w:val="18"/>
                <w:lang w:eastAsia="en-NZ"/>
              </w:rPr>
              <w:t>5,140</w:t>
            </w:r>
          </w:p>
        </w:tc>
        <w:tc>
          <w:tcPr>
            <w:tcW w:w="10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36D30FE" w14:textId="77777777" w:rsidR="00410071" w:rsidRPr="00E74ABA" w:rsidRDefault="00410071" w:rsidP="00B048AF">
            <w:pPr>
              <w:pStyle w:val="TableText"/>
              <w:tabs>
                <w:tab w:val="decimal" w:pos="567"/>
              </w:tabs>
              <w:rPr>
                <w:bCs/>
                <w:color w:val="000000"/>
                <w:szCs w:val="18"/>
                <w:lang w:eastAsia="en-NZ"/>
              </w:rPr>
            </w:pPr>
            <w:r>
              <w:rPr>
                <w:bCs/>
                <w:color w:val="000000"/>
                <w:szCs w:val="18"/>
                <w:lang w:eastAsia="en-NZ"/>
              </w:rPr>
              <w:t>–</w:t>
            </w:r>
          </w:p>
        </w:tc>
        <w:tc>
          <w:tcPr>
            <w:tcW w:w="10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EFD57A3" w14:textId="77777777" w:rsidR="00410071" w:rsidRPr="00E74ABA" w:rsidRDefault="00410071" w:rsidP="00B048AF">
            <w:pPr>
              <w:pStyle w:val="TableText"/>
              <w:tabs>
                <w:tab w:val="decimal" w:pos="680"/>
              </w:tabs>
              <w:rPr>
                <w:bCs/>
                <w:szCs w:val="18"/>
                <w:lang w:eastAsia="en-NZ"/>
              </w:rPr>
            </w:pPr>
            <w:r w:rsidRPr="00E74ABA">
              <w:rPr>
                <w:bCs/>
                <w:szCs w:val="18"/>
                <w:lang w:eastAsia="en-NZ"/>
              </w:rPr>
              <w:t>3,481</w:t>
            </w:r>
          </w:p>
        </w:tc>
        <w:tc>
          <w:tcPr>
            <w:tcW w:w="1087" w:type="dxa"/>
            <w:tcBorders>
              <w:top w:val="single" w:sz="4" w:space="0" w:color="A6A6A6" w:themeColor="background1" w:themeShade="A6"/>
              <w:bottom w:val="single" w:sz="4" w:space="0" w:color="A6A6A6" w:themeColor="background1" w:themeShade="A6"/>
            </w:tcBorders>
            <w:shd w:val="clear" w:color="auto" w:fill="auto"/>
            <w:noWrap/>
            <w:hideMark/>
          </w:tcPr>
          <w:p w14:paraId="58180079" w14:textId="77777777" w:rsidR="00410071" w:rsidRPr="00E74ABA" w:rsidRDefault="00410071" w:rsidP="00B048AF">
            <w:pPr>
              <w:pStyle w:val="TableText"/>
              <w:tabs>
                <w:tab w:val="decimal" w:pos="567"/>
              </w:tabs>
              <w:rPr>
                <w:bCs/>
                <w:color w:val="000000"/>
                <w:szCs w:val="18"/>
                <w:lang w:eastAsia="en-NZ"/>
              </w:rPr>
            </w:pPr>
            <w:r>
              <w:rPr>
                <w:bCs/>
                <w:color w:val="000000"/>
                <w:szCs w:val="18"/>
                <w:lang w:eastAsia="en-NZ"/>
              </w:rPr>
              <w:t>–</w:t>
            </w:r>
          </w:p>
        </w:tc>
      </w:tr>
    </w:tbl>
    <w:p w14:paraId="749A2F58" w14:textId="77777777" w:rsidR="0039221C" w:rsidRDefault="00410071" w:rsidP="00B048AF">
      <w:pPr>
        <w:pStyle w:val="Note"/>
      </w:pPr>
      <w:r w:rsidRPr="00200234">
        <w:t>Note</w:t>
      </w:r>
      <w:r>
        <w:t>s</w:t>
      </w:r>
      <w:r w:rsidRPr="00200234">
        <w:t>: Section 14(4) data may also include PRIMHD records for sections 15(1) and 15(2). The latter provisions describe similar circumstances in which a patient is waiting for a court decision on compulsory treatment. Volumes of section 14(4) in some DHBs may be higher due to reporting extension</w:t>
      </w:r>
      <w:r>
        <w:t>s</w:t>
      </w:r>
      <w:r w:rsidRPr="00200234">
        <w:t xml:space="preserve"> and indefinite order applications under section 14(4) in addition to original compulsory treatment order applications. This is down to local reporting variation.</w:t>
      </w:r>
    </w:p>
    <w:p w14:paraId="5A173216" w14:textId="77777777" w:rsidR="00410071" w:rsidRPr="00200234" w:rsidRDefault="00410071" w:rsidP="00B048AF">
      <w:pPr>
        <w:pStyle w:val="Source"/>
      </w:pPr>
      <w:r w:rsidRPr="00200234">
        <w:t>Source: PRIMHD data</w:t>
      </w:r>
      <w:r>
        <w:t xml:space="preserve"> (extracted</w:t>
      </w:r>
      <w:r w:rsidRPr="00200234">
        <w:t xml:space="preserve"> </w:t>
      </w:r>
      <w:r>
        <w:t>1 July 2021).</w:t>
      </w:r>
    </w:p>
    <w:p w14:paraId="46E95E38" w14:textId="77777777" w:rsidR="00410071" w:rsidRPr="00A0332F" w:rsidRDefault="00410071" w:rsidP="00B048AF"/>
    <w:p w14:paraId="01D05739" w14:textId="77777777" w:rsidR="00410071" w:rsidRPr="00200234" w:rsidRDefault="00410071" w:rsidP="00B048AF">
      <w:pPr>
        <w:pStyle w:val="Heading2"/>
      </w:pPr>
      <w:bookmarkStart w:id="83" w:name="_Toc87429905"/>
      <w:bookmarkStart w:id="84" w:name="_Toc88826953"/>
      <w:r>
        <w:t>Compulsory</w:t>
      </w:r>
      <w:r w:rsidRPr="00200234">
        <w:t xml:space="preserve"> treatment orders</w:t>
      </w:r>
      <w:bookmarkEnd w:id="77"/>
      <w:bookmarkEnd w:id="78"/>
      <w:bookmarkEnd w:id="83"/>
      <w:bookmarkEnd w:id="84"/>
    </w:p>
    <w:p w14:paraId="30AEE71F" w14:textId="357BE980" w:rsidR="0039221C" w:rsidRDefault="00410071" w:rsidP="00B048AF">
      <w:r>
        <w:fldChar w:fldCharType="begin"/>
      </w:r>
      <w:r>
        <w:instrText xml:space="preserve"> REF _Ref85700499 \h </w:instrText>
      </w:r>
      <w:r>
        <w:fldChar w:fldCharType="separate"/>
      </w:r>
      <w:r w:rsidR="00840F18">
        <w:t>Table </w:t>
      </w:r>
      <w:r w:rsidR="00840F18">
        <w:rPr>
          <w:noProof/>
        </w:rPr>
        <w:t>4</w:t>
      </w:r>
      <w:r>
        <w:fldChar w:fldCharType="end"/>
      </w:r>
      <w:r>
        <w:t xml:space="preserve"> shows that </w:t>
      </w:r>
      <w:r w:rsidRPr="00200234">
        <w:t>Māori were more likely to be subject to community and inpatient treatment orders tha</w:t>
      </w:r>
      <w:r>
        <w:t>n non-Māori</w:t>
      </w:r>
      <w:r w:rsidRPr="00200234">
        <w:t xml:space="preserve">. </w:t>
      </w:r>
      <w:r>
        <w:t>These figures represent those who were subject to a compulsory treatment order during the 2020 year – not the number of individuals who had a compulsory treatment order issued.</w:t>
      </w:r>
    </w:p>
    <w:p w14:paraId="40E559B2" w14:textId="77777777" w:rsidR="00410071" w:rsidRDefault="00410071" w:rsidP="00B048AF"/>
    <w:p w14:paraId="39AECC71" w14:textId="582ACC42" w:rsidR="00410071" w:rsidRDefault="00410071" w:rsidP="00D73AC0">
      <w:pPr>
        <w:pStyle w:val="Table"/>
      </w:pPr>
      <w:bookmarkStart w:id="85" w:name="_Ref85700499"/>
      <w:bookmarkStart w:id="86" w:name="_Toc87430002"/>
      <w:bookmarkStart w:id="87" w:name="_Toc88561359"/>
      <w:r>
        <w:t>Table</w:t>
      </w:r>
      <w:r w:rsidR="00B048AF">
        <w:t> </w:t>
      </w:r>
      <w:r w:rsidR="00592799">
        <w:fldChar w:fldCharType="begin"/>
      </w:r>
      <w:r w:rsidR="00592799">
        <w:instrText xml:space="preserve"> SEQ Table \* ARABIC </w:instrText>
      </w:r>
      <w:r w:rsidR="00592799">
        <w:fldChar w:fldCharType="separate"/>
      </w:r>
      <w:r w:rsidR="00840F18">
        <w:rPr>
          <w:noProof/>
        </w:rPr>
        <w:t>4</w:t>
      </w:r>
      <w:r w:rsidR="00592799">
        <w:rPr>
          <w:noProof/>
        </w:rPr>
        <w:fldChar w:fldCharType="end"/>
      </w:r>
      <w:bookmarkEnd w:id="85"/>
      <w:r w:rsidRPr="00DD5738">
        <w:t xml:space="preserve">: Number of people </w:t>
      </w:r>
      <w:r>
        <w:t>subject to a compulsory treatment order</w:t>
      </w:r>
      <w:r w:rsidRPr="00DD5738">
        <w:t xml:space="preserve"> </w:t>
      </w:r>
      <w:r>
        <w:t>under</w:t>
      </w:r>
      <w:r w:rsidRPr="00DD5738">
        <w:t xml:space="preserve"> </w:t>
      </w:r>
      <w:r>
        <w:t>sections</w:t>
      </w:r>
      <w:r w:rsidR="00D73AC0">
        <w:t> </w:t>
      </w:r>
      <w:r>
        <w:t xml:space="preserve">29 or 30 of </w:t>
      </w:r>
      <w:r w:rsidRPr="00DD5738">
        <w:t>the Mental Health Act, by ethnicity, 1 January to 31 December 2020</w:t>
      </w:r>
      <w:bookmarkEnd w:id="86"/>
      <w:bookmarkEnd w:id="87"/>
    </w:p>
    <w:tbl>
      <w:tblPr>
        <w:tblW w:w="0" w:type="auto"/>
        <w:tblInd w:w="57" w:type="dxa"/>
        <w:tblLayout w:type="fixed"/>
        <w:tblCellMar>
          <w:left w:w="57" w:type="dxa"/>
          <w:right w:w="57" w:type="dxa"/>
        </w:tblCellMar>
        <w:tblLook w:val="04A0" w:firstRow="1" w:lastRow="0" w:firstColumn="1" w:lastColumn="0" w:noHBand="0" w:noVBand="1"/>
      </w:tblPr>
      <w:tblGrid>
        <w:gridCol w:w="1560"/>
        <w:gridCol w:w="1098"/>
        <w:gridCol w:w="1099"/>
        <w:gridCol w:w="1098"/>
        <w:gridCol w:w="1099"/>
      </w:tblGrid>
      <w:tr w:rsidR="00B048AF" w:rsidRPr="00C80867" w14:paraId="26BD67DA" w14:textId="77777777" w:rsidTr="00B048AF">
        <w:trPr>
          <w:cantSplit/>
        </w:trPr>
        <w:tc>
          <w:tcPr>
            <w:tcW w:w="1560" w:type="dxa"/>
            <w:vMerge w:val="restart"/>
            <w:tcBorders>
              <w:right w:val="single" w:sz="4" w:space="0" w:color="A6A6A6" w:themeColor="background1" w:themeShade="A6"/>
            </w:tcBorders>
            <w:shd w:val="clear" w:color="auto" w:fill="D9D9D9" w:themeFill="background1" w:themeFillShade="D9"/>
            <w:noWrap/>
          </w:tcPr>
          <w:p w14:paraId="01E5EF89" w14:textId="77777777" w:rsidR="00B048AF" w:rsidRPr="00B048AF" w:rsidRDefault="00B048AF" w:rsidP="00B048AF">
            <w:pPr>
              <w:pStyle w:val="TableText"/>
              <w:rPr>
                <w:b/>
              </w:rPr>
            </w:pPr>
            <w:r w:rsidRPr="00B048AF">
              <w:rPr>
                <w:b/>
              </w:rPr>
              <w:t>Ethnicity</w:t>
            </w:r>
          </w:p>
        </w:tc>
        <w:tc>
          <w:tcPr>
            <w:tcW w:w="2197"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6D22FE22" w14:textId="77777777" w:rsidR="00B048AF" w:rsidRPr="00B048AF" w:rsidRDefault="00B048AF" w:rsidP="00B048AF">
            <w:pPr>
              <w:pStyle w:val="TableText"/>
              <w:jc w:val="center"/>
              <w:rPr>
                <w:b/>
                <w:bCs/>
                <w:color w:val="000000"/>
                <w:szCs w:val="18"/>
                <w:lang w:eastAsia="en-NZ"/>
              </w:rPr>
            </w:pPr>
            <w:r w:rsidRPr="00B048AF">
              <w:rPr>
                <w:b/>
                <w:bCs/>
                <w:color w:val="000000"/>
                <w:szCs w:val="18"/>
                <w:lang w:eastAsia="en-NZ"/>
              </w:rPr>
              <w:t>Section 29</w:t>
            </w:r>
          </w:p>
        </w:tc>
        <w:tc>
          <w:tcPr>
            <w:tcW w:w="2197" w:type="dxa"/>
            <w:gridSpan w:val="2"/>
            <w:tcBorders>
              <w:left w:val="single" w:sz="4" w:space="0" w:color="A6A6A6" w:themeColor="background1" w:themeShade="A6"/>
            </w:tcBorders>
            <w:shd w:val="clear" w:color="auto" w:fill="D9D9D9" w:themeFill="background1" w:themeFillShade="D9"/>
          </w:tcPr>
          <w:p w14:paraId="727C545D" w14:textId="77777777" w:rsidR="00B048AF" w:rsidRPr="00B048AF" w:rsidRDefault="00B048AF" w:rsidP="00B048AF">
            <w:pPr>
              <w:pStyle w:val="TableText"/>
              <w:jc w:val="center"/>
              <w:rPr>
                <w:b/>
                <w:bCs/>
                <w:color w:val="000000"/>
                <w:szCs w:val="18"/>
                <w:lang w:eastAsia="en-NZ"/>
              </w:rPr>
            </w:pPr>
            <w:r w:rsidRPr="00B048AF">
              <w:rPr>
                <w:b/>
                <w:bCs/>
                <w:color w:val="000000"/>
                <w:szCs w:val="18"/>
                <w:lang w:eastAsia="en-NZ"/>
              </w:rPr>
              <w:t>Section 30</w:t>
            </w:r>
          </w:p>
        </w:tc>
      </w:tr>
      <w:tr w:rsidR="00B048AF" w:rsidRPr="00C80867" w14:paraId="264695D7" w14:textId="77777777" w:rsidTr="00B048AF">
        <w:trPr>
          <w:cantSplit/>
        </w:trPr>
        <w:tc>
          <w:tcPr>
            <w:tcW w:w="1560" w:type="dxa"/>
            <w:vMerge/>
            <w:tcBorders>
              <w:right w:val="single" w:sz="4" w:space="0" w:color="A6A6A6" w:themeColor="background1" w:themeShade="A6"/>
            </w:tcBorders>
            <w:shd w:val="clear" w:color="auto" w:fill="D9D9D9" w:themeFill="background1" w:themeFillShade="D9"/>
            <w:noWrap/>
            <w:hideMark/>
          </w:tcPr>
          <w:p w14:paraId="4B45D79B" w14:textId="77777777" w:rsidR="00B048AF" w:rsidRPr="00B048AF" w:rsidRDefault="00B048AF" w:rsidP="00B048AF">
            <w:pPr>
              <w:pStyle w:val="TableText"/>
              <w:rPr>
                <w:b/>
              </w:rPr>
            </w:pPr>
          </w:p>
        </w:tc>
        <w:tc>
          <w:tcPr>
            <w:tcW w:w="1098" w:type="dxa"/>
            <w:tcBorders>
              <w:left w:val="single" w:sz="4" w:space="0" w:color="A6A6A6" w:themeColor="background1" w:themeShade="A6"/>
            </w:tcBorders>
            <w:shd w:val="clear" w:color="auto" w:fill="D9D9D9" w:themeFill="background1" w:themeFillShade="D9"/>
            <w:hideMark/>
          </w:tcPr>
          <w:p w14:paraId="516D451A"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Number</w:t>
            </w:r>
          </w:p>
        </w:tc>
        <w:tc>
          <w:tcPr>
            <w:tcW w:w="1099" w:type="dxa"/>
            <w:tcBorders>
              <w:right w:val="single" w:sz="4" w:space="0" w:color="A6A6A6" w:themeColor="background1" w:themeShade="A6"/>
            </w:tcBorders>
            <w:shd w:val="clear" w:color="auto" w:fill="D9D9D9" w:themeFill="background1" w:themeFillShade="D9"/>
            <w:hideMark/>
          </w:tcPr>
          <w:p w14:paraId="6800D095"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Rate</w:t>
            </w:r>
          </w:p>
        </w:tc>
        <w:tc>
          <w:tcPr>
            <w:tcW w:w="1098" w:type="dxa"/>
            <w:tcBorders>
              <w:left w:val="single" w:sz="4" w:space="0" w:color="A6A6A6" w:themeColor="background1" w:themeShade="A6"/>
            </w:tcBorders>
            <w:shd w:val="clear" w:color="auto" w:fill="D9D9D9" w:themeFill="background1" w:themeFillShade="D9"/>
            <w:hideMark/>
          </w:tcPr>
          <w:p w14:paraId="024ED1AE"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Number</w:t>
            </w:r>
          </w:p>
        </w:tc>
        <w:tc>
          <w:tcPr>
            <w:tcW w:w="1099" w:type="dxa"/>
            <w:shd w:val="clear" w:color="auto" w:fill="D9D9D9" w:themeFill="background1" w:themeFillShade="D9"/>
            <w:hideMark/>
          </w:tcPr>
          <w:p w14:paraId="24CEA2C1" w14:textId="77777777" w:rsidR="00B048AF" w:rsidRPr="00B048AF" w:rsidRDefault="00B048AF" w:rsidP="00B048AF">
            <w:pPr>
              <w:pStyle w:val="TableText"/>
              <w:spacing w:before="0"/>
              <w:jc w:val="center"/>
              <w:rPr>
                <w:b/>
                <w:bCs/>
                <w:color w:val="000000"/>
                <w:szCs w:val="18"/>
                <w:lang w:eastAsia="en-NZ"/>
              </w:rPr>
            </w:pPr>
            <w:r w:rsidRPr="00B048AF">
              <w:rPr>
                <w:b/>
                <w:bCs/>
                <w:color w:val="000000"/>
                <w:szCs w:val="18"/>
                <w:lang w:eastAsia="en-NZ"/>
              </w:rPr>
              <w:t>Rate</w:t>
            </w:r>
          </w:p>
        </w:tc>
      </w:tr>
      <w:tr w:rsidR="00410071" w:rsidRPr="00C80867" w14:paraId="30B68898" w14:textId="77777777" w:rsidTr="00B048AF">
        <w:trPr>
          <w:cantSplit/>
        </w:trPr>
        <w:tc>
          <w:tcPr>
            <w:tcW w:w="1560" w:type="dxa"/>
            <w:tcBorders>
              <w:bottom w:val="single" w:sz="4" w:space="0" w:color="A6A6A6" w:themeColor="background1" w:themeShade="A6"/>
              <w:right w:val="single" w:sz="4" w:space="0" w:color="A6A6A6" w:themeColor="background1" w:themeShade="A6"/>
            </w:tcBorders>
            <w:shd w:val="clear" w:color="auto" w:fill="auto"/>
            <w:noWrap/>
            <w:hideMark/>
          </w:tcPr>
          <w:p w14:paraId="7CEF2DC5" w14:textId="77777777" w:rsidR="00410071" w:rsidRPr="00C80867" w:rsidRDefault="00410071" w:rsidP="00B048AF">
            <w:pPr>
              <w:pStyle w:val="TableText"/>
              <w:rPr>
                <w:color w:val="000000"/>
                <w:szCs w:val="18"/>
                <w:lang w:eastAsia="en-NZ"/>
              </w:rPr>
            </w:pPr>
            <w:r w:rsidRPr="00C80867">
              <w:rPr>
                <w:color w:val="000000"/>
                <w:szCs w:val="18"/>
                <w:lang w:eastAsia="en-NZ"/>
              </w:rPr>
              <w:t>Māori</w:t>
            </w:r>
          </w:p>
        </w:tc>
        <w:tc>
          <w:tcPr>
            <w:tcW w:w="1098" w:type="dxa"/>
            <w:tcBorders>
              <w:left w:val="single" w:sz="4" w:space="0" w:color="A6A6A6" w:themeColor="background1" w:themeShade="A6"/>
              <w:bottom w:val="single" w:sz="4" w:space="0" w:color="A6A6A6" w:themeColor="background1" w:themeShade="A6"/>
            </w:tcBorders>
            <w:shd w:val="clear" w:color="auto" w:fill="auto"/>
            <w:noWrap/>
            <w:hideMark/>
          </w:tcPr>
          <w:p w14:paraId="7EBBE882" w14:textId="77777777" w:rsidR="00410071" w:rsidRPr="00C80867" w:rsidRDefault="00410071" w:rsidP="00B048AF">
            <w:pPr>
              <w:pStyle w:val="TableText"/>
              <w:tabs>
                <w:tab w:val="decimal" w:pos="680"/>
              </w:tabs>
              <w:rPr>
                <w:szCs w:val="18"/>
                <w:lang w:eastAsia="en-NZ"/>
              </w:rPr>
            </w:pPr>
            <w:r>
              <w:rPr>
                <w:szCs w:val="18"/>
                <w:lang w:eastAsia="en-NZ"/>
              </w:rPr>
              <w:t>2,643</w:t>
            </w:r>
          </w:p>
        </w:tc>
        <w:tc>
          <w:tcPr>
            <w:tcW w:w="1099" w:type="dxa"/>
            <w:tcBorders>
              <w:bottom w:val="single" w:sz="4" w:space="0" w:color="A6A6A6" w:themeColor="background1" w:themeShade="A6"/>
              <w:right w:val="single" w:sz="4" w:space="0" w:color="A6A6A6" w:themeColor="background1" w:themeShade="A6"/>
            </w:tcBorders>
            <w:shd w:val="clear" w:color="auto" w:fill="auto"/>
            <w:noWrap/>
            <w:hideMark/>
          </w:tcPr>
          <w:p w14:paraId="09D3AC81" w14:textId="77777777" w:rsidR="00410071" w:rsidRPr="00C80867" w:rsidRDefault="00410071" w:rsidP="00B048AF">
            <w:pPr>
              <w:pStyle w:val="TableText"/>
              <w:tabs>
                <w:tab w:val="decimal" w:pos="567"/>
              </w:tabs>
              <w:rPr>
                <w:color w:val="000000"/>
                <w:szCs w:val="18"/>
                <w:lang w:eastAsia="en-NZ"/>
              </w:rPr>
            </w:pPr>
            <w:r>
              <w:rPr>
                <w:color w:val="000000"/>
                <w:szCs w:val="18"/>
                <w:lang w:eastAsia="en-NZ"/>
              </w:rPr>
              <w:t>310.6</w:t>
            </w:r>
          </w:p>
        </w:tc>
        <w:tc>
          <w:tcPr>
            <w:tcW w:w="1098" w:type="dxa"/>
            <w:tcBorders>
              <w:left w:val="single" w:sz="4" w:space="0" w:color="A6A6A6" w:themeColor="background1" w:themeShade="A6"/>
              <w:bottom w:val="single" w:sz="4" w:space="0" w:color="A6A6A6" w:themeColor="background1" w:themeShade="A6"/>
            </w:tcBorders>
            <w:shd w:val="clear" w:color="auto" w:fill="auto"/>
            <w:noWrap/>
            <w:hideMark/>
          </w:tcPr>
          <w:p w14:paraId="188D8C49" w14:textId="77777777" w:rsidR="00410071" w:rsidRPr="00C80867" w:rsidRDefault="00410071" w:rsidP="00B048AF">
            <w:pPr>
              <w:pStyle w:val="TableText"/>
              <w:tabs>
                <w:tab w:val="decimal" w:pos="680"/>
              </w:tabs>
              <w:rPr>
                <w:szCs w:val="18"/>
                <w:lang w:eastAsia="en-NZ"/>
              </w:rPr>
            </w:pPr>
            <w:r>
              <w:rPr>
                <w:szCs w:val="18"/>
                <w:lang w:eastAsia="en-NZ"/>
              </w:rPr>
              <w:t>714</w:t>
            </w:r>
          </w:p>
        </w:tc>
        <w:tc>
          <w:tcPr>
            <w:tcW w:w="1099" w:type="dxa"/>
            <w:tcBorders>
              <w:bottom w:val="single" w:sz="4" w:space="0" w:color="A6A6A6" w:themeColor="background1" w:themeShade="A6"/>
            </w:tcBorders>
            <w:shd w:val="clear" w:color="auto" w:fill="auto"/>
            <w:noWrap/>
            <w:hideMark/>
          </w:tcPr>
          <w:p w14:paraId="094B8193" w14:textId="77777777" w:rsidR="00410071" w:rsidRPr="00C80867" w:rsidRDefault="00410071" w:rsidP="00B048AF">
            <w:pPr>
              <w:pStyle w:val="TableText"/>
              <w:tabs>
                <w:tab w:val="decimal" w:pos="567"/>
              </w:tabs>
              <w:rPr>
                <w:color w:val="000000"/>
                <w:szCs w:val="18"/>
                <w:lang w:eastAsia="en-NZ"/>
              </w:rPr>
            </w:pPr>
            <w:r>
              <w:rPr>
                <w:color w:val="000000"/>
                <w:szCs w:val="18"/>
                <w:lang w:eastAsia="en-NZ"/>
              </w:rPr>
              <w:t>83.9</w:t>
            </w:r>
          </w:p>
        </w:tc>
      </w:tr>
      <w:tr w:rsidR="00410071" w:rsidRPr="00C80867" w14:paraId="686A8DB5" w14:textId="77777777" w:rsidTr="00B048A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5A2FECA" w14:textId="77777777" w:rsidR="00410071" w:rsidRPr="006858A3" w:rsidRDefault="00410071" w:rsidP="00B048AF">
            <w:pPr>
              <w:pStyle w:val="TableText"/>
              <w:rPr>
                <w:color w:val="000000"/>
                <w:szCs w:val="18"/>
                <w:lang w:eastAsia="en-NZ"/>
              </w:rPr>
            </w:pPr>
            <w:r w:rsidRPr="006858A3">
              <w:rPr>
                <w:color w:val="000000"/>
                <w:szCs w:val="18"/>
                <w:lang w:eastAsia="en-NZ"/>
              </w:rPr>
              <w:t>Pacific people</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391587D7" w14:textId="77777777" w:rsidR="00410071" w:rsidRPr="006858A3" w:rsidRDefault="00410071" w:rsidP="00B048AF">
            <w:pPr>
              <w:pStyle w:val="TableText"/>
              <w:tabs>
                <w:tab w:val="decimal" w:pos="680"/>
              </w:tabs>
              <w:rPr>
                <w:szCs w:val="18"/>
                <w:lang w:eastAsia="en-NZ"/>
              </w:rPr>
            </w:pPr>
            <w:r>
              <w:rPr>
                <w:szCs w:val="18"/>
              </w:rPr>
              <w:t>634</w:t>
            </w:r>
          </w:p>
        </w:tc>
        <w:tc>
          <w:tcPr>
            <w:tcW w:w="10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A0911A2" w14:textId="77777777" w:rsidR="00410071" w:rsidRPr="006858A3" w:rsidRDefault="00410071" w:rsidP="00B048AF">
            <w:pPr>
              <w:pStyle w:val="TableText"/>
              <w:tabs>
                <w:tab w:val="decimal" w:pos="567"/>
              </w:tabs>
              <w:rPr>
                <w:color w:val="000000"/>
                <w:szCs w:val="18"/>
                <w:lang w:eastAsia="en-NZ"/>
              </w:rPr>
            </w:pPr>
            <w:r>
              <w:rPr>
                <w:color w:val="000000"/>
                <w:szCs w:val="18"/>
              </w:rPr>
              <w:t>184.7</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18F6351E" w14:textId="77777777" w:rsidR="00410071" w:rsidRPr="006858A3" w:rsidRDefault="00410071" w:rsidP="00B048AF">
            <w:pPr>
              <w:pStyle w:val="TableText"/>
              <w:tabs>
                <w:tab w:val="decimal" w:pos="680"/>
              </w:tabs>
              <w:rPr>
                <w:szCs w:val="18"/>
                <w:lang w:eastAsia="en-NZ"/>
              </w:rPr>
            </w:pPr>
            <w:r>
              <w:rPr>
                <w:szCs w:val="18"/>
              </w:rPr>
              <w:t>154</w:t>
            </w:r>
          </w:p>
        </w:tc>
        <w:tc>
          <w:tcPr>
            <w:tcW w:w="1099" w:type="dxa"/>
            <w:tcBorders>
              <w:top w:val="single" w:sz="4" w:space="0" w:color="A6A6A6" w:themeColor="background1" w:themeShade="A6"/>
              <w:bottom w:val="single" w:sz="4" w:space="0" w:color="A6A6A6" w:themeColor="background1" w:themeShade="A6"/>
            </w:tcBorders>
            <w:shd w:val="clear" w:color="auto" w:fill="auto"/>
            <w:noWrap/>
          </w:tcPr>
          <w:p w14:paraId="38607B64" w14:textId="77777777" w:rsidR="00410071" w:rsidRPr="006858A3" w:rsidRDefault="00410071" w:rsidP="00B048AF">
            <w:pPr>
              <w:pStyle w:val="TableText"/>
              <w:tabs>
                <w:tab w:val="decimal" w:pos="567"/>
              </w:tabs>
              <w:rPr>
                <w:color w:val="000000"/>
                <w:szCs w:val="18"/>
                <w:lang w:eastAsia="en-NZ"/>
              </w:rPr>
            </w:pPr>
            <w:r>
              <w:rPr>
                <w:color w:val="000000"/>
                <w:szCs w:val="18"/>
              </w:rPr>
              <w:t>44.9</w:t>
            </w:r>
          </w:p>
        </w:tc>
      </w:tr>
      <w:tr w:rsidR="00410071" w:rsidRPr="00C80867" w14:paraId="2D018B0E" w14:textId="77777777" w:rsidTr="00B048A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ACB458C" w14:textId="77777777" w:rsidR="00410071" w:rsidRPr="006858A3" w:rsidRDefault="00410071" w:rsidP="00B048AF">
            <w:pPr>
              <w:pStyle w:val="TableText"/>
              <w:rPr>
                <w:color w:val="000000"/>
                <w:szCs w:val="18"/>
                <w:lang w:eastAsia="en-NZ"/>
              </w:rPr>
            </w:pPr>
            <w:r w:rsidRPr="006858A3">
              <w:rPr>
                <w:color w:val="000000"/>
                <w:szCs w:val="18"/>
                <w:lang w:eastAsia="en-NZ"/>
              </w:rPr>
              <w:t>Other</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4338022C" w14:textId="77777777" w:rsidR="00410071" w:rsidRPr="006858A3" w:rsidRDefault="00410071" w:rsidP="00B048AF">
            <w:pPr>
              <w:pStyle w:val="TableText"/>
              <w:tabs>
                <w:tab w:val="decimal" w:pos="680"/>
              </w:tabs>
              <w:rPr>
                <w:szCs w:val="18"/>
                <w:lang w:eastAsia="en-NZ"/>
              </w:rPr>
            </w:pPr>
            <w:r w:rsidRPr="006858A3">
              <w:rPr>
                <w:szCs w:val="18"/>
                <w:lang w:eastAsia="en-NZ"/>
              </w:rPr>
              <w:t>3,</w:t>
            </w:r>
            <w:r>
              <w:rPr>
                <w:szCs w:val="18"/>
                <w:lang w:eastAsia="en-NZ"/>
              </w:rPr>
              <w:t>451</w:t>
            </w:r>
          </w:p>
        </w:tc>
        <w:tc>
          <w:tcPr>
            <w:tcW w:w="10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6B8248E" w14:textId="77777777" w:rsidR="00410071" w:rsidRPr="006858A3" w:rsidRDefault="00410071" w:rsidP="00B048AF">
            <w:pPr>
              <w:pStyle w:val="TableText"/>
              <w:tabs>
                <w:tab w:val="decimal" w:pos="567"/>
              </w:tabs>
              <w:rPr>
                <w:color w:val="000000"/>
                <w:szCs w:val="18"/>
                <w:lang w:eastAsia="en-NZ"/>
              </w:rPr>
            </w:pPr>
            <w:r>
              <w:rPr>
                <w:color w:val="000000"/>
                <w:szCs w:val="18"/>
                <w:lang w:eastAsia="en-NZ"/>
              </w:rPr>
              <w:t>88.6</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715F3BDE" w14:textId="77777777" w:rsidR="00410071" w:rsidRPr="006858A3" w:rsidRDefault="00410071" w:rsidP="00B048AF">
            <w:pPr>
              <w:pStyle w:val="TableText"/>
              <w:tabs>
                <w:tab w:val="decimal" w:pos="680"/>
              </w:tabs>
              <w:rPr>
                <w:szCs w:val="18"/>
                <w:lang w:eastAsia="en-NZ"/>
              </w:rPr>
            </w:pPr>
            <w:r>
              <w:rPr>
                <w:szCs w:val="18"/>
                <w:lang w:eastAsia="en-NZ"/>
              </w:rPr>
              <w:t>1,159</w:t>
            </w:r>
          </w:p>
        </w:tc>
        <w:tc>
          <w:tcPr>
            <w:tcW w:w="1099" w:type="dxa"/>
            <w:tcBorders>
              <w:top w:val="single" w:sz="4" w:space="0" w:color="A6A6A6" w:themeColor="background1" w:themeShade="A6"/>
              <w:bottom w:val="single" w:sz="4" w:space="0" w:color="A6A6A6" w:themeColor="background1" w:themeShade="A6"/>
            </w:tcBorders>
            <w:shd w:val="clear" w:color="auto" w:fill="auto"/>
            <w:noWrap/>
          </w:tcPr>
          <w:p w14:paraId="6D889D25" w14:textId="77777777" w:rsidR="00410071" w:rsidRPr="006858A3" w:rsidRDefault="00410071" w:rsidP="00B048AF">
            <w:pPr>
              <w:pStyle w:val="TableText"/>
              <w:tabs>
                <w:tab w:val="decimal" w:pos="567"/>
              </w:tabs>
              <w:rPr>
                <w:color w:val="000000"/>
                <w:szCs w:val="18"/>
                <w:lang w:eastAsia="en-NZ"/>
              </w:rPr>
            </w:pPr>
            <w:r>
              <w:rPr>
                <w:color w:val="000000"/>
                <w:szCs w:val="18"/>
                <w:lang w:eastAsia="en-NZ"/>
              </w:rPr>
              <w:t>29.8</w:t>
            </w:r>
          </w:p>
        </w:tc>
      </w:tr>
      <w:tr w:rsidR="00410071" w:rsidRPr="00C80867" w14:paraId="4D7FCB7F" w14:textId="77777777" w:rsidTr="00B048A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F40603E" w14:textId="77777777" w:rsidR="00410071" w:rsidRPr="00E74ABA" w:rsidRDefault="00410071" w:rsidP="00B048AF">
            <w:pPr>
              <w:pStyle w:val="TableText"/>
              <w:rPr>
                <w:bCs/>
                <w:color w:val="000000"/>
                <w:szCs w:val="18"/>
                <w:lang w:eastAsia="en-NZ"/>
              </w:rPr>
            </w:pPr>
            <w:r>
              <w:rPr>
                <w:bCs/>
                <w:color w:val="000000"/>
                <w:szCs w:val="18"/>
                <w:lang w:eastAsia="en-NZ"/>
              </w:rPr>
              <w:t>National t</w:t>
            </w:r>
            <w:r w:rsidRPr="00E74ABA">
              <w:rPr>
                <w:bCs/>
                <w:color w:val="000000"/>
                <w:szCs w:val="18"/>
                <w:lang w:eastAsia="en-NZ"/>
              </w:rPr>
              <w:t>otal</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3B9014A" w14:textId="77777777" w:rsidR="00410071" w:rsidRPr="00E74ABA" w:rsidRDefault="00410071" w:rsidP="00B048AF">
            <w:pPr>
              <w:pStyle w:val="TableText"/>
              <w:tabs>
                <w:tab w:val="decimal" w:pos="680"/>
              </w:tabs>
              <w:rPr>
                <w:bCs/>
                <w:szCs w:val="18"/>
                <w:lang w:eastAsia="en-NZ"/>
              </w:rPr>
            </w:pPr>
            <w:r w:rsidRPr="00E74ABA">
              <w:rPr>
                <w:bCs/>
                <w:szCs w:val="18"/>
                <w:lang w:eastAsia="en-NZ"/>
              </w:rPr>
              <w:t>6,</w:t>
            </w:r>
            <w:r>
              <w:rPr>
                <w:bCs/>
                <w:szCs w:val="18"/>
                <w:lang w:eastAsia="en-NZ"/>
              </w:rPr>
              <w:t>728</w:t>
            </w:r>
          </w:p>
        </w:tc>
        <w:tc>
          <w:tcPr>
            <w:tcW w:w="10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B735AC2" w14:textId="77777777" w:rsidR="00410071" w:rsidRPr="00E74ABA" w:rsidRDefault="00410071" w:rsidP="00B048AF">
            <w:pPr>
              <w:pStyle w:val="TableText"/>
              <w:tabs>
                <w:tab w:val="decimal" w:pos="567"/>
              </w:tabs>
              <w:rPr>
                <w:bCs/>
                <w:color w:val="000000"/>
                <w:szCs w:val="18"/>
                <w:lang w:eastAsia="en-NZ"/>
              </w:rPr>
            </w:pPr>
            <w:r>
              <w:rPr>
                <w:bCs/>
                <w:color w:val="000000"/>
                <w:szCs w:val="18"/>
                <w:lang w:eastAsia="en-NZ"/>
              </w:rPr>
              <w:t>–</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36DAD61" w14:textId="77777777" w:rsidR="00410071" w:rsidRPr="00E74ABA" w:rsidRDefault="00410071" w:rsidP="00B048AF">
            <w:pPr>
              <w:pStyle w:val="TableText"/>
              <w:tabs>
                <w:tab w:val="decimal" w:pos="680"/>
              </w:tabs>
              <w:rPr>
                <w:bCs/>
                <w:szCs w:val="18"/>
                <w:lang w:eastAsia="en-NZ"/>
              </w:rPr>
            </w:pPr>
            <w:r>
              <w:rPr>
                <w:bCs/>
                <w:szCs w:val="18"/>
                <w:lang w:eastAsia="en-NZ"/>
              </w:rPr>
              <w:t>2,027</w:t>
            </w:r>
          </w:p>
        </w:tc>
        <w:tc>
          <w:tcPr>
            <w:tcW w:w="1099" w:type="dxa"/>
            <w:tcBorders>
              <w:top w:val="single" w:sz="4" w:space="0" w:color="A6A6A6" w:themeColor="background1" w:themeShade="A6"/>
              <w:bottom w:val="single" w:sz="4" w:space="0" w:color="A6A6A6" w:themeColor="background1" w:themeShade="A6"/>
            </w:tcBorders>
            <w:shd w:val="clear" w:color="auto" w:fill="auto"/>
            <w:noWrap/>
            <w:hideMark/>
          </w:tcPr>
          <w:p w14:paraId="71A1211A" w14:textId="77777777" w:rsidR="00410071" w:rsidRPr="00E74ABA" w:rsidRDefault="00410071" w:rsidP="00B048AF">
            <w:pPr>
              <w:pStyle w:val="TableText"/>
              <w:tabs>
                <w:tab w:val="decimal" w:pos="567"/>
              </w:tabs>
              <w:rPr>
                <w:bCs/>
                <w:color w:val="000000"/>
                <w:szCs w:val="18"/>
                <w:lang w:eastAsia="en-NZ"/>
              </w:rPr>
            </w:pPr>
            <w:r>
              <w:rPr>
                <w:bCs/>
                <w:color w:val="000000"/>
                <w:szCs w:val="18"/>
                <w:lang w:eastAsia="en-NZ"/>
              </w:rPr>
              <w:t>–</w:t>
            </w:r>
          </w:p>
        </w:tc>
      </w:tr>
    </w:tbl>
    <w:p w14:paraId="3AAE9417" w14:textId="77777777" w:rsidR="00410071" w:rsidRPr="00200234" w:rsidRDefault="00410071" w:rsidP="00B048AF">
      <w:pPr>
        <w:pStyle w:val="Source"/>
      </w:pPr>
      <w:r w:rsidRPr="00200234">
        <w:t>Source: PRIMHD data</w:t>
      </w:r>
      <w:r>
        <w:t xml:space="preserve"> (extracted</w:t>
      </w:r>
      <w:r w:rsidRPr="00200234">
        <w:t xml:space="preserve"> </w:t>
      </w:r>
      <w:r>
        <w:t>1 July 2021) and manual data from Counties Manukau DHB for section 30.</w:t>
      </w:r>
    </w:p>
    <w:p w14:paraId="5673FEBC" w14:textId="77777777" w:rsidR="00410071" w:rsidRDefault="00410071" w:rsidP="00B048AF"/>
    <w:p w14:paraId="3B005DF8" w14:textId="7CD2BCA3" w:rsidR="00410071" w:rsidRDefault="00410071" w:rsidP="002D23CE">
      <w:pPr>
        <w:keepNext/>
      </w:pPr>
      <w:r w:rsidRPr="00200234">
        <w:lastRenderedPageBreak/>
        <w:t xml:space="preserve">Figures </w:t>
      </w:r>
      <w:r w:rsidRPr="00200234">
        <w:fldChar w:fldCharType="begin"/>
      </w:r>
      <w:r w:rsidRPr="00200234">
        <w:instrText xml:space="preserve"> REF _Ref65672076 \# 0 \h </w:instrText>
      </w:r>
      <w:r w:rsidRPr="00200234">
        <w:fldChar w:fldCharType="separate"/>
      </w:r>
      <w:r w:rsidR="00840F18">
        <w:t>7</w:t>
      </w:r>
      <w:r w:rsidRPr="00200234">
        <w:fldChar w:fldCharType="end"/>
      </w:r>
      <w:r w:rsidRPr="00200234">
        <w:t xml:space="preserve"> </w:t>
      </w:r>
      <w:r>
        <w:t>and</w:t>
      </w:r>
      <w:r w:rsidRPr="00200234">
        <w:t xml:space="preserve"> </w:t>
      </w:r>
      <w:r>
        <w:fldChar w:fldCharType="begin"/>
      </w:r>
      <w:r>
        <w:instrText xml:space="preserve"> REF _Ref84330306 \h </w:instrText>
      </w:r>
      <w:r>
        <w:fldChar w:fldCharType="separate"/>
      </w:r>
      <w:r w:rsidR="00840F18">
        <w:t>Figure </w:t>
      </w:r>
      <w:r w:rsidR="00840F18">
        <w:rPr>
          <w:noProof/>
        </w:rPr>
        <w:t>8</w:t>
      </w:r>
      <w:r>
        <w:fldChar w:fldCharType="end"/>
      </w:r>
      <w:r w:rsidRPr="00200234">
        <w:t xml:space="preserve"> show the rate ratio of Māori to non-Māori subject to </w:t>
      </w:r>
      <w:r>
        <w:t>community and inpatient treatment</w:t>
      </w:r>
      <w:r w:rsidRPr="00200234">
        <w:t xml:space="preserve"> orders </w:t>
      </w:r>
      <w:r>
        <w:t xml:space="preserve">respectively </w:t>
      </w:r>
      <w:r w:rsidRPr="00200234">
        <w:t>for each DHB.</w:t>
      </w:r>
    </w:p>
    <w:p w14:paraId="1821CD9C" w14:textId="77777777" w:rsidR="00D73AC0" w:rsidRPr="00200234" w:rsidRDefault="00D73AC0" w:rsidP="002D23CE">
      <w:pPr>
        <w:keepNext/>
      </w:pPr>
    </w:p>
    <w:p w14:paraId="63D99D55" w14:textId="77777777" w:rsidR="00410071" w:rsidRPr="00200234" w:rsidRDefault="00410071" w:rsidP="00D73AC0">
      <w:r w:rsidRPr="00200234">
        <w:t xml:space="preserve">It is difficult to interpret the range of rates because the proportions of different ethnic groups within a population vary greatly across DHBs, so it is hard to define an ideal rate ratio for a given population or DHB. However, to help make the comparison, each figure includes a line of </w:t>
      </w:r>
      <w:r w:rsidR="0039221C">
        <w:t>‘</w:t>
      </w:r>
      <w:r w:rsidRPr="00200234">
        <w:t>no difference</w:t>
      </w:r>
      <w:r w:rsidR="0039221C">
        <w:t>’</w:t>
      </w:r>
      <w:r w:rsidRPr="00200234">
        <w:t xml:space="preserve"> to indicate where Māori and non-Māori would be subject to compulsory treatment orders at the same rate. The figures emphasise the need for in-depth, area-specific knowledge to understand why differences occur in each </w:t>
      </w:r>
      <w:r>
        <w:t>DHB region</w:t>
      </w:r>
      <w:r w:rsidRPr="00200234">
        <w:t xml:space="preserve"> and how to address them at a local level.</w:t>
      </w:r>
    </w:p>
    <w:p w14:paraId="2E75A08B" w14:textId="77777777" w:rsidR="00410071" w:rsidRPr="00200234" w:rsidRDefault="00410071" w:rsidP="002B295C"/>
    <w:p w14:paraId="719CC617" w14:textId="5A729008" w:rsidR="00410071" w:rsidRPr="00200234" w:rsidRDefault="00410071" w:rsidP="00B048AF">
      <w:pPr>
        <w:pStyle w:val="Figure"/>
      </w:pPr>
      <w:bookmarkStart w:id="88" w:name="_Ref65672076"/>
      <w:bookmarkStart w:id="89" w:name="_Toc63764750"/>
      <w:bookmarkStart w:id="90" w:name="_Toc75176479"/>
      <w:bookmarkStart w:id="91" w:name="_Toc85442569"/>
      <w:bookmarkStart w:id="92" w:name="_Toc85445915"/>
      <w:bookmarkStart w:id="93" w:name="_Toc87429956"/>
      <w:bookmarkStart w:id="94" w:name="_Toc88561388"/>
      <w:r>
        <w:t>Figure</w:t>
      </w:r>
      <w:r w:rsidR="00B048AF">
        <w:t> </w:t>
      </w:r>
      <w:r w:rsidR="00592799">
        <w:fldChar w:fldCharType="begin"/>
      </w:r>
      <w:r w:rsidR="00592799">
        <w:instrText xml:space="preserve"> SEQ Figure \* ARABIC </w:instrText>
      </w:r>
      <w:r w:rsidR="00592799">
        <w:fldChar w:fldCharType="separate"/>
      </w:r>
      <w:r w:rsidR="00840F18">
        <w:rPr>
          <w:noProof/>
        </w:rPr>
        <w:t>7</w:t>
      </w:r>
      <w:r w:rsidR="00592799">
        <w:rPr>
          <w:noProof/>
        </w:rPr>
        <w:fldChar w:fldCharType="end"/>
      </w:r>
      <w:bookmarkEnd w:id="88"/>
      <w:r w:rsidRPr="00200234">
        <w:t>: Rate ratio of Māori to non-Māori subject to a community treatment order (section 29) under the Mental Health Act per 100,000 population, by DHB, 1 January to 31 December 20</w:t>
      </w:r>
      <w:bookmarkEnd w:id="89"/>
      <w:r>
        <w:t>20</w:t>
      </w:r>
      <w:bookmarkEnd w:id="90"/>
      <w:bookmarkEnd w:id="91"/>
      <w:bookmarkEnd w:id="92"/>
      <w:bookmarkEnd w:id="93"/>
      <w:bookmarkEnd w:id="94"/>
    </w:p>
    <w:p w14:paraId="26685924" w14:textId="77777777" w:rsidR="00410071" w:rsidRPr="00200234" w:rsidRDefault="00410071" w:rsidP="002B295C">
      <w:pPr>
        <w:rPr>
          <w:rFonts w:eastAsia="Calibri" w:cs="Segoe UI"/>
        </w:rPr>
      </w:pPr>
      <w:r>
        <w:rPr>
          <w:noProof/>
          <w:lang w:eastAsia="en-NZ"/>
        </w:rPr>
        <w:drawing>
          <wp:inline distT="0" distB="0" distL="0" distR="0" wp14:anchorId="326AE978" wp14:editId="2980A898">
            <wp:extent cx="5731510" cy="4086225"/>
            <wp:effectExtent l="0" t="0" r="2540" b="0"/>
            <wp:docPr id="13" name="Chart 13" descr="This graph shows that in 2020, the DHBs with the highest Māori to non-Māori ratios in community treatment orders were Auckland, Waikato and Wairarapa with a ratio of about 4.5 to 1. The average across New Zealand was just lower than 4 to 1. The DHBs with the lowest ratios were Nelson Marlborough, South Canterbury, Tairāwhiti and Whanganui which had ratios between 2-3 to 1.">
              <a:extLst xmlns:a="http://schemas.openxmlformats.org/drawingml/2006/main">
                <a:ext uri="{FF2B5EF4-FFF2-40B4-BE49-F238E27FC236}">
                  <a16:creationId xmlns:a16="http://schemas.microsoft.com/office/drawing/2014/main" id="{00000000-0008-0000-1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308C6E" w14:textId="77777777" w:rsidR="00410071" w:rsidRPr="00200234" w:rsidRDefault="00410071" w:rsidP="002B295C">
      <w:pPr>
        <w:pStyle w:val="Note"/>
        <w:rPr>
          <w:rFonts w:eastAsia="Calibri"/>
        </w:rPr>
      </w:pPr>
      <w:r w:rsidRPr="00200234">
        <w:rPr>
          <w:rFonts w:eastAsia="Calibri"/>
        </w:rPr>
        <w:t>Note</w:t>
      </w:r>
      <w:r>
        <w:rPr>
          <w:rFonts w:eastAsia="Calibri"/>
        </w:rPr>
        <w:t>s</w:t>
      </w:r>
      <w:r w:rsidRPr="00200234">
        <w:rPr>
          <w:rFonts w:eastAsia="Calibri"/>
        </w:rPr>
        <w:t>: Confidence intervals (for 99 percent confidence) have been used to aid interpretation. Where a DHB</w:t>
      </w:r>
      <w:r w:rsidR="0039221C">
        <w:rPr>
          <w:rFonts w:eastAsia="Calibri"/>
        </w:rPr>
        <w:t>’</w:t>
      </w:r>
      <w:r w:rsidRPr="00200234">
        <w:rPr>
          <w:rFonts w:eastAsia="Calibri"/>
        </w:rPr>
        <w:t>s confidence interval crosses the national average, the DHB</w:t>
      </w:r>
      <w:r w:rsidR="0039221C">
        <w:rPr>
          <w:rFonts w:eastAsia="Calibri"/>
        </w:rPr>
        <w:t>’</w:t>
      </w:r>
      <w:r w:rsidRPr="00200234">
        <w:rPr>
          <w:rFonts w:eastAsia="Calibri"/>
        </w:rPr>
        <w:t>s rate per 100,000 is not statistically different to the national average. These are age-standardised rates.</w:t>
      </w:r>
    </w:p>
    <w:p w14:paraId="3D87FCFA" w14:textId="77777777" w:rsidR="00410071" w:rsidRDefault="00410071" w:rsidP="002B295C">
      <w:pPr>
        <w:pStyle w:val="Source"/>
        <w:rPr>
          <w:rFonts w:eastAsia="Calibri"/>
        </w:rPr>
      </w:pPr>
      <w:r w:rsidRPr="00200234">
        <w:rPr>
          <w:rFonts w:eastAsia="Calibri"/>
        </w:rPr>
        <w:t>Sources: PRIMHD data</w:t>
      </w:r>
      <w:r>
        <w:rPr>
          <w:rFonts w:eastAsia="Calibri"/>
        </w:rPr>
        <w:t xml:space="preserve"> (extracted</w:t>
      </w:r>
      <w:r w:rsidRPr="00200234">
        <w:rPr>
          <w:rFonts w:eastAsia="Calibri"/>
        </w:rPr>
        <w:t xml:space="preserve"> </w:t>
      </w:r>
      <w:r>
        <w:rPr>
          <w:rFonts w:eastAsia="Calibri"/>
        </w:rPr>
        <w:t>1 July 2021).</w:t>
      </w:r>
    </w:p>
    <w:p w14:paraId="2500D252" w14:textId="77777777" w:rsidR="002B295C" w:rsidRPr="002B295C" w:rsidRDefault="002B295C" w:rsidP="002B295C">
      <w:pPr>
        <w:rPr>
          <w:rFonts w:eastAsia="Calibri"/>
        </w:rPr>
      </w:pPr>
    </w:p>
    <w:p w14:paraId="2B9162EA" w14:textId="15C4C838" w:rsidR="00410071" w:rsidRDefault="00410071" w:rsidP="002B295C">
      <w:pPr>
        <w:pStyle w:val="Figure"/>
      </w:pPr>
      <w:bookmarkStart w:id="95" w:name="_Ref84330306"/>
      <w:bookmarkStart w:id="96" w:name="_Toc63764752"/>
      <w:bookmarkStart w:id="97" w:name="_Toc75176480"/>
      <w:bookmarkStart w:id="98" w:name="_Toc85442570"/>
      <w:bookmarkStart w:id="99" w:name="_Toc85445916"/>
      <w:bookmarkStart w:id="100" w:name="_Toc87429957"/>
      <w:bookmarkStart w:id="101" w:name="_Toc88561389"/>
      <w:r>
        <w:lastRenderedPageBreak/>
        <w:t>Figure</w:t>
      </w:r>
      <w:r w:rsidR="002B295C">
        <w:t> </w:t>
      </w:r>
      <w:r w:rsidR="00592799">
        <w:fldChar w:fldCharType="begin"/>
      </w:r>
      <w:r w:rsidR="00592799">
        <w:instrText xml:space="preserve"> SEQ Figure \* ARABIC </w:instrText>
      </w:r>
      <w:r w:rsidR="00592799">
        <w:fldChar w:fldCharType="separate"/>
      </w:r>
      <w:r w:rsidR="00840F18">
        <w:rPr>
          <w:noProof/>
        </w:rPr>
        <w:t>8</w:t>
      </w:r>
      <w:r w:rsidR="00592799">
        <w:rPr>
          <w:noProof/>
        </w:rPr>
        <w:fldChar w:fldCharType="end"/>
      </w:r>
      <w:bookmarkEnd w:id="95"/>
      <w:r w:rsidRPr="00200234">
        <w:t>: Rate ratio of Māori to non-Māori subject to an inpatient treatment order (section 30) under the Mental Health Act per 100,000 population, by DHB, 1 January to 31 December 20</w:t>
      </w:r>
      <w:bookmarkEnd w:id="96"/>
      <w:r>
        <w:t>20</w:t>
      </w:r>
      <w:bookmarkEnd w:id="97"/>
      <w:bookmarkEnd w:id="98"/>
      <w:bookmarkEnd w:id="99"/>
      <w:bookmarkEnd w:id="100"/>
      <w:bookmarkEnd w:id="101"/>
    </w:p>
    <w:p w14:paraId="038C7DA8" w14:textId="77777777" w:rsidR="00410071" w:rsidRPr="002B295C" w:rsidRDefault="00410071" w:rsidP="00410071">
      <w:r>
        <w:rPr>
          <w:noProof/>
          <w:lang w:eastAsia="en-NZ"/>
        </w:rPr>
        <w:drawing>
          <wp:inline distT="0" distB="0" distL="0" distR="0" wp14:anchorId="62C2730E" wp14:editId="1B7021A0">
            <wp:extent cx="5735781" cy="3350030"/>
            <wp:effectExtent l="0" t="0" r="0" b="3175"/>
            <wp:docPr id="14" name="Chart 14" descr="This graph shows that in 2020, the DHB with the highest Māori to non-Māori ratio in inpatient treatment orders was Capital &amp; Coast with a ratio of about 6 to 1. The next highest was Whanganui with a ratio of about 4.5 to 1. The average across New Zealand was just lower than 3 to 1. The DHBs with the lowest ratios were Wairarapa (which didn't have a ratio) and Hutt Valley and Southern which both had ratios below 2.3 to 1.">
              <a:extLst xmlns:a="http://schemas.openxmlformats.org/drawingml/2006/main">
                <a:ext uri="{FF2B5EF4-FFF2-40B4-BE49-F238E27FC236}">
                  <a16:creationId xmlns:a16="http://schemas.microsoft.com/office/drawing/2014/main" id="{00000000-0008-0000-1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FBD56EB" w14:textId="77777777" w:rsidR="0039221C" w:rsidRDefault="00410071" w:rsidP="002B295C">
      <w:pPr>
        <w:pStyle w:val="Note"/>
        <w:rPr>
          <w:rFonts w:eastAsia="Calibri"/>
        </w:rPr>
      </w:pPr>
      <w:r w:rsidRPr="00200234">
        <w:rPr>
          <w:rFonts w:eastAsia="Calibri"/>
        </w:rPr>
        <w:t>Note</w:t>
      </w:r>
      <w:r>
        <w:rPr>
          <w:rFonts w:eastAsia="Calibri"/>
        </w:rPr>
        <w:t>s</w:t>
      </w:r>
      <w:r w:rsidRPr="00200234">
        <w:rPr>
          <w:rFonts w:eastAsia="Calibri"/>
        </w:rPr>
        <w:t>: Confidence intervals (for 99 percent confidence) have been used to aid interpretation. Where a DHB</w:t>
      </w:r>
      <w:r w:rsidR="0039221C">
        <w:rPr>
          <w:rFonts w:eastAsia="Calibri"/>
        </w:rPr>
        <w:t>’</w:t>
      </w:r>
      <w:r w:rsidRPr="00200234">
        <w:rPr>
          <w:rFonts w:eastAsia="Calibri"/>
        </w:rPr>
        <w:t>s confidence interval crosses the national average, the DHB</w:t>
      </w:r>
      <w:r w:rsidR="0039221C">
        <w:rPr>
          <w:rFonts w:eastAsia="Calibri"/>
        </w:rPr>
        <w:t>’</w:t>
      </w:r>
      <w:r w:rsidRPr="00200234">
        <w:rPr>
          <w:rFonts w:eastAsia="Calibri"/>
        </w:rPr>
        <w:t xml:space="preserve">s rate per 100,000 is not statistically different to the national average. These are age-standardised rates. Because </w:t>
      </w:r>
      <w:r>
        <w:rPr>
          <w:rFonts w:eastAsia="Calibri"/>
        </w:rPr>
        <w:t>South Canterbury and West Coast DHBs</w:t>
      </w:r>
      <w:r w:rsidRPr="00200234">
        <w:rPr>
          <w:rFonts w:eastAsia="Calibri"/>
        </w:rPr>
        <w:t xml:space="preserve"> h</w:t>
      </w:r>
      <w:r>
        <w:rPr>
          <w:rFonts w:eastAsia="Calibri"/>
        </w:rPr>
        <w:t>ave</w:t>
      </w:r>
      <w:r w:rsidRPr="00200234">
        <w:rPr>
          <w:rFonts w:eastAsia="Calibri"/>
        </w:rPr>
        <w:t xml:space="preserve"> a small population, </w:t>
      </w:r>
      <w:r>
        <w:rPr>
          <w:rFonts w:eastAsia="Calibri"/>
        </w:rPr>
        <w:t>their</w:t>
      </w:r>
      <w:r w:rsidRPr="00200234">
        <w:rPr>
          <w:rFonts w:eastAsia="Calibri"/>
        </w:rPr>
        <w:t xml:space="preserve"> rates are very volatile and error bars of the resulting calculations are large. </w:t>
      </w:r>
      <w:r>
        <w:rPr>
          <w:rFonts w:eastAsia="Calibri"/>
        </w:rPr>
        <w:t>Tairāwhiti DHB had an extremely high upper confidence interval limit.</w:t>
      </w:r>
      <w:r w:rsidRPr="00200234">
        <w:rPr>
          <w:rFonts w:eastAsia="Calibri"/>
        </w:rPr>
        <w:t xml:space="preserve"> This graph does not include </w:t>
      </w:r>
      <w:r>
        <w:rPr>
          <w:rFonts w:eastAsia="Calibri"/>
        </w:rPr>
        <w:t>the</w:t>
      </w:r>
      <w:r w:rsidRPr="00200234">
        <w:rPr>
          <w:rFonts w:eastAsia="Calibri"/>
        </w:rPr>
        <w:t xml:space="preserve"> data </w:t>
      </w:r>
      <w:r>
        <w:rPr>
          <w:rFonts w:eastAsia="Calibri"/>
        </w:rPr>
        <w:t xml:space="preserve">for South Canterbury, Tairāwhiti and West Coast DHBs </w:t>
      </w:r>
      <w:r w:rsidRPr="00200234">
        <w:rPr>
          <w:rFonts w:eastAsia="Calibri"/>
        </w:rPr>
        <w:t>to avoid skewing the overall results.</w:t>
      </w:r>
    </w:p>
    <w:p w14:paraId="5DBC5ABF" w14:textId="77777777" w:rsidR="00410071" w:rsidRPr="00200234" w:rsidRDefault="00410071" w:rsidP="002B295C">
      <w:pPr>
        <w:pStyle w:val="Source"/>
        <w:rPr>
          <w:rFonts w:eastAsia="Calibri"/>
        </w:rPr>
      </w:pPr>
      <w:r w:rsidRPr="00200234">
        <w:rPr>
          <w:rFonts w:eastAsia="Calibri"/>
        </w:rPr>
        <w:t>Sources: PRIMHD data</w:t>
      </w:r>
      <w:r>
        <w:rPr>
          <w:rFonts w:eastAsia="Calibri"/>
        </w:rPr>
        <w:t xml:space="preserve"> (1 July 2021)</w:t>
      </w:r>
      <w:r w:rsidRPr="00200234">
        <w:rPr>
          <w:rFonts w:eastAsia="Calibri"/>
        </w:rPr>
        <w:t xml:space="preserve"> and manual data from </w:t>
      </w:r>
      <w:r>
        <w:rPr>
          <w:rFonts w:eastAsia="Calibri"/>
        </w:rPr>
        <w:t>Counties Manukau</w:t>
      </w:r>
      <w:r w:rsidRPr="00200234">
        <w:rPr>
          <w:rFonts w:eastAsia="Calibri"/>
        </w:rPr>
        <w:t xml:space="preserve"> DHB</w:t>
      </w:r>
      <w:r w:rsidRPr="00200234" w:rsidDel="00BF5381">
        <w:rPr>
          <w:rFonts w:eastAsia="Calibri"/>
        </w:rPr>
        <w:t xml:space="preserve"> </w:t>
      </w:r>
      <w:r w:rsidRPr="00200234">
        <w:rPr>
          <w:rFonts w:eastAsia="Calibri"/>
        </w:rPr>
        <w:t xml:space="preserve">(which </w:t>
      </w:r>
      <w:r>
        <w:rPr>
          <w:rFonts w:eastAsia="Calibri"/>
        </w:rPr>
        <w:t>is</w:t>
      </w:r>
      <w:r w:rsidRPr="00200234">
        <w:rPr>
          <w:rFonts w:eastAsia="Calibri"/>
        </w:rPr>
        <w:t xml:space="preserve"> excluded from this graph because we do not have their age-standardised rates)</w:t>
      </w:r>
      <w:r>
        <w:rPr>
          <w:rFonts w:eastAsia="Calibri"/>
        </w:rPr>
        <w:t>.</w:t>
      </w:r>
    </w:p>
    <w:p w14:paraId="1DF24860" w14:textId="77777777" w:rsidR="00410071" w:rsidRPr="00200234" w:rsidRDefault="00410071" w:rsidP="004F7791"/>
    <w:p w14:paraId="72CF4F6E" w14:textId="4F850C05" w:rsidR="00410071" w:rsidRDefault="00410071" w:rsidP="004F7791">
      <w:pPr>
        <w:pStyle w:val="Table"/>
      </w:pPr>
      <w:bookmarkStart w:id="102" w:name="_Toc87430003"/>
      <w:bookmarkStart w:id="103" w:name="_Toc88561360"/>
      <w:r>
        <w:t>Table</w:t>
      </w:r>
      <w:r w:rsidR="004F7791">
        <w:t> </w:t>
      </w:r>
      <w:r w:rsidR="00592799">
        <w:fldChar w:fldCharType="begin"/>
      </w:r>
      <w:r w:rsidR="00592799">
        <w:instrText xml:space="preserve"> SEQ Table \* ARABIC </w:instrText>
      </w:r>
      <w:r w:rsidR="00592799">
        <w:fldChar w:fldCharType="separate"/>
      </w:r>
      <w:r w:rsidR="00840F18">
        <w:rPr>
          <w:noProof/>
        </w:rPr>
        <w:t>5</w:t>
      </w:r>
      <w:r w:rsidR="00592799">
        <w:rPr>
          <w:noProof/>
        </w:rPr>
        <w:fldChar w:fldCharType="end"/>
      </w:r>
      <w:r w:rsidRPr="00BA739B">
        <w:t>: Age-standardised rates of Māori, Pacific peoples and other</w:t>
      </w:r>
      <w:r>
        <w:t xml:space="preserve"> ethnicitie</w:t>
      </w:r>
      <w:r w:rsidRPr="00BA739B">
        <w:t>s subject to community and inpatient treatment orders (sections 29 and 30 respectively) under the Mental Health Act, by sex, 1 January to 31 December 2020</w:t>
      </w:r>
      <w:bookmarkEnd w:id="102"/>
      <w:bookmarkEnd w:id="103"/>
    </w:p>
    <w:tbl>
      <w:tblPr>
        <w:tblW w:w="0" w:type="auto"/>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1E0" w:firstRow="1" w:lastRow="1" w:firstColumn="1" w:lastColumn="1" w:noHBand="0" w:noVBand="0"/>
      </w:tblPr>
      <w:tblGrid>
        <w:gridCol w:w="3771"/>
        <w:gridCol w:w="1077"/>
        <w:gridCol w:w="1077"/>
        <w:gridCol w:w="1077"/>
        <w:gridCol w:w="1078"/>
      </w:tblGrid>
      <w:tr w:rsidR="00410071" w:rsidRPr="00200234" w14:paraId="69A9103C" w14:textId="77777777" w:rsidTr="004F7791">
        <w:trPr>
          <w:cantSplit/>
        </w:trPr>
        <w:tc>
          <w:tcPr>
            <w:tcW w:w="3771" w:type="dxa"/>
            <w:vMerge w:val="restart"/>
            <w:tcBorders>
              <w:top w:val="nil"/>
              <w:bottom w:val="nil"/>
              <w:right w:val="single" w:sz="4" w:space="0" w:color="A6A6A6"/>
            </w:tcBorders>
            <w:shd w:val="clear" w:color="auto" w:fill="D9D9D9"/>
          </w:tcPr>
          <w:p w14:paraId="162736E2" w14:textId="77777777" w:rsidR="00410071" w:rsidRPr="00200234" w:rsidRDefault="00410071" w:rsidP="004F7791">
            <w:pPr>
              <w:pStyle w:val="TableText"/>
            </w:pPr>
          </w:p>
        </w:tc>
        <w:tc>
          <w:tcPr>
            <w:tcW w:w="2154" w:type="dxa"/>
            <w:gridSpan w:val="2"/>
            <w:tcBorders>
              <w:top w:val="nil"/>
              <w:left w:val="single" w:sz="4" w:space="0" w:color="A6A6A6"/>
              <w:bottom w:val="nil"/>
              <w:right w:val="single" w:sz="4" w:space="0" w:color="A6A6A6"/>
            </w:tcBorders>
            <w:shd w:val="clear" w:color="auto" w:fill="D9D9D9"/>
          </w:tcPr>
          <w:p w14:paraId="797142C1" w14:textId="77777777" w:rsidR="00410071" w:rsidRPr="00200234" w:rsidRDefault="00410071" w:rsidP="004F7791">
            <w:pPr>
              <w:pStyle w:val="TableText"/>
              <w:jc w:val="center"/>
              <w:rPr>
                <w:b/>
              </w:rPr>
            </w:pPr>
            <w:r w:rsidRPr="00200234">
              <w:rPr>
                <w:b/>
              </w:rPr>
              <w:t>Community treatment orders</w:t>
            </w:r>
          </w:p>
        </w:tc>
        <w:tc>
          <w:tcPr>
            <w:tcW w:w="2155" w:type="dxa"/>
            <w:gridSpan w:val="2"/>
            <w:tcBorders>
              <w:top w:val="nil"/>
              <w:left w:val="single" w:sz="4" w:space="0" w:color="A6A6A6"/>
              <w:bottom w:val="nil"/>
            </w:tcBorders>
            <w:shd w:val="clear" w:color="auto" w:fill="D9D9D9"/>
          </w:tcPr>
          <w:p w14:paraId="091AF155" w14:textId="77777777" w:rsidR="00410071" w:rsidRPr="00200234" w:rsidRDefault="00410071" w:rsidP="004F7791">
            <w:pPr>
              <w:pStyle w:val="TableText"/>
              <w:jc w:val="center"/>
              <w:rPr>
                <w:b/>
              </w:rPr>
            </w:pPr>
            <w:r w:rsidRPr="00200234">
              <w:rPr>
                <w:b/>
              </w:rPr>
              <w:t>Inpatient treatment orders</w:t>
            </w:r>
          </w:p>
        </w:tc>
      </w:tr>
      <w:tr w:rsidR="00410071" w:rsidRPr="00200234" w14:paraId="17E1DD0F" w14:textId="77777777" w:rsidTr="004F7791">
        <w:trPr>
          <w:cantSplit/>
        </w:trPr>
        <w:tc>
          <w:tcPr>
            <w:tcW w:w="3771" w:type="dxa"/>
            <w:vMerge/>
            <w:tcBorders>
              <w:top w:val="nil"/>
              <w:bottom w:val="nil"/>
              <w:right w:val="single" w:sz="4" w:space="0" w:color="A6A6A6"/>
            </w:tcBorders>
            <w:shd w:val="clear" w:color="auto" w:fill="D9D9D9"/>
          </w:tcPr>
          <w:p w14:paraId="15E0BD25" w14:textId="77777777" w:rsidR="00410071" w:rsidRPr="00200234" w:rsidRDefault="00410071" w:rsidP="004F7791">
            <w:pPr>
              <w:pStyle w:val="TableText"/>
            </w:pPr>
          </w:p>
        </w:tc>
        <w:tc>
          <w:tcPr>
            <w:tcW w:w="1077" w:type="dxa"/>
            <w:tcBorders>
              <w:top w:val="nil"/>
              <w:left w:val="single" w:sz="4" w:space="0" w:color="A6A6A6"/>
              <w:bottom w:val="nil"/>
            </w:tcBorders>
            <w:shd w:val="clear" w:color="auto" w:fill="D9D9D9"/>
          </w:tcPr>
          <w:p w14:paraId="69C4E4C5" w14:textId="77777777" w:rsidR="00410071" w:rsidRPr="00200234" w:rsidRDefault="00410071" w:rsidP="004F7791">
            <w:pPr>
              <w:pStyle w:val="TableText"/>
              <w:spacing w:before="0"/>
              <w:jc w:val="center"/>
              <w:rPr>
                <w:b/>
              </w:rPr>
            </w:pPr>
            <w:r w:rsidRPr="00200234">
              <w:rPr>
                <w:b/>
              </w:rPr>
              <w:t>Male</w:t>
            </w:r>
          </w:p>
        </w:tc>
        <w:tc>
          <w:tcPr>
            <w:tcW w:w="1077" w:type="dxa"/>
            <w:tcBorders>
              <w:top w:val="nil"/>
              <w:bottom w:val="nil"/>
              <w:right w:val="single" w:sz="4" w:space="0" w:color="A6A6A6"/>
            </w:tcBorders>
            <w:shd w:val="clear" w:color="auto" w:fill="D9D9D9"/>
          </w:tcPr>
          <w:p w14:paraId="4189397A" w14:textId="77777777" w:rsidR="00410071" w:rsidRPr="00200234" w:rsidRDefault="00410071" w:rsidP="004F7791">
            <w:pPr>
              <w:pStyle w:val="TableText"/>
              <w:spacing w:before="0"/>
              <w:jc w:val="center"/>
              <w:rPr>
                <w:b/>
              </w:rPr>
            </w:pPr>
            <w:r w:rsidRPr="00200234">
              <w:rPr>
                <w:b/>
              </w:rPr>
              <w:t>Female</w:t>
            </w:r>
          </w:p>
        </w:tc>
        <w:tc>
          <w:tcPr>
            <w:tcW w:w="1077" w:type="dxa"/>
            <w:tcBorders>
              <w:top w:val="nil"/>
              <w:left w:val="single" w:sz="4" w:space="0" w:color="A6A6A6"/>
              <w:bottom w:val="nil"/>
            </w:tcBorders>
            <w:shd w:val="clear" w:color="auto" w:fill="D9D9D9"/>
          </w:tcPr>
          <w:p w14:paraId="486EC3FA" w14:textId="77777777" w:rsidR="00410071" w:rsidRPr="00200234" w:rsidRDefault="00410071" w:rsidP="004F7791">
            <w:pPr>
              <w:pStyle w:val="TableText"/>
              <w:spacing w:before="0"/>
              <w:jc w:val="center"/>
              <w:rPr>
                <w:b/>
              </w:rPr>
            </w:pPr>
            <w:r w:rsidRPr="00200234">
              <w:rPr>
                <w:b/>
              </w:rPr>
              <w:t>Male</w:t>
            </w:r>
          </w:p>
        </w:tc>
        <w:tc>
          <w:tcPr>
            <w:tcW w:w="1078" w:type="dxa"/>
            <w:tcBorders>
              <w:top w:val="nil"/>
              <w:bottom w:val="nil"/>
            </w:tcBorders>
            <w:shd w:val="clear" w:color="auto" w:fill="D9D9D9"/>
          </w:tcPr>
          <w:p w14:paraId="5C6132AC" w14:textId="77777777" w:rsidR="00410071" w:rsidRPr="00200234" w:rsidRDefault="00410071" w:rsidP="004F7791">
            <w:pPr>
              <w:pStyle w:val="TableText"/>
              <w:spacing w:before="0"/>
              <w:jc w:val="center"/>
              <w:rPr>
                <w:b/>
              </w:rPr>
            </w:pPr>
            <w:r w:rsidRPr="00200234">
              <w:rPr>
                <w:b/>
              </w:rPr>
              <w:t>Female</w:t>
            </w:r>
          </w:p>
        </w:tc>
      </w:tr>
      <w:tr w:rsidR="00410071" w:rsidRPr="00200234" w14:paraId="68A5E0F7" w14:textId="77777777" w:rsidTr="004F7791">
        <w:trPr>
          <w:cantSplit/>
        </w:trPr>
        <w:tc>
          <w:tcPr>
            <w:tcW w:w="3771" w:type="dxa"/>
            <w:tcBorders>
              <w:top w:val="nil"/>
              <w:right w:val="single" w:sz="4" w:space="0" w:color="A6A6A6"/>
            </w:tcBorders>
          </w:tcPr>
          <w:p w14:paraId="4EEA437E" w14:textId="77777777" w:rsidR="00410071" w:rsidRPr="00200234" w:rsidRDefault="00410071" w:rsidP="004F7791">
            <w:pPr>
              <w:pStyle w:val="TableText"/>
            </w:pPr>
            <w:r w:rsidRPr="00200234">
              <w:t>Māori</w:t>
            </w:r>
          </w:p>
        </w:tc>
        <w:tc>
          <w:tcPr>
            <w:tcW w:w="1077" w:type="dxa"/>
            <w:tcBorders>
              <w:top w:val="nil"/>
              <w:left w:val="single" w:sz="4" w:space="0" w:color="A6A6A6"/>
            </w:tcBorders>
          </w:tcPr>
          <w:p w14:paraId="0C2C17B6" w14:textId="77777777" w:rsidR="00410071" w:rsidRPr="00200234" w:rsidRDefault="00410071" w:rsidP="004F7791">
            <w:pPr>
              <w:pStyle w:val="TableText"/>
              <w:jc w:val="center"/>
            </w:pPr>
            <w:r>
              <w:t>428.2</w:t>
            </w:r>
          </w:p>
        </w:tc>
        <w:tc>
          <w:tcPr>
            <w:tcW w:w="1077" w:type="dxa"/>
            <w:tcBorders>
              <w:top w:val="nil"/>
              <w:right w:val="single" w:sz="4" w:space="0" w:color="A6A6A6"/>
            </w:tcBorders>
          </w:tcPr>
          <w:p w14:paraId="129659EA" w14:textId="77777777" w:rsidR="00410071" w:rsidRPr="00200234" w:rsidRDefault="00410071" w:rsidP="004F7791">
            <w:pPr>
              <w:pStyle w:val="TableText"/>
              <w:jc w:val="center"/>
            </w:pPr>
            <w:r>
              <w:t>235.7</w:t>
            </w:r>
          </w:p>
        </w:tc>
        <w:tc>
          <w:tcPr>
            <w:tcW w:w="1077" w:type="dxa"/>
            <w:tcBorders>
              <w:top w:val="nil"/>
              <w:left w:val="single" w:sz="4" w:space="0" w:color="A6A6A6"/>
            </w:tcBorders>
          </w:tcPr>
          <w:p w14:paraId="2D0433B6" w14:textId="77777777" w:rsidR="00410071" w:rsidRPr="00200234" w:rsidRDefault="00410071" w:rsidP="004F7791">
            <w:pPr>
              <w:pStyle w:val="TableText"/>
              <w:jc w:val="center"/>
            </w:pPr>
            <w:r>
              <w:t>122.4</w:t>
            </w:r>
          </w:p>
        </w:tc>
        <w:tc>
          <w:tcPr>
            <w:tcW w:w="1078" w:type="dxa"/>
            <w:tcBorders>
              <w:top w:val="nil"/>
            </w:tcBorders>
          </w:tcPr>
          <w:p w14:paraId="15408E75" w14:textId="77777777" w:rsidR="00410071" w:rsidRPr="00200234" w:rsidRDefault="00410071" w:rsidP="004F7791">
            <w:pPr>
              <w:pStyle w:val="TableText"/>
              <w:jc w:val="center"/>
            </w:pPr>
            <w:r>
              <w:t>72.4</w:t>
            </w:r>
          </w:p>
        </w:tc>
      </w:tr>
      <w:tr w:rsidR="00410071" w:rsidRPr="00200234" w14:paraId="623D98A6" w14:textId="77777777" w:rsidTr="004F7791">
        <w:trPr>
          <w:cantSplit/>
        </w:trPr>
        <w:tc>
          <w:tcPr>
            <w:tcW w:w="3771" w:type="dxa"/>
            <w:tcBorders>
              <w:right w:val="single" w:sz="4" w:space="0" w:color="A6A6A6"/>
            </w:tcBorders>
          </w:tcPr>
          <w:p w14:paraId="3EB441FE" w14:textId="77777777" w:rsidR="00410071" w:rsidRPr="00200234" w:rsidRDefault="00410071" w:rsidP="004F7791">
            <w:pPr>
              <w:pStyle w:val="TableText"/>
            </w:pPr>
            <w:r>
              <w:t>Pacific peoples</w:t>
            </w:r>
          </w:p>
        </w:tc>
        <w:tc>
          <w:tcPr>
            <w:tcW w:w="1077" w:type="dxa"/>
            <w:tcBorders>
              <w:left w:val="single" w:sz="4" w:space="0" w:color="A6A6A6"/>
            </w:tcBorders>
          </w:tcPr>
          <w:p w14:paraId="24547415" w14:textId="77777777" w:rsidR="00410071" w:rsidRPr="00200234" w:rsidRDefault="00410071" w:rsidP="004F7791">
            <w:pPr>
              <w:pStyle w:val="TableText"/>
              <w:jc w:val="center"/>
            </w:pPr>
            <w:r>
              <w:t>244.7</w:t>
            </w:r>
          </w:p>
        </w:tc>
        <w:tc>
          <w:tcPr>
            <w:tcW w:w="1077" w:type="dxa"/>
            <w:tcBorders>
              <w:right w:val="single" w:sz="4" w:space="0" w:color="A6A6A6"/>
            </w:tcBorders>
          </w:tcPr>
          <w:p w14:paraId="56F6160E" w14:textId="77777777" w:rsidR="00410071" w:rsidRPr="00200234" w:rsidRDefault="00410071" w:rsidP="004F7791">
            <w:pPr>
              <w:pStyle w:val="TableText"/>
              <w:jc w:val="center"/>
            </w:pPr>
            <w:r>
              <w:t>122.0</w:t>
            </w:r>
          </w:p>
        </w:tc>
        <w:tc>
          <w:tcPr>
            <w:tcW w:w="1077" w:type="dxa"/>
            <w:tcBorders>
              <w:left w:val="single" w:sz="4" w:space="0" w:color="A6A6A6"/>
            </w:tcBorders>
          </w:tcPr>
          <w:p w14:paraId="39B8FB6A" w14:textId="77777777" w:rsidR="00410071" w:rsidRPr="00200234" w:rsidRDefault="00410071" w:rsidP="004F7791">
            <w:pPr>
              <w:pStyle w:val="TableText"/>
              <w:jc w:val="center"/>
            </w:pPr>
            <w:r>
              <w:t>68.7</w:t>
            </w:r>
          </w:p>
        </w:tc>
        <w:tc>
          <w:tcPr>
            <w:tcW w:w="1078" w:type="dxa"/>
          </w:tcPr>
          <w:p w14:paraId="0891F3AB" w14:textId="77777777" w:rsidR="00410071" w:rsidRPr="00200234" w:rsidRDefault="00410071" w:rsidP="004F7791">
            <w:pPr>
              <w:pStyle w:val="TableText"/>
              <w:jc w:val="center"/>
            </w:pPr>
            <w:r>
              <w:t>40.6</w:t>
            </w:r>
          </w:p>
        </w:tc>
      </w:tr>
      <w:tr w:rsidR="00410071" w:rsidRPr="00200234" w14:paraId="12213D61" w14:textId="77777777" w:rsidTr="004F7791">
        <w:trPr>
          <w:cantSplit/>
        </w:trPr>
        <w:tc>
          <w:tcPr>
            <w:tcW w:w="3771" w:type="dxa"/>
            <w:tcBorders>
              <w:right w:val="single" w:sz="4" w:space="0" w:color="A6A6A6"/>
            </w:tcBorders>
          </w:tcPr>
          <w:p w14:paraId="7015F49D" w14:textId="77777777" w:rsidR="00410071" w:rsidRPr="00200234" w:rsidRDefault="00410071" w:rsidP="004F7791">
            <w:pPr>
              <w:pStyle w:val="TableText"/>
            </w:pPr>
            <w:r>
              <w:t>Other ethnicities</w:t>
            </w:r>
          </w:p>
        </w:tc>
        <w:tc>
          <w:tcPr>
            <w:tcW w:w="1077" w:type="dxa"/>
            <w:tcBorders>
              <w:left w:val="single" w:sz="4" w:space="0" w:color="A6A6A6"/>
            </w:tcBorders>
          </w:tcPr>
          <w:p w14:paraId="155622D9" w14:textId="77777777" w:rsidR="00410071" w:rsidRPr="00200234" w:rsidRDefault="00410071" w:rsidP="004F7791">
            <w:pPr>
              <w:pStyle w:val="TableText"/>
              <w:jc w:val="center"/>
            </w:pPr>
            <w:r>
              <w:t>100.8</w:t>
            </w:r>
          </w:p>
        </w:tc>
        <w:tc>
          <w:tcPr>
            <w:tcW w:w="1077" w:type="dxa"/>
            <w:tcBorders>
              <w:right w:val="single" w:sz="4" w:space="0" w:color="A6A6A6"/>
            </w:tcBorders>
          </w:tcPr>
          <w:p w14:paraId="2483A365" w14:textId="77777777" w:rsidR="00410071" w:rsidRPr="00200234" w:rsidRDefault="00410071" w:rsidP="004F7791">
            <w:pPr>
              <w:pStyle w:val="TableText"/>
              <w:jc w:val="center"/>
            </w:pPr>
            <w:r>
              <w:t>58.7</w:t>
            </w:r>
          </w:p>
        </w:tc>
        <w:tc>
          <w:tcPr>
            <w:tcW w:w="1077" w:type="dxa"/>
            <w:tcBorders>
              <w:left w:val="single" w:sz="4" w:space="0" w:color="A6A6A6"/>
            </w:tcBorders>
          </w:tcPr>
          <w:p w14:paraId="692014E2" w14:textId="77777777" w:rsidR="00410071" w:rsidRPr="00200234" w:rsidRDefault="00410071" w:rsidP="004F7791">
            <w:pPr>
              <w:pStyle w:val="TableText"/>
              <w:jc w:val="center"/>
            </w:pPr>
            <w:r>
              <w:t>31.9</w:t>
            </w:r>
          </w:p>
        </w:tc>
        <w:tc>
          <w:tcPr>
            <w:tcW w:w="1078" w:type="dxa"/>
          </w:tcPr>
          <w:p w14:paraId="0ECE0EFA" w14:textId="77777777" w:rsidR="00410071" w:rsidRPr="00200234" w:rsidRDefault="00410071" w:rsidP="004F7791">
            <w:pPr>
              <w:pStyle w:val="TableText"/>
              <w:jc w:val="center"/>
            </w:pPr>
            <w:r>
              <w:t>23.7</w:t>
            </w:r>
          </w:p>
        </w:tc>
      </w:tr>
      <w:tr w:rsidR="00410071" w:rsidRPr="00200234" w14:paraId="2CA2C9A5" w14:textId="77777777" w:rsidTr="004F7791">
        <w:trPr>
          <w:cantSplit/>
        </w:trPr>
        <w:tc>
          <w:tcPr>
            <w:tcW w:w="3771" w:type="dxa"/>
            <w:tcBorders>
              <w:right w:val="single" w:sz="4" w:space="0" w:color="A6A6A6"/>
            </w:tcBorders>
          </w:tcPr>
          <w:p w14:paraId="203C5A54" w14:textId="77777777" w:rsidR="00410071" w:rsidRPr="00200234" w:rsidRDefault="00410071" w:rsidP="004F7791">
            <w:pPr>
              <w:pStyle w:val="TableText"/>
            </w:pPr>
            <w:r w:rsidRPr="00200234">
              <w:t>Māori</w:t>
            </w:r>
            <w:r>
              <w:t xml:space="preserve"> to Pacific peoples rate ratio</w:t>
            </w:r>
          </w:p>
        </w:tc>
        <w:tc>
          <w:tcPr>
            <w:tcW w:w="1077" w:type="dxa"/>
            <w:tcBorders>
              <w:left w:val="single" w:sz="4" w:space="0" w:color="A6A6A6"/>
            </w:tcBorders>
          </w:tcPr>
          <w:p w14:paraId="466202CF" w14:textId="77777777" w:rsidR="00410071" w:rsidRPr="00200234" w:rsidRDefault="00410071" w:rsidP="004F7791">
            <w:pPr>
              <w:pStyle w:val="TableText"/>
              <w:jc w:val="center"/>
            </w:pPr>
            <w:r>
              <w:t>1.7:1</w:t>
            </w:r>
          </w:p>
        </w:tc>
        <w:tc>
          <w:tcPr>
            <w:tcW w:w="1077" w:type="dxa"/>
            <w:tcBorders>
              <w:right w:val="single" w:sz="4" w:space="0" w:color="A6A6A6"/>
            </w:tcBorders>
          </w:tcPr>
          <w:p w14:paraId="3912A52D" w14:textId="77777777" w:rsidR="00410071" w:rsidRPr="00200234" w:rsidRDefault="00410071" w:rsidP="004F7791">
            <w:pPr>
              <w:pStyle w:val="TableText"/>
              <w:jc w:val="center"/>
            </w:pPr>
            <w:r>
              <w:t>1.9:1</w:t>
            </w:r>
          </w:p>
        </w:tc>
        <w:tc>
          <w:tcPr>
            <w:tcW w:w="1077" w:type="dxa"/>
            <w:tcBorders>
              <w:left w:val="single" w:sz="4" w:space="0" w:color="A6A6A6"/>
            </w:tcBorders>
          </w:tcPr>
          <w:p w14:paraId="1B57915B" w14:textId="77777777" w:rsidR="00410071" w:rsidRPr="00200234" w:rsidRDefault="00410071" w:rsidP="004F7791">
            <w:pPr>
              <w:pStyle w:val="TableText"/>
              <w:jc w:val="center"/>
            </w:pPr>
            <w:r>
              <w:t>1.8:1</w:t>
            </w:r>
          </w:p>
        </w:tc>
        <w:tc>
          <w:tcPr>
            <w:tcW w:w="1078" w:type="dxa"/>
          </w:tcPr>
          <w:p w14:paraId="09701A04" w14:textId="77777777" w:rsidR="00410071" w:rsidRPr="00200234" w:rsidRDefault="00410071" w:rsidP="004F7791">
            <w:pPr>
              <w:pStyle w:val="TableText"/>
              <w:jc w:val="center"/>
            </w:pPr>
            <w:r>
              <w:t>1.8:1</w:t>
            </w:r>
          </w:p>
        </w:tc>
      </w:tr>
      <w:tr w:rsidR="00410071" w:rsidRPr="00200234" w14:paraId="5D166393" w14:textId="77777777" w:rsidTr="004F7791">
        <w:trPr>
          <w:cantSplit/>
        </w:trPr>
        <w:tc>
          <w:tcPr>
            <w:tcW w:w="3771" w:type="dxa"/>
            <w:tcBorders>
              <w:right w:val="single" w:sz="4" w:space="0" w:color="A6A6A6"/>
            </w:tcBorders>
          </w:tcPr>
          <w:p w14:paraId="7C1E8FA3" w14:textId="77777777" w:rsidR="00410071" w:rsidRPr="00200234" w:rsidRDefault="00410071" w:rsidP="004F7791">
            <w:pPr>
              <w:pStyle w:val="TableText"/>
            </w:pPr>
            <w:r>
              <w:t>Pacific peoples to other ethnicities rate ratio</w:t>
            </w:r>
          </w:p>
        </w:tc>
        <w:tc>
          <w:tcPr>
            <w:tcW w:w="1077" w:type="dxa"/>
            <w:tcBorders>
              <w:left w:val="single" w:sz="4" w:space="0" w:color="A6A6A6"/>
            </w:tcBorders>
          </w:tcPr>
          <w:p w14:paraId="3B79521B" w14:textId="77777777" w:rsidR="00410071" w:rsidRPr="00200234" w:rsidRDefault="00410071" w:rsidP="004F7791">
            <w:pPr>
              <w:pStyle w:val="TableText"/>
              <w:jc w:val="center"/>
            </w:pPr>
            <w:r>
              <w:t>2.4:1</w:t>
            </w:r>
          </w:p>
        </w:tc>
        <w:tc>
          <w:tcPr>
            <w:tcW w:w="1077" w:type="dxa"/>
            <w:tcBorders>
              <w:right w:val="single" w:sz="4" w:space="0" w:color="A6A6A6"/>
            </w:tcBorders>
          </w:tcPr>
          <w:p w14:paraId="384FB33F" w14:textId="77777777" w:rsidR="00410071" w:rsidRPr="00200234" w:rsidRDefault="00410071" w:rsidP="004F7791">
            <w:pPr>
              <w:pStyle w:val="TableText"/>
              <w:jc w:val="center"/>
            </w:pPr>
            <w:r>
              <w:t>2.1:1</w:t>
            </w:r>
          </w:p>
        </w:tc>
        <w:tc>
          <w:tcPr>
            <w:tcW w:w="1077" w:type="dxa"/>
            <w:tcBorders>
              <w:left w:val="single" w:sz="4" w:space="0" w:color="A6A6A6"/>
            </w:tcBorders>
          </w:tcPr>
          <w:p w14:paraId="649C3EC4" w14:textId="77777777" w:rsidR="00410071" w:rsidRPr="00200234" w:rsidRDefault="00410071" w:rsidP="004F7791">
            <w:pPr>
              <w:pStyle w:val="TableText"/>
              <w:jc w:val="center"/>
            </w:pPr>
            <w:r>
              <w:t>2.2:1</w:t>
            </w:r>
          </w:p>
        </w:tc>
        <w:tc>
          <w:tcPr>
            <w:tcW w:w="1078" w:type="dxa"/>
          </w:tcPr>
          <w:p w14:paraId="5920DEF6" w14:textId="77777777" w:rsidR="00410071" w:rsidRPr="00200234" w:rsidRDefault="00410071" w:rsidP="004F7791">
            <w:pPr>
              <w:pStyle w:val="TableText"/>
              <w:jc w:val="center"/>
            </w:pPr>
            <w:r>
              <w:t>1.7:1</w:t>
            </w:r>
          </w:p>
        </w:tc>
      </w:tr>
      <w:tr w:rsidR="00410071" w:rsidRPr="00200234" w14:paraId="7529FF8C" w14:textId="77777777" w:rsidTr="004F7791">
        <w:trPr>
          <w:cantSplit/>
        </w:trPr>
        <w:tc>
          <w:tcPr>
            <w:tcW w:w="3771" w:type="dxa"/>
            <w:tcBorders>
              <w:right w:val="single" w:sz="4" w:space="0" w:color="A6A6A6"/>
            </w:tcBorders>
          </w:tcPr>
          <w:p w14:paraId="3EF6E0EF" w14:textId="77777777" w:rsidR="00410071" w:rsidRDefault="00410071" w:rsidP="004F7791">
            <w:pPr>
              <w:pStyle w:val="TableText"/>
            </w:pPr>
            <w:r>
              <w:t>Māori to other ethnicities rate ratio</w:t>
            </w:r>
          </w:p>
        </w:tc>
        <w:tc>
          <w:tcPr>
            <w:tcW w:w="1077" w:type="dxa"/>
            <w:tcBorders>
              <w:left w:val="single" w:sz="4" w:space="0" w:color="A6A6A6"/>
            </w:tcBorders>
          </w:tcPr>
          <w:p w14:paraId="20200532" w14:textId="77777777" w:rsidR="00410071" w:rsidRPr="00200234" w:rsidRDefault="00410071" w:rsidP="004F7791">
            <w:pPr>
              <w:pStyle w:val="TableText"/>
              <w:jc w:val="center"/>
            </w:pPr>
            <w:r>
              <w:t>4.2:1</w:t>
            </w:r>
          </w:p>
        </w:tc>
        <w:tc>
          <w:tcPr>
            <w:tcW w:w="1077" w:type="dxa"/>
            <w:tcBorders>
              <w:right w:val="single" w:sz="4" w:space="0" w:color="A6A6A6"/>
            </w:tcBorders>
          </w:tcPr>
          <w:p w14:paraId="077416E0" w14:textId="77777777" w:rsidR="00410071" w:rsidRPr="00200234" w:rsidRDefault="00410071" w:rsidP="004F7791">
            <w:pPr>
              <w:pStyle w:val="TableText"/>
              <w:jc w:val="center"/>
            </w:pPr>
            <w:r>
              <w:t>4:1</w:t>
            </w:r>
          </w:p>
        </w:tc>
        <w:tc>
          <w:tcPr>
            <w:tcW w:w="1077" w:type="dxa"/>
            <w:tcBorders>
              <w:left w:val="single" w:sz="4" w:space="0" w:color="A6A6A6"/>
            </w:tcBorders>
          </w:tcPr>
          <w:p w14:paraId="0B9E3C56" w14:textId="77777777" w:rsidR="00410071" w:rsidRPr="00200234" w:rsidRDefault="00410071" w:rsidP="004F7791">
            <w:pPr>
              <w:pStyle w:val="TableText"/>
              <w:jc w:val="center"/>
            </w:pPr>
            <w:r>
              <w:t>3.8:1</w:t>
            </w:r>
          </w:p>
        </w:tc>
        <w:tc>
          <w:tcPr>
            <w:tcW w:w="1078" w:type="dxa"/>
          </w:tcPr>
          <w:p w14:paraId="507D621E" w14:textId="77777777" w:rsidR="00410071" w:rsidRPr="00200234" w:rsidRDefault="00410071" w:rsidP="004F7791">
            <w:pPr>
              <w:pStyle w:val="TableText"/>
              <w:jc w:val="center"/>
            </w:pPr>
            <w:r>
              <w:t>3.1:1</w:t>
            </w:r>
          </w:p>
        </w:tc>
      </w:tr>
    </w:tbl>
    <w:p w14:paraId="673D9837" w14:textId="77777777" w:rsidR="00410071" w:rsidRPr="00200234" w:rsidRDefault="00410071" w:rsidP="004F7791">
      <w:pPr>
        <w:pStyle w:val="Note"/>
      </w:pPr>
      <w:r w:rsidRPr="00200234">
        <w:t>Note</w:t>
      </w:r>
      <w:r>
        <w:t>s</w:t>
      </w:r>
      <w:r w:rsidRPr="00200234">
        <w:t>: Rates per 100,000 are age</w:t>
      </w:r>
      <w:r>
        <w:t xml:space="preserve"> </w:t>
      </w:r>
      <w:r w:rsidRPr="00200234">
        <w:t xml:space="preserve">standardised. </w:t>
      </w:r>
      <w:r w:rsidR="0039221C">
        <w:t>‘</w:t>
      </w:r>
      <w:r>
        <w:t>Other ethnicities</w:t>
      </w:r>
      <w:r w:rsidR="0039221C">
        <w:t>’</w:t>
      </w:r>
      <w:r>
        <w:t xml:space="preserve"> are all ethnicities excluding Māori and Pacific peoples.</w:t>
      </w:r>
    </w:p>
    <w:p w14:paraId="410567A6" w14:textId="77777777" w:rsidR="00410071" w:rsidRPr="00200234" w:rsidRDefault="00410071" w:rsidP="004F7791">
      <w:pPr>
        <w:pStyle w:val="Source"/>
      </w:pPr>
      <w:r w:rsidRPr="00200234">
        <w:t>Source: PRIMHD data</w:t>
      </w:r>
      <w:r>
        <w:t xml:space="preserve"> (extracted 1 July 2021)</w:t>
      </w:r>
      <w:r w:rsidRPr="00200234">
        <w:t>. Excludes manual data.</w:t>
      </w:r>
    </w:p>
    <w:p w14:paraId="076613D7" w14:textId="77777777" w:rsidR="004F7791" w:rsidRPr="00200234" w:rsidRDefault="004F7791" w:rsidP="004F7791"/>
    <w:p w14:paraId="7213CBFC" w14:textId="6150AFA6" w:rsidR="00410071" w:rsidRDefault="00410071" w:rsidP="00410071">
      <w:pPr>
        <w:pStyle w:val="Figure"/>
      </w:pPr>
      <w:bookmarkStart w:id="104" w:name="_Ref65671957"/>
      <w:bookmarkStart w:id="105" w:name="_Toc63764754"/>
      <w:bookmarkStart w:id="106" w:name="_Toc75176481"/>
      <w:bookmarkStart w:id="107" w:name="_Toc85442571"/>
      <w:bookmarkStart w:id="108" w:name="_Toc85445918"/>
      <w:bookmarkStart w:id="109" w:name="_Toc87429958"/>
      <w:bookmarkStart w:id="110" w:name="_Toc88561390"/>
      <w:r>
        <w:lastRenderedPageBreak/>
        <w:t>Figure</w:t>
      </w:r>
      <w:r w:rsidR="004F7791">
        <w:t> </w:t>
      </w:r>
      <w:r w:rsidR="00592799">
        <w:fldChar w:fldCharType="begin"/>
      </w:r>
      <w:r w:rsidR="00592799">
        <w:instrText xml:space="preserve"> SEQ Figure \* ARABIC </w:instrText>
      </w:r>
      <w:r w:rsidR="00592799">
        <w:fldChar w:fldCharType="separate"/>
      </w:r>
      <w:r w:rsidR="00840F18">
        <w:rPr>
          <w:noProof/>
        </w:rPr>
        <w:t>9</w:t>
      </w:r>
      <w:r w:rsidR="00592799">
        <w:rPr>
          <w:noProof/>
        </w:rPr>
        <w:fldChar w:fldCharType="end"/>
      </w:r>
      <w:bookmarkEnd w:id="104"/>
      <w:r w:rsidRPr="00200234">
        <w:t>: Age-standardised rates of Māori</w:t>
      </w:r>
      <w:r>
        <w:t>, Pacific peoples</w:t>
      </w:r>
      <w:r w:rsidRPr="00200234">
        <w:t xml:space="preserve"> and </w:t>
      </w:r>
      <w:r>
        <w:t>other ethnicities</w:t>
      </w:r>
      <w:r w:rsidRPr="00200234">
        <w:t xml:space="preserve"> subject to community and inpatient treatment orders (sections 29 and 30 respectively) under the Mental Health Act, by sex, 1 January to 31 December 20</w:t>
      </w:r>
      <w:bookmarkEnd w:id="105"/>
      <w:r>
        <w:t>20</w:t>
      </w:r>
      <w:bookmarkEnd w:id="106"/>
      <w:bookmarkEnd w:id="107"/>
      <w:bookmarkEnd w:id="108"/>
      <w:bookmarkEnd w:id="109"/>
      <w:bookmarkEnd w:id="110"/>
    </w:p>
    <w:p w14:paraId="7C857B2E" w14:textId="77777777" w:rsidR="00410071" w:rsidRPr="008060A5" w:rsidRDefault="00410071" w:rsidP="00410071">
      <w:r>
        <w:rPr>
          <w:noProof/>
          <w:lang w:eastAsia="en-NZ"/>
        </w:rPr>
        <w:drawing>
          <wp:inline distT="0" distB="0" distL="0" distR="0" wp14:anchorId="12EEB34B" wp14:editId="3CE140E1">
            <wp:extent cx="5610225" cy="3238500"/>
            <wp:effectExtent l="0" t="0" r="0" b="0"/>
            <wp:docPr id="15" name="Chart 15" descr="This bar graph shows that Māori were more likely to be subject to community and inpatient treatment orders than Pacific peoples and other ethnicities and that males had higher rates than females for both orders. People were more likely to be subject to community treatment orders than inpatient orders.">
              <a:extLst xmlns:a="http://schemas.openxmlformats.org/drawingml/2006/main">
                <a:ext uri="{FF2B5EF4-FFF2-40B4-BE49-F238E27FC236}">
                  <a16:creationId xmlns:a16="http://schemas.microsoft.com/office/drawing/2014/main" id="{9943FD6A-E974-469D-A50F-B0E3C69A4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7D37EA3" w14:textId="77777777" w:rsidR="00410071" w:rsidRPr="00200234" w:rsidRDefault="00410071" w:rsidP="00483F59">
      <w:pPr>
        <w:pStyle w:val="Note"/>
      </w:pPr>
      <w:r w:rsidRPr="00200234">
        <w:t>Note: Rates per 100,000 are age</w:t>
      </w:r>
      <w:r>
        <w:t xml:space="preserve"> </w:t>
      </w:r>
      <w:r w:rsidRPr="00200234">
        <w:t>standardised.</w:t>
      </w:r>
    </w:p>
    <w:p w14:paraId="77ADEE7B" w14:textId="77777777" w:rsidR="00410071" w:rsidRDefault="00410071" w:rsidP="00483F59">
      <w:pPr>
        <w:pStyle w:val="Source"/>
      </w:pPr>
      <w:r w:rsidRPr="00200234">
        <w:t>Source: PRIMHD data</w:t>
      </w:r>
      <w:r>
        <w:t xml:space="preserve"> (extracted</w:t>
      </w:r>
      <w:r w:rsidRPr="00200234">
        <w:t xml:space="preserve"> </w:t>
      </w:r>
      <w:r>
        <w:t>1 July 2021).</w:t>
      </w:r>
      <w:r w:rsidRPr="00200234">
        <w:t xml:space="preserve"> Excludes manual data.</w:t>
      </w:r>
    </w:p>
    <w:p w14:paraId="66A2D885" w14:textId="77777777" w:rsidR="00410071" w:rsidRDefault="00410071" w:rsidP="00483F59"/>
    <w:p w14:paraId="10595FA1" w14:textId="77777777" w:rsidR="00410071" w:rsidRPr="00200234" w:rsidRDefault="00410071" w:rsidP="00483F59">
      <w:pPr>
        <w:pStyle w:val="Heading2"/>
      </w:pPr>
      <w:bookmarkStart w:id="111" w:name="_Toc65141620"/>
      <w:bookmarkStart w:id="112" w:name="_Toc75176444"/>
      <w:bookmarkStart w:id="113" w:name="_Toc87429906"/>
      <w:bookmarkStart w:id="114" w:name="_Toc88826954"/>
      <w:r w:rsidRPr="00200234">
        <w:t>Length of time spent subject to compulsory treatment orders</w:t>
      </w:r>
      <w:bookmarkEnd w:id="111"/>
      <w:bookmarkEnd w:id="112"/>
      <w:bookmarkEnd w:id="113"/>
      <w:bookmarkEnd w:id="114"/>
    </w:p>
    <w:p w14:paraId="4FB659E3" w14:textId="1EAEAA15" w:rsidR="0039221C" w:rsidRDefault="00410071" w:rsidP="00483F59">
      <w:r w:rsidRPr="00200234">
        <w:t>On average, Māori</w:t>
      </w:r>
      <w:r>
        <w:t>, Pacific peoples</w:t>
      </w:r>
      <w:r w:rsidRPr="00200234">
        <w:t xml:space="preserve"> and </w:t>
      </w:r>
      <w:r>
        <w:t>other ethnicities</w:t>
      </w:r>
      <w:r w:rsidRPr="00200234">
        <w:t xml:space="preserve"> remain on compulsory treatment orders for a similar amount of time (see </w:t>
      </w:r>
      <w:r w:rsidRPr="00200234">
        <w:fldChar w:fldCharType="begin"/>
      </w:r>
      <w:r w:rsidRPr="00200234">
        <w:instrText xml:space="preserve"> REF _Ref65672142 \h </w:instrText>
      </w:r>
      <w:r w:rsidRPr="00200234">
        <w:fldChar w:fldCharType="separate"/>
      </w:r>
      <w:r w:rsidR="00840F18">
        <w:t>Figure </w:t>
      </w:r>
      <w:r w:rsidR="00840F18">
        <w:rPr>
          <w:noProof/>
        </w:rPr>
        <w:t>10</w:t>
      </w:r>
      <w:r w:rsidRPr="00200234">
        <w:fldChar w:fldCharType="end"/>
      </w:r>
      <w:r w:rsidRPr="00200234">
        <w:t xml:space="preserve">). For community treatment orders </w:t>
      </w:r>
      <w:r>
        <w:t>that began</w:t>
      </w:r>
      <w:r w:rsidRPr="00200234">
        <w:t xml:space="preserve"> between 2009 and 201</w:t>
      </w:r>
      <w:r>
        <w:t>8</w:t>
      </w:r>
      <w:r w:rsidRPr="00200234">
        <w:t xml:space="preserve">, </w:t>
      </w:r>
      <w:r>
        <w:t>67</w:t>
      </w:r>
      <w:r w:rsidRPr="00200234">
        <w:t xml:space="preserve"> percent of Māori</w:t>
      </w:r>
      <w:r>
        <w:t>, 68 percent of Pacific peoples</w:t>
      </w:r>
      <w:r w:rsidRPr="00200234">
        <w:t xml:space="preserve"> and </w:t>
      </w:r>
      <w:r>
        <w:t>70</w:t>
      </w:r>
      <w:r w:rsidRPr="00200234">
        <w:t xml:space="preserve"> percent of </w:t>
      </w:r>
      <w:r>
        <w:t>people from other ethnicities</w:t>
      </w:r>
      <w:r w:rsidRPr="00200234">
        <w:t xml:space="preserve"> were subject to the order for less than a year.</w:t>
      </w:r>
    </w:p>
    <w:p w14:paraId="21A32E5C" w14:textId="77777777" w:rsidR="00410071" w:rsidRDefault="00410071" w:rsidP="00483F59"/>
    <w:p w14:paraId="0C36518C" w14:textId="77777777" w:rsidR="0039221C" w:rsidRDefault="00410071" w:rsidP="00483F59">
      <w:r w:rsidRPr="00200234">
        <w:t xml:space="preserve">For inpatient orders </w:t>
      </w:r>
      <w:r>
        <w:t>that began</w:t>
      </w:r>
      <w:r w:rsidRPr="00200234">
        <w:t xml:space="preserve"> between 2009 and 201</w:t>
      </w:r>
      <w:r>
        <w:t>8</w:t>
      </w:r>
      <w:r w:rsidRPr="00200234">
        <w:t xml:space="preserve">, </w:t>
      </w:r>
      <w:r>
        <w:t>92</w:t>
      </w:r>
      <w:r w:rsidRPr="00200234">
        <w:t xml:space="preserve"> percent of Māor</w:t>
      </w:r>
      <w:r>
        <w:t>i, 93</w:t>
      </w:r>
      <w:r w:rsidR="00483F59">
        <w:t> </w:t>
      </w:r>
      <w:r>
        <w:t xml:space="preserve">percent of Pacific peoples and 94 percent of people from other ethnicities </w:t>
      </w:r>
      <w:r w:rsidRPr="00200234">
        <w:t>were subject to the order for less than a year.</w:t>
      </w:r>
    </w:p>
    <w:p w14:paraId="1AE31E56" w14:textId="77777777" w:rsidR="00483F59" w:rsidRDefault="00483F59" w:rsidP="00483F59"/>
    <w:p w14:paraId="160F7EBE" w14:textId="50BE07CD" w:rsidR="00410071" w:rsidRDefault="00410071" w:rsidP="00483F59">
      <w:pPr>
        <w:pStyle w:val="Figure"/>
      </w:pPr>
      <w:bookmarkStart w:id="115" w:name="_Ref65672142"/>
      <w:bookmarkStart w:id="116" w:name="_Toc63764756"/>
      <w:bookmarkStart w:id="117" w:name="_Toc75176482"/>
      <w:bookmarkStart w:id="118" w:name="_Toc85442572"/>
      <w:bookmarkStart w:id="119" w:name="_Toc85445919"/>
      <w:bookmarkStart w:id="120" w:name="_Toc87429959"/>
      <w:bookmarkStart w:id="121" w:name="_Toc88561391"/>
      <w:r>
        <w:lastRenderedPageBreak/>
        <w:t>Figure</w:t>
      </w:r>
      <w:r w:rsidR="00483F59">
        <w:t> </w:t>
      </w:r>
      <w:r w:rsidR="00592799">
        <w:fldChar w:fldCharType="begin"/>
      </w:r>
      <w:r w:rsidR="00592799">
        <w:instrText xml:space="preserve"> SEQ Figure \* ARABIC </w:instrText>
      </w:r>
      <w:r w:rsidR="00592799">
        <w:fldChar w:fldCharType="separate"/>
      </w:r>
      <w:r w:rsidR="00840F18">
        <w:rPr>
          <w:noProof/>
        </w:rPr>
        <w:t>10</w:t>
      </w:r>
      <w:r w:rsidR="00592799">
        <w:rPr>
          <w:noProof/>
        </w:rPr>
        <w:fldChar w:fldCharType="end"/>
      </w:r>
      <w:bookmarkEnd w:id="115"/>
      <w:r w:rsidRPr="00200234">
        <w:t>: Length of time spent subject to community orders (section 29) under the Mental Health Act for Māori</w:t>
      </w:r>
      <w:r>
        <w:t>, Pacific peoples</w:t>
      </w:r>
      <w:r w:rsidRPr="00200234">
        <w:t xml:space="preserve"> and </w:t>
      </w:r>
      <w:r>
        <w:t>people of</w:t>
      </w:r>
      <w:r w:rsidRPr="001205BD">
        <w:t xml:space="preserve"> </w:t>
      </w:r>
      <w:r>
        <w:t>other ethnicities</w:t>
      </w:r>
      <w:r w:rsidRPr="00200234">
        <w:t>,</w:t>
      </w:r>
      <w:r w:rsidR="00483F59">
        <w:br/>
      </w:r>
      <w:r w:rsidRPr="00200234">
        <w:t>2009–201</w:t>
      </w:r>
      <w:bookmarkEnd w:id="116"/>
      <w:r>
        <w:t>8</w:t>
      </w:r>
      <w:bookmarkEnd w:id="117"/>
      <w:bookmarkEnd w:id="118"/>
      <w:bookmarkEnd w:id="119"/>
      <w:bookmarkEnd w:id="120"/>
      <w:bookmarkEnd w:id="121"/>
    </w:p>
    <w:p w14:paraId="6B7E0D05" w14:textId="77777777" w:rsidR="00410071" w:rsidRPr="00483F59" w:rsidRDefault="00410071" w:rsidP="00410071">
      <w:r>
        <w:rPr>
          <w:noProof/>
          <w:lang w:eastAsia="en-NZ"/>
        </w:rPr>
        <w:drawing>
          <wp:inline distT="0" distB="0" distL="0" distR="0" wp14:anchorId="247F6C38" wp14:editId="0AB87511">
            <wp:extent cx="5181600" cy="2895600"/>
            <wp:effectExtent l="0" t="0" r="0" b="0"/>
            <wp:docPr id="16" name="Chart 16" descr="This bar graph shows that 70% of people were under community treatment orders for less than one year, though the rate was slightly lower for Māori and Pacific peoples than other ethnicities. Approximately 23 percent of people were subject to a community order for two years or more.">
              <a:extLst xmlns:a="http://schemas.openxmlformats.org/drawingml/2006/main">
                <a:ext uri="{FF2B5EF4-FFF2-40B4-BE49-F238E27FC236}">
                  <a16:creationId xmlns:a16="http://schemas.microsoft.com/office/drawing/2014/main" id="{69E02F65-2952-4835-9934-D862348226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DC67C64" w14:textId="77777777" w:rsidR="0039221C" w:rsidRDefault="00410071" w:rsidP="00483F59">
      <w:pPr>
        <w:pStyle w:val="Note"/>
      </w:pPr>
      <w:r w:rsidRPr="00200234">
        <w:t>Note</w:t>
      </w:r>
      <w:r>
        <w:t>s</w:t>
      </w:r>
      <w:r w:rsidRPr="00200234">
        <w:t>: The data refers to treatment orders started between 2009 and 201</w:t>
      </w:r>
      <w:r>
        <w:t>8</w:t>
      </w:r>
      <w:r w:rsidRPr="00200234">
        <w:t>. This analysis uses 201</w:t>
      </w:r>
      <w:r>
        <w:t>8</w:t>
      </w:r>
      <w:r w:rsidRPr="00200234">
        <w:t xml:space="preserve"> as the most recent year because at least two years must have passed to identify how many people remained on a treatment order for two or more years.</w:t>
      </w:r>
    </w:p>
    <w:p w14:paraId="229EE0AC" w14:textId="77777777" w:rsidR="00410071" w:rsidRDefault="00410071" w:rsidP="00483F59">
      <w:pPr>
        <w:pStyle w:val="Source"/>
      </w:pPr>
      <w:r w:rsidRPr="00200234">
        <w:t>Source: PRIMHD data</w:t>
      </w:r>
      <w:r>
        <w:t xml:space="preserve"> (extracted</w:t>
      </w:r>
      <w:r w:rsidRPr="00200234">
        <w:t xml:space="preserve"> </w:t>
      </w:r>
      <w:r>
        <w:t>1 July 2021).</w:t>
      </w:r>
    </w:p>
    <w:p w14:paraId="441DDFE1" w14:textId="77777777" w:rsidR="00410071" w:rsidRDefault="00410071" w:rsidP="00483F59"/>
    <w:p w14:paraId="492299D2" w14:textId="4307CD68" w:rsidR="00410071" w:rsidRDefault="00410071" w:rsidP="00410071">
      <w:pPr>
        <w:pStyle w:val="Figure"/>
      </w:pPr>
      <w:bookmarkStart w:id="122" w:name="_Toc85442573"/>
      <w:bookmarkStart w:id="123" w:name="_Toc85445920"/>
      <w:bookmarkStart w:id="124" w:name="_Toc87429960"/>
      <w:bookmarkStart w:id="125" w:name="_Toc88561392"/>
      <w:r>
        <w:t>Figure</w:t>
      </w:r>
      <w:r w:rsidR="00483F59">
        <w:t> </w:t>
      </w:r>
      <w:r w:rsidR="00592799">
        <w:fldChar w:fldCharType="begin"/>
      </w:r>
      <w:r w:rsidR="00592799">
        <w:instrText xml:space="preserve"> SEQ Figure \* ARABIC </w:instrText>
      </w:r>
      <w:r w:rsidR="00592799">
        <w:fldChar w:fldCharType="separate"/>
      </w:r>
      <w:r w:rsidR="00840F18">
        <w:rPr>
          <w:noProof/>
        </w:rPr>
        <w:t>11</w:t>
      </w:r>
      <w:r w:rsidR="00592799">
        <w:rPr>
          <w:noProof/>
        </w:rPr>
        <w:fldChar w:fldCharType="end"/>
      </w:r>
      <w:r w:rsidRPr="00200234">
        <w:t xml:space="preserve">: Length of time spent subject to </w:t>
      </w:r>
      <w:r>
        <w:t>inpatient</w:t>
      </w:r>
      <w:r w:rsidRPr="00200234">
        <w:t xml:space="preserve"> orders (section </w:t>
      </w:r>
      <w:r>
        <w:t>30</w:t>
      </w:r>
      <w:r w:rsidRPr="00200234">
        <w:t>) under the Mental Health Act for Māori</w:t>
      </w:r>
      <w:r>
        <w:t>, Pacific peoples</w:t>
      </w:r>
      <w:r w:rsidRPr="00200234">
        <w:t xml:space="preserve"> and </w:t>
      </w:r>
      <w:r>
        <w:t>people of other ethnicities</w:t>
      </w:r>
      <w:r w:rsidRPr="00200234">
        <w:t>,</w:t>
      </w:r>
      <w:r w:rsidR="00483F59">
        <w:br/>
      </w:r>
      <w:r w:rsidRPr="00200234">
        <w:t>2009–201</w:t>
      </w:r>
      <w:r>
        <w:t>8</w:t>
      </w:r>
      <w:bookmarkEnd w:id="122"/>
      <w:bookmarkEnd w:id="123"/>
      <w:bookmarkEnd w:id="124"/>
      <w:bookmarkEnd w:id="125"/>
    </w:p>
    <w:p w14:paraId="4F73FA62" w14:textId="77777777" w:rsidR="00410071" w:rsidRPr="00104A5A" w:rsidRDefault="00410071" w:rsidP="00410071">
      <w:r>
        <w:rPr>
          <w:noProof/>
          <w:lang w:eastAsia="en-NZ"/>
        </w:rPr>
        <w:drawing>
          <wp:inline distT="0" distB="0" distL="0" distR="0" wp14:anchorId="637A4047" wp14:editId="7557E4D0">
            <wp:extent cx="5543550" cy="2695575"/>
            <wp:effectExtent l="0" t="0" r="0" b="0"/>
            <wp:docPr id="17" name="Chart 17" descr="Approximately 92 percent of Māori were under inpatient treatment orders for less than one year, and 93 percent of Pacific peoples and 94 percent of other ethnicities. About 5 percent of Māori were subject to an inpatient treatment order for two years or more. Four percent of Pacific peoples and other ethnicities were subject to these orders for two years or more. ">
              <a:extLst xmlns:a="http://schemas.openxmlformats.org/drawingml/2006/main">
                <a:ext uri="{FF2B5EF4-FFF2-40B4-BE49-F238E27FC236}">
                  <a16:creationId xmlns:a16="http://schemas.microsoft.com/office/drawing/2014/main" id="{D6CAF6C1-6202-441E-AEE7-C25FECC82A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F596D6D" w14:textId="77777777" w:rsidR="0039221C" w:rsidRDefault="00410071" w:rsidP="00483F59">
      <w:pPr>
        <w:pStyle w:val="Note"/>
      </w:pPr>
      <w:r w:rsidRPr="00200234">
        <w:t>Note</w:t>
      </w:r>
      <w:r>
        <w:t>s</w:t>
      </w:r>
      <w:r w:rsidRPr="00200234">
        <w:t>: The data refers to treatment orders started between 2009 and 201</w:t>
      </w:r>
      <w:r>
        <w:t>8</w:t>
      </w:r>
      <w:r w:rsidRPr="00200234">
        <w:t>. This analysis uses 201</w:t>
      </w:r>
      <w:r>
        <w:t>8</w:t>
      </w:r>
      <w:r w:rsidRPr="00200234">
        <w:t xml:space="preserve"> as the most recent year because at least two years must have passed to identify how many people remained on a treatment order for two or more years.</w:t>
      </w:r>
    </w:p>
    <w:p w14:paraId="14C7B0B0" w14:textId="77777777" w:rsidR="00410071" w:rsidRDefault="00410071" w:rsidP="00483F59">
      <w:pPr>
        <w:pStyle w:val="Source"/>
      </w:pPr>
      <w:r w:rsidRPr="00200234">
        <w:t>Source: PRIMHD data</w:t>
      </w:r>
      <w:r>
        <w:t xml:space="preserve"> (extracted</w:t>
      </w:r>
      <w:r w:rsidRPr="00200234">
        <w:t xml:space="preserve"> </w:t>
      </w:r>
      <w:r>
        <w:t>1 July 2021).</w:t>
      </w:r>
    </w:p>
    <w:p w14:paraId="4BD20B5B" w14:textId="77777777" w:rsidR="00410071" w:rsidRPr="00200234" w:rsidRDefault="00410071" w:rsidP="00483F59"/>
    <w:p w14:paraId="540A7D78" w14:textId="38595F30" w:rsidR="00410071" w:rsidRDefault="00410071" w:rsidP="00410071">
      <w:pPr>
        <w:keepNext/>
      </w:pPr>
      <w:r w:rsidRPr="00200234">
        <w:lastRenderedPageBreak/>
        <w:t>The following figures show the rate ratio of Māori to non-Māori subject to indefinite community treatment orders (</w:t>
      </w:r>
      <w:r w:rsidR="00791956">
        <w:fldChar w:fldCharType="begin"/>
      </w:r>
      <w:r w:rsidR="00791956">
        <w:instrText xml:space="preserve"> REF _Ref65672180 \h </w:instrText>
      </w:r>
      <w:r w:rsidR="00791956">
        <w:fldChar w:fldCharType="separate"/>
      </w:r>
      <w:r w:rsidR="00840F18">
        <w:t>Figure </w:t>
      </w:r>
      <w:r w:rsidR="00840F18">
        <w:rPr>
          <w:noProof/>
        </w:rPr>
        <w:t>12</w:t>
      </w:r>
      <w:r w:rsidR="00791956">
        <w:fldChar w:fldCharType="end"/>
      </w:r>
      <w:r w:rsidRPr="00200234">
        <w:t>) and indefinite inpatient treatment orders (</w:t>
      </w:r>
      <w:r w:rsidR="00791956">
        <w:fldChar w:fldCharType="begin"/>
      </w:r>
      <w:r w:rsidR="00791956">
        <w:instrText xml:space="preserve"> REF _Ref65672189 \h </w:instrText>
      </w:r>
      <w:r w:rsidR="00791956">
        <w:fldChar w:fldCharType="separate"/>
      </w:r>
      <w:r w:rsidR="00840F18">
        <w:t>Figure </w:t>
      </w:r>
      <w:r w:rsidR="00840F18">
        <w:rPr>
          <w:noProof/>
        </w:rPr>
        <w:t>13</w:t>
      </w:r>
      <w:r w:rsidR="00791956">
        <w:fldChar w:fldCharType="end"/>
      </w:r>
      <w:r w:rsidRPr="00200234">
        <w:t>) for each DHB per 100,000 people.</w:t>
      </w:r>
    </w:p>
    <w:p w14:paraId="317C5583" w14:textId="77777777" w:rsidR="00410071" w:rsidRPr="00200234" w:rsidRDefault="00410071" w:rsidP="00410071">
      <w:pPr>
        <w:keepNext/>
      </w:pPr>
    </w:p>
    <w:p w14:paraId="09E9522B" w14:textId="40016B04" w:rsidR="00410071" w:rsidRDefault="00410071" w:rsidP="00410071">
      <w:pPr>
        <w:pStyle w:val="Figure"/>
      </w:pPr>
      <w:bookmarkStart w:id="126" w:name="_Ref65672180"/>
      <w:bookmarkStart w:id="127" w:name="_Toc63764757"/>
      <w:bookmarkStart w:id="128" w:name="_Toc75176483"/>
      <w:bookmarkStart w:id="129" w:name="_Toc85442574"/>
      <w:bookmarkStart w:id="130" w:name="_Toc85445921"/>
      <w:bookmarkStart w:id="131" w:name="_Toc87429961"/>
      <w:bookmarkStart w:id="132" w:name="_Toc88561393"/>
      <w:r>
        <w:t>Figure</w:t>
      </w:r>
      <w:r w:rsidR="00791956">
        <w:t> </w:t>
      </w:r>
      <w:r w:rsidR="00592799">
        <w:fldChar w:fldCharType="begin"/>
      </w:r>
      <w:r w:rsidR="00592799">
        <w:instrText xml:space="preserve"> SEQ F</w:instrText>
      </w:r>
      <w:r w:rsidR="00592799">
        <w:instrText xml:space="preserve">igure \* ARABIC </w:instrText>
      </w:r>
      <w:r w:rsidR="00592799">
        <w:fldChar w:fldCharType="separate"/>
      </w:r>
      <w:r w:rsidR="00840F18">
        <w:rPr>
          <w:noProof/>
        </w:rPr>
        <w:t>12</w:t>
      </w:r>
      <w:r w:rsidR="00592799">
        <w:rPr>
          <w:noProof/>
        </w:rPr>
        <w:fldChar w:fldCharType="end"/>
      </w:r>
      <w:bookmarkEnd w:id="126"/>
      <w:r w:rsidRPr="00200234">
        <w:t xml:space="preserve">: Rate ratio of Māori </w:t>
      </w:r>
      <w:r>
        <w:t>to</w:t>
      </w:r>
      <w:r w:rsidRPr="00200234">
        <w:t xml:space="preserve"> non-Māori subject to indefinite community treatment orders per 100,000 population, by DHB, 1 January to 31 December 20</w:t>
      </w:r>
      <w:bookmarkEnd w:id="127"/>
      <w:r>
        <w:t>20</w:t>
      </w:r>
      <w:bookmarkEnd w:id="128"/>
      <w:bookmarkEnd w:id="129"/>
      <w:bookmarkEnd w:id="130"/>
      <w:bookmarkEnd w:id="131"/>
      <w:bookmarkEnd w:id="132"/>
    </w:p>
    <w:p w14:paraId="5701EB59" w14:textId="77777777" w:rsidR="00410071" w:rsidRPr="00200234" w:rsidRDefault="00410071" w:rsidP="00410071">
      <w:r>
        <w:rPr>
          <w:noProof/>
          <w:lang w:eastAsia="en-NZ"/>
        </w:rPr>
        <w:drawing>
          <wp:inline distT="0" distB="0" distL="0" distR="0" wp14:anchorId="0C3858DD" wp14:editId="49FCBA0F">
            <wp:extent cx="5145578" cy="3865418"/>
            <wp:effectExtent l="0" t="0" r="0" b="1905"/>
            <wp:docPr id="18" name="Chart 18" descr="This graph shows that the ratio of Māori to non-Māori under indefinite community treatment orders in 2020 was highest in Bay of Plenty and Hawke's Bay at around 4.5 to 1. The New Zealand average was just under 3 to 1. The lowest ratios were in Tairāwhiti and West Coast, at around 1.5 to 1.">
              <a:extLst xmlns:a="http://schemas.openxmlformats.org/drawingml/2006/main">
                <a:ext uri="{FF2B5EF4-FFF2-40B4-BE49-F238E27FC236}">
                  <a16:creationId xmlns:a16="http://schemas.microsoft.com/office/drawing/2014/main" id="{8894E641-1F24-4830-B2F9-C408EC4D2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FAEAA37" w14:textId="77777777" w:rsidR="0039221C" w:rsidRDefault="00410071" w:rsidP="00791956">
      <w:pPr>
        <w:pStyle w:val="Source"/>
      </w:pPr>
      <w:r w:rsidRPr="00200234">
        <w:t>Sources: PRIMHD data</w:t>
      </w:r>
      <w:r>
        <w:t xml:space="preserve"> (extracted</w:t>
      </w:r>
      <w:r w:rsidRPr="00200234">
        <w:t xml:space="preserve"> 29 July 2019</w:t>
      </w:r>
      <w:r>
        <w:t>)</w:t>
      </w:r>
      <w:r w:rsidRPr="00200234">
        <w:t xml:space="preserve"> and manual data from Auckland, Lakes and Waitematā DHBs.</w:t>
      </w:r>
    </w:p>
    <w:p w14:paraId="6AC50DF8" w14:textId="77777777" w:rsidR="00410071" w:rsidRPr="00ED4FA1" w:rsidRDefault="00410071" w:rsidP="00791956"/>
    <w:p w14:paraId="24B5C507" w14:textId="0FF156FC" w:rsidR="00410071" w:rsidRDefault="00410071" w:rsidP="00791956">
      <w:pPr>
        <w:pStyle w:val="Figure"/>
      </w:pPr>
      <w:bookmarkStart w:id="133" w:name="_Ref65672189"/>
      <w:bookmarkStart w:id="134" w:name="_Toc63764759"/>
      <w:bookmarkStart w:id="135" w:name="_Toc75176484"/>
      <w:bookmarkStart w:id="136" w:name="_Toc85442575"/>
      <w:bookmarkStart w:id="137" w:name="_Toc85445922"/>
      <w:bookmarkStart w:id="138" w:name="_Toc87429962"/>
      <w:bookmarkStart w:id="139" w:name="_Toc88561394"/>
      <w:r>
        <w:lastRenderedPageBreak/>
        <w:t>Figure</w:t>
      </w:r>
      <w:r w:rsidR="00791956">
        <w:t> </w:t>
      </w:r>
      <w:r w:rsidR="00592799">
        <w:fldChar w:fldCharType="begin"/>
      </w:r>
      <w:r w:rsidR="00592799">
        <w:instrText xml:space="preserve"> SEQ Figure \* ARABIC </w:instrText>
      </w:r>
      <w:r w:rsidR="00592799">
        <w:fldChar w:fldCharType="separate"/>
      </w:r>
      <w:r w:rsidR="00840F18">
        <w:rPr>
          <w:noProof/>
        </w:rPr>
        <w:t>13</w:t>
      </w:r>
      <w:r w:rsidR="00592799">
        <w:rPr>
          <w:noProof/>
        </w:rPr>
        <w:fldChar w:fldCharType="end"/>
      </w:r>
      <w:bookmarkEnd w:id="133"/>
      <w:r w:rsidRPr="00200234">
        <w:t xml:space="preserve">: Rate ratio of Māori </w:t>
      </w:r>
      <w:r>
        <w:t>to</w:t>
      </w:r>
      <w:r w:rsidRPr="00200234">
        <w:t xml:space="preserve"> non-Māori subject to indefinite inpatient treatment orders per 100,000 population, by DHB, 1 January to 31 December 20</w:t>
      </w:r>
      <w:bookmarkEnd w:id="134"/>
      <w:r>
        <w:t>20</w:t>
      </w:r>
      <w:bookmarkEnd w:id="135"/>
      <w:bookmarkEnd w:id="136"/>
      <w:bookmarkEnd w:id="137"/>
      <w:bookmarkEnd w:id="138"/>
      <w:bookmarkEnd w:id="139"/>
    </w:p>
    <w:p w14:paraId="6C54609A" w14:textId="77777777" w:rsidR="00410071" w:rsidRPr="00791956" w:rsidRDefault="00410071" w:rsidP="00410071">
      <w:pPr>
        <w:rPr>
          <w:rFonts w:eastAsia="Calibri"/>
        </w:rPr>
      </w:pPr>
      <w:r>
        <w:rPr>
          <w:noProof/>
          <w:lang w:eastAsia="en-NZ"/>
        </w:rPr>
        <w:drawing>
          <wp:inline distT="0" distB="0" distL="0" distR="0" wp14:anchorId="1FD67D5A" wp14:editId="0379E6D9">
            <wp:extent cx="5178829" cy="3699164"/>
            <wp:effectExtent l="0" t="0" r="3175" b="0"/>
            <wp:docPr id="19" name="Chart 19" descr="This graph shows that the ratio of Māori to non-Māori under indefinite inpatient treatment orders in 2020 was highest in Bay of Plenty at nearly 12 to 1. The next highest was Waikato at 8.3 to 1. The New Zealand average was just under 3 to 1. The lowest ratio was in Southern, with 0.6 to 1. The next lowest was Whanganui with a ratio of 1.5 to 1.">
              <a:extLst xmlns:a="http://schemas.openxmlformats.org/drawingml/2006/main">
                <a:ext uri="{FF2B5EF4-FFF2-40B4-BE49-F238E27FC236}">
                  <a16:creationId xmlns:a16="http://schemas.microsoft.com/office/drawing/2014/main" id="{021DE563-2B05-49B3-B19E-97551BF738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C0AE396" w14:textId="77777777" w:rsidR="0039221C" w:rsidRDefault="00410071" w:rsidP="00791956">
      <w:pPr>
        <w:pStyle w:val="Note"/>
      </w:pPr>
      <w:r w:rsidRPr="00200234">
        <w:t>Note</w:t>
      </w:r>
      <w:r>
        <w:t>s</w:t>
      </w:r>
      <w:r w:rsidRPr="00200234">
        <w:t xml:space="preserve">: </w:t>
      </w:r>
      <w:r>
        <w:t>Lakes, Northland, South Canterbury, Tairāwhiti and Wairarapa DHBs have no indefinite orders. In Nelson Marlborough, Taranaki and West Coast DHBs, the rate ratio is zero. These DHBs have been excluded from this graph.</w:t>
      </w:r>
    </w:p>
    <w:p w14:paraId="48C9E435" w14:textId="77777777" w:rsidR="00410071" w:rsidRPr="00200234" w:rsidRDefault="00410071" w:rsidP="00791956">
      <w:pPr>
        <w:pStyle w:val="Source"/>
      </w:pPr>
      <w:r w:rsidRPr="00200234">
        <w:t>Sources: PRIMHD data</w:t>
      </w:r>
      <w:r>
        <w:t xml:space="preserve"> (extracted</w:t>
      </w:r>
      <w:r w:rsidRPr="00200234">
        <w:t xml:space="preserve"> </w:t>
      </w:r>
      <w:r>
        <w:t>1 July 2021)</w:t>
      </w:r>
      <w:r w:rsidRPr="00200234">
        <w:t xml:space="preserve"> and manual data from </w:t>
      </w:r>
      <w:r>
        <w:t xml:space="preserve">Counties Manukau </w:t>
      </w:r>
      <w:r w:rsidRPr="00200234">
        <w:t>DHB.</w:t>
      </w:r>
    </w:p>
    <w:p w14:paraId="0444A2B2" w14:textId="77777777" w:rsidR="00410071" w:rsidRPr="00ED4FA1" w:rsidRDefault="00410071" w:rsidP="00791956"/>
    <w:p w14:paraId="5822272F" w14:textId="77777777" w:rsidR="00410071" w:rsidRPr="00200234" w:rsidRDefault="00410071" w:rsidP="00791956">
      <w:pPr>
        <w:pStyle w:val="Heading2"/>
      </w:pPr>
      <w:bookmarkStart w:id="140" w:name="_Toc65141621"/>
      <w:bookmarkStart w:id="141" w:name="_Toc75176445"/>
      <w:bookmarkStart w:id="142" w:name="_Toc87429907"/>
      <w:bookmarkStart w:id="143" w:name="_Toc88826955"/>
      <w:r w:rsidRPr="00200234">
        <w:t>Family and whānau consultation under the Mental Health Act</w:t>
      </w:r>
      <w:bookmarkEnd w:id="140"/>
      <w:bookmarkEnd w:id="141"/>
      <w:bookmarkEnd w:id="142"/>
      <w:bookmarkEnd w:id="143"/>
    </w:p>
    <w:p w14:paraId="31460978" w14:textId="77777777" w:rsidR="00410071" w:rsidRPr="00200234" w:rsidRDefault="00410071" w:rsidP="00791956">
      <w:r w:rsidRPr="00200234">
        <w:t>Section 7A of the Mental Health Act requires clinicians to consult family and whānau unless it is deemed not reasonably practicable or not in the interests of the person being assessed or receiving the treatment.</w:t>
      </w:r>
      <w:r>
        <w:t xml:space="preserve"> Clinicians are encouraged to consider that the term </w:t>
      </w:r>
      <w:r w:rsidR="0039221C">
        <w:t>‘</w:t>
      </w:r>
      <w:r>
        <w:t>whānau</w:t>
      </w:r>
      <w:r w:rsidR="0039221C">
        <w:t>’</w:t>
      </w:r>
      <w:r>
        <w:t xml:space="preserve"> could include any set of relationships a patient or proposed patient recognises as their closest connections, with no limitation to blood ties.</w:t>
      </w:r>
    </w:p>
    <w:p w14:paraId="66E620CD" w14:textId="77777777" w:rsidR="00410071" w:rsidRPr="00200234" w:rsidRDefault="00410071" w:rsidP="00791956"/>
    <w:p w14:paraId="25853B01" w14:textId="77777777" w:rsidR="00410071" w:rsidRPr="00200234" w:rsidRDefault="00410071" w:rsidP="00791956">
      <w:r w:rsidRPr="00200234">
        <w:t>In summary, in 20</w:t>
      </w:r>
      <w:r>
        <w:t>20</w:t>
      </w:r>
      <w:r w:rsidRPr="00200234">
        <w:t>:</w:t>
      </w:r>
    </w:p>
    <w:p w14:paraId="033569BD" w14:textId="77777777" w:rsidR="00410071" w:rsidRPr="00ED4FA1" w:rsidRDefault="00410071" w:rsidP="00791956">
      <w:pPr>
        <w:pStyle w:val="Bullet"/>
      </w:pPr>
      <w:r w:rsidRPr="00ED4FA1">
        <w:t xml:space="preserve">on average nationally, </w:t>
      </w:r>
      <w:r>
        <w:t>69</w:t>
      </w:r>
      <w:r w:rsidRPr="00ED4FA1">
        <w:t xml:space="preserve"> percent of families and whānau were consulted about Mental Health Act assessment/treatment events</w:t>
      </w:r>
    </w:p>
    <w:p w14:paraId="33261901" w14:textId="77777777" w:rsidR="00410071" w:rsidRPr="00ED4FA1" w:rsidRDefault="00410071" w:rsidP="00791956">
      <w:pPr>
        <w:pStyle w:val="Bullet"/>
      </w:pPr>
      <w:r w:rsidRPr="00ED4FA1">
        <w:t>of all the steps in the Mental Health Act treatment process, family and whānau were most likely to be consulted at a person</w:t>
      </w:r>
      <w:r w:rsidR="0039221C">
        <w:t>’</w:t>
      </w:r>
      <w:r w:rsidRPr="00ED4FA1">
        <w:t xml:space="preserve">s certificate </w:t>
      </w:r>
      <w:r>
        <w:t>of final</w:t>
      </w:r>
      <w:r w:rsidRPr="00ED4FA1">
        <w:t xml:space="preserve"> assessment (section 1</w:t>
      </w:r>
      <w:r>
        <w:t>4</w:t>
      </w:r>
      <w:r w:rsidRPr="00ED4FA1">
        <w:t>)</w:t>
      </w:r>
    </w:p>
    <w:p w14:paraId="579A0EAF" w14:textId="77777777" w:rsidR="00410071" w:rsidRPr="00ED4FA1" w:rsidRDefault="00410071" w:rsidP="00791956">
      <w:pPr>
        <w:pStyle w:val="Bullet"/>
      </w:pPr>
      <w:r w:rsidRPr="00ED4FA1">
        <w:t xml:space="preserve">DHBs varied in </w:t>
      </w:r>
      <w:r>
        <w:t>the extent to which they</w:t>
      </w:r>
      <w:r w:rsidRPr="00ED4FA1">
        <w:t xml:space="preserve"> consult</w:t>
      </w:r>
      <w:r>
        <w:t>ed</w:t>
      </w:r>
      <w:r w:rsidRPr="00ED4FA1">
        <w:t xml:space="preserve"> with families and whānau</w:t>
      </w:r>
    </w:p>
    <w:p w14:paraId="4C323FD1" w14:textId="77777777" w:rsidR="00410071" w:rsidRPr="00ED4FA1" w:rsidRDefault="00410071" w:rsidP="00791956">
      <w:pPr>
        <w:pStyle w:val="Bullet"/>
      </w:pPr>
      <w:r w:rsidRPr="00ED4FA1">
        <w:lastRenderedPageBreak/>
        <w:t>the most common reason why families and whānau were not consulted was that service providers considered consultation was not reasonably practicable in the particular circumstance.</w:t>
      </w:r>
    </w:p>
    <w:p w14:paraId="3EC71283" w14:textId="77777777" w:rsidR="00410071" w:rsidRPr="00200234" w:rsidRDefault="00410071" w:rsidP="00791956"/>
    <w:p w14:paraId="761E0068" w14:textId="58BC2B93" w:rsidR="00410071" w:rsidRPr="00200234" w:rsidRDefault="00410071" w:rsidP="00791956">
      <w:r w:rsidRPr="00200234">
        <w:fldChar w:fldCharType="begin"/>
      </w:r>
      <w:r w:rsidRPr="00200234">
        <w:instrText xml:space="preserve"> REF _Ref65672317 \h </w:instrText>
      </w:r>
      <w:r w:rsidRPr="00200234">
        <w:fldChar w:fldCharType="separate"/>
      </w:r>
      <w:r w:rsidR="00840F18">
        <w:t>Figure </w:t>
      </w:r>
      <w:r w:rsidR="00840F18">
        <w:rPr>
          <w:noProof/>
        </w:rPr>
        <w:t>14</w:t>
      </w:r>
      <w:r w:rsidRPr="00200234">
        <w:fldChar w:fldCharType="end"/>
      </w:r>
      <w:r w:rsidRPr="00200234">
        <w:t xml:space="preserve"> shows the percentage of cases in which consultation with families and whānau occurred at </w:t>
      </w:r>
      <w:r>
        <w:t>four</w:t>
      </w:r>
      <w:r w:rsidRPr="00200234">
        <w:t xml:space="preserve"> points in the assessment and treatment process</w:t>
      </w:r>
      <w:r>
        <w:t>.</w:t>
      </w:r>
    </w:p>
    <w:p w14:paraId="7802874B" w14:textId="77777777" w:rsidR="00410071" w:rsidRPr="00200234" w:rsidRDefault="00410071" w:rsidP="00791956"/>
    <w:p w14:paraId="140D4FA5" w14:textId="2416D18B" w:rsidR="00410071" w:rsidRPr="00200234" w:rsidRDefault="00410071" w:rsidP="00791956">
      <w:pPr>
        <w:pStyle w:val="Figure"/>
      </w:pPr>
      <w:bookmarkStart w:id="144" w:name="_Ref65672317"/>
      <w:bookmarkStart w:id="145" w:name="_Toc63764761"/>
      <w:bookmarkStart w:id="146" w:name="_Toc75176485"/>
      <w:bookmarkStart w:id="147" w:name="_Toc85442576"/>
      <w:bookmarkStart w:id="148" w:name="_Toc85445923"/>
      <w:bookmarkStart w:id="149" w:name="_Toc87429963"/>
      <w:bookmarkStart w:id="150" w:name="_Toc88561395"/>
      <w:r>
        <w:t>Figure</w:t>
      </w:r>
      <w:r w:rsidR="00791956">
        <w:t> </w:t>
      </w:r>
      <w:r w:rsidR="00592799">
        <w:fldChar w:fldCharType="begin"/>
      </w:r>
      <w:r w:rsidR="00592799">
        <w:instrText xml:space="preserve"> SEQ Figure \* ARABIC </w:instrText>
      </w:r>
      <w:r w:rsidR="00592799">
        <w:fldChar w:fldCharType="separate"/>
      </w:r>
      <w:r w:rsidR="00840F18">
        <w:rPr>
          <w:noProof/>
        </w:rPr>
        <w:t>14</w:t>
      </w:r>
      <w:r w:rsidR="00592799">
        <w:rPr>
          <w:noProof/>
        </w:rPr>
        <w:fldChar w:fldCharType="end"/>
      </w:r>
      <w:bookmarkEnd w:id="144"/>
      <w:r w:rsidRPr="00200234">
        <w:t xml:space="preserve">: Average national percentage of family/whānau consultation for particular assessment/treatment events, </w:t>
      </w:r>
      <w:r>
        <w:t xml:space="preserve">sections 10, 12, 14 and 76, </w:t>
      </w:r>
      <w:r w:rsidRPr="00200234">
        <w:t>1 January to 31</w:t>
      </w:r>
      <w:r>
        <w:t> </w:t>
      </w:r>
      <w:r w:rsidRPr="00200234">
        <w:t>December 20</w:t>
      </w:r>
      <w:bookmarkEnd w:id="145"/>
      <w:r>
        <w:t>20</w:t>
      </w:r>
      <w:bookmarkEnd w:id="146"/>
      <w:bookmarkEnd w:id="147"/>
      <w:bookmarkEnd w:id="148"/>
      <w:bookmarkEnd w:id="149"/>
      <w:bookmarkEnd w:id="150"/>
    </w:p>
    <w:p w14:paraId="5DB5291B" w14:textId="77777777" w:rsidR="00410071" w:rsidRPr="00200234" w:rsidRDefault="00410071" w:rsidP="00410071">
      <w:pPr>
        <w:rPr>
          <w:rFonts w:eastAsia="Calibri" w:cs="Segoe UI"/>
        </w:rPr>
      </w:pPr>
      <w:r>
        <w:rPr>
          <w:noProof/>
          <w:lang w:eastAsia="en-NZ"/>
        </w:rPr>
        <w:drawing>
          <wp:inline distT="0" distB="0" distL="0" distR="0" wp14:anchorId="762DFEB6" wp14:editId="43C5E9D6">
            <wp:extent cx="4191000" cy="2752725"/>
            <wp:effectExtent l="0" t="0" r="0" b="0"/>
            <wp:docPr id="20" name="Chart 20" descr="This bar graph shows that family/whānau were consulted in 70% of section 10 events. For section 12 cases, family were consulted in 68% of the time. For section 14, they were consulted in 73% of cases. For section 76, they were consulted in 59% of cases.">
              <a:extLst xmlns:a="http://schemas.openxmlformats.org/drawingml/2006/main">
                <a:ext uri="{FF2B5EF4-FFF2-40B4-BE49-F238E27FC236}">
                  <a16:creationId xmlns:a16="http://schemas.microsoft.com/office/drawing/2014/main" id="{97B4C303-1823-4969-881F-5B7199103A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9F6EB8B" w14:textId="77777777" w:rsidR="00410071" w:rsidRPr="004C772A" w:rsidRDefault="00410071" w:rsidP="00791956">
      <w:pPr>
        <w:pStyle w:val="Note"/>
      </w:pPr>
      <w:r w:rsidRPr="00200234">
        <w:t>Note</w:t>
      </w:r>
      <w:r>
        <w:t>s</w:t>
      </w:r>
      <w:r w:rsidRPr="00200234">
        <w:t>:</w:t>
      </w:r>
      <w:r>
        <w:t xml:space="preserve"> MidCentral DHB did not submitted data in 2020, </w:t>
      </w:r>
      <w:r w:rsidRPr="00200234">
        <w:t xml:space="preserve">therefore this graph is not comparable </w:t>
      </w:r>
      <w:r>
        <w:t>with</w:t>
      </w:r>
      <w:r w:rsidRPr="00200234">
        <w:t xml:space="preserve"> equivalent </w:t>
      </w:r>
      <w:r>
        <w:t xml:space="preserve">data </w:t>
      </w:r>
      <w:r w:rsidRPr="00200234">
        <w:t xml:space="preserve">published in previous reports. </w:t>
      </w:r>
      <w:r>
        <w:rPr>
          <w:szCs w:val="17"/>
        </w:rPr>
        <w:t>Part way through 2020, there was a change to the consultation with family and wh</w:t>
      </w:r>
      <w:r w:rsidRPr="0017457F">
        <w:rPr>
          <w:sz w:val="18"/>
          <w:szCs w:val="16"/>
        </w:rPr>
        <w:t>ā</w:t>
      </w:r>
      <w:r>
        <w:rPr>
          <w:szCs w:val="17"/>
        </w:rPr>
        <w:t>nau data that the Office of the Director of Mental Health and Addiction Services collects. The decision was made to no longer record consultation on release and instead record consultation at section 29(3)(a). As the annual data set for consultation on release and consultation at section 29(3)(a) are both incomplete, neither of these are presented. Consultation at section 29(3)(a) will be included in future data reporting.</w:t>
      </w:r>
    </w:p>
    <w:p w14:paraId="60B6FB33" w14:textId="77777777" w:rsidR="0039221C" w:rsidRDefault="00410071" w:rsidP="00791956">
      <w:pPr>
        <w:pStyle w:val="Source"/>
      </w:pPr>
      <w:r w:rsidRPr="00200234">
        <w:t>Source: Office of the Director of Mental Health and Addiction Services records.</w:t>
      </w:r>
    </w:p>
    <w:p w14:paraId="66CFCD35" w14:textId="77777777" w:rsidR="00410071" w:rsidRPr="00200234" w:rsidRDefault="00410071" w:rsidP="00791956"/>
    <w:p w14:paraId="4D0069DB" w14:textId="13601A2D" w:rsidR="00410071" w:rsidRPr="00200234" w:rsidRDefault="00410071" w:rsidP="00791956">
      <w:r w:rsidRPr="00200234">
        <w:t>On average nationally during 20</w:t>
      </w:r>
      <w:r>
        <w:t>20</w:t>
      </w:r>
      <w:r w:rsidRPr="00200234">
        <w:t xml:space="preserve">, </w:t>
      </w:r>
      <w:r>
        <w:t>69</w:t>
      </w:r>
      <w:r w:rsidRPr="00200234">
        <w:t xml:space="preserve"> percent of cases included consultation with family and whānau across all assessment and treatment events. </w:t>
      </w:r>
      <w:r>
        <w:t>Tair</w:t>
      </w:r>
      <w:r w:rsidRPr="0017457F">
        <w:rPr>
          <w:szCs w:val="21"/>
        </w:rPr>
        <w:t>ā</w:t>
      </w:r>
      <w:r>
        <w:t>whiti DHB</w:t>
      </w:r>
      <w:r w:rsidRPr="00200234">
        <w:t xml:space="preserve"> had the highest rate of consultation at </w:t>
      </w:r>
      <w:r>
        <w:t>85</w:t>
      </w:r>
      <w:r w:rsidRPr="00200234">
        <w:t xml:space="preserve"> percent</w:t>
      </w:r>
      <w:r>
        <w:t>,</w:t>
      </w:r>
      <w:r w:rsidRPr="00200234">
        <w:t xml:space="preserve"> and </w:t>
      </w:r>
      <w:r>
        <w:t>Northland</w:t>
      </w:r>
      <w:r w:rsidRPr="00200234">
        <w:t xml:space="preserve"> DHB had the lowest at </w:t>
      </w:r>
      <w:r>
        <w:t>49</w:t>
      </w:r>
      <w:r w:rsidR="00791956">
        <w:t> </w:t>
      </w:r>
      <w:r w:rsidRPr="00200234">
        <w:t>percent (see</w:t>
      </w:r>
      <w:r>
        <w:t xml:space="preserve"> </w:t>
      </w:r>
      <w:r>
        <w:fldChar w:fldCharType="begin"/>
      </w:r>
      <w:r>
        <w:instrText xml:space="preserve"> REF _Ref85450395 \h </w:instrText>
      </w:r>
      <w:r>
        <w:fldChar w:fldCharType="separate"/>
      </w:r>
      <w:r w:rsidR="00840F18">
        <w:t>Figure </w:t>
      </w:r>
      <w:r w:rsidR="00840F18">
        <w:rPr>
          <w:noProof/>
        </w:rPr>
        <w:t>15</w:t>
      </w:r>
      <w:r>
        <w:fldChar w:fldCharType="end"/>
      </w:r>
      <w:r w:rsidRPr="00200234">
        <w:t>).</w:t>
      </w:r>
    </w:p>
    <w:p w14:paraId="23E9DD36" w14:textId="77777777" w:rsidR="00410071" w:rsidRDefault="00410071" w:rsidP="00791956"/>
    <w:p w14:paraId="5DD8349C" w14:textId="23AE4408" w:rsidR="00410071" w:rsidRDefault="00410071" w:rsidP="00791956">
      <w:pPr>
        <w:pStyle w:val="Figure"/>
      </w:pPr>
      <w:bookmarkStart w:id="151" w:name="_Ref85450395"/>
      <w:bookmarkStart w:id="152" w:name="_Toc85442577"/>
      <w:bookmarkStart w:id="153" w:name="_Toc85445924"/>
      <w:bookmarkStart w:id="154" w:name="_Toc87429964"/>
      <w:bookmarkStart w:id="155" w:name="_Toc88561396"/>
      <w:r>
        <w:lastRenderedPageBreak/>
        <w:t>Figure</w:t>
      </w:r>
      <w:r w:rsidR="00791956">
        <w:t> </w:t>
      </w:r>
      <w:r w:rsidR="00592799">
        <w:fldChar w:fldCharType="begin"/>
      </w:r>
      <w:r w:rsidR="00592799">
        <w:instrText xml:space="preserve"> SEQ Figure \* ARABIC </w:instrText>
      </w:r>
      <w:r w:rsidR="00592799">
        <w:fldChar w:fldCharType="separate"/>
      </w:r>
      <w:r w:rsidR="00840F18">
        <w:rPr>
          <w:noProof/>
        </w:rPr>
        <w:t>15</w:t>
      </w:r>
      <w:r w:rsidR="00592799">
        <w:rPr>
          <w:noProof/>
        </w:rPr>
        <w:fldChar w:fldCharType="end"/>
      </w:r>
      <w:bookmarkEnd w:id="151"/>
      <w:r w:rsidRPr="00200234">
        <w:t>: Average percentage of family/whānau consultation across all assessment/treatment</w:t>
      </w:r>
      <w:r>
        <w:t xml:space="preserve"> </w:t>
      </w:r>
      <w:r w:rsidRPr="00200234">
        <w:t>events, by DHB, 1 January to 31 December 20</w:t>
      </w:r>
      <w:r>
        <w:t>20</w:t>
      </w:r>
      <w:bookmarkEnd w:id="152"/>
      <w:bookmarkEnd w:id="153"/>
      <w:bookmarkEnd w:id="154"/>
      <w:bookmarkEnd w:id="155"/>
    </w:p>
    <w:p w14:paraId="4A673643" w14:textId="77777777" w:rsidR="0039221C" w:rsidRDefault="00410071" w:rsidP="00410071">
      <w:pPr>
        <w:rPr>
          <w:rStyle w:val="NoteChar"/>
          <w:rFonts w:eastAsiaTheme="minorHAnsi"/>
        </w:rPr>
      </w:pPr>
      <w:r>
        <w:rPr>
          <w:noProof/>
          <w:lang w:eastAsia="en-NZ"/>
        </w:rPr>
        <w:drawing>
          <wp:inline distT="0" distB="0" distL="0" distR="0" wp14:anchorId="309F129F" wp14:editId="16F0B040">
            <wp:extent cx="5153890" cy="3582785"/>
            <wp:effectExtent l="0" t="0" r="8890" b="0"/>
            <wp:docPr id="54" name="Chart 54" descr="This graph shows that the average family consultation rate across New Zealand was 69%. Tairāwhiti DHB had the highest consultation rate. Counties Manukau, Hawke's Bay, Nelson Marlborough and South Canterbury DHBs had consultation rates higher than the average. Auckland, Bay of Plenty, Canterbury, Capital &amp; Coast, Hutt Valley, Taranaki, Southern, Waitematā and Whanganui consulted around the average amount. Lakes, Waikato, Wairarapa and West Coast DHBs consulted less than the average, and Northland had the lowest at 49%. ">
              <a:extLst xmlns:a="http://schemas.openxmlformats.org/drawingml/2006/main">
                <a:ext uri="{FF2B5EF4-FFF2-40B4-BE49-F238E27FC236}">
                  <a16:creationId xmlns:a16="http://schemas.microsoft.com/office/drawing/2014/main" id="{CC93D73E-9E02-495A-991E-0CBA88A17C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4999043" w14:textId="77777777" w:rsidR="0039221C" w:rsidRDefault="00410071" w:rsidP="00791956">
      <w:pPr>
        <w:pStyle w:val="Note"/>
        <w:rPr>
          <w:rStyle w:val="NoteChar"/>
          <w:rFonts w:eastAsiaTheme="minorHAnsi"/>
        </w:rPr>
      </w:pPr>
      <w:r w:rsidRPr="00200234">
        <w:rPr>
          <w:rStyle w:val="NoteChar"/>
          <w:rFonts w:eastAsiaTheme="minorHAnsi"/>
        </w:rPr>
        <w:t xml:space="preserve">Note: </w:t>
      </w:r>
      <w:r>
        <w:rPr>
          <w:rStyle w:val="NoteChar"/>
          <w:rFonts w:eastAsiaTheme="minorHAnsi"/>
        </w:rPr>
        <w:t xml:space="preserve">MidCentral </w:t>
      </w:r>
      <w:r w:rsidRPr="00200234">
        <w:rPr>
          <w:rStyle w:val="NoteChar"/>
          <w:rFonts w:eastAsiaTheme="minorHAnsi"/>
        </w:rPr>
        <w:t xml:space="preserve">DHB </w:t>
      </w:r>
      <w:r>
        <w:rPr>
          <w:rStyle w:val="NoteChar"/>
          <w:rFonts w:eastAsiaTheme="minorHAnsi"/>
        </w:rPr>
        <w:t xml:space="preserve">did not </w:t>
      </w:r>
      <w:r w:rsidRPr="00200234">
        <w:rPr>
          <w:rStyle w:val="NoteChar"/>
          <w:rFonts w:eastAsiaTheme="minorHAnsi"/>
        </w:rPr>
        <w:t>submit data in 20</w:t>
      </w:r>
      <w:r>
        <w:rPr>
          <w:rStyle w:val="NoteChar"/>
          <w:rFonts w:eastAsiaTheme="minorHAnsi"/>
        </w:rPr>
        <w:t xml:space="preserve">20, </w:t>
      </w:r>
      <w:r w:rsidRPr="00200234">
        <w:rPr>
          <w:rStyle w:val="NoteChar"/>
          <w:rFonts w:eastAsiaTheme="minorHAnsi"/>
        </w:rPr>
        <w:t xml:space="preserve">so this graph is not comparable </w:t>
      </w:r>
      <w:r>
        <w:rPr>
          <w:rStyle w:val="NoteChar"/>
          <w:rFonts w:eastAsiaTheme="minorHAnsi"/>
        </w:rPr>
        <w:t>with</w:t>
      </w:r>
      <w:r w:rsidRPr="00200234">
        <w:rPr>
          <w:rStyle w:val="NoteChar"/>
          <w:rFonts w:eastAsiaTheme="minorHAnsi"/>
        </w:rPr>
        <w:t xml:space="preserve"> equivalent </w:t>
      </w:r>
      <w:r>
        <w:rPr>
          <w:rStyle w:val="NoteChar"/>
          <w:rFonts w:eastAsiaTheme="minorHAnsi"/>
        </w:rPr>
        <w:t xml:space="preserve">data </w:t>
      </w:r>
      <w:r w:rsidRPr="00200234">
        <w:rPr>
          <w:rStyle w:val="NoteChar"/>
          <w:rFonts w:eastAsiaTheme="minorHAnsi"/>
        </w:rPr>
        <w:t>published in previous reports.</w:t>
      </w:r>
    </w:p>
    <w:p w14:paraId="42405812" w14:textId="77777777" w:rsidR="0039221C" w:rsidRDefault="00410071" w:rsidP="00791956">
      <w:pPr>
        <w:pStyle w:val="Source"/>
      </w:pPr>
      <w:r w:rsidRPr="00200234">
        <w:rPr>
          <w:rStyle w:val="NoteChar"/>
          <w:rFonts w:eastAsiaTheme="minorHAnsi"/>
        </w:rPr>
        <w:t>Source: Office of the Director of Mental Health and Addiction Services records.</w:t>
      </w:r>
    </w:p>
    <w:p w14:paraId="397F7C96" w14:textId="77777777" w:rsidR="00410071" w:rsidRPr="00200234" w:rsidRDefault="00410071" w:rsidP="00791956"/>
    <w:p w14:paraId="6ADB5C5C" w14:textId="5FA7A1A2" w:rsidR="00410071" w:rsidRPr="00200234" w:rsidRDefault="00410071" w:rsidP="00410071">
      <w:pPr>
        <w:pStyle w:val="Figure"/>
      </w:pPr>
      <w:bookmarkStart w:id="156" w:name="_Toc63764764"/>
      <w:bookmarkStart w:id="157" w:name="_Toc75176487"/>
      <w:bookmarkStart w:id="158" w:name="_Toc85442578"/>
      <w:bookmarkStart w:id="159" w:name="_Toc85445925"/>
      <w:bookmarkStart w:id="160" w:name="_Toc87429965"/>
      <w:bookmarkStart w:id="161" w:name="_Toc88561397"/>
      <w:r>
        <w:t>Figure</w:t>
      </w:r>
      <w:r w:rsidR="00791956">
        <w:t> </w:t>
      </w:r>
      <w:r w:rsidR="00592799">
        <w:fldChar w:fldCharType="begin"/>
      </w:r>
      <w:r w:rsidR="00592799">
        <w:instrText xml:space="preserve"> SEQ Figure \* ARABIC </w:instrText>
      </w:r>
      <w:r w:rsidR="00592799">
        <w:fldChar w:fldCharType="separate"/>
      </w:r>
      <w:r w:rsidR="00840F18">
        <w:rPr>
          <w:noProof/>
        </w:rPr>
        <w:t>16</w:t>
      </w:r>
      <w:r w:rsidR="00592799">
        <w:rPr>
          <w:noProof/>
        </w:rPr>
        <w:fldChar w:fldCharType="end"/>
      </w:r>
      <w:r w:rsidRPr="00200234">
        <w:t>: Reasons for not consulting families and whānau, 1 January to 31</w:t>
      </w:r>
      <w:r w:rsidR="00791956">
        <w:t> </w:t>
      </w:r>
      <w:r w:rsidRPr="00200234">
        <w:t>December 20</w:t>
      </w:r>
      <w:bookmarkEnd w:id="156"/>
      <w:r>
        <w:t>20</w:t>
      </w:r>
      <w:bookmarkEnd w:id="157"/>
      <w:bookmarkEnd w:id="158"/>
      <w:bookmarkEnd w:id="159"/>
      <w:bookmarkEnd w:id="160"/>
      <w:bookmarkEnd w:id="161"/>
    </w:p>
    <w:p w14:paraId="7C731567" w14:textId="77777777" w:rsidR="00410071" w:rsidRPr="00791956" w:rsidRDefault="00410071" w:rsidP="00410071">
      <w:pPr>
        <w:rPr>
          <w:rFonts w:eastAsia="Calibri"/>
        </w:rPr>
      </w:pPr>
      <w:r>
        <w:rPr>
          <w:noProof/>
          <w:lang w:eastAsia="en-NZ"/>
        </w:rPr>
        <w:drawing>
          <wp:inline distT="0" distB="0" distL="0" distR="0" wp14:anchorId="73C706F4" wp14:editId="52771CD2">
            <wp:extent cx="3581400" cy="2466975"/>
            <wp:effectExtent l="0" t="0" r="0" b="0"/>
            <wp:docPr id="22" name="Chart 22" descr="This bar chart shows that in 2020, 83% of cases where the family was not consulted, the reason was because it was not practicable. The reason was not recorded in 5% of cases. For 12% of cases it was not in the best interest of the patient.">
              <a:extLst xmlns:a="http://schemas.openxmlformats.org/drawingml/2006/main">
                <a:ext uri="{FF2B5EF4-FFF2-40B4-BE49-F238E27FC236}">
                  <a16:creationId xmlns:a16="http://schemas.microsoft.com/office/drawing/2014/main" id="{D3A4C2EB-8F94-4C27-B5FC-715084E0DE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609047B" w14:textId="77777777" w:rsidR="0039221C" w:rsidRDefault="00410071" w:rsidP="00791956">
      <w:pPr>
        <w:pStyle w:val="Note"/>
        <w:rPr>
          <w:rStyle w:val="NoteChar"/>
          <w:rFonts w:eastAsiaTheme="minorHAnsi"/>
        </w:rPr>
      </w:pPr>
      <w:r w:rsidRPr="00200234">
        <w:t xml:space="preserve">Note: </w:t>
      </w:r>
      <w:r>
        <w:rPr>
          <w:rStyle w:val="NoteChar"/>
          <w:rFonts w:eastAsiaTheme="minorHAnsi"/>
        </w:rPr>
        <w:t>MidCentral DHB</w:t>
      </w:r>
      <w:r w:rsidRPr="00200234">
        <w:rPr>
          <w:rStyle w:val="NoteChar"/>
          <w:rFonts w:eastAsiaTheme="minorHAnsi"/>
        </w:rPr>
        <w:t xml:space="preserve"> </w:t>
      </w:r>
      <w:r>
        <w:rPr>
          <w:rStyle w:val="NoteChar"/>
          <w:rFonts w:eastAsiaTheme="minorHAnsi"/>
        </w:rPr>
        <w:t xml:space="preserve">did not </w:t>
      </w:r>
      <w:r w:rsidRPr="00200234">
        <w:rPr>
          <w:rStyle w:val="NoteChar"/>
          <w:rFonts w:eastAsiaTheme="minorHAnsi"/>
        </w:rPr>
        <w:t>submit</w:t>
      </w:r>
      <w:r>
        <w:rPr>
          <w:rStyle w:val="NoteChar"/>
          <w:rFonts w:eastAsiaTheme="minorHAnsi"/>
        </w:rPr>
        <w:t xml:space="preserve"> </w:t>
      </w:r>
      <w:r w:rsidRPr="00200234">
        <w:rPr>
          <w:rStyle w:val="NoteChar"/>
          <w:rFonts w:eastAsiaTheme="minorHAnsi"/>
        </w:rPr>
        <w:t>data in 20</w:t>
      </w:r>
      <w:r>
        <w:rPr>
          <w:rStyle w:val="NoteChar"/>
          <w:rFonts w:eastAsiaTheme="minorHAnsi"/>
        </w:rPr>
        <w:t xml:space="preserve">20, </w:t>
      </w:r>
      <w:r w:rsidRPr="00200234">
        <w:rPr>
          <w:rStyle w:val="NoteChar"/>
          <w:rFonts w:eastAsiaTheme="minorHAnsi"/>
        </w:rPr>
        <w:t xml:space="preserve">so this graph is not comparable </w:t>
      </w:r>
      <w:r>
        <w:rPr>
          <w:rStyle w:val="NoteChar"/>
          <w:rFonts w:eastAsiaTheme="minorHAnsi"/>
        </w:rPr>
        <w:t>with</w:t>
      </w:r>
      <w:r w:rsidRPr="00200234">
        <w:rPr>
          <w:rStyle w:val="NoteChar"/>
          <w:rFonts w:eastAsiaTheme="minorHAnsi"/>
        </w:rPr>
        <w:t xml:space="preserve"> equivalent </w:t>
      </w:r>
      <w:r>
        <w:rPr>
          <w:rStyle w:val="NoteChar"/>
          <w:rFonts w:eastAsiaTheme="minorHAnsi"/>
        </w:rPr>
        <w:t xml:space="preserve">data </w:t>
      </w:r>
      <w:r w:rsidRPr="00200234">
        <w:rPr>
          <w:rStyle w:val="NoteChar"/>
          <w:rFonts w:eastAsiaTheme="minorHAnsi"/>
        </w:rPr>
        <w:t>published in previous reports.</w:t>
      </w:r>
    </w:p>
    <w:p w14:paraId="02FDCA77" w14:textId="77777777" w:rsidR="0039221C" w:rsidRDefault="00410071" w:rsidP="00791956">
      <w:pPr>
        <w:pStyle w:val="Source"/>
      </w:pPr>
      <w:r w:rsidRPr="00200234">
        <w:t>Source: Office of the Director of Mental Health and Addiction Services records.</w:t>
      </w:r>
    </w:p>
    <w:p w14:paraId="5D4CDA4C" w14:textId="77777777" w:rsidR="00791956" w:rsidRPr="00791956" w:rsidRDefault="00791956" w:rsidP="00791956"/>
    <w:p w14:paraId="685F6FC0" w14:textId="77777777" w:rsidR="00410071" w:rsidRPr="00200234" w:rsidRDefault="00410071" w:rsidP="0029060A">
      <w:pPr>
        <w:pStyle w:val="Heading1"/>
      </w:pPr>
      <w:bookmarkStart w:id="162" w:name="_Toc65236597"/>
      <w:bookmarkStart w:id="163" w:name="_Toc65141616"/>
      <w:bookmarkStart w:id="164" w:name="_Toc75176439"/>
      <w:bookmarkStart w:id="165" w:name="_Toc87429908"/>
      <w:bookmarkStart w:id="166" w:name="_Toc88826956"/>
      <w:r w:rsidRPr="00200234">
        <w:lastRenderedPageBreak/>
        <w:t>Indefinite compulsory treatment orders</w:t>
      </w:r>
      <w:bookmarkEnd w:id="162"/>
      <w:bookmarkEnd w:id="163"/>
      <w:bookmarkEnd w:id="164"/>
      <w:bookmarkEnd w:id="165"/>
      <w:bookmarkEnd w:id="166"/>
    </w:p>
    <w:p w14:paraId="304EF6F0" w14:textId="77777777" w:rsidR="00410071" w:rsidRPr="00200234" w:rsidRDefault="00410071" w:rsidP="0029060A">
      <w:r w:rsidRPr="00200234">
        <w:t>In summary, on 31 December 20</w:t>
      </w:r>
      <w:r>
        <w:t>20</w:t>
      </w:r>
      <w:r w:rsidRPr="00200234">
        <w:t>:</w:t>
      </w:r>
    </w:p>
    <w:p w14:paraId="60641506" w14:textId="77777777" w:rsidR="00410071" w:rsidRPr="00ED4FA1" w:rsidRDefault="00410071" w:rsidP="0029060A">
      <w:pPr>
        <w:pStyle w:val="Bullet"/>
      </w:pPr>
      <w:r>
        <w:t>2,886</w:t>
      </w:r>
      <w:r w:rsidRPr="00ED4FA1">
        <w:t xml:space="preserve"> </w:t>
      </w:r>
      <w:r>
        <w:t>people</w:t>
      </w:r>
      <w:r w:rsidRPr="00ED4FA1">
        <w:t xml:space="preserve"> were subject to indefinite compulsory treatment orders</w:t>
      </w:r>
    </w:p>
    <w:p w14:paraId="7A877E16" w14:textId="77777777" w:rsidR="00410071" w:rsidRPr="00ED4FA1" w:rsidRDefault="00410071" w:rsidP="0029060A">
      <w:pPr>
        <w:pStyle w:val="Bullet"/>
      </w:pPr>
      <w:r>
        <w:t>2,713</w:t>
      </w:r>
      <w:r w:rsidRPr="00ED4FA1">
        <w:t xml:space="preserve"> </w:t>
      </w:r>
      <w:r>
        <w:t>people</w:t>
      </w:r>
      <w:r w:rsidRPr="00ED4FA1">
        <w:t xml:space="preserve"> (</w:t>
      </w:r>
      <w:r>
        <w:t>57</w:t>
      </w:r>
      <w:r w:rsidRPr="00ED4FA1">
        <w:t xml:space="preserve"> percent of all </w:t>
      </w:r>
      <w:r>
        <w:t>individuals</w:t>
      </w:r>
      <w:r w:rsidRPr="00ED4FA1">
        <w:t xml:space="preserve"> on community treatment orders) were subject to indefinite community treatment orders</w:t>
      </w:r>
    </w:p>
    <w:p w14:paraId="3AFD1C4F" w14:textId="77777777" w:rsidR="00410071" w:rsidRPr="00ED4FA1" w:rsidRDefault="00410071" w:rsidP="0029060A">
      <w:pPr>
        <w:pStyle w:val="Bullet"/>
      </w:pPr>
      <w:r>
        <w:t>182</w:t>
      </w:r>
      <w:r w:rsidRPr="00ED4FA1">
        <w:t xml:space="preserve"> </w:t>
      </w:r>
      <w:r>
        <w:t>people</w:t>
      </w:r>
      <w:r w:rsidRPr="00ED4FA1">
        <w:t xml:space="preserve"> were subject to indefinite inpatient treatment orders</w:t>
      </w:r>
      <w:r>
        <w:t xml:space="preserve"> –</w:t>
      </w:r>
      <w:r w:rsidRPr="00ED4FA1">
        <w:t xml:space="preserve"> this represents </w:t>
      </w:r>
      <w:r>
        <w:t>29</w:t>
      </w:r>
      <w:r w:rsidR="0029060A">
        <w:t> </w:t>
      </w:r>
      <w:r w:rsidRPr="00ED4FA1">
        <w:t xml:space="preserve">percent of all </w:t>
      </w:r>
      <w:r>
        <w:t>individuals</w:t>
      </w:r>
      <w:r w:rsidRPr="00ED4FA1">
        <w:t xml:space="preserve"> on inpatient treatment orders</w:t>
      </w:r>
    </w:p>
    <w:p w14:paraId="1B33E888" w14:textId="77777777" w:rsidR="00410071" w:rsidRPr="00ED4FA1" w:rsidRDefault="00410071" w:rsidP="0029060A">
      <w:pPr>
        <w:pStyle w:val="Bullet"/>
      </w:pPr>
      <w:bookmarkStart w:id="167" w:name="_Hlk84231012"/>
      <w:r w:rsidRPr="00ED4FA1">
        <w:t xml:space="preserve">the average period for which a </w:t>
      </w:r>
      <w:r>
        <w:t>person</w:t>
      </w:r>
      <w:r w:rsidRPr="00ED4FA1">
        <w:t xml:space="preserve"> was subject to an indefinite community treatment order was </w:t>
      </w:r>
      <w:r>
        <w:t>1,561</w:t>
      </w:r>
      <w:r w:rsidRPr="00ED4FA1">
        <w:t xml:space="preserve"> days</w:t>
      </w:r>
      <w:r>
        <w:t>,</w:t>
      </w:r>
      <w:r w:rsidRPr="00ED4FA1">
        <w:t xml:space="preserve"> and the maximum period was </w:t>
      </w:r>
      <w:r>
        <w:t>9,922</w:t>
      </w:r>
      <w:r w:rsidRPr="00ED4FA1">
        <w:t xml:space="preserve"> days (approximately </w:t>
      </w:r>
      <w:r>
        <w:t>27</w:t>
      </w:r>
      <w:r w:rsidRPr="00ED4FA1">
        <w:t xml:space="preserve"> years)</w:t>
      </w:r>
    </w:p>
    <w:p w14:paraId="316C571D" w14:textId="77777777" w:rsidR="00410071" w:rsidRDefault="00410071" w:rsidP="0029060A">
      <w:pPr>
        <w:pStyle w:val="Bullet"/>
      </w:pPr>
      <w:r w:rsidRPr="00ED4FA1">
        <w:t xml:space="preserve">the average period for which a </w:t>
      </w:r>
      <w:r>
        <w:t>person</w:t>
      </w:r>
      <w:r w:rsidRPr="00ED4FA1">
        <w:t xml:space="preserve"> was subject to an indefinite inpatient treatment order was</w:t>
      </w:r>
      <w:r>
        <w:t xml:space="preserve"> 1,508</w:t>
      </w:r>
      <w:r w:rsidRPr="00ED4FA1">
        <w:t xml:space="preserve"> days</w:t>
      </w:r>
      <w:r>
        <w:t>,</w:t>
      </w:r>
      <w:r w:rsidRPr="00ED4FA1">
        <w:t xml:space="preserve"> and the maximum period was </w:t>
      </w:r>
      <w:r>
        <w:t>7,750</w:t>
      </w:r>
      <w:r w:rsidRPr="00ED4FA1">
        <w:t xml:space="preserve"> days (approximately </w:t>
      </w:r>
      <w:r>
        <w:t>21</w:t>
      </w:r>
      <w:r w:rsidRPr="00ED4FA1">
        <w:t xml:space="preserve"> years).</w:t>
      </w:r>
      <w:r w:rsidRPr="0029060A">
        <w:rPr>
          <w:rStyle w:val="FootnoteReference"/>
        </w:rPr>
        <w:footnoteReference w:id="13"/>
      </w:r>
    </w:p>
    <w:p w14:paraId="2456C5BC" w14:textId="77777777" w:rsidR="00410071" w:rsidRPr="00903FE5" w:rsidRDefault="00410071" w:rsidP="0029060A"/>
    <w:p w14:paraId="2FEC7ABD" w14:textId="77777777" w:rsidR="00410071" w:rsidRPr="00200234" w:rsidRDefault="00410071" w:rsidP="0029060A">
      <w:pPr>
        <w:pStyle w:val="Heading2"/>
      </w:pPr>
      <w:bookmarkStart w:id="168" w:name="_Toc65236598"/>
      <w:bookmarkStart w:id="169" w:name="_Toc65141617"/>
      <w:bookmarkStart w:id="170" w:name="_Toc75176440"/>
      <w:bookmarkStart w:id="171" w:name="_Toc87429909"/>
      <w:bookmarkStart w:id="172" w:name="_Toc88826957"/>
      <w:bookmarkEnd w:id="167"/>
      <w:r w:rsidRPr="00200234">
        <w:t>Indefinite community treatment orders</w:t>
      </w:r>
      <w:bookmarkEnd w:id="168"/>
      <w:bookmarkEnd w:id="169"/>
      <w:bookmarkEnd w:id="170"/>
      <w:bookmarkEnd w:id="171"/>
      <w:bookmarkEnd w:id="172"/>
    </w:p>
    <w:p w14:paraId="1E2D7C67" w14:textId="6CD813EC" w:rsidR="0039221C" w:rsidRDefault="00410071" w:rsidP="0029060A">
      <w:r w:rsidRPr="00200234">
        <w:t>In 20</w:t>
      </w:r>
      <w:r>
        <w:t>20</w:t>
      </w:r>
      <w:r w:rsidRPr="00200234">
        <w:t xml:space="preserve">, </w:t>
      </w:r>
      <w:r>
        <w:t>53.3</w:t>
      </w:r>
      <w:r w:rsidRPr="00200234">
        <w:t xml:space="preserve"> people per 100,000 population across </w:t>
      </w:r>
      <w:r>
        <w:t xml:space="preserve">Aotearoa </w:t>
      </w:r>
      <w:r w:rsidRPr="00200234">
        <w:t xml:space="preserve">New Zealand were subject to indefinite community treatment orders. </w:t>
      </w:r>
      <w:r w:rsidRPr="00200234">
        <w:fldChar w:fldCharType="begin"/>
      </w:r>
      <w:r w:rsidRPr="00200234">
        <w:instrText xml:space="preserve"> REF _Ref65671888 \h </w:instrText>
      </w:r>
      <w:r w:rsidRPr="00200234">
        <w:fldChar w:fldCharType="separate"/>
      </w:r>
      <w:r w:rsidR="00840F18">
        <w:t>Figure </w:t>
      </w:r>
      <w:r w:rsidR="00840F18">
        <w:rPr>
          <w:noProof/>
        </w:rPr>
        <w:t>17</w:t>
      </w:r>
      <w:r w:rsidRPr="00200234">
        <w:fldChar w:fldCharType="end"/>
      </w:r>
      <w:r w:rsidRPr="00200234">
        <w:t xml:space="preserve"> shows the rates of indefinite community treatment orders in each DHB, per 100,000 of the general population.</w:t>
      </w:r>
    </w:p>
    <w:p w14:paraId="520A49CB" w14:textId="77777777" w:rsidR="00410071" w:rsidRPr="00200234" w:rsidRDefault="00410071" w:rsidP="0029060A"/>
    <w:p w14:paraId="6FBDCA6F" w14:textId="55F8E351" w:rsidR="00410071" w:rsidRDefault="00410071" w:rsidP="0029060A">
      <w:pPr>
        <w:pStyle w:val="Figure"/>
      </w:pPr>
      <w:bookmarkStart w:id="173" w:name="_Ref65671888"/>
      <w:bookmarkStart w:id="174" w:name="_Toc65574436"/>
      <w:bookmarkStart w:id="175" w:name="_Toc63764746"/>
      <w:bookmarkStart w:id="176" w:name="_Toc75176475"/>
      <w:bookmarkStart w:id="177" w:name="_Toc85442565"/>
      <w:bookmarkStart w:id="178" w:name="_Toc85445907"/>
      <w:bookmarkStart w:id="179" w:name="_Toc87429966"/>
      <w:bookmarkStart w:id="180" w:name="_Toc88561398"/>
      <w:r>
        <w:lastRenderedPageBreak/>
        <w:t>Figure</w:t>
      </w:r>
      <w:r w:rsidR="0029060A">
        <w:t> </w:t>
      </w:r>
      <w:r w:rsidR="00592799">
        <w:fldChar w:fldCharType="begin"/>
      </w:r>
      <w:r w:rsidR="00592799">
        <w:instrText xml:space="preserve"> SEQ Figure \* ARABIC </w:instrText>
      </w:r>
      <w:r w:rsidR="00592799">
        <w:fldChar w:fldCharType="separate"/>
      </w:r>
      <w:r w:rsidR="00840F18">
        <w:rPr>
          <w:noProof/>
        </w:rPr>
        <w:t>17</w:t>
      </w:r>
      <w:r w:rsidR="00592799">
        <w:rPr>
          <w:noProof/>
        </w:rPr>
        <w:fldChar w:fldCharType="end"/>
      </w:r>
      <w:bookmarkEnd w:id="173"/>
      <w:r w:rsidRPr="00200234">
        <w:t xml:space="preserve">: </w:t>
      </w:r>
      <w:r>
        <w:t>Number</w:t>
      </w:r>
      <w:r w:rsidRPr="00200234">
        <w:t xml:space="preserve"> of people subject to indefinite community treatment orders per 100,000 population, by DHB, </w:t>
      </w:r>
      <w:r>
        <w:t xml:space="preserve">orders </w:t>
      </w:r>
      <w:r w:rsidRPr="00200234">
        <w:t xml:space="preserve">open </w:t>
      </w:r>
      <w:r>
        <w:t>at</w:t>
      </w:r>
      <w:r w:rsidRPr="00200234">
        <w:t xml:space="preserve"> 31 December 20</w:t>
      </w:r>
      <w:bookmarkEnd w:id="174"/>
      <w:bookmarkEnd w:id="175"/>
      <w:r>
        <w:t>20</w:t>
      </w:r>
      <w:bookmarkEnd w:id="176"/>
      <w:bookmarkEnd w:id="177"/>
      <w:bookmarkEnd w:id="178"/>
      <w:bookmarkEnd w:id="179"/>
      <w:bookmarkEnd w:id="180"/>
    </w:p>
    <w:p w14:paraId="5F0BEE6C" w14:textId="77777777" w:rsidR="00410071" w:rsidRPr="00200234" w:rsidRDefault="00410071" w:rsidP="00410071">
      <w:r>
        <w:rPr>
          <w:noProof/>
          <w:lang w:eastAsia="en-NZ"/>
        </w:rPr>
        <w:drawing>
          <wp:inline distT="0" distB="0" distL="0" distR="0" wp14:anchorId="23F347AD" wp14:editId="60785290">
            <wp:extent cx="5195454" cy="3640974"/>
            <wp:effectExtent l="0" t="0" r="5715" b="0"/>
            <wp:docPr id="11" name="Chart 11" descr="This graph shows that Northland has the highest rate of people subject to an indefinite community treatment order, followed by Capital &amp; Coast and Whanganui. Hawke's Bay has the lowest rate, followed by Bay of Plenty and Lakes. The national average is 53.3.">
              <a:extLst xmlns:a="http://schemas.openxmlformats.org/drawingml/2006/main">
                <a:ext uri="{FF2B5EF4-FFF2-40B4-BE49-F238E27FC236}">
                  <a16:creationId xmlns:a16="http://schemas.microsoft.com/office/drawing/2014/main" id="{8F09C44C-453F-453C-BA48-231F8B484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7C686DD" w14:textId="77777777" w:rsidR="00410071" w:rsidRPr="00200234" w:rsidRDefault="00410071" w:rsidP="0029060A">
      <w:pPr>
        <w:pStyle w:val="Source"/>
      </w:pPr>
      <w:r w:rsidRPr="00200234">
        <w:t>Source: PRIMHD data</w:t>
      </w:r>
      <w:r>
        <w:t xml:space="preserve"> (extracted</w:t>
      </w:r>
      <w:r w:rsidRPr="00200234">
        <w:t xml:space="preserve"> </w:t>
      </w:r>
      <w:r>
        <w:t>1 July 2021).</w:t>
      </w:r>
    </w:p>
    <w:p w14:paraId="4630C020" w14:textId="77777777" w:rsidR="00410071" w:rsidRPr="00ED4FA1" w:rsidRDefault="00410071" w:rsidP="0029060A"/>
    <w:p w14:paraId="57475E6B" w14:textId="3E0B37B2" w:rsidR="00410071" w:rsidRPr="00200234" w:rsidRDefault="00410071" w:rsidP="0029060A">
      <w:r w:rsidRPr="00200234">
        <w:t>In 20</w:t>
      </w:r>
      <w:r>
        <w:t>20</w:t>
      </w:r>
      <w:r w:rsidRPr="00200234">
        <w:t xml:space="preserve"> nationwide,</w:t>
      </w:r>
      <w:r>
        <w:t xml:space="preserve"> for orders open at the end of the year,</w:t>
      </w:r>
      <w:r w:rsidRPr="00200234">
        <w:t xml:space="preserve"> Māori were </w:t>
      </w:r>
      <w:r>
        <w:t>2.9</w:t>
      </w:r>
      <w:r w:rsidRPr="00200234">
        <w:t xml:space="preserve"> times more likely to be subject to an indefinite community treatment order than non-Māori. </w:t>
      </w:r>
      <w:r>
        <w:fldChar w:fldCharType="begin"/>
      </w:r>
      <w:r>
        <w:instrText xml:space="preserve"> REF _Ref85448301 \h </w:instrText>
      </w:r>
      <w:r>
        <w:fldChar w:fldCharType="separate"/>
      </w:r>
      <w:r w:rsidR="00840F18">
        <w:t>Table </w:t>
      </w:r>
      <w:r w:rsidR="00840F18">
        <w:rPr>
          <w:noProof/>
        </w:rPr>
        <w:t>6</w:t>
      </w:r>
      <w:r>
        <w:fldChar w:fldCharType="end"/>
      </w:r>
      <w:r w:rsidRPr="00200234">
        <w:t xml:space="preserve"> shows the rate ratio of Māori to non-Māori in each DHB, per 100,000 people subject to indefinite community treatment orders.</w:t>
      </w:r>
    </w:p>
    <w:p w14:paraId="67FE240F" w14:textId="77777777" w:rsidR="00410071" w:rsidRPr="00200234" w:rsidRDefault="00410071" w:rsidP="00891169"/>
    <w:p w14:paraId="1BBA3096" w14:textId="6C94EAA0" w:rsidR="00410071" w:rsidRDefault="00410071" w:rsidP="00891169">
      <w:pPr>
        <w:pStyle w:val="Table"/>
      </w:pPr>
      <w:bookmarkStart w:id="181" w:name="_Ref85448301"/>
      <w:bookmarkStart w:id="182" w:name="_Toc87430004"/>
      <w:bookmarkStart w:id="183" w:name="_Toc88561361"/>
      <w:r>
        <w:lastRenderedPageBreak/>
        <w:t>Table</w:t>
      </w:r>
      <w:r w:rsidR="0029060A">
        <w:t> </w:t>
      </w:r>
      <w:r w:rsidR="00592799">
        <w:fldChar w:fldCharType="begin"/>
      </w:r>
      <w:r w:rsidR="00592799">
        <w:instrText xml:space="preserve"> SEQ Table \* ARABIC </w:instrText>
      </w:r>
      <w:r w:rsidR="00592799">
        <w:fldChar w:fldCharType="separate"/>
      </w:r>
      <w:r w:rsidR="00840F18">
        <w:rPr>
          <w:noProof/>
        </w:rPr>
        <w:t>6</w:t>
      </w:r>
      <w:r w:rsidR="00592799">
        <w:rPr>
          <w:noProof/>
        </w:rPr>
        <w:fldChar w:fldCharType="end"/>
      </w:r>
      <w:bookmarkEnd w:id="181"/>
      <w:r w:rsidRPr="004A4CE1">
        <w:t xml:space="preserve">: Rate ratio of Māori to non-Māori subject to indefinite community treatment orders per 100,000 population, </w:t>
      </w:r>
      <w:r>
        <w:t xml:space="preserve">orders </w:t>
      </w:r>
      <w:r w:rsidRPr="004A4CE1">
        <w:t xml:space="preserve">open </w:t>
      </w:r>
      <w:r>
        <w:t>at</w:t>
      </w:r>
      <w:r w:rsidRPr="004A4CE1">
        <w:t xml:space="preserve"> 31 December 2020</w:t>
      </w:r>
      <w:bookmarkEnd w:id="182"/>
      <w:bookmarkEnd w:id="183"/>
    </w:p>
    <w:tbl>
      <w:tblPr>
        <w:tblW w:w="8233"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276"/>
        <w:gridCol w:w="709"/>
        <w:gridCol w:w="850"/>
        <w:gridCol w:w="1114"/>
        <w:gridCol w:w="370"/>
        <w:gridCol w:w="1331"/>
        <w:gridCol w:w="674"/>
        <w:gridCol w:w="764"/>
        <w:gridCol w:w="1145"/>
      </w:tblGrid>
      <w:tr w:rsidR="00410071" w:rsidRPr="00891169" w14:paraId="7BC34853" w14:textId="77777777" w:rsidTr="00891169">
        <w:trPr>
          <w:cantSplit/>
        </w:trPr>
        <w:tc>
          <w:tcPr>
            <w:tcW w:w="1276" w:type="dxa"/>
            <w:tcBorders>
              <w:top w:val="nil"/>
              <w:bottom w:val="nil"/>
            </w:tcBorders>
            <w:shd w:val="clear" w:color="000000" w:fill="D9D9D9"/>
            <w:noWrap/>
            <w:hideMark/>
          </w:tcPr>
          <w:p w14:paraId="50E6BBDD" w14:textId="77777777" w:rsidR="00410071" w:rsidRPr="00891169" w:rsidRDefault="00410071" w:rsidP="00891169">
            <w:pPr>
              <w:pStyle w:val="TableText"/>
              <w:keepNext/>
              <w:rPr>
                <w:b/>
                <w:lang w:eastAsia="en-NZ"/>
              </w:rPr>
            </w:pPr>
            <w:r w:rsidRPr="00891169">
              <w:rPr>
                <w:b/>
                <w:lang w:eastAsia="en-NZ"/>
              </w:rPr>
              <w:t>DHB of service</w:t>
            </w:r>
          </w:p>
        </w:tc>
        <w:tc>
          <w:tcPr>
            <w:tcW w:w="709" w:type="dxa"/>
            <w:tcBorders>
              <w:top w:val="nil"/>
              <w:bottom w:val="nil"/>
            </w:tcBorders>
            <w:shd w:val="clear" w:color="000000" w:fill="D9D9D9"/>
            <w:hideMark/>
          </w:tcPr>
          <w:p w14:paraId="3EC1F12A" w14:textId="77777777" w:rsidR="00410071" w:rsidRPr="00891169" w:rsidRDefault="00410071" w:rsidP="00891169">
            <w:pPr>
              <w:pStyle w:val="TableText"/>
              <w:keepNext/>
              <w:jc w:val="center"/>
              <w:rPr>
                <w:b/>
                <w:lang w:eastAsia="en-NZ"/>
              </w:rPr>
            </w:pPr>
            <w:r w:rsidRPr="00891169">
              <w:rPr>
                <w:b/>
                <w:lang w:eastAsia="en-NZ"/>
              </w:rPr>
              <w:t>Māori</w:t>
            </w:r>
          </w:p>
        </w:tc>
        <w:tc>
          <w:tcPr>
            <w:tcW w:w="850" w:type="dxa"/>
            <w:tcBorders>
              <w:top w:val="nil"/>
              <w:bottom w:val="nil"/>
            </w:tcBorders>
            <w:shd w:val="clear" w:color="000000" w:fill="D9D9D9"/>
            <w:hideMark/>
          </w:tcPr>
          <w:p w14:paraId="314DB6F8" w14:textId="77777777" w:rsidR="00410071" w:rsidRPr="00891169" w:rsidRDefault="00410071" w:rsidP="00891169">
            <w:pPr>
              <w:pStyle w:val="TableText"/>
              <w:keepNext/>
              <w:jc w:val="center"/>
              <w:rPr>
                <w:b/>
                <w:lang w:eastAsia="en-NZ"/>
              </w:rPr>
            </w:pPr>
            <w:r w:rsidRPr="00891169">
              <w:rPr>
                <w:b/>
                <w:lang w:eastAsia="en-NZ"/>
              </w:rPr>
              <w:t>Non-Māori</w:t>
            </w:r>
          </w:p>
        </w:tc>
        <w:tc>
          <w:tcPr>
            <w:tcW w:w="1114" w:type="dxa"/>
            <w:tcBorders>
              <w:top w:val="nil"/>
              <w:bottom w:val="nil"/>
            </w:tcBorders>
            <w:shd w:val="clear" w:color="000000" w:fill="D9D9D9"/>
            <w:hideMark/>
          </w:tcPr>
          <w:p w14:paraId="0D71125A" w14:textId="77777777" w:rsidR="00410071" w:rsidRPr="00891169" w:rsidRDefault="00410071" w:rsidP="00891169">
            <w:pPr>
              <w:pStyle w:val="TableText"/>
              <w:keepNext/>
              <w:jc w:val="center"/>
              <w:rPr>
                <w:b/>
                <w:lang w:eastAsia="en-NZ"/>
              </w:rPr>
            </w:pPr>
            <w:r w:rsidRPr="00891169">
              <w:rPr>
                <w:b/>
                <w:lang w:eastAsia="en-NZ"/>
              </w:rPr>
              <w:t>Rate ratio Māori : non-Māori</w:t>
            </w:r>
          </w:p>
        </w:tc>
        <w:tc>
          <w:tcPr>
            <w:tcW w:w="370" w:type="dxa"/>
            <w:tcBorders>
              <w:top w:val="nil"/>
              <w:bottom w:val="nil"/>
            </w:tcBorders>
            <w:shd w:val="clear" w:color="auto" w:fill="auto"/>
          </w:tcPr>
          <w:p w14:paraId="45D9BA65" w14:textId="77777777" w:rsidR="00410071" w:rsidRPr="00891169" w:rsidRDefault="00410071" w:rsidP="00891169">
            <w:pPr>
              <w:pStyle w:val="TableText"/>
              <w:keepNext/>
              <w:rPr>
                <w:lang w:eastAsia="en-NZ"/>
              </w:rPr>
            </w:pPr>
          </w:p>
        </w:tc>
        <w:tc>
          <w:tcPr>
            <w:tcW w:w="1331" w:type="dxa"/>
            <w:tcBorders>
              <w:top w:val="nil"/>
              <w:bottom w:val="nil"/>
            </w:tcBorders>
            <w:shd w:val="clear" w:color="000000" w:fill="D9D9D9"/>
          </w:tcPr>
          <w:p w14:paraId="4CD09B45" w14:textId="77777777" w:rsidR="00410071" w:rsidRPr="00891169" w:rsidRDefault="00410071" w:rsidP="00891169">
            <w:pPr>
              <w:pStyle w:val="TableText"/>
              <w:keepNext/>
              <w:rPr>
                <w:b/>
                <w:lang w:eastAsia="en-NZ"/>
              </w:rPr>
            </w:pPr>
            <w:r w:rsidRPr="00891169">
              <w:rPr>
                <w:b/>
                <w:lang w:eastAsia="en-NZ"/>
              </w:rPr>
              <w:t>DHB of service</w:t>
            </w:r>
          </w:p>
        </w:tc>
        <w:tc>
          <w:tcPr>
            <w:tcW w:w="674" w:type="dxa"/>
            <w:tcBorders>
              <w:top w:val="nil"/>
              <w:bottom w:val="nil"/>
            </w:tcBorders>
            <w:shd w:val="clear" w:color="000000" w:fill="D9D9D9"/>
          </w:tcPr>
          <w:p w14:paraId="79E17317" w14:textId="77777777" w:rsidR="00410071" w:rsidRPr="00891169" w:rsidRDefault="00410071" w:rsidP="00891169">
            <w:pPr>
              <w:pStyle w:val="TableText"/>
              <w:keepNext/>
              <w:jc w:val="center"/>
              <w:rPr>
                <w:b/>
                <w:lang w:eastAsia="en-NZ"/>
              </w:rPr>
            </w:pPr>
            <w:r w:rsidRPr="00891169">
              <w:rPr>
                <w:b/>
                <w:lang w:eastAsia="en-NZ"/>
              </w:rPr>
              <w:t>Māori</w:t>
            </w:r>
          </w:p>
        </w:tc>
        <w:tc>
          <w:tcPr>
            <w:tcW w:w="764" w:type="dxa"/>
            <w:tcBorders>
              <w:top w:val="nil"/>
              <w:bottom w:val="nil"/>
            </w:tcBorders>
            <w:shd w:val="clear" w:color="000000" w:fill="D9D9D9"/>
          </w:tcPr>
          <w:p w14:paraId="59092F11" w14:textId="77777777" w:rsidR="00410071" w:rsidRPr="00891169" w:rsidRDefault="00410071" w:rsidP="00891169">
            <w:pPr>
              <w:pStyle w:val="TableText"/>
              <w:keepNext/>
              <w:jc w:val="center"/>
              <w:rPr>
                <w:b/>
                <w:lang w:eastAsia="en-NZ"/>
              </w:rPr>
            </w:pPr>
            <w:r w:rsidRPr="00891169">
              <w:rPr>
                <w:b/>
                <w:lang w:eastAsia="en-NZ"/>
              </w:rPr>
              <w:t>Non-Māori</w:t>
            </w:r>
          </w:p>
        </w:tc>
        <w:tc>
          <w:tcPr>
            <w:tcW w:w="1145" w:type="dxa"/>
            <w:tcBorders>
              <w:top w:val="nil"/>
              <w:bottom w:val="nil"/>
            </w:tcBorders>
            <w:shd w:val="clear" w:color="000000" w:fill="D9D9D9"/>
          </w:tcPr>
          <w:p w14:paraId="505F86CD" w14:textId="77777777" w:rsidR="00410071" w:rsidRPr="00891169" w:rsidRDefault="00410071" w:rsidP="00891169">
            <w:pPr>
              <w:pStyle w:val="TableText"/>
              <w:keepNext/>
              <w:jc w:val="center"/>
              <w:rPr>
                <w:b/>
                <w:lang w:eastAsia="en-NZ"/>
              </w:rPr>
            </w:pPr>
            <w:r w:rsidRPr="00891169">
              <w:rPr>
                <w:b/>
                <w:lang w:eastAsia="en-NZ"/>
              </w:rPr>
              <w:t>Rate ratio Māori : non-Māori</w:t>
            </w:r>
          </w:p>
        </w:tc>
      </w:tr>
      <w:tr w:rsidR="00410071" w:rsidRPr="000C5A1A" w14:paraId="187DF803" w14:textId="77777777" w:rsidTr="00891169">
        <w:trPr>
          <w:cantSplit/>
        </w:trPr>
        <w:tc>
          <w:tcPr>
            <w:tcW w:w="1276" w:type="dxa"/>
            <w:tcBorders>
              <w:top w:val="nil"/>
              <w:bottom w:val="single" w:sz="4" w:space="0" w:color="A6A6A6"/>
            </w:tcBorders>
            <w:shd w:val="clear" w:color="auto" w:fill="auto"/>
            <w:noWrap/>
            <w:hideMark/>
          </w:tcPr>
          <w:p w14:paraId="0DBAA0E6" w14:textId="77777777" w:rsidR="00410071" w:rsidRPr="000C5A1A" w:rsidRDefault="00410071" w:rsidP="00891169">
            <w:pPr>
              <w:pStyle w:val="TableText"/>
              <w:keepNext/>
              <w:rPr>
                <w:lang w:eastAsia="en-NZ"/>
              </w:rPr>
            </w:pPr>
            <w:r w:rsidRPr="000C5A1A">
              <w:rPr>
                <w:lang w:eastAsia="en-NZ"/>
              </w:rPr>
              <w:t>Auckland</w:t>
            </w:r>
          </w:p>
        </w:tc>
        <w:tc>
          <w:tcPr>
            <w:tcW w:w="709" w:type="dxa"/>
            <w:tcBorders>
              <w:top w:val="nil"/>
              <w:bottom w:val="single" w:sz="4" w:space="0" w:color="A6A6A6"/>
            </w:tcBorders>
            <w:shd w:val="clear" w:color="auto" w:fill="auto"/>
            <w:noWrap/>
            <w:hideMark/>
          </w:tcPr>
          <w:p w14:paraId="4BBB5E10" w14:textId="77777777" w:rsidR="00410071" w:rsidRPr="00810398" w:rsidRDefault="00410071" w:rsidP="00891169">
            <w:pPr>
              <w:pStyle w:val="TableText"/>
              <w:keepNext/>
              <w:tabs>
                <w:tab w:val="decimal" w:pos="454"/>
              </w:tabs>
              <w:rPr>
                <w:lang w:eastAsia="en-NZ"/>
              </w:rPr>
            </w:pPr>
            <w:r w:rsidRPr="00810398">
              <w:rPr>
                <w:lang w:eastAsia="en-NZ"/>
              </w:rPr>
              <w:t>175</w:t>
            </w:r>
          </w:p>
        </w:tc>
        <w:tc>
          <w:tcPr>
            <w:tcW w:w="850" w:type="dxa"/>
            <w:tcBorders>
              <w:top w:val="nil"/>
              <w:bottom w:val="single" w:sz="4" w:space="0" w:color="A6A6A6"/>
            </w:tcBorders>
            <w:shd w:val="clear" w:color="auto" w:fill="auto"/>
            <w:noWrap/>
            <w:hideMark/>
          </w:tcPr>
          <w:p w14:paraId="6E1462BA" w14:textId="77777777" w:rsidR="00410071" w:rsidRPr="00810398" w:rsidRDefault="00410071" w:rsidP="00891169">
            <w:pPr>
              <w:pStyle w:val="TableText"/>
              <w:keepNext/>
              <w:tabs>
                <w:tab w:val="decimal" w:pos="445"/>
              </w:tabs>
              <w:rPr>
                <w:lang w:eastAsia="en-NZ"/>
              </w:rPr>
            </w:pPr>
            <w:r w:rsidRPr="00810398">
              <w:rPr>
                <w:lang w:eastAsia="en-NZ"/>
              </w:rPr>
              <w:t>52</w:t>
            </w:r>
          </w:p>
        </w:tc>
        <w:tc>
          <w:tcPr>
            <w:tcW w:w="1114" w:type="dxa"/>
            <w:tcBorders>
              <w:top w:val="nil"/>
              <w:bottom w:val="single" w:sz="4" w:space="0" w:color="A6A6A6"/>
            </w:tcBorders>
            <w:shd w:val="clear" w:color="auto" w:fill="auto"/>
            <w:noWrap/>
            <w:hideMark/>
          </w:tcPr>
          <w:p w14:paraId="1F1C6E63" w14:textId="77777777" w:rsidR="00410071" w:rsidRPr="00810398" w:rsidRDefault="00410071" w:rsidP="00891169">
            <w:pPr>
              <w:pStyle w:val="TableText"/>
              <w:keepNext/>
              <w:jc w:val="center"/>
              <w:rPr>
                <w:lang w:eastAsia="en-NZ"/>
              </w:rPr>
            </w:pPr>
            <w:r w:rsidRPr="00810398">
              <w:rPr>
                <w:lang w:eastAsia="en-NZ"/>
              </w:rPr>
              <w:t>3.3</w:t>
            </w:r>
          </w:p>
        </w:tc>
        <w:tc>
          <w:tcPr>
            <w:tcW w:w="370" w:type="dxa"/>
            <w:tcBorders>
              <w:top w:val="nil"/>
              <w:bottom w:val="nil"/>
            </w:tcBorders>
            <w:shd w:val="clear" w:color="auto" w:fill="auto"/>
          </w:tcPr>
          <w:p w14:paraId="20C38656" w14:textId="77777777" w:rsidR="00410071" w:rsidRPr="000C5A1A" w:rsidRDefault="00410071" w:rsidP="00891169">
            <w:pPr>
              <w:pStyle w:val="TableText"/>
              <w:keepNext/>
              <w:rPr>
                <w:lang w:eastAsia="en-NZ"/>
              </w:rPr>
            </w:pPr>
          </w:p>
        </w:tc>
        <w:tc>
          <w:tcPr>
            <w:tcW w:w="1331" w:type="dxa"/>
            <w:tcBorders>
              <w:top w:val="nil"/>
              <w:bottom w:val="single" w:sz="4" w:space="0" w:color="A6A6A6"/>
            </w:tcBorders>
          </w:tcPr>
          <w:p w14:paraId="080557D4" w14:textId="77777777" w:rsidR="00410071" w:rsidRPr="00810398" w:rsidRDefault="00410071" w:rsidP="00891169">
            <w:pPr>
              <w:pStyle w:val="TableText"/>
              <w:keepNext/>
              <w:rPr>
                <w:lang w:eastAsia="en-NZ"/>
              </w:rPr>
            </w:pPr>
            <w:r w:rsidRPr="000C5A1A">
              <w:rPr>
                <w:lang w:eastAsia="en-NZ"/>
              </w:rPr>
              <w:t>Northland</w:t>
            </w:r>
          </w:p>
        </w:tc>
        <w:tc>
          <w:tcPr>
            <w:tcW w:w="674" w:type="dxa"/>
            <w:tcBorders>
              <w:top w:val="nil"/>
              <w:bottom w:val="single" w:sz="4" w:space="0" w:color="A6A6A6"/>
            </w:tcBorders>
          </w:tcPr>
          <w:p w14:paraId="50071789" w14:textId="77777777" w:rsidR="00410071" w:rsidRPr="00810398" w:rsidRDefault="00410071" w:rsidP="00891169">
            <w:pPr>
              <w:pStyle w:val="TableText"/>
              <w:keepNext/>
              <w:tabs>
                <w:tab w:val="decimal" w:pos="454"/>
              </w:tabs>
              <w:rPr>
                <w:lang w:eastAsia="en-NZ"/>
              </w:rPr>
            </w:pPr>
            <w:r w:rsidRPr="00810398">
              <w:rPr>
                <w:lang w:eastAsia="en-NZ"/>
              </w:rPr>
              <w:t>193</w:t>
            </w:r>
          </w:p>
        </w:tc>
        <w:tc>
          <w:tcPr>
            <w:tcW w:w="764" w:type="dxa"/>
            <w:tcBorders>
              <w:top w:val="nil"/>
              <w:bottom w:val="single" w:sz="4" w:space="0" w:color="A6A6A6"/>
            </w:tcBorders>
          </w:tcPr>
          <w:p w14:paraId="3B1ED376" w14:textId="77777777" w:rsidR="00410071" w:rsidRPr="00810398" w:rsidRDefault="00410071" w:rsidP="00891169">
            <w:pPr>
              <w:pStyle w:val="TableText"/>
              <w:keepNext/>
              <w:jc w:val="center"/>
              <w:rPr>
                <w:lang w:eastAsia="en-NZ"/>
              </w:rPr>
            </w:pPr>
            <w:r w:rsidRPr="00810398">
              <w:rPr>
                <w:lang w:eastAsia="en-NZ"/>
              </w:rPr>
              <w:t>60</w:t>
            </w:r>
          </w:p>
        </w:tc>
        <w:tc>
          <w:tcPr>
            <w:tcW w:w="1145" w:type="dxa"/>
            <w:tcBorders>
              <w:top w:val="nil"/>
              <w:bottom w:val="single" w:sz="4" w:space="0" w:color="A6A6A6"/>
            </w:tcBorders>
          </w:tcPr>
          <w:p w14:paraId="28A336E7" w14:textId="77777777" w:rsidR="00410071" w:rsidRPr="00810398" w:rsidRDefault="00410071" w:rsidP="00891169">
            <w:pPr>
              <w:pStyle w:val="TableText"/>
              <w:keepNext/>
              <w:jc w:val="center"/>
              <w:rPr>
                <w:lang w:eastAsia="en-NZ"/>
              </w:rPr>
            </w:pPr>
            <w:r w:rsidRPr="00810398">
              <w:rPr>
                <w:lang w:eastAsia="en-NZ"/>
              </w:rPr>
              <w:t>3.2</w:t>
            </w:r>
          </w:p>
        </w:tc>
      </w:tr>
      <w:tr w:rsidR="00410071" w:rsidRPr="000C5A1A" w14:paraId="6590560B" w14:textId="77777777" w:rsidTr="00891169">
        <w:trPr>
          <w:cantSplit/>
        </w:trPr>
        <w:tc>
          <w:tcPr>
            <w:tcW w:w="1276" w:type="dxa"/>
            <w:tcBorders>
              <w:top w:val="single" w:sz="4" w:space="0" w:color="A6A6A6"/>
            </w:tcBorders>
            <w:shd w:val="clear" w:color="auto" w:fill="auto"/>
            <w:noWrap/>
            <w:hideMark/>
          </w:tcPr>
          <w:p w14:paraId="33A0587E" w14:textId="77777777" w:rsidR="00410071" w:rsidRPr="000C5A1A" w:rsidRDefault="00410071" w:rsidP="00891169">
            <w:pPr>
              <w:pStyle w:val="TableText"/>
              <w:keepNext/>
              <w:rPr>
                <w:lang w:eastAsia="en-NZ"/>
              </w:rPr>
            </w:pPr>
            <w:r w:rsidRPr="000C5A1A">
              <w:rPr>
                <w:lang w:eastAsia="en-NZ"/>
              </w:rPr>
              <w:t>Bay of Plenty</w:t>
            </w:r>
          </w:p>
        </w:tc>
        <w:tc>
          <w:tcPr>
            <w:tcW w:w="709" w:type="dxa"/>
            <w:tcBorders>
              <w:top w:val="single" w:sz="4" w:space="0" w:color="A6A6A6"/>
            </w:tcBorders>
            <w:shd w:val="clear" w:color="auto" w:fill="auto"/>
            <w:noWrap/>
            <w:hideMark/>
          </w:tcPr>
          <w:p w14:paraId="296FA59A" w14:textId="77777777" w:rsidR="00410071" w:rsidRPr="00810398" w:rsidRDefault="00410071" w:rsidP="00891169">
            <w:pPr>
              <w:pStyle w:val="TableText"/>
              <w:keepNext/>
              <w:tabs>
                <w:tab w:val="decimal" w:pos="454"/>
              </w:tabs>
              <w:rPr>
                <w:lang w:eastAsia="en-NZ"/>
              </w:rPr>
            </w:pPr>
            <w:r w:rsidRPr="00810398">
              <w:rPr>
                <w:lang w:eastAsia="en-NZ"/>
              </w:rPr>
              <w:t>75</w:t>
            </w:r>
          </w:p>
        </w:tc>
        <w:tc>
          <w:tcPr>
            <w:tcW w:w="850" w:type="dxa"/>
            <w:tcBorders>
              <w:top w:val="single" w:sz="4" w:space="0" w:color="A6A6A6"/>
            </w:tcBorders>
            <w:shd w:val="clear" w:color="auto" w:fill="auto"/>
            <w:noWrap/>
            <w:hideMark/>
          </w:tcPr>
          <w:p w14:paraId="3B30D7E4" w14:textId="77777777" w:rsidR="00410071" w:rsidRPr="00810398" w:rsidRDefault="00410071" w:rsidP="00891169">
            <w:pPr>
              <w:pStyle w:val="TableText"/>
              <w:keepNext/>
              <w:tabs>
                <w:tab w:val="decimal" w:pos="445"/>
              </w:tabs>
              <w:rPr>
                <w:lang w:eastAsia="en-NZ"/>
              </w:rPr>
            </w:pPr>
            <w:r w:rsidRPr="00810398">
              <w:rPr>
                <w:lang w:eastAsia="en-NZ"/>
              </w:rPr>
              <w:t>17</w:t>
            </w:r>
          </w:p>
        </w:tc>
        <w:tc>
          <w:tcPr>
            <w:tcW w:w="1114" w:type="dxa"/>
            <w:tcBorders>
              <w:top w:val="single" w:sz="4" w:space="0" w:color="A6A6A6"/>
            </w:tcBorders>
            <w:shd w:val="clear" w:color="auto" w:fill="auto"/>
            <w:noWrap/>
            <w:hideMark/>
          </w:tcPr>
          <w:p w14:paraId="5BD72297" w14:textId="77777777" w:rsidR="00410071" w:rsidRPr="00810398" w:rsidRDefault="00410071" w:rsidP="00891169">
            <w:pPr>
              <w:pStyle w:val="TableText"/>
              <w:keepNext/>
              <w:jc w:val="center"/>
              <w:rPr>
                <w:lang w:eastAsia="en-NZ"/>
              </w:rPr>
            </w:pPr>
            <w:r w:rsidRPr="00810398">
              <w:rPr>
                <w:lang w:eastAsia="en-NZ"/>
              </w:rPr>
              <w:t>4.5</w:t>
            </w:r>
          </w:p>
        </w:tc>
        <w:tc>
          <w:tcPr>
            <w:tcW w:w="370" w:type="dxa"/>
            <w:tcBorders>
              <w:top w:val="nil"/>
              <w:bottom w:val="nil"/>
            </w:tcBorders>
            <w:shd w:val="clear" w:color="auto" w:fill="auto"/>
          </w:tcPr>
          <w:p w14:paraId="6756CFBF" w14:textId="77777777" w:rsidR="00410071" w:rsidRPr="000C5A1A" w:rsidRDefault="00410071" w:rsidP="00891169">
            <w:pPr>
              <w:pStyle w:val="TableText"/>
              <w:keepNext/>
              <w:rPr>
                <w:lang w:eastAsia="en-NZ"/>
              </w:rPr>
            </w:pPr>
          </w:p>
        </w:tc>
        <w:tc>
          <w:tcPr>
            <w:tcW w:w="1331" w:type="dxa"/>
            <w:tcBorders>
              <w:top w:val="single" w:sz="4" w:space="0" w:color="A6A6A6"/>
            </w:tcBorders>
          </w:tcPr>
          <w:p w14:paraId="086CCAE0" w14:textId="77777777" w:rsidR="00410071" w:rsidRPr="00810398" w:rsidRDefault="00410071" w:rsidP="00891169">
            <w:pPr>
              <w:pStyle w:val="TableText"/>
              <w:keepNext/>
              <w:rPr>
                <w:lang w:eastAsia="en-NZ"/>
              </w:rPr>
            </w:pPr>
            <w:r w:rsidRPr="000C5A1A">
              <w:rPr>
                <w:lang w:eastAsia="en-NZ"/>
              </w:rPr>
              <w:t>South Canterbury</w:t>
            </w:r>
          </w:p>
        </w:tc>
        <w:tc>
          <w:tcPr>
            <w:tcW w:w="674" w:type="dxa"/>
            <w:tcBorders>
              <w:top w:val="single" w:sz="4" w:space="0" w:color="A6A6A6"/>
            </w:tcBorders>
          </w:tcPr>
          <w:p w14:paraId="50AFA9D9" w14:textId="77777777" w:rsidR="00410071" w:rsidRPr="00810398" w:rsidRDefault="00410071" w:rsidP="00891169">
            <w:pPr>
              <w:pStyle w:val="TableText"/>
              <w:keepNext/>
              <w:tabs>
                <w:tab w:val="decimal" w:pos="454"/>
              </w:tabs>
              <w:rPr>
                <w:lang w:eastAsia="en-NZ"/>
              </w:rPr>
            </w:pPr>
            <w:r w:rsidRPr="00810398">
              <w:rPr>
                <w:lang w:eastAsia="en-NZ"/>
              </w:rPr>
              <w:t>140</w:t>
            </w:r>
          </w:p>
        </w:tc>
        <w:tc>
          <w:tcPr>
            <w:tcW w:w="764" w:type="dxa"/>
            <w:tcBorders>
              <w:top w:val="single" w:sz="4" w:space="0" w:color="A6A6A6"/>
            </w:tcBorders>
          </w:tcPr>
          <w:p w14:paraId="7E13C5B1" w14:textId="77777777" w:rsidR="00410071" w:rsidRPr="00810398" w:rsidRDefault="00410071" w:rsidP="00891169">
            <w:pPr>
              <w:pStyle w:val="TableText"/>
              <w:keepNext/>
              <w:jc w:val="center"/>
              <w:rPr>
                <w:lang w:eastAsia="en-NZ"/>
              </w:rPr>
            </w:pPr>
            <w:r w:rsidRPr="00810398">
              <w:rPr>
                <w:lang w:eastAsia="en-NZ"/>
              </w:rPr>
              <w:t>60</w:t>
            </w:r>
          </w:p>
        </w:tc>
        <w:tc>
          <w:tcPr>
            <w:tcW w:w="1145" w:type="dxa"/>
            <w:tcBorders>
              <w:top w:val="single" w:sz="4" w:space="0" w:color="A6A6A6"/>
            </w:tcBorders>
          </w:tcPr>
          <w:p w14:paraId="57940BAA" w14:textId="77777777" w:rsidR="00410071" w:rsidRPr="00810398" w:rsidRDefault="00410071" w:rsidP="00891169">
            <w:pPr>
              <w:pStyle w:val="TableText"/>
              <w:keepNext/>
              <w:jc w:val="center"/>
              <w:rPr>
                <w:lang w:eastAsia="en-NZ"/>
              </w:rPr>
            </w:pPr>
            <w:r w:rsidRPr="00810398">
              <w:rPr>
                <w:lang w:eastAsia="en-NZ"/>
              </w:rPr>
              <w:t>2.3</w:t>
            </w:r>
          </w:p>
        </w:tc>
      </w:tr>
      <w:tr w:rsidR="00410071" w:rsidRPr="000C5A1A" w14:paraId="435E11DF" w14:textId="77777777" w:rsidTr="00891169">
        <w:trPr>
          <w:cantSplit/>
        </w:trPr>
        <w:tc>
          <w:tcPr>
            <w:tcW w:w="1276" w:type="dxa"/>
            <w:shd w:val="clear" w:color="auto" w:fill="auto"/>
            <w:noWrap/>
            <w:hideMark/>
          </w:tcPr>
          <w:p w14:paraId="6D41C34D" w14:textId="77777777" w:rsidR="00410071" w:rsidRPr="000C5A1A" w:rsidRDefault="00410071" w:rsidP="00891169">
            <w:pPr>
              <w:pStyle w:val="TableText"/>
              <w:keepNext/>
              <w:rPr>
                <w:lang w:eastAsia="en-NZ"/>
              </w:rPr>
            </w:pPr>
            <w:r w:rsidRPr="000C5A1A">
              <w:rPr>
                <w:lang w:eastAsia="en-NZ"/>
              </w:rPr>
              <w:t>Canterbury</w:t>
            </w:r>
          </w:p>
        </w:tc>
        <w:tc>
          <w:tcPr>
            <w:tcW w:w="709" w:type="dxa"/>
            <w:shd w:val="clear" w:color="auto" w:fill="auto"/>
            <w:noWrap/>
            <w:hideMark/>
          </w:tcPr>
          <w:p w14:paraId="0EEE62FA" w14:textId="77777777" w:rsidR="00410071" w:rsidRPr="00810398" w:rsidRDefault="00410071" w:rsidP="00891169">
            <w:pPr>
              <w:pStyle w:val="TableText"/>
              <w:keepNext/>
              <w:tabs>
                <w:tab w:val="decimal" w:pos="454"/>
              </w:tabs>
              <w:rPr>
                <w:lang w:eastAsia="en-NZ"/>
              </w:rPr>
            </w:pPr>
            <w:r w:rsidRPr="00810398">
              <w:rPr>
                <w:lang w:eastAsia="en-NZ"/>
              </w:rPr>
              <w:t>99</w:t>
            </w:r>
          </w:p>
        </w:tc>
        <w:tc>
          <w:tcPr>
            <w:tcW w:w="850" w:type="dxa"/>
            <w:shd w:val="clear" w:color="auto" w:fill="auto"/>
            <w:noWrap/>
            <w:hideMark/>
          </w:tcPr>
          <w:p w14:paraId="6A57C9FD" w14:textId="77777777" w:rsidR="00410071" w:rsidRPr="00810398" w:rsidRDefault="00410071" w:rsidP="00891169">
            <w:pPr>
              <w:pStyle w:val="TableText"/>
              <w:keepNext/>
              <w:tabs>
                <w:tab w:val="decimal" w:pos="445"/>
              </w:tabs>
              <w:rPr>
                <w:lang w:eastAsia="en-NZ"/>
              </w:rPr>
            </w:pPr>
            <w:r w:rsidRPr="00810398">
              <w:rPr>
                <w:lang w:eastAsia="en-NZ"/>
              </w:rPr>
              <w:t>38</w:t>
            </w:r>
          </w:p>
        </w:tc>
        <w:tc>
          <w:tcPr>
            <w:tcW w:w="1114" w:type="dxa"/>
            <w:shd w:val="clear" w:color="auto" w:fill="auto"/>
            <w:noWrap/>
            <w:hideMark/>
          </w:tcPr>
          <w:p w14:paraId="44ECDF74" w14:textId="77777777" w:rsidR="00410071" w:rsidRPr="00810398" w:rsidRDefault="00410071" w:rsidP="00891169">
            <w:pPr>
              <w:pStyle w:val="TableText"/>
              <w:keepNext/>
              <w:jc w:val="center"/>
              <w:rPr>
                <w:lang w:eastAsia="en-NZ"/>
              </w:rPr>
            </w:pPr>
            <w:r w:rsidRPr="00810398">
              <w:rPr>
                <w:lang w:eastAsia="en-NZ"/>
              </w:rPr>
              <w:t>2.6</w:t>
            </w:r>
          </w:p>
        </w:tc>
        <w:tc>
          <w:tcPr>
            <w:tcW w:w="370" w:type="dxa"/>
            <w:tcBorders>
              <w:top w:val="nil"/>
              <w:bottom w:val="nil"/>
            </w:tcBorders>
            <w:shd w:val="clear" w:color="auto" w:fill="auto"/>
          </w:tcPr>
          <w:p w14:paraId="4E45383C" w14:textId="77777777" w:rsidR="00410071" w:rsidRPr="000C5A1A" w:rsidRDefault="00410071" w:rsidP="00891169">
            <w:pPr>
              <w:pStyle w:val="TableText"/>
              <w:keepNext/>
              <w:rPr>
                <w:lang w:eastAsia="en-NZ"/>
              </w:rPr>
            </w:pPr>
          </w:p>
        </w:tc>
        <w:tc>
          <w:tcPr>
            <w:tcW w:w="1331" w:type="dxa"/>
          </w:tcPr>
          <w:p w14:paraId="508B407E" w14:textId="77777777" w:rsidR="00410071" w:rsidRPr="00810398" w:rsidRDefault="00410071" w:rsidP="00891169">
            <w:pPr>
              <w:pStyle w:val="TableText"/>
              <w:keepNext/>
              <w:rPr>
                <w:lang w:eastAsia="en-NZ"/>
              </w:rPr>
            </w:pPr>
            <w:r w:rsidRPr="000C5A1A">
              <w:rPr>
                <w:lang w:eastAsia="en-NZ"/>
              </w:rPr>
              <w:t>Southern</w:t>
            </w:r>
          </w:p>
        </w:tc>
        <w:tc>
          <w:tcPr>
            <w:tcW w:w="674" w:type="dxa"/>
          </w:tcPr>
          <w:p w14:paraId="093614CB" w14:textId="77777777" w:rsidR="00410071" w:rsidRPr="00810398" w:rsidRDefault="00410071" w:rsidP="00891169">
            <w:pPr>
              <w:pStyle w:val="TableText"/>
              <w:keepNext/>
              <w:tabs>
                <w:tab w:val="decimal" w:pos="454"/>
              </w:tabs>
              <w:rPr>
                <w:lang w:eastAsia="en-NZ"/>
              </w:rPr>
            </w:pPr>
            <w:r w:rsidRPr="00810398">
              <w:rPr>
                <w:lang w:eastAsia="en-NZ"/>
              </w:rPr>
              <w:t>109</w:t>
            </w:r>
          </w:p>
        </w:tc>
        <w:tc>
          <w:tcPr>
            <w:tcW w:w="764" w:type="dxa"/>
          </w:tcPr>
          <w:p w14:paraId="7AC85C40" w14:textId="77777777" w:rsidR="00410071" w:rsidRPr="00810398" w:rsidRDefault="00410071" w:rsidP="00891169">
            <w:pPr>
              <w:pStyle w:val="TableText"/>
              <w:keepNext/>
              <w:jc w:val="center"/>
              <w:rPr>
                <w:lang w:eastAsia="en-NZ"/>
              </w:rPr>
            </w:pPr>
            <w:r w:rsidRPr="00810398">
              <w:rPr>
                <w:lang w:eastAsia="en-NZ"/>
              </w:rPr>
              <w:t>45</w:t>
            </w:r>
          </w:p>
        </w:tc>
        <w:tc>
          <w:tcPr>
            <w:tcW w:w="1145" w:type="dxa"/>
          </w:tcPr>
          <w:p w14:paraId="7387FF67" w14:textId="77777777" w:rsidR="00410071" w:rsidRPr="00810398" w:rsidRDefault="00410071" w:rsidP="00891169">
            <w:pPr>
              <w:pStyle w:val="TableText"/>
              <w:keepNext/>
              <w:jc w:val="center"/>
              <w:rPr>
                <w:lang w:eastAsia="en-NZ"/>
              </w:rPr>
            </w:pPr>
            <w:r w:rsidRPr="00810398">
              <w:rPr>
                <w:lang w:eastAsia="en-NZ"/>
              </w:rPr>
              <w:t>2.4</w:t>
            </w:r>
          </w:p>
        </w:tc>
      </w:tr>
      <w:tr w:rsidR="00410071" w:rsidRPr="000C5A1A" w14:paraId="1D282D78" w14:textId="77777777" w:rsidTr="00891169">
        <w:trPr>
          <w:cantSplit/>
        </w:trPr>
        <w:tc>
          <w:tcPr>
            <w:tcW w:w="1276" w:type="dxa"/>
            <w:shd w:val="clear" w:color="auto" w:fill="auto"/>
            <w:noWrap/>
            <w:hideMark/>
          </w:tcPr>
          <w:p w14:paraId="0AE070CE" w14:textId="77777777" w:rsidR="00410071" w:rsidRPr="000C5A1A" w:rsidRDefault="00891169" w:rsidP="00891169">
            <w:pPr>
              <w:pStyle w:val="TableText"/>
              <w:keepNext/>
              <w:rPr>
                <w:lang w:eastAsia="en-NZ"/>
              </w:rPr>
            </w:pPr>
            <w:r>
              <w:rPr>
                <w:lang w:eastAsia="en-NZ"/>
              </w:rPr>
              <w:t>Capital &amp; Coast</w:t>
            </w:r>
          </w:p>
        </w:tc>
        <w:tc>
          <w:tcPr>
            <w:tcW w:w="709" w:type="dxa"/>
            <w:shd w:val="clear" w:color="auto" w:fill="auto"/>
            <w:noWrap/>
            <w:hideMark/>
          </w:tcPr>
          <w:p w14:paraId="5F544BAD" w14:textId="77777777" w:rsidR="00410071" w:rsidRPr="00810398" w:rsidRDefault="00410071" w:rsidP="00891169">
            <w:pPr>
              <w:pStyle w:val="TableText"/>
              <w:keepNext/>
              <w:tabs>
                <w:tab w:val="decimal" w:pos="454"/>
              </w:tabs>
              <w:rPr>
                <w:lang w:eastAsia="en-NZ"/>
              </w:rPr>
            </w:pPr>
            <w:r w:rsidRPr="00810398">
              <w:rPr>
                <w:lang w:eastAsia="en-NZ"/>
              </w:rPr>
              <w:t>222</w:t>
            </w:r>
          </w:p>
        </w:tc>
        <w:tc>
          <w:tcPr>
            <w:tcW w:w="850" w:type="dxa"/>
            <w:shd w:val="clear" w:color="auto" w:fill="auto"/>
            <w:noWrap/>
            <w:hideMark/>
          </w:tcPr>
          <w:p w14:paraId="3FE81892" w14:textId="77777777" w:rsidR="00410071" w:rsidRPr="00810398" w:rsidRDefault="00410071" w:rsidP="00891169">
            <w:pPr>
              <w:pStyle w:val="TableText"/>
              <w:keepNext/>
              <w:tabs>
                <w:tab w:val="decimal" w:pos="445"/>
              </w:tabs>
              <w:rPr>
                <w:lang w:eastAsia="en-NZ"/>
              </w:rPr>
            </w:pPr>
            <w:r w:rsidRPr="00810398">
              <w:rPr>
                <w:lang w:eastAsia="en-NZ"/>
              </w:rPr>
              <w:t>83</w:t>
            </w:r>
          </w:p>
        </w:tc>
        <w:tc>
          <w:tcPr>
            <w:tcW w:w="1114" w:type="dxa"/>
            <w:shd w:val="clear" w:color="auto" w:fill="auto"/>
            <w:noWrap/>
            <w:hideMark/>
          </w:tcPr>
          <w:p w14:paraId="46036205" w14:textId="77777777" w:rsidR="00410071" w:rsidRPr="00810398" w:rsidRDefault="00410071" w:rsidP="00891169">
            <w:pPr>
              <w:pStyle w:val="TableText"/>
              <w:keepNext/>
              <w:jc w:val="center"/>
              <w:rPr>
                <w:lang w:eastAsia="en-NZ"/>
              </w:rPr>
            </w:pPr>
            <w:r w:rsidRPr="00810398">
              <w:rPr>
                <w:lang w:eastAsia="en-NZ"/>
              </w:rPr>
              <w:t>2.7</w:t>
            </w:r>
          </w:p>
        </w:tc>
        <w:tc>
          <w:tcPr>
            <w:tcW w:w="370" w:type="dxa"/>
            <w:tcBorders>
              <w:top w:val="nil"/>
              <w:bottom w:val="nil"/>
            </w:tcBorders>
            <w:shd w:val="clear" w:color="auto" w:fill="auto"/>
          </w:tcPr>
          <w:p w14:paraId="0AD43083" w14:textId="77777777" w:rsidR="00410071" w:rsidRPr="000C5A1A" w:rsidRDefault="00410071" w:rsidP="00891169">
            <w:pPr>
              <w:pStyle w:val="TableText"/>
              <w:keepNext/>
              <w:rPr>
                <w:lang w:eastAsia="en-NZ"/>
              </w:rPr>
            </w:pPr>
          </w:p>
        </w:tc>
        <w:tc>
          <w:tcPr>
            <w:tcW w:w="1331" w:type="dxa"/>
          </w:tcPr>
          <w:p w14:paraId="0955CB23" w14:textId="77777777" w:rsidR="00410071" w:rsidRPr="00810398" w:rsidRDefault="00410071" w:rsidP="00891169">
            <w:pPr>
              <w:pStyle w:val="TableText"/>
              <w:keepNext/>
              <w:rPr>
                <w:lang w:eastAsia="en-NZ"/>
              </w:rPr>
            </w:pPr>
            <w:r w:rsidRPr="000C5A1A">
              <w:rPr>
                <w:lang w:eastAsia="en-NZ"/>
              </w:rPr>
              <w:t>Tairāwhiti</w:t>
            </w:r>
          </w:p>
        </w:tc>
        <w:tc>
          <w:tcPr>
            <w:tcW w:w="674" w:type="dxa"/>
          </w:tcPr>
          <w:p w14:paraId="3B5EC45F" w14:textId="77777777" w:rsidR="00410071" w:rsidRPr="00810398" w:rsidRDefault="00410071" w:rsidP="00891169">
            <w:pPr>
              <w:pStyle w:val="TableText"/>
              <w:keepNext/>
              <w:tabs>
                <w:tab w:val="decimal" w:pos="454"/>
              </w:tabs>
              <w:rPr>
                <w:lang w:eastAsia="en-NZ"/>
              </w:rPr>
            </w:pPr>
            <w:r w:rsidRPr="00810398">
              <w:rPr>
                <w:lang w:eastAsia="en-NZ"/>
              </w:rPr>
              <w:t>58</w:t>
            </w:r>
          </w:p>
        </w:tc>
        <w:tc>
          <w:tcPr>
            <w:tcW w:w="764" w:type="dxa"/>
          </w:tcPr>
          <w:p w14:paraId="3DA0555E" w14:textId="77777777" w:rsidR="00410071" w:rsidRPr="00810398" w:rsidRDefault="00410071" w:rsidP="00891169">
            <w:pPr>
              <w:pStyle w:val="TableText"/>
              <w:keepNext/>
              <w:jc w:val="center"/>
              <w:rPr>
                <w:lang w:eastAsia="en-NZ"/>
              </w:rPr>
            </w:pPr>
            <w:r w:rsidRPr="00810398">
              <w:rPr>
                <w:lang w:eastAsia="en-NZ"/>
              </w:rPr>
              <w:t>39</w:t>
            </w:r>
          </w:p>
        </w:tc>
        <w:tc>
          <w:tcPr>
            <w:tcW w:w="1145" w:type="dxa"/>
          </w:tcPr>
          <w:p w14:paraId="4AF7BD5B" w14:textId="77777777" w:rsidR="00410071" w:rsidRPr="00810398" w:rsidRDefault="00410071" w:rsidP="00891169">
            <w:pPr>
              <w:pStyle w:val="TableText"/>
              <w:keepNext/>
              <w:jc w:val="center"/>
              <w:rPr>
                <w:lang w:eastAsia="en-NZ"/>
              </w:rPr>
            </w:pPr>
            <w:r w:rsidRPr="00810398">
              <w:rPr>
                <w:lang w:eastAsia="en-NZ"/>
              </w:rPr>
              <w:t>1.5</w:t>
            </w:r>
          </w:p>
        </w:tc>
      </w:tr>
      <w:tr w:rsidR="00410071" w:rsidRPr="000C5A1A" w14:paraId="56871D29" w14:textId="77777777" w:rsidTr="00891169">
        <w:trPr>
          <w:cantSplit/>
        </w:trPr>
        <w:tc>
          <w:tcPr>
            <w:tcW w:w="1276" w:type="dxa"/>
            <w:shd w:val="clear" w:color="auto" w:fill="auto"/>
            <w:noWrap/>
            <w:hideMark/>
          </w:tcPr>
          <w:p w14:paraId="29650D2B" w14:textId="77777777" w:rsidR="00410071" w:rsidRPr="000C5A1A" w:rsidRDefault="00410071" w:rsidP="00891169">
            <w:pPr>
              <w:pStyle w:val="TableText"/>
              <w:keepNext/>
              <w:rPr>
                <w:lang w:eastAsia="en-NZ"/>
              </w:rPr>
            </w:pPr>
            <w:r w:rsidRPr="000C5A1A">
              <w:rPr>
                <w:lang w:eastAsia="en-NZ"/>
              </w:rPr>
              <w:t>Counties Manukau</w:t>
            </w:r>
          </w:p>
        </w:tc>
        <w:tc>
          <w:tcPr>
            <w:tcW w:w="709" w:type="dxa"/>
            <w:shd w:val="clear" w:color="auto" w:fill="auto"/>
            <w:noWrap/>
            <w:hideMark/>
          </w:tcPr>
          <w:p w14:paraId="24B6E36B" w14:textId="77777777" w:rsidR="00410071" w:rsidRPr="00810398" w:rsidRDefault="00410071" w:rsidP="00891169">
            <w:pPr>
              <w:pStyle w:val="TableText"/>
              <w:keepNext/>
              <w:tabs>
                <w:tab w:val="decimal" w:pos="454"/>
              </w:tabs>
              <w:rPr>
                <w:lang w:eastAsia="en-NZ"/>
              </w:rPr>
            </w:pPr>
            <w:r w:rsidRPr="00810398">
              <w:rPr>
                <w:lang w:eastAsia="en-NZ"/>
              </w:rPr>
              <w:t>95</w:t>
            </w:r>
          </w:p>
        </w:tc>
        <w:tc>
          <w:tcPr>
            <w:tcW w:w="850" w:type="dxa"/>
            <w:shd w:val="clear" w:color="auto" w:fill="auto"/>
            <w:noWrap/>
            <w:hideMark/>
          </w:tcPr>
          <w:p w14:paraId="173F4D93" w14:textId="77777777" w:rsidR="00410071" w:rsidRPr="00810398" w:rsidRDefault="00410071" w:rsidP="00891169">
            <w:pPr>
              <w:pStyle w:val="TableText"/>
              <w:keepNext/>
              <w:tabs>
                <w:tab w:val="decimal" w:pos="445"/>
              </w:tabs>
              <w:rPr>
                <w:lang w:eastAsia="en-NZ"/>
              </w:rPr>
            </w:pPr>
            <w:r w:rsidRPr="00810398">
              <w:rPr>
                <w:lang w:eastAsia="en-NZ"/>
              </w:rPr>
              <w:t>27</w:t>
            </w:r>
          </w:p>
        </w:tc>
        <w:tc>
          <w:tcPr>
            <w:tcW w:w="1114" w:type="dxa"/>
            <w:shd w:val="clear" w:color="auto" w:fill="auto"/>
            <w:noWrap/>
            <w:hideMark/>
          </w:tcPr>
          <w:p w14:paraId="728FC1BD" w14:textId="77777777" w:rsidR="00410071" w:rsidRPr="00810398" w:rsidRDefault="00410071" w:rsidP="00891169">
            <w:pPr>
              <w:pStyle w:val="TableText"/>
              <w:keepNext/>
              <w:jc w:val="center"/>
              <w:rPr>
                <w:lang w:eastAsia="en-NZ"/>
              </w:rPr>
            </w:pPr>
            <w:r w:rsidRPr="00810398">
              <w:rPr>
                <w:lang w:eastAsia="en-NZ"/>
              </w:rPr>
              <w:t>3.5</w:t>
            </w:r>
          </w:p>
        </w:tc>
        <w:tc>
          <w:tcPr>
            <w:tcW w:w="370" w:type="dxa"/>
            <w:tcBorders>
              <w:top w:val="nil"/>
              <w:bottom w:val="nil"/>
            </w:tcBorders>
            <w:shd w:val="clear" w:color="auto" w:fill="auto"/>
          </w:tcPr>
          <w:p w14:paraId="1008587D" w14:textId="77777777" w:rsidR="00410071" w:rsidRPr="000C5A1A" w:rsidRDefault="00410071" w:rsidP="00891169">
            <w:pPr>
              <w:pStyle w:val="TableText"/>
              <w:keepNext/>
              <w:rPr>
                <w:lang w:eastAsia="en-NZ"/>
              </w:rPr>
            </w:pPr>
          </w:p>
        </w:tc>
        <w:tc>
          <w:tcPr>
            <w:tcW w:w="1331" w:type="dxa"/>
          </w:tcPr>
          <w:p w14:paraId="2B376B62" w14:textId="77777777" w:rsidR="00410071" w:rsidRPr="00810398" w:rsidRDefault="00410071" w:rsidP="00891169">
            <w:pPr>
              <w:pStyle w:val="TableText"/>
              <w:keepNext/>
              <w:rPr>
                <w:lang w:eastAsia="en-NZ"/>
              </w:rPr>
            </w:pPr>
            <w:r w:rsidRPr="000C5A1A">
              <w:rPr>
                <w:lang w:eastAsia="en-NZ"/>
              </w:rPr>
              <w:t>Taranaki</w:t>
            </w:r>
          </w:p>
        </w:tc>
        <w:tc>
          <w:tcPr>
            <w:tcW w:w="674" w:type="dxa"/>
          </w:tcPr>
          <w:p w14:paraId="081F5C62" w14:textId="77777777" w:rsidR="00410071" w:rsidRPr="00810398" w:rsidRDefault="00410071" w:rsidP="00891169">
            <w:pPr>
              <w:pStyle w:val="TableText"/>
              <w:keepNext/>
              <w:tabs>
                <w:tab w:val="decimal" w:pos="454"/>
              </w:tabs>
              <w:rPr>
                <w:lang w:eastAsia="en-NZ"/>
              </w:rPr>
            </w:pPr>
            <w:r w:rsidRPr="00810398">
              <w:rPr>
                <w:lang w:eastAsia="en-NZ"/>
              </w:rPr>
              <w:t>132</w:t>
            </w:r>
          </w:p>
        </w:tc>
        <w:tc>
          <w:tcPr>
            <w:tcW w:w="764" w:type="dxa"/>
          </w:tcPr>
          <w:p w14:paraId="3627BD8C" w14:textId="77777777" w:rsidR="00410071" w:rsidRPr="00810398" w:rsidRDefault="00410071" w:rsidP="00891169">
            <w:pPr>
              <w:pStyle w:val="TableText"/>
              <w:keepNext/>
              <w:jc w:val="center"/>
              <w:rPr>
                <w:lang w:eastAsia="en-NZ"/>
              </w:rPr>
            </w:pPr>
            <w:r w:rsidRPr="00810398">
              <w:rPr>
                <w:lang w:eastAsia="en-NZ"/>
              </w:rPr>
              <w:t>45</w:t>
            </w:r>
          </w:p>
        </w:tc>
        <w:tc>
          <w:tcPr>
            <w:tcW w:w="1145" w:type="dxa"/>
          </w:tcPr>
          <w:p w14:paraId="2D9F6233" w14:textId="77777777" w:rsidR="00410071" w:rsidRPr="00810398" w:rsidRDefault="00410071" w:rsidP="00891169">
            <w:pPr>
              <w:pStyle w:val="TableText"/>
              <w:keepNext/>
              <w:jc w:val="center"/>
              <w:rPr>
                <w:lang w:eastAsia="en-NZ"/>
              </w:rPr>
            </w:pPr>
            <w:r w:rsidRPr="00810398">
              <w:rPr>
                <w:lang w:eastAsia="en-NZ"/>
              </w:rPr>
              <w:t>2.9</w:t>
            </w:r>
          </w:p>
        </w:tc>
      </w:tr>
      <w:tr w:rsidR="00410071" w:rsidRPr="000C5A1A" w14:paraId="0CD3C3CA" w14:textId="77777777" w:rsidTr="00891169">
        <w:trPr>
          <w:cantSplit/>
        </w:trPr>
        <w:tc>
          <w:tcPr>
            <w:tcW w:w="1276" w:type="dxa"/>
            <w:shd w:val="clear" w:color="auto" w:fill="auto"/>
            <w:noWrap/>
            <w:hideMark/>
          </w:tcPr>
          <w:p w14:paraId="1876978C" w14:textId="77777777" w:rsidR="00410071" w:rsidRPr="000C5A1A" w:rsidRDefault="00410071" w:rsidP="00891169">
            <w:pPr>
              <w:pStyle w:val="TableText"/>
              <w:keepNext/>
              <w:rPr>
                <w:lang w:eastAsia="en-NZ"/>
              </w:rPr>
            </w:pPr>
            <w:r w:rsidRPr="000C5A1A">
              <w:rPr>
                <w:lang w:eastAsia="en-NZ"/>
              </w:rPr>
              <w:t>Hawke</w:t>
            </w:r>
            <w:r w:rsidR="0039221C">
              <w:rPr>
                <w:lang w:eastAsia="en-NZ"/>
              </w:rPr>
              <w:t>’</w:t>
            </w:r>
            <w:r w:rsidRPr="000C5A1A">
              <w:rPr>
                <w:lang w:eastAsia="en-NZ"/>
              </w:rPr>
              <w:t>s Bay</w:t>
            </w:r>
          </w:p>
        </w:tc>
        <w:tc>
          <w:tcPr>
            <w:tcW w:w="709" w:type="dxa"/>
            <w:shd w:val="clear" w:color="auto" w:fill="auto"/>
            <w:noWrap/>
            <w:hideMark/>
          </w:tcPr>
          <w:p w14:paraId="18A08DAF" w14:textId="77777777" w:rsidR="00410071" w:rsidRPr="00810398" w:rsidRDefault="00410071" w:rsidP="00891169">
            <w:pPr>
              <w:pStyle w:val="TableText"/>
              <w:keepNext/>
              <w:tabs>
                <w:tab w:val="decimal" w:pos="454"/>
              </w:tabs>
              <w:rPr>
                <w:lang w:eastAsia="en-NZ"/>
              </w:rPr>
            </w:pPr>
            <w:r w:rsidRPr="00810398">
              <w:rPr>
                <w:lang w:eastAsia="en-NZ"/>
              </w:rPr>
              <w:t>28</w:t>
            </w:r>
          </w:p>
        </w:tc>
        <w:tc>
          <w:tcPr>
            <w:tcW w:w="850" w:type="dxa"/>
            <w:shd w:val="clear" w:color="auto" w:fill="auto"/>
            <w:noWrap/>
            <w:hideMark/>
          </w:tcPr>
          <w:p w14:paraId="62683269" w14:textId="77777777" w:rsidR="00410071" w:rsidRPr="00810398" w:rsidRDefault="00410071" w:rsidP="00891169">
            <w:pPr>
              <w:pStyle w:val="TableText"/>
              <w:keepNext/>
              <w:tabs>
                <w:tab w:val="decimal" w:pos="445"/>
              </w:tabs>
              <w:rPr>
                <w:lang w:eastAsia="en-NZ"/>
              </w:rPr>
            </w:pPr>
            <w:r w:rsidRPr="00810398">
              <w:rPr>
                <w:lang w:eastAsia="en-NZ"/>
              </w:rPr>
              <w:t>6</w:t>
            </w:r>
          </w:p>
        </w:tc>
        <w:tc>
          <w:tcPr>
            <w:tcW w:w="1114" w:type="dxa"/>
            <w:shd w:val="clear" w:color="auto" w:fill="auto"/>
            <w:noWrap/>
            <w:hideMark/>
          </w:tcPr>
          <w:p w14:paraId="5262DD0E" w14:textId="77777777" w:rsidR="00410071" w:rsidRPr="00810398" w:rsidRDefault="00410071" w:rsidP="00891169">
            <w:pPr>
              <w:pStyle w:val="TableText"/>
              <w:keepNext/>
              <w:jc w:val="center"/>
              <w:rPr>
                <w:lang w:eastAsia="en-NZ"/>
              </w:rPr>
            </w:pPr>
            <w:r w:rsidRPr="00810398">
              <w:rPr>
                <w:lang w:eastAsia="en-NZ"/>
              </w:rPr>
              <w:t>4.6</w:t>
            </w:r>
          </w:p>
        </w:tc>
        <w:tc>
          <w:tcPr>
            <w:tcW w:w="370" w:type="dxa"/>
            <w:tcBorders>
              <w:top w:val="nil"/>
              <w:bottom w:val="nil"/>
            </w:tcBorders>
            <w:shd w:val="clear" w:color="auto" w:fill="auto"/>
          </w:tcPr>
          <w:p w14:paraId="35C7460B" w14:textId="77777777" w:rsidR="00410071" w:rsidRPr="000C5A1A" w:rsidRDefault="00410071" w:rsidP="00891169">
            <w:pPr>
              <w:pStyle w:val="TableText"/>
              <w:keepNext/>
              <w:rPr>
                <w:lang w:eastAsia="en-NZ"/>
              </w:rPr>
            </w:pPr>
          </w:p>
        </w:tc>
        <w:tc>
          <w:tcPr>
            <w:tcW w:w="1331" w:type="dxa"/>
          </w:tcPr>
          <w:p w14:paraId="38D6D350" w14:textId="77777777" w:rsidR="00410071" w:rsidRPr="00810398" w:rsidRDefault="00410071" w:rsidP="00891169">
            <w:pPr>
              <w:pStyle w:val="TableText"/>
              <w:keepNext/>
              <w:rPr>
                <w:lang w:eastAsia="en-NZ"/>
              </w:rPr>
            </w:pPr>
            <w:r w:rsidRPr="000C5A1A">
              <w:rPr>
                <w:lang w:eastAsia="en-NZ"/>
              </w:rPr>
              <w:t>Waikato</w:t>
            </w:r>
          </w:p>
        </w:tc>
        <w:tc>
          <w:tcPr>
            <w:tcW w:w="674" w:type="dxa"/>
          </w:tcPr>
          <w:p w14:paraId="24756A33" w14:textId="77777777" w:rsidR="00410071" w:rsidRPr="00810398" w:rsidRDefault="00410071" w:rsidP="00891169">
            <w:pPr>
              <w:pStyle w:val="TableText"/>
              <w:keepNext/>
              <w:tabs>
                <w:tab w:val="decimal" w:pos="454"/>
              </w:tabs>
              <w:rPr>
                <w:lang w:eastAsia="en-NZ"/>
              </w:rPr>
            </w:pPr>
            <w:r w:rsidRPr="00810398">
              <w:rPr>
                <w:lang w:eastAsia="en-NZ"/>
              </w:rPr>
              <w:t>176</w:t>
            </w:r>
          </w:p>
        </w:tc>
        <w:tc>
          <w:tcPr>
            <w:tcW w:w="764" w:type="dxa"/>
          </w:tcPr>
          <w:p w14:paraId="4777DA9A" w14:textId="77777777" w:rsidR="00410071" w:rsidRPr="00810398" w:rsidRDefault="00410071" w:rsidP="00891169">
            <w:pPr>
              <w:pStyle w:val="TableText"/>
              <w:keepNext/>
              <w:jc w:val="center"/>
              <w:rPr>
                <w:lang w:eastAsia="en-NZ"/>
              </w:rPr>
            </w:pPr>
            <w:r w:rsidRPr="00810398">
              <w:rPr>
                <w:lang w:eastAsia="en-NZ"/>
              </w:rPr>
              <w:t>41</w:t>
            </w:r>
          </w:p>
        </w:tc>
        <w:tc>
          <w:tcPr>
            <w:tcW w:w="1145" w:type="dxa"/>
          </w:tcPr>
          <w:p w14:paraId="5C0A2900" w14:textId="77777777" w:rsidR="00410071" w:rsidRPr="00810398" w:rsidRDefault="00410071" w:rsidP="00891169">
            <w:pPr>
              <w:pStyle w:val="TableText"/>
              <w:keepNext/>
              <w:jc w:val="center"/>
              <w:rPr>
                <w:lang w:eastAsia="en-NZ"/>
              </w:rPr>
            </w:pPr>
            <w:r w:rsidRPr="00810398">
              <w:rPr>
                <w:lang w:eastAsia="en-NZ"/>
              </w:rPr>
              <w:t>4.3</w:t>
            </w:r>
          </w:p>
        </w:tc>
      </w:tr>
      <w:tr w:rsidR="00410071" w:rsidRPr="000C5A1A" w14:paraId="398A784C" w14:textId="77777777" w:rsidTr="00891169">
        <w:trPr>
          <w:cantSplit/>
        </w:trPr>
        <w:tc>
          <w:tcPr>
            <w:tcW w:w="1276" w:type="dxa"/>
            <w:shd w:val="clear" w:color="auto" w:fill="auto"/>
            <w:noWrap/>
            <w:hideMark/>
          </w:tcPr>
          <w:p w14:paraId="330AC73E" w14:textId="77777777" w:rsidR="00410071" w:rsidRPr="000C5A1A" w:rsidRDefault="00410071" w:rsidP="00891169">
            <w:pPr>
              <w:pStyle w:val="TableText"/>
              <w:keepNext/>
              <w:rPr>
                <w:lang w:eastAsia="en-NZ"/>
              </w:rPr>
            </w:pPr>
            <w:r w:rsidRPr="000C5A1A">
              <w:rPr>
                <w:lang w:eastAsia="en-NZ"/>
              </w:rPr>
              <w:t>Hutt Valley</w:t>
            </w:r>
          </w:p>
        </w:tc>
        <w:tc>
          <w:tcPr>
            <w:tcW w:w="709" w:type="dxa"/>
            <w:shd w:val="clear" w:color="auto" w:fill="auto"/>
            <w:noWrap/>
            <w:hideMark/>
          </w:tcPr>
          <w:p w14:paraId="3F8A6B77" w14:textId="77777777" w:rsidR="00410071" w:rsidRPr="00810398" w:rsidRDefault="00410071" w:rsidP="00891169">
            <w:pPr>
              <w:pStyle w:val="TableText"/>
              <w:keepNext/>
              <w:tabs>
                <w:tab w:val="decimal" w:pos="454"/>
              </w:tabs>
              <w:rPr>
                <w:lang w:eastAsia="en-NZ"/>
              </w:rPr>
            </w:pPr>
            <w:r w:rsidRPr="00810398">
              <w:rPr>
                <w:lang w:eastAsia="en-NZ"/>
              </w:rPr>
              <w:t>116</w:t>
            </w:r>
          </w:p>
        </w:tc>
        <w:tc>
          <w:tcPr>
            <w:tcW w:w="850" w:type="dxa"/>
            <w:shd w:val="clear" w:color="auto" w:fill="auto"/>
            <w:noWrap/>
            <w:hideMark/>
          </w:tcPr>
          <w:p w14:paraId="3C499B2F" w14:textId="77777777" w:rsidR="00410071" w:rsidRPr="00810398" w:rsidRDefault="00410071" w:rsidP="00891169">
            <w:pPr>
              <w:pStyle w:val="TableText"/>
              <w:keepNext/>
              <w:tabs>
                <w:tab w:val="decimal" w:pos="445"/>
              </w:tabs>
              <w:rPr>
                <w:lang w:eastAsia="en-NZ"/>
              </w:rPr>
            </w:pPr>
            <w:r w:rsidRPr="00810398">
              <w:rPr>
                <w:lang w:eastAsia="en-NZ"/>
              </w:rPr>
              <w:t>37</w:t>
            </w:r>
          </w:p>
        </w:tc>
        <w:tc>
          <w:tcPr>
            <w:tcW w:w="1114" w:type="dxa"/>
            <w:shd w:val="clear" w:color="auto" w:fill="auto"/>
            <w:noWrap/>
            <w:hideMark/>
          </w:tcPr>
          <w:p w14:paraId="6ED32394" w14:textId="77777777" w:rsidR="00410071" w:rsidRPr="00810398" w:rsidRDefault="00410071" w:rsidP="00891169">
            <w:pPr>
              <w:pStyle w:val="TableText"/>
              <w:keepNext/>
              <w:jc w:val="center"/>
              <w:rPr>
                <w:lang w:eastAsia="en-NZ"/>
              </w:rPr>
            </w:pPr>
            <w:r w:rsidRPr="00810398">
              <w:rPr>
                <w:lang w:eastAsia="en-NZ"/>
              </w:rPr>
              <w:t>3.2</w:t>
            </w:r>
          </w:p>
        </w:tc>
        <w:tc>
          <w:tcPr>
            <w:tcW w:w="370" w:type="dxa"/>
            <w:tcBorders>
              <w:top w:val="nil"/>
              <w:bottom w:val="nil"/>
            </w:tcBorders>
            <w:shd w:val="clear" w:color="auto" w:fill="auto"/>
          </w:tcPr>
          <w:p w14:paraId="3508C5E0" w14:textId="77777777" w:rsidR="00410071" w:rsidRPr="000C5A1A" w:rsidRDefault="00410071" w:rsidP="00891169">
            <w:pPr>
              <w:pStyle w:val="TableText"/>
              <w:keepNext/>
              <w:rPr>
                <w:lang w:eastAsia="en-NZ"/>
              </w:rPr>
            </w:pPr>
          </w:p>
        </w:tc>
        <w:tc>
          <w:tcPr>
            <w:tcW w:w="1331" w:type="dxa"/>
          </w:tcPr>
          <w:p w14:paraId="2C9BE570" w14:textId="77777777" w:rsidR="00410071" w:rsidRPr="00810398" w:rsidRDefault="00410071" w:rsidP="00891169">
            <w:pPr>
              <w:pStyle w:val="TableText"/>
              <w:keepNext/>
              <w:rPr>
                <w:lang w:eastAsia="en-NZ"/>
              </w:rPr>
            </w:pPr>
            <w:r w:rsidRPr="000C5A1A">
              <w:rPr>
                <w:lang w:eastAsia="en-NZ"/>
              </w:rPr>
              <w:t>Wairarapa</w:t>
            </w:r>
          </w:p>
        </w:tc>
        <w:tc>
          <w:tcPr>
            <w:tcW w:w="674" w:type="dxa"/>
          </w:tcPr>
          <w:p w14:paraId="73BDC2F7" w14:textId="77777777" w:rsidR="00410071" w:rsidRPr="00810398" w:rsidRDefault="00410071" w:rsidP="00891169">
            <w:pPr>
              <w:pStyle w:val="TableText"/>
              <w:keepNext/>
              <w:tabs>
                <w:tab w:val="decimal" w:pos="454"/>
              </w:tabs>
              <w:rPr>
                <w:lang w:eastAsia="en-NZ"/>
              </w:rPr>
            </w:pPr>
            <w:r w:rsidRPr="00810398">
              <w:rPr>
                <w:lang w:eastAsia="en-NZ"/>
              </w:rPr>
              <w:t>123</w:t>
            </w:r>
          </w:p>
        </w:tc>
        <w:tc>
          <w:tcPr>
            <w:tcW w:w="764" w:type="dxa"/>
          </w:tcPr>
          <w:p w14:paraId="51ED704C" w14:textId="77777777" w:rsidR="00410071" w:rsidRPr="00810398" w:rsidRDefault="00410071" w:rsidP="00891169">
            <w:pPr>
              <w:pStyle w:val="TableText"/>
              <w:keepNext/>
              <w:jc w:val="center"/>
              <w:rPr>
                <w:lang w:eastAsia="en-NZ"/>
              </w:rPr>
            </w:pPr>
            <w:r w:rsidRPr="00810398">
              <w:rPr>
                <w:lang w:eastAsia="en-NZ"/>
              </w:rPr>
              <w:t>32</w:t>
            </w:r>
          </w:p>
        </w:tc>
        <w:tc>
          <w:tcPr>
            <w:tcW w:w="1145" w:type="dxa"/>
          </w:tcPr>
          <w:p w14:paraId="1CF9E31C" w14:textId="77777777" w:rsidR="00410071" w:rsidRPr="00810398" w:rsidRDefault="00410071" w:rsidP="00891169">
            <w:pPr>
              <w:pStyle w:val="TableText"/>
              <w:keepNext/>
              <w:jc w:val="center"/>
              <w:rPr>
                <w:lang w:eastAsia="en-NZ"/>
              </w:rPr>
            </w:pPr>
            <w:r w:rsidRPr="00810398">
              <w:rPr>
                <w:lang w:eastAsia="en-NZ"/>
              </w:rPr>
              <w:t>3.8</w:t>
            </w:r>
          </w:p>
        </w:tc>
      </w:tr>
      <w:tr w:rsidR="00410071" w:rsidRPr="000C5A1A" w14:paraId="2BA99524" w14:textId="77777777" w:rsidTr="00891169">
        <w:trPr>
          <w:cantSplit/>
        </w:trPr>
        <w:tc>
          <w:tcPr>
            <w:tcW w:w="1276" w:type="dxa"/>
            <w:shd w:val="clear" w:color="auto" w:fill="auto"/>
            <w:noWrap/>
            <w:hideMark/>
          </w:tcPr>
          <w:p w14:paraId="1035CE42" w14:textId="77777777" w:rsidR="00410071" w:rsidRPr="000C5A1A" w:rsidRDefault="00410071" w:rsidP="00891169">
            <w:pPr>
              <w:pStyle w:val="TableText"/>
              <w:keepNext/>
              <w:rPr>
                <w:lang w:eastAsia="en-NZ"/>
              </w:rPr>
            </w:pPr>
            <w:r w:rsidRPr="000C5A1A">
              <w:rPr>
                <w:lang w:eastAsia="en-NZ"/>
              </w:rPr>
              <w:t>Lakes</w:t>
            </w:r>
          </w:p>
        </w:tc>
        <w:tc>
          <w:tcPr>
            <w:tcW w:w="709" w:type="dxa"/>
            <w:shd w:val="clear" w:color="auto" w:fill="auto"/>
            <w:noWrap/>
            <w:hideMark/>
          </w:tcPr>
          <w:p w14:paraId="7B367ADC" w14:textId="77777777" w:rsidR="00410071" w:rsidRPr="00810398" w:rsidRDefault="00410071" w:rsidP="00891169">
            <w:pPr>
              <w:pStyle w:val="TableText"/>
              <w:keepNext/>
              <w:tabs>
                <w:tab w:val="decimal" w:pos="454"/>
              </w:tabs>
              <w:rPr>
                <w:lang w:eastAsia="en-NZ"/>
              </w:rPr>
            </w:pPr>
            <w:r w:rsidRPr="00810398">
              <w:rPr>
                <w:lang w:eastAsia="en-NZ"/>
              </w:rPr>
              <w:t>60</w:t>
            </w:r>
          </w:p>
        </w:tc>
        <w:tc>
          <w:tcPr>
            <w:tcW w:w="850" w:type="dxa"/>
            <w:shd w:val="clear" w:color="auto" w:fill="auto"/>
            <w:noWrap/>
            <w:hideMark/>
          </w:tcPr>
          <w:p w14:paraId="741455A9" w14:textId="77777777" w:rsidR="00410071" w:rsidRPr="00810398" w:rsidRDefault="00410071" w:rsidP="00891169">
            <w:pPr>
              <w:pStyle w:val="TableText"/>
              <w:keepNext/>
              <w:tabs>
                <w:tab w:val="decimal" w:pos="445"/>
              </w:tabs>
              <w:rPr>
                <w:lang w:eastAsia="en-NZ"/>
              </w:rPr>
            </w:pPr>
            <w:r w:rsidRPr="00810398">
              <w:rPr>
                <w:lang w:eastAsia="en-NZ"/>
              </w:rPr>
              <w:t>20</w:t>
            </w:r>
          </w:p>
        </w:tc>
        <w:tc>
          <w:tcPr>
            <w:tcW w:w="1114" w:type="dxa"/>
            <w:shd w:val="clear" w:color="auto" w:fill="auto"/>
            <w:noWrap/>
            <w:hideMark/>
          </w:tcPr>
          <w:p w14:paraId="4B272B75" w14:textId="77777777" w:rsidR="00410071" w:rsidRPr="00810398" w:rsidRDefault="00410071" w:rsidP="00891169">
            <w:pPr>
              <w:pStyle w:val="TableText"/>
              <w:keepNext/>
              <w:jc w:val="center"/>
              <w:rPr>
                <w:lang w:eastAsia="en-NZ"/>
              </w:rPr>
            </w:pPr>
            <w:r w:rsidRPr="00810398">
              <w:rPr>
                <w:lang w:eastAsia="en-NZ"/>
              </w:rPr>
              <w:t>2.9</w:t>
            </w:r>
          </w:p>
        </w:tc>
        <w:tc>
          <w:tcPr>
            <w:tcW w:w="370" w:type="dxa"/>
            <w:tcBorders>
              <w:top w:val="nil"/>
              <w:bottom w:val="nil"/>
            </w:tcBorders>
            <w:shd w:val="clear" w:color="auto" w:fill="auto"/>
          </w:tcPr>
          <w:p w14:paraId="38BAF31B" w14:textId="77777777" w:rsidR="00410071" w:rsidRPr="000C5A1A" w:rsidRDefault="00410071" w:rsidP="00891169">
            <w:pPr>
              <w:pStyle w:val="TableText"/>
              <w:keepNext/>
              <w:rPr>
                <w:lang w:eastAsia="en-NZ"/>
              </w:rPr>
            </w:pPr>
          </w:p>
        </w:tc>
        <w:tc>
          <w:tcPr>
            <w:tcW w:w="1331" w:type="dxa"/>
          </w:tcPr>
          <w:p w14:paraId="770D3736" w14:textId="77777777" w:rsidR="00410071" w:rsidRPr="00810398" w:rsidRDefault="00410071" w:rsidP="00891169">
            <w:pPr>
              <w:pStyle w:val="TableText"/>
              <w:keepNext/>
              <w:rPr>
                <w:lang w:eastAsia="en-NZ"/>
              </w:rPr>
            </w:pPr>
            <w:r w:rsidRPr="000C5A1A">
              <w:rPr>
                <w:lang w:eastAsia="en-NZ"/>
              </w:rPr>
              <w:t>Waitematā</w:t>
            </w:r>
          </w:p>
        </w:tc>
        <w:tc>
          <w:tcPr>
            <w:tcW w:w="674" w:type="dxa"/>
          </w:tcPr>
          <w:p w14:paraId="510BFBBE" w14:textId="77777777" w:rsidR="00410071" w:rsidRPr="00810398" w:rsidRDefault="00410071" w:rsidP="00891169">
            <w:pPr>
              <w:pStyle w:val="TableText"/>
              <w:keepNext/>
              <w:tabs>
                <w:tab w:val="decimal" w:pos="454"/>
              </w:tabs>
              <w:rPr>
                <w:lang w:eastAsia="en-NZ"/>
              </w:rPr>
            </w:pPr>
            <w:r w:rsidRPr="00810398">
              <w:rPr>
                <w:lang w:eastAsia="en-NZ"/>
              </w:rPr>
              <w:t>110</w:t>
            </w:r>
          </w:p>
        </w:tc>
        <w:tc>
          <w:tcPr>
            <w:tcW w:w="764" w:type="dxa"/>
          </w:tcPr>
          <w:p w14:paraId="53C57BDE" w14:textId="77777777" w:rsidR="00410071" w:rsidRPr="00810398" w:rsidRDefault="00410071" w:rsidP="00891169">
            <w:pPr>
              <w:pStyle w:val="TableText"/>
              <w:keepNext/>
              <w:jc w:val="center"/>
              <w:rPr>
                <w:lang w:eastAsia="en-NZ"/>
              </w:rPr>
            </w:pPr>
            <w:r w:rsidRPr="00810398">
              <w:rPr>
                <w:lang w:eastAsia="en-NZ"/>
              </w:rPr>
              <w:t>34</w:t>
            </w:r>
          </w:p>
        </w:tc>
        <w:tc>
          <w:tcPr>
            <w:tcW w:w="1145" w:type="dxa"/>
          </w:tcPr>
          <w:p w14:paraId="5A2DD74D" w14:textId="77777777" w:rsidR="00410071" w:rsidRPr="00810398" w:rsidRDefault="00410071" w:rsidP="00891169">
            <w:pPr>
              <w:pStyle w:val="TableText"/>
              <w:keepNext/>
              <w:jc w:val="center"/>
              <w:rPr>
                <w:lang w:eastAsia="en-NZ"/>
              </w:rPr>
            </w:pPr>
            <w:r w:rsidRPr="00810398">
              <w:rPr>
                <w:lang w:eastAsia="en-NZ"/>
              </w:rPr>
              <w:t>3.3</w:t>
            </w:r>
          </w:p>
        </w:tc>
      </w:tr>
      <w:tr w:rsidR="00410071" w:rsidRPr="000C5A1A" w14:paraId="45CD59FB" w14:textId="77777777" w:rsidTr="00891169">
        <w:trPr>
          <w:cantSplit/>
        </w:trPr>
        <w:tc>
          <w:tcPr>
            <w:tcW w:w="1276" w:type="dxa"/>
            <w:shd w:val="clear" w:color="auto" w:fill="auto"/>
            <w:noWrap/>
            <w:hideMark/>
          </w:tcPr>
          <w:p w14:paraId="23CB5CB3" w14:textId="77777777" w:rsidR="00410071" w:rsidRPr="000C5A1A" w:rsidRDefault="00410071" w:rsidP="00891169">
            <w:pPr>
              <w:pStyle w:val="TableText"/>
              <w:keepNext/>
              <w:rPr>
                <w:lang w:eastAsia="en-NZ"/>
              </w:rPr>
            </w:pPr>
            <w:r w:rsidRPr="000C5A1A">
              <w:rPr>
                <w:lang w:eastAsia="en-NZ"/>
              </w:rPr>
              <w:t>MidCentral</w:t>
            </w:r>
          </w:p>
        </w:tc>
        <w:tc>
          <w:tcPr>
            <w:tcW w:w="709" w:type="dxa"/>
            <w:shd w:val="clear" w:color="auto" w:fill="auto"/>
            <w:noWrap/>
            <w:hideMark/>
          </w:tcPr>
          <w:p w14:paraId="4BAFF19B" w14:textId="77777777" w:rsidR="00410071" w:rsidRPr="00810398" w:rsidRDefault="00410071" w:rsidP="00891169">
            <w:pPr>
              <w:pStyle w:val="TableText"/>
              <w:keepNext/>
              <w:tabs>
                <w:tab w:val="decimal" w:pos="454"/>
              </w:tabs>
              <w:rPr>
                <w:lang w:eastAsia="en-NZ"/>
              </w:rPr>
            </w:pPr>
            <w:r w:rsidRPr="00810398">
              <w:rPr>
                <w:lang w:eastAsia="en-NZ"/>
              </w:rPr>
              <w:t>136</w:t>
            </w:r>
          </w:p>
        </w:tc>
        <w:tc>
          <w:tcPr>
            <w:tcW w:w="850" w:type="dxa"/>
            <w:shd w:val="clear" w:color="auto" w:fill="auto"/>
            <w:noWrap/>
            <w:hideMark/>
          </w:tcPr>
          <w:p w14:paraId="37D49216" w14:textId="77777777" w:rsidR="00410071" w:rsidRPr="00810398" w:rsidRDefault="00410071" w:rsidP="00891169">
            <w:pPr>
              <w:pStyle w:val="TableText"/>
              <w:keepNext/>
              <w:tabs>
                <w:tab w:val="decimal" w:pos="445"/>
              </w:tabs>
              <w:rPr>
                <w:lang w:eastAsia="en-NZ"/>
              </w:rPr>
            </w:pPr>
            <w:r w:rsidRPr="00810398">
              <w:rPr>
                <w:lang w:eastAsia="en-NZ"/>
              </w:rPr>
              <w:t>45</w:t>
            </w:r>
          </w:p>
        </w:tc>
        <w:tc>
          <w:tcPr>
            <w:tcW w:w="1114" w:type="dxa"/>
            <w:shd w:val="clear" w:color="auto" w:fill="auto"/>
            <w:noWrap/>
            <w:hideMark/>
          </w:tcPr>
          <w:p w14:paraId="70F53A78" w14:textId="77777777" w:rsidR="00410071" w:rsidRPr="00810398" w:rsidRDefault="00410071" w:rsidP="00891169">
            <w:pPr>
              <w:pStyle w:val="TableText"/>
              <w:keepNext/>
              <w:jc w:val="center"/>
              <w:rPr>
                <w:lang w:eastAsia="en-NZ"/>
              </w:rPr>
            </w:pPr>
            <w:r w:rsidRPr="00810398">
              <w:rPr>
                <w:lang w:eastAsia="en-NZ"/>
              </w:rPr>
              <w:t>3.0</w:t>
            </w:r>
          </w:p>
        </w:tc>
        <w:tc>
          <w:tcPr>
            <w:tcW w:w="370" w:type="dxa"/>
            <w:tcBorders>
              <w:top w:val="nil"/>
              <w:bottom w:val="nil"/>
            </w:tcBorders>
            <w:shd w:val="clear" w:color="auto" w:fill="auto"/>
          </w:tcPr>
          <w:p w14:paraId="0AD0FDB1" w14:textId="77777777" w:rsidR="00410071" w:rsidRPr="000C5A1A" w:rsidRDefault="00410071" w:rsidP="00891169">
            <w:pPr>
              <w:pStyle w:val="TableText"/>
              <w:keepNext/>
              <w:rPr>
                <w:lang w:eastAsia="en-NZ"/>
              </w:rPr>
            </w:pPr>
          </w:p>
        </w:tc>
        <w:tc>
          <w:tcPr>
            <w:tcW w:w="1331" w:type="dxa"/>
          </w:tcPr>
          <w:p w14:paraId="0EA11897" w14:textId="77777777" w:rsidR="00410071" w:rsidRPr="00810398" w:rsidRDefault="00410071" w:rsidP="00891169">
            <w:pPr>
              <w:pStyle w:val="TableText"/>
              <w:keepNext/>
              <w:rPr>
                <w:lang w:eastAsia="en-NZ"/>
              </w:rPr>
            </w:pPr>
            <w:r w:rsidRPr="000C5A1A">
              <w:rPr>
                <w:lang w:eastAsia="en-NZ"/>
              </w:rPr>
              <w:t>West Coast</w:t>
            </w:r>
          </w:p>
        </w:tc>
        <w:tc>
          <w:tcPr>
            <w:tcW w:w="674" w:type="dxa"/>
          </w:tcPr>
          <w:p w14:paraId="55390F8D" w14:textId="77777777" w:rsidR="00410071" w:rsidRPr="00810398" w:rsidRDefault="00410071" w:rsidP="00891169">
            <w:pPr>
              <w:pStyle w:val="TableText"/>
              <w:keepNext/>
              <w:tabs>
                <w:tab w:val="decimal" w:pos="454"/>
              </w:tabs>
              <w:rPr>
                <w:lang w:eastAsia="en-NZ"/>
              </w:rPr>
            </w:pPr>
            <w:r w:rsidRPr="00810398">
              <w:rPr>
                <w:lang w:eastAsia="en-NZ"/>
              </w:rPr>
              <w:t>99</w:t>
            </w:r>
          </w:p>
        </w:tc>
        <w:tc>
          <w:tcPr>
            <w:tcW w:w="764" w:type="dxa"/>
          </w:tcPr>
          <w:p w14:paraId="091684FE" w14:textId="77777777" w:rsidR="00410071" w:rsidRPr="00810398" w:rsidRDefault="00410071" w:rsidP="00891169">
            <w:pPr>
              <w:pStyle w:val="TableText"/>
              <w:keepNext/>
              <w:jc w:val="center"/>
              <w:rPr>
                <w:lang w:eastAsia="en-NZ"/>
              </w:rPr>
            </w:pPr>
            <w:r w:rsidRPr="00810398">
              <w:rPr>
                <w:lang w:eastAsia="en-NZ"/>
              </w:rPr>
              <w:t>63</w:t>
            </w:r>
          </w:p>
        </w:tc>
        <w:tc>
          <w:tcPr>
            <w:tcW w:w="1145" w:type="dxa"/>
          </w:tcPr>
          <w:p w14:paraId="3FF8C5E9" w14:textId="77777777" w:rsidR="00410071" w:rsidRPr="00810398" w:rsidRDefault="00410071" w:rsidP="00891169">
            <w:pPr>
              <w:pStyle w:val="TableText"/>
              <w:keepNext/>
              <w:jc w:val="center"/>
              <w:rPr>
                <w:lang w:eastAsia="en-NZ"/>
              </w:rPr>
            </w:pPr>
            <w:r w:rsidRPr="00810398">
              <w:rPr>
                <w:lang w:eastAsia="en-NZ"/>
              </w:rPr>
              <w:t>1.6</w:t>
            </w:r>
          </w:p>
        </w:tc>
      </w:tr>
      <w:tr w:rsidR="00410071" w:rsidRPr="000C5A1A" w14:paraId="46B897FD" w14:textId="77777777" w:rsidTr="00891169">
        <w:trPr>
          <w:cantSplit/>
        </w:trPr>
        <w:tc>
          <w:tcPr>
            <w:tcW w:w="1276" w:type="dxa"/>
            <w:tcBorders>
              <w:bottom w:val="single" w:sz="4" w:space="0" w:color="A6A6A6"/>
            </w:tcBorders>
            <w:shd w:val="clear" w:color="auto" w:fill="auto"/>
            <w:noWrap/>
            <w:hideMark/>
          </w:tcPr>
          <w:p w14:paraId="7201BFF5" w14:textId="77777777" w:rsidR="00410071" w:rsidRPr="000C5A1A" w:rsidRDefault="00410071" w:rsidP="00891169">
            <w:pPr>
              <w:pStyle w:val="TableText"/>
              <w:rPr>
                <w:lang w:eastAsia="en-NZ"/>
              </w:rPr>
            </w:pPr>
            <w:r w:rsidRPr="000C5A1A">
              <w:rPr>
                <w:lang w:eastAsia="en-NZ"/>
              </w:rPr>
              <w:t>Nelson Marlborough</w:t>
            </w:r>
          </w:p>
        </w:tc>
        <w:tc>
          <w:tcPr>
            <w:tcW w:w="709" w:type="dxa"/>
            <w:tcBorders>
              <w:bottom w:val="single" w:sz="4" w:space="0" w:color="A6A6A6"/>
            </w:tcBorders>
            <w:shd w:val="clear" w:color="auto" w:fill="auto"/>
            <w:noWrap/>
            <w:hideMark/>
          </w:tcPr>
          <w:p w14:paraId="482E08AC" w14:textId="77777777" w:rsidR="00410071" w:rsidRPr="00810398" w:rsidRDefault="00410071" w:rsidP="00891169">
            <w:pPr>
              <w:pStyle w:val="TableText"/>
              <w:tabs>
                <w:tab w:val="decimal" w:pos="454"/>
              </w:tabs>
              <w:rPr>
                <w:lang w:eastAsia="en-NZ"/>
              </w:rPr>
            </w:pPr>
            <w:r w:rsidRPr="00810398">
              <w:rPr>
                <w:lang w:eastAsia="en-NZ"/>
              </w:rPr>
              <w:t>105</w:t>
            </w:r>
          </w:p>
        </w:tc>
        <w:tc>
          <w:tcPr>
            <w:tcW w:w="850" w:type="dxa"/>
            <w:tcBorders>
              <w:bottom w:val="single" w:sz="4" w:space="0" w:color="A6A6A6"/>
            </w:tcBorders>
            <w:shd w:val="clear" w:color="auto" w:fill="auto"/>
            <w:noWrap/>
            <w:hideMark/>
          </w:tcPr>
          <w:p w14:paraId="290F9344" w14:textId="77777777" w:rsidR="00410071" w:rsidRPr="00810398" w:rsidRDefault="00410071" w:rsidP="00891169">
            <w:pPr>
              <w:pStyle w:val="TableText"/>
              <w:tabs>
                <w:tab w:val="decimal" w:pos="445"/>
              </w:tabs>
              <w:rPr>
                <w:lang w:eastAsia="en-NZ"/>
              </w:rPr>
            </w:pPr>
            <w:r w:rsidRPr="00810398">
              <w:rPr>
                <w:lang w:eastAsia="en-NZ"/>
              </w:rPr>
              <w:t>44</w:t>
            </w:r>
          </w:p>
        </w:tc>
        <w:tc>
          <w:tcPr>
            <w:tcW w:w="1114" w:type="dxa"/>
            <w:tcBorders>
              <w:bottom w:val="single" w:sz="4" w:space="0" w:color="A6A6A6"/>
            </w:tcBorders>
            <w:shd w:val="clear" w:color="auto" w:fill="auto"/>
            <w:noWrap/>
            <w:hideMark/>
          </w:tcPr>
          <w:p w14:paraId="559156F1" w14:textId="77777777" w:rsidR="00410071" w:rsidRPr="00810398" w:rsidRDefault="00410071" w:rsidP="00891169">
            <w:pPr>
              <w:pStyle w:val="TableText"/>
              <w:jc w:val="center"/>
              <w:rPr>
                <w:lang w:eastAsia="en-NZ"/>
              </w:rPr>
            </w:pPr>
            <w:r w:rsidRPr="00810398">
              <w:rPr>
                <w:lang w:eastAsia="en-NZ"/>
              </w:rPr>
              <w:t>2.4</w:t>
            </w:r>
          </w:p>
        </w:tc>
        <w:tc>
          <w:tcPr>
            <w:tcW w:w="370" w:type="dxa"/>
            <w:tcBorders>
              <w:top w:val="nil"/>
              <w:bottom w:val="nil"/>
            </w:tcBorders>
            <w:shd w:val="clear" w:color="auto" w:fill="auto"/>
          </w:tcPr>
          <w:p w14:paraId="43C14114" w14:textId="77777777" w:rsidR="00410071" w:rsidRPr="000C5A1A" w:rsidRDefault="00410071" w:rsidP="00891169">
            <w:pPr>
              <w:pStyle w:val="TableText"/>
              <w:rPr>
                <w:lang w:eastAsia="en-NZ"/>
              </w:rPr>
            </w:pPr>
          </w:p>
        </w:tc>
        <w:tc>
          <w:tcPr>
            <w:tcW w:w="1331" w:type="dxa"/>
          </w:tcPr>
          <w:p w14:paraId="67EA7AD3" w14:textId="77777777" w:rsidR="00410071" w:rsidRPr="00810398" w:rsidRDefault="00410071" w:rsidP="00891169">
            <w:pPr>
              <w:pStyle w:val="TableText"/>
              <w:rPr>
                <w:lang w:eastAsia="en-NZ"/>
              </w:rPr>
            </w:pPr>
            <w:r w:rsidRPr="000C5A1A">
              <w:rPr>
                <w:lang w:eastAsia="en-NZ"/>
              </w:rPr>
              <w:t>Whanganui</w:t>
            </w:r>
          </w:p>
        </w:tc>
        <w:tc>
          <w:tcPr>
            <w:tcW w:w="674" w:type="dxa"/>
          </w:tcPr>
          <w:p w14:paraId="2976D356" w14:textId="77777777" w:rsidR="00410071" w:rsidRPr="00810398" w:rsidRDefault="00410071" w:rsidP="00891169">
            <w:pPr>
              <w:pStyle w:val="TableText"/>
              <w:tabs>
                <w:tab w:val="decimal" w:pos="454"/>
              </w:tabs>
              <w:rPr>
                <w:lang w:eastAsia="en-NZ"/>
              </w:rPr>
            </w:pPr>
            <w:r w:rsidRPr="00810398">
              <w:rPr>
                <w:lang w:eastAsia="en-NZ"/>
              </w:rPr>
              <w:t>146</w:t>
            </w:r>
          </w:p>
        </w:tc>
        <w:tc>
          <w:tcPr>
            <w:tcW w:w="764" w:type="dxa"/>
          </w:tcPr>
          <w:p w14:paraId="4E96462F" w14:textId="77777777" w:rsidR="00410071" w:rsidRPr="00810398" w:rsidRDefault="00410071" w:rsidP="00891169">
            <w:pPr>
              <w:pStyle w:val="TableText"/>
              <w:jc w:val="center"/>
              <w:rPr>
                <w:lang w:eastAsia="en-NZ"/>
              </w:rPr>
            </w:pPr>
            <w:r w:rsidRPr="00810398">
              <w:rPr>
                <w:lang w:eastAsia="en-NZ"/>
              </w:rPr>
              <w:t>73</w:t>
            </w:r>
          </w:p>
        </w:tc>
        <w:tc>
          <w:tcPr>
            <w:tcW w:w="1145" w:type="dxa"/>
          </w:tcPr>
          <w:p w14:paraId="760F5EE6" w14:textId="77777777" w:rsidR="00410071" w:rsidRPr="00810398" w:rsidRDefault="00410071" w:rsidP="00891169">
            <w:pPr>
              <w:pStyle w:val="TableText"/>
              <w:jc w:val="center"/>
              <w:rPr>
                <w:lang w:eastAsia="en-NZ"/>
              </w:rPr>
            </w:pPr>
            <w:r w:rsidRPr="00810398">
              <w:rPr>
                <w:lang w:eastAsia="en-NZ"/>
              </w:rPr>
              <w:t>2.0</w:t>
            </w:r>
          </w:p>
        </w:tc>
      </w:tr>
      <w:tr w:rsidR="00410071" w:rsidRPr="000C5A1A" w14:paraId="3CACD351" w14:textId="77777777" w:rsidTr="00891169">
        <w:trPr>
          <w:cantSplit/>
        </w:trPr>
        <w:tc>
          <w:tcPr>
            <w:tcW w:w="1276" w:type="dxa"/>
            <w:tcBorders>
              <w:bottom w:val="nil"/>
            </w:tcBorders>
            <w:shd w:val="clear" w:color="auto" w:fill="auto"/>
            <w:noWrap/>
            <w:hideMark/>
          </w:tcPr>
          <w:p w14:paraId="32AB9742" w14:textId="77777777" w:rsidR="00410071" w:rsidRPr="000C5A1A" w:rsidRDefault="00410071" w:rsidP="00891169">
            <w:pPr>
              <w:pStyle w:val="TableText"/>
              <w:rPr>
                <w:lang w:eastAsia="en-NZ"/>
              </w:rPr>
            </w:pPr>
          </w:p>
        </w:tc>
        <w:tc>
          <w:tcPr>
            <w:tcW w:w="709" w:type="dxa"/>
            <w:tcBorders>
              <w:bottom w:val="nil"/>
            </w:tcBorders>
            <w:shd w:val="clear" w:color="auto" w:fill="auto"/>
            <w:noWrap/>
            <w:hideMark/>
          </w:tcPr>
          <w:p w14:paraId="7BD68A5A" w14:textId="77777777" w:rsidR="00410071" w:rsidRPr="00810398" w:rsidRDefault="00410071" w:rsidP="00891169">
            <w:pPr>
              <w:pStyle w:val="TableText"/>
              <w:tabs>
                <w:tab w:val="decimal" w:pos="454"/>
              </w:tabs>
              <w:rPr>
                <w:lang w:eastAsia="en-NZ"/>
              </w:rPr>
            </w:pPr>
          </w:p>
        </w:tc>
        <w:tc>
          <w:tcPr>
            <w:tcW w:w="850" w:type="dxa"/>
            <w:tcBorders>
              <w:bottom w:val="nil"/>
            </w:tcBorders>
            <w:shd w:val="clear" w:color="auto" w:fill="auto"/>
            <w:noWrap/>
            <w:hideMark/>
          </w:tcPr>
          <w:p w14:paraId="7086948E" w14:textId="77777777" w:rsidR="00410071" w:rsidRPr="00810398" w:rsidRDefault="00410071" w:rsidP="00891169">
            <w:pPr>
              <w:pStyle w:val="TableText"/>
              <w:tabs>
                <w:tab w:val="decimal" w:pos="445"/>
              </w:tabs>
              <w:rPr>
                <w:lang w:eastAsia="en-NZ"/>
              </w:rPr>
            </w:pPr>
          </w:p>
        </w:tc>
        <w:tc>
          <w:tcPr>
            <w:tcW w:w="1114" w:type="dxa"/>
            <w:tcBorders>
              <w:bottom w:val="nil"/>
            </w:tcBorders>
            <w:shd w:val="clear" w:color="auto" w:fill="auto"/>
            <w:noWrap/>
            <w:hideMark/>
          </w:tcPr>
          <w:p w14:paraId="75FE0125" w14:textId="77777777" w:rsidR="00410071" w:rsidRPr="00810398" w:rsidRDefault="00410071" w:rsidP="00891169">
            <w:pPr>
              <w:pStyle w:val="TableText"/>
              <w:jc w:val="center"/>
              <w:rPr>
                <w:lang w:eastAsia="en-NZ"/>
              </w:rPr>
            </w:pPr>
          </w:p>
        </w:tc>
        <w:tc>
          <w:tcPr>
            <w:tcW w:w="370" w:type="dxa"/>
            <w:tcBorders>
              <w:top w:val="nil"/>
              <w:bottom w:val="nil"/>
            </w:tcBorders>
            <w:shd w:val="clear" w:color="auto" w:fill="auto"/>
          </w:tcPr>
          <w:p w14:paraId="2C7EE87F" w14:textId="77777777" w:rsidR="00410071" w:rsidRPr="00810398" w:rsidRDefault="00410071" w:rsidP="00891169">
            <w:pPr>
              <w:pStyle w:val="TableText"/>
              <w:rPr>
                <w:lang w:eastAsia="en-NZ"/>
              </w:rPr>
            </w:pPr>
          </w:p>
        </w:tc>
        <w:tc>
          <w:tcPr>
            <w:tcW w:w="1331" w:type="dxa"/>
          </w:tcPr>
          <w:p w14:paraId="1BAA13F3" w14:textId="77777777" w:rsidR="00410071" w:rsidRPr="00891169" w:rsidRDefault="00410071" w:rsidP="00891169">
            <w:pPr>
              <w:pStyle w:val="TableText"/>
              <w:rPr>
                <w:b/>
                <w:lang w:eastAsia="en-NZ"/>
              </w:rPr>
            </w:pPr>
            <w:r w:rsidRPr="00891169">
              <w:rPr>
                <w:b/>
                <w:lang w:eastAsia="en-NZ"/>
              </w:rPr>
              <w:t>National total</w:t>
            </w:r>
          </w:p>
        </w:tc>
        <w:tc>
          <w:tcPr>
            <w:tcW w:w="674" w:type="dxa"/>
          </w:tcPr>
          <w:p w14:paraId="66CC1383" w14:textId="77777777" w:rsidR="00410071" w:rsidRPr="00891169" w:rsidRDefault="00410071" w:rsidP="00891169">
            <w:pPr>
              <w:pStyle w:val="TableText"/>
              <w:tabs>
                <w:tab w:val="decimal" w:pos="454"/>
              </w:tabs>
              <w:rPr>
                <w:b/>
                <w:lang w:eastAsia="en-NZ"/>
              </w:rPr>
            </w:pPr>
            <w:r w:rsidRPr="00891169">
              <w:rPr>
                <w:b/>
                <w:lang w:eastAsia="en-NZ"/>
              </w:rPr>
              <w:t>118</w:t>
            </w:r>
          </w:p>
        </w:tc>
        <w:tc>
          <w:tcPr>
            <w:tcW w:w="764" w:type="dxa"/>
          </w:tcPr>
          <w:p w14:paraId="3E15784F" w14:textId="77777777" w:rsidR="00410071" w:rsidRPr="00891169" w:rsidRDefault="00410071" w:rsidP="00891169">
            <w:pPr>
              <w:pStyle w:val="TableText"/>
              <w:jc w:val="center"/>
              <w:rPr>
                <w:b/>
                <w:lang w:eastAsia="en-NZ"/>
              </w:rPr>
            </w:pPr>
            <w:r w:rsidRPr="00891169">
              <w:rPr>
                <w:b/>
                <w:lang w:eastAsia="en-NZ"/>
              </w:rPr>
              <w:t>40</w:t>
            </w:r>
          </w:p>
        </w:tc>
        <w:tc>
          <w:tcPr>
            <w:tcW w:w="1145" w:type="dxa"/>
          </w:tcPr>
          <w:p w14:paraId="58B541DE" w14:textId="77777777" w:rsidR="00410071" w:rsidRPr="00891169" w:rsidRDefault="00410071" w:rsidP="00891169">
            <w:pPr>
              <w:pStyle w:val="TableText"/>
              <w:jc w:val="center"/>
              <w:rPr>
                <w:b/>
                <w:lang w:eastAsia="en-NZ"/>
              </w:rPr>
            </w:pPr>
            <w:r w:rsidRPr="00891169">
              <w:rPr>
                <w:b/>
                <w:lang w:eastAsia="en-NZ"/>
              </w:rPr>
              <w:t>2.9</w:t>
            </w:r>
          </w:p>
        </w:tc>
      </w:tr>
    </w:tbl>
    <w:p w14:paraId="4D3392F5" w14:textId="77777777" w:rsidR="00410071" w:rsidRDefault="00410071" w:rsidP="00891169">
      <w:pPr>
        <w:pStyle w:val="Source"/>
      </w:pPr>
      <w:r w:rsidRPr="00200234">
        <w:t xml:space="preserve">Source: PRIMHD data, extracted </w:t>
      </w:r>
      <w:r>
        <w:t>1 July 2021.</w:t>
      </w:r>
    </w:p>
    <w:p w14:paraId="4E999440" w14:textId="77777777" w:rsidR="00410071" w:rsidRDefault="00410071" w:rsidP="00891169"/>
    <w:p w14:paraId="74D92D85" w14:textId="4D4D5EF1" w:rsidR="00410071" w:rsidRDefault="00410071" w:rsidP="00891169">
      <w:pPr>
        <w:pStyle w:val="Figure"/>
      </w:pPr>
      <w:bookmarkStart w:id="184" w:name="_Toc85442497"/>
      <w:bookmarkStart w:id="185" w:name="_Toc85445909"/>
      <w:bookmarkStart w:id="186" w:name="_Toc87429967"/>
      <w:bookmarkStart w:id="187" w:name="_Toc88561399"/>
      <w:r>
        <w:t>Figure</w:t>
      </w:r>
      <w:r w:rsidR="00337B51">
        <w:t> </w:t>
      </w:r>
      <w:r w:rsidR="00592799">
        <w:fldChar w:fldCharType="begin"/>
      </w:r>
      <w:r w:rsidR="00592799">
        <w:instrText xml:space="preserve"> SEQ Figure \* ARABIC </w:instrText>
      </w:r>
      <w:r w:rsidR="00592799">
        <w:fldChar w:fldCharType="separate"/>
      </w:r>
      <w:r w:rsidR="00840F18">
        <w:rPr>
          <w:noProof/>
        </w:rPr>
        <w:t>18</w:t>
      </w:r>
      <w:r w:rsidR="00592799">
        <w:rPr>
          <w:noProof/>
        </w:rPr>
        <w:fldChar w:fldCharType="end"/>
      </w:r>
      <w:r w:rsidRPr="00200234">
        <w:t xml:space="preserve">: Rate ratio of Māori to non-Māori subject to indefinite community treatment orders per 100,000 population, </w:t>
      </w:r>
      <w:r>
        <w:t xml:space="preserve">orders </w:t>
      </w:r>
      <w:r w:rsidRPr="00200234">
        <w:t xml:space="preserve">open </w:t>
      </w:r>
      <w:r>
        <w:t>at</w:t>
      </w:r>
      <w:r w:rsidRPr="00200234">
        <w:t xml:space="preserve"> 31 December </w:t>
      </w:r>
      <w:r>
        <w:t>2020</w:t>
      </w:r>
      <w:bookmarkEnd w:id="184"/>
      <w:bookmarkEnd w:id="185"/>
      <w:bookmarkEnd w:id="186"/>
      <w:bookmarkEnd w:id="187"/>
    </w:p>
    <w:p w14:paraId="4AB43217" w14:textId="77777777" w:rsidR="00410071" w:rsidRDefault="00410071" w:rsidP="00410071">
      <w:r>
        <w:rPr>
          <w:noProof/>
          <w:lang w:eastAsia="en-NZ"/>
        </w:rPr>
        <w:drawing>
          <wp:inline distT="0" distB="0" distL="0" distR="0" wp14:anchorId="030FB82A" wp14:editId="30C349E9">
            <wp:extent cx="5170516" cy="3483032"/>
            <wp:effectExtent l="0" t="0" r="0" b="0"/>
            <wp:docPr id="12" name="Chart 12" descr="This graph shows that the ratio of Māori to non-Māori under indefinite community treatment orders in 2020 was highest in Hawke's Bay and Bay of Plenty at over 4.5 to 1. The New Zealand average was just under 3 to 1. The lowest ratios were in Tairāwhiti and West Coast at approximately 1.5 to 1.">
              <a:extLst xmlns:a="http://schemas.openxmlformats.org/drawingml/2006/main">
                <a:ext uri="{FF2B5EF4-FFF2-40B4-BE49-F238E27FC236}">
                  <a16:creationId xmlns:a16="http://schemas.microsoft.com/office/drawing/2014/main" id="{02598416-30CE-4EAC-AF83-DFDA5E9261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DF2700C" w14:textId="77777777" w:rsidR="00410071" w:rsidRPr="00200234" w:rsidRDefault="00410071" w:rsidP="00891169">
      <w:pPr>
        <w:pStyle w:val="Source"/>
      </w:pPr>
      <w:r w:rsidRPr="00200234">
        <w:t xml:space="preserve">Source: PRIMHD data, extracted </w:t>
      </w:r>
      <w:r>
        <w:t>1 July 2021.</w:t>
      </w:r>
    </w:p>
    <w:p w14:paraId="58C17870" w14:textId="77777777" w:rsidR="00410071" w:rsidRDefault="00410071" w:rsidP="00891169"/>
    <w:p w14:paraId="1136591A" w14:textId="177B5A2E" w:rsidR="0039221C" w:rsidRDefault="00410071" w:rsidP="00891169">
      <w:r w:rsidRPr="00200234">
        <w:lastRenderedPageBreak/>
        <w:t>In 20</w:t>
      </w:r>
      <w:r>
        <w:t>20</w:t>
      </w:r>
      <w:r w:rsidRPr="00200234">
        <w:t xml:space="preserve">, </w:t>
      </w:r>
      <w:r>
        <w:t>69</w:t>
      </w:r>
      <w:r w:rsidRPr="00200234">
        <w:t xml:space="preserve"> percent of people subject to indefinite community treatment orders were male (see </w:t>
      </w:r>
      <w:r w:rsidRPr="00200234">
        <w:fldChar w:fldCharType="begin"/>
      </w:r>
      <w:r w:rsidRPr="00200234">
        <w:instrText xml:space="preserve"> REF _Ref65671919 \h </w:instrText>
      </w:r>
      <w:r w:rsidRPr="00200234">
        <w:fldChar w:fldCharType="separate"/>
      </w:r>
      <w:r w:rsidR="00840F18">
        <w:t>Figure </w:t>
      </w:r>
      <w:r w:rsidR="00840F18">
        <w:rPr>
          <w:noProof/>
        </w:rPr>
        <w:t>19</w:t>
      </w:r>
      <w:r w:rsidRPr="00200234">
        <w:fldChar w:fldCharType="end"/>
      </w:r>
      <w:r w:rsidRPr="00200234">
        <w:t>). These trends are consistent with the higher rate of males subject to compulsory treatment order applications.</w:t>
      </w:r>
    </w:p>
    <w:p w14:paraId="6D04E9F3" w14:textId="77777777" w:rsidR="00410071" w:rsidRPr="00200234" w:rsidRDefault="00410071" w:rsidP="00891169">
      <w:bookmarkStart w:id="188" w:name="_Toc34653560"/>
    </w:p>
    <w:p w14:paraId="708FEF42" w14:textId="1780D71D" w:rsidR="00410071" w:rsidRDefault="00410071" w:rsidP="00410071">
      <w:pPr>
        <w:pStyle w:val="Figure"/>
      </w:pPr>
      <w:bookmarkStart w:id="189" w:name="_Ref65671919"/>
      <w:bookmarkStart w:id="190" w:name="_Toc65574438"/>
      <w:bookmarkStart w:id="191" w:name="_Toc63764748"/>
      <w:bookmarkStart w:id="192" w:name="_Toc75176476"/>
      <w:bookmarkStart w:id="193" w:name="_Toc85442566"/>
      <w:bookmarkStart w:id="194" w:name="_Toc85445910"/>
      <w:bookmarkStart w:id="195" w:name="_Toc87429968"/>
      <w:bookmarkStart w:id="196" w:name="_Toc88561400"/>
      <w:bookmarkEnd w:id="188"/>
      <w:r>
        <w:t>Figure</w:t>
      </w:r>
      <w:r w:rsidR="00891169">
        <w:t> </w:t>
      </w:r>
      <w:r w:rsidR="00592799">
        <w:fldChar w:fldCharType="begin"/>
      </w:r>
      <w:r w:rsidR="00592799">
        <w:instrText xml:space="preserve"> SEQ Figure \* ARABIC </w:instrText>
      </w:r>
      <w:r w:rsidR="00592799">
        <w:fldChar w:fldCharType="separate"/>
      </w:r>
      <w:r w:rsidR="00840F18">
        <w:rPr>
          <w:noProof/>
        </w:rPr>
        <w:t>19</w:t>
      </w:r>
      <w:r w:rsidR="00592799">
        <w:rPr>
          <w:noProof/>
        </w:rPr>
        <w:fldChar w:fldCharType="end"/>
      </w:r>
      <w:bookmarkEnd w:id="189"/>
      <w:r w:rsidRPr="00200234">
        <w:t xml:space="preserve">: </w:t>
      </w:r>
      <w:r>
        <w:t>Number</w:t>
      </w:r>
      <w:r w:rsidRPr="00200234">
        <w:t xml:space="preserve"> of people subject to indefinite community treatment orders, by sex, 1</w:t>
      </w:r>
      <w:r>
        <w:t> </w:t>
      </w:r>
      <w:r w:rsidRPr="00200234">
        <w:t>January to 31 December 20</w:t>
      </w:r>
      <w:bookmarkEnd w:id="190"/>
      <w:bookmarkEnd w:id="191"/>
      <w:r>
        <w:t>20</w:t>
      </w:r>
      <w:bookmarkEnd w:id="192"/>
      <w:bookmarkEnd w:id="193"/>
      <w:bookmarkEnd w:id="194"/>
      <w:bookmarkEnd w:id="195"/>
      <w:bookmarkEnd w:id="196"/>
    </w:p>
    <w:p w14:paraId="5CDAAB0A" w14:textId="77777777" w:rsidR="00410071" w:rsidRPr="00EF299F" w:rsidRDefault="00410071" w:rsidP="00410071">
      <w:r>
        <w:rPr>
          <w:noProof/>
          <w:lang w:eastAsia="en-NZ"/>
        </w:rPr>
        <w:drawing>
          <wp:inline distT="0" distB="0" distL="0" distR="0" wp14:anchorId="0BBF29D0" wp14:editId="6F391593">
            <wp:extent cx="3333750" cy="2438400"/>
            <wp:effectExtent l="0" t="0" r="0" b="0"/>
            <wp:docPr id="21" name="Chart 21" descr="This bar graph shows that 1,912 males were subject to an indefinite community treatment order compared to 878 females. ">
              <a:extLst xmlns:a="http://schemas.openxmlformats.org/drawingml/2006/main">
                <a:ext uri="{FF2B5EF4-FFF2-40B4-BE49-F238E27FC236}">
                  <a16:creationId xmlns:a16="http://schemas.microsoft.com/office/drawing/2014/main" id="{ADC91B0E-44A0-4DA6-8F0A-7764B7D77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BE08668" w14:textId="77777777" w:rsidR="00410071" w:rsidRPr="00200234" w:rsidRDefault="00410071" w:rsidP="00891169">
      <w:pPr>
        <w:pStyle w:val="Source"/>
      </w:pPr>
      <w:r>
        <w:t>S</w:t>
      </w:r>
      <w:r w:rsidRPr="00200234">
        <w:t>ource: PRIMHD data</w:t>
      </w:r>
      <w:r>
        <w:t xml:space="preserve"> (extracted</w:t>
      </w:r>
      <w:r w:rsidRPr="00200234">
        <w:t xml:space="preserve"> </w:t>
      </w:r>
      <w:r>
        <w:t>1 July 2021).</w:t>
      </w:r>
    </w:p>
    <w:p w14:paraId="7F913392" w14:textId="77777777" w:rsidR="00410071" w:rsidRDefault="00410071" w:rsidP="00891169">
      <w:bookmarkStart w:id="197" w:name="_Toc65236599"/>
      <w:bookmarkStart w:id="198" w:name="_Toc75176441"/>
    </w:p>
    <w:p w14:paraId="0074688C" w14:textId="77777777" w:rsidR="00410071" w:rsidRPr="00200234" w:rsidRDefault="00410071" w:rsidP="00891169">
      <w:pPr>
        <w:pStyle w:val="Heading2"/>
      </w:pPr>
      <w:bookmarkStart w:id="199" w:name="_Toc87429910"/>
      <w:bookmarkStart w:id="200" w:name="_Toc88826958"/>
      <w:r w:rsidRPr="00200234">
        <w:t>Indefinite inpatient treatment orders</w:t>
      </w:r>
      <w:bookmarkEnd w:id="197"/>
      <w:bookmarkEnd w:id="198"/>
      <w:bookmarkEnd w:id="199"/>
      <w:bookmarkEnd w:id="200"/>
    </w:p>
    <w:p w14:paraId="0CDB63C2" w14:textId="2333A727" w:rsidR="0039221C" w:rsidRDefault="00410071" w:rsidP="00891169">
      <w:r w:rsidRPr="00200234">
        <w:t>In 20</w:t>
      </w:r>
      <w:r>
        <w:t>20</w:t>
      </w:r>
      <w:r w:rsidRPr="00200234">
        <w:t xml:space="preserve"> across </w:t>
      </w:r>
      <w:r>
        <w:t xml:space="preserve">Aotearoa </w:t>
      </w:r>
      <w:r w:rsidRPr="00200234">
        <w:t>New Zealand</w:t>
      </w:r>
      <w:r>
        <w:t>,</w:t>
      </w:r>
      <w:r w:rsidRPr="00200234">
        <w:t xml:space="preserve"> </w:t>
      </w:r>
      <w:r>
        <w:t>3.6</w:t>
      </w:r>
      <w:r w:rsidRPr="00200234">
        <w:t xml:space="preserve"> people per 100,000 were subject to indefinite inpatient treatment orders. </w:t>
      </w:r>
      <w:r w:rsidRPr="00200234">
        <w:fldChar w:fldCharType="begin"/>
      </w:r>
      <w:r w:rsidRPr="00200234">
        <w:instrText xml:space="preserve"> REF _Ref65671941 \h </w:instrText>
      </w:r>
      <w:r w:rsidRPr="00200234">
        <w:fldChar w:fldCharType="separate"/>
      </w:r>
      <w:r w:rsidR="00840F18">
        <w:t>Figure </w:t>
      </w:r>
      <w:r w:rsidR="00840F18">
        <w:rPr>
          <w:noProof/>
        </w:rPr>
        <w:t>20</w:t>
      </w:r>
      <w:r w:rsidRPr="00200234">
        <w:fldChar w:fldCharType="end"/>
      </w:r>
      <w:r w:rsidRPr="00200234">
        <w:t xml:space="preserve"> shows the rates of indefinite inpatient treatment orders in each DHB, per 100,000 of the general population for 20</w:t>
      </w:r>
      <w:r>
        <w:t>20</w:t>
      </w:r>
      <w:r w:rsidRPr="00200234">
        <w:t>.</w:t>
      </w:r>
    </w:p>
    <w:p w14:paraId="578EB2FD" w14:textId="77777777" w:rsidR="00410071" w:rsidRPr="00200234" w:rsidRDefault="00410071" w:rsidP="00891169"/>
    <w:p w14:paraId="18756B04" w14:textId="77777777" w:rsidR="00410071" w:rsidRPr="00200234" w:rsidRDefault="00410071" w:rsidP="00891169">
      <w:r w:rsidRPr="00200234">
        <w:t>Some services may have higher rates of inpatient indefinite orders because they care for more patients with forensic and intellectual disability needs. Smaller services may be less likely to offer long-term inpatient care for people with complex needs.</w:t>
      </w:r>
    </w:p>
    <w:p w14:paraId="6B97452D" w14:textId="77777777" w:rsidR="00410071" w:rsidRPr="00200234" w:rsidRDefault="00410071" w:rsidP="00891169">
      <w:bookmarkStart w:id="201" w:name="_Toc65574440"/>
    </w:p>
    <w:p w14:paraId="2545CF8D" w14:textId="2823C8CB" w:rsidR="00410071" w:rsidRDefault="00410071" w:rsidP="00410071">
      <w:pPr>
        <w:pStyle w:val="Figure"/>
      </w:pPr>
      <w:bookmarkStart w:id="202" w:name="_Ref65671941"/>
      <w:bookmarkStart w:id="203" w:name="_Toc75176477"/>
      <w:bookmarkStart w:id="204" w:name="_Toc85442567"/>
      <w:bookmarkStart w:id="205" w:name="_Toc85445911"/>
      <w:bookmarkStart w:id="206" w:name="_Toc87429969"/>
      <w:bookmarkStart w:id="207" w:name="_Toc88561401"/>
      <w:r>
        <w:lastRenderedPageBreak/>
        <w:t>Figure</w:t>
      </w:r>
      <w:r w:rsidR="00891169">
        <w:t> </w:t>
      </w:r>
      <w:r w:rsidR="00592799">
        <w:fldChar w:fldCharType="begin"/>
      </w:r>
      <w:r w:rsidR="00592799">
        <w:instrText xml:space="preserve"> SEQ Figure \* ARABIC </w:instrText>
      </w:r>
      <w:r w:rsidR="00592799">
        <w:fldChar w:fldCharType="separate"/>
      </w:r>
      <w:r w:rsidR="00840F18">
        <w:rPr>
          <w:noProof/>
        </w:rPr>
        <w:t>20</w:t>
      </w:r>
      <w:r w:rsidR="00592799">
        <w:rPr>
          <w:noProof/>
        </w:rPr>
        <w:fldChar w:fldCharType="end"/>
      </w:r>
      <w:bookmarkEnd w:id="202"/>
      <w:r w:rsidRPr="00200234">
        <w:t>: Number of people subject to indefinite inpatient treatment orders per 100,000 population, by DHB, 1 January to 31 December 20</w:t>
      </w:r>
      <w:bookmarkEnd w:id="201"/>
      <w:r>
        <w:t>20</w:t>
      </w:r>
      <w:bookmarkEnd w:id="203"/>
      <w:bookmarkEnd w:id="204"/>
      <w:bookmarkEnd w:id="205"/>
      <w:bookmarkEnd w:id="206"/>
      <w:bookmarkEnd w:id="207"/>
    </w:p>
    <w:p w14:paraId="023825F9" w14:textId="77777777" w:rsidR="00410071" w:rsidRPr="00200234" w:rsidRDefault="00410071" w:rsidP="00410071">
      <w:pPr>
        <w:pStyle w:val="Note"/>
        <w:rPr>
          <w:rFonts w:cs="Segoe UI"/>
        </w:rPr>
      </w:pPr>
      <w:r w:rsidRPr="002E07DB">
        <w:rPr>
          <w:noProof/>
          <w:color w:val="FFFFFF" w:themeColor="background1"/>
          <w:lang w:eastAsia="en-NZ"/>
        </w:rPr>
        <w:drawing>
          <wp:inline distT="0" distB="0" distL="0" distR="0" wp14:anchorId="6EECE3E3" wp14:editId="0B2BD324">
            <wp:extent cx="5212080" cy="3449782"/>
            <wp:effectExtent l="0" t="0" r="0" b="0"/>
            <wp:docPr id="24" name="Chart 24" descr="This bar graph shows that Capital &amp; Coast had the highest rate of people subject to indefinite inpatient treatment orders in 2020, followed by Whanganui. Counties Manukau, Hawke's Bay and Taranaki had the lowest. The national average was approximately 3.6 people per 100,000 population.">
              <a:extLst xmlns:a="http://schemas.openxmlformats.org/drawingml/2006/main">
                <a:ext uri="{FF2B5EF4-FFF2-40B4-BE49-F238E27FC236}">
                  <a16:creationId xmlns:a16="http://schemas.microsoft.com/office/drawing/2014/main" id="{A38B5429-E9C3-48E0-BC89-AF6827B69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F157B74" w14:textId="77777777" w:rsidR="00410071" w:rsidRPr="00200234" w:rsidRDefault="00410071" w:rsidP="00891169">
      <w:pPr>
        <w:pStyle w:val="Note"/>
      </w:pPr>
      <w:r w:rsidRPr="00200234">
        <w:t>Note: Wairarapa DHB does not have an inpatient service</w:t>
      </w:r>
      <w:r>
        <w:t xml:space="preserve"> and</w:t>
      </w:r>
      <w:r w:rsidRPr="00200234">
        <w:t xml:space="preserve"> </w:t>
      </w:r>
      <w:r>
        <w:t xml:space="preserve">Lakes, Northland, South Canterbury </w:t>
      </w:r>
      <w:r w:rsidRPr="00200234">
        <w:t>and Tairāwhiti DHBs have no indefinite inpatient treatment orders</w:t>
      </w:r>
      <w:r>
        <w:t xml:space="preserve"> so none of these DHBs have been included in this figure</w:t>
      </w:r>
      <w:r w:rsidRPr="00200234">
        <w:t>.</w:t>
      </w:r>
    </w:p>
    <w:p w14:paraId="362DDB3F" w14:textId="77777777" w:rsidR="0039221C" w:rsidRDefault="00410071" w:rsidP="00891169">
      <w:pPr>
        <w:pStyle w:val="Source"/>
      </w:pPr>
      <w:r w:rsidRPr="00200234">
        <w:t>Sources: PRIMHD data</w:t>
      </w:r>
      <w:r>
        <w:t xml:space="preserve"> (extracted</w:t>
      </w:r>
      <w:r w:rsidRPr="00200234">
        <w:t xml:space="preserve"> </w:t>
      </w:r>
      <w:r>
        <w:t>1 July 2021)</w:t>
      </w:r>
      <w:r w:rsidRPr="00200234">
        <w:t xml:space="preserve"> and manual data from </w:t>
      </w:r>
      <w:r>
        <w:t>Counties Manukau DHB</w:t>
      </w:r>
      <w:r w:rsidRPr="00200234">
        <w:t>.</w:t>
      </w:r>
    </w:p>
    <w:p w14:paraId="1840E305" w14:textId="77777777" w:rsidR="00410071" w:rsidRPr="00200234" w:rsidRDefault="00410071" w:rsidP="00891169"/>
    <w:p w14:paraId="0C51F636" w14:textId="34D52256" w:rsidR="00410071" w:rsidRPr="00200234" w:rsidRDefault="00410071" w:rsidP="00891169">
      <w:r w:rsidRPr="00200234">
        <w:t>Nationwide in 20</w:t>
      </w:r>
      <w:r>
        <w:t>20</w:t>
      </w:r>
      <w:r w:rsidRPr="00200234">
        <w:t xml:space="preserve">, Māori were </w:t>
      </w:r>
      <w:r>
        <w:t>2.9</w:t>
      </w:r>
      <w:r w:rsidRPr="00200234">
        <w:t xml:space="preserve"> times more likely to be subject to an indefinite inpatient treatment order than non-Māori. </w:t>
      </w:r>
      <w:r>
        <w:fldChar w:fldCharType="begin"/>
      </w:r>
      <w:r>
        <w:instrText xml:space="preserve"> REF _Ref85448958 \h </w:instrText>
      </w:r>
      <w:r>
        <w:fldChar w:fldCharType="separate"/>
      </w:r>
      <w:r w:rsidR="00840F18">
        <w:t>Table </w:t>
      </w:r>
      <w:r w:rsidR="00840F18">
        <w:rPr>
          <w:noProof/>
        </w:rPr>
        <w:t>7</w:t>
      </w:r>
      <w:r>
        <w:fldChar w:fldCharType="end"/>
      </w:r>
      <w:r w:rsidRPr="00200234">
        <w:t xml:space="preserve"> shows the rate ratio of Māori to non-Māori in each DHB per 100,000 people subject to indefinite inpatient treatment orders.</w:t>
      </w:r>
    </w:p>
    <w:p w14:paraId="3F5F1C5B" w14:textId="77777777" w:rsidR="00410071" w:rsidRPr="00200234" w:rsidRDefault="00410071" w:rsidP="00891169"/>
    <w:p w14:paraId="3ECFA560" w14:textId="21F8ADBD" w:rsidR="00410071" w:rsidRDefault="00410071" w:rsidP="00891169">
      <w:pPr>
        <w:pStyle w:val="Table"/>
      </w:pPr>
      <w:bookmarkStart w:id="208" w:name="_Ref85448958"/>
      <w:bookmarkStart w:id="209" w:name="_Toc87430005"/>
      <w:bookmarkStart w:id="210" w:name="_Toc88561362"/>
      <w:r>
        <w:lastRenderedPageBreak/>
        <w:t>Table</w:t>
      </w:r>
      <w:r w:rsidR="00891169">
        <w:t> </w:t>
      </w:r>
      <w:r w:rsidR="00592799">
        <w:fldChar w:fldCharType="begin"/>
      </w:r>
      <w:r w:rsidR="00592799">
        <w:instrText xml:space="preserve"> SEQ Table \* ARABIC </w:instrText>
      </w:r>
      <w:r w:rsidR="00592799">
        <w:fldChar w:fldCharType="separate"/>
      </w:r>
      <w:r w:rsidR="00840F18">
        <w:rPr>
          <w:noProof/>
        </w:rPr>
        <w:t>7</w:t>
      </w:r>
      <w:r w:rsidR="00592799">
        <w:rPr>
          <w:noProof/>
        </w:rPr>
        <w:fldChar w:fldCharType="end"/>
      </w:r>
      <w:bookmarkEnd w:id="208"/>
      <w:r w:rsidRPr="00712EFD">
        <w:t xml:space="preserve">: Rate ratio of Māori to non-Māori subject to indefinite inpatient treatment orders per 100,000 population, </w:t>
      </w:r>
      <w:r>
        <w:t xml:space="preserve">orders </w:t>
      </w:r>
      <w:r w:rsidRPr="00712EFD">
        <w:t xml:space="preserve">open </w:t>
      </w:r>
      <w:r>
        <w:t>at</w:t>
      </w:r>
      <w:r w:rsidRPr="00712EFD">
        <w:t xml:space="preserve"> 31 December 2020</w:t>
      </w:r>
      <w:bookmarkEnd w:id="209"/>
      <w:bookmarkEnd w:id="210"/>
    </w:p>
    <w:tbl>
      <w:tblPr>
        <w:tblW w:w="814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209"/>
        <w:gridCol w:w="776"/>
        <w:gridCol w:w="851"/>
        <w:gridCol w:w="1032"/>
        <w:gridCol w:w="396"/>
        <w:gridCol w:w="1350"/>
        <w:gridCol w:w="765"/>
        <w:gridCol w:w="709"/>
        <w:gridCol w:w="1052"/>
      </w:tblGrid>
      <w:tr w:rsidR="00410071" w:rsidRPr="00891169" w14:paraId="3223962E" w14:textId="77777777" w:rsidTr="00891169">
        <w:trPr>
          <w:cantSplit/>
        </w:trPr>
        <w:tc>
          <w:tcPr>
            <w:tcW w:w="1209" w:type="dxa"/>
            <w:tcBorders>
              <w:top w:val="nil"/>
              <w:bottom w:val="nil"/>
            </w:tcBorders>
            <w:shd w:val="clear" w:color="000000" w:fill="D9D9D9"/>
            <w:noWrap/>
            <w:hideMark/>
          </w:tcPr>
          <w:p w14:paraId="3F08374E" w14:textId="77777777" w:rsidR="00410071" w:rsidRPr="00891169" w:rsidRDefault="00410071" w:rsidP="00D90A5D">
            <w:pPr>
              <w:pStyle w:val="TableText"/>
              <w:keepNext/>
              <w:rPr>
                <w:b/>
                <w:lang w:eastAsia="en-NZ"/>
              </w:rPr>
            </w:pPr>
            <w:r w:rsidRPr="00891169">
              <w:rPr>
                <w:b/>
                <w:lang w:eastAsia="en-NZ"/>
              </w:rPr>
              <w:t>DHB of service</w:t>
            </w:r>
          </w:p>
        </w:tc>
        <w:tc>
          <w:tcPr>
            <w:tcW w:w="776" w:type="dxa"/>
            <w:tcBorders>
              <w:top w:val="nil"/>
              <w:bottom w:val="nil"/>
            </w:tcBorders>
            <w:shd w:val="clear" w:color="000000" w:fill="D9D9D9"/>
            <w:hideMark/>
          </w:tcPr>
          <w:p w14:paraId="393E8699" w14:textId="77777777" w:rsidR="00410071" w:rsidRPr="00891169" w:rsidRDefault="00410071" w:rsidP="00D90A5D">
            <w:pPr>
              <w:pStyle w:val="TableText"/>
              <w:keepNext/>
              <w:jc w:val="center"/>
              <w:rPr>
                <w:b/>
                <w:lang w:eastAsia="en-NZ"/>
              </w:rPr>
            </w:pPr>
            <w:r w:rsidRPr="00891169">
              <w:rPr>
                <w:b/>
                <w:lang w:eastAsia="en-NZ"/>
              </w:rPr>
              <w:t>Māori</w:t>
            </w:r>
          </w:p>
        </w:tc>
        <w:tc>
          <w:tcPr>
            <w:tcW w:w="851" w:type="dxa"/>
            <w:tcBorders>
              <w:top w:val="nil"/>
              <w:bottom w:val="nil"/>
            </w:tcBorders>
            <w:shd w:val="clear" w:color="000000" w:fill="D9D9D9"/>
            <w:hideMark/>
          </w:tcPr>
          <w:p w14:paraId="2EBE7E90" w14:textId="77777777" w:rsidR="00410071" w:rsidRPr="00891169" w:rsidRDefault="00410071" w:rsidP="00D90A5D">
            <w:pPr>
              <w:pStyle w:val="TableText"/>
              <w:keepNext/>
              <w:jc w:val="center"/>
              <w:rPr>
                <w:b/>
                <w:lang w:eastAsia="en-NZ"/>
              </w:rPr>
            </w:pPr>
            <w:r w:rsidRPr="00891169">
              <w:rPr>
                <w:b/>
                <w:lang w:eastAsia="en-NZ"/>
              </w:rPr>
              <w:t>Non-Māori</w:t>
            </w:r>
          </w:p>
        </w:tc>
        <w:tc>
          <w:tcPr>
            <w:tcW w:w="1032" w:type="dxa"/>
            <w:tcBorders>
              <w:top w:val="nil"/>
              <w:bottom w:val="nil"/>
            </w:tcBorders>
            <w:shd w:val="clear" w:color="000000" w:fill="D9D9D9"/>
            <w:hideMark/>
          </w:tcPr>
          <w:p w14:paraId="5D0A3221" w14:textId="77777777" w:rsidR="00410071" w:rsidRPr="00891169" w:rsidRDefault="00410071" w:rsidP="00D90A5D">
            <w:pPr>
              <w:pStyle w:val="TableText"/>
              <w:keepNext/>
              <w:jc w:val="center"/>
              <w:rPr>
                <w:b/>
                <w:lang w:eastAsia="en-NZ"/>
              </w:rPr>
            </w:pPr>
            <w:r w:rsidRPr="00891169">
              <w:rPr>
                <w:b/>
                <w:lang w:eastAsia="en-NZ"/>
              </w:rPr>
              <w:t>Rate ratio Māori : non-Māori</w:t>
            </w:r>
          </w:p>
        </w:tc>
        <w:tc>
          <w:tcPr>
            <w:tcW w:w="396" w:type="dxa"/>
            <w:tcBorders>
              <w:top w:val="nil"/>
              <w:bottom w:val="nil"/>
            </w:tcBorders>
            <w:shd w:val="clear" w:color="auto" w:fill="auto"/>
          </w:tcPr>
          <w:p w14:paraId="6B31F154" w14:textId="77777777" w:rsidR="00410071" w:rsidRPr="00891169" w:rsidRDefault="00410071" w:rsidP="00D90A5D">
            <w:pPr>
              <w:pStyle w:val="TableText"/>
              <w:keepNext/>
              <w:rPr>
                <w:b/>
                <w:lang w:eastAsia="en-NZ"/>
              </w:rPr>
            </w:pPr>
          </w:p>
        </w:tc>
        <w:tc>
          <w:tcPr>
            <w:tcW w:w="1350" w:type="dxa"/>
            <w:tcBorders>
              <w:top w:val="nil"/>
              <w:bottom w:val="nil"/>
            </w:tcBorders>
            <w:shd w:val="clear" w:color="000000" w:fill="D9D9D9"/>
          </w:tcPr>
          <w:p w14:paraId="76041F72" w14:textId="77777777" w:rsidR="00410071" w:rsidRPr="00891169" w:rsidRDefault="00410071" w:rsidP="00D90A5D">
            <w:pPr>
              <w:pStyle w:val="TableText"/>
              <w:keepNext/>
              <w:rPr>
                <w:b/>
                <w:lang w:eastAsia="en-NZ"/>
              </w:rPr>
            </w:pPr>
            <w:r w:rsidRPr="00891169">
              <w:rPr>
                <w:b/>
                <w:lang w:eastAsia="en-NZ"/>
              </w:rPr>
              <w:t>DHB of service</w:t>
            </w:r>
          </w:p>
        </w:tc>
        <w:tc>
          <w:tcPr>
            <w:tcW w:w="765" w:type="dxa"/>
            <w:tcBorders>
              <w:top w:val="nil"/>
              <w:bottom w:val="nil"/>
            </w:tcBorders>
            <w:shd w:val="clear" w:color="000000" w:fill="D9D9D9"/>
          </w:tcPr>
          <w:p w14:paraId="1737430A" w14:textId="77777777" w:rsidR="00410071" w:rsidRPr="00891169" w:rsidRDefault="00410071" w:rsidP="00D90A5D">
            <w:pPr>
              <w:pStyle w:val="TableText"/>
              <w:keepNext/>
              <w:jc w:val="center"/>
              <w:rPr>
                <w:b/>
                <w:lang w:eastAsia="en-NZ"/>
              </w:rPr>
            </w:pPr>
            <w:r w:rsidRPr="00891169">
              <w:rPr>
                <w:b/>
                <w:lang w:eastAsia="en-NZ"/>
              </w:rPr>
              <w:t>Māori</w:t>
            </w:r>
          </w:p>
        </w:tc>
        <w:tc>
          <w:tcPr>
            <w:tcW w:w="709" w:type="dxa"/>
            <w:tcBorders>
              <w:top w:val="nil"/>
              <w:bottom w:val="nil"/>
            </w:tcBorders>
            <w:shd w:val="clear" w:color="000000" w:fill="D9D9D9"/>
          </w:tcPr>
          <w:p w14:paraId="3E139C64" w14:textId="77777777" w:rsidR="00410071" w:rsidRPr="00891169" w:rsidRDefault="00410071" w:rsidP="00D90A5D">
            <w:pPr>
              <w:pStyle w:val="TableText"/>
              <w:keepNext/>
              <w:jc w:val="center"/>
              <w:rPr>
                <w:b/>
                <w:lang w:eastAsia="en-NZ"/>
              </w:rPr>
            </w:pPr>
            <w:r w:rsidRPr="00891169">
              <w:rPr>
                <w:b/>
                <w:lang w:eastAsia="en-NZ"/>
              </w:rPr>
              <w:t>Non-Māori</w:t>
            </w:r>
          </w:p>
        </w:tc>
        <w:tc>
          <w:tcPr>
            <w:tcW w:w="1052" w:type="dxa"/>
            <w:tcBorders>
              <w:top w:val="nil"/>
              <w:bottom w:val="nil"/>
            </w:tcBorders>
            <w:shd w:val="clear" w:color="000000" w:fill="D9D9D9"/>
          </w:tcPr>
          <w:p w14:paraId="1163864B" w14:textId="77777777" w:rsidR="00410071" w:rsidRPr="00891169" w:rsidRDefault="00410071" w:rsidP="00D90A5D">
            <w:pPr>
              <w:pStyle w:val="TableText"/>
              <w:keepNext/>
              <w:jc w:val="center"/>
              <w:rPr>
                <w:b/>
                <w:lang w:eastAsia="en-NZ"/>
              </w:rPr>
            </w:pPr>
            <w:r w:rsidRPr="00891169">
              <w:rPr>
                <w:b/>
                <w:lang w:eastAsia="en-NZ"/>
              </w:rPr>
              <w:t>Rate ratio Māori : non-Māori</w:t>
            </w:r>
          </w:p>
        </w:tc>
      </w:tr>
      <w:tr w:rsidR="00410071" w:rsidRPr="000C5A1A" w14:paraId="24DB5FD8" w14:textId="77777777" w:rsidTr="00891169">
        <w:trPr>
          <w:cantSplit/>
        </w:trPr>
        <w:tc>
          <w:tcPr>
            <w:tcW w:w="1209" w:type="dxa"/>
            <w:tcBorders>
              <w:top w:val="nil"/>
            </w:tcBorders>
            <w:shd w:val="clear" w:color="auto" w:fill="auto"/>
            <w:noWrap/>
            <w:hideMark/>
          </w:tcPr>
          <w:p w14:paraId="1A453FA0" w14:textId="77777777" w:rsidR="00410071" w:rsidRPr="000C5A1A" w:rsidRDefault="00410071" w:rsidP="00D90A5D">
            <w:pPr>
              <w:pStyle w:val="TableText"/>
              <w:keepNext/>
              <w:rPr>
                <w:lang w:eastAsia="en-NZ"/>
              </w:rPr>
            </w:pPr>
            <w:r w:rsidRPr="000C5A1A">
              <w:rPr>
                <w:lang w:eastAsia="en-NZ"/>
              </w:rPr>
              <w:t>Auckland</w:t>
            </w:r>
          </w:p>
        </w:tc>
        <w:tc>
          <w:tcPr>
            <w:tcW w:w="776" w:type="dxa"/>
            <w:tcBorders>
              <w:top w:val="nil"/>
            </w:tcBorders>
            <w:shd w:val="clear" w:color="auto" w:fill="auto"/>
            <w:noWrap/>
            <w:hideMark/>
          </w:tcPr>
          <w:p w14:paraId="6DA69997" w14:textId="77777777" w:rsidR="00410071" w:rsidRPr="00810398" w:rsidRDefault="00410071" w:rsidP="00D90A5D">
            <w:pPr>
              <w:pStyle w:val="TableText"/>
              <w:keepNext/>
              <w:tabs>
                <w:tab w:val="decimal" w:pos="397"/>
              </w:tabs>
              <w:rPr>
                <w:lang w:eastAsia="en-NZ"/>
              </w:rPr>
            </w:pPr>
            <w:r w:rsidRPr="004275A0">
              <w:rPr>
                <w:lang w:eastAsia="en-NZ"/>
              </w:rPr>
              <w:t>5</w:t>
            </w:r>
          </w:p>
        </w:tc>
        <w:tc>
          <w:tcPr>
            <w:tcW w:w="851" w:type="dxa"/>
            <w:tcBorders>
              <w:top w:val="nil"/>
            </w:tcBorders>
            <w:shd w:val="clear" w:color="auto" w:fill="auto"/>
            <w:noWrap/>
            <w:hideMark/>
          </w:tcPr>
          <w:p w14:paraId="2B5F261A" w14:textId="77777777" w:rsidR="00410071" w:rsidRPr="00810398" w:rsidRDefault="00410071" w:rsidP="00D90A5D">
            <w:pPr>
              <w:pStyle w:val="TableText"/>
              <w:keepNext/>
              <w:tabs>
                <w:tab w:val="decimal" w:pos="397"/>
              </w:tabs>
              <w:rPr>
                <w:lang w:eastAsia="en-NZ"/>
              </w:rPr>
            </w:pPr>
            <w:r w:rsidRPr="004275A0">
              <w:rPr>
                <w:lang w:eastAsia="en-NZ"/>
              </w:rPr>
              <w:t>2</w:t>
            </w:r>
          </w:p>
        </w:tc>
        <w:tc>
          <w:tcPr>
            <w:tcW w:w="1032" w:type="dxa"/>
            <w:tcBorders>
              <w:top w:val="nil"/>
            </w:tcBorders>
            <w:shd w:val="clear" w:color="auto" w:fill="auto"/>
            <w:noWrap/>
            <w:hideMark/>
          </w:tcPr>
          <w:p w14:paraId="7C456AD0" w14:textId="77777777" w:rsidR="00410071" w:rsidRPr="00810398" w:rsidRDefault="00410071" w:rsidP="00D90A5D">
            <w:pPr>
              <w:pStyle w:val="TableText"/>
              <w:keepNext/>
              <w:tabs>
                <w:tab w:val="decimal" w:pos="458"/>
              </w:tabs>
              <w:rPr>
                <w:lang w:eastAsia="en-NZ"/>
              </w:rPr>
            </w:pPr>
            <w:r w:rsidRPr="004275A0">
              <w:rPr>
                <w:lang w:eastAsia="en-NZ"/>
              </w:rPr>
              <w:t>2.8</w:t>
            </w:r>
          </w:p>
        </w:tc>
        <w:tc>
          <w:tcPr>
            <w:tcW w:w="396" w:type="dxa"/>
            <w:tcBorders>
              <w:top w:val="nil"/>
              <w:bottom w:val="nil"/>
            </w:tcBorders>
            <w:shd w:val="clear" w:color="auto" w:fill="auto"/>
          </w:tcPr>
          <w:p w14:paraId="0E1FB6AF" w14:textId="77777777" w:rsidR="00410071" w:rsidRPr="000C5A1A" w:rsidRDefault="00410071" w:rsidP="00D90A5D">
            <w:pPr>
              <w:pStyle w:val="TableText"/>
              <w:keepNext/>
              <w:rPr>
                <w:lang w:eastAsia="en-NZ"/>
              </w:rPr>
            </w:pPr>
          </w:p>
        </w:tc>
        <w:tc>
          <w:tcPr>
            <w:tcW w:w="1350" w:type="dxa"/>
            <w:tcBorders>
              <w:top w:val="nil"/>
            </w:tcBorders>
          </w:tcPr>
          <w:p w14:paraId="71B01AA2" w14:textId="77777777" w:rsidR="00410071" w:rsidRPr="00810398" w:rsidRDefault="00410071" w:rsidP="00D90A5D">
            <w:pPr>
              <w:pStyle w:val="TableText"/>
              <w:keepNext/>
              <w:rPr>
                <w:lang w:eastAsia="en-NZ"/>
              </w:rPr>
            </w:pPr>
            <w:r>
              <w:rPr>
                <w:lang w:eastAsia="en-NZ"/>
              </w:rPr>
              <w:t>Nelson Marlborough</w:t>
            </w:r>
          </w:p>
        </w:tc>
        <w:tc>
          <w:tcPr>
            <w:tcW w:w="765" w:type="dxa"/>
            <w:tcBorders>
              <w:top w:val="nil"/>
            </w:tcBorders>
          </w:tcPr>
          <w:p w14:paraId="0BFAA880" w14:textId="77777777" w:rsidR="00410071" w:rsidRPr="00810398" w:rsidRDefault="00410071" w:rsidP="00D90A5D">
            <w:pPr>
              <w:pStyle w:val="TableText"/>
              <w:keepNext/>
              <w:tabs>
                <w:tab w:val="decimal" w:pos="397"/>
              </w:tabs>
              <w:rPr>
                <w:lang w:eastAsia="en-NZ"/>
              </w:rPr>
            </w:pPr>
            <w:r>
              <w:rPr>
                <w:lang w:eastAsia="en-NZ"/>
              </w:rPr>
              <w:t>–</w:t>
            </w:r>
          </w:p>
        </w:tc>
        <w:tc>
          <w:tcPr>
            <w:tcW w:w="709" w:type="dxa"/>
            <w:tcBorders>
              <w:top w:val="nil"/>
            </w:tcBorders>
          </w:tcPr>
          <w:p w14:paraId="2A1EDC7E" w14:textId="77777777" w:rsidR="00410071" w:rsidRPr="00810398" w:rsidRDefault="00410071" w:rsidP="00D90A5D">
            <w:pPr>
              <w:pStyle w:val="TableText"/>
              <w:keepNext/>
              <w:tabs>
                <w:tab w:val="decimal" w:pos="397"/>
              </w:tabs>
              <w:rPr>
                <w:lang w:eastAsia="en-NZ"/>
              </w:rPr>
            </w:pPr>
            <w:r>
              <w:rPr>
                <w:lang w:eastAsia="en-NZ"/>
              </w:rPr>
              <w:t>3</w:t>
            </w:r>
          </w:p>
        </w:tc>
        <w:tc>
          <w:tcPr>
            <w:tcW w:w="1052" w:type="dxa"/>
            <w:tcBorders>
              <w:top w:val="nil"/>
            </w:tcBorders>
          </w:tcPr>
          <w:p w14:paraId="7CFD84C4" w14:textId="77777777" w:rsidR="00410071" w:rsidRPr="00810398" w:rsidRDefault="00410071" w:rsidP="00D90A5D">
            <w:pPr>
              <w:pStyle w:val="TableText"/>
              <w:keepNext/>
              <w:jc w:val="center"/>
              <w:rPr>
                <w:lang w:eastAsia="en-NZ"/>
              </w:rPr>
            </w:pPr>
            <w:r>
              <w:rPr>
                <w:lang w:eastAsia="en-NZ"/>
              </w:rPr>
              <w:t>–</w:t>
            </w:r>
          </w:p>
        </w:tc>
      </w:tr>
      <w:tr w:rsidR="00410071" w:rsidRPr="000C5A1A" w14:paraId="12C07C25" w14:textId="77777777" w:rsidTr="00891169">
        <w:trPr>
          <w:cantSplit/>
        </w:trPr>
        <w:tc>
          <w:tcPr>
            <w:tcW w:w="1209" w:type="dxa"/>
            <w:shd w:val="clear" w:color="auto" w:fill="auto"/>
            <w:noWrap/>
            <w:hideMark/>
          </w:tcPr>
          <w:p w14:paraId="0EF8B910" w14:textId="77777777" w:rsidR="00410071" w:rsidRPr="000C5A1A" w:rsidRDefault="00410071" w:rsidP="00D90A5D">
            <w:pPr>
              <w:pStyle w:val="TableText"/>
              <w:keepNext/>
              <w:rPr>
                <w:lang w:eastAsia="en-NZ"/>
              </w:rPr>
            </w:pPr>
            <w:r w:rsidRPr="000C5A1A">
              <w:rPr>
                <w:lang w:eastAsia="en-NZ"/>
              </w:rPr>
              <w:t>Bay of Plenty</w:t>
            </w:r>
          </w:p>
        </w:tc>
        <w:tc>
          <w:tcPr>
            <w:tcW w:w="776" w:type="dxa"/>
            <w:shd w:val="clear" w:color="auto" w:fill="auto"/>
            <w:noWrap/>
            <w:hideMark/>
          </w:tcPr>
          <w:p w14:paraId="76E05B3F" w14:textId="77777777" w:rsidR="00410071" w:rsidRPr="00810398" w:rsidRDefault="00410071" w:rsidP="00D90A5D">
            <w:pPr>
              <w:pStyle w:val="TableText"/>
              <w:keepNext/>
              <w:tabs>
                <w:tab w:val="decimal" w:pos="397"/>
              </w:tabs>
              <w:rPr>
                <w:lang w:eastAsia="en-NZ"/>
              </w:rPr>
            </w:pPr>
            <w:r w:rsidRPr="004275A0">
              <w:rPr>
                <w:lang w:eastAsia="en-NZ"/>
              </w:rPr>
              <w:t>6</w:t>
            </w:r>
          </w:p>
        </w:tc>
        <w:tc>
          <w:tcPr>
            <w:tcW w:w="851" w:type="dxa"/>
            <w:shd w:val="clear" w:color="auto" w:fill="auto"/>
            <w:noWrap/>
            <w:hideMark/>
          </w:tcPr>
          <w:p w14:paraId="1819882F" w14:textId="77777777" w:rsidR="00410071" w:rsidRPr="00810398" w:rsidRDefault="00410071" w:rsidP="00D90A5D">
            <w:pPr>
              <w:pStyle w:val="TableText"/>
              <w:keepNext/>
              <w:tabs>
                <w:tab w:val="decimal" w:pos="397"/>
              </w:tabs>
              <w:rPr>
                <w:lang w:eastAsia="en-NZ"/>
              </w:rPr>
            </w:pPr>
            <w:r w:rsidRPr="004275A0">
              <w:rPr>
                <w:lang w:eastAsia="en-NZ"/>
              </w:rPr>
              <w:t>1</w:t>
            </w:r>
          </w:p>
        </w:tc>
        <w:tc>
          <w:tcPr>
            <w:tcW w:w="1032" w:type="dxa"/>
            <w:shd w:val="clear" w:color="auto" w:fill="auto"/>
            <w:noWrap/>
            <w:hideMark/>
          </w:tcPr>
          <w:p w14:paraId="268A3623" w14:textId="77777777" w:rsidR="00410071" w:rsidRPr="00810398" w:rsidRDefault="00410071" w:rsidP="00D90A5D">
            <w:pPr>
              <w:pStyle w:val="TableText"/>
              <w:keepNext/>
              <w:tabs>
                <w:tab w:val="decimal" w:pos="458"/>
              </w:tabs>
              <w:rPr>
                <w:lang w:eastAsia="en-NZ"/>
              </w:rPr>
            </w:pPr>
            <w:r w:rsidRPr="004275A0">
              <w:rPr>
                <w:lang w:eastAsia="en-NZ"/>
              </w:rPr>
              <w:t>11.6</w:t>
            </w:r>
          </w:p>
        </w:tc>
        <w:tc>
          <w:tcPr>
            <w:tcW w:w="396" w:type="dxa"/>
            <w:tcBorders>
              <w:top w:val="nil"/>
              <w:bottom w:val="nil"/>
            </w:tcBorders>
            <w:shd w:val="clear" w:color="auto" w:fill="auto"/>
          </w:tcPr>
          <w:p w14:paraId="1F4BA5FF" w14:textId="77777777" w:rsidR="00410071" w:rsidRPr="000C5A1A" w:rsidRDefault="00410071" w:rsidP="00D90A5D">
            <w:pPr>
              <w:pStyle w:val="TableText"/>
              <w:keepNext/>
              <w:rPr>
                <w:lang w:eastAsia="en-NZ"/>
              </w:rPr>
            </w:pPr>
          </w:p>
        </w:tc>
        <w:tc>
          <w:tcPr>
            <w:tcW w:w="1350" w:type="dxa"/>
          </w:tcPr>
          <w:p w14:paraId="342BF3D7" w14:textId="77777777" w:rsidR="00410071" w:rsidRPr="00810398" w:rsidRDefault="00410071" w:rsidP="00D90A5D">
            <w:pPr>
              <w:pStyle w:val="TableText"/>
              <w:keepNext/>
              <w:rPr>
                <w:lang w:eastAsia="en-NZ"/>
              </w:rPr>
            </w:pPr>
            <w:r w:rsidRPr="000C5A1A">
              <w:rPr>
                <w:lang w:eastAsia="en-NZ"/>
              </w:rPr>
              <w:t>Southern</w:t>
            </w:r>
          </w:p>
        </w:tc>
        <w:tc>
          <w:tcPr>
            <w:tcW w:w="765" w:type="dxa"/>
          </w:tcPr>
          <w:p w14:paraId="15364E88" w14:textId="77777777" w:rsidR="00410071" w:rsidRPr="00810398" w:rsidRDefault="00410071" w:rsidP="00D90A5D">
            <w:pPr>
              <w:pStyle w:val="TableText"/>
              <w:keepNext/>
              <w:tabs>
                <w:tab w:val="decimal" w:pos="397"/>
              </w:tabs>
              <w:rPr>
                <w:lang w:eastAsia="en-NZ"/>
              </w:rPr>
            </w:pPr>
            <w:r>
              <w:rPr>
                <w:lang w:eastAsia="en-NZ"/>
              </w:rPr>
              <w:t>3</w:t>
            </w:r>
          </w:p>
        </w:tc>
        <w:tc>
          <w:tcPr>
            <w:tcW w:w="709" w:type="dxa"/>
          </w:tcPr>
          <w:p w14:paraId="5F6F7F90" w14:textId="77777777" w:rsidR="00410071" w:rsidRPr="00810398" w:rsidRDefault="00410071" w:rsidP="00D90A5D">
            <w:pPr>
              <w:pStyle w:val="TableText"/>
              <w:keepNext/>
              <w:tabs>
                <w:tab w:val="decimal" w:pos="397"/>
              </w:tabs>
              <w:rPr>
                <w:lang w:eastAsia="en-NZ"/>
              </w:rPr>
            </w:pPr>
            <w:r>
              <w:rPr>
                <w:lang w:eastAsia="en-NZ"/>
              </w:rPr>
              <w:t>4</w:t>
            </w:r>
          </w:p>
        </w:tc>
        <w:tc>
          <w:tcPr>
            <w:tcW w:w="1052" w:type="dxa"/>
          </w:tcPr>
          <w:p w14:paraId="537D8E14" w14:textId="77777777" w:rsidR="00410071" w:rsidRPr="00810398" w:rsidRDefault="00410071" w:rsidP="00D90A5D">
            <w:pPr>
              <w:pStyle w:val="TableText"/>
              <w:keepNext/>
              <w:jc w:val="center"/>
              <w:rPr>
                <w:lang w:eastAsia="en-NZ"/>
              </w:rPr>
            </w:pPr>
            <w:r>
              <w:rPr>
                <w:lang w:eastAsia="en-NZ"/>
              </w:rPr>
              <w:t>0.6</w:t>
            </w:r>
          </w:p>
        </w:tc>
      </w:tr>
      <w:tr w:rsidR="00410071" w:rsidRPr="000C5A1A" w14:paraId="58A733B9" w14:textId="77777777" w:rsidTr="00891169">
        <w:trPr>
          <w:cantSplit/>
        </w:trPr>
        <w:tc>
          <w:tcPr>
            <w:tcW w:w="1209" w:type="dxa"/>
            <w:shd w:val="clear" w:color="auto" w:fill="auto"/>
            <w:noWrap/>
            <w:hideMark/>
          </w:tcPr>
          <w:p w14:paraId="7D6759F9" w14:textId="77777777" w:rsidR="00410071" w:rsidRPr="000C5A1A" w:rsidRDefault="00410071" w:rsidP="00D90A5D">
            <w:pPr>
              <w:pStyle w:val="TableText"/>
              <w:keepNext/>
              <w:rPr>
                <w:lang w:eastAsia="en-NZ"/>
              </w:rPr>
            </w:pPr>
            <w:r w:rsidRPr="000C5A1A">
              <w:rPr>
                <w:lang w:eastAsia="en-NZ"/>
              </w:rPr>
              <w:t>Canterbury</w:t>
            </w:r>
          </w:p>
        </w:tc>
        <w:tc>
          <w:tcPr>
            <w:tcW w:w="776" w:type="dxa"/>
            <w:shd w:val="clear" w:color="auto" w:fill="auto"/>
            <w:noWrap/>
            <w:hideMark/>
          </w:tcPr>
          <w:p w14:paraId="00F3B10D" w14:textId="77777777" w:rsidR="00410071" w:rsidRPr="00810398" w:rsidRDefault="00410071" w:rsidP="00D90A5D">
            <w:pPr>
              <w:pStyle w:val="TableText"/>
              <w:keepNext/>
              <w:tabs>
                <w:tab w:val="decimal" w:pos="397"/>
              </w:tabs>
              <w:rPr>
                <w:lang w:eastAsia="en-NZ"/>
              </w:rPr>
            </w:pPr>
            <w:r w:rsidRPr="004275A0">
              <w:rPr>
                <w:lang w:eastAsia="en-NZ"/>
              </w:rPr>
              <w:t>7</w:t>
            </w:r>
          </w:p>
        </w:tc>
        <w:tc>
          <w:tcPr>
            <w:tcW w:w="851" w:type="dxa"/>
            <w:shd w:val="clear" w:color="auto" w:fill="auto"/>
            <w:noWrap/>
            <w:hideMark/>
          </w:tcPr>
          <w:p w14:paraId="1FDC027C" w14:textId="77777777" w:rsidR="00410071" w:rsidRPr="00810398" w:rsidRDefault="00410071" w:rsidP="00D90A5D">
            <w:pPr>
              <w:pStyle w:val="TableText"/>
              <w:keepNext/>
              <w:tabs>
                <w:tab w:val="decimal" w:pos="397"/>
              </w:tabs>
              <w:rPr>
                <w:lang w:eastAsia="en-NZ"/>
              </w:rPr>
            </w:pPr>
            <w:r w:rsidRPr="004275A0">
              <w:rPr>
                <w:lang w:eastAsia="en-NZ"/>
              </w:rPr>
              <w:t>3</w:t>
            </w:r>
          </w:p>
        </w:tc>
        <w:tc>
          <w:tcPr>
            <w:tcW w:w="1032" w:type="dxa"/>
            <w:shd w:val="clear" w:color="auto" w:fill="auto"/>
            <w:noWrap/>
            <w:hideMark/>
          </w:tcPr>
          <w:p w14:paraId="565822D1" w14:textId="77777777" w:rsidR="00410071" w:rsidRPr="00810398" w:rsidRDefault="00410071" w:rsidP="00D90A5D">
            <w:pPr>
              <w:pStyle w:val="TableText"/>
              <w:keepNext/>
              <w:tabs>
                <w:tab w:val="decimal" w:pos="458"/>
              </w:tabs>
              <w:rPr>
                <w:lang w:eastAsia="en-NZ"/>
              </w:rPr>
            </w:pPr>
            <w:r w:rsidRPr="004275A0">
              <w:rPr>
                <w:lang w:eastAsia="en-NZ"/>
              </w:rPr>
              <w:t>2.2</w:t>
            </w:r>
          </w:p>
        </w:tc>
        <w:tc>
          <w:tcPr>
            <w:tcW w:w="396" w:type="dxa"/>
            <w:tcBorders>
              <w:top w:val="nil"/>
              <w:bottom w:val="nil"/>
            </w:tcBorders>
            <w:shd w:val="clear" w:color="auto" w:fill="auto"/>
          </w:tcPr>
          <w:p w14:paraId="0E3C941E" w14:textId="77777777" w:rsidR="00410071" w:rsidRPr="000C5A1A" w:rsidRDefault="00410071" w:rsidP="00D90A5D">
            <w:pPr>
              <w:pStyle w:val="TableText"/>
              <w:keepNext/>
              <w:rPr>
                <w:lang w:eastAsia="en-NZ"/>
              </w:rPr>
            </w:pPr>
          </w:p>
        </w:tc>
        <w:tc>
          <w:tcPr>
            <w:tcW w:w="1350" w:type="dxa"/>
          </w:tcPr>
          <w:p w14:paraId="450AF926" w14:textId="77777777" w:rsidR="00410071" w:rsidRPr="00810398" w:rsidRDefault="00410071" w:rsidP="00D90A5D">
            <w:pPr>
              <w:pStyle w:val="TableText"/>
              <w:keepNext/>
              <w:rPr>
                <w:lang w:eastAsia="en-NZ"/>
              </w:rPr>
            </w:pPr>
            <w:r w:rsidRPr="000C5A1A">
              <w:rPr>
                <w:lang w:eastAsia="en-NZ"/>
              </w:rPr>
              <w:t>Taranaki</w:t>
            </w:r>
          </w:p>
        </w:tc>
        <w:tc>
          <w:tcPr>
            <w:tcW w:w="765" w:type="dxa"/>
          </w:tcPr>
          <w:p w14:paraId="5104EDC3" w14:textId="77777777" w:rsidR="00410071" w:rsidRPr="00810398" w:rsidRDefault="00410071" w:rsidP="00D90A5D">
            <w:pPr>
              <w:pStyle w:val="TableText"/>
              <w:keepNext/>
              <w:tabs>
                <w:tab w:val="decimal" w:pos="397"/>
              </w:tabs>
              <w:rPr>
                <w:lang w:eastAsia="en-NZ"/>
              </w:rPr>
            </w:pPr>
            <w:r>
              <w:rPr>
                <w:lang w:eastAsia="en-NZ"/>
              </w:rPr>
              <w:t>–</w:t>
            </w:r>
          </w:p>
        </w:tc>
        <w:tc>
          <w:tcPr>
            <w:tcW w:w="709" w:type="dxa"/>
          </w:tcPr>
          <w:p w14:paraId="45222C34" w14:textId="77777777" w:rsidR="00410071" w:rsidRPr="00810398" w:rsidRDefault="00410071" w:rsidP="00D90A5D">
            <w:pPr>
              <w:pStyle w:val="TableText"/>
              <w:keepNext/>
              <w:tabs>
                <w:tab w:val="decimal" w:pos="397"/>
              </w:tabs>
              <w:rPr>
                <w:lang w:eastAsia="en-NZ"/>
              </w:rPr>
            </w:pPr>
            <w:r>
              <w:rPr>
                <w:lang w:eastAsia="en-NZ"/>
              </w:rPr>
              <w:t>1</w:t>
            </w:r>
          </w:p>
        </w:tc>
        <w:tc>
          <w:tcPr>
            <w:tcW w:w="1052" w:type="dxa"/>
          </w:tcPr>
          <w:p w14:paraId="4B06A2FA" w14:textId="77777777" w:rsidR="00410071" w:rsidRPr="00810398" w:rsidRDefault="00410071" w:rsidP="00D90A5D">
            <w:pPr>
              <w:pStyle w:val="TableText"/>
              <w:keepNext/>
              <w:jc w:val="center"/>
              <w:rPr>
                <w:lang w:eastAsia="en-NZ"/>
              </w:rPr>
            </w:pPr>
            <w:r>
              <w:rPr>
                <w:lang w:eastAsia="en-NZ"/>
              </w:rPr>
              <w:t>–</w:t>
            </w:r>
          </w:p>
        </w:tc>
      </w:tr>
      <w:tr w:rsidR="00410071" w:rsidRPr="000C5A1A" w14:paraId="114F46E6" w14:textId="77777777" w:rsidTr="00891169">
        <w:trPr>
          <w:cantSplit/>
        </w:trPr>
        <w:tc>
          <w:tcPr>
            <w:tcW w:w="1209" w:type="dxa"/>
            <w:shd w:val="clear" w:color="auto" w:fill="auto"/>
            <w:noWrap/>
            <w:hideMark/>
          </w:tcPr>
          <w:p w14:paraId="2178376C" w14:textId="77777777" w:rsidR="00410071" w:rsidRPr="000C5A1A" w:rsidRDefault="00410071" w:rsidP="00D90A5D">
            <w:pPr>
              <w:pStyle w:val="TableText"/>
              <w:keepNext/>
              <w:rPr>
                <w:lang w:eastAsia="en-NZ"/>
              </w:rPr>
            </w:pPr>
            <w:r w:rsidRPr="000C5A1A">
              <w:rPr>
                <w:lang w:eastAsia="en-NZ"/>
              </w:rPr>
              <w:t xml:space="preserve">Capital &amp; Coast </w:t>
            </w:r>
          </w:p>
        </w:tc>
        <w:tc>
          <w:tcPr>
            <w:tcW w:w="776" w:type="dxa"/>
            <w:shd w:val="clear" w:color="auto" w:fill="auto"/>
            <w:noWrap/>
            <w:hideMark/>
          </w:tcPr>
          <w:p w14:paraId="1BF2DD57" w14:textId="77777777" w:rsidR="00410071" w:rsidRPr="00810398" w:rsidRDefault="00410071" w:rsidP="00D90A5D">
            <w:pPr>
              <w:pStyle w:val="TableText"/>
              <w:keepNext/>
              <w:tabs>
                <w:tab w:val="decimal" w:pos="397"/>
              </w:tabs>
              <w:rPr>
                <w:lang w:eastAsia="en-NZ"/>
              </w:rPr>
            </w:pPr>
            <w:r w:rsidRPr="004275A0">
              <w:rPr>
                <w:lang w:eastAsia="en-NZ"/>
              </w:rPr>
              <w:t>65</w:t>
            </w:r>
          </w:p>
        </w:tc>
        <w:tc>
          <w:tcPr>
            <w:tcW w:w="851" w:type="dxa"/>
            <w:shd w:val="clear" w:color="auto" w:fill="auto"/>
            <w:noWrap/>
            <w:hideMark/>
          </w:tcPr>
          <w:p w14:paraId="4F22016F" w14:textId="77777777" w:rsidR="00410071" w:rsidRPr="00810398" w:rsidRDefault="00410071" w:rsidP="00D90A5D">
            <w:pPr>
              <w:pStyle w:val="TableText"/>
              <w:keepNext/>
              <w:tabs>
                <w:tab w:val="decimal" w:pos="397"/>
              </w:tabs>
              <w:rPr>
                <w:lang w:eastAsia="en-NZ"/>
              </w:rPr>
            </w:pPr>
            <w:r w:rsidRPr="004275A0">
              <w:rPr>
                <w:lang w:eastAsia="en-NZ"/>
              </w:rPr>
              <w:t>11</w:t>
            </w:r>
          </w:p>
        </w:tc>
        <w:tc>
          <w:tcPr>
            <w:tcW w:w="1032" w:type="dxa"/>
            <w:shd w:val="clear" w:color="auto" w:fill="auto"/>
            <w:noWrap/>
            <w:hideMark/>
          </w:tcPr>
          <w:p w14:paraId="669DED51" w14:textId="77777777" w:rsidR="00410071" w:rsidRPr="00810398" w:rsidRDefault="00410071" w:rsidP="00D90A5D">
            <w:pPr>
              <w:pStyle w:val="TableText"/>
              <w:keepNext/>
              <w:tabs>
                <w:tab w:val="decimal" w:pos="458"/>
              </w:tabs>
              <w:rPr>
                <w:lang w:eastAsia="en-NZ"/>
              </w:rPr>
            </w:pPr>
            <w:r w:rsidRPr="004275A0">
              <w:rPr>
                <w:lang w:eastAsia="en-NZ"/>
              </w:rPr>
              <w:t>6.0</w:t>
            </w:r>
          </w:p>
        </w:tc>
        <w:tc>
          <w:tcPr>
            <w:tcW w:w="396" w:type="dxa"/>
            <w:tcBorders>
              <w:top w:val="nil"/>
              <w:bottom w:val="nil"/>
            </w:tcBorders>
            <w:shd w:val="clear" w:color="auto" w:fill="auto"/>
          </w:tcPr>
          <w:p w14:paraId="53A62F24" w14:textId="77777777" w:rsidR="00410071" w:rsidRPr="000C5A1A" w:rsidRDefault="00410071" w:rsidP="00D90A5D">
            <w:pPr>
              <w:pStyle w:val="TableText"/>
              <w:keepNext/>
              <w:rPr>
                <w:lang w:eastAsia="en-NZ"/>
              </w:rPr>
            </w:pPr>
          </w:p>
        </w:tc>
        <w:tc>
          <w:tcPr>
            <w:tcW w:w="1350" w:type="dxa"/>
          </w:tcPr>
          <w:p w14:paraId="296B5571" w14:textId="77777777" w:rsidR="00410071" w:rsidRPr="00810398" w:rsidRDefault="00410071" w:rsidP="00D90A5D">
            <w:pPr>
              <w:pStyle w:val="TableText"/>
              <w:keepNext/>
              <w:rPr>
                <w:lang w:eastAsia="en-NZ"/>
              </w:rPr>
            </w:pPr>
            <w:r w:rsidRPr="000C5A1A">
              <w:rPr>
                <w:lang w:eastAsia="en-NZ"/>
              </w:rPr>
              <w:t>Waikato</w:t>
            </w:r>
          </w:p>
        </w:tc>
        <w:tc>
          <w:tcPr>
            <w:tcW w:w="765" w:type="dxa"/>
          </w:tcPr>
          <w:p w14:paraId="15B98FF8" w14:textId="77777777" w:rsidR="00410071" w:rsidRPr="00810398" w:rsidRDefault="00410071" w:rsidP="00D90A5D">
            <w:pPr>
              <w:pStyle w:val="TableText"/>
              <w:keepNext/>
              <w:tabs>
                <w:tab w:val="decimal" w:pos="397"/>
              </w:tabs>
              <w:rPr>
                <w:lang w:eastAsia="en-NZ"/>
              </w:rPr>
            </w:pPr>
            <w:r>
              <w:rPr>
                <w:lang w:eastAsia="en-NZ"/>
              </w:rPr>
              <w:t>15</w:t>
            </w:r>
          </w:p>
        </w:tc>
        <w:tc>
          <w:tcPr>
            <w:tcW w:w="709" w:type="dxa"/>
          </w:tcPr>
          <w:p w14:paraId="0AD4CE40" w14:textId="77777777" w:rsidR="00410071" w:rsidRPr="00810398" w:rsidRDefault="00410071" w:rsidP="00D90A5D">
            <w:pPr>
              <w:pStyle w:val="TableText"/>
              <w:keepNext/>
              <w:tabs>
                <w:tab w:val="decimal" w:pos="397"/>
              </w:tabs>
              <w:rPr>
                <w:lang w:eastAsia="en-NZ"/>
              </w:rPr>
            </w:pPr>
            <w:r>
              <w:rPr>
                <w:lang w:eastAsia="en-NZ"/>
              </w:rPr>
              <w:t>2</w:t>
            </w:r>
          </w:p>
        </w:tc>
        <w:tc>
          <w:tcPr>
            <w:tcW w:w="1052" w:type="dxa"/>
          </w:tcPr>
          <w:p w14:paraId="20F926B9" w14:textId="77777777" w:rsidR="00410071" w:rsidRPr="00810398" w:rsidRDefault="00410071" w:rsidP="00D90A5D">
            <w:pPr>
              <w:pStyle w:val="TableText"/>
              <w:keepNext/>
              <w:jc w:val="center"/>
              <w:rPr>
                <w:lang w:eastAsia="en-NZ"/>
              </w:rPr>
            </w:pPr>
            <w:r>
              <w:rPr>
                <w:lang w:eastAsia="en-NZ"/>
              </w:rPr>
              <w:t>8.3</w:t>
            </w:r>
          </w:p>
        </w:tc>
      </w:tr>
      <w:tr w:rsidR="00410071" w:rsidRPr="000C5A1A" w14:paraId="1B5D4D30" w14:textId="77777777" w:rsidTr="00891169">
        <w:trPr>
          <w:cantSplit/>
        </w:trPr>
        <w:tc>
          <w:tcPr>
            <w:tcW w:w="1209" w:type="dxa"/>
            <w:shd w:val="clear" w:color="auto" w:fill="auto"/>
            <w:noWrap/>
            <w:hideMark/>
          </w:tcPr>
          <w:p w14:paraId="295FA82B" w14:textId="77777777" w:rsidR="00410071" w:rsidRPr="000C5A1A" w:rsidRDefault="00410071" w:rsidP="00D90A5D">
            <w:pPr>
              <w:pStyle w:val="TableText"/>
              <w:keepNext/>
              <w:rPr>
                <w:lang w:eastAsia="en-NZ"/>
              </w:rPr>
            </w:pPr>
            <w:r w:rsidRPr="000C5A1A">
              <w:rPr>
                <w:lang w:eastAsia="en-NZ"/>
              </w:rPr>
              <w:t>Counties Manukau</w:t>
            </w:r>
          </w:p>
        </w:tc>
        <w:tc>
          <w:tcPr>
            <w:tcW w:w="776" w:type="dxa"/>
            <w:shd w:val="clear" w:color="auto" w:fill="auto"/>
            <w:noWrap/>
            <w:hideMark/>
          </w:tcPr>
          <w:p w14:paraId="55C33F74" w14:textId="77777777" w:rsidR="00410071" w:rsidRPr="00810398" w:rsidRDefault="00410071" w:rsidP="00D90A5D">
            <w:pPr>
              <w:pStyle w:val="TableText"/>
              <w:keepNext/>
              <w:tabs>
                <w:tab w:val="decimal" w:pos="397"/>
              </w:tabs>
              <w:rPr>
                <w:lang w:eastAsia="en-NZ"/>
              </w:rPr>
            </w:pPr>
            <w:r w:rsidRPr="004275A0">
              <w:rPr>
                <w:lang w:eastAsia="en-NZ"/>
              </w:rPr>
              <w:t>2</w:t>
            </w:r>
          </w:p>
        </w:tc>
        <w:tc>
          <w:tcPr>
            <w:tcW w:w="851" w:type="dxa"/>
            <w:shd w:val="clear" w:color="auto" w:fill="auto"/>
            <w:noWrap/>
            <w:hideMark/>
          </w:tcPr>
          <w:p w14:paraId="3E662A12" w14:textId="77777777" w:rsidR="00410071" w:rsidRPr="00810398" w:rsidRDefault="00410071" w:rsidP="00D90A5D">
            <w:pPr>
              <w:pStyle w:val="TableText"/>
              <w:keepNext/>
              <w:tabs>
                <w:tab w:val="decimal" w:pos="397"/>
              </w:tabs>
              <w:rPr>
                <w:lang w:eastAsia="en-NZ"/>
              </w:rPr>
            </w:pPr>
            <w:r w:rsidRPr="004275A0">
              <w:rPr>
                <w:lang w:eastAsia="en-NZ"/>
              </w:rPr>
              <w:t>1</w:t>
            </w:r>
          </w:p>
        </w:tc>
        <w:tc>
          <w:tcPr>
            <w:tcW w:w="1032" w:type="dxa"/>
            <w:shd w:val="clear" w:color="auto" w:fill="auto"/>
            <w:noWrap/>
            <w:hideMark/>
          </w:tcPr>
          <w:p w14:paraId="7068C1B6" w14:textId="77777777" w:rsidR="00410071" w:rsidRPr="00810398" w:rsidRDefault="00410071" w:rsidP="00D90A5D">
            <w:pPr>
              <w:pStyle w:val="TableText"/>
              <w:keepNext/>
              <w:tabs>
                <w:tab w:val="decimal" w:pos="458"/>
              </w:tabs>
              <w:rPr>
                <w:lang w:eastAsia="en-NZ"/>
              </w:rPr>
            </w:pPr>
            <w:r w:rsidRPr="004275A0">
              <w:rPr>
                <w:lang w:eastAsia="en-NZ"/>
              </w:rPr>
              <w:t>1.7</w:t>
            </w:r>
          </w:p>
        </w:tc>
        <w:tc>
          <w:tcPr>
            <w:tcW w:w="396" w:type="dxa"/>
            <w:tcBorders>
              <w:top w:val="nil"/>
              <w:bottom w:val="nil"/>
            </w:tcBorders>
            <w:shd w:val="clear" w:color="auto" w:fill="auto"/>
          </w:tcPr>
          <w:p w14:paraId="7DDC66C3" w14:textId="77777777" w:rsidR="00410071" w:rsidRPr="000C5A1A" w:rsidRDefault="00410071" w:rsidP="00D90A5D">
            <w:pPr>
              <w:pStyle w:val="TableText"/>
              <w:keepNext/>
              <w:rPr>
                <w:lang w:eastAsia="en-NZ"/>
              </w:rPr>
            </w:pPr>
          </w:p>
        </w:tc>
        <w:tc>
          <w:tcPr>
            <w:tcW w:w="1350" w:type="dxa"/>
          </w:tcPr>
          <w:p w14:paraId="0B5F4C97" w14:textId="77777777" w:rsidR="00410071" w:rsidRPr="00810398" w:rsidRDefault="00410071" w:rsidP="00D90A5D">
            <w:pPr>
              <w:pStyle w:val="TableText"/>
              <w:keepNext/>
              <w:rPr>
                <w:lang w:eastAsia="en-NZ"/>
              </w:rPr>
            </w:pPr>
            <w:r w:rsidRPr="000C5A1A">
              <w:rPr>
                <w:lang w:eastAsia="en-NZ"/>
              </w:rPr>
              <w:t>Waitematā</w:t>
            </w:r>
          </w:p>
        </w:tc>
        <w:tc>
          <w:tcPr>
            <w:tcW w:w="765" w:type="dxa"/>
          </w:tcPr>
          <w:p w14:paraId="6209F92C" w14:textId="77777777" w:rsidR="00410071" w:rsidRPr="00810398" w:rsidRDefault="00410071" w:rsidP="00D90A5D">
            <w:pPr>
              <w:pStyle w:val="TableText"/>
              <w:keepNext/>
              <w:tabs>
                <w:tab w:val="decimal" w:pos="397"/>
              </w:tabs>
              <w:rPr>
                <w:lang w:eastAsia="en-NZ"/>
              </w:rPr>
            </w:pPr>
            <w:r>
              <w:rPr>
                <w:lang w:eastAsia="en-NZ"/>
              </w:rPr>
              <w:t>9</w:t>
            </w:r>
          </w:p>
        </w:tc>
        <w:tc>
          <w:tcPr>
            <w:tcW w:w="709" w:type="dxa"/>
          </w:tcPr>
          <w:p w14:paraId="33A8EF4B" w14:textId="77777777" w:rsidR="00410071" w:rsidRPr="00810398" w:rsidRDefault="00410071" w:rsidP="00D90A5D">
            <w:pPr>
              <w:pStyle w:val="TableText"/>
              <w:keepNext/>
              <w:tabs>
                <w:tab w:val="decimal" w:pos="397"/>
              </w:tabs>
              <w:rPr>
                <w:lang w:eastAsia="en-NZ"/>
              </w:rPr>
            </w:pPr>
            <w:r>
              <w:rPr>
                <w:lang w:eastAsia="en-NZ"/>
              </w:rPr>
              <w:t>3</w:t>
            </w:r>
          </w:p>
        </w:tc>
        <w:tc>
          <w:tcPr>
            <w:tcW w:w="1052" w:type="dxa"/>
          </w:tcPr>
          <w:p w14:paraId="72F0CFB5" w14:textId="77777777" w:rsidR="00410071" w:rsidRPr="00810398" w:rsidRDefault="00410071" w:rsidP="00D90A5D">
            <w:pPr>
              <w:pStyle w:val="TableText"/>
              <w:keepNext/>
              <w:jc w:val="center"/>
              <w:rPr>
                <w:lang w:eastAsia="en-NZ"/>
              </w:rPr>
            </w:pPr>
            <w:r>
              <w:rPr>
                <w:lang w:eastAsia="en-NZ"/>
              </w:rPr>
              <w:t>3.0</w:t>
            </w:r>
          </w:p>
        </w:tc>
      </w:tr>
      <w:tr w:rsidR="00410071" w:rsidRPr="000C5A1A" w14:paraId="00491117" w14:textId="77777777" w:rsidTr="00891169">
        <w:trPr>
          <w:cantSplit/>
        </w:trPr>
        <w:tc>
          <w:tcPr>
            <w:tcW w:w="1209" w:type="dxa"/>
            <w:shd w:val="clear" w:color="auto" w:fill="auto"/>
            <w:noWrap/>
            <w:hideMark/>
          </w:tcPr>
          <w:p w14:paraId="6566FCC8" w14:textId="77777777" w:rsidR="00410071" w:rsidRPr="000C5A1A" w:rsidRDefault="00410071" w:rsidP="00D90A5D">
            <w:pPr>
              <w:pStyle w:val="TableText"/>
              <w:keepNext/>
              <w:rPr>
                <w:lang w:eastAsia="en-NZ"/>
              </w:rPr>
            </w:pPr>
            <w:r w:rsidRPr="000C5A1A">
              <w:rPr>
                <w:lang w:eastAsia="en-NZ"/>
              </w:rPr>
              <w:t>Hawke</w:t>
            </w:r>
            <w:r w:rsidR="0039221C">
              <w:rPr>
                <w:lang w:eastAsia="en-NZ"/>
              </w:rPr>
              <w:t>’</w:t>
            </w:r>
            <w:r w:rsidRPr="000C5A1A">
              <w:rPr>
                <w:lang w:eastAsia="en-NZ"/>
              </w:rPr>
              <w:t>s Bay</w:t>
            </w:r>
          </w:p>
        </w:tc>
        <w:tc>
          <w:tcPr>
            <w:tcW w:w="776" w:type="dxa"/>
            <w:shd w:val="clear" w:color="auto" w:fill="auto"/>
            <w:noWrap/>
            <w:hideMark/>
          </w:tcPr>
          <w:p w14:paraId="3AFC7666" w14:textId="77777777" w:rsidR="00410071" w:rsidRPr="00810398" w:rsidRDefault="00410071" w:rsidP="00D90A5D">
            <w:pPr>
              <w:pStyle w:val="TableText"/>
              <w:keepNext/>
              <w:tabs>
                <w:tab w:val="decimal" w:pos="397"/>
              </w:tabs>
              <w:rPr>
                <w:lang w:eastAsia="en-NZ"/>
              </w:rPr>
            </w:pPr>
            <w:r w:rsidRPr="004275A0">
              <w:rPr>
                <w:lang w:eastAsia="en-NZ"/>
              </w:rPr>
              <w:t>2</w:t>
            </w:r>
          </w:p>
        </w:tc>
        <w:tc>
          <w:tcPr>
            <w:tcW w:w="851" w:type="dxa"/>
            <w:shd w:val="clear" w:color="auto" w:fill="auto"/>
            <w:noWrap/>
            <w:hideMark/>
          </w:tcPr>
          <w:p w14:paraId="0256F68F" w14:textId="77777777" w:rsidR="00410071" w:rsidRPr="00810398" w:rsidRDefault="00410071" w:rsidP="00D90A5D">
            <w:pPr>
              <w:pStyle w:val="TableText"/>
              <w:keepNext/>
              <w:tabs>
                <w:tab w:val="decimal" w:pos="397"/>
              </w:tabs>
              <w:rPr>
                <w:lang w:eastAsia="en-NZ"/>
              </w:rPr>
            </w:pPr>
            <w:r w:rsidRPr="004275A0">
              <w:rPr>
                <w:lang w:eastAsia="en-NZ"/>
              </w:rPr>
              <w:t>1</w:t>
            </w:r>
          </w:p>
        </w:tc>
        <w:tc>
          <w:tcPr>
            <w:tcW w:w="1032" w:type="dxa"/>
            <w:shd w:val="clear" w:color="auto" w:fill="auto"/>
            <w:noWrap/>
            <w:hideMark/>
          </w:tcPr>
          <w:p w14:paraId="5D3D74B5" w14:textId="77777777" w:rsidR="00410071" w:rsidRPr="00810398" w:rsidRDefault="00410071" w:rsidP="00D90A5D">
            <w:pPr>
              <w:pStyle w:val="TableText"/>
              <w:keepNext/>
              <w:tabs>
                <w:tab w:val="decimal" w:pos="458"/>
              </w:tabs>
              <w:rPr>
                <w:lang w:eastAsia="en-NZ"/>
              </w:rPr>
            </w:pPr>
            <w:r w:rsidRPr="004275A0">
              <w:rPr>
                <w:lang w:eastAsia="en-NZ"/>
              </w:rPr>
              <w:t>2.6</w:t>
            </w:r>
          </w:p>
        </w:tc>
        <w:tc>
          <w:tcPr>
            <w:tcW w:w="396" w:type="dxa"/>
            <w:tcBorders>
              <w:top w:val="nil"/>
              <w:bottom w:val="nil"/>
            </w:tcBorders>
            <w:shd w:val="clear" w:color="auto" w:fill="auto"/>
          </w:tcPr>
          <w:p w14:paraId="19B33CC5" w14:textId="77777777" w:rsidR="00410071" w:rsidRPr="000C5A1A" w:rsidRDefault="00410071" w:rsidP="00D90A5D">
            <w:pPr>
              <w:pStyle w:val="TableText"/>
              <w:keepNext/>
              <w:rPr>
                <w:lang w:eastAsia="en-NZ"/>
              </w:rPr>
            </w:pPr>
          </w:p>
        </w:tc>
        <w:tc>
          <w:tcPr>
            <w:tcW w:w="1350" w:type="dxa"/>
          </w:tcPr>
          <w:p w14:paraId="0C2F0319" w14:textId="77777777" w:rsidR="00410071" w:rsidRPr="00810398" w:rsidRDefault="00410071" w:rsidP="00D90A5D">
            <w:pPr>
              <w:pStyle w:val="TableText"/>
              <w:keepNext/>
              <w:rPr>
                <w:lang w:eastAsia="en-NZ"/>
              </w:rPr>
            </w:pPr>
            <w:r w:rsidRPr="000C5A1A">
              <w:rPr>
                <w:lang w:eastAsia="en-NZ"/>
              </w:rPr>
              <w:t>West Coast</w:t>
            </w:r>
          </w:p>
        </w:tc>
        <w:tc>
          <w:tcPr>
            <w:tcW w:w="765" w:type="dxa"/>
          </w:tcPr>
          <w:p w14:paraId="02968C09" w14:textId="77777777" w:rsidR="00410071" w:rsidRPr="00810398" w:rsidRDefault="00410071" w:rsidP="00D90A5D">
            <w:pPr>
              <w:pStyle w:val="TableText"/>
              <w:keepNext/>
              <w:tabs>
                <w:tab w:val="decimal" w:pos="397"/>
              </w:tabs>
              <w:rPr>
                <w:lang w:eastAsia="en-NZ"/>
              </w:rPr>
            </w:pPr>
            <w:r>
              <w:rPr>
                <w:lang w:eastAsia="en-NZ"/>
              </w:rPr>
              <w:t>–</w:t>
            </w:r>
          </w:p>
        </w:tc>
        <w:tc>
          <w:tcPr>
            <w:tcW w:w="709" w:type="dxa"/>
          </w:tcPr>
          <w:p w14:paraId="6486E05A" w14:textId="77777777" w:rsidR="00410071" w:rsidRPr="00810398" w:rsidRDefault="00410071" w:rsidP="00D90A5D">
            <w:pPr>
              <w:pStyle w:val="TableText"/>
              <w:keepNext/>
              <w:tabs>
                <w:tab w:val="decimal" w:pos="397"/>
              </w:tabs>
              <w:rPr>
                <w:lang w:eastAsia="en-NZ"/>
              </w:rPr>
            </w:pPr>
            <w:r>
              <w:rPr>
                <w:lang w:eastAsia="en-NZ"/>
              </w:rPr>
              <w:t>4</w:t>
            </w:r>
          </w:p>
        </w:tc>
        <w:tc>
          <w:tcPr>
            <w:tcW w:w="1052" w:type="dxa"/>
          </w:tcPr>
          <w:p w14:paraId="2559C78C" w14:textId="77777777" w:rsidR="00410071" w:rsidRPr="00810398" w:rsidRDefault="00410071" w:rsidP="00D90A5D">
            <w:pPr>
              <w:pStyle w:val="TableText"/>
              <w:keepNext/>
              <w:jc w:val="center"/>
              <w:rPr>
                <w:lang w:eastAsia="en-NZ"/>
              </w:rPr>
            </w:pPr>
            <w:r>
              <w:rPr>
                <w:lang w:eastAsia="en-NZ"/>
              </w:rPr>
              <w:t>–</w:t>
            </w:r>
          </w:p>
        </w:tc>
      </w:tr>
      <w:tr w:rsidR="00410071" w:rsidRPr="000C5A1A" w14:paraId="7D530AE5" w14:textId="77777777" w:rsidTr="00891169">
        <w:trPr>
          <w:cantSplit/>
        </w:trPr>
        <w:tc>
          <w:tcPr>
            <w:tcW w:w="1209" w:type="dxa"/>
            <w:shd w:val="clear" w:color="auto" w:fill="auto"/>
            <w:noWrap/>
            <w:hideMark/>
          </w:tcPr>
          <w:p w14:paraId="0E2160EC" w14:textId="77777777" w:rsidR="00410071" w:rsidRPr="000C5A1A" w:rsidRDefault="00410071" w:rsidP="00D90A5D">
            <w:pPr>
              <w:pStyle w:val="TableText"/>
              <w:keepNext/>
              <w:rPr>
                <w:lang w:eastAsia="en-NZ"/>
              </w:rPr>
            </w:pPr>
            <w:r w:rsidRPr="000C5A1A">
              <w:rPr>
                <w:lang w:eastAsia="en-NZ"/>
              </w:rPr>
              <w:t>Hutt Valley</w:t>
            </w:r>
          </w:p>
        </w:tc>
        <w:tc>
          <w:tcPr>
            <w:tcW w:w="776" w:type="dxa"/>
            <w:shd w:val="clear" w:color="auto" w:fill="auto"/>
            <w:noWrap/>
            <w:hideMark/>
          </w:tcPr>
          <w:p w14:paraId="318FEEBD" w14:textId="77777777" w:rsidR="00410071" w:rsidRPr="00810398" w:rsidRDefault="00410071" w:rsidP="00D90A5D">
            <w:pPr>
              <w:pStyle w:val="TableText"/>
              <w:keepNext/>
              <w:tabs>
                <w:tab w:val="decimal" w:pos="397"/>
              </w:tabs>
              <w:rPr>
                <w:lang w:eastAsia="en-NZ"/>
              </w:rPr>
            </w:pPr>
            <w:r w:rsidRPr="004275A0">
              <w:rPr>
                <w:lang w:eastAsia="en-NZ"/>
              </w:rPr>
              <w:t>4</w:t>
            </w:r>
          </w:p>
        </w:tc>
        <w:tc>
          <w:tcPr>
            <w:tcW w:w="851" w:type="dxa"/>
            <w:shd w:val="clear" w:color="auto" w:fill="auto"/>
            <w:noWrap/>
            <w:hideMark/>
          </w:tcPr>
          <w:p w14:paraId="79C6A8EC" w14:textId="77777777" w:rsidR="00410071" w:rsidRPr="00810398" w:rsidRDefault="00410071" w:rsidP="00D90A5D">
            <w:pPr>
              <w:pStyle w:val="TableText"/>
              <w:keepNext/>
              <w:tabs>
                <w:tab w:val="decimal" w:pos="397"/>
              </w:tabs>
              <w:rPr>
                <w:lang w:eastAsia="en-NZ"/>
              </w:rPr>
            </w:pPr>
            <w:r w:rsidRPr="004275A0">
              <w:rPr>
                <w:lang w:eastAsia="en-NZ"/>
              </w:rPr>
              <w:t>2</w:t>
            </w:r>
          </w:p>
        </w:tc>
        <w:tc>
          <w:tcPr>
            <w:tcW w:w="1032" w:type="dxa"/>
            <w:shd w:val="clear" w:color="auto" w:fill="auto"/>
            <w:noWrap/>
            <w:hideMark/>
          </w:tcPr>
          <w:p w14:paraId="554B571A" w14:textId="77777777" w:rsidR="00410071" w:rsidRPr="00810398" w:rsidRDefault="00410071" w:rsidP="00D90A5D">
            <w:pPr>
              <w:pStyle w:val="TableText"/>
              <w:keepNext/>
              <w:tabs>
                <w:tab w:val="decimal" w:pos="458"/>
              </w:tabs>
              <w:rPr>
                <w:lang w:eastAsia="en-NZ"/>
              </w:rPr>
            </w:pPr>
            <w:r w:rsidRPr="004275A0">
              <w:rPr>
                <w:lang w:eastAsia="en-NZ"/>
              </w:rPr>
              <w:t>2.3</w:t>
            </w:r>
          </w:p>
        </w:tc>
        <w:tc>
          <w:tcPr>
            <w:tcW w:w="396" w:type="dxa"/>
            <w:tcBorders>
              <w:top w:val="nil"/>
              <w:bottom w:val="nil"/>
            </w:tcBorders>
            <w:shd w:val="clear" w:color="auto" w:fill="auto"/>
          </w:tcPr>
          <w:p w14:paraId="4659538A" w14:textId="77777777" w:rsidR="00410071" w:rsidRPr="000C5A1A" w:rsidRDefault="00410071" w:rsidP="00D90A5D">
            <w:pPr>
              <w:pStyle w:val="TableText"/>
              <w:keepNext/>
              <w:rPr>
                <w:lang w:eastAsia="en-NZ"/>
              </w:rPr>
            </w:pPr>
          </w:p>
        </w:tc>
        <w:tc>
          <w:tcPr>
            <w:tcW w:w="1350" w:type="dxa"/>
          </w:tcPr>
          <w:p w14:paraId="6BE6BFD4" w14:textId="77777777" w:rsidR="00410071" w:rsidRPr="00810398" w:rsidRDefault="00410071" w:rsidP="00D90A5D">
            <w:pPr>
              <w:pStyle w:val="TableText"/>
              <w:keepNext/>
              <w:rPr>
                <w:lang w:eastAsia="en-NZ"/>
              </w:rPr>
            </w:pPr>
            <w:r w:rsidRPr="000C5A1A">
              <w:rPr>
                <w:lang w:eastAsia="en-NZ"/>
              </w:rPr>
              <w:t>Whanganui</w:t>
            </w:r>
          </w:p>
        </w:tc>
        <w:tc>
          <w:tcPr>
            <w:tcW w:w="765" w:type="dxa"/>
          </w:tcPr>
          <w:p w14:paraId="0E5A1B09" w14:textId="77777777" w:rsidR="00410071" w:rsidRPr="00810398" w:rsidRDefault="00410071" w:rsidP="00D90A5D">
            <w:pPr>
              <w:pStyle w:val="TableText"/>
              <w:keepNext/>
              <w:tabs>
                <w:tab w:val="decimal" w:pos="397"/>
              </w:tabs>
              <w:rPr>
                <w:lang w:eastAsia="en-NZ"/>
              </w:rPr>
            </w:pPr>
            <w:r>
              <w:rPr>
                <w:lang w:eastAsia="en-NZ"/>
              </w:rPr>
              <w:t>16</w:t>
            </w:r>
          </w:p>
        </w:tc>
        <w:tc>
          <w:tcPr>
            <w:tcW w:w="709" w:type="dxa"/>
          </w:tcPr>
          <w:p w14:paraId="31CBD4DA" w14:textId="77777777" w:rsidR="00410071" w:rsidRPr="00810398" w:rsidRDefault="00410071" w:rsidP="00D90A5D">
            <w:pPr>
              <w:pStyle w:val="TableText"/>
              <w:keepNext/>
              <w:tabs>
                <w:tab w:val="decimal" w:pos="397"/>
              </w:tabs>
              <w:rPr>
                <w:lang w:eastAsia="en-NZ"/>
              </w:rPr>
            </w:pPr>
            <w:r>
              <w:rPr>
                <w:lang w:eastAsia="en-NZ"/>
              </w:rPr>
              <w:t>10</w:t>
            </w:r>
          </w:p>
        </w:tc>
        <w:tc>
          <w:tcPr>
            <w:tcW w:w="1052" w:type="dxa"/>
          </w:tcPr>
          <w:p w14:paraId="73B18BF4" w14:textId="77777777" w:rsidR="00410071" w:rsidRPr="00810398" w:rsidRDefault="00410071" w:rsidP="00D90A5D">
            <w:pPr>
              <w:pStyle w:val="TableText"/>
              <w:keepNext/>
              <w:jc w:val="center"/>
              <w:rPr>
                <w:lang w:eastAsia="en-NZ"/>
              </w:rPr>
            </w:pPr>
            <w:r>
              <w:rPr>
                <w:lang w:eastAsia="en-NZ"/>
              </w:rPr>
              <w:t>1.5</w:t>
            </w:r>
          </w:p>
        </w:tc>
      </w:tr>
      <w:tr w:rsidR="00410071" w:rsidRPr="000C5A1A" w14:paraId="580A3F38" w14:textId="77777777" w:rsidTr="00891169">
        <w:trPr>
          <w:cantSplit/>
        </w:trPr>
        <w:tc>
          <w:tcPr>
            <w:tcW w:w="1209" w:type="dxa"/>
            <w:shd w:val="clear" w:color="auto" w:fill="auto"/>
            <w:noWrap/>
            <w:hideMark/>
          </w:tcPr>
          <w:p w14:paraId="75D5EBC0" w14:textId="77777777" w:rsidR="00410071" w:rsidRPr="000C5A1A" w:rsidRDefault="00410071" w:rsidP="00D90A5D">
            <w:pPr>
              <w:pStyle w:val="TableText"/>
              <w:keepNext/>
              <w:rPr>
                <w:lang w:eastAsia="en-NZ"/>
              </w:rPr>
            </w:pPr>
            <w:r w:rsidRPr="000C5A1A">
              <w:rPr>
                <w:lang w:eastAsia="en-NZ"/>
              </w:rPr>
              <w:t>MidCentral</w:t>
            </w:r>
          </w:p>
        </w:tc>
        <w:tc>
          <w:tcPr>
            <w:tcW w:w="776" w:type="dxa"/>
            <w:shd w:val="clear" w:color="auto" w:fill="auto"/>
            <w:noWrap/>
            <w:hideMark/>
          </w:tcPr>
          <w:p w14:paraId="2AC208A2" w14:textId="77777777" w:rsidR="00410071" w:rsidRPr="00810398" w:rsidRDefault="00410071" w:rsidP="00D90A5D">
            <w:pPr>
              <w:pStyle w:val="TableText"/>
              <w:keepNext/>
              <w:tabs>
                <w:tab w:val="decimal" w:pos="397"/>
              </w:tabs>
              <w:rPr>
                <w:lang w:eastAsia="en-NZ"/>
              </w:rPr>
            </w:pPr>
            <w:r w:rsidRPr="004275A0">
              <w:rPr>
                <w:lang w:eastAsia="en-NZ"/>
              </w:rPr>
              <w:t>5</w:t>
            </w:r>
          </w:p>
        </w:tc>
        <w:tc>
          <w:tcPr>
            <w:tcW w:w="851" w:type="dxa"/>
            <w:shd w:val="clear" w:color="auto" w:fill="auto"/>
            <w:noWrap/>
            <w:hideMark/>
          </w:tcPr>
          <w:p w14:paraId="70D1E745" w14:textId="77777777" w:rsidR="00410071" w:rsidRPr="00810398" w:rsidRDefault="00410071" w:rsidP="00D90A5D">
            <w:pPr>
              <w:pStyle w:val="TableText"/>
              <w:keepNext/>
              <w:tabs>
                <w:tab w:val="decimal" w:pos="397"/>
              </w:tabs>
              <w:rPr>
                <w:lang w:eastAsia="en-NZ"/>
              </w:rPr>
            </w:pPr>
            <w:r w:rsidRPr="004275A0">
              <w:rPr>
                <w:lang w:eastAsia="en-NZ"/>
              </w:rPr>
              <w:t>2</w:t>
            </w:r>
          </w:p>
        </w:tc>
        <w:tc>
          <w:tcPr>
            <w:tcW w:w="1032" w:type="dxa"/>
            <w:shd w:val="clear" w:color="auto" w:fill="auto"/>
            <w:noWrap/>
            <w:hideMark/>
          </w:tcPr>
          <w:p w14:paraId="3FA239A7" w14:textId="77777777" w:rsidR="00410071" w:rsidRPr="00810398" w:rsidRDefault="00410071" w:rsidP="00D90A5D">
            <w:pPr>
              <w:pStyle w:val="TableText"/>
              <w:keepNext/>
              <w:tabs>
                <w:tab w:val="decimal" w:pos="458"/>
              </w:tabs>
              <w:rPr>
                <w:lang w:eastAsia="en-NZ"/>
              </w:rPr>
            </w:pPr>
            <w:r w:rsidRPr="004275A0">
              <w:rPr>
                <w:lang w:eastAsia="en-NZ"/>
              </w:rPr>
              <w:t>2.5</w:t>
            </w:r>
          </w:p>
        </w:tc>
        <w:tc>
          <w:tcPr>
            <w:tcW w:w="396" w:type="dxa"/>
            <w:tcBorders>
              <w:top w:val="nil"/>
              <w:bottom w:val="nil"/>
            </w:tcBorders>
            <w:shd w:val="clear" w:color="auto" w:fill="auto"/>
          </w:tcPr>
          <w:p w14:paraId="4D8A919C" w14:textId="77777777" w:rsidR="00410071" w:rsidRPr="000C5A1A" w:rsidRDefault="00410071" w:rsidP="00D90A5D">
            <w:pPr>
              <w:pStyle w:val="TableText"/>
              <w:keepNext/>
              <w:rPr>
                <w:lang w:eastAsia="en-NZ"/>
              </w:rPr>
            </w:pPr>
          </w:p>
        </w:tc>
        <w:tc>
          <w:tcPr>
            <w:tcW w:w="1350" w:type="dxa"/>
          </w:tcPr>
          <w:p w14:paraId="5800F49F" w14:textId="77777777" w:rsidR="00410071" w:rsidRPr="00810398" w:rsidRDefault="00410071" w:rsidP="00D90A5D">
            <w:pPr>
              <w:pStyle w:val="TableText"/>
              <w:keepNext/>
              <w:rPr>
                <w:lang w:eastAsia="en-NZ"/>
              </w:rPr>
            </w:pPr>
            <w:r>
              <w:rPr>
                <w:lang w:eastAsia="en-NZ"/>
              </w:rPr>
              <w:t>National total</w:t>
            </w:r>
          </w:p>
        </w:tc>
        <w:tc>
          <w:tcPr>
            <w:tcW w:w="765" w:type="dxa"/>
          </w:tcPr>
          <w:p w14:paraId="37B567A1" w14:textId="77777777" w:rsidR="00410071" w:rsidRPr="004275A0" w:rsidRDefault="00410071" w:rsidP="00D90A5D">
            <w:pPr>
              <w:pStyle w:val="TableText"/>
              <w:keepNext/>
              <w:tabs>
                <w:tab w:val="decimal" w:pos="397"/>
              </w:tabs>
              <w:rPr>
                <w:lang w:eastAsia="en-NZ"/>
              </w:rPr>
            </w:pPr>
            <w:r w:rsidRPr="004275A0">
              <w:rPr>
                <w:lang w:eastAsia="en-NZ"/>
              </w:rPr>
              <w:t>8</w:t>
            </w:r>
          </w:p>
        </w:tc>
        <w:tc>
          <w:tcPr>
            <w:tcW w:w="709" w:type="dxa"/>
          </w:tcPr>
          <w:p w14:paraId="45556C98" w14:textId="77777777" w:rsidR="00410071" w:rsidRPr="004275A0" w:rsidRDefault="00410071" w:rsidP="00D90A5D">
            <w:pPr>
              <w:pStyle w:val="TableText"/>
              <w:keepNext/>
              <w:tabs>
                <w:tab w:val="decimal" w:pos="397"/>
              </w:tabs>
              <w:rPr>
                <w:lang w:eastAsia="en-NZ"/>
              </w:rPr>
            </w:pPr>
            <w:r w:rsidRPr="004275A0">
              <w:rPr>
                <w:lang w:eastAsia="en-NZ"/>
              </w:rPr>
              <w:t>3</w:t>
            </w:r>
          </w:p>
        </w:tc>
        <w:tc>
          <w:tcPr>
            <w:tcW w:w="1052" w:type="dxa"/>
          </w:tcPr>
          <w:p w14:paraId="7933ECA4" w14:textId="77777777" w:rsidR="00410071" w:rsidRPr="004275A0" w:rsidRDefault="00410071" w:rsidP="00D90A5D">
            <w:pPr>
              <w:pStyle w:val="TableText"/>
              <w:keepNext/>
              <w:jc w:val="center"/>
              <w:rPr>
                <w:lang w:eastAsia="en-NZ"/>
              </w:rPr>
            </w:pPr>
            <w:r w:rsidRPr="004275A0">
              <w:rPr>
                <w:lang w:eastAsia="en-NZ"/>
              </w:rPr>
              <w:t>2.0</w:t>
            </w:r>
          </w:p>
        </w:tc>
      </w:tr>
    </w:tbl>
    <w:p w14:paraId="1C283A10" w14:textId="77777777" w:rsidR="00410071" w:rsidRPr="00200234" w:rsidRDefault="00410071" w:rsidP="00891169">
      <w:pPr>
        <w:pStyle w:val="Note"/>
      </w:pPr>
      <w:r w:rsidRPr="00200234">
        <w:t xml:space="preserve">Note: </w:t>
      </w:r>
      <w:r>
        <w:t xml:space="preserve">Lakes, Northland, South Canterbury, </w:t>
      </w:r>
      <w:r w:rsidRPr="00200234">
        <w:t>Tairāwhiti and Wairarapa DHBs do not have indefinite inpatient treatment orders and are not included in this table.</w:t>
      </w:r>
    </w:p>
    <w:p w14:paraId="4E482ECF" w14:textId="77777777" w:rsidR="0039221C" w:rsidRDefault="00410071" w:rsidP="00891169">
      <w:pPr>
        <w:pStyle w:val="Source"/>
      </w:pPr>
      <w:r w:rsidRPr="00200234">
        <w:t>Sources: PRIMHD data</w:t>
      </w:r>
      <w:r>
        <w:t xml:space="preserve"> (extracted</w:t>
      </w:r>
      <w:r w:rsidRPr="00200234">
        <w:t xml:space="preserve"> </w:t>
      </w:r>
      <w:r>
        <w:t>1 July 2021)</w:t>
      </w:r>
      <w:r w:rsidRPr="00200234">
        <w:t xml:space="preserve"> and manual data </w:t>
      </w:r>
      <w:r>
        <w:t>from Counties Manukau DHB</w:t>
      </w:r>
      <w:r w:rsidRPr="00200234">
        <w:t>.</w:t>
      </w:r>
    </w:p>
    <w:p w14:paraId="4238A17A" w14:textId="77777777" w:rsidR="00410071" w:rsidRDefault="00410071" w:rsidP="00D90A5D"/>
    <w:p w14:paraId="11979CD7" w14:textId="00E84E74" w:rsidR="00410071" w:rsidRDefault="00410071" w:rsidP="00D90A5D">
      <w:pPr>
        <w:pStyle w:val="Figure"/>
      </w:pPr>
      <w:bookmarkStart w:id="211" w:name="_Toc85442499"/>
      <w:bookmarkStart w:id="212" w:name="_Toc85445913"/>
      <w:bookmarkStart w:id="213" w:name="_Toc87429970"/>
      <w:bookmarkStart w:id="214" w:name="_Toc88561402"/>
      <w:r>
        <w:t>Figure</w:t>
      </w:r>
      <w:r w:rsidR="00D90A5D">
        <w:t> </w:t>
      </w:r>
      <w:r w:rsidR="00592799">
        <w:fldChar w:fldCharType="begin"/>
      </w:r>
      <w:r w:rsidR="00592799">
        <w:instrText xml:space="preserve"> SEQ Figure \* ARABIC </w:instrText>
      </w:r>
      <w:r w:rsidR="00592799">
        <w:fldChar w:fldCharType="separate"/>
      </w:r>
      <w:r w:rsidR="00840F18">
        <w:rPr>
          <w:noProof/>
        </w:rPr>
        <w:t>21</w:t>
      </w:r>
      <w:r w:rsidR="00592799">
        <w:rPr>
          <w:noProof/>
        </w:rPr>
        <w:fldChar w:fldCharType="end"/>
      </w:r>
      <w:r w:rsidRPr="00200234">
        <w:t xml:space="preserve">: Rate ratio of Māori to non-Māori subject to indefinite inpatient treatment orders per 100,000 population, </w:t>
      </w:r>
      <w:r>
        <w:t xml:space="preserve">orders </w:t>
      </w:r>
      <w:r w:rsidRPr="00200234">
        <w:t xml:space="preserve">open </w:t>
      </w:r>
      <w:r>
        <w:t>at</w:t>
      </w:r>
      <w:r w:rsidRPr="00200234">
        <w:t xml:space="preserve"> 31 December </w:t>
      </w:r>
      <w:r>
        <w:t>2020</w:t>
      </w:r>
      <w:bookmarkEnd w:id="211"/>
      <w:bookmarkEnd w:id="212"/>
      <w:bookmarkEnd w:id="213"/>
      <w:bookmarkEnd w:id="214"/>
    </w:p>
    <w:p w14:paraId="00689D94" w14:textId="77777777" w:rsidR="00410071" w:rsidRPr="004275A0" w:rsidRDefault="00410071" w:rsidP="00410071">
      <w:r>
        <w:rPr>
          <w:noProof/>
          <w:lang w:eastAsia="en-NZ"/>
        </w:rPr>
        <w:drawing>
          <wp:inline distT="0" distB="0" distL="0" distR="0" wp14:anchorId="4C31DA6B" wp14:editId="1B973C6B">
            <wp:extent cx="5178829" cy="3025832"/>
            <wp:effectExtent l="0" t="0" r="0" b="3175"/>
            <wp:docPr id="25" name="Chart 25" descr="This graph shows that the ratio of Māori to non-Māori under indefinite inpatient treatment orders in 2020 was highest in Bay of Plenty at 11.6 to 1, with Waikato being the next highest at 8.3 to 1. The New Zealand average was just under 3 to 1. The lowest ratio was Southern at 0.6 to 1, with Counties Manukau and Whanganui being approximately 1.5 to 1.">
              <a:extLst xmlns:a="http://schemas.openxmlformats.org/drawingml/2006/main">
                <a:ext uri="{FF2B5EF4-FFF2-40B4-BE49-F238E27FC236}">
                  <a16:creationId xmlns:a16="http://schemas.microsoft.com/office/drawing/2014/main" id="{449E53EC-79B6-42D2-995C-270A4A597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871F674" w14:textId="77777777" w:rsidR="00410071" w:rsidRPr="00200234" w:rsidRDefault="00410071" w:rsidP="00D90A5D">
      <w:pPr>
        <w:pStyle w:val="Note"/>
      </w:pPr>
      <w:r w:rsidRPr="00200234">
        <w:t xml:space="preserve">Note: </w:t>
      </w:r>
      <w:r>
        <w:t xml:space="preserve">Lakes, Northland, South Canterbury, </w:t>
      </w:r>
      <w:r w:rsidRPr="00200234">
        <w:t>Tairāwhiti and Wairarapa DHBs do not have indefinite inpatient treatment order</w:t>
      </w:r>
      <w:r>
        <w:t>s, and Nelson Marlborough, Taranaki and West Coast DHBs have no Māori subject to indefinite inpatient treatment orders, so none of these DHBs have been included in this figure</w:t>
      </w:r>
      <w:r w:rsidRPr="00200234">
        <w:t>.</w:t>
      </w:r>
    </w:p>
    <w:p w14:paraId="5708A91E" w14:textId="77777777" w:rsidR="0039221C" w:rsidRDefault="00410071" w:rsidP="00D90A5D">
      <w:pPr>
        <w:pStyle w:val="Source"/>
      </w:pPr>
      <w:r w:rsidRPr="00200234">
        <w:t>Sources: PRIMHD data</w:t>
      </w:r>
      <w:r>
        <w:t xml:space="preserve"> (extracted</w:t>
      </w:r>
      <w:r w:rsidRPr="00200234">
        <w:t xml:space="preserve"> </w:t>
      </w:r>
      <w:r>
        <w:t>1 July 2021)</w:t>
      </w:r>
      <w:r w:rsidRPr="00200234">
        <w:t xml:space="preserve"> and manual data </w:t>
      </w:r>
      <w:r>
        <w:t>from Counties Manukau DHB</w:t>
      </w:r>
      <w:r w:rsidRPr="00200234">
        <w:t>.</w:t>
      </w:r>
    </w:p>
    <w:p w14:paraId="024CB81F" w14:textId="77777777" w:rsidR="00410071" w:rsidRPr="00200234" w:rsidRDefault="00410071" w:rsidP="00D90A5D"/>
    <w:p w14:paraId="54403708" w14:textId="56EC90C9" w:rsidR="0039221C" w:rsidRDefault="00410071" w:rsidP="00D90A5D">
      <w:pPr>
        <w:keepLines/>
      </w:pPr>
      <w:r w:rsidRPr="00200234">
        <w:lastRenderedPageBreak/>
        <w:t>In 20</w:t>
      </w:r>
      <w:r>
        <w:t>20</w:t>
      </w:r>
      <w:r w:rsidRPr="00200234">
        <w:t>,</w:t>
      </w:r>
      <w:r>
        <w:t xml:space="preserve"> males made up 77</w:t>
      </w:r>
      <w:r w:rsidRPr="00200234">
        <w:t xml:space="preserve"> percent of people subject to indefinite inpatient treatment orders (see </w:t>
      </w:r>
      <w:r>
        <w:fldChar w:fldCharType="begin"/>
      </w:r>
      <w:r>
        <w:instrText xml:space="preserve"> REF _Ref65850760 \h </w:instrText>
      </w:r>
      <w:r>
        <w:fldChar w:fldCharType="separate"/>
      </w:r>
      <w:r w:rsidR="00840F18">
        <w:t>Figure </w:t>
      </w:r>
      <w:r w:rsidR="00840F18">
        <w:rPr>
          <w:noProof/>
        </w:rPr>
        <w:t>22</w:t>
      </w:r>
      <w:r>
        <w:fldChar w:fldCharType="end"/>
      </w:r>
      <w:r w:rsidRPr="00200234">
        <w:t>). Similar to the findings for indefinite community treatment orders, this trend is consistent with the higher rate of males subject to compulsory treatment order applications.</w:t>
      </w:r>
    </w:p>
    <w:p w14:paraId="3E8C0979" w14:textId="77777777" w:rsidR="00410071" w:rsidRPr="00200234" w:rsidRDefault="00410071" w:rsidP="00D90A5D"/>
    <w:p w14:paraId="1D543017" w14:textId="5EA63E3F" w:rsidR="00410071" w:rsidRDefault="00410071" w:rsidP="00410071">
      <w:pPr>
        <w:pStyle w:val="Figure"/>
      </w:pPr>
      <w:bookmarkStart w:id="215" w:name="_Ref65850760"/>
      <w:bookmarkStart w:id="216" w:name="_Toc65574442"/>
      <w:bookmarkStart w:id="217" w:name="_Toc75176478"/>
      <w:bookmarkStart w:id="218" w:name="_Toc85442568"/>
      <w:bookmarkStart w:id="219" w:name="_Toc85445914"/>
      <w:bookmarkStart w:id="220" w:name="_Toc87429971"/>
      <w:bookmarkStart w:id="221" w:name="_Toc88561403"/>
      <w:r>
        <w:t>Figure</w:t>
      </w:r>
      <w:r w:rsidR="00D90A5D">
        <w:t> </w:t>
      </w:r>
      <w:r w:rsidR="00592799">
        <w:fldChar w:fldCharType="begin"/>
      </w:r>
      <w:r w:rsidR="00592799">
        <w:instrText xml:space="preserve"> SEQ Figure \* ARABIC </w:instrText>
      </w:r>
      <w:r w:rsidR="00592799">
        <w:fldChar w:fldCharType="separate"/>
      </w:r>
      <w:r w:rsidR="00840F18">
        <w:rPr>
          <w:noProof/>
        </w:rPr>
        <w:t>22</w:t>
      </w:r>
      <w:r w:rsidR="00592799">
        <w:rPr>
          <w:noProof/>
        </w:rPr>
        <w:fldChar w:fldCharType="end"/>
      </w:r>
      <w:bookmarkEnd w:id="215"/>
      <w:r w:rsidRPr="00200234">
        <w:t xml:space="preserve">: </w:t>
      </w:r>
      <w:r>
        <w:t>Number</w:t>
      </w:r>
      <w:r w:rsidRPr="00200234">
        <w:t xml:space="preserve"> of people subject to indefinite inpatient treatment orders, by sex, 1 January to 31 December 20</w:t>
      </w:r>
      <w:bookmarkEnd w:id="216"/>
      <w:r>
        <w:t>20</w:t>
      </w:r>
      <w:bookmarkEnd w:id="217"/>
      <w:bookmarkEnd w:id="218"/>
      <w:bookmarkEnd w:id="219"/>
      <w:bookmarkEnd w:id="220"/>
      <w:bookmarkEnd w:id="221"/>
    </w:p>
    <w:p w14:paraId="41C5A09F" w14:textId="77777777" w:rsidR="00410071" w:rsidRPr="00B570DD" w:rsidRDefault="00410071" w:rsidP="00410071">
      <w:r w:rsidRPr="0086540E">
        <w:rPr>
          <w:noProof/>
          <w:color w:val="365F91" w:themeColor="accent1" w:themeShade="BF"/>
          <w:lang w:eastAsia="en-NZ"/>
        </w:rPr>
        <w:drawing>
          <wp:inline distT="0" distB="0" distL="0" distR="0" wp14:anchorId="083C59C8" wp14:editId="303DFCB4">
            <wp:extent cx="3152775" cy="2638425"/>
            <wp:effectExtent l="0" t="0" r="0" b="0"/>
            <wp:docPr id="26" name="Chart 26" descr="This bar graph shows that 142 males were subject to an indefinite inpatient treatment order compared to 43 females. ">
              <a:extLst xmlns:a="http://schemas.openxmlformats.org/drawingml/2006/main">
                <a:ext uri="{FF2B5EF4-FFF2-40B4-BE49-F238E27FC236}">
                  <a16:creationId xmlns:a16="http://schemas.microsoft.com/office/drawing/2014/main" id="{F986795D-F39B-4C16-83D4-E4726CD65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5AFCB6D" w14:textId="77777777" w:rsidR="0039221C" w:rsidRDefault="00410071" w:rsidP="00D90A5D">
      <w:pPr>
        <w:pStyle w:val="Source"/>
      </w:pPr>
      <w:r w:rsidRPr="00200234">
        <w:t>Sources: PRIMHD data</w:t>
      </w:r>
      <w:r>
        <w:t xml:space="preserve"> (extracted</w:t>
      </w:r>
      <w:r w:rsidRPr="00200234">
        <w:t xml:space="preserve"> </w:t>
      </w:r>
      <w:r>
        <w:t>1 July 2021)</w:t>
      </w:r>
      <w:r w:rsidRPr="00200234">
        <w:t xml:space="preserve"> and manual data from </w:t>
      </w:r>
      <w:r>
        <w:t>Counties Manukau DHB</w:t>
      </w:r>
      <w:r w:rsidRPr="00200234">
        <w:t>.</w:t>
      </w:r>
    </w:p>
    <w:p w14:paraId="541C025E" w14:textId="77777777" w:rsidR="00D90A5D" w:rsidRPr="00D90A5D" w:rsidRDefault="00D90A5D" w:rsidP="00D90A5D"/>
    <w:p w14:paraId="5193ADF5" w14:textId="77777777" w:rsidR="00410071" w:rsidRPr="00200234" w:rsidRDefault="00410071" w:rsidP="00D90A5D">
      <w:pPr>
        <w:pStyle w:val="Heading1"/>
      </w:pPr>
      <w:bookmarkStart w:id="222" w:name="_Toc65141622"/>
      <w:bookmarkStart w:id="223" w:name="_Toc75176446"/>
      <w:bookmarkStart w:id="224" w:name="_Toc87429911"/>
      <w:bookmarkStart w:id="225" w:name="_Toc88826959"/>
      <w:r w:rsidRPr="00200234">
        <w:lastRenderedPageBreak/>
        <w:t>Seclusion</w:t>
      </w:r>
      <w:bookmarkEnd w:id="222"/>
      <w:bookmarkEnd w:id="223"/>
      <w:bookmarkEnd w:id="224"/>
      <w:bookmarkEnd w:id="225"/>
    </w:p>
    <w:p w14:paraId="298579BB" w14:textId="77777777" w:rsidR="00410071" w:rsidRPr="00200234" w:rsidRDefault="00410071" w:rsidP="00D90A5D">
      <w:r w:rsidRPr="00200234">
        <w:t xml:space="preserve">The data captured in this section focuses on people under the Mental Health Act in adult inpatient wards who have been secluded. Standards New Zealand defines </w:t>
      </w:r>
      <w:r w:rsidR="0039221C">
        <w:t>‘</w:t>
      </w:r>
      <w:r w:rsidRPr="00200234">
        <w:t>seclusion</w:t>
      </w:r>
      <w:r w:rsidR="0039221C">
        <w:t>’</w:t>
      </w:r>
      <w:r w:rsidRPr="00200234">
        <w:t xml:space="preserve"> as a situation where a service user is </w:t>
      </w:r>
      <w:r w:rsidR="0039221C">
        <w:t>‘</w:t>
      </w:r>
      <w:r w:rsidRPr="00200234">
        <w:t>placed alone in a room or area, at any time and for any duration, from which they cannot freely exit</w:t>
      </w:r>
      <w:r w:rsidR="0039221C">
        <w:t>’</w:t>
      </w:r>
      <w:r w:rsidRPr="00200234">
        <w:t>.</w:t>
      </w:r>
      <w:r w:rsidRPr="00D90A5D">
        <w:rPr>
          <w:rStyle w:val="FootnoteReference"/>
        </w:rPr>
        <w:footnoteReference w:id="14"/>
      </w:r>
    </w:p>
    <w:p w14:paraId="009BB9BA" w14:textId="77777777" w:rsidR="00410071" w:rsidRPr="00200234" w:rsidRDefault="00410071" w:rsidP="00D90A5D"/>
    <w:p w14:paraId="7130D049" w14:textId="6A3433BF" w:rsidR="00410071" w:rsidRPr="00200234" w:rsidRDefault="00410071" w:rsidP="00D90A5D">
      <w:r w:rsidRPr="00200234">
        <w:t xml:space="preserve">In the </w:t>
      </w:r>
      <w:r>
        <w:t>2020</w:t>
      </w:r>
      <w:r w:rsidRPr="00200234">
        <w:t xml:space="preserve"> analysis, we have purposely left out data from </w:t>
      </w:r>
      <w:r>
        <w:t>an</w:t>
      </w:r>
      <w:r w:rsidRPr="00200234">
        <w:t xml:space="preserve"> outlier, where a high proportion of recorded seclusion hours from Capital &amp; Coast </w:t>
      </w:r>
      <w:r>
        <w:t>DHB relates</w:t>
      </w:r>
      <w:r w:rsidRPr="00200234">
        <w:t xml:space="preserve"> to a single client. For more information about this outlier data, please see the </w:t>
      </w:r>
      <w:r w:rsidR="00D90A5D">
        <w:fldChar w:fldCharType="begin"/>
      </w:r>
      <w:r w:rsidR="00D90A5D">
        <w:instrText xml:space="preserve"> REF _Ref88547600 \h </w:instrText>
      </w:r>
      <w:r w:rsidR="00D90A5D">
        <w:fldChar w:fldCharType="separate"/>
      </w:r>
      <w:r w:rsidR="00840F18" w:rsidRPr="00200234">
        <w:t>Appendix: Additional</w:t>
      </w:r>
      <w:r w:rsidR="00840F18">
        <w:t> s</w:t>
      </w:r>
      <w:r w:rsidR="00840F18" w:rsidRPr="00200234">
        <w:t>tatistics</w:t>
      </w:r>
      <w:r w:rsidR="00D90A5D">
        <w:fldChar w:fldCharType="end"/>
      </w:r>
      <w:r w:rsidRPr="00200234">
        <w:t>.</w:t>
      </w:r>
    </w:p>
    <w:p w14:paraId="78B377CE" w14:textId="77777777" w:rsidR="00410071" w:rsidRPr="00200234" w:rsidRDefault="00410071" w:rsidP="00D90A5D"/>
    <w:p w14:paraId="180805CF" w14:textId="77777777" w:rsidR="00410071" w:rsidRPr="00200234" w:rsidRDefault="00410071" w:rsidP="00D90A5D">
      <w:r w:rsidRPr="00200234">
        <w:t>In summary, in adult inpatient services in 20</w:t>
      </w:r>
      <w:r>
        <w:t>20</w:t>
      </w:r>
      <w:r w:rsidRPr="00200234">
        <w:t>:</w:t>
      </w:r>
    </w:p>
    <w:p w14:paraId="06D3A64D" w14:textId="77777777" w:rsidR="00410071" w:rsidRPr="00ED4FA1" w:rsidRDefault="00410071" w:rsidP="00D90A5D">
      <w:pPr>
        <w:pStyle w:val="Bullet"/>
      </w:pPr>
      <w:r w:rsidRPr="00ED4FA1">
        <w:t xml:space="preserve">the total number of people who experienced seclusion while receiving mental health treatment in an adult inpatient service has decreased by </w:t>
      </w:r>
      <w:r>
        <w:t>13</w:t>
      </w:r>
      <w:r w:rsidRPr="00ED4FA1">
        <w:t xml:space="preserve"> percent since 2009</w:t>
      </w:r>
      <w:r w:rsidRPr="00D90A5D">
        <w:rPr>
          <w:rStyle w:val="FootnoteReference"/>
        </w:rPr>
        <w:footnoteReference w:id="15"/>
      </w:r>
    </w:p>
    <w:p w14:paraId="009F921F" w14:textId="77777777" w:rsidR="00410071" w:rsidRPr="00ED4FA1" w:rsidRDefault="00410071" w:rsidP="00D90A5D">
      <w:pPr>
        <w:pStyle w:val="Bullet"/>
      </w:pPr>
      <w:r w:rsidRPr="00ED4FA1">
        <w:t xml:space="preserve">the total number of hours spent in seclusion has decreased by </w:t>
      </w:r>
      <w:r>
        <w:t>51</w:t>
      </w:r>
      <w:r w:rsidRPr="00ED4FA1">
        <w:t xml:space="preserve"> percent since 2009</w:t>
      </w:r>
    </w:p>
    <w:p w14:paraId="04B560F1" w14:textId="77777777" w:rsidR="00410071" w:rsidRPr="00ED4FA1" w:rsidRDefault="00410071" w:rsidP="00D90A5D">
      <w:pPr>
        <w:pStyle w:val="Bullet"/>
      </w:pPr>
      <w:r w:rsidRPr="00ED4FA1">
        <w:t>the</w:t>
      </w:r>
      <w:r>
        <w:t>re was no discernible percentage difference in the number of adult inpatient clients secluded from 2019 to 2020, however the number of hours spent in seclusion decreased by 7 percent</w:t>
      </w:r>
    </w:p>
    <w:p w14:paraId="3D54C170" w14:textId="77777777" w:rsidR="00410071" w:rsidRPr="00ED4FA1" w:rsidRDefault="00410071" w:rsidP="00D90A5D">
      <w:pPr>
        <w:pStyle w:val="Bullet"/>
      </w:pPr>
      <w:r>
        <w:t>75</w:t>
      </w:r>
      <w:r w:rsidRPr="00ED4FA1">
        <w:t xml:space="preserve"> percent of all seclusion events lasted for less than 24 hours, and </w:t>
      </w:r>
      <w:r>
        <w:t>13</w:t>
      </w:r>
      <w:r w:rsidRPr="00ED4FA1">
        <w:t xml:space="preserve"> percent lasted for longer than 48 hours</w:t>
      </w:r>
    </w:p>
    <w:p w14:paraId="778DBA63" w14:textId="77777777" w:rsidR="00410071" w:rsidRPr="00ED4FA1" w:rsidRDefault="00410071" w:rsidP="00D90A5D">
      <w:pPr>
        <w:pStyle w:val="Bullet"/>
      </w:pPr>
      <w:r w:rsidRPr="00ED4FA1">
        <w:t xml:space="preserve">males were </w:t>
      </w:r>
      <w:r>
        <w:t>twice</w:t>
      </w:r>
      <w:r w:rsidRPr="00ED4FA1">
        <w:t xml:space="preserve"> as likely as females to spend time in seclusion</w:t>
      </w:r>
    </w:p>
    <w:p w14:paraId="13345A9C" w14:textId="77777777" w:rsidR="00410071" w:rsidRPr="00ED4FA1" w:rsidRDefault="00410071" w:rsidP="00D90A5D">
      <w:pPr>
        <w:pStyle w:val="Bullet"/>
      </w:pPr>
      <w:r w:rsidRPr="00ED4FA1">
        <w:t xml:space="preserve">people aged </w:t>
      </w:r>
      <w:r>
        <w:t>20</w:t>
      </w:r>
      <w:r w:rsidRPr="00ED4FA1">
        <w:t>–</w:t>
      </w:r>
      <w:r>
        <w:t>29</w:t>
      </w:r>
      <w:r w:rsidRPr="00ED4FA1">
        <w:t xml:space="preserve"> years were more likely to spend time in seclusion than </w:t>
      </w:r>
      <w:r>
        <w:t>people</w:t>
      </w:r>
      <w:r w:rsidRPr="00ED4FA1">
        <w:t xml:space="preserve"> in any other age group</w:t>
      </w:r>
    </w:p>
    <w:p w14:paraId="5A84C2D9" w14:textId="77777777" w:rsidR="00410071" w:rsidRPr="00ED4FA1" w:rsidRDefault="00410071" w:rsidP="00D90A5D">
      <w:pPr>
        <w:pStyle w:val="Bullet"/>
      </w:pPr>
      <w:r w:rsidRPr="00ED4FA1">
        <w:t>Māori were more likely than non-Māori to have been secluded, have more seclusion events (as a rate per 100,000 population) and have longer periods of seclusion on average</w:t>
      </w:r>
    </w:p>
    <w:p w14:paraId="3233F72B" w14:textId="77777777" w:rsidR="00410071" w:rsidRPr="00ED4FA1" w:rsidRDefault="00410071" w:rsidP="00D90A5D">
      <w:pPr>
        <w:pStyle w:val="Bullet"/>
      </w:pPr>
      <w:r w:rsidRPr="00ED4FA1">
        <w:t xml:space="preserve">inpatients had an average of </w:t>
      </w:r>
      <w:r>
        <w:t>8.7</w:t>
      </w:r>
      <w:r w:rsidRPr="00ED4FA1">
        <w:t xml:space="preserve"> seclusion events for every 1,000 bed nights they spent in adult inpatient units.</w:t>
      </w:r>
      <w:r w:rsidRPr="00D90A5D">
        <w:rPr>
          <w:rStyle w:val="FootnoteReference"/>
        </w:rPr>
        <w:footnoteReference w:id="16"/>
      </w:r>
    </w:p>
    <w:p w14:paraId="0E9DFB86" w14:textId="77777777" w:rsidR="00410071" w:rsidRPr="00200234" w:rsidRDefault="00410071" w:rsidP="00D90A5D"/>
    <w:p w14:paraId="5DC7016B" w14:textId="42FD3804" w:rsidR="00410071" w:rsidRDefault="00410071" w:rsidP="00D90A5D">
      <w:pPr>
        <w:pStyle w:val="Figure"/>
      </w:pPr>
      <w:bookmarkStart w:id="226" w:name="_Toc63764766"/>
      <w:bookmarkStart w:id="227" w:name="_Toc75176488"/>
      <w:bookmarkStart w:id="228" w:name="_Toc85442579"/>
      <w:bookmarkStart w:id="229" w:name="_Toc85445926"/>
      <w:bookmarkStart w:id="230" w:name="_Toc87429972"/>
      <w:bookmarkStart w:id="231" w:name="_Toc88561404"/>
      <w:r>
        <w:lastRenderedPageBreak/>
        <w:t>Figure</w:t>
      </w:r>
      <w:r w:rsidR="00D90A5D">
        <w:t> </w:t>
      </w:r>
      <w:r w:rsidR="00592799">
        <w:fldChar w:fldCharType="begin"/>
      </w:r>
      <w:r w:rsidR="00592799">
        <w:instrText xml:space="preserve"> SEQ Figure \* ARABIC </w:instrText>
      </w:r>
      <w:r w:rsidR="00592799">
        <w:fldChar w:fldCharType="separate"/>
      </w:r>
      <w:r w:rsidR="00840F18">
        <w:rPr>
          <w:noProof/>
        </w:rPr>
        <w:t>23</w:t>
      </w:r>
      <w:r w:rsidR="00592799">
        <w:rPr>
          <w:noProof/>
        </w:rPr>
        <w:fldChar w:fldCharType="end"/>
      </w:r>
      <w:r w:rsidRPr="00200234">
        <w:t>: Number of people secluded in adult inpatient services nationally,</w:t>
      </w:r>
      <w:r w:rsidR="00D90A5D">
        <w:br/>
      </w:r>
      <w:r w:rsidRPr="00200234">
        <w:t>2007–20</w:t>
      </w:r>
      <w:bookmarkEnd w:id="226"/>
      <w:r>
        <w:t>20</w:t>
      </w:r>
      <w:bookmarkEnd w:id="227"/>
      <w:bookmarkEnd w:id="228"/>
      <w:bookmarkEnd w:id="229"/>
      <w:bookmarkEnd w:id="230"/>
      <w:bookmarkEnd w:id="231"/>
    </w:p>
    <w:p w14:paraId="368E597D" w14:textId="77777777" w:rsidR="0039221C" w:rsidRDefault="00410071" w:rsidP="00410071">
      <w:pPr>
        <w:rPr>
          <w:noProof/>
        </w:rPr>
      </w:pPr>
      <w:r>
        <w:rPr>
          <w:noProof/>
          <w:lang w:eastAsia="en-NZ"/>
        </w:rPr>
        <w:drawing>
          <wp:inline distT="0" distB="0" distL="0" distR="0" wp14:anchorId="39AD387C" wp14:editId="1470A7C7">
            <wp:extent cx="5004262" cy="3125585"/>
            <wp:effectExtent l="0" t="0" r="6350" b="0"/>
            <wp:docPr id="27" name="Chart 27" descr="This line graph shows that just under 1200 people were secluded in 2007, dropping to a low of under 750 people in 2014. In 2020 it had risen again to just over 900 people.">
              <a:extLst xmlns:a="http://schemas.openxmlformats.org/drawingml/2006/main">
                <a:ext uri="{FF2B5EF4-FFF2-40B4-BE49-F238E27FC236}">
                  <a16:creationId xmlns:a16="http://schemas.microsoft.com/office/drawing/2014/main" id="{DD91014E-9984-45F1-8E17-0987796D9F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E0BCE4E" w14:textId="77777777" w:rsidR="00410071" w:rsidRPr="00200234" w:rsidRDefault="00410071" w:rsidP="00D90A5D">
      <w:pPr>
        <w:pStyle w:val="Note"/>
      </w:pPr>
      <w:r w:rsidRPr="00200234">
        <w:rPr>
          <w:szCs w:val="17"/>
        </w:rPr>
        <w:t>Note</w:t>
      </w:r>
      <w:r>
        <w:rPr>
          <w:szCs w:val="17"/>
        </w:rPr>
        <w:t>s</w:t>
      </w:r>
      <w:r w:rsidRPr="00200234">
        <w:rPr>
          <w:szCs w:val="17"/>
        </w:rPr>
        <w:t xml:space="preserve">: Excludes forensic inpatient services and </w:t>
      </w:r>
      <w:r>
        <w:rPr>
          <w:szCs w:val="17"/>
        </w:rPr>
        <w:t>an outlier</w:t>
      </w:r>
      <w:r w:rsidRPr="00200234">
        <w:rPr>
          <w:szCs w:val="17"/>
        </w:rPr>
        <w:t xml:space="preserve">. </w:t>
      </w:r>
      <w:r w:rsidRPr="00200234">
        <w:t>Includes patients who have a legal status under the Mental Health Act but are treated in regional intellectual disability secure services (RIDSS</w:t>
      </w:r>
      <w:r>
        <w:t>s</w:t>
      </w:r>
      <w:r w:rsidRPr="00200234">
        <w:t>).</w:t>
      </w:r>
    </w:p>
    <w:p w14:paraId="75F63B28" w14:textId="77777777" w:rsidR="0039221C" w:rsidRDefault="00410071" w:rsidP="00D90A5D">
      <w:pPr>
        <w:pStyle w:val="Source"/>
      </w:pPr>
      <w:r w:rsidRPr="00200234">
        <w:t>Sources: PRIMHD data</w:t>
      </w:r>
      <w:r>
        <w:t xml:space="preserve"> (extracted</w:t>
      </w:r>
      <w:r w:rsidRPr="00200234">
        <w:t xml:space="preserve"> </w:t>
      </w:r>
      <w:r>
        <w:t>1 July 2021)</w:t>
      </w:r>
      <w:r w:rsidRPr="00200234">
        <w:t xml:space="preserve"> and manual data from Southern</w:t>
      </w:r>
      <w:r>
        <w:t xml:space="preserve">, Waitematā and </w:t>
      </w:r>
      <w:r w:rsidRPr="00200234">
        <w:t>Whanganui DHBs.</w:t>
      </w:r>
    </w:p>
    <w:p w14:paraId="02486FE9" w14:textId="77777777" w:rsidR="00410071" w:rsidRPr="00200234" w:rsidRDefault="00410071" w:rsidP="00D90A5D"/>
    <w:p w14:paraId="2FF9F338" w14:textId="3792A48D" w:rsidR="00410071" w:rsidRDefault="00410071" w:rsidP="00D90A5D">
      <w:pPr>
        <w:pStyle w:val="Figure"/>
      </w:pPr>
      <w:bookmarkStart w:id="232" w:name="_Toc63764767"/>
      <w:bookmarkStart w:id="233" w:name="_Toc75176489"/>
      <w:bookmarkStart w:id="234" w:name="_Toc85442580"/>
      <w:bookmarkStart w:id="235" w:name="_Toc85445927"/>
      <w:bookmarkStart w:id="236" w:name="_Toc87429973"/>
      <w:bookmarkStart w:id="237" w:name="_Toc88561405"/>
      <w:r>
        <w:t>Figure</w:t>
      </w:r>
      <w:r w:rsidR="00D90A5D">
        <w:t> </w:t>
      </w:r>
      <w:r w:rsidR="00592799">
        <w:fldChar w:fldCharType="begin"/>
      </w:r>
      <w:r w:rsidR="00592799">
        <w:instrText xml:space="preserve"> SEQ Figure \* ARABIC </w:instrText>
      </w:r>
      <w:r w:rsidR="00592799">
        <w:fldChar w:fldCharType="separate"/>
      </w:r>
      <w:r w:rsidR="00840F18">
        <w:rPr>
          <w:noProof/>
        </w:rPr>
        <w:t>24</w:t>
      </w:r>
      <w:r w:rsidR="00592799">
        <w:rPr>
          <w:noProof/>
        </w:rPr>
        <w:fldChar w:fldCharType="end"/>
      </w:r>
      <w:r w:rsidRPr="00200234">
        <w:t>: Total number of seclusion hours in adult inpatient services nationally, 2007–20</w:t>
      </w:r>
      <w:bookmarkEnd w:id="232"/>
      <w:r>
        <w:t>20</w:t>
      </w:r>
      <w:bookmarkEnd w:id="233"/>
      <w:bookmarkEnd w:id="234"/>
      <w:bookmarkEnd w:id="235"/>
      <w:bookmarkEnd w:id="236"/>
      <w:bookmarkEnd w:id="237"/>
    </w:p>
    <w:p w14:paraId="22F48051" w14:textId="77777777" w:rsidR="00410071" w:rsidRPr="00200234" w:rsidRDefault="00410071" w:rsidP="00410071">
      <w:pPr>
        <w:rPr>
          <w:rFonts w:cs="Segoe UI"/>
          <w:sz w:val="17"/>
          <w:szCs w:val="17"/>
        </w:rPr>
      </w:pPr>
      <w:r>
        <w:rPr>
          <w:noProof/>
          <w:lang w:eastAsia="en-NZ"/>
        </w:rPr>
        <mc:AlternateContent>
          <mc:Choice Requires="wps">
            <w:drawing>
              <wp:anchor distT="0" distB="0" distL="114300" distR="114300" simplePos="0" relativeHeight="251660288" behindDoc="0" locked="0" layoutInCell="1" allowOverlap="1" wp14:anchorId="105885E5" wp14:editId="2F1556A4">
                <wp:simplePos x="0" y="0"/>
                <wp:positionH relativeFrom="column">
                  <wp:posOffset>1159798</wp:posOffset>
                </wp:positionH>
                <wp:positionV relativeFrom="paragraph">
                  <wp:posOffset>260985</wp:posOffset>
                </wp:positionV>
                <wp:extent cx="366684" cy="270799"/>
                <wp:effectExtent l="0" t="0" r="0" b="0"/>
                <wp:wrapNone/>
                <wp:docPr id="23" name="TextBox 1"/>
                <wp:cNvGraphicFramePr/>
                <a:graphic xmlns:a="http://schemas.openxmlformats.org/drawingml/2006/main">
                  <a:graphicData uri="http://schemas.microsoft.com/office/word/2010/wordprocessingShape">
                    <wps:wsp>
                      <wps:cNvSpPr txBox="1"/>
                      <wps:spPr>
                        <a:xfrm>
                          <a:off x="0" y="0"/>
                          <a:ext cx="366684" cy="270799"/>
                        </a:xfrm>
                        <a:prstGeom prst="rect">
                          <a:avLst/>
                        </a:prstGeom>
                      </wps:spPr>
                      <wps:txbx>
                        <w:txbxContent>
                          <w:p w14:paraId="2CEAA5B2" w14:textId="77777777" w:rsidR="0095293C" w:rsidRPr="00D90A5D" w:rsidRDefault="0095293C" w:rsidP="0045627D">
                            <w:pPr>
                              <w:jc w:val="center"/>
                              <w:rPr>
                                <w:rFonts w:cs="Segoe UI"/>
                                <w:sz w:val="18"/>
                                <w:szCs w:val="18"/>
                              </w:rPr>
                            </w:pPr>
                            <w:r w:rsidRPr="00D90A5D">
                              <w:rPr>
                                <w:rFonts w:cs="Segoe UI"/>
                                <w:sz w:val="18"/>
                                <w:szCs w:val="18"/>
                              </w:rPr>
                              <w:sym w:font="Wingdings" w:char="F0E2"/>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5885E5" id="TextBox 1" o:spid="_x0000_s1027" type="#_x0000_t202" style="position:absolute;margin-left:91.3pt;margin-top:20.55pt;width:28.8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" filled="f" stroked="f">
                <v:textbox>
                  <w:txbxContent>
                    <w:p w14:paraId="2CEAA5B2" w14:textId="77777777" w:rsidR="0095293C" w:rsidRPr="00D90A5D" w:rsidRDefault="0095293C" w:rsidP="0045627D">
                      <w:pPr>
                        <w:jc w:val="center"/>
                        <w:rPr>
                          <w:rFonts w:cs="Segoe UI"/>
                          <w:sz w:val="18"/>
                          <w:szCs w:val="18"/>
                        </w:rPr>
                      </w:pPr>
                      <w:r w:rsidRPr="00D90A5D">
                        <w:rPr>
                          <w:rFonts w:cs="Segoe UI"/>
                          <w:sz w:val="18"/>
                          <w:szCs w:val="18"/>
                        </w:rPr>
                        <w:sym w:font="Wingdings" w:char="F0E2"/>
                      </w:r>
                    </w:p>
                  </w:txbxContent>
                </v:textbox>
              </v:shape>
            </w:pict>
          </mc:Fallback>
        </mc:AlternateContent>
      </w:r>
      <w:r>
        <w:rPr>
          <w:noProof/>
          <w:lang w:eastAsia="en-NZ"/>
        </w:rPr>
        <w:drawing>
          <wp:inline distT="0" distB="0" distL="0" distR="0" wp14:anchorId="60A9B11C" wp14:editId="27EE195D">
            <wp:extent cx="5070763" cy="3017520"/>
            <wp:effectExtent l="0" t="0" r="0" b="0"/>
            <wp:docPr id="28" name="Chart 28" descr="This line graph shows that the number of hours spent in seclusion was about 78,000 in 2007, peaked at just over 90,000 in 2009, reached a low of just under 35,000 in 2016, and climbed to about 45,000 in 2020.">
              <a:extLst xmlns:a="http://schemas.openxmlformats.org/drawingml/2006/main">
                <a:ext uri="{FF2B5EF4-FFF2-40B4-BE49-F238E27FC236}">
                  <a16:creationId xmlns:a16="http://schemas.microsoft.com/office/drawing/2014/main" id="{B5AB19A6-03C6-4CB3-AF4F-182588B540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8EB6D28" w14:textId="77777777" w:rsidR="00410071" w:rsidRPr="00200234" w:rsidRDefault="00410071" w:rsidP="00410071">
      <w:pPr>
        <w:pStyle w:val="Note"/>
        <w:rPr>
          <w:rFonts w:cs="Segoe UI"/>
        </w:rPr>
      </w:pPr>
      <w:bookmarkStart w:id="238" w:name="_Toc65141623"/>
      <w:bookmarkStart w:id="239" w:name="_Toc75176447"/>
      <w:r w:rsidRPr="00200234">
        <w:rPr>
          <w:rFonts w:cs="Segoe UI"/>
          <w:szCs w:val="17"/>
        </w:rPr>
        <w:t>Note</w:t>
      </w:r>
      <w:r>
        <w:rPr>
          <w:rFonts w:cs="Segoe UI"/>
          <w:szCs w:val="17"/>
        </w:rPr>
        <w:t>s</w:t>
      </w:r>
      <w:r w:rsidRPr="00200234">
        <w:rPr>
          <w:rFonts w:cs="Segoe UI"/>
          <w:szCs w:val="17"/>
        </w:rPr>
        <w:t xml:space="preserve">: Excludes forensic inpatient services and </w:t>
      </w:r>
      <w:r>
        <w:rPr>
          <w:rFonts w:cs="Segoe UI"/>
          <w:szCs w:val="17"/>
        </w:rPr>
        <w:t>an outlier</w:t>
      </w:r>
      <w:r w:rsidRPr="00200234">
        <w:rPr>
          <w:rFonts w:cs="Segoe UI"/>
          <w:szCs w:val="17"/>
        </w:rPr>
        <w:t xml:space="preserve">. </w:t>
      </w:r>
      <w:r w:rsidRPr="00200234">
        <w:rPr>
          <w:rFonts w:cs="Segoe UI"/>
        </w:rPr>
        <w:t>Includes patients who have a legal status under the Mental Health Act but are treated in regional intellectual disability secure services (RIDSS</w:t>
      </w:r>
      <w:r>
        <w:rPr>
          <w:rFonts w:cs="Segoe UI"/>
        </w:rPr>
        <w:t>s</w:t>
      </w:r>
      <w:r w:rsidRPr="00200234">
        <w:rPr>
          <w:rFonts w:cs="Segoe UI"/>
        </w:rPr>
        <w:t>).</w:t>
      </w:r>
    </w:p>
    <w:p w14:paraId="1AC7672F" w14:textId="77777777" w:rsidR="0039221C" w:rsidRDefault="00410071" w:rsidP="00410071">
      <w:pPr>
        <w:pStyle w:val="Note"/>
      </w:pPr>
      <w:r w:rsidRPr="00200234">
        <w:t>Sources: PRIMHD data</w:t>
      </w:r>
      <w:r>
        <w:t xml:space="preserve"> (extracted</w:t>
      </w:r>
      <w:r w:rsidRPr="00200234">
        <w:t xml:space="preserve"> </w:t>
      </w:r>
      <w:r>
        <w:t>1 July 2021)</w:t>
      </w:r>
      <w:r w:rsidRPr="00200234">
        <w:t xml:space="preserve"> and manual data from Southern</w:t>
      </w:r>
      <w:r>
        <w:t xml:space="preserve">, Waitematā and </w:t>
      </w:r>
      <w:r w:rsidRPr="00200234">
        <w:t>Whanganui DHBs.</w:t>
      </w:r>
    </w:p>
    <w:p w14:paraId="6ECE2CC5" w14:textId="77777777" w:rsidR="00D23889" w:rsidRPr="00D23889" w:rsidRDefault="00D23889" w:rsidP="00D23889"/>
    <w:p w14:paraId="76987255" w14:textId="77777777" w:rsidR="00410071" w:rsidRPr="00200234" w:rsidRDefault="00410071" w:rsidP="00D23889">
      <w:pPr>
        <w:pStyle w:val="Heading2"/>
      </w:pPr>
      <w:bookmarkStart w:id="240" w:name="_Toc87429912"/>
      <w:bookmarkStart w:id="241" w:name="_Toc88826960"/>
      <w:r w:rsidRPr="00200234">
        <w:lastRenderedPageBreak/>
        <w:t xml:space="preserve">Seclusion in </w:t>
      </w:r>
      <w:r>
        <w:t xml:space="preserve">Aotearoa </w:t>
      </w:r>
      <w:r w:rsidRPr="00200234">
        <w:t>New Zealand mental health services</w:t>
      </w:r>
      <w:bookmarkEnd w:id="238"/>
      <w:bookmarkEnd w:id="239"/>
      <w:r>
        <w:t xml:space="preserve"> in 2020</w:t>
      </w:r>
      <w:r w:rsidRPr="00D23889">
        <w:rPr>
          <w:rStyle w:val="FootnoteReference"/>
        </w:rPr>
        <w:footnoteReference w:id="17"/>
      </w:r>
      <w:bookmarkEnd w:id="240"/>
      <w:bookmarkEnd w:id="241"/>
    </w:p>
    <w:p w14:paraId="51670EF4" w14:textId="77777777" w:rsidR="00410071" w:rsidRPr="00ED4FA1" w:rsidRDefault="00410071" w:rsidP="00D23889">
      <w:pPr>
        <w:pStyle w:val="Bullet"/>
      </w:pPr>
      <w:r w:rsidRPr="00ED4FA1">
        <w:t>Between 1 January and 31 December 20</w:t>
      </w:r>
      <w:r>
        <w:t>20</w:t>
      </w:r>
      <w:r w:rsidRPr="00ED4FA1">
        <w:t xml:space="preserve">, </w:t>
      </w:r>
      <w:r>
        <w:t xml:space="preserve">Aotearoa </w:t>
      </w:r>
      <w:r w:rsidRPr="00ED4FA1">
        <w:t xml:space="preserve">New Zealand adult mental health services (excluding forensic and other regional rehabilitation services) accommodated </w:t>
      </w:r>
      <w:r>
        <w:t>8,651 </w:t>
      </w:r>
      <w:r w:rsidRPr="00ED4FA1">
        <w:t xml:space="preserve">people for a total of </w:t>
      </w:r>
      <w:r>
        <w:t>237,968</w:t>
      </w:r>
      <w:r w:rsidRPr="00ED4FA1">
        <w:t xml:space="preserve"> bed nights. Of these people, </w:t>
      </w:r>
      <w:r>
        <w:t>933</w:t>
      </w:r>
      <w:r w:rsidR="00D23889">
        <w:t> </w:t>
      </w:r>
      <w:r w:rsidRPr="00ED4FA1">
        <w:t>(</w:t>
      </w:r>
      <w:r>
        <w:t>10.8</w:t>
      </w:r>
      <w:r w:rsidRPr="00ED4FA1">
        <w:t xml:space="preserve"> percent) were secluded at some stage during the reporting period.</w:t>
      </w:r>
    </w:p>
    <w:p w14:paraId="79B58C04" w14:textId="77777777" w:rsidR="00410071" w:rsidRPr="00ED4FA1" w:rsidRDefault="00410071" w:rsidP="00D23889">
      <w:pPr>
        <w:pStyle w:val="Bullet"/>
      </w:pPr>
      <w:r w:rsidRPr="00ED4FA1">
        <w:t xml:space="preserve">Among the adults who were secluded, many were secluded more than once (on average </w:t>
      </w:r>
      <w:r>
        <w:t>2.2</w:t>
      </w:r>
      <w:r w:rsidRPr="00ED4FA1">
        <w:t xml:space="preserve"> times). For this reason, the number of seclusion events in adult inpatient services (</w:t>
      </w:r>
      <w:r>
        <w:t>2,075</w:t>
      </w:r>
      <w:r w:rsidRPr="00ED4FA1">
        <w:t>) was higher than the number of people secluded.</w:t>
      </w:r>
    </w:p>
    <w:p w14:paraId="44C96C70" w14:textId="77777777" w:rsidR="00410071" w:rsidRPr="00ED4FA1" w:rsidRDefault="00410071" w:rsidP="00D23889">
      <w:pPr>
        <w:pStyle w:val="Bullet"/>
      </w:pPr>
      <w:r>
        <w:t>T</w:t>
      </w:r>
      <w:r w:rsidRPr="00ED4FA1">
        <w:t xml:space="preserve">here were </w:t>
      </w:r>
      <w:r>
        <w:t>10.7</w:t>
      </w:r>
      <w:r w:rsidRPr="00ED4FA1">
        <w:t xml:space="preserve"> seclusion events per 1,000 bed nights in adult inpatient units. This means that nationally and on average for every 1,000 bed nights a person spent in an inpatient unit, the person would have </w:t>
      </w:r>
      <w:r>
        <w:t xml:space="preserve">10.7 </w:t>
      </w:r>
      <w:r w:rsidRPr="00ED4FA1">
        <w:t>seclusion events.</w:t>
      </w:r>
    </w:p>
    <w:p w14:paraId="7E51EF9B" w14:textId="77777777" w:rsidR="00410071" w:rsidRPr="00ED4FA1" w:rsidRDefault="00410071" w:rsidP="00D23889">
      <w:pPr>
        <w:pStyle w:val="Bullet"/>
      </w:pPr>
      <w:r w:rsidRPr="00ED4FA1">
        <w:t xml:space="preserve">Across all inpatient services, including forensic, intellectual disability and youth services, </w:t>
      </w:r>
      <w:r>
        <w:t>1,179</w:t>
      </w:r>
      <w:r w:rsidRPr="00ED4FA1">
        <w:t xml:space="preserve"> people experienced at least one seclusion event. Of those secluded, </w:t>
      </w:r>
      <w:r>
        <w:t>66</w:t>
      </w:r>
      <w:r w:rsidRPr="00ED4FA1">
        <w:t xml:space="preserve"> percent were male, and </w:t>
      </w:r>
      <w:r>
        <w:t>34</w:t>
      </w:r>
      <w:r w:rsidRPr="00ED4FA1">
        <w:t xml:space="preserve"> percent were female. The most common age group for those secluded was </w:t>
      </w:r>
      <w:r>
        <w:t>20</w:t>
      </w:r>
      <w:r w:rsidRPr="00ED4FA1">
        <w:t>–</w:t>
      </w:r>
      <w:r>
        <w:t>24</w:t>
      </w:r>
      <w:r w:rsidRPr="00ED4FA1">
        <w:t xml:space="preserve"> years. A total of </w:t>
      </w:r>
      <w:r>
        <w:t>103</w:t>
      </w:r>
      <w:r w:rsidRPr="00ED4FA1">
        <w:t xml:space="preserve"> young people (aged 19 years and under) were secluded during the 20</w:t>
      </w:r>
      <w:r>
        <w:t>20</w:t>
      </w:r>
      <w:r w:rsidRPr="00ED4FA1">
        <w:t xml:space="preserve"> year in </w:t>
      </w:r>
      <w:r>
        <w:t>147</w:t>
      </w:r>
      <w:r w:rsidRPr="00ED4FA1">
        <w:t xml:space="preserve"> seclusion events.</w:t>
      </w:r>
    </w:p>
    <w:p w14:paraId="2862153B" w14:textId="77777777" w:rsidR="00410071" w:rsidRPr="00200234" w:rsidRDefault="00410071" w:rsidP="00D23889"/>
    <w:p w14:paraId="55D53F17" w14:textId="10493866" w:rsidR="00410071" w:rsidRDefault="00410071" w:rsidP="00D23889">
      <w:pPr>
        <w:pStyle w:val="Figure"/>
      </w:pPr>
      <w:bookmarkStart w:id="242" w:name="_Toc63764768"/>
      <w:bookmarkStart w:id="243" w:name="_Toc75176490"/>
      <w:bookmarkStart w:id="244" w:name="_Toc85442581"/>
      <w:bookmarkStart w:id="245" w:name="_Toc85445928"/>
      <w:bookmarkStart w:id="246" w:name="_Toc87429974"/>
      <w:bookmarkStart w:id="247" w:name="_Toc88561406"/>
      <w:r>
        <w:t>Figure</w:t>
      </w:r>
      <w:r w:rsidR="00D23889">
        <w:t> </w:t>
      </w:r>
      <w:r w:rsidR="00592799">
        <w:fldChar w:fldCharType="begin"/>
      </w:r>
      <w:r w:rsidR="00592799">
        <w:instrText xml:space="preserve"> SEQ Figure \* ARABIC </w:instrText>
      </w:r>
      <w:r w:rsidR="00592799">
        <w:fldChar w:fldCharType="separate"/>
      </w:r>
      <w:r w:rsidR="00840F18">
        <w:rPr>
          <w:noProof/>
        </w:rPr>
        <w:t>25</w:t>
      </w:r>
      <w:r w:rsidR="00592799">
        <w:rPr>
          <w:noProof/>
        </w:rPr>
        <w:fldChar w:fldCharType="end"/>
      </w:r>
      <w:r w:rsidRPr="00200234">
        <w:t>: Number of people secluded across all inpatient services (adult, forensic, intellectual disability and youth), by age group, 1 January to 31 December 20</w:t>
      </w:r>
      <w:bookmarkEnd w:id="242"/>
      <w:r>
        <w:t>20</w:t>
      </w:r>
      <w:bookmarkEnd w:id="243"/>
      <w:bookmarkEnd w:id="244"/>
      <w:bookmarkEnd w:id="245"/>
      <w:bookmarkEnd w:id="246"/>
      <w:bookmarkEnd w:id="247"/>
    </w:p>
    <w:p w14:paraId="70E23A35" w14:textId="77777777" w:rsidR="00410071" w:rsidRDefault="00410071" w:rsidP="00D23889">
      <w:pPr>
        <w:rPr>
          <w:rFonts w:cs="Segoe UI"/>
        </w:rPr>
      </w:pPr>
      <w:r w:rsidRPr="009B7F21">
        <w:rPr>
          <w:noProof/>
          <w:lang w:eastAsia="en-NZ"/>
        </w:rPr>
        <w:drawing>
          <wp:inline distT="0" distB="0" distL="0" distR="0" wp14:anchorId="37569294" wp14:editId="7FAE322B">
            <wp:extent cx="5095701" cy="2926080"/>
            <wp:effectExtent l="0" t="0" r="0" b="7620"/>
            <wp:docPr id="29" name="Chart 29" descr="This bar graph shows that in 2020, 103 people under 20 were secluded, 220 people between 20 and 24 were secluded, 201 people between 25 and 29, 175 people between 30 and 34, around 90 people in the 35-39 and 40-44 age groups, 112 in the 45-49 group, 75 in the 50-54 group, and around 50 people or less in the other age groups.">
              <a:extLst xmlns:a="http://schemas.openxmlformats.org/drawingml/2006/main">
                <a:ext uri="{FF2B5EF4-FFF2-40B4-BE49-F238E27FC236}">
                  <a16:creationId xmlns:a16="http://schemas.microsoft.com/office/drawing/2014/main" id="{DD5A4EE1-2B25-46CE-B37E-6C782B828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1DFEFD4" w14:textId="77777777" w:rsidR="00410071" w:rsidRPr="00200234" w:rsidRDefault="00410071" w:rsidP="00D23889">
      <w:pPr>
        <w:pStyle w:val="Note"/>
      </w:pPr>
      <w:r w:rsidRPr="00200234">
        <w:t>Note</w:t>
      </w:r>
      <w:r>
        <w:t>s</w:t>
      </w:r>
      <w:r w:rsidRPr="00200234">
        <w:t xml:space="preserve">: Excludes </w:t>
      </w:r>
      <w:r>
        <w:t>an outlier</w:t>
      </w:r>
      <w:r w:rsidRPr="00200234">
        <w:t>. Includes patients who have a legal status under the Mental Health Act but are treated in RIDSS</w:t>
      </w:r>
      <w:r>
        <w:t>s</w:t>
      </w:r>
      <w:r w:rsidRPr="00200234">
        <w:t>.</w:t>
      </w:r>
    </w:p>
    <w:p w14:paraId="77005322" w14:textId="77777777" w:rsidR="0039221C" w:rsidRDefault="00410071" w:rsidP="00D23889">
      <w:pPr>
        <w:pStyle w:val="Source"/>
      </w:pPr>
      <w:r w:rsidRPr="00200234">
        <w:rPr>
          <w:rFonts w:cs="Segoe UI"/>
          <w:spacing w:val="-2"/>
        </w:rPr>
        <w:t xml:space="preserve">Sources: </w:t>
      </w:r>
      <w:r w:rsidRPr="00200234">
        <w:t>PRIMHD data</w:t>
      </w:r>
      <w:r>
        <w:t xml:space="preserve"> (extracted</w:t>
      </w:r>
      <w:r w:rsidRPr="00200234">
        <w:t xml:space="preserve"> </w:t>
      </w:r>
      <w:r>
        <w:t>1 July 2021)</w:t>
      </w:r>
      <w:r w:rsidRPr="00200234">
        <w:t xml:space="preserve"> and manual data from </w:t>
      </w:r>
      <w:r>
        <w:t>Southern, Waitematā and Whanganui DHBs</w:t>
      </w:r>
      <w:r w:rsidRPr="00200234">
        <w:t>.</w:t>
      </w:r>
    </w:p>
    <w:p w14:paraId="62822541" w14:textId="657502B5" w:rsidR="00410071" w:rsidRDefault="00410071" w:rsidP="00D23889">
      <w:pPr>
        <w:pStyle w:val="Figure"/>
        <w:spacing w:before="360"/>
      </w:pPr>
      <w:bookmarkStart w:id="248" w:name="_Ref65672360"/>
      <w:bookmarkStart w:id="249" w:name="_Toc63764770"/>
      <w:bookmarkStart w:id="250" w:name="_Toc75176491"/>
      <w:bookmarkStart w:id="251" w:name="_Toc85442582"/>
      <w:bookmarkStart w:id="252" w:name="_Toc85445929"/>
      <w:bookmarkStart w:id="253" w:name="_Toc87429975"/>
      <w:bookmarkStart w:id="254" w:name="_Toc88561407"/>
      <w:r>
        <w:lastRenderedPageBreak/>
        <w:t>Figure</w:t>
      </w:r>
      <w:r w:rsidR="00D23889">
        <w:t> </w:t>
      </w:r>
      <w:r w:rsidR="00592799">
        <w:fldChar w:fldCharType="begin"/>
      </w:r>
      <w:r w:rsidR="00592799">
        <w:instrText xml:space="preserve"> SEQ Figure \* ARABIC </w:instrText>
      </w:r>
      <w:r w:rsidR="00592799">
        <w:fldChar w:fldCharType="separate"/>
      </w:r>
      <w:r w:rsidR="00840F18">
        <w:rPr>
          <w:noProof/>
        </w:rPr>
        <w:t>26</w:t>
      </w:r>
      <w:r w:rsidR="00592799">
        <w:rPr>
          <w:noProof/>
        </w:rPr>
        <w:fldChar w:fldCharType="end"/>
      </w:r>
      <w:bookmarkEnd w:id="248"/>
      <w:r w:rsidRPr="00200234">
        <w:t>: Number of seclusion events across all inpatient services (adult, forensic, intellectual disability and youth), by duration of event, 1 January to 31 December 20</w:t>
      </w:r>
      <w:bookmarkEnd w:id="249"/>
      <w:r>
        <w:t>20</w:t>
      </w:r>
      <w:bookmarkEnd w:id="250"/>
      <w:bookmarkEnd w:id="251"/>
      <w:bookmarkEnd w:id="252"/>
      <w:bookmarkEnd w:id="253"/>
      <w:bookmarkEnd w:id="254"/>
    </w:p>
    <w:p w14:paraId="35DC09A7" w14:textId="77777777" w:rsidR="00410071" w:rsidRPr="004A18F7" w:rsidRDefault="00410071" w:rsidP="00410071">
      <w:r>
        <w:rPr>
          <w:noProof/>
          <w:lang w:eastAsia="en-NZ"/>
        </w:rPr>
        <w:drawing>
          <wp:inline distT="0" distB="0" distL="0" distR="0" wp14:anchorId="71713E18" wp14:editId="77FA9B01">
            <wp:extent cx="5112327" cy="3108960"/>
            <wp:effectExtent l="0" t="0" r="0" b="0"/>
            <wp:docPr id="30" name="Chart 30" descr="This graph shows that in 2020, just over 350 seclusion events lasted for more than 48 hours. About 200 lasted for between 24 and 35 hours. About 175 lasted for between 36 and 47 hours. About 180 events lasted for between 1-2 and 2-3 hours. About 166 events were between 3-4 hours and 147 between 0-1 hours. There 113 or fewer events for other durations.">
              <a:extLst xmlns:a="http://schemas.openxmlformats.org/drawingml/2006/main">
                <a:ext uri="{FF2B5EF4-FFF2-40B4-BE49-F238E27FC236}">
                  <a16:creationId xmlns:a16="http://schemas.microsoft.com/office/drawing/2014/main" id="{70C3EE32-2102-43BC-8788-93BD3B6067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56B19BE" w14:textId="77777777" w:rsidR="00410071" w:rsidRPr="00200234" w:rsidRDefault="00410071" w:rsidP="00D23889">
      <w:pPr>
        <w:pStyle w:val="Note"/>
      </w:pPr>
      <w:r w:rsidRPr="00200234">
        <w:t>Note</w:t>
      </w:r>
      <w:r>
        <w:t>s</w:t>
      </w:r>
      <w:r w:rsidRPr="00200234">
        <w:t xml:space="preserve">: Excludes </w:t>
      </w:r>
      <w:r>
        <w:t>an outlier</w:t>
      </w:r>
      <w:r w:rsidRPr="00200234">
        <w:t>. Includes patients who have a legal status under the Mental Health Act but are treated in RIDSS</w:t>
      </w:r>
      <w:r>
        <w:t>s</w:t>
      </w:r>
      <w:r w:rsidRPr="00200234">
        <w:t>.</w:t>
      </w:r>
      <w:r>
        <w:t xml:space="preserve"> The lower limit is the lowest included time, for example 0–1 hours includes any time up to 59 minutes.</w:t>
      </w:r>
    </w:p>
    <w:p w14:paraId="08C77235" w14:textId="77777777" w:rsidR="0039221C" w:rsidRDefault="00410071" w:rsidP="00D23889">
      <w:pPr>
        <w:pStyle w:val="Source"/>
      </w:pPr>
      <w:r w:rsidRPr="00200234">
        <w:rPr>
          <w:rFonts w:cs="Segoe UI"/>
          <w:spacing w:val="-2"/>
        </w:rPr>
        <w:t xml:space="preserve">Sources: </w:t>
      </w:r>
      <w:r w:rsidRPr="00200234">
        <w:t>PRIMHD data</w:t>
      </w:r>
      <w:r>
        <w:t xml:space="preserve"> (extracted</w:t>
      </w:r>
      <w:r w:rsidRPr="00200234">
        <w:t xml:space="preserve"> </w:t>
      </w:r>
      <w:r>
        <w:t>1 July 2021)</w:t>
      </w:r>
      <w:r w:rsidRPr="00200234">
        <w:t xml:space="preserve"> and manual data from </w:t>
      </w:r>
      <w:r>
        <w:t>Southern, Waitematā and Whanganui DHBs</w:t>
      </w:r>
      <w:r w:rsidRPr="00200234">
        <w:t>.</w:t>
      </w:r>
    </w:p>
    <w:p w14:paraId="6675091C" w14:textId="77777777" w:rsidR="00410071" w:rsidRPr="00200234" w:rsidRDefault="00410071" w:rsidP="00D23889"/>
    <w:p w14:paraId="32EB574E" w14:textId="77777777" w:rsidR="00410071" w:rsidRPr="00200234" w:rsidRDefault="00410071" w:rsidP="00D23889">
      <w:pPr>
        <w:pStyle w:val="Heading2"/>
      </w:pPr>
      <w:bookmarkStart w:id="255" w:name="_Toc65141624"/>
      <w:bookmarkStart w:id="256" w:name="_Toc75176448"/>
      <w:bookmarkStart w:id="257" w:name="_Toc87429913"/>
      <w:bookmarkStart w:id="258" w:name="_Toc88826961"/>
      <w:r w:rsidRPr="00200234">
        <w:lastRenderedPageBreak/>
        <w:t xml:space="preserve">Use of seclusion by </w:t>
      </w:r>
      <w:bookmarkEnd w:id="255"/>
      <w:r>
        <w:t>DHBs</w:t>
      </w:r>
      <w:bookmarkEnd w:id="256"/>
      <w:r>
        <w:t xml:space="preserve"> in 2020</w:t>
      </w:r>
      <w:bookmarkEnd w:id="257"/>
      <w:bookmarkEnd w:id="258"/>
    </w:p>
    <w:p w14:paraId="098126E7" w14:textId="77777777" w:rsidR="00410071" w:rsidRPr="00200234" w:rsidRDefault="00410071" w:rsidP="00D23889">
      <w:pPr>
        <w:keepNext/>
      </w:pPr>
      <w:r w:rsidRPr="00200234">
        <w:t>All DHBs except for Wairarapa DHB (which has no mental health inpatient service) use seclusion.</w:t>
      </w:r>
      <w:r w:rsidRPr="00D23889">
        <w:rPr>
          <w:rStyle w:val="FootnoteReference"/>
        </w:rPr>
        <w:footnoteReference w:id="18"/>
      </w:r>
    </w:p>
    <w:p w14:paraId="3ABE1E0C" w14:textId="77777777" w:rsidR="00410071" w:rsidRPr="00200234" w:rsidRDefault="00410071" w:rsidP="00D23889">
      <w:pPr>
        <w:keepNext/>
      </w:pPr>
    </w:p>
    <w:p w14:paraId="2A9379B1" w14:textId="77777777" w:rsidR="00410071" w:rsidRDefault="00410071" w:rsidP="00D23889">
      <w:pPr>
        <w:keepNext/>
      </w:pPr>
      <w:r>
        <w:t>The</w:t>
      </w:r>
      <w:r w:rsidRPr="00200234">
        <w:t xml:space="preserve"> national average number of people secluded in adult inpatient services </w:t>
      </w:r>
      <w:r>
        <w:t xml:space="preserve">in 2020 </w:t>
      </w:r>
      <w:r w:rsidRPr="00200234">
        <w:t xml:space="preserve">was </w:t>
      </w:r>
      <w:r>
        <w:t>31</w:t>
      </w:r>
      <w:r w:rsidRPr="00200234">
        <w:t xml:space="preserve"> per 100,000 population, and the average number of seclusion events was </w:t>
      </w:r>
      <w:r>
        <w:t>69.1</w:t>
      </w:r>
      <w:r w:rsidR="00D23889">
        <w:t> </w:t>
      </w:r>
      <w:r w:rsidRPr="00200234">
        <w:t>per 100,000 population.</w:t>
      </w:r>
    </w:p>
    <w:p w14:paraId="76B05224" w14:textId="77777777" w:rsidR="00D23889" w:rsidRPr="00200234" w:rsidRDefault="00D23889" w:rsidP="00D23889">
      <w:pPr>
        <w:keepNext/>
      </w:pPr>
    </w:p>
    <w:p w14:paraId="654C1CEC" w14:textId="361460C4" w:rsidR="00410071" w:rsidRDefault="00410071" w:rsidP="00D23889">
      <w:pPr>
        <w:pStyle w:val="Figure"/>
      </w:pPr>
      <w:bookmarkStart w:id="259" w:name="_Toc63764772"/>
      <w:bookmarkStart w:id="260" w:name="_Toc75176492"/>
      <w:bookmarkStart w:id="261" w:name="_Toc85442583"/>
      <w:bookmarkStart w:id="262" w:name="_Toc85445930"/>
      <w:bookmarkStart w:id="263" w:name="_Toc87429976"/>
      <w:bookmarkStart w:id="264" w:name="_Toc88561408"/>
      <w:r>
        <w:t>Figure</w:t>
      </w:r>
      <w:r w:rsidR="00D23889">
        <w:t> </w:t>
      </w:r>
      <w:r w:rsidR="00592799">
        <w:fldChar w:fldCharType="begin"/>
      </w:r>
      <w:r w:rsidR="00592799">
        <w:instrText xml:space="preserve"> SEQ Figure</w:instrText>
      </w:r>
      <w:r w:rsidR="00592799">
        <w:instrText xml:space="preserve"> \* ARABIC </w:instrText>
      </w:r>
      <w:r w:rsidR="00592799">
        <w:fldChar w:fldCharType="separate"/>
      </w:r>
      <w:r w:rsidR="00840F18">
        <w:rPr>
          <w:noProof/>
        </w:rPr>
        <w:t>27</w:t>
      </w:r>
      <w:r w:rsidR="00592799">
        <w:rPr>
          <w:noProof/>
        </w:rPr>
        <w:fldChar w:fldCharType="end"/>
      </w:r>
      <w:r w:rsidRPr="00200234">
        <w:t>: Number of people secluded in adult inpatient services per 100,000 population, by DHB, 1 January to 31 December 20</w:t>
      </w:r>
      <w:bookmarkEnd w:id="259"/>
      <w:r>
        <w:t>20</w:t>
      </w:r>
      <w:bookmarkEnd w:id="260"/>
      <w:bookmarkEnd w:id="261"/>
      <w:bookmarkEnd w:id="262"/>
      <w:bookmarkEnd w:id="263"/>
      <w:bookmarkEnd w:id="264"/>
    </w:p>
    <w:p w14:paraId="33FE6EAA" w14:textId="77777777" w:rsidR="00410071" w:rsidRPr="00200234" w:rsidRDefault="00410071" w:rsidP="00410071">
      <w:pPr>
        <w:rPr>
          <w:rFonts w:cs="Segoe UI"/>
        </w:rPr>
      </w:pPr>
      <w:r>
        <w:rPr>
          <w:noProof/>
          <w:lang w:eastAsia="en-NZ"/>
        </w:rPr>
        <w:drawing>
          <wp:inline distT="0" distB="0" distL="0" distR="0" wp14:anchorId="546BC195" wp14:editId="54F89135">
            <wp:extent cx="5594465" cy="3965171"/>
            <wp:effectExtent l="0" t="0" r="6350" b="0"/>
            <wp:docPr id="31" name="Chart 31" descr="This graph shows that the national average number of people secluded in 2020 was about 31 per 100,000. The DHBs with the highest numbers of secluded people were Tairawhiti and Bay of Plenty with about 85 people, and then Hutt Valley with about 66 people per 100,000. The DHBs with the lowest numbers were Auckland and Waitematā with fewer than 10 people each per 100,000.">
              <a:extLst xmlns:a="http://schemas.openxmlformats.org/drawingml/2006/main">
                <a:ext uri="{FF2B5EF4-FFF2-40B4-BE49-F238E27FC236}">
                  <a16:creationId xmlns:a16="http://schemas.microsoft.com/office/drawing/2014/main" id="{00000000-0008-0000-1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2E83CEF" w14:textId="77777777" w:rsidR="00410071" w:rsidRPr="00200234" w:rsidRDefault="00410071" w:rsidP="00D23889">
      <w:pPr>
        <w:pStyle w:val="Note"/>
      </w:pPr>
      <w:r w:rsidRPr="00200234">
        <w:t>Notes: The graph uses confidence intervals (for 99 percent confidence) to help in interpreting the data. Where a DHB region</w:t>
      </w:r>
      <w:r w:rsidR="0039221C">
        <w:t>’</w:t>
      </w:r>
      <w:r w:rsidRPr="00200234">
        <w:t>s confidence interval crosses the national average, this means the DHB</w:t>
      </w:r>
      <w:r w:rsidR="0039221C">
        <w:t>’</w:t>
      </w:r>
      <w:r w:rsidRPr="00200234">
        <w:t xml:space="preserve">s rate was not statistically significantly different from the national average. This data excludes </w:t>
      </w:r>
      <w:r>
        <w:t>an outlier</w:t>
      </w:r>
      <w:r w:rsidRPr="00200234">
        <w:t>. It includes patients who have a legal status under the Mental Health Act but are treated in RIDSS</w:t>
      </w:r>
      <w:r>
        <w:t>s</w:t>
      </w:r>
      <w:r w:rsidRPr="00200234">
        <w:t xml:space="preserve">. Wairarapa DHB does not have an inpatient unit, </w:t>
      </w:r>
      <w:r>
        <w:t xml:space="preserve">so </w:t>
      </w:r>
      <w:r w:rsidRPr="00200234">
        <w:t>they have been removed from this graph.</w:t>
      </w:r>
    </w:p>
    <w:p w14:paraId="62767A1C" w14:textId="77777777" w:rsidR="00410071" w:rsidRDefault="00410071" w:rsidP="00D23889">
      <w:pPr>
        <w:pStyle w:val="Source"/>
      </w:pPr>
      <w:r w:rsidRPr="00200234">
        <w:t xml:space="preserve">Sources: </w:t>
      </w:r>
      <w:r w:rsidRPr="004A18F7">
        <w:t>PRIMHD data (extracted 1 July 2021) and manual data from Southern, Waitematā and Whanganui DHBs.</w:t>
      </w:r>
    </w:p>
    <w:p w14:paraId="7637637A" w14:textId="77777777" w:rsidR="00D23889" w:rsidRPr="00D23889" w:rsidRDefault="00D23889" w:rsidP="00D23889"/>
    <w:p w14:paraId="45F04152" w14:textId="1EFE0A70" w:rsidR="00410071" w:rsidRDefault="00410071" w:rsidP="00D23889">
      <w:pPr>
        <w:pStyle w:val="Figure"/>
      </w:pPr>
      <w:bookmarkStart w:id="265" w:name="_Toc63764774"/>
      <w:bookmarkStart w:id="266" w:name="_Toc75176493"/>
      <w:bookmarkStart w:id="267" w:name="_Toc85442584"/>
      <w:bookmarkStart w:id="268" w:name="_Toc85445931"/>
      <w:bookmarkStart w:id="269" w:name="_Toc87429977"/>
      <w:bookmarkStart w:id="270" w:name="_Toc88561409"/>
      <w:r>
        <w:lastRenderedPageBreak/>
        <w:t>Figure</w:t>
      </w:r>
      <w:r w:rsidR="00D23889">
        <w:t> </w:t>
      </w:r>
      <w:r w:rsidR="00592799">
        <w:fldChar w:fldCharType="begin"/>
      </w:r>
      <w:r w:rsidR="00592799">
        <w:instrText xml:space="preserve"> SEQ Figure \* ARABIC </w:instrText>
      </w:r>
      <w:r w:rsidR="00592799">
        <w:fldChar w:fldCharType="separate"/>
      </w:r>
      <w:r w:rsidR="00840F18">
        <w:rPr>
          <w:noProof/>
        </w:rPr>
        <w:t>28</w:t>
      </w:r>
      <w:r w:rsidR="00592799">
        <w:rPr>
          <w:noProof/>
        </w:rPr>
        <w:fldChar w:fldCharType="end"/>
      </w:r>
      <w:r w:rsidRPr="00200234">
        <w:t>: Number of seclusion events in adult inpatient services per 100,000 population, by DHB, 1 January to 31 December 20</w:t>
      </w:r>
      <w:bookmarkEnd w:id="265"/>
      <w:r>
        <w:t>20</w:t>
      </w:r>
      <w:bookmarkEnd w:id="266"/>
      <w:bookmarkEnd w:id="267"/>
      <w:bookmarkEnd w:id="268"/>
      <w:bookmarkEnd w:id="269"/>
      <w:bookmarkEnd w:id="270"/>
    </w:p>
    <w:p w14:paraId="2D06C653" w14:textId="77777777" w:rsidR="00410071" w:rsidRPr="00200234" w:rsidRDefault="00410071" w:rsidP="00410071">
      <w:pPr>
        <w:rPr>
          <w:rFonts w:cs="Segoe UI"/>
        </w:rPr>
      </w:pPr>
      <w:r>
        <w:rPr>
          <w:noProof/>
          <w:lang w:eastAsia="en-NZ"/>
        </w:rPr>
        <w:drawing>
          <wp:inline distT="0" distB="0" distL="0" distR="0" wp14:anchorId="06B5E723" wp14:editId="06521A9B">
            <wp:extent cx="5494713" cy="3740727"/>
            <wp:effectExtent l="0" t="0" r="0" b="0"/>
            <wp:docPr id="32" name="Chart 32" descr="This graph shows that the national average number of seclusion events in 2020 was 69 per 100,000 people. The DHB with the highest number of seclusion events was Bay of Plenty with about 225 per 100,000 people. The next highest were Nelson Marlborough and Southern with about 170 and Tairāwhiti with around 150. The DHBs with the lowest numbers were Auckland and Waitematā with less than 15 each.">
              <a:extLst xmlns:a="http://schemas.openxmlformats.org/drawingml/2006/main">
                <a:ext uri="{FF2B5EF4-FFF2-40B4-BE49-F238E27FC236}">
                  <a16:creationId xmlns:a16="http://schemas.microsoft.com/office/drawing/2014/main" id="{00000000-0008-0000-1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7F32854" w14:textId="77777777" w:rsidR="00410071" w:rsidRPr="00200234" w:rsidRDefault="00410071" w:rsidP="00D23889">
      <w:pPr>
        <w:pStyle w:val="Note"/>
      </w:pPr>
      <w:r w:rsidRPr="00200234">
        <w:t>Notes: The graph uses confidence intervals (for 99 percent confidence) to help in interpreting the data. Where a DHB region</w:t>
      </w:r>
      <w:r w:rsidR="0039221C">
        <w:t>’</w:t>
      </w:r>
      <w:r w:rsidRPr="00200234">
        <w:t>s confidence interval crosses the national average, this means the DHB</w:t>
      </w:r>
      <w:r w:rsidR="0039221C">
        <w:t>’</w:t>
      </w:r>
      <w:r w:rsidRPr="00200234">
        <w:t xml:space="preserve">s rate was not statistically significantly different from the national average. This data excludes </w:t>
      </w:r>
      <w:r>
        <w:t>an outlier</w:t>
      </w:r>
      <w:r w:rsidRPr="00200234">
        <w:t>. It includes patients who have a legal status under the Mental Health Act but are treated in RIDSS</w:t>
      </w:r>
      <w:r>
        <w:t>s</w:t>
      </w:r>
      <w:r w:rsidRPr="00200234">
        <w:t xml:space="preserve">. Wairarapa DHB does not have an inpatient unit, </w:t>
      </w:r>
      <w:r>
        <w:t xml:space="preserve">so </w:t>
      </w:r>
      <w:r w:rsidRPr="00200234">
        <w:t>they have been removed from this graph.</w:t>
      </w:r>
    </w:p>
    <w:p w14:paraId="465F17F9" w14:textId="77777777" w:rsidR="00410071" w:rsidRPr="004A18F7" w:rsidRDefault="00410071" w:rsidP="00D23889">
      <w:pPr>
        <w:pStyle w:val="Source"/>
      </w:pPr>
      <w:r w:rsidRPr="00200234">
        <w:t xml:space="preserve">Sources: </w:t>
      </w:r>
      <w:r w:rsidRPr="004A18F7">
        <w:t>PRIMHD data (extracted 1 July 2021) and manual data from Southern, Waitematā and Whanganui DHBs.</w:t>
      </w:r>
    </w:p>
    <w:p w14:paraId="4927963B" w14:textId="77777777" w:rsidR="00410071" w:rsidRPr="00ED4FA1" w:rsidRDefault="00410071" w:rsidP="00F93E6C"/>
    <w:p w14:paraId="0EBB290F" w14:textId="77777777" w:rsidR="00410071" w:rsidRPr="00200234" w:rsidRDefault="00410071" w:rsidP="00F93E6C">
      <w:pPr>
        <w:pStyle w:val="Heading2"/>
      </w:pPr>
      <w:bookmarkStart w:id="271" w:name="_Toc65141625"/>
      <w:bookmarkStart w:id="272" w:name="_Toc75176449"/>
      <w:bookmarkStart w:id="273" w:name="_Toc87429914"/>
      <w:bookmarkStart w:id="274" w:name="_Toc88826962"/>
      <w:r w:rsidRPr="00200234">
        <w:lastRenderedPageBreak/>
        <w:t>Seclusion and ethnicity</w:t>
      </w:r>
      <w:bookmarkEnd w:id="271"/>
      <w:bookmarkEnd w:id="272"/>
      <w:r>
        <w:t xml:space="preserve"> in 2020</w:t>
      </w:r>
      <w:bookmarkEnd w:id="273"/>
      <w:bookmarkEnd w:id="274"/>
    </w:p>
    <w:p w14:paraId="3D22CCD6" w14:textId="0CACCCFD" w:rsidR="00410071" w:rsidRDefault="00410071" w:rsidP="005C3C1F">
      <w:pPr>
        <w:keepNext/>
        <w:keepLines/>
      </w:pPr>
      <w:r w:rsidRPr="00200234">
        <w:t xml:space="preserve">Māori were </w:t>
      </w:r>
      <w:r>
        <w:t>5.1</w:t>
      </w:r>
      <w:r w:rsidRPr="00200234">
        <w:t xml:space="preserve"> times more likely to be secluded in adult inpatient services than </w:t>
      </w:r>
      <w:r>
        <w:t>non-Māori and non-Pacific peoples</w:t>
      </w:r>
      <w:r w:rsidRPr="00200234">
        <w:t>.</w:t>
      </w:r>
      <w:r>
        <w:t xml:space="preserve"> Pacific peoples were 1.1 times more likely to be secluded than non-Pacific peoples and non-Māori.</w:t>
      </w:r>
      <w:r w:rsidRPr="00200234">
        <w:t xml:space="preserve"> </w:t>
      </w:r>
      <w:r>
        <w:fldChar w:fldCharType="begin"/>
      </w:r>
      <w:r>
        <w:instrText xml:space="preserve"> REF _Ref84319865 \h </w:instrText>
      </w:r>
      <w:r>
        <w:fldChar w:fldCharType="separate"/>
      </w:r>
      <w:r w:rsidR="00840F18">
        <w:t>Figure </w:t>
      </w:r>
      <w:r w:rsidR="00840F18">
        <w:rPr>
          <w:noProof/>
        </w:rPr>
        <w:t>29</w:t>
      </w:r>
      <w:r>
        <w:fldChar w:fldCharType="end"/>
      </w:r>
      <w:r>
        <w:t xml:space="preserve"> shows the number of people secluded by ethnicity.</w:t>
      </w:r>
    </w:p>
    <w:p w14:paraId="7B1903E8" w14:textId="77777777" w:rsidR="00410071" w:rsidRDefault="00410071" w:rsidP="00F93E6C">
      <w:pPr>
        <w:keepNext/>
      </w:pPr>
    </w:p>
    <w:p w14:paraId="09B7D724" w14:textId="3550C874" w:rsidR="00410071" w:rsidRDefault="00410071" w:rsidP="00F93E6C">
      <w:pPr>
        <w:pStyle w:val="Figure"/>
      </w:pPr>
      <w:bookmarkStart w:id="275" w:name="_Ref84319865"/>
      <w:bookmarkStart w:id="276" w:name="_Toc85442585"/>
      <w:bookmarkStart w:id="277" w:name="_Toc85445932"/>
      <w:bookmarkStart w:id="278" w:name="_Toc87429978"/>
      <w:bookmarkStart w:id="279" w:name="_Toc88561410"/>
      <w:r>
        <w:t>Figure</w:t>
      </w:r>
      <w:r w:rsidR="00F93E6C">
        <w:t> </w:t>
      </w:r>
      <w:r w:rsidR="00592799">
        <w:fldChar w:fldCharType="begin"/>
      </w:r>
      <w:r w:rsidR="00592799">
        <w:instrText xml:space="preserve"> SEQ Figure \* ARABIC </w:instrText>
      </w:r>
      <w:r w:rsidR="00592799">
        <w:fldChar w:fldCharType="separate"/>
      </w:r>
      <w:r w:rsidR="00840F18">
        <w:rPr>
          <w:noProof/>
        </w:rPr>
        <w:t>29</w:t>
      </w:r>
      <w:r w:rsidR="00592799">
        <w:rPr>
          <w:noProof/>
        </w:rPr>
        <w:fldChar w:fldCharType="end"/>
      </w:r>
      <w:bookmarkEnd w:id="275"/>
      <w:r w:rsidRPr="00200234">
        <w:t xml:space="preserve">: </w:t>
      </w:r>
      <w:r>
        <w:t>Number of people secluded, by ethnicity</w:t>
      </w:r>
      <w:r w:rsidRPr="00200234">
        <w:t>, 1 January to 31 December 20</w:t>
      </w:r>
      <w:r>
        <w:t>20</w:t>
      </w:r>
      <w:bookmarkEnd w:id="276"/>
      <w:bookmarkEnd w:id="277"/>
      <w:bookmarkEnd w:id="278"/>
      <w:bookmarkEnd w:id="279"/>
    </w:p>
    <w:p w14:paraId="6CC53D4B" w14:textId="77777777" w:rsidR="00410071" w:rsidRDefault="00410071" w:rsidP="00410071">
      <w:r>
        <w:rPr>
          <w:noProof/>
          <w:lang w:eastAsia="en-NZ"/>
        </w:rPr>
        <w:drawing>
          <wp:inline distT="0" distB="0" distL="0" distR="0" wp14:anchorId="04F945EF" wp14:editId="31A7C5D5">
            <wp:extent cx="4371975" cy="2886075"/>
            <wp:effectExtent l="0" t="0" r="0" b="0"/>
            <wp:docPr id="33" name="Chart 33" descr="This bar graph shows that 446 Māori, 64 Pacific peoples and 423 people of other ethnicities were secluded in 2020.">
              <a:extLst xmlns:a="http://schemas.openxmlformats.org/drawingml/2006/main">
                <a:ext uri="{FF2B5EF4-FFF2-40B4-BE49-F238E27FC236}">
                  <a16:creationId xmlns:a16="http://schemas.microsoft.com/office/drawing/2014/main" id="{99F89412-6651-484C-92B6-942F75C72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5CD4F72" w14:textId="77777777" w:rsidR="00410071" w:rsidRPr="00CC06A4" w:rsidRDefault="00410071" w:rsidP="008C1BFB">
      <w:pPr>
        <w:pStyle w:val="Note"/>
      </w:pPr>
      <w:r w:rsidRPr="00CC06A4">
        <w:t>Note</w:t>
      </w:r>
      <w:r>
        <w:t>s</w:t>
      </w:r>
      <w:r w:rsidRPr="00CC06A4">
        <w:t xml:space="preserve">: Excludes an outlier, forensic services and patients who have a legal status under the Intellectual Disability (Compulsory Care and Rehabilitation) Act 2003. </w:t>
      </w:r>
      <w:r w:rsidRPr="00CC06A4">
        <w:rPr>
          <w:rFonts w:cs="Segoe UI"/>
        </w:rPr>
        <w:t>Includes patients who have a legal status under the Mental Health Act but are treated in RIDSS</w:t>
      </w:r>
      <w:r>
        <w:rPr>
          <w:rFonts w:cs="Segoe UI"/>
        </w:rPr>
        <w:t>s</w:t>
      </w:r>
      <w:r w:rsidRPr="00CC06A4">
        <w:rPr>
          <w:rFonts w:cs="Segoe UI"/>
        </w:rPr>
        <w:t>.</w:t>
      </w:r>
    </w:p>
    <w:p w14:paraId="106DA328" w14:textId="77777777" w:rsidR="00410071" w:rsidRPr="004A18F7" w:rsidRDefault="00410071" w:rsidP="008C1BFB">
      <w:pPr>
        <w:pStyle w:val="Source"/>
      </w:pPr>
      <w:r w:rsidRPr="00200234">
        <w:t xml:space="preserve">Sources: </w:t>
      </w:r>
      <w:r w:rsidRPr="004A18F7">
        <w:t>PRIMHD data (extracted 1 July 2021) and manual data from Southern, Waitematā and Whanganui DHBs.</w:t>
      </w:r>
    </w:p>
    <w:p w14:paraId="5918E7BB" w14:textId="77777777" w:rsidR="00410071" w:rsidRDefault="00410071" w:rsidP="008C1BFB"/>
    <w:p w14:paraId="2B7EE599" w14:textId="6FD5EF98" w:rsidR="00410071" w:rsidRPr="00200234" w:rsidRDefault="00410071" w:rsidP="008C1BFB">
      <w:r w:rsidRPr="00200234">
        <w:fldChar w:fldCharType="begin"/>
      </w:r>
      <w:r w:rsidRPr="00200234">
        <w:instrText xml:space="preserve"> REF _Ref65672381 \h </w:instrText>
      </w:r>
      <w:r w:rsidRPr="00200234">
        <w:fldChar w:fldCharType="separate"/>
      </w:r>
      <w:r w:rsidR="00840F18">
        <w:t>Figure </w:t>
      </w:r>
      <w:r w:rsidR="00840F18">
        <w:rPr>
          <w:noProof/>
        </w:rPr>
        <w:t>30</w:t>
      </w:r>
      <w:r w:rsidRPr="00200234">
        <w:fldChar w:fldCharType="end"/>
      </w:r>
      <w:r w:rsidRPr="00200234">
        <w:t xml:space="preserve"> shows seclusion indicators for Māori</w:t>
      </w:r>
      <w:r>
        <w:t>, Pacific peoples</w:t>
      </w:r>
      <w:r w:rsidRPr="00200234">
        <w:t xml:space="preserve"> and </w:t>
      </w:r>
      <w:r>
        <w:t>other</w:t>
      </w:r>
      <w:r w:rsidRPr="00200234">
        <w:t xml:space="preserve"> during 20</w:t>
      </w:r>
      <w:r>
        <w:t>20</w:t>
      </w:r>
      <w:r w:rsidRPr="00200234">
        <w:t xml:space="preserve">. Māori were secluded at a rate of </w:t>
      </w:r>
      <w:r>
        <w:t>97.9</w:t>
      </w:r>
      <w:r w:rsidRPr="00200234">
        <w:t xml:space="preserve"> people per 100,000 population</w:t>
      </w:r>
      <w:r>
        <w:t>, Pacific peoples at 32.8 people per 100,000 population</w:t>
      </w:r>
      <w:r w:rsidRPr="00200234">
        <w:t xml:space="preserve"> an</w:t>
      </w:r>
      <w:r>
        <w:t>d other ethnicities</w:t>
      </w:r>
      <w:r w:rsidRPr="00200234">
        <w:t xml:space="preserve"> at a rate of </w:t>
      </w:r>
      <w:r>
        <w:t>18.0</w:t>
      </w:r>
      <w:r w:rsidRPr="00200234">
        <w:t xml:space="preserve"> people per 100,000 population.</w:t>
      </w:r>
    </w:p>
    <w:p w14:paraId="3E3AF14E" w14:textId="77777777" w:rsidR="00410071" w:rsidRPr="00200234" w:rsidRDefault="00410071" w:rsidP="008C1BFB"/>
    <w:p w14:paraId="76480530" w14:textId="0F9D0568" w:rsidR="00410071" w:rsidRDefault="00410071" w:rsidP="008C1BFB">
      <w:pPr>
        <w:pStyle w:val="Figure"/>
      </w:pPr>
      <w:bookmarkStart w:id="280" w:name="_Ref65672381"/>
      <w:bookmarkStart w:id="281" w:name="_Toc63764776"/>
      <w:bookmarkStart w:id="282" w:name="_Toc75176494"/>
      <w:bookmarkStart w:id="283" w:name="_Toc85442586"/>
      <w:bookmarkStart w:id="284" w:name="_Toc85445933"/>
      <w:bookmarkStart w:id="285" w:name="_Toc87429979"/>
      <w:bookmarkStart w:id="286" w:name="_Toc88561411"/>
      <w:r>
        <w:lastRenderedPageBreak/>
        <w:t>Figure</w:t>
      </w:r>
      <w:r w:rsidR="008C1BFB">
        <w:t> </w:t>
      </w:r>
      <w:r w:rsidR="00592799">
        <w:fldChar w:fldCharType="begin"/>
      </w:r>
      <w:r w:rsidR="00592799">
        <w:instrText xml:space="preserve"> SEQ Figure \* ARABIC </w:instrText>
      </w:r>
      <w:r w:rsidR="00592799">
        <w:fldChar w:fldCharType="separate"/>
      </w:r>
      <w:r w:rsidR="00840F18">
        <w:rPr>
          <w:noProof/>
        </w:rPr>
        <w:t>30</w:t>
      </w:r>
      <w:r w:rsidR="00592799">
        <w:rPr>
          <w:noProof/>
        </w:rPr>
        <w:fldChar w:fldCharType="end"/>
      </w:r>
      <w:bookmarkEnd w:id="280"/>
      <w:r w:rsidRPr="00200234">
        <w:t>: Seclusion indicators for adult inpatient services, Māori</w:t>
      </w:r>
      <w:r>
        <w:t>, Pacific peoples and other ethnicities</w:t>
      </w:r>
      <w:r w:rsidRPr="00200234">
        <w:t>, 1 January to 31 December 20</w:t>
      </w:r>
      <w:bookmarkEnd w:id="281"/>
      <w:r>
        <w:t>20</w:t>
      </w:r>
      <w:bookmarkEnd w:id="282"/>
      <w:bookmarkEnd w:id="283"/>
      <w:bookmarkEnd w:id="284"/>
      <w:bookmarkEnd w:id="285"/>
      <w:bookmarkEnd w:id="286"/>
    </w:p>
    <w:p w14:paraId="43FC0A0F" w14:textId="77777777" w:rsidR="00410071" w:rsidRPr="00200234" w:rsidRDefault="00410071" w:rsidP="00410071">
      <w:pPr>
        <w:rPr>
          <w:rFonts w:cs="Segoe UI"/>
        </w:rPr>
      </w:pPr>
      <w:r>
        <w:rPr>
          <w:noProof/>
          <w:lang w:eastAsia="en-NZ"/>
        </w:rPr>
        <w:drawing>
          <wp:inline distT="0" distB="0" distL="0" distR="0" wp14:anchorId="177D393A" wp14:editId="0D462AA5">
            <wp:extent cx="5020887" cy="2951018"/>
            <wp:effectExtent l="0" t="0" r="8890" b="1905"/>
            <wp:docPr id="37" name="Chart 37" descr="This bar graph shows that in 2020 there were more seclusion events affecting Māori than Pacific peoples and other ethnicities. However, Pacific peoples had a longer average duration per event than Māori and other ethnicities.">
              <a:extLst xmlns:a="http://schemas.openxmlformats.org/drawingml/2006/main">
                <a:ext uri="{FF2B5EF4-FFF2-40B4-BE49-F238E27FC236}">
                  <a16:creationId xmlns:a16="http://schemas.microsoft.com/office/drawing/2014/main" id="{2D955296-E895-4CBB-91EB-ABEB8E29D1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71AB299" w14:textId="77777777" w:rsidR="00410071" w:rsidRPr="00CC06A4" w:rsidRDefault="00410071" w:rsidP="008C1BFB">
      <w:pPr>
        <w:pStyle w:val="Note"/>
      </w:pPr>
      <w:r w:rsidRPr="00CC06A4">
        <w:t>Note</w:t>
      </w:r>
      <w:r>
        <w:t>s</w:t>
      </w:r>
      <w:r w:rsidRPr="00CC06A4">
        <w:t xml:space="preserve">: Excludes an outlier, forensic services and patients who have a legal status under the Intellectual Disability (Compulsory Care and Rehabilitation) Act 2003. </w:t>
      </w:r>
      <w:r w:rsidRPr="00CC06A4">
        <w:rPr>
          <w:rFonts w:cs="Segoe UI"/>
        </w:rPr>
        <w:t>Includes patients who have a legal status under the Mental Health Act but are treated in RIDSS</w:t>
      </w:r>
      <w:r>
        <w:rPr>
          <w:rFonts w:cs="Segoe UI"/>
        </w:rPr>
        <w:t>s</w:t>
      </w:r>
      <w:r w:rsidRPr="00CC06A4">
        <w:rPr>
          <w:rFonts w:cs="Segoe UI"/>
        </w:rPr>
        <w:t>.</w:t>
      </w:r>
    </w:p>
    <w:p w14:paraId="1642668F" w14:textId="77777777" w:rsidR="00410071" w:rsidRPr="004A18F7" w:rsidRDefault="00410071" w:rsidP="008C1BFB">
      <w:pPr>
        <w:pStyle w:val="Source"/>
      </w:pPr>
      <w:r w:rsidRPr="00200234">
        <w:t xml:space="preserve">Sources: </w:t>
      </w:r>
      <w:r w:rsidRPr="004A18F7">
        <w:t>PRIMHD data (extracted 1 July 2021) and manual data from Southern, Waitematā and Whanganui DHBs.</w:t>
      </w:r>
    </w:p>
    <w:p w14:paraId="0C6540A9" w14:textId="77777777" w:rsidR="00410071" w:rsidRPr="00200234" w:rsidRDefault="00410071" w:rsidP="008C1BFB"/>
    <w:p w14:paraId="236E5C87" w14:textId="49B80494" w:rsidR="00410071" w:rsidRDefault="00410071" w:rsidP="008C1BFB">
      <w:pPr>
        <w:pStyle w:val="Figure"/>
      </w:pPr>
      <w:bookmarkStart w:id="287" w:name="_Toc63764778"/>
      <w:bookmarkStart w:id="288" w:name="_Toc75176495"/>
      <w:bookmarkStart w:id="289" w:name="_Toc85442587"/>
      <w:bookmarkStart w:id="290" w:name="_Toc85445934"/>
      <w:bookmarkStart w:id="291" w:name="_Toc87429980"/>
      <w:bookmarkStart w:id="292" w:name="_Toc88561412"/>
      <w:r>
        <w:t>Figure</w:t>
      </w:r>
      <w:r w:rsidR="008C1BFB">
        <w:t> </w:t>
      </w:r>
      <w:r w:rsidR="00592799">
        <w:fldChar w:fldCharType="begin"/>
      </w:r>
      <w:r w:rsidR="00592799">
        <w:instrText xml:space="preserve"> SEQ F</w:instrText>
      </w:r>
      <w:r w:rsidR="00592799">
        <w:instrText xml:space="preserve">igure \* ARABIC </w:instrText>
      </w:r>
      <w:r w:rsidR="00592799">
        <w:fldChar w:fldCharType="separate"/>
      </w:r>
      <w:r w:rsidR="00840F18">
        <w:rPr>
          <w:noProof/>
        </w:rPr>
        <w:t>31</w:t>
      </w:r>
      <w:r w:rsidR="00592799">
        <w:rPr>
          <w:noProof/>
        </w:rPr>
        <w:fldChar w:fldCharType="end"/>
      </w:r>
      <w:r w:rsidRPr="00200234">
        <w:t xml:space="preserve">: Percentage of people </w:t>
      </w:r>
      <w:r>
        <w:t xml:space="preserve">with inpatient admissions that spent time in seclusion </w:t>
      </w:r>
      <w:r w:rsidRPr="00200234">
        <w:t>in adult inpatient services, Māori</w:t>
      </w:r>
      <w:r>
        <w:t xml:space="preserve">, Pacific peoples and other ethnicities, </w:t>
      </w:r>
      <w:r w:rsidRPr="00200234">
        <w:t>males and females, 1 January to 31 December 20</w:t>
      </w:r>
      <w:bookmarkEnd w:id="287"/>
      <w:r>
        <w:t>20</w:t>
      </w:r>
      <w:bookmarkEnd w:id="288"/>
      <w:bookmarkEnd w:id="289"/>
      <w:bookmarkEnd w:id="290"/>
      <w:bookmarkEnd w:id="291"/>
      <w:bookmarkEnd w:id="292"/>
    </w:p>
    <w:p w14:paraId="5BE0654F" w14:textId="77777777" w:rsidR="00410071" w:rsidRPr="00200234" w:rsidRDefault="00410071" w:rsidP="00410071">
      <w:pPr>
        <w:rPr>
          <w:rFonts w:cs="Segoe UI"/>
        </w:rPr>
      </w:pPr>
      <w:r w:rsidRPr="00C576DF">
        <w:rPr>
          <w:noProof/>
          <w:color w:val="FFFFFF" w:themeColor="background1"/>
          <w:lang w:eastAsia="en-NZ"/>
        </w:rPr>
        <w:drawing>
          <wp:inline distT="0" distB="0" distL="0" distR="0" wp14:anchorId="0E56114C" wp14:editId="6FEBD3E0">
            <wp:extent cx="5020887" cy="2701637"/>
            <wp:effectExtent l="0" t="0" r="8890" b="3810"/>
            <wp:docPr id="48" name="Chart 48" descr="This bar graph shows that in 2020, about 19% of Māori males were secluded compared with about 15% of Pacific males and 10% of other males. About 12% of Māori females were secluded compared to about 9% of Pacific females and 5% of other females.">
              <a:extLst xmlns:a="http://schemas.openxmlformats.org/drawingml/2006/main">
                <a:ext uri="{FF2B5EF4-FFF2-40B4-BE49-F238E27FC236}">
                  <a16:creationId xmlns:a16="http://schemas.microsoft.com/office/drawing/2014/main" id="{E7BB3FEC-6676-4FE1-BDEC-9C27322CB1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A9B5F5D" w14:textId="77777777" w:rsidR="00410071" w:rsidRPr="00CC06A4" w:rsidRDefault="00410071" w:rsidP="008C1BFB">
      <w:pPr>
        <w:pStyle w:val="Note"/>
      </w:pPr>
      <w:r w:rsidRPr="00CC06A4">
        <w:t>Note</w:t>
      </w:r>
      <w:r>
        <w:t>s</w:t>
      </w:r>
      <w:r w:rsidRPr="00CC06A4">
        <w:t xml:space="preserve">: Excludes an outlier, forensic services and patients who have a legal status under the Intellectual Disability (Compulsory Care and Rehabilitation) Act 2003. </w:t>
      </w:r>
      <w:r w:rsidRPr="00CC06A4">
        <w:rPr>
          <w:rFonts w:cs="Segoe UI"/>
        </w:rPr>
        <w:t>Includes patients who have a legal status under the Mental Health Act but are treated in RIDSS</w:t>
      </w:r>
      <w:r>
        <w:rPr>
          <w:rFonts w:cs="Segoe UI"/>
        </w:rPr>
        <w:t>s</w:t>
      </w:r>
      <w:r w:rsidRPr="00CC06A4">
        <w:rPr>
          <w:rFonts w:cs="Segoe UI"/>
        </w:rPr>
        <w:t>.</w:t>
      </w:r>
    </w:p>
    <w:p w14:paraId="45A6608E" w14:textId="77777777" w:rsidR="00410071" w:rsidRPr="004A18F7" w:rsidRDefault="00410071" w:rsidP="008C1BFB">
      <w:pPr>
        <w:pStyle w:val="Source"/>
      </w:pPr>
      <w:r w:rsidRPr="00200234">
        <w:t xml:space="preserve">Sources: </w:t>
      </w:r>
      <w:r w:rsidRPr="004A18F7">
        <w:t>PRIMHD data (extracted 1 July 2021) and manual data from Southern, Waitematā and Whanganui DHBs.</w:t>
      </w:r>
    </w:p>
    <w:p w14:paraId="1AD30566" w14:textId="77777777" w:rsidR="008C1BFB" w:rsidRPr="00200234" w:rsidRDefault="008C1BFB" w:rsidP="00410071"/>
    <w:bookmarkStart w:id="293" w:name="_Toc34653580"/>
    <w:p w14:paraId="2C82DD6B" w14:textId="626801ED" w:rsidR="00410071" w:rsidRPr="00200234" w:rsidRDefault="00410071" w:rsidP="008C1BFB">
      <w:pPr>
        <w:rPr>
          <w:b/>
        </w:rPr>
      </w:pPr>
      <w:r w:rsidRPr="00200234">
        <w:lastRenderedPageBreak/>
        <w:fldChar w:fldCharType="begin"/>
      </w:r>
      <w:r w:rsidRPr="00200234">
        <w:instrText xml:space="preserve"> REF _Ref65672396 \h </w:instrText>
      </w:r>
      <w:r w:rsidRPr="00200234">
        <w:fldChar w:fldCharType="separate"/>
      </w:r>
      <w:r w:rsidR="00840F18">
        <w:t>Figure </w:t>
      </w:r>
      <w:r w:rsidR="00840F18">
        <w:rPr>
          <w:noProof/>
        </w:rPr>
        <w:t>32</w:t>
      </w:r>
      <w:r w:rsidRPr="00200234">
        <w:fldChar w:fldCharType="end"/>
      </w:r>
      <w:r w:rsidRPr="00200234">
        <w:t xml:space="preserve"> shows the number of Māori and non-Māori aged 20–64 years secluded in adult inpatient services from 2007 to 20</w:t>
      </w:r>
      <w:r>
        <w:t>20</w:t>
      </w:r>
      <w:r w:rsidRPr="00200234">
        <w:t xml:space="preserve">. Nationally over this time, the number of people secluded decreased by </w:t>
      </w:r>
      <w:r>
        <w:t>18</w:t>
      </w:r>
      <w:r w:rsidRPr="00200234">
        <w:t xml:space="preserve"> percent. </w:t>
      </w:r>
      <w:r>
        <w:t>However, t</w:t>
      </w:r>
      <w:r w:rsidRPr="00200234">
        <w:t xml:space="preserve">he number of people secluded who identified as Māori increased by </w:t>
      </w:r>
      <w:r>
        <w:t>15</w:t>
      </w:r>
      <w:r w:rsidRPr="00200234">
        <w:t xml:space="preserve"> percent over the same </w:t>
      </w:r>
      <w:r>
        <w:t>period</w:t>
      </w:r>
      <w:r w:rsidRPr="00200234">
        <w:t>.</w:t>
      </w:r>
    </w:p>
    <w:p w14:paraId="337510A9" w14:textId="77777777" w:rsidR="00410071" w:rsidRPr="00200234" w:rsidRDefault="00410071" w:rsidP="008C1BFB"/>
    <w:p w14:paraId="2D0D057A" w14:textId="0C7558BC" w:rsidR="00410071" w:rsidRDefault="00410071" w:rsidP="008C1BFB">
      <w:pPr>
        <w:pStyle w:val="Figure"/>
      </w:pPr>
      <w:bookmarkStart w:id="294" w:name="_Ref65672396"/>
      <w:bookmarkStart w:id="295" w:name="_Toc63764780"/>
      <w:bookmarkStart w:id="296" w:name="_Toc75176496"/>
      <w:bookmarkStart w:id="297" w:name="_Toc85442588"/>
      <w:bookmarkStart w:id="298" w:name="_Toc85445935"/>
      <w:bookmarkStart w:id="299" w:name="_Toc87429981"/>
      <w:bookmarkStart w:id="300" w:name="_Toc88561413"/>
      <w:bookmarkEnd w:id="293"/>
      <w:r>
        <w:t>Figure</w:t>
      </w:r>
      <w:r w:rsidR="008C1BFB">
        <w:t> </w:t>
      </w:r>
      <w:r w:rsidR="00592799">
        <w:fldChar w:fldCharType="begin"/>
      </w:r>
      <w:r w:rsidR="00592799">
        <w:instrText xml:space="preserve"> SEQ Figure \* ARABIC </w:instrText>
      </w:r>
      <w:r w:rsidR="00592799">
        <w:fldChar w:fldCharType="separate"/>
      </w:r>
      <w:r w:rsidR="00840F18">
        <w:rPr>
          <w:noProof/>
        </w:rPr>
        <w:t>32</w:t>
      </w:r>
      <w:r w:rsidR="00592799">
        <w:rPr>
          <w:noProof/>
        </w:rPr>
        <w:fldChar w:fldCharType="end"/>
      </w:r>
      <w:bookmarkEnd w:id="294"/>
      <w:r w:rsidRPr="00200234">
        <w:t>: Number of Māori and non-Māori aged 20–64 years secluded in adult inpatient services, 2007–20</w:t>
      </w:r>
      <w:bookmarkEnd w:id="295"/>
      <w:r>
        <w:t>20</w:t>
      </w:r>
      <w:bookmarkEnd w:id="296"/>
      <w:bookmarkEnd w:id="297"/>
      <w:bookmarkEnd w:id="298"/>
      <w:bookmarkEnd w:id="299"/>
      <w:bookmarkEnd w:id="300"/>
    </w:p>
    <w:p w14:paraId="6797EA3E" w14:textId="77777777" w:rsidR="00410071" w:rsidRPr="00200234" w:rsidRDefault="00410071" w:rsidP="00410071">
      <w:pPr>
        <w:rPr>
          <w:rFonts w:cs="Segoe UI"/>
        </w:rPr>
      </w:pPr>
      <w:r>
        <w:rPr>
          <w:noProof/>
          <w:lang w:eastAsia="en-NZ"/>
        </w:rPr>
        <w:drawing>
          <wp:inline distT="0" distB="0" distL="0" distR="0" wp14:anchorId="00E4F6F8" wp14:editId="77F7E72F">
            <wp:extent cx="5120640" cy="3433157"/>
            <wp:effectExtent l="0" t="0" r="3810" b="0"/>
            <wp:docPr id="34" name="Chart 34" descr="This bar graph shows that a larger number of non-Māori were secluded than Māori each year, but that the number of non-Māori being secluded has decreased over time while the number of Māori being secluded has increased. In 2020, 446 Māori were secluded and 487 non-Māori, closing the gap between the two groups.">
              <a:extLst xmlns:a="http://schemas.openxmlformats.org/drawingml/2006/main">
                <a:ext uri="{FF2B5EF4-FFF2-40B4-BE49-F238E27FC236}">
                  <a16:creationId xmlns:a16="http://schemas.microsoft.com/office/drawing/2014/main" id="{9C2B0C53-9951-4201-B1E9-23A1295CB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A022CF5" w14:textId="77777777" w:rsidR="00410071" w:rsidRPr="00CC06A4" w:rsidRDefault="00410071" w:rsidP="008C1BFB">
      <w:pPr>
        <w:pStyle w:val="Note"/>
      </w:pPr>
      <w:r w:rsidRPr="00CC06A4">
        <w:t>Note</w:t>
      </w:r>
      <w:r>
        <w:t>s</w:t>
      </w:r>
      <w:r w:rsidRPr="00CC06A4">
        <w:t xml:space="preserve">: Excludes an outlier, forensic services and patients who have a legal status under the Intellectual Disability (Compulsory Care and Rehabilitation) Act 2003. </w:t>
      </w:r>
      <w:r w:rsidRPr="00CC06A4">
        <w:rPr>
          <w:rFonts w:cs="Segoe UI"/>
        </w:rPr>
        <w:t>Includes patients who have a legal status under the Mental Health Act but are treated in RIDSS</w:t>
      </w:r>
      <w:r>
        <w:rPr>
          <w:rFonts w:cs="Segoe UI"/>
        </w:rPr>
        <w:t>s</w:t>
      </w:r>
      <w:r w:rsidRPr="00CC06A4">
        <w:rPr>
          <w:rFonts w:cs="Segoe UI"/>
        </w:rPr>
        <w:t>.</w:t>
      </w:r>
    </w:p>
    <w:p w14:paraId="50838413" w14:textId="77777777" w:rsidR="00410071" w:rsidRDefault="00410071" w:rsidP="008C1BFB">
      <w:pPr>
        <w:pStyle w:val="Source"/>
      </w:pPr>
      <w:r w:rsidRPr="00200234">
        <w:t xml:space="preserve">Sources: </w:t>
      </w:r>
      <w:r w:rsidRPr="004A18F7">
        <w:t>PRIMHD data (extracted 1 July 2021) and manual data from Southern, Waitematā and Whanganui DHBs.</w:t>
      </w:r>
    </w:p>
    <w:p w14:paraId="606EBB45" w14:textId="77777777" w:rsidR="00410071" w:rsidRPr="00FA41EF" w:rsidRDefault="00410071" w:rsidP="008C1BFB"/>
    <w:p w14:paraId="13133543" w14:textId="77777777" w:rsidR="00410071" w:rsidRPr="00200234" w:rsidRDefault="00410071" w:rsidP="008C1BFB">
      <w:pPr>
        <w:pStyle w:val="Heading2"/>
      </w:pPr>
      <w:bookmarkStart w:id="301" w:name="_Toc65141626"/>
      <w:bookmarkStart w:id="302" w:name="_Toc75176450"/>
      <w:bookmarkStart w:id="303" w:name="_Toc87429915"/>
      <w:bookmarkStart w:id="304" w:name="_Toc88826963"/>
      <w:r w:rsidRPr="00200234">
        <w:lastRenderedPageBreak/>
        <w:t>Seclusion in forensic units</w:t>
      </w:r>
      <w:bookmarkEnd w:id="301"/>
      <w:bookmarkEnd w:id="302"/>
      <w:r>
        <w:t xml:space="preserve"> in 2020</w:t>
      </w:r>
      <w:bookmarkEnd w:id="303"/>
      <w:bookmarkEnd w:id="304"/>
    </w:p>
    <w:p w14:paraId="62EF1418" w14:textId="77777777" w:rsidR="0039221C" w:rsidRDefault="00410071" w:rsidP="008C1BFB">
      <w:pPr>
        <w:keepNext/>
      </w:pPr>
      <w:r w:rsidRPr="00200234">
        <w:t>Five DHBs provide specialist inpatient forensic services: Canterbury, Capital &amp; Coast, Southern, Waikato and Waitematā.</w:t>
      </w:r>
      <w:r w:rsidRPr="008C1BFB">
        <w:rPr>
          <w:rStyle w:val="FootnoteReference"/>
        </w:rPr>
        <w:footnoteReference w:id="19"/>
      </w:r>
      <w:r w:rsidRPr="00200234">
        <w:t xml:space="preserve"> These services provide mental health treatment in a secure environment for prisoners with mental disorders and for people defined as special or restricted patients.</w:t>
      </w:r>
    </w:p>
    <w:p w14:paraId="08E2C4DF" w14:textId="77777777" w:rsidR="00410071" w:rsidRPr="00200234" w:rsidRDefault="00410071" w:rsidP="008C1BFB">
      <w:pPr>
        <w:keepNext/>
      </w:pPr>
    </w:p>
    <w:p w14:paraId="7EA764EB" w14:textId="37C3FFE1" w:rsidR="00410071" w:rsidRPr="00200234" w:rsidRDefault="00410071" w:rsidP="000F4AD6">
      <w:pPr>
        <w:keepNext/>
        <w:keepLines/>
      </w:pPr>
      <w:r>
        <w:fldChar w:fldCharType="begin"/>
      </w:r>
      <w:r>
        <w:instrText xml:space="preserve"> REF _Ref85450538 \h </w:instrText>
      </w:r>
      <w:r>
        <w:fldChar w:fldCharType="separate"/>
      </w:r>
      <w:r w:rsidR="00840F18">
        <w:t>Table </w:t>
      </w:r>
      <w:r w:rsidR="00840F18">
        <w:rPr>
          <w:noProof/>
        </w:rPr>
        <w:t>8</w:t>
      </w:r>
      <w:r>
        <w:fldChar w:fldCharType="end"/>
      </w:r>
      <w:r>
        <w:t xml:space="preserve"> </w:t>
      </w:r>
      <w:r w:rsidRPr="00200234">
        <w:t>present</w:t>
      </w:r>
      <w:r>
        <w:t>s</w:t>
      </w:r>
      <w:r w:rsidRPr="00200234">
        <w:t xml:space="preserve"> seclusion indicators for forensic mental health services in each DHB. These indicators cannot be compared with adult service indicators because they have a different client base. A few individuals who </w:t>
      </w:r>
      <w:r>
        <w:t>have been</w:t>
      </w:r>
      <w:r w:rsidRPr="00200234">
        <w:t xml:space="preserve"> secluded significantly more often or for longer than others can substantially affect the rates of seclusion for the relatively small group of people in the care of forensic mental health services.</w:t>
      </w:r>
    </w:p>
    <w:p w14:paraId="76D77744" w14:textId="77777777" w:rsidR="00410071" w:rsidRPr="00200234" w:rsidRDefault="00410071" w:rsidP="008C1BFB">
      <w:pPr>
        <w:keepNext/>
      </w:pPr>
    </w:p>
    <w:p w14:paraId="43075B1F" w14:textId="0B1A4F4E" w:rsidR="00410071" w:rsidRDefault="00410071" w:rsidP="008C1BFB">
      <w:pPr>
        <w:pStyle w:val="Table"/>
      </w:pPr>
      <w:bookmarkStart w:id="305" w:name="_Ref85450538"/>
      <w:bookmarkStart w:id="306" w:name="_Toc87430006"/>
      <w:bookmarkStart w:id="307" w:name="_Toc88561363"/>
      <w:r>
        <w:t>Table</w:t>
      </w:r>
      <w:r w:rsidR="008C1BFB">
        <w:t> </w:t>
      </w:r>
      <w:r w:rsidR="00592799">
        <w:fldChar w:fldCharType="begin"/>
      </w:r>
      <w:r w:rsidR="00592799">
        <w:instrText xml:space="preserve"> SEQ Table \* ARABIC </w:instrText>
      </w:r>
      <w:r w:rsidR="00592799">
        <w:fldChar w:fldCharType="separate"/>
      </w:r>
      <w:r w:rsidR="00840F18">
        <w:rPr>
          <w:noProof/>
        </w:rPr>
        <w:t>8</w:t>
      </w:r>
      <w:r w:rsidR="00592799">
        <w:rPr>
          <w:noProof/>
        </w:rPr>
        <w:fldChar w:fldCharType="end"/>
      </w:r>
      <w:bookmarkEnd w:id="305"/>
      <w:r w:rsidRPr="00947A98">
        <w:t>: Seclusion indicators for forensic mental health services, by DHB, 1 January to 31 December 2020</w:t>
      </w:r>
      <w:bookmarkEnd w:id="306"/>
      <w:bookmarkEnd w:id="307"/>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1880"/>
        <w:gridCol w:w="1481"/>
        <w:gridCol w:w="1481"/>
        <w:gridCol w:w="1481"/>
        <w:gridCol w:w="1757"/>
      </w:tblGrid>
      <w:tr w:rsidR="00410071" w:rsidRPr="008C1BFB" w14:paraId="33459C1A" w14:textId="77777777" w:rsidTr="008C1BFB">
        <w:trPr>
          <w:cantSplit/>
        </w:trPr>
        <w:tc>
          <w:tcPr>
            <w:tcW w:w="1163" w:type="pct"/>
            <w:tcBorders>
              <w:top w:val="nil"/>
              <w:bottom w:val="nil"/>
            </w:tcBorders>
            <w:shd w:val="clear" w:color="auto" w:fill="D9D9D9"/>
          </w:tcPr>
          <w:p w14:paraId="0C3F9200" w14:textId="77777777" w:rsidR="00410071" w:rsidRPr="008C1BFB" w:rsidRDefault="00410071" w:rsidP="008C1BFB">
            <w:pPr>
              <w:pStyle w:val="TableText"/>
              <w:rPr>
                <w:b/>
              </w:rPr>
            </w:pPr>
            <w:r w:rsidRPr="008C1BFB">
              <w:rPr>
                <w:b/>
              </w:rPr>
              <w:t>DHB</w:t>
            </w:r>
          </w:p>
        </w:tc>
        <w:tc>
          <w:tcPr>
            <w:tcW w:w="916" w:type="pct"/>
            <w:tcBorders>
              <w:top w:val="nil"/>
              <w:bottom w:val="nil"/>
            </w:tcBorders>
            <w:shd w:val="clear" w:color="auto" w:fill="D9D9D9"/>
          </w:tcPr>
          <w:p w14:paraId="7DD0C664" w14:textId="77777777" w:rsidR="00410071" w:rsidRPr="008C1BFB" w:rsidRDefault="00410071" w:rsidP="008C1BFB">
            <w:pPr>
              <w:pStyle w:val="TableText"/>
              <w:jc w:val="center"/>
              <w:rPr>
                <w:b/>
              </w:rPr>
            </w:pPr>
            <w:r w:rsidRPr="008C1BFB">
              <w:rPr>
                <w:b/>
              </w:rPr>
              <w:t>Clients</w:t>
            </w:r>
            <w:r w:rsidRPr="008C1BFB">
              <w:rPr>
                <w:b/>
              </w:rPr>
              <w:br/>
              <w:t>secluded</w:t>
            </w:r>
          </w:p>
        </w:tc>
        <w:tc>
          <w:tcPr>
            <w:tcW w:w="916" w:type="pct"/>
            <w:tcBorders>
              <w:top w:val="nil"/>
              <w:bottom w:val="nil"/>
            </w:tcBorders>
            <w:shd w:val="clear" w:color="auto" w:fill="D9D9D9"/>
          </w:tcPr>
          <w:p w14:paraId="4D57D39A" w14:textId="77777777" w:rsidR="00410071" w:rsidRPr="008C1BFB" w:rsidRDefault="00410071" w:rsidP="008C1BFB">
            <w:pPr>
              <w:pStyle w:val="TableText"/>
              <w:jc w:val="center"/>
              <w:rPr>
                <w:b/>
              </w:rPr>
            </w:pPr>
            <w:r w:rsidRPr="008C1BFB">
              <w:rPr>
                <w:b/>
              </w:rPr>
              <w:t>Number of events</w:t>
            </w:r>
          </w:p>
        </w:tc>
        <w:tc>
          <w:tcPr>
            <w:tcW w:w="916" w:type="pct"/>
            <w:tcBorders>
              <w:top w:val="nil"/>
              <w:bottom w:val="nil"/>
            </w:tcBorders>
            <w:shd w:val="clear" w:color="auto" w:fill="D9D9D9"/>
          </w:tcPr>
          <w:p w14:paraId="3D5D9CBA" w14:textId="77777777" w:rsidR="00410071" w:rsidRPr="008C1BFB" w:rsidRDefault="00410071" w:rsidP="008C1BFB">
            <w:pPr>
              <w:pStyle w:val="TableText"/>
              <w:jc w:val="center"/>
              <w:rPr>
                <w:b/>
              </w:rPr>
            </w:pPr>
            <w:r w:rsidRPr="008C1BFB">
              <w:rPr>
                <w:b/>
              </w:rPr>
              <w:t>Total</w:t>
            </w:r>
            <w:r w:rsidRPr="008C1BFB">
              <w:rPr>
                <w:b/>
              </w:rPr>
              <w:br/>
              <w:t>hours</w:t>
            </w:r>
          </w:p>
        </w:tc>
        <w:tc>
          <w:tcPr>
            <w:tcW w:w="1087" w:type="pct"/>
            <w:tcBorders>
              <w:top w:val="nil"/>
              <w:bottom w:val="nil"/>
            </w:tcBorders>
            <w:shd w:val="clear" w:color="auto" w:fill="D9D9D9"/>
          </w:tcPr>
          <w:p w14:paraId="4B5266FC" w14:textId="77777777" w:rsidR="00410071" w:rsidRPr="008C1BFB" w:rsidRDefault="00410071" w:rsidP="008C1BFB">
            <w:pPr>
              <w:pStyle w:val="TableText"/>
              <w:jc w:val="center"/>
              <w:rPr>
                <w:b/>
              </w:rPr>
            </w:pPr>
            <w:r w:rsidRPr="008C1BFB">
              <w:rPr>
                <w:b/>
              </w:rPr>
              <w:t>Average duration per event (hours)</w:t>
            </w:r>
          </w:p>
        </w:tc>
      </w:tr>
      <w:tr w:rsidR="00410071" w:rsidRPr="00486A72" w14:paraId="22C71568" w14:textId="77777777" w:rsidTr="008C1BFB">
        <w:trPr>
          <w:cantSplit/>
        </w:trPr>
        <w:tc>
          <w:tcPr>
            <w:tcW w:w="1163" w:type="pct"/>
            <w:tcBorders>
              <w:top w:val="nil"/>
            </w:tcBorders>
          </w:tcPr>
          <w:p w14:paraId="10826106" w14:textId="77777777" w:rsidR="00410071" w:rsidRPr="00486A72" w:rsidRDefault="00410071" w:rsidP="008C1BFB">
            <w:pPr>
              <w:pStyle w:val="TableText"/>
            </w:pPr>
            <w:r w:rsidRPr="00486A72">
              <w:t>Canterbury</w:t>
            </w:r>
          </w:p>
        </w:tc>
        <w:tc>
          <w:tcPr>
            <w:tcW w:w="916" w:type="pct"/>
            <w:tcBorders>
              <w:top w:val="nil"/>
            </w:tcBorders>
          </w:tcPr>
          <w:p w14:paraId="74D0D2E8" w14:textId="77777777" w:rsidR="00410071" w:rsidRPr="00486A72" w:rsidRDefault="00410071" w:rsidP="008C1BFB">
            <w:pPr>
              <w:pStyle w:val="TableText"/>
              <w:tabs>
                <w:tab w:val="decimal" w:pos="794"/>
              </w:tabs>
            </w:pPr>
            <w:r w:rsidRPr="00486A72">
              <w:t>2</w:t>
            </w:r>
            <w:r>
              <w:t>7</w:t>
            </w:r>
          </w:p>
        </w:tc>
        <w:tc>
          <w:tcPr>
            <w:tcW w:w="916" w:type="pct"/>
            <w:tcBorders>
              <w:top w:val="nil"/>
            </w:tcBorders>
          </w:tcPr>
          <w:p w14:paraId="0A38032C" w14:textId="77777777" w:rsidR="00410071" w:rsidRPr="00486A72" w:rsidRDefault="00410071" w:rsidP="008C1BFB">
            <w:pPr>
              <w:pStyle w:val="TableText"/>
              <w:tabs>
                <w:tab w:val="decimal" w:pos="794"/>
              </w:tabs>
            </w:pPr>
            <w:r>
              <w:t>89</w:t>
            </w:r>
          </w:p>
        </w:tc>
        <w:tc>
          <w:tcPr>
            <w:tcW w:w="916" w:type="pct"/>
            <w:tcBorders>
              <w:top w:val="nil"/>
            </w:tcBorders>
          </w:tcPr>
          <w:p w14:paraId="21DE7040" w14:textId="77777777" w:rsidR="00410071" w:rsidRPr="00486A72" w:rsidRDefault="00410071" w:rsidP="008C1BFB">
            <w:pPr>
              <w:pStyle w:val="TableText"/>
              <w:tabs>
                <w:tab w:val="decimal" w:pos="952"/>
              </w:tabs>
            </w:pPr>
            <w:r>
              <w:t>10,598</w:t>
            </w:r>
          </w:p>
        </w:tc>
        <w:tc>
          <w:tcPr>
            <w:tcW w:w="1087" w:type="pct"/>
            <w:tcBorders>
              <w:top w:val="nil"/>
            </w:tcBorders>
          </w:tcPr>
          <w:p w14:paraId="6D8502BE" w14:textId="77777777" w:rsidR="00410071" w:rsidRPr="00486A72" w:rsidRDefault="00410071" w:rsidP="008C1BFB">
            <w:pPr>
              <w:pStyle w:val="TableText"/>
              <w:tabs>
                <w:tab w:val="decimal" w:pos="820"/>
              </w:tabs>
            </w:pPr>
            <w:r>
              <w:t>119.1</w:t>
            </w:r>
          </w:p>
        </w:tc>
      </w:tr>
      <w:tr w:rsidR="00410071" w:rsidRPr="00486A72" w14:paraId="2E2BAE58" w14:textId="77777777" w:rsidTr="008C1BFB">
        <w:trPr>
          <w:cantSplit/>
        </w:trPr>
        <w:tc>
          <w:tcPr>
            <w:tcW w:w="1163" w:type="pct"/>
          </w:tcPr>
          <w:p w14:paraId="4A8CFD4A" w14:textId="77777777" w:rsidR="00410071" w:rsidRPr="00486A72" w:rsidRDefault="00410071" w:rsidP="008C1BFB">
            <w:pPr>
              <w:pStyle w:val="TableText"/>
            </w:pPr>
            <w:r w:rsidRPr="00486A72">
              <w:t>Capital &amp; Coast</w:t>
            </w:r>
          </w:p>
        </w:tc>
        <w:tc>
          <w:tcPr>
            <w:tcW w:w="916" w:type="pct"/>
          </w:tcPr>
          <w:p w14:paraId="1DDDD6CD" w14:textId="77777777" w:rsidR="00410071" w:rsidRPr="00486A72" w:rsidRDefault="00410071" w:rsidP="008C1BFB">
            <w:pPr>
              <w:pStyle w:val="TableText"/>
              <w:tabs>
                <w:tab w:val="decimal" w:pos="794"/>
              </w:tabs>
            </w:pPr>
            <w:r>
              <w:t>16</w:t>
            </w:r>
          </w:p>
        </w:tc>
        <w:tc>
          <w:tcPr>
            <w:tcW w:w="916" w:type="pct"/>
          </w:tcPr>
          <w:p w14:paraId="628644EC" w14:textId="77777777" w:rsidR="00410071" w:rsidRPr="00486A72" w:rsidRDefault="00410071" w:rsidP="008C1BFB">
            <w:pPr>
              <w:pStyle w:val="TableText"/>
              <w:tabs>
                <w:tab w:val="decimal" w:pos="794"/>
              </w:tabs>
            </w:pPr>
            <w:r>
              <w:t>30</w:t>
            </w:r>
          </w:p>
        </w:tc>
        <w:tc>
          <w:tcPr>
            <w:tcW w:w="916" w:type="pct"/>
          </w:tcPr>
          <w:p w14:paraId="540EF264" w14:textId="77777777" w:rsidR="00410071" w:rsidRPr="00486A72" w:rsidRDefault="00410071" w:rsidP="008C1BFB">
            <w:pPr>
              <w:pStyle w:val="TableText"/>
              <w:tabs>
                <w:tab w:val="decimal" w:pos="952"/>
              </w:tabs>
            </w:pPr>
            <w:r>
              <w:t>839</w:t>
            </w:r>
          </w:p>
        </w:tc>
        <w:tc>
          <w:tcPr>
            <w:tcW w:w="1087" w:type="pct"/>
          </w:tcPr>
          <w:p w14:paraId="5C75CC4E" w14:textId="77777777" w:rsidR="00410071" w:rsidRPr="00486A72" w:rsidRDefault="00410071" w:rsidP="008C1BFB">
            <w:pPr>
              <w:pStyle w:val="TableText"/>
              <w:tabs>
                <w:tab w:val="decimal" w:pos="820"/>
              </w:tabs>
            </w:pPr>
            <w:r>
              <w:t>28.0</w:t>
            </w:r>
          </w:p>
        </w:tc>
      </w:tr>
      <w:tr w:rsidR="00410071" w:rsidRPr="00486A72" w14:paraId="3E51A37A" w14:textId="77777777" w:rsidTr="008C1BFB">
        <w:trPr>
          <w:cantSplit/>
        </w:trPr>
        <w:tc>
          <w:tcPr>
            <w:tcW w:w="1163" w:type="pct"/>
          </w:tcPr>
          <w:p w14:paraId="5CCC2FEC" w14:textId="77777777" w:rsidR="00410071" w:rsidRPr="00486A72" w:rsidRDefault="00410071" w:rsidP="008C1BFB">
            <w:pPr>
              <w:pStyle w:val="TableText"/>
            </w:pPr>
            <w:r w:rsidRPr="00486A72">
              <w:t>Southern</w:t>
            </w:r>
          </w:p>
        </w:tc>
        <w:tc>
          <w:tcPr>
            <w:tcW w:w="916" w:type="pct"/>
          </w:tcPr>
          <w:p w14:paraId="2057554A" w14:textId="77777777" w:rsidR="00410071" w:rsidRPr="00486A72" w:rsidRDefault="00410071" w:rsidP="008C1BFB">
            <w:pPr>
              <w:pStyle w:val="TableText"/>
              <w:tabs>
                <w:tab w:val="decimal" w:pos="794"/>
              </w:tabs>
            </w:pPr>
            <w:r>
              <w:t>7</w:t>
            </w:r>
          </w:p>
        </w:tc>
        <w:tc>
          <w:tcPr>
            <w:tcW w:w="916" w:type="pct"/>
          </w:tcPr>
          <w:p w14:paraId="516FC894" w14:textId="77777777" w:rsidR="00410071" w:rsidRPr="00486A72" w:rsidRDefault="00410071" w:rsidP="008C1BFB">
            <w:pPr>
              <w:pStyle w:val="TableText"/>
              <w:tabs>
                <w:tab w:val="decimal" w:pos="794"/>
              </w:tabs>
            </w:pPr>
            <w:r>
              <w:t>20</w:t>
            </w:r>
          </w:p>
        </w:tc>
        <w:tc>
          <w:tcPr>
            <w:tcW w:w="916" w:type="pct"/>
          </w:tcPr>
          <w:p w14:paraId="486EC7A8" w14:textId="77777777" w:rsidR="00410071" w:rsidRPr="00486A72" w:rsidRDefault="00410071" w:rsidP="008C1BFB">
            <w:pPr>
              <w:pStyle w:val="TableText"/>
              <w:tabs>
                <w:tab w:val="decimal" w:pos="952"/>
              </w:tabs>
            </w:pPr>
            <w:r>
              <w:t>350</w:t>
            </w:r>
          </w:p>
        </w:tc>
        <w:tc>
          <w:tcPr>
            <w:tcW w:w="1087" w:type="pct"/>
          </w:tcPr>
          <w:p w14:paraId="5CEE5577" w14:textId="77777777" w:rsidR="00410071" w:rsidRPr="00486A72" w:rsidRDefault="00410071" w:rsidP="008C1BFB">
            <w:pPr>
              <w:pStyle w:val="TableText"/>
              <w:tabs>
                <w:tab w:val="decimal" w:pos="820"/>
              </w:tabs>
            </w:pPr>
            <w:r>
              <w:t>17.5</w:t>
            </w:r>
          </w:p>
        </w:tc>
      </w:tr>
      <w:tr w:rsidR="00410071" w:rsidRPr="00486A72" w14:paraId="3E312202" w14:textId="77777777" w:rsidTr="008C1BFB">
        <w:trPr>
          <w:cantSplit/>
        </w:trPr>
        <w:tc>
          <w:tcPr>
            <w:tcW w:w="1163" w:type="pct"/>
          </w:tcPr>
          <w:p w14:paraId="5CF952B7" w14:textId="77777777" w:rsidR="00410071" w:rsidRPr="00486A72" w:rsidRDefault="00410071" w:rsidP="008C1BFB">
            <w:pPr>
              <w:pStyle w:val="TableText"/>
            </w:pPr>
            <w:r w:rsidRPr="00486A72">
              <w:t>Waikato</w:t>
            </w:r>
          </w:p>
        </w:tc>
        <w:tc>
          <w:tcPr>
            <w:tcW w:w="916" w:type="pct"/>
          </w:tcPr>
          <w:p w14:paraId="63E716B0" w14:textId="77777777" w:rsidR="00410071" w:rsidRPr="00486A72" w:rsidRDefault="00410071" w:rsidP="008C1BFB">
            <w:pPr>
              <w:pStyle w:val="TableText"/>
              <w:tabs>
                <w:tab w:val="decimal" w:pos="794"/>
              </w:tabs>
            </w:pPr>
            <w:r>
              <w:t>42</w:t>
            </w:r>
          </w:p>
        </w:tc>
        <w:tc>
          <w:tcPr>
            <w:tcW w:w="916" w:type="pct"/>
          </w:tcPr>
          <w:p w14:paraId="335E4078" w14:textId="77777777" w:rsidR="00410071" w:rsidRPr="00486A72" w:rsidRDefault="00410071" w:rsidP="008C1BFB">
            <w:pPr>
              <w:pStyle w:val="TableText"/>
              <w:tabs>
                <w:tab w:val="decimal" w:pos="794"/>
              </w:tabs>
            </w:pPr>
            <w:r>
              <w:t>78</w:t>
            </w:r>
          </w:p>
        </w:tc>
        <w:tc>
          <w:tcPr>
            <w:tcW w:w="916" w:type="pct"/>
          </w:tcPr>
          <w:p w14:paraId="41DC0FF7" w14:textId="77777777" w:rsidR="00410071" w:rsidRPr="00486A72" w:rsidRDefault="00410071" w:rsidP="008C1BFB">
            <w:pPr>
              <w:pStyle w:val="TableText"/>
              <w:tabs>
                <w:tab w:val="decimal" w:pos="952"/>
              </w:tabs>
            </w:pPr>
            <w:r>
              <w:t>5,533</w:t>
            </w:r>
          </w:p>
        </w:tc>
        <w:tc>
          <w:tcPr>
            <w:tcW w:w="1087" w:type="pct"/>
          </w:tcPr>
          <w:p w14:paraId="325D3E70" w14:textId="77777777" w:rsidR="00410071" w:rsidRPr="00486A72" w:rsidRDefault="00410071" w:rsidP="008C1BFB">
            <w:pPr>
              <w:pStyle w:val="TableText"/>
              <w:tabs>
                <w:tab w:val="decimal" w:pos="820"/>
              </w:tabs>
            </w:pPr>
            <w:r>
              <w:t>70.9</w:t>
            </w:r>
          </w:p>
        </w:tc>
      </w:tr>
      <w:tr w:rsidR="00410071" w:rsidRPr="00486A72" w14:paraId="043C0067" w14:textId="77777777" w:rsidTr="008C1BFB">
        <w:trPr>
          <w:cantSplit/>
        </w:trPr>
        <w:tc>
          <w:tcPr>
            <w:tcW w:w="1163" w:type="pct"/>
          </w:tcPr>
          <w:p w14:paraId="7DF27FF6" w14:textId="77777777" w:rsidR="00410071" w:rsidRPr="00486A72" w:rsidRDefault="00410071" w:rsidP="008C1BFB">
            <w:pPr>
              <w:pStyle w:val="TableText"/>
            </w:pPr>
            <w:r w:rsidRPr="00486A72">
              <w:t>Waitematā</w:t>
            </w:r>
          </w:p>
        </w:tc>
        <w:tc>
          <w:tcPr>
            <w:tcW w:w="916" w:type="pct"/>
          </w:tcPr>
          <w:p w14:paraId="5B240D62" w14:textId="77777777" w:rsidR="00410071" w:rsidRPr="00486A72" w:rsidRDefault="00410071" w:rsidP="008C1BFB">
            <w:pPr>
              <w:pStyle w:val="TableText"/>
              <w:tabs>
                <w:tab w:val="decimal" w:pos="794"/>
              </w:tabs>
            </w:pPr>
            <w:r>
              <w:t>55</w:t>
            </w:r>
          </w:p>
        </w:tc>
        <w:tc>
          <w:tcPr>
            <w:tcW w:w="916" w:type="pct"/>
          </w:tcPr>
          <w:p w14:paraId="11223CC0" w14:textId="77777777" w:rsidR="00410071" w:rsidRPr="00486A72" w:rsidRDefault="00410071" w:rsidP="008C1BFB">
            <w:pPr>
              <w:pStyle w:val="TableText"/>
              <w:tabs>
                <w:tab w:val="decimal" w:pos="794"/>
              </w:tabs>
            </w:pPr>
            <w:r>
              <w:t>230</w:t>
            </w:r>
          </w:p>
        </w:tc>
        <w:tc>
          <w:tcPr>
            <w:tcW w:w="916" w:type="pct"/>
          </w:tcPr>
          <w:p w14:paraId="6981448D" w14:textId="77777777" w:rsidR="00410071" w:rsidRPr="00486A72" w:rsidRDefault="00410071" w:rsidP="008C1BFB">
            <w:pPr>
              <w:pStyle w:val="TableText"/>
              <w:tabs>
                <w:tab w:val="decimal" w:pos="952"/>
              </w:tabs>
            </w:pPr>
            <w:r>
              <w:t>6,505</w:t>
            </w:r>
          </w:p>
        </w:tc>
        <w:tc>
          <w:tcPr>
            <w:tcW w:w="1087" w:type="pct"/>
          </w:tcPr>
          <w:p w14:paraId="1F2FB4E9" w14:textId="77777777" w:rsidR="00410071" w:rsidRPr="00486A72" w:rsidRDefault="00410071" w:rsidP="008C1BFB">
            <w:pPr>
              <w:pStyle w:val="TableText"/>
              <w:tabs>
                <w:tab w:val="decimal" w:pos="820"/>
              </w:tabs>
            </w:pPr>
            <w:r>
              <w:t>28.3</w:t>
            </w:r>
          </w:p>
        </w:tc>
      </w:tr>
      <w:tr w:rsidR="00410071" w:rsidRPr="008C1BFB" w14:paraId="16A629B9" w14:textId="77777777" w:rsidTr="008C1BFB">
        <w:trPr>
          <w:cantSplit/>
        </w:trPr>
        <w:tc>
          <w:tcPr>
            <w:tcW w:w="1163" w:type="pct"/>
          </w:tcPr>
          <w:p w14:paraId="0CE813E9" w14:textId="77777777" w:rsidR="00410071" w:rsidRPr="008C1BFB" w:rsidRDefault="00410071" w:rsidP="008C1BFB">
            <w:pPr>
              <w:pStyle w:val="TableText"/>
              <w:rPr>
                <w:b/>
              </w:rPr>
            </w:pPr>
            <w:r w:rsidRPr="008C1BFB">
              <w:rPr>
                <w:b/>
              </w:rPr>
              <w:t>National total</w:t>
            </w:r>
          </w:p>
        </w:tc>
        <w:tc>
          <w:tcPr>
            <w:tcW w:w="916" w:type="pct"/>
          </w:tcPr>
          <w:p w14:paraId="3E5096BB" w14:textId="77777777" w:rsidR="00410071" w:rsidRPr="008C1BFB" w:rsidRDefault="00410071" w:rsidP="008C1BFB">
            <w:pPr>
              <w:pStyle w:val="TableText"/>
              <w:tabs>
                <w:tab w:val="decimal" w:pos="794"/>
              </w:tabs>
              <w:rPr>
                <w:b/>
              </w:rPr>
            </w:pPr>
            <w:r w:rsidRPr="008C1BFB">
              <w:rPr>
                <w:b/>
              </w:rPr>
              <w:t>147</w:t>
            </w:r>
          </w:p>
        </w:tc>
        <w:tc>
          <w:tcPr>
            <w:tcW w:w="916" w:type="pct"/>
          </w:tcPr>
          <w:p w14:paraId="34B3498B" w14:textId="77777777" w:rsidR="00410071" w:rsidRPr="008C1BFB" w:rsidRDefault="00410071" w:rsidP="008C1BFB">
            <w:pPr>
              <w:pStyle w:val="TableText"/>
              <w:tabs>
                <w:tab w:val="decimal" w:pos="794"/>
              </w:tabs>
              <w:rPr>
                <w:b/>
              </w:rPr>
            </w:pPr>
            <w:r w:rsidRPr="008C1BFB">
              <w:rPr>
                <w:b/>
              </w:rPr>
              <w:t>447</w:t>
            </w:r>
          </w:p>
        </w:tc>
        <w:tc>
          <w:tcPr>
            <w:tcW w:w="916" w:type="pct"/>
          </w:tcPr>
          <w:p w14:paraId="5D192985" w14:textId="77777777" w:rsidR="00410071" w:rsidRPr="008C1BFB" w:rsidRDefault="00410071" w:rsidP="008C1BFB">
            <w:pPr>
              <w:pStyle w:val="TableText"/>
              <w:tabs>
                <w:tab w:val="decimal" w:pos="952"/>
              </w:tabs>
              <w:rPr>
                <w:b/>
              </w:rPr>
            </w:pPr>
            <w:r w:rsidRPr="008C1BFB">
              <w:rPr>
                <w:b/>
              </w:rPr>
              <w:t>23,825</w:t>
            </w:r>
          </w:p>
        </w:tc>
        <w:tc>
          <w:tcPr>
            <w:tcW w:w="1087" w:type="pct"/>
          </w:tcPr>
          <w:p w14:paraId="295AACDC" w14:textId="77777777" w:rsidR="00410071" w:rsidRPr="008C1BFB" w:rsidRDefault="00410071" w:rsidP="008C1BFB">
            <w:pPr>
              <w:pStyle w:val="TableText"/>
              <w:tabs>
                <w:tab w:val="decimal" w:pos="820"/>
              </w:tabs>
              <w:rPr>
                <w:b/>
              </w:rPr>
            </w:pPr>
            <w:r w:rsidRPr="008C1BFB">
              <w:rPr>
                <w:b/>
              </w:rPr>
              <w:t>53.3</w:t>
            </w:r>
          </w:p>
        </w:tc>
      </w:tr>
    </w:tbl>
    <w:p w14:paraId="7F9B61B7" w14:textId="77777777" w:rsidR="00410071" w:rsidRPr="00200234" w:rsidRDefault="00410071" w:rsidP="008C1BFB">
      <w:pPr>
        <w:pStyle w:val="Note"/>
      </w:pPr>
      <w:r w:rsidRPr="00200234">
        <w:t>Notes: Data for the Whanganui forensic mental health service has been included with Capital &amp; Coast DHB. Clients are aged 20–64 years. Clients are mental health service users only.</w:t>
      </w:r>
    </w:p>
    <w:p w14:paraId="07009C93" w14:textId="77777777" w:rsidR="00410071" w:rsidRPr="00200234" w:rsidRDefault="00410071" w:rsidP="008C1BFB">
      <w:pPr>
        <w:pStyle w:val="Source"/>
      </w:pPr>
      <w:r w:rsidRPr="00200234">
        <w:t>Sources: PRIMHD data</w:t>
      </w:r>
      <w:r>
        <w:t xml:space="preserve"> (extracted</w:t>
      </w:r>
      <w:r w:rsidRPr="00200234">
        <w:t xml:space="preserve"> </w:t>
      </w:r>
      <w:r>
        <w:t>1 July 2021)</w:t>
      </w:r>
      <w:r w:rsidRPr="00200234">
        <w:t xml:space="preserve"> and manual data from Southern</w:t>
      </w:r>
      <w:r>
        <w:t>,</w:t>
      </w:r>
      <w:r w:rsidRPr="00200234">
        <w:t xml:space="preserve"> Waitematā </w:t>
      </w:r>
      <w:r>
        <w:t xml:space="preserve">and Whanganui </w:t>
      </w:r>
      <w:r w:rsidRPr="00200234">
        <w:t>DHBs.</w:t>
      </w:r>
    </w:p>
    <w:p w14:paraId="3D8366E1" w14:textId="77777777" w:rsidR="00410071" w:rsidRPr="00200234" w:rsidRDefault="00410071" w:rsidP="008C1BFB"/>
    <w:p w14:paraId="750E9768" w14:textId="77777777" w:rsidR="00410071" w:rsidRDefault="00410071" w:rsidP="008C1BFB">
      <w:pPr>
        <w:pStyle w:val="Heading2"/>
      </w:pPr>
      <w:bookmarkStart w:id="308" w:name="_Toc87429916"/>
      <w:bookmarkStart w:id="309" w:name="_Toc88826964"/>
      <w:r>
        <w:lastRenderedPageBreak/>
        <w:t>People with intellectual disabilities cared for in an intellectual disability forensic service</w:t>
      </w:r>
      <w:bookmarkEnd w:id="308"/>
      <w:bookmarkEnd w:id="309"/>
    </w:p>
    <w:p w14:paraId="4BD37089" w14:textId="77777777" w:rsidR="00410071" w:rsidRDefault="00410071" w:rsidP="00BB539E">
      <w:pPr>
        <w:keepNext/>
        <w:keepLines/>
      </w:pPr>
      <w:r>
        <w:t xml:space="preserve">The five DHBs listed above as </w:t>
      </w:r>
      <w:r w:rsidRPr="00200234">
        <w:rPr>
          <w:rFonts w:cs="Segoe UI"/>
        </w:rPr>
        <w:t>provid</w:t>
      </w:r>
      <w:r>
        <w:rPr>
          <w:rFonts w:cs="Segoe UI"/>
        </w:rPr>
        <w:t>ing</w:t>
      </w:r>
      <w:r w:rsidRPr="00200234">
        <w:rPr>
          <w:rFonts w:cs="Segoe UI"/>
        </w:rPr>
        <w:t xml:space="preserve"> specialist inpatient forensic services</w:t>
      </w:r>
      <w:r>
        <w:t xml:space="preserve"> also provide forensic intellectual disability services for people with an intellectual disability under the Intellectual Disability (Compulsory Care and Rehabilitation) Act 2003 (the ID(CC&amp;R) Act), as care recipients or special care recipients. Individuals become subject to the ID(CC&amp;R) Act following engagement in criminal offending, with compulsory care being provided as an alternative to a prison sentence. A small number of individuals in forensic intellectual disability services are under the Mental Health Act.</w:t>
      </w:r>
    </w:p>
    <w:p w14:paraId="09910613" w14:textId="77777777" w:rsidR="00410071" w:rsidRDefault="00410071" w:rsidP="008C1BFB">
      <w:pPr>
        <w:keepNext/>
      </w:pPr>
    </w:p>
    <w:p w14:paraId="1BA2B343" w14:textId="77777777" w:rsidR="0039221C" w:rsidRDefault="00410071" w:rsidP="008C1BFB">
      <w:r>
        <w:t>The seclusion data presented for people with intellectual disabilities is for individuals with a legal status under the ID(CC&amp;R) Act and the Mental Health Act. Care recipients being cared for under these Acts may only be subject to seclusion in hospital-level secure services that meet specific requirements. In this analysis, we</w:t>
      </w:r>
      <w:r w:rsidRPr="00200234">
        <w:t xml:space="preserve"> have purposely left out data from </w:t>
      </w:r>
      <w:r>
        <w:t>an</w:t>
      </w:r>
      <w:r w:rsidRPr="00200234">
        <w:t xml:space="preserve"> outlier, where a high proportion of recorded seclusion hours from Capital &amp; Coast </w:t>
      </w:r>
      <w:r>
        <w:t>DHB relates</w:t>
      </w:r>
      <w:r w:rsidRPr="00200234">
        <w:t xml:space="preserve"> to a single client.</w:t>
      </w:r>
    </w:p>
    <w:p w14:paraId="4BC3D932" w14:textId="77777777" w:rsidR="00410071" w:rsidRDefault="00410071" w:rsidP="008C1BFB"/>
    <w:p w14:paraId="3370346C" w14:textId="2A11ED68" w:rsidR="00410071" w:rsidRDefault="00410071" w:rsidP="008C1BFB">
      <w:pPr>
        <w:pStyle w:val="Table"/>
      </w:pPr>
      <w:bookmarkStart w:id="310" w:name="_Toc87430007"/>
      <w:bookmarkStart w:id="311" w:name="_Toc88561364"/>
      <w:r>
        <w:t>Table</w:t>
      </w:r>
      <w:r w:rsidR="008C1BFB">
        <w:t> </w:t>
      </w:r>
      <w:r w:rsidR="00592799">
        <w:fldChar w:fldCharType="begin"/>
      </w:r>
      <w:r w:rsidR="00592799">
        <w:instrText xml:space="preserve"> SEQ Table \* ARABIC </w:instrText>
      </w:r>
      <w:r w:rsidR="00592799">
        <w:fldChar w:fldCharType="separate"/>
      </w:r>
      <w:r w:rsidR="00840F18">
        <w:rPr>
          <w:noProof/>
        </w:rPr>
        <w:t>9</w:t>
      </w:r>
      <w:r w:rsidR="00592799">
        <w:rPr>
          <w:noProof/>
        </w:rPr>
        <w:fldChar w:fldCharType="end"/>
      </w:r>
      <w:r w:rsidRPr="00947A98">
        <w:t>: Seclusion indicators for</w:t>
      </w:r>
      <w:r>
        <w:t xml:space="preserve"> people with intellectual disabilities</w:t>
      </w:r>
      <w:r w:rsidRPr="00947A98">
        <w:t>, by DHB, 1</w:t>
      </w:r>
      <w:r w:rsidR="008C1BFB">
        <w:t> </w:t>
      </w:r>
      <w:r w:rsidRPr="00947A98">
        <w:t>January to 31 December 2020</w:t>
      </w:r>
      <w:bookmarkEnd w:id="310"/>
      <w:bookmarkEnd w:id="311"/>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1031"/>
        <w:gridCol w:w="1521"/>
        <w:gridCol w:w="1181"/>
        <w:gridCol w:w="1157"/>
        <w:gridCol w:w="1488"/>
        <w:gridCol w:w="1702"/>
      </w:tblGrid>
      <w:tr w:rsidR="00410071" w:rsidRPr="008C1BFB" w14:paraId="60970CE0" w14:textId="77777777" w:rsidTr="008C1BFB">
        <w:trPr>
          <w:cantSplit/>
        </w:trPr>
        <w:tc>
          <w:tcPr>
            <w:tcW w:w="638" w:type="pct"/>
            <w:tcBorders>
              <w:top w:val="nil"/>
              <w:bottom w:val="nil"/>
            </w:tcBorders>
            <w:shd w:val="clear" w:color="auto" w:fill="D9D9D9"/>
          </w:tcPr>
          <w:p w14:paraId="7297E43B" w14:textId="77777777" w:rsidR="00410071" w:rsidRPr="008C1BFB" w:rsidRDefault="00410071" w:rsidP="008C1BFB">
            <w:pPr>
              <w:pStyle w:val="TableText"/>
              <w:rPr>
                <w:b/>
              </w:rPr>
            </w:pPr>
            <w:r w:rsidRPr="008C1BFB">
              <w:rPr>
                <w:b/>
              </w:rPr>
              <w:t>Legal Act</w:t>
            </w:r>
          </w:p>
        </w:tc>
        <w:tc>
          <w:tcPr>
            <w:tcW w:w="941" w:type="pct"/>
            <w:tcBorders>
              <w:top w:val="nil"/>
              <w:bottom w:val="nil"/>
            </w:tcBorders>
            <w:shd w:val="clear" w:color="auto" w:fill="D9D9D9"/>
          </w:tcPr>
          <w:p w14:paraId="481B92D6" w14:textId="77777777" w:rsidR="00410071" w:rsidRPr="008C1BFB" w:rsidRDefault="00410071" w:rsidP="008C1BFB">
            <w:pPr>
              <w:pStyle w:val="TableText"/>
              <w:rPr>
                <w:b/>
              </w:rPr>
            </w:pPr>
            <w:r w:rsidRPr="008C1BFB">
              <w:rPr>
                <w:b/>
              </w:rPr>
              <w:t>DHB</w:t>
            </w:r>
          </w:p>
        </w:tc>
        <w:tc>
          <w:tcPr>
            <w:tcW w:w="731" w:type="pct"/>
            <w:tcBorders>
              <w:top w:val="nil"/>
              <w:bottom w:val="nil"/>
            </w:tcBorders>
            <w:shd w:val="clear" w:color="auto" w:fill="D9D9D9"/>
          </w:tcPr>
          <w:p w14:paraId="64DCE8B1" w14:textId="77777777" w:rsidR="00410071" w:rsidRPr="008C1BFB" w:rsidRDefault="00410071" w:rsidP="008C1BFB">
            <w:pPr>
              <w:pStyle w:val="TableText"/>
              <w:jc w:val="center"/>
              <w:rPr>
                <w:b/>
              </w:rPr>
            </w:pPr>
            <w:r w:rsidRPr="008C1BFB">
              <w:rPr>
                <w:b/>
              </w:rPr>
              <w:t>Number of people secluded</w:t>
            </w:r>
          </w:p>
        </w:tc>
        <w:tc>
          <w:tcPr>
            <w:tcW w:w="716" w:type="pct"/>
            <w:tcBorders>
              <w:top w:val="nil"/>
              <w:bottom w:val="nil"/>
            </w:tcBorders>
            <w:shd w:val="clear" w:color="auto" w:fill="D9D9D9"/>
          </w:tcPr>
          <w:p w14:paraId="09D7BD0C" w14:textId="77777777" w:rsidR="00410071" w:rsidRPr="008C1BFB" w:rsidRDefault="00410071" w:rsidP="008C1BFB">
            <w:pPr>
              <w:pStyle w:val="TableText"/>
              <w:jc w:val="center"/>
              <w:rPr>
                <w:b/>
              </w:rPr>
            </w:pPr>
            <w:r w:rsidRPr="008C1BFB">
              <w:rPr>
                <w:b/>
              </w:rPr>
              <w:t>Number</w:t>
            </w:r>
            <w:r w:rsidR="008C1BFB">
              <w:rPr>
                <w:b/>
              </w:rPr>
              <w:br/>
            </w:r>
            <w:r w:rsidRPr="008C1BFB">
              <w:rPr>
                <w:b/>
              </w:rPr>
              <w:t>of events</w:t>
            </w:r>
          </w:p>
        </w:tc>
        <w:tc>
          <w:tcPr>
            <w:tcW w:w="921" w:type="pct"/>
            <w:tcBorders>
              <w:top w:val="nil"/>
              <w:bottom w:val="nil"/>
            </w:tcBorders>
            <w:shd w:val="clear" w:color="auto" w:fill="D9D9D9"/>
          </w:tcPr>
          <w:p w14:paraId="347C3AAB" w14:textId="77777777" w:rsidR="00410071" w:rsidRPr="008C1BFB" w:rsidRDefault="00410071" w:rsidP="008C1BFB">
            <w:pPr>
              <w:pStyle w:val="TableText"/>
              <w:jc w:val="center"/>
              <w:rPr>
                <w:b/>
              </w:rPr>
            </w:pPr>
            <w:r w:rsidRPr="008C1BFB">
              <w:rPr>
                <w:b/>
              </w:rPr>
              <w:t>Median</w:t>
            </w:r>
            <w:r w:rsidR="008C1BFB">
              <w:rPr>
                <w:b/>
              </w:rPr>
              <w:br/>
            </w:r>
            <w:r w:rsidRPr="008C1BFB">
              <w:rPr>
                <w:b/>
              </w:rPr>
              <w:t>number of events</w:t>
            </w:r>
          </w:p>
        </w:tc>
        <w:tc>
          <w:tcPr>
            <w:tcW w:w="1053" w:type="pct"/>
            <w:tcBorders>
              <w:top w:val="nil"/>
              <w:bottom w:val="nil"/>
            </w:tcBorders>
            <w:shd w:val="clear" w:color="auto" w:fill="D9D9D9"/>
          </w:tcPr>
          <w:p w14:paraId="1CE38CA3" w14:textId="77777777" w:rsidR="00410071" w:rsidRPr="008C1BFB" w:rsidRDefault="00410071" w:rsidP="008C1BFB">
            <w:pPr>
              <w:pStyle w:val="TableText"/>
              <w:jc w:val="center"/>
              <w:rPr>
                <w:b/>
              </w:rPr>
            </w:pPr>
            <w:r w:rsidRPr="008C1BFB">
              <w:rPr>
                <w:b/>
              </w:rPr>
              <w:t>Average number of events per person</w:t>
            </w:r>
          </w:p>
        </w:tc>
      </w:tr>
      <w:tr w:rsidR="00410071" w:rsidRPr="00486A72" w14:paraId="65076E64" w14:textId="77777777" w:rsidTr="008C1BFB">
        <w:trPr>
          <w:cantSplit/>
        </w:trPr>
        <w:tc>
          <w:tcPr>
            <w:tcW w:w="638" w:type="pct"/>
            <w:tcBorders>
              <w:top w:val="nil"/>
            </w:tcBorders>
          </w:tcPr>
          <w:p w14:paraId="1DD5C80A" w14:textId="77777777" w:rsidR="00410071" w:rsidRPr="00486A72" w:rsidRDefault="00410071" w:rsidP="008C1BFB">
            <w:pPr>
              <w:pStyle w:val="TableText"/>
            </w:pPr>
            <w:r>
              <w:t>ID(CC&amp;R)</w:t>
            </w:r>
          </w:p>
        </w:tc>
        <w:tc>
          <w:tcPr>
            <w:tcW w:w="941" w:type="pct"/>
            <w:tcBorders>
              <w:top w:val="nil"/>
            </w:tcBorders>
          </w:tcPr>
          <w:p w14:paraId="2D67F93B" w14:textId="77777777" w:rsidR="00410071" w:rsidRPr="00486A72" w:rsidRDefault="00410071" w:rsidP="008C1BFB">
            <w:pPr>
              <w:pStyle w:val="TableText"/>
            </w:pPr>
            <w:r w:rsidRPr="00486A72">
              <w:t>Canterbury</w:t>
            </w:r>
          </w:p>
        </w:tc>
        <w:tc>
          <w:tcPr>
            <w:tcW w:w="731" w:type="pct"/>
            <w:tcBorders>
              <w:top w:val="nil"/>
            </w:tcBorders>
          </w:tcPr>
          <w:p w14:paraId="08D11EDC" w14:textId="77777777" w:rsidR="00410071" w:rsidRPr="002E1BE3" w:rsidRDefault="00410071" w:rsidP="008C1BFB">
            <w:pPr>
              <w:pStyle w:val="TableText"/>
              <w:tabs>
                <w:tab w:val="decimal" w:pos="652"/>
              </w:tabs>
            </w:pPr>
            <w:r w:rsidRPr="002E1BE3">
              <w:rPr>
                <w:rFonts w:eastAsia="Calibri"/>
              </w:rPr>
              <w:t>4</w:t>
            </w:r>
          </w:p>
        </w:tc>
        <w:tc>
          <w:tcPr>
            <w:tcW w:w="716" w:type="pct"/>
            <w:tcBorders>
              <w:top w:val="nil"/>
            </w:tcBorders>
          </w:tcPr>
          <w:p w14:paraId="599989E7" w14:textId="77777777" w:rsidR="00410071" w:rsidRPr="002E1BE3" w:rsidRDefault="00410071" w:rsidP="008C1BFB">
            <w:pPr>
              <w:pStyle w:val="TableText"/>
              <w:tabs>
                <w:tab w:val="decimal" w:pos="700"/>
              </w:tabs>
            </w:pPr>
            <w:r w:rsidRPr="002E1BE3">
              <w:rPr>
                <w:rFonts w:eastAsia="Calibri"/>
              </w:rPr>
              <w:t>37</w:t>
            </w:r>
          </w:p>
        </w:tc>
        <w:tc>
          <w:tcPr>
            <w:tcW w:w="921" w:type="pct"/>
            <w:tcBorders>
              <w:top w:val="nil"/>
            </w:tcBorders>
          </w:tcPr>
          <w:p w14:paraId="724C54A8" w14:textId="77777777" w:rsidR="00410071" w:rsidRPr="002E1BE3" w:rsidRDefault="00410071" w:rsidP="008C1BFB">
            <w:pPr>
              <w:pStyle w:val="TableText"/>
              <w:tabs>
                <w:tab w:val="decimal" w:pos="822"/>
              </w:tabs>
            </w:pPr>
            <w:r w:rsidRPr="002E1BE3">
              <w:rPr>
                <w:rFonts w:eastAsia="Calibri"/>
              </w:rPr>
              <w:t>8</w:t>
            </w:r>
          </w:p>
        </w:tc>
        <w:tc>
          <w:tcPr>
            <w:tcW w:w="1053" w:type="pct"/>
            <w:tcBorders>
              <w:top w:val="nil"/>
            </w:tcBorders>
          </w:tcPr>
          <w:p w14:paraId="7558A6E4" w14:textId="77777777" w:rsidR="00410071" w:rsidRPr="002E1BE3" w:rsidRDefault="00410071" w:rsidP="008C1BFB">
            <w:pPr>
              <w:pStyle w:val="TableText"/>
              <w:tabs>
                <w:tab w:val="decimal" w:pos="851"/>
              </w:tabs>
            </w:pPr>
            <w:r w:rsidRPr="002E1BE3">
              <w:rPr>
                <w:rFonts w:eastAsia="Calibri"/>
              </w:rPr>
              <w:t>9</w:t>
            </w:r>
          </w:p>
        </w:tc>
      </w:tr>
      <w:tr w:rsidR="00410071" w:rsidRPr="00486A72" w14:paraId="1995B857" w14:textId="77777777" w:rsidTr="008C1BFB">
        <w:trPr>
          <w:cantSplit/>
        </w:trPr>
        <w:tc>
          <w:tcPr>
            <w:tcW w:w="638" w:type="pct"/>
            <w:tcBorders>
              <w:top w:val="nil"/>
            </w:tcBorders>
          </w:tcPr>
          <w:p w14:paraId="6922CC04" w14:textId="77777777" w:rsidR="00410071" w:rsidRPr="00486A72" w:rsidRDefault="00410071" w:rsidP="008C1BFB">
            <w:pPr>
              <w:pStyle w:val="TableText"/>
            </w:pPr>
          </w:p>
        </w:tc>
        <w:tc>
          <w:tcPr>
            <w:tcW w:w="941" w:type="pct"/>
            <w:tcBorders>
              <w:top w:val="nil"/>
            </w:tcBorders>
          </w:tcPr>
          <w:p w14:paraId="76F99F8C" w14:textId="77777777" w:rsidR="00410071" w:rsidRPr="00486A72" w:rsidRDefault="00410071" w:rsidP="008C1BFB">
            <w:pPr>
              <w:pStyle w:val="TableText"/>
            </w:pPr>
            <w:r>
              <w:t>Capital &amp; Coast</w:t>
            </w:r>
          </w:p>
        </w:tc>
        <w:tc>
          <w:tcPr>
            <w:tcW w:w="731" w:type="pct"/>
            <w:tcBorders>
              <w:top w:val="nil"/>
            </w:tcBorders>
          </w:tcPr>
          <w:p w14:paraId="616AC5DA" w14:textId="77777777" w:rsidR="00410071" w:rsidRPr="002E1BE3" w:rsidRDefault="00410071" w:rsidP="008C1BFB">
            <w:pPr>
              <w:pStyle w:val="TableText"/>
              <w:tabs>
                <w:tab w:val="decimal" w:pos="652"/>
              </w:tabs>
            </w:pPr>
            <w:r w:rsidRPr="002E1BE3">
              <w:rPr>
                <w:rFonts w:eastAsia="Calibri"/>
              </w:rPr>
              <w:t>3</w:t>
            </w:r>
          </w:p>
        </w:tc>
        <w:tc>
          <w:tcPr>
            <w:tcW w:w="716" w:type="pct"/>
            <w:tcBorders>
              <w:top w:val="nil"/>
            </w:tcBorders>
          </w:tcPr>
          <w:p w14:paraId="5835301C" w14:textId="77777777" w:rsidR="00410071" w:rsidRPr="002E1BE3" w:rsidRDefault="00410071" w:rsidP="008C1BFB">
            <w:pPr>
              <w:pStyle w:val="TableText"/>
              <w:tabs>
                <w:tab w:val="decimal" w:pos="700"/>
              </w:tabs>
            </w:pPr>
            <w:r w:rsidRPr="002E1BE3">
              <w:rPr>
                <w:rFonts w:eastAsia="Calibri"/>
              </w:rPr>
              <w:t>27</w:t>
            </w:r>
          </w:p>
        </w:tc>
        <w:tc>
          <w:tcPr>
            <w:tcW w:w="921" w:type="pct"/>
            <w:tcBorders>
              <w:top w:val="nil"/>
            </w:tcBorders>
          </w:tcPr>
          <w:p w14:paraId="0B837BF1" w14:textId="77777777" w:rsidR="00410071" w:rsidRPr="002E1BE3" w:rsidRDefault="00410071" w:rsidP="008C1BFB">
            <w:pPr>
              <w:pStyle w:val="TableText"/>
              <w:tabs>
                <w:tab w:val="decimal" w:pos="822"/>
              </w:tabs>
            </w:pPr>
            <w:r w:rsidRPr="002E1BE3">
              <w:rPr>
                <w:rFonts w:eastAsia="Calibri"/>
              </w:rPr>
              <w:t>2</w:t>
            </w:r>
          </w:p>
        </w:tc>
        <w:tc>
          <w:tcPr>
            <w:tcW w:w="1053" w:type="pct"/>
            <w:tcBorders>
              <w:top w:val="nil"/>
            </w:tcBorders>
          </w:tcPr>
          <w:p w14:paraId="4E3670E4" w14:textId="77777777" w:rsidR="00410071" w:rsidRPr="002E1BE3" w:rsidRDefault="00410071" w:rsidP="008C1BFB">
            <w:pPr>
              <w:pStyle w:val="TableText"/>
              <w:tabs>
                <w:tab w:val="decimal" w:pos="851"/>
              </w:tabs>
            </w:pPr>
            <w:r w:rsidRPr="002E1BE3">
              <w:rPr>
                <w:rFonts w:eastAsia="Calibri"/>
              </w:rPr>
              <w:t>9</w:t>
            </w:r>
          </w:p>
        </w:tc>
      </w:tr>
      <w:tr w:rsidR="00410071" w:rsidRPr="00486A72" w14:paraId="3C7BBD89" w14:textId="77777777" w:rsidTr="008C1BFB">
        <w:trPr>
          <w:cantSplit/>
        </w:trPr>
        <w:tc>
          <w:tcPr>
            <w:tcW w:w="638" w:type="pct"/>
          </w:tcPr>
          <w:p w14:paraId="1FCDAF75" w14:textId="77777777" w:rsidR="00410071" w:rsidRPr="00486A72" w:rsidRDefault="00410071" w:rsidP="008C1BFB">
            <w:pPr>
              <w:pStyle w:val="TableText"/>
            </w:pPr>
          </w:p>
        </w:tc>
        <w:tc>
          <w:tcPr>
            <w:tcW w:w="941" w:type="pct"/>
          </w:tcPr>
          <w:p w14:paraId="30D0EAC7" w14:textId="77777777" w:rsidR="00410071" w:rsidRPr="00486A72" w:rsidRDefault="00410071" w:rsidP="008C1BFB">
            <w:pPr>
              <w:pStyle w:val="TableText"/>
            </w:pPr>
            <w:r>
              <w:t>Southern</w:t>
            </w:r>
          </w:p>
        </w:tc>
        <w:tc>
          <w:tcPr>
            <w:tcW w:w="731" w:type="pct"/>
          </w:tcPr>
          <w:p w14:paraId="59CBB4E0" w14:textId="77777777" w:rsidR="00410071" w:rsidRPr="002E1BE3" w:rsidRDefault="00410071" w:rsidP="008C1BFB">
            <w:pPr>
              <w:pStyle w:val="TableText"/>
              <w:tabs>
                <w:tab w:val="decimal" w:pos="652"/>
              </w:tabs>
            </w:pPr>
            <w:r w:rsidRPr="002E1BE3">
              <w:rPr>
                <w:rFonts w:eastAsia="Calibri"/>
              </w:rPr>
              <w:t>8</w:t>
            </w:r>
          </w:p>
        </w:tc>
        <w:tc>
          <w:tcPr>
            <w:tcW w:w="716" w:type="pct"/>
          </w:tcPr>
          <w:p w14:paraId="76E6D462" w14:textId="77777777" w:rsidR="00410071" w:rsidRPr="002E1BE3" w:rsidRDefault="00410071" w:rsidP="008C1BFB">
            <w:pPr>
              <w:pStyle w:val="TableText"/>
              <w:tabs>
                <w:tab w:val="decimal" w:pos="700"/>
              </w:tabs>
            </w:pPr>
            <w:r w:rsidRPr="002E1BE3">
              <w:rPr>
                <w:rFonts w:eastAsia="Calibri"/>
              </w:rPr>
              <w:t>45</w:t>
            </w:r>
          </w:p>
        </w:tc>
        <w:tc>
          <w:tcPr>
            <w:tcW w:w="921" w:type="pct"/>
          </w:tcPr>
          <w:p w14:paraId="106E99BB" w14:textId="77777777" w:rsidR="00410071" w:rsidRPr="002E1BE3" w:rsidRDefault="00410071" w:rsidP="008C1BFB">
            <w:pPr>
              <w:pStyle w:val="TableText"/>
              <w:tabs>
                <w:tab w:val="decimal" w:pos="822"/>
              </w:tabs>
            </w:pPr>
            <w:r w:rsidRPr="002E1BE3">
              <w:rPr>
                <w:rFonts w:eastAsia="Calibri"/>
              </w:rPr>
              <w:t>3</w:t>
            </w:r>
          </w:p>
        </w:tc>
        <w:tc>
          <w:tcPr>
            <w:tcW w:w="1053" w:type="pct"/>
          </w:tcPr>
          <w:p w14:paraId="7E0C6496" w14:textId="77777777" w:rsidR="00410071" w:rsidRPr="002E1BE3" w:rsidRDefault="00410071" w:rsidP="008C1BFB">
            <w:pPr>
              <w:pStyle w:val="TableText"/>
              <w:tabs>
                <w:tab w:val="decimal" w:pos="851"/>
              </w:tabs>
            </w:pPr>
            <w:r w:rsidRPr="002E1BE3">
              <w:rPr>
                <w:rFonts w:eastAsia="Calibri"/>
              </w:rPr>
              <w:t>6</w:t>
            </w:r>
          </w:p>
        </w:tc>
      </w:tr>
      <w:tr w:rsidR="00410071" w:rsidRPr="00486A72" w14:paraId="3E468FAA" w14:textId="77777777" w:rsidTr="008C1BFB">
        <w:trPr>
          <w:cantSplit/>
        </w:trPr>
        <w:tc>
          <w:tcPr>
            <w:tcW w:w="638" w:type="pct"/>
            <w:tcBorders>
              <w:bottom w:val="single" w:sz="4" w:space="0" w:color="A6A6A6"/>
            </w:tcBorders>
          </w:tcPr>
          <w:p w14:paraId="72231219" w14:textId="77777777" w:rsidR="00410071" w:rsidRPr="00486A72" w:rsidRDefault="00410071" w:rsidP="008C1BFB">
            <w:pPr>
              <w:pStyle w:val="TableText"/>
            </w:pPr>
          </w:p>
        </w:tc>
        <w:tc>
          <w:tcPr>
            <w:tcW w:w="941" w:type="pct"/>
            <w:tcBorders>
              <w:bottom w:val="single" w:sz="4" w:space="0" w:color="A6A6A6"/>
            </w:tcBorders>
          </w:tcPr>
          <w:p w14:paraId="467A4769" w14:textId="77777777" w:rsidR="00410071" w:rsidRPr="00486A72" w:rsidRDefault="00410071" w:rsidP="008C1BFB">
            <w:pPr>
              <w:pStyle w:val="TableText"/>
            </w:pPr>
            <w:r>
              <w:t>Waikato</w:t>
            </w:r>
          </w:p>
        </w:tc>
        <w:tc>
          <w:tcPr>
            <w:tcW w:w="731" w:type="pct"/>
            <w:tcBorders>
              <w:bottom w:val="single" w:sz="4" w:space="0" w:color="A6A6A6"/>
            </w:tcBorders>
          </w:tcPr>
          <w:p w14:paraId="5C126A93" w14:textId="77777777" w:rsidR="00410071" w:rsidRPr="002E1BE3" w:rsidRDefault="00410071" w:rsidP="008C1BFB">
            <w:pPr>
              <w:pStyle w:val="TableText"/>
              <w:tabs>
                <w:tab w:val="decimal" w:pos="652"/>
              </w:tabs>
            </w:pPr>
            <w:r w:rsidRPr="002E1BE3">
              <w:rPr>
                <w:rFonts w:eastAsia="Calibri"/>
              </w:rPr>
              <w:t>3</w:t>
            </w:r>
          </w:p>
        </w:tc>
        <w:tc>
          <w:tcPr>
            <w:tcW w:w="716" w:type="pct"/>
            <w:tcBorders>
              <w:bottom w:val="single" w:sz="4" w:space="0" w:color="A6A6A6"/>
            </w:tcBorders>
          </w:tcPr>
          <w:p w14:paraId="498F64AA" w14:textId="77777777" w:rsidR="00410071" w:rsidRPr="002E1BE3" w:rsidRDefault="00410071" w:rsidP="008C1BFB">
            <w:pPr>
              <w:pStyle w:val="TableText"/>
              <w:tabs>
                <w:tab w:val="decimal" w:pos="700"/>
              </w:tabs>
            </w:pPr>
            <w:r w:rsidRPr="002E1BE3">
              <w:rPr>
                <w:rFonts w:eastAsia="Calibri"/>
              </w:rPr>
              <w:t>6</w:t>
            </w:r>
          </w:p>
        </w:tc>
        <w:tc>
          <w:tcPr>
            <w:tcW w:w="921" w:type="pct"/>
            <w:tcBorders>
              <w:bottom w:val="single" w:sz="4" w:space="0" w:color="A6A6A6"/>
            </w:tcBorders>
          </w:tcPr>
          <w:p w14:paraId="1D15B0BE" w14:textId="77777777" w:rsidR="00410071" w:rsidRPr="002E1BE3" w:rsidRDefault="00410071" w:rsidP="008C1BFB">
            <w:pPr>
              <w:pStyle w:val="TableText"/>
              <w:tabs>
                <w:tab w:val="decimal" w:pos="822"/>
              </w:tabs>
            </w:pPr>
            <w:r w:rsidRPr="002E1BE3">
              <w:rPr>
                <w:rFonts w:eastAsia="Calibri"/>
              </w:rPr>
              <w:t>1</w:t>
            </w:r>
          </w:p>
        </w:tc>
        <w:tc>
          <w:tcPr>
            <w:tcW w:w="1053" w:type="pct"/>
            <w:tcBorders>
              <w:bottom w:val="single" w:sz="4" w:space="0" w:color="A6A6A6"/>
            </w:tcBorders>
          </w:tcPr>
          <w:p w14:paraId="642A1A79" w14:textId="77777777" w:rsidR="00410071" w:rsidRPr="002E1BE3" w:rsidRDefault="00410071" w:rsidP="008C1BFB">
            <w:pPr>
              <w:pStyle w:val="TableText"/>
              <w:tabs>
                <w:tab w:val="decimal" w:pos="851"/>
              </w:tabs>
            </w:pPr>
            <w:r w:rsidRPr="002E1BE3">
              <w:rPr>
                <w:rFonts w:eastAsia="Calibri"/>
              </w:rPr>
              <w:t>2</w:t>
            </w:r>
          </w:p>
        </w:tc>
      </w:tr>
      <w:tr w:rsidR="00410071" w:rsidRPr="00486A72" w14:paraId="398CDE6D" w14:textId="77777777" w:rsidTr="008C1BFB">
        <w:trPr>
          <w:cantSplit/>
        </w:trPr>
        <w:tc>
          <w:tcPr>
            <w:tcW w:w="638" w:type="pct"/>
            <w:tcBorders>
              <w:top w:val="single" w:sz="4" w:space="0" w:color="A6A6A6"/>
              <w:bottom w:val="single" w:sz="4" w:space="0" w:color="A6A6A6"/>
            </w:tcBorders>
          </w:tcPr>
          <w:p w14:paraId="34024254" w14:textId="77777777" w:rsidR="00410071" w:rsidRPr="00486A72" w:rsidRDefault="00410071" w:rsidP="008C1BFB">
            <w:pPr>
              <w:pStyle w:val="TableText"/>
            </w:pPr>
          </w:p>
        </w:tc>
        <w:tc>
          <w:tcPr>
            <w:tcW w:w="941" w:type="pct"/>
            <w:tcBorders>
              <w:top w:val="single" w:sz="4" w:space="0" w:color="A6A6A6"/>
              <w:bottom w:val="single" w:sz="4" w:space="0" w:color="A6A6A6"/>
            </w:tcBorders>
          </w:tcPr>
          <w:p w14:paraId="55B754A0" w14:textId="77777777" w:rsidR="00410071" w:rsidRPr="00486A72" w:rsidRDefault="00410071" w:rsidP="008C1BFB">
            <w:pPr>
              <w:pStyle w:val="TableText"/>
            </w:pPr>
            <w:r>
              <w:t>Waitematā</w:t>
            </w:r>
          </w:p>
        </w:tc>
        <w:tc>
          <w:tcPr>
            <w:tcW w:w="731" w:type="pct"/>
            <w:tcBorders>
              <w:top w:val="single" w:sz="4" w:space="0" w:color="A6A6A6"/>
              <w:bottom w:val="single" w:sz="4" w:space="0" w:color="A6A6A6"/>
            </w:tcBorders>
          </w:tcPr>
          <w:p w14:paraId="75365C3B" w14:textId="77777777" w:rsidR="00410071" w:rsidRPr="002E1BE3" w:rsidRDefault="00410071" w:rsidP="008C1BFB">
            <w:pPr>
              <w:pStyle w:val="TableText"/>
              <w:tabs>
                <w:tab w:val="decimal" w:pos="652"/>
              </w:tabs>
            </w:pPr>
            <w:r w:rsidRPr="002E1BE3">
              <w:rPr>
                <w:rFonts w:eastAsia="Calibri"/>
              </w:rPr>
              <w:t>6</w:t>
            </w:r>
          </w:p>
        </w:tc>
        <w:tc>
          <w:tcPr>
            <w:tcW w:w="716" w:type="pct"/>
            <w:tcBorders>
              <w:top w:val="single" w:sz="4" w:space="0" w:color="A6A6A6"/>
              <w:bottom w:val="single" w:sz="4" w:space="0" w:color="A6A6A6"/>
            </w:tcBorders>
          </w:tcPr>
          <w:p w14:paraId="417D4908" w14:textId="77777777" w:rsidR="00410071" w:rsidRPr="002E1BE3" w:rsidRDefault="00410071" w:rsidP="008C1BFB">
            <w:pPr>
              <w:pStyle w:val="TableText"/>
              <w:tabs>
                <w:tab w:val="decimal" w:pos="700"/>
              </w:tabs>
            </w:pPr>
            <w:r w:rsidRPr="002E1BE3">
              <w:rPr>
                <w:rFonts w:eastAsia="Calibri"/>
              </w:rPr>
              <w:t>68</w:t>
            </w:r>
          </w:p>
        </w:tc>
        <w:tc>
          <w:tcPr>
            <w:tcW w:w="921" w:type="pct"/>
            <w:tcBorders>
              <w:top w:val="single" w:sz="4" w:space="0" w:color="A6A6A6"/>
              <w:bottom w:val="single" w:sz="4" w:space="0" w:color="A6A6A6"/>
            </w:tcBorders>
          </w:tcPr>
          <w:p w14:paraId="7E678CA6" w14:textId="77777777" w:rsidR="00410071" w:rsidRPr="002E1BE3" w:rsidRDefault="00410071" w:rsidP="008C1BFB">
            <w:pPr>
              <w:pStyle w:val="TableText"/>
              <w:tabs>
                <w:tab w:val="decimal" w:pos="822"/>
              </w:tabs>
            </w:pPr>
            <w:r w:rsidRPr="002E1BE3">
              <w:rPr>
                <w:rFonts w:eastAsia="Calibri"/>
              </w:rPr>
              <w:t>10</w:t>
            </w:r>
          </w:p>
        </w:tc>
        <w:tc>
          <w:tcPr>
            <w:tcW w:w="1053" w:type="pct"/>
            <w:tcBorders>
              <w:top w:val="single" w:sz="4" w:space="0" w:color="A6A6A6"/>
              <w:bottom w:val="single" w:sz="4" w:space="0" w:color="A6A6A6"/>
            </w:tcBorders>
          </w:tcPr>
          <w:p w14:paraId="658BA6DA" w14:textId="77777777" w:rsidR="00410071" w:rsidRPr="00686CC7" w:rsidRDefault="00410071" w:rsidP="008C1BFB">
            <w:pPr>
              <w:pStyle w:val="TableText"/>
              <w:tabs>
                <w:tab w:val="decimal" w:pos="851"/>
              </w:tabs>
              <w:rPr>
                <w:rFonts w:eastAsia="Calibri"/>
              </w:rPr>
            </w:pPr>
            <w:r w:rsidRPr="002E1BE3">
              <w:rPr>
                <w:rFonts w:eastAsia="Calibri"/>
              </w:rPr>
              <w:t>1</w:t>
            </w:r>
            <w:r>
              <w:rPr>
                <w:rFonts w:eastAsia="Calibri"/>
              </w:rPr>
              <w:t>1</w:t>
            </w:r>
          </w:p>
        </w:tc>
      </w:tr>
      <w:tr w:rsidR="00410071" w:rsidRPr="008C1BFB" w14:paraId="150FA7B3" w14:textId="77777777" w:rsidTr="008C1BFB">
        <w:trPr>
          <w:cantSplit/>
        </w:trPr>
        <w:tc>
          <w:tcPr>
            <w:tcW w:w="638" w:type="pct"/>
            <w:tcBorders>
              <w:top w:val="single" w:sz="4" w:space="0" w:color="A6A6A6"/>
              <w:bottom w:val="single" w:sz="18" w:space="0" w:color="A6A6A6"/>
            </w:tcBorders>
          </w:tcPr>
          <w:p w14:paraId="6C3DBE48" w14:textId="77777777" w:rsidR="00410071" w:rsidRPr="008C1BFB" w:rsidRDefault="00410071" w:rsidP="008C1BFB">
            <w:pPr>
              <w:pStyle w:val="TableText"/>
              <w:rPr>
                <w:b/>
              </w:rPr>
            </w:pPr>
          </w:p>
        </w:tc>
        <w:tc>
          <w:tcPr>
            <w:tcW w:w="941" w:type="pct"/>
            <w:tcBorders>
              <w:top w:val="single" w:sz="4" w:space="0" w:color="A6A6A6"/>
              <w:bottom w:val="single" w:sz="18" w:space="0" w:color="A6A6A6"/>
            </w:tcBorders>
          </w:tcPr>
          <w:p w14:paraId="17B9C353" w14:textId="77777777" w:rsidR="00410071" w:rsidRPr="008C1BFB" w:rsidRDefault="00410071" w:rsidP="008C1BFB">
            <w:pPr>
              <w:pStyle w:val="TableText"/>
              <w:rPr>
                <w:b/>
              </w:rPr>
            </w:pPr>
            <w:r w:rsidRPr="008C1BFB">
              <w:rPr>
                <w:b/>
              </w:rPr>
              <w:t>National total</w:t>
            </w:r>
          </w:p>
        </w:tc>
        <w:tc>
          <w:tcPr>
            <w:tcW w:w="731" w:type="pct"/>
            <w:tcBorders>
              <w:top w:val="single" w:sz="4" w:space="0" w:color="A6A6A6"/>
              <w:bottom w:val="single" w:sz="18" w:space="0" w:color="A6A6A6"/>
            </w:tcBorders>
          </w:tcPr>
          <w:p w14:paraId="4C8701AC" w14:textId="77777777" w:rsidR="00410071" w:rsidRPr="008C1BFB" w:rsidRDefault="00410071" w:rsidP="008C1BFB">
            <w:pPr>
              <w:pStyle w:val="TableText"/>
              <w:tabs>
                <w:tab w:val="decimal" w:pos="652"/>
              </w:tabs>
              <w:rPr>
                <w:rFonts w:eastAsia="Calibri"/>
                <w:b/>
              </w:rPr>
            </w:pPr>
            <w:r w:rsidRPr="008C1BFB">
              <w:rPr>
                <w:rFonts w:eastAsia="Calibri"/>
                <w:b/>
              </w:rPr>
              <w:t>23</w:t>
            </w:r>
          </w:p>
        </w:tc>
        <w:tc>
          <w:tcPr>
            <w:tcW w:w="716" w:type="pct"/>
            <w:tcBorders>
              <w:top w:val="single" w:sz="4" w:space="0" w:color="A6A6A6"/>
              <w:bottom w:val="single" w:sz="18" w:space="0" w:color="A6A6A6"/>
            </w:tcBorders>
          </w:tcPr>
          <w:p w14:paraId="7257F800" w14:textId="77777777" w:rsidR="00410071" w:rsidRPr="008C1BFB" w:rsidRDefault="00410071" w:rsidP="008C1BFB">
            <w:pPr>
              <w:pStyle w:val="TableText"/>
              <w:tabs>
                <w:tab w:val="decimal" w:pos="700"/>
              </w:tabs>
              <w:rPr>
                <w:rFonts w:eastAsia="Calibri"/>
                <w:b/>
              </w:rPr>
            </w:pPr>
            <w:r w:rsidRPr="008C1BFB">
              <w:rPr>
                <w:rFonts w:eastAsia="Calibri"/>
                <w:b/>
              </w:rPr>
              <w:t>183</w:t>
            </w:r>
          </w:p>
        </w:tc>
        <w:tc>
          <w:tcPr>
            <w:tcW w:w="921" w:type="pct"/>
            <w:tcBorders>
              <w:top w:val="single" w:sz="4" w:space="0" w:color="A6A6A6"/>
              <w:bottom w:val="single" w:sz="18" w:space="0" w:color="A6A6A6"/>
            </w:tcBorders>
          </w:tcPr>
          <w:p w14:paraId="33D21402" w14:textId="77777777" w:rsidR="00410071" w:rsidRPr="008C1BFB" w:rsidRDefault="00410071" w:rsidP="008C1BFB">
            <w:pPr>
              <w:pStyle w:val="TableText"/>
              <w:tabs>
                <w:tab w:val="decimal" w:pos="822"/>
              </w:tabs>
              <w:rPr>
                <w:rFonts w:eastAsia="Calibri"/>
                <w:b/>
              </w:rPr>
            </w:pPr>
            <w:r w:rsidRPr="008C1BFB">
              <w:rPr>
                <w:rFonts w:eastAsia="Calibri"/>
                <w:b/>
              </w:rPr>
              <w:t>3</w:t>
            </w:r>
          </w:p>
        </w:tc>
        <w:tc>
          <w:tcPr>
            <w:tcW w:w="1053" w:type="pct"/>
            <w:tcBorders>
              <w:top w:val="single" w:sz="4" w:space="0" w:color="A6A6A6"/>
              <w:bottom w:val="single" w:sz="18" w:space="0" w:color="A6A6A6"/>
            </w:tcBorders>
          </w:tcPr>
          <w:p w14:paraId="1D565BE2" w14:textId="77777777" w:rsidR="00410071" w:rsidRPr="008C1BFB" w:rsidRDefault="00410071" w:rsidP="008C1BFB">
            <w:pPr>
              <w:pStyle w:val="TableText"/>
              <w:tabs>
                <w:tab w:val="decimal" w:pos="851"/>
              </w:tabs>
              <w:rPr>
                <w:rFonts w:eastAsia="Calibri"/>
                <w:b/>
              </w:rPr>
            </w:pPr>
            <w:r w:rsidRPr="008C1BFB">
              <w:rPr>
                <w:rFonts w:eastAsia="Calibri"/>
                <w:b/>
              </w:rPr>
              <w:t>8</w:t>
            </w:r>
          </w:p>
        </w:tc>
      </w:tr>
      <w:tr w:rsidR="00410071" w:rsidRPr="00486A72" w14:paraId="1C24052D" w14:textId="77777777" w:rsidTr="008C1BFB">
        <w:trPr>
          <w:cantSplit/>
        </w:trPr>
        <w:tc>
          <w:tcPr>
            <w:tcW w:w="638" w:type="pct"/>
            <w:tcBorders>
              <w:top w:val="single" w:sz="18" w:space="0" w:color="A6A6A6"/>
            </w:tcBorders>
          </w:tcPr>
          <w:p w14:paraId="14A13328" w14:textId="77777777" w:rsidR="00410071" w:rsidRPr="00486A72" w:rsidRDefault="00410071" w:rsidP="008C1BFB">
            <w:pPr>
              <w:pStyle w:val="TableText"/>
            </w:pPr>
            <w:r>
              <w:t>MHA</w:t>
            </w:r>
          </w:p>
        </w:tc>
        <w:tc>
          <w:tcPr>
            <w:tcW w:w="941" w:type="pct"/>
            <w:tcBorders>
              <w:top w:val="single" w:sz="18" w:space="0" w:color="A6A6A6"/>
            </w:tcBorders>
          </w:tcPr>
          <w:p w14:paraId="073430B2" w14:textId="77777777" w:rsidR="00410071" w:rsidRPr="00486A72" w:rsidRDefault="00410071" w:rsidP="008C1BFB">
            <w:pPr>
              <w:pStyle w:val="TableText"/>
            </w:pPr>
            <w:r>
              <w:t>Canterbury</w:t>
            </w:r>
          </w:p>
        </w:tc>
        <w:tc>
          <w:tcPr>
            <w:tcW w:w="731" w:type="pct"/>
            <w:tcBorders>
              <w:top w:val="single" w:sz="18" w:space="0" w:color="A6A6A6"/>
            </w:tcBorders>
          </w:tcPr>
          <w:p w14:paraId="783CC1C0" w14:textId="77777777" w:rsidR="00410071" w:rsidRPr="002E1BE3" w:rsidRDefault="00410071" w:rsidP="008C1BFB">
            <w:pPr>
              <w:pStyle w:val="TableText"/>
              <w:tabs>
                <w:tab w:val="decimal" w:pos="652"/>
              </w:tabs>
            </w:pPr>
            <w:r w:rsidRPr="002E1BE3">
              <w:rPr>
                <w:rFonts w:eastAsia="Calibri"/>
              </w:rPr>
              <w:t>1</w:t>
            </w:r>
          </w:p>
        </w:tc>
        <w:tc>
          <w:tcPr>
            <w:tcW w:w="716" w:type="pct"/>
            <w:tcBorders>
              <w:top w:val="single" w:sz="18" w:space="0" w:color="A6A6A6"/>
            </w:tcBorders>
          </w:tcPr>
          <w:p w14:paraId="4DE1DF94" w14:textId="77777777" w:rsidR="00410071" w:rsidRPr="002E1BE3" w:rsidRDefault="00410071" w:rsidP="008C1BFB">
            <w:pPr>
              <w:pStyle w:val="TableText"/>
              <w:tabs>
                <w:tab w:val="decimal" w:pos="700"/>
              </w:tabs>
            </w:pPr>
            <w:r w:rsidRPr="002E1BE3">
              <w:rPr>
                <w:rFonts w:eastAsia="Calibri"/>
              </w:rPr>
              <w:t>2</w:t>
            </w:r>
          </w:p>
        </w:tc>
        <w:tc>
          <w:tcPr>
            <w:tcW w:w="921" w:type="pct"/>
            <w:tcBorders>
              <w:top w:val="single" w:sz="18" w:space="0" w:color="A6A6A6"/>
            </w:tcBorders>
          </w:tcPr>
          <w:p w14:paraId="6D4B2248" w14:textId="77777777" w:rsidR="00410071" w:rsidRPr="002E1BE3" w:rsidRDefault="00410071" w:rsidP="008C1BFB">
            <w:pPr>
              <w:pStyle w:val="TableText"/>
              <w:tabs>
                <w:tab w:val="decimal" w:pos="822"/>
              </w:tabs>
            </w:pPr>
            <w:r w:rsidRPr="002E1BE3">
              <w:rPr>
                <w:rFonts w:eastAsia="Calibri"/>
              </w:rPr>
              <w:t>2</w:t>
            </w:r>
          </w:p>
        </w:tc>
        <w:tc>
          <w:tcPr>
            <w:tcW w:w="1053" w:type="pct"/>
            <w:tcBorders>
              <w:top w:val="single" w:sz="18" w:space="0" w:color="A6A6A6"/>
            </w:tcBorders>
          </w:tcPr>
          <w:p w14:paraId="766F051C" w14:textId="77777777" w:rsidR="00410071" w:rsidRPr="002E1BE3" w:rsidRDefault="00410071" w:rsidP="008C1BFB">
            <w:pPr>
              <w:pStyle w:val="TableText"/>
              <w:tabs>
                <w:tab w:val="decimal" w:pos="851"/>
              </w:tabs>
            </w:pPr>
            <w:r w:rsidRPr="002E1BE3">
              <w:rPr>
                <w:rFonts w:eastAsia="Calibri"/>
              </w:rPr>
              <w:t>2</w:t>
            </w:r>
          </w:p>
        </w:tc>
      </w:tr>
      <w:tr w:rsidR="00410071" w:rsidRPr="00486A72" w14:paraId="5A7C0A97" w14:textId="77777777" w:rsidTr="008C1BFB">
        <w:trPr>
          <w:cantSplit/>
        </w:trPr>
        <w:tc>
          <w:tcPr>
            <w:tcW w:w="638" w:type="pct"/>
          </w:tcPr>
          <w:p w14:paraId="2CE74885" w14:textId="77777777" w:rsidR="00410071" w:rsidRPr="00486A72" w:rsidRDefault="00410071" w:rsidP="008C1BFB">
            <w:pPr>
              <w:pStyle w:val="TableText"/>
            </w:pPr>
          </w:p>
        </w:tc>
        <w:tc>
          <w:tcPr>
            <w:tcW w:w="941" w:type="pct"/>
          </w:tcPr>
          <w:p w14:paraId="3FD5E07F" w14:textId="77777777" w:rsidR="00410071" w:rsidRPr="00486A72" w:rsidRDefault="00410071" w:rsidP="008C1BFB">
            <w:pPr>
              <w:pStyle w:val="TableText"/>
            </w:pPr>
            <w:r>
              <w:t>Capital &amp; Coast</w:t>
            </w:r>
          </w:p>
        </w:tc>
        <w:tc>
          <w:tcPr>
            <w:tcW w:w="731" w:type="pct"/>
          </w:tcPr>
          <w:p w14:paraId="0B123B3C" w14:textId="77777777" w:rsidR="00410071" w:rsidRPr="002E1BE3" w:rsidRDefault="00410071" w:rsidP="008C1BFB">
            <w:pPr>
              <w:pStyle w:val="TableText"/>
              <w:tabs>
                <w:tab w:val="decimal" w:pos="652"/>
              </w:tabs>
            </w:pPr>
            <w:r w:rsidRPr="002E1BE3">
              <w:rPr>
                <w:rFonts w:eastAsia="Calibri"/>
              </w:rPr>
              <w:t>1</w:t>
            </w:r>
          </w:p>
        </w:tc>
        <w:tc>
          <w:tcPr>
            <w:tcW w:w="716" w:type="pct"/>
          </w:tcPr>
          <w:p w14:paraId="55773121" w14:textId="77777777" w:rsidR="00410071" w:rsidRPr="002E1BE3" w:rsidRDefault="00410071" w:rsidP="008C1BFB">
            <w:pPr>
              <w:pStyle w:val="TableText"/>
              <w:tabs>
                <w:tab w:val="decimal" w:pos="700"/>
              </w:tabs>
            </w:pPr>
            <w:r w:rsidRPr="002E1BE3">
              <w:rPr>
                <w:rFonts w:eastAsia="Calibri"/>
              </w:rPr>
              <w:t>2</w:t>
            </w:r>
          </w:p>
        </w:tc>
        <w:tc>
          <w:tcPr>
            <w:tcW w:w="921" w:type="pct"/>
          </w:tcPr>
          <w:p w14:paraId="58A4B201" w14:textId="77777777" w:rsidR="00410071" w:rsidRPr="002E1BE3" w:rsidRDefault="00410071" w:rsidP="008C1BFB">
            <w:pPr>
              <w:pStyle w:val="TableText"/>
              <w:tabs>
                <w:tab w:val="decimal" w:pos="822"/>
              </w:tabs>
            </w:pPr>
            <w:r w:rsidRPr="002E1BE3">
              <w:rPr>
                <w:rFonts w:eastAsia="Calibri"/>
              </w:rPr>
              <w:t>2</w:t>
            </w:r>
          </w:p>
        </w:tc>
        <w:tc>
          <w:tcPr>
            <w:tcW w:w="1053" w:type="pct"/>
          </w:tcPr>
          <w:p w14:paraId="414DA33C" w14:textId="77777777" w:rsidR="00410071" w:rsidRPr="002E1BE3" w:rsidRDefault="00410071" w:rsidP="008C1BFB">
            <w:pPr>
              <w:pStyle w:val="TableText"/>
              <w:tabs>
                <w:tab w:val="decimal" w:pos="851"/>
              </w:tabs>
            </w:pPr>
            <w:r w:rsidRPr="002E1BE3">
              <w:rPr>
                <w:rFonts w:eastAsia="Calibri"/>
              </w:rPr>
              <w:t>2</w:t>
            </w:r>
          </w:p>
        </w:tc>
      </w:tr>
      <w:tr w:rsidR="00410071" w:rsidRPr="00486A72" w14:paraId="25D333EE" w14:textId="77777777" w:rsidTr="008C1BFB">
        <w:trPr>
          <w:cantSplit/>
        </w:trPr>
        <w:tc>
          <w:tcPr>
            <w:tcW w:w="638" w:type="pct"/>
          </w:tcPr>
          <w:p w14:paraId="63AF1BDE" w14:textId="77777777" w:rsidR="00410071" w:rsidRPr="00486A72" w:rsidRDefault="00410071" w:rsidP="008C1BFB">
            <w:pPr>
              <w:pStyle w:val="TableText"/>
            </w:pPr>
          </w:p>
        </w:tc>
        <w:tc>
          <w:tcPr>
            <w:tcW w:w="941" w:type="pct"/>
          </w:tcPr>
          <w:p w14:paraId="4FCD0BC2" w14:textId="77777777" w:rsidR="00410071" w:rsidRPr="00486A72" w:rsidRDefault="00410071" w:rsidP="008C1BFB">
            <w:pPr>
              <w:pStyle w:val="TableText"/>
            </w:pPr>
            <w:r>
              <w:t>Southern</w:t>
            </w:r>
          </w:p>
        </w:tc>
        <w:tc>
          <w:tcPr>
            <w:tcW w:w="731" w:type="pct"/>
          </w:tcPr>
          <w:p w14:paraId="0848F1D7" w14:textId="77777777" w:rsidR="00410071" w:rsidRPr="002E1BE3" w:rsidRDefault="00410071" w:rsidP="008C1BFB">
            <w:pPr>
              <w:pStyle w:val="TableText"/>
              <w:tabs>
                <w:tab w:val="decimal" w:pos="652"/>
              </w:tabs>
            </w:pPr>
            <w:r w:rsidRPr="002E1BE3">
              <w:rPr>
                <w:rFonts w:eastAsia="Calibri"/>
              </w:rPr>
              <w:t>1</w:t>
            </w:r>
          </w:p>
        </w:tc>
        <w:tc>
          <w:tcPr>
            <w:tcW w:w="716" w:type="pct"/>
          </w:tcPr>
          <w:p w14:paraId="717268D8" w14:textId="77777777" w:rsidR="00410071" w:rsidRPr="002E1BE3" w:rsidRDefault="00410071" w:rsidP="008C1BFB">
            <w:pPr>
              <w:pStyle w:val="TableText"/>
              <w:tabs>
                <w:tab w:val="decimal" w:pos="700"/>
              </w:tabs>
            </w:pPr>
            <w:r w:rsidRPr="002E1BE3">
              <w:rPr>
                <w:rFonts w:eastAsia="Calibri"/>
              </w:rPr>
              <w:t>28</w:t>
            </w:r>
          </w:p>
        </w:tc>
        <w:tc>
          <w:tcPr>
            <w:tcW w:w="921" w:type="pct"/>
          </w:tcPr>
          <w:p w14:paraId="4D2D18F5" w14:textId="77777777" w:rsidR="00410071" w:rsidRPr="002E1BE3" w:rsidRDefault="00410071" w:rsidP="008C1BFB">
            <w:pPr>
              <w:pStyle w:val="TableText"/>
              <w:tabs>
                <w:tab w:val="decimal" w:pos="822"/>
              </w:tabs>
            </w:pPr>
            <w:r w:rsidRPr="002E1BE3">
              <w:rPr>
                <w:rFonts w:eastAsia="Calibri"/>
              </w:rPr>
              <w:t>28</w:t>
            </w:r>
          </w:p>
        </w:tc>
        <w:tc>
          <w:tcPr>
            <w:tcW w:w="1053" w:type="pct"/>
          </w:tcPr>
          <w:p w14:paraId="56235DD2" w14:textId="77777777" w:rsidR="00410071" w:rsidRPr="002E1BE3" w:rsidRDefault="00410071" w:rsidP="008C1BFB">
            <w:pPr>
              <w:pStyle w:val="TableText"/>
              <w:tabs>
                <w:tab w:val="decimal" w:pos="851"/>
              </w:tabs>
            </w:pPr>
            <w:r w:rsidRPr="002E1BE3">
              <w:rPr>
                <w:rFonts w:eastAsia="Calibri"/>
              </w:rPr>
              <w:t>28</w:t>
            </w:r>
          </w:p>
        </w:tc>
      </w:tr>
      <w:tr w:rsidR="00410071" w:rsidRPr="00486A72" w14:paraId="00652BAA" w14:textId="77777777" w:rsidTr="008C1BFB">
        <w:trPr>
          <w:cantSplit/>
        </w:trPr>
        <w:tc>
          <w:tcPr>
            <w:tcW w:w="638" w:type="pct"/>
            <w:tcBorders>
              <w:bottom w:val="single" w:sz="4" w:space="0" w:color="A6A6A6"/>
            </w:tcBorders>
          </w:tcPr>
          <w:p w14:paraId="327C07DB" w14:textId="77777777" w:rsidR="00410071" w:rsidRPr="00486A72" w:rsidRDefault="00410071" w:rsidP="008C1BFB">
            <w:pPr>
              <w:pStyle w:val="TableText"/>
            </w:pPr>
          </w:p>
        </w:tc>
        <w:tc>
          <w:tcPr>
            <w:tcW w:w="941" w:type="pct"/>
            <w:tcBorders>
              <w:bottom w:val="single" w:sz="4" w:space="0" w:color="A6A6A6"/>
            </w:tcBorders>
          </w:tcPr>
          <w:p w14:paraId="5B462098" w14:textId="77777777" w:rsidR="00410071" w:rsidRPr="00486A72" w:rsidRDefault="00410071" w:rsidP="008C1BFB">
            <w:pPr>
              <w:pStyle w:val="TableText"/>
            </w:pPr>
            <w:r w:rsidRPr="00486A72">
              <w:t>Wai</w:t>
            </w:r>
            <w:r>
              <w:t>kato</w:t>
            </w:r>
          </w:p>
        </w:tc>
        <w:tc>
          <w:tcPr>
            <w:tcW w:w="731" w:type="pct"/>
            <w:tcBorders>
              <w:bottom w:val="single" w:sz="4" w:space="0" w:color="A6A6A6"/>
            </w:tcBorders>
          </w:tcPr>
          <w:p w14:paraId="2C5D3E5D" w14:textId="77777777" w:rsidR="00410071" w:rsidRPr="002E1BE3" w:rsidRDefault="00410071" w:rsidP="008C1BFB">
            <w:pPr>
              <w:pStyle w:val="TableText"/>
              <w:tabs>
                <w:tab w:val="decimal" w:pos="652"/>
              </w:tabs>
            </w:pPr>
            <w:r w:rsidRPr="002E1BE3">
              <w:rPr>
                <w:rFonts w:eastAsia="Calibri"/>
              </w:rPr>
              <w:t>0</w:t>
            </w:r>
          </w:p>
        </w:tc>
        <w:tc>
          <w:tcPr>
            <w:tcW w:w="716" w:type="pct"/>
            <w:tcBorders>
              <w:bottom w:val="single" w:sz="4" w:space="0" w:color="A6A6A6"/>
            </w:tcBorders>
          </w:tcPr>
          <w:p w14:paraId="102E32C8" w14:textId="77777777" w:rsidR="00410071" w:rsidRPr="002E1BE3" w:rsidRDefault="00410071" w:rsidP="008C1BFB">
            <w:pPr>
              <w:pStyle w:val="TableText"/>
              <w:tabs>
                <w:tab w:val="decimal" w:pos="700"/>
              </w:tabs>
            </w:pPr>
            <w:r w:rsidRPr="002E1BE3">
              <w:rPr>
                <w:rFonts w:eastAsia="Calibri"/>
              </w:rPr>
              <w:t>0</w:t>
            </w:r>
          </w:p>
        </w:tc>
        <w:tc>
          <w:tcPr>
            <w:tcW w:w="921" w:type="pct"/>
            <w:tcBorders>
              <w:bottom w:val="single" w:sz="4" w:space="0" w:color="A6A6A6"/>
            </w:tcBorders>
          </w:tcPr>
          <w:p w14:paraId="575ED096" w14:textId="77777777" w:rsidR="00410071" w:rsidRPr="002E1BE3" w:rsidRDefault="00410071" w:rsidP="008C1BFB">
            <w:pPr>
              <w:pStyle w:val="TableText"/>
              <w:tabs>
                <w:tab w:val="decimal" w:pos="822"/>
              </w:tabs>
            </w:pPr>
            <w:r w:rsidRPr="002E1BE3">
              <w:rPr>
                <w:rFonts w:eastAsia="Calibri"/>
              </w:rPr>
              <w:t>0</w:t>
            </w:r>
          </w:p>
        </w:tc>
        <w:tc>
          <w:tcPr>
            <w:tcW w:w="1053" w:type="pct"/>
            <w:tcBorders>
              <w:bottom w:val="single" w:sz="4" w:space="0" w:color="A6A6A6"/>
            </w:tcBorders>
          </w:tcPr>
          <w:p w14:paraId="6B74F197" w14:textId="77777777" w:rsidR="00410071" w:rsidRPr="002E1BE3" w:rsidRDefault="00410071" w:rsidP="008C1BFB">
            <w:pPr>
              <w:pStyle w:val="TableText"/>
              <w:tabs>
                <w:tab w:val="decimal" w:pos="851"/>
              </w:tabs>
            </w:pPr>
            <w:r w:rsidRPr="002E1BE3">
              <w:rPr>
                <w:rFonts w:eastAsia="Calibri"/>
              </w:rPr>
              <w:t>0</w:t>
            </w:r>
          </w:p>
        </w:tc>
      </w:tr>
      <w:tr w:rsidR="00410071" w:rsidRPr="00486A72" w14:paraId="1BB43F1A" w14:textId="77777777" w:rsidTr="008C1BFB">
        <w:trPr>
          <w:cantSplit/>
        </w:trPr>
        <w:tc>
          <w:tcPr>
            <w:tcW w:w="638" w:type="pct"/>
          </w:tcPr>
          <w:p w14:paraId="4448CB56" w14:textId="77777777" w:rsidR="00410071" w:rsidRPr="00686CC7" w:rsidRDefault="00410071" w:rsidP="008C1BFB">
            <w:pPr>
              <w:pStyle w:val="TableText"/>
            </w:pPr>
          </w:p>
        </w:tc>
        <w:tc>
          <w:tcPr>
            <w:tcW w:w="941" w:type="pct"/>
          </w:tcPr>
          <w:p w14:paraId="37AD6D06" w14:textId="77777777" w:rsidR="00410071" w:rsidRPr="00A32079" w:rsidRDefault="00410071" w:rsidP="008C1BFB">
            <w:pPr>
              <w:pStyle w:val="TableText"/>
            </w:pPr>
            <w:r>
              <w:t>Waitematā</w:t>
            </w:r>
          </w:p>
        </w:tc>
        <w:tc>
          <w:tcPr>
            <w:tcW w:w="731" w:type="pct"/>
          </w:tcPr>
          <w:p w14:paraId="133C4BAF" w14:textId="77777777" w:rsidR="00410071" w:rsidRPr="00686CC7" w:rsidRDefault="00410071" w:rsidP="008C1BFB">
            <w:pPr>
              <w:pStyle w:val="TableText"/>
              <w:tabs>
                <w:tab w:val="decimal" w:pos="652"/>
              </w:tabs>
            </w:pPr>
            <w:r w:rsidRPr="00686CC7">
              <w:t>1</w:t>
            </w:r>
          </w:p>
        </w:tc>
        <w:tc>
          <w:tcPr>
            <w:tcW w:w="716" w:type="pct"/>
          </w:tcPr>
          <w:p w14:paraId="0B303D83" w14:textId="77777777" w:rsidR="00410071" w:rsidRPr="00686CC7" w:rsidRDefault="00410071" w:rsidP="008C1BFB">
            <w:pPr>
              <w:pStyle w:val="TableText"/>
              <w:tabs>
                <w:tab w:val="decimal" w:pos="700"/>
              </w:tabs>
            </w:pPr>
            <w:r w:rsidRPr="00686CC7">
              <w:t>49</w:t>
            </w:r>
          </w:p>
        </w:tc>
        <w:tc>
          <w:tcPr>
            <w:tcW w:w="921" w:type="pct"/>
          </w:tcPr>
          <w:p w14:paraId="54B48243" w14:textId="77777777" w:rsidR="00410071" w:rsidRPr="00686CC7" w:rsidRDefault="00410071" w:rsidP="008C1BFB">
            <w:pPr>
              <w:pStyle w:val="TableText"/>
              <w:tabs>
                <w:tab w:val="decimal" w:pos="822"/>
              </w:tabs>
            </w:pPr>
            <w:r w:rsidRPr="00686CC7">
              <w:t>49</w:t>
            </w:r>
          </w:p>
        </w:tc>
        <w:tc>
          <w:tcPr>
            <w:tcW w:w="1053" w:type="pct"/>
          </w:tcPr>
          <w:p w14:paraId="2BF61C9B" w14:textId="77777777" w:rsidR="00410071" w:rsidRPr="00686CC7" w:rsidRDefault="00410071" w:rsidP="008C1BFB">
            <w:pPr>
              <w:pStyle w:val="TableText"/>
              <w:tabs>
                <w:tab w:val="decimal" w:pos="851"/>
              </w:tabs>
            </w:pPr>
            <w:r w:rsidRPr="00686CC7">
              <w:t>49</w:t>
            </w:r>
          </w:p>
        </w:tc>
      </w:tr>
      <w:tr w:rsidR="00410071" w:rsidRPr="008C1BFB" w14:paraId="544A8CF8" w14:textId="77777777" w:rsidTr="008C1BFB">
        <w:trPr>
          <w:cantSplit/>
        </w:trPr>
        <w:tc>
          <w:tcPr>
            <w:tcW w:w="638" w:type="pct"/>
          </w:tcPr>
          <w:p w14:paraId="6CE58549" w14:textId="77777777" w:rsidR="00410071" w:rsidRPr="008C1BFB" w:rsidRDefault="00410071" w:rsidP="008C1BFB">
            <w:pPr>
              <w:pStyle w:val="TableText"/>
              <w:rPr>
                <w:b/>
              </w:rPr>
            </w:pPr>
          </w:p>
        </w:tc>
        <w:tc>
          <w:tcPr>
            <w:tcW w:w="941" w:type="pct"/>
          </w:tcPr>
          <w:p w14:paraId="3C372E3E" w14:textId="77777777" w:rsidR="00410071" w:rsidRPr="008C1BFB" w:rsidRDefault="00410071" w:rsidP="008C1BFB">
            <w:pPr>
              <w:pStyle w:val="TableText"/>
              <w:rPr>
                <w:b/>
              </w:rPr>
            </w:pPr>
            <w:r w:rsidRPr="008C1BFB">
              <w:rPr>
                <w:b/>
              </w:rPr>
              <w:t>National total</w:t>
            </w:r>
          </w:p>
        </w:tc>
        <w:tc>
          <w:tcPr>
            <w:tcW w:w="731" w:type="pct"/>
          </w:tcPr>
          <w:p w14:paraId="2BF5C994" w14:textId="77777777" w:rsidR="00410071" w:rsidRPr="008C1BFB" w:rsidRDefault="00410071" w:rsidP="008C1BFB">
            <w:pPr>
              <w:pStyle w:val="TableText"/>
              <w:tabs>
                <w:tab w:val="decimal" w:pos="652"/>
              </w:tabs>
              <w:rPr>
                <w:b/>
              </w:rPr>
            </w:pPr>
            <w:r w:rsidRPr="008C1BFB">
              <w:rPr>
                <w:b/>
              </w:rPr>
              <w:t>4</w:t>
            </w:r>
          </w:p>
        </w:tc>
        <w:tc>
          <w:tcPr>
            <w:tcW w:w="716" w:type="pct"/>
          </w:tcPr>
          <w:p w14:paraId="0F43106E" w14:textId="77777777" w:rsidR="00410071" w:rsidRPr="008C1BFB" w:rsidRDefault="00410071" w:rsidP="008C1BFB">
            <w:pPr>
              <w:pStyle w:val="TableText"/>
              <w:tabs>
                <w:tab w:val="decimal" w:pos="700"/>
              </w:tabs>
              <w:rPr>
                <w:b/>
              </w:rPr>
            </w:pPr>
            <w:r w:rsidRPr="008C1BFB">
              <w:rPr>
                <w:b/>
              </w:rPr>
              <w:t>81</w:t>
            </w:r>
          </w:p>
        </w:tc>
        <w:tc>
          <w:tcPr>
            <w:tcW w:w="921" w:type="pct"/>
          </w:tcPr>
          <w:p w14:paraId="1ADA0163" w14:textId="77777777" w:rsidR="00410071" w:rsidRPr="008C1BFB" w:rsidRDefault="00410071" w:rsidP="008C1BFB">
            <w:pPr>
              <w:pStyle w:val="TableText"/>
              <w:tabs>
                <w:tab w:val="decimal" w:pos="822"/>
              </w:tabs>
              <w:rPr>
                <w:b/>
              </w:rPr>
            </w:pPr>
            <w:r w:rsidRPr="008C1BFB">
              <w:rPr>
                <w:b/>
              </w:rPr>
              <w:t>15</w:t>
            </w:r>
          </w:p>
        </w:tc>
        <w:tc>
          <w:tcPr>
            <w:tcW w:w="1053" w:type="pct"/>
          </w:tcPr>
          <w:p w14:paraId="3873F9FF" w14:textId="77777777" w:rsidR="00410071" w:rsidRPr="008C1BFB" w:rsidRDefault="00410071" w:rsidP="008C1BFB">
            <w:pPr>
              <w:pStyle w:val="TableText"/>
              <w:jc w:val="center"/>
              <w:rPr>
                <w:b/>
              </w:rPr>
            </w:pPr>
            <w:r w:rsidRPr="008C1BFB">
              <w:rPr>
                <w:b/>
              </w:rPr>
              <w:t>20.3</w:t>
            </w:r>
          </w:p>
        </w:tc>
      </w:tr>
    </w:tbl>
    <w:p w14:paraId="4B0EDE0F" w14:textId="77777777" w:rsidR="0039221C" w:rsidRDefault="00410071" w:rsidP="008C1BFB">
      <w:pPr>
        <w:pStyle w:val="Note"/>
      </w:pPr>
      <w:r w:rsidRPr="00200234">
        <w:t xml:space="preserve">Notes: </w:t>
      </w:r>
      <w:r>
        <w:t>ID(CC&amp;R) = Intellectual Disability (Compulsory Care and Rehabilitation) Act 2003; MHA = Mental Health (Compulsory Assessment and Treatment) Act 1992.</w:t>
      </w:r>
    </w:p>
    <w:p w14:paraId="1469C8BB" w14:textId="77777777" w:rsidR="00410071" w:rsidRPr="00200234" w:rsidRDefault="00410071" w:rsidP="008C1BFB">
      <w:pPr>
        <w:pStyle w:val="Source"/>
      </w:pPr>
      <w:r w:rsidRPr="000617A2">
        <w:t>Sources: PRIMHD data (extracted 1 July 2021) and manual data from Southern and Waitematā DHBs</w:t>
      </w:r>
      <w:r>
        <w:t>.</w:t>
      </w:r>
    </w:p>
    <w:p w14:paraId="39467B43" w14:textId="77777777" w:rsidR="00410071" w:rsidRDefault="00410071" w:rsidP="00447111"/>
    <w:p w14:paraId="5FF37E33" w14:textId="380E8D67" w:rsidR="00410071" w:rsidRDefault="00410071" w:rsidP="008C1BFB">
      <w:pPr>
        <w:pStyle w:val="Table"/>
      </w:pPr>
      <w:bookmarkStart w:id="312" w:name="_Toc87430008"/>
      <w:bookmarkStart w:id="313" w:name="_Toc88561365"/>
      <w:r>
        <w:lastRenderedPageBreak/>
        <w:t>Table</w:t>
      </w:r>
      <w:r w:rsidR="008C1BFB">
        <w:t> </w:t>
      </w:r>
      <w:r w:rsidR="00592799">
        <w:fldChar w:fldCharType="begin"/>
      </w:r>
      <w:r w:rsidR="00592799">
        <w:instrText xml:space="preserve"> SEQ Table \* ARABIC </w:instrText>
      </w:r>
      <w:r w:rsidR="00592799">
        <w:fldChar w:fldCharType="separate"/>
      </w:r>
      <w:r w:rsidR="00840F18">
        <w:rPr>
          <w:noProof/>
        </w:rPr>
        <w:t>10</w:t>
      </w:r>
      <w:r w:rsidR="00592799">
        <w:rPr>
          <w:noProof/>
        </w:rPr>
        <w:fldChar w:fldCharType="end"/>
      </w:r>
      <w:r w:rsidRPr="00947A98">
        <w:t xml:space="preserve">: </w:t>
      </w:r>
      <w:r>
        <w:t>Seclusion duration</w:t>
      </w:r>
      <w:r w:rsidRPr="00947A98">
        <w:t xml:space="preserve"> for</w:t>
      </w:r>
      <w:r>
        <w:t xml:space="preserve"> people with intellectual disabilities</w:t>
      </w:r>
      <w:r w:rsidRPr="00947A98">
        <w:t>, by DHB, 1</w:t>
      </w:r>
      <w:r w:rsidR="005A6100">
        <w:t> </w:t>
      </w:r>
      <w:r w:rsidRPr="00947A98">
        <w:t>January to 31 December 2020</w:t>
      </w:r>
      <w:bookmarkEnd w:id="312"/>
      <w:bookmarkEnd w:id="313"/>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1027"/>
        <w:gridCol w:w="1527"/>
        <w:gridCol w:w="1558"/>
        <w:gridCol w:w="1984"/>
        <w:gridCol w:w="1984"/>
      </w:tblGrid>
      <w:tr w:rsidR="00410071" w:rsidRPr="005A6100" w14:paraId="72659C7D" w14:textId="77777777" w:rsidTr="005A6100">
        <w:trPr>
          <w:cantSplit/>
        </w:trPr>
        <w:tc>
          <w:tcPr>
            <w:tcW w:w="635" w:type="pct"/>
            <w:tcBorders>
              <w:top w:val="nil"/>
              <w:bottom w:val="nil"/>
            </w:tcBorders>
            <w:shd w:val="clear" w:color="auto" w:fill="D9D9D9"/>
          </w:tcPr>
          <w:p w14:paraId="1B3D4199" w14:textId="77777777" w:rsidR="00410071" w:rsidRPr="005A6100" w:rsidRDefault="00410071" w:rsidP="005A6100">
            <w:pPr>
              <w:pStyle w:val="TableText"/>
              <w:rPr>
                <w:b/>
              </w:rPr>
            </w:pPr>
            <w:r w:rsidRPr="005A6100">
              <w:rPr>
                <w:b/>
              </w:rPr>
              <w:t>Legal Act</w:t>
            </w:r>
          </w:p>
        </w:tc>
        <w:tc>
          <w:tcPr>
            <w:tcW w:w="945" w:type="pct"/>
            <w:tcBorders>
              <w:top w:val="nil"/>
              <w:bottom w:val="nil"/>
            </w:tcBorders>
            <w:shd w:val="clear" w:color="auto" w:fill="D9D9D9"/>
          </w:tcPr>
          <w:p w14:paraId="180A409C" w14:textId="77777777" w:rsidR="00410071" w:rsidRPr="005A6100" w:rsidRDefault="00410071" w:rsidP="005A6100">
            <w:pPr>
              <w:pStyle w:val="TableText"/>
              <w:rPr>
                <w:b/>
              </w:rPr>
            </w:pPr>
            <w:r w:rsidRPr="005A6100">
              <w:rPr>
                <w:b/>
              </w:rPr>
              <w:t>DHB</w:t>
            </w:r>
          </w:p>
        </w:tc>
        <w:tc>
          <w:tcPr>
            <w:tcW w:w="964" w:type="pct"/>
            <w:tcBorders>
              <w:top w:val="nil"/>
              <w:bottom w:val="nil"/>
            </w:tcBorders>
            <w:shd w:val="clear" w:color="auto" w:fill="D9D9D9"/>
          </w:tcPr>
          <w:p w14:paraId="5C5D52B9" w14:textId="77777777" w:rsidR="00410071" w:rsidRPr="005A6100" w:rsidRDefault="00410071" w:rsidP="005A6100">
            <w:pPr>
              <w:pStyle w:val="TableText"/>
              <w:jc w:val="center"/>
              <w:rPr>
                <w:b/>
              </w:rPr>
            </w:pPr>
            <w:r w:rsidRPr="005A6100">
              <w:rPr>
                <w:b/>
              </w:rPr>
              <w:t>Total seclusion hours</w:t>
            </w:r>
          </w:p>
        </w:tc>
        <w:tc>
          <w:tcPr>
            <w:tcW w:w="1228" w:type="pct"/>
            <w:tcBorders>
              <w:top w:val="nil"/>
              <w:bottom w:val="nil"/>
            </w:tcBorders>
            <w:shd w:val="clear" w:color="auto" w:fill="D9D9D9"/>
          </w:tcPr>
          <w:p w14:paraId="033B69F0" w14:textId="77777777" w:rsidR="00410071" w:rsidRPr="005A6100" w:rsidRDefault="00410071" w:rsidP="005A6100">
            <w:pPr>
              <w:pStyle w:val="TableText"/>
              <w:jc w:val="center"/>
              <w:rPr>
                <w:b/>
              </w:rPr>
            </w:pPr>
            <w:r w:rsidRPr="005A6100">
              <w:rPr>
                <w:b/>
              </w:rPr>
              <w:t>Median duration of seclusion events (hours: minutes)</w:t>
            </w:r>
          </w:p>
        </w:tc>
        <w:tc>
          <w:tcPr>
            <w:tcW w:w="1228" w:type="pct"/>
            <w:tcBorders>
              <w:top w:val="nil"/>
              <w:bottom w:val="nil"/>
            </w:tcBorders>
            <w:shd w:val="clear" w:color="auto" w:fill="D9D9D9"/>
          </w:tcPr>
          <w:p w14:paraId="195BD0CA" w14:textId="77777777" w:rsidR="00410071" w:rsidRPr="005A6100" w:rsidRDefault="00410071" w:rsidP="005A6100">
            <w:pPr>
              <w:pStyle w:val="TableText"/>
              <w:jc w:val="center"/>
              <w:rPr>
                <w:b/>
              </w:rPr>
            </w:pPr>
            <w:r w:rsidRPr="005A6100">
              <w:rPr>
                <w:b/>
              </w:rPr>
              <w:t>Average duration of seclusion events (hours: minutes)</w:t>
            </w:r>
          </w:p>
        </w:tc>
      </w:tr>
      <w:tr w:rsidR="00410071" w:rsidRPr="00486A72" w14:paraId="11BBE1D9" w14:textId="77777777" w:rsidTr="005A6100">
        <w:trPr>
          <w:cantSplit/>
        </w:trPr>
        <w:tc>
          <w:tcPr>
            <w:tcW w:w="635" w:type="pct"/>
            <w:tcBorders>
              <w:top w:val="nil"/>
            </w:tcBorders>
          </w:tcPr>
          <w:p w14:paraId="3F3166B7" w14:textId="77777777" w:rsidR="00410071" w:rsidRPr="00486A72" w:rsidRDefault="00410071" w:rsidP="005A6100">
            <w:pPr>
              <w:pStyle w:val="TableText"/>
            </w:pPr>
            <w:r>
              <w:t>ID(CC&amp;R)</w:t>
            </w:r>
          </w:p>
        </w:tc>
        <w:tc>
          <w:tcPr>
            <w:tcW w:w="945" w:type="pct"/>
            <w:tcBorders>
              <w:top w:val="nil"/>
            </w:tcBorders>
          </w:tcPr>
          <w:p w14:paraId="653E4555" w14:textId="77777777" w:rsidR="00410071" w:rsidRPr="00486A72" w:rsidRDefault="00410071" w:rsidP="005A6100">
            <w:pPr>
              <w:pStyle w:val="TableText"/>
            </w:pPr>
            <w:r w:rsidRPr="00486A72">
              <w:t>Canterbury</w:t>
            </w:r>
          </w:p>
        </w:tc>
        <w:tc>
          <w:tcPr>
            <w:tcW w:w="964" w:type="pct"/>
            <w:tcBorders>
              <w:top w:val="nil"/>
            </w:tcBorders>
          </w:tcPr>
          <w:p w14:paraId="20F6B954" w14:textId="77777777" w:rsidR="00410071" w:rsidRPr="00AB448C" w:rsidRDefault="00410071" w:rsidP="005A6100">
            <w:pPr>
              <w:pStyle w:val="TableText"/>
              <w:tabs>
                <w:tab w:val="decimal" w:pos="933"/>
              </w:tabs>
            </w:pPr>
            <w:r w:rsidRPr="00AB448C">
              <w:rPr>
                <w:rFonts w:eastAsia="Calibri"/>
              </w:rPr>
              <w:t>1</w:t>
            </w:r>
            <w:r>
              <w:rPr>
                <w:rFonts w:eastAsia="Calibri"/>
              </w:rPr>
              <w:t>,</w:t>
            </w:r>
            <w:r w:rsidRPr="00AB448C">
              <w:rPr>
                <w:rFonts w:eastAsia="Calibri"/>
              </w:rPr>
              <w:t>047</w:t>
            </w:r>
          </w:p>
        </w:tc>
        <w:tc>
          <w:tcPr>
            <w:tcW w:w="1228" w:type="pct"/>
            <w:tcBorders>
              <w:top w:val="nil"/>
            </w:tcBorders>
          </w:tcPr>
          <w:p w14:paraId="34309120" w14:textId="77777777" w:rsidR="00410071" w:rsidRPr="00AB448C" w:rsidRDefault="00410071" w:rsidP="005A6100">
            <w:pPr>
              <w:pStyle w:val="TableText"/>
              <w:tabs>
                <w:tab w:val="decimal" w:pos="934"/>
              </w:tabs>
            </w:pPr>
            <w:r w:rsidRPr="00AB448C">
              <w:rPr>
                <w:rFonts w:eastAsia="Calibri"/>
              </w:rPr>
              <w:t>10:35</w:t>
            </w:r>
          </w:p>
        </w:tc>
        <w:tc>
          <w:tcPr>
            <w:tcW w:w="1228" w:type="pct"/>
            <w:tcBorders>
              <w:top w:val="nil"/>
            </w:tcBorders>
          </w:tcPr>
          <w:p w14:paraId="463C48A6" w14:textId="77777777" w:rsidR="00410071" w:rsidRPr="00AB448C" w:rsidRDefault="00410071" w:rsidP="005A6100">
            <w:pPr>
              <w:pStyle w:val="TableText"/>
              <w:tabs>
                <w:tab w:val="decimal" w:pos="863"/>
              </w:tabs>
            </w:pPr>
            <w:r w:rsidRPr="00AB448C">
              <w:rPr>
                <w:rFonts w:eastAsia="Calibri"/>
              </w:rPr>
              <w:t>4:17</w:t>
            </w:r>
          </w:p>
        </w:tc>
      </w:tr>
      <w:tr w:rsidR="00410071" w:rsidRPr="00486A72" w14:paraId="1F1C7D72" w14:textId="77777777" w:rsidTr="005A6100">
        <w:trPr>
          <w:cantSplit/>
        </w:trPr>
        <w:tc>
          <w:tcPr>
            <w:tcW w:w="635" w:type="pct"/>
            <w:tcBorders>
              <w:top w:val="nil"/>
            </w:tcBorders>
          </w:tcPr>
          <w:p w14:paraId="6FD3F7A1" w14:textId="77777777" w:rsidR="00410071" w:rsidRPr="00486A72" w:rsidRDefault="00410071" w:rsidP="005A6100">
            <w:pPr>
              <w:pStyle w:val="TableText"/>
            </w:pPr>
          </w:p>
        </w:tc>
        <w:tc>
          <w:tcPr>
            <w:tcW w:w="945" w:type="pct"/>
            <w:tcBorders>
              <w:top w:val="nil"/>
            </w:tcBorders>
          </w:tcPr>
          <w:p w14:paraId="31CFC55D" w14:textId="77777777" w:rsidR="00410071" w:rsidRPr="00486A72" w:rsidRDefault="00410071" w:rsidP="005A6100">
            <w:pPr>
              <w:pStyle w:val="TableText"/>
            </w:pPr>
            <w:r>
              <w:t>Capital &amp; Coast</w:t>
            </w:r>
          </w:p>
        </w:tc>
        <w:tc>
          <w:tcPr>
            <w:tcW w:w="964" w:type="pct"/>
            <w:tcBorders>
              <w:top w:val="nil"/>
            </w:tcBorders>
          </w:tcPr>
          <w:p w14:paraId="0AD34D97" w14:textId="77777777" w:rsidR="00410071" w:rsidRPr="00AB448C" w:rsidRDefault="00410071" w:rsidP="005A6100">
            <w:pPr>
              <w:pStyle w:val="TableText"/>
              <w:tabs>
                <w:tab w:val="decimal" w:pos="933"/>
              </w:tabs>
            </w:pPr>
            <w:r w:rsidRPr="00AB448C">
              <w:rPr>
                <w:rFonts w:eastAsia="Calibri"/>
              </w:rPr>
              <w:t>424</w:t>
            </w:r>
          </w:p>
        </w:tc>
        <w:tc>
          <w:tcPr>
            <w:tcW w:w="1228" w:type="pct"/>
            <w:tcBorders>
              <w:top w:val="nil"/>
            </w:tcBorders>
          </w:tcPr>
          <w:p w14:paraId="6754544C" w14:textId="77777777" w:rsidR="00410071" w:rsidRPr="00AB448C" w:rsidRDefault="00410071" w:rsidP="005A6100">
            <w:pPr>
              <w:pStyle w:val="TableText"/>
              <w:tabs>
                <w:tab w:val="decimal" w:pos="934"/>
              </w:tabs>
            </w:pPr>
            <w:r w:rsidRPr="00AB448C">
              <w:rPr>
                <w:rFonts w:eastAsia="Calibri"/>
              </w:rPr>
              <w:t>13:00</w:t>
            </w:r>
          </w:p>
        </w:tc>
        <w:tc>
          <w:tcPr>
            <w:tcW w:w="1228" w:type="pct"/>
            <w:tcBorders>
              <w:top w:val="nil"/>
            </w:tcBorders>
          </w:tcPr>
          <w:p w14:paraId="2932DB86" w14:textId="77777777" w:rsidR="00410071" w:rsidRPr="00AB448C" w:rsidRDefault="00410071" w:rsidP="005A6100">
            <w:pPr>
              <w:pStyle w:val="TableText"/>
              <w:tabs>
                <w:tab w:val="decimal" w:pos="863"/>
              </w:tabs>
            </w:pPr>
            <w:r w:rsidRPr="00AB448C">
              <w:rPr>
                <w:rFonts w:eastAsia="Calibri"/>
              </w:rPr>
              <w:t>15:42</w:t>
            </w:r>
          </w:p>
        </w:tc>
      </w:tr>
      <w:tr w:rsidR="00410071" w:rsidRPr="00486A72" w14:paraId="129B9A15" w14:textId="77777777" w:rsidTr="005A6100">
        <w:trPr>
          <w:cantSplit/>
        </w:trPr>
        <w:tc>
          <w:tcPr>
            <w:tcW w:w="635" w:type="pct"/>
          </w:tcPr>
          <w:p w14:paraId="2305491F" w14:textId="77777777" w:rsidR="00410071" w:rsidRPr="00486A72" w:rsidRDefault="00410071" w:rsidP="005A6100">
            <w:pPr>
              <w:pStyle w:val="TableText"/>
            </w:pPr>
          </w:p>
        </w:tc>
        <w:tc>
          <w:tcPr>
            <w:tcW w:w="945" w:type="pct"/>
          </w:tcPr>
          <w:p w14:paraId="1CD2E169" w14:textId="77777777" w:rsidR="00410071" w:rsidRPr="00486A72" w:rsidRDefault="00410071" w:rsidP="005A6100">
            <w:pPr>
              <w:pStyle w:val="TableText"/>
            </w:pPr>
            <w:r>
              <w:t>Southern</w:t>
            </w:r>
          </w:p>
        </w:tc>
        <w:tc>
          <w:tcPr>
            <w:tcW w:w="964" w:type="pct"/>
          </w:tcPr>
          <w:p w14:paraId="611E46FE" w14:textId="77777777" w:rsidR="00410071" w:rsidRPr="00AB448C" w:rsidRDefault="00410071" w:rsidP="005A6100">
            <w:pPr>
              <w:pStyle w:val="TableText"/>
              <w:tabs>
                <w:tab w:val="decimal" w:pos="933"/>
              </w:tabs>
            </w:pPr>
            <w:r w:rsidRPr="00AB448C">
              <w:rPr>
                <w:rFonts w:eastAsia="Calibri"/>
              </w:rPr>
              <w:t>709</w:t>
            </w:r>
          </w:p>
        </w:tc>
        <w:tc>
          <w:tcPr>
            <w:tcW w:w="1228" w:type="pct"/>
          </w:tcPr>
          <w:p w14:paraId="619673E9" w14:textId="77777777" w:rsidR="00410071" w:rsidRPr="00AB448C" w:rsidRDefault="00410071" w:rsidP="005A6100">
            <w:pPr>
              <w:pStyle w:val="TableText"/>
              <w:tabs>
                <w:tab w:val="decimal" w:pos="934"/>
              </w:tabs>
            </w:pPr>
            <w:r w:rsidRPr="00AB448C">
              <w:rPr>
                <w:rFonts w:eastAsia="Calibri"/>
              </w:rPr>
              <w:t>3:45</w:t>
            </w:r>
          </w:p>
        </w:tc>
        <w:tc>
          <w:tcPr>
            <w:tcW w:w="1228" w:type="pct"/>
          </w:tcPr>
          <w:p w14:paraId="63E9923A" w14:textId="77777777" w:rsidR="00410071" w:rsidRPr="00AB448C" w:rsidRDefault="00410071" w:rsidP="005A6100">
            <w:pPr>
              <w:pStyle w:val="TableText"/>
              <w:tabs>
                <w:tab w:val="decimal" w:pos="863"/>
              </w:tabs>
            </w:pPr>
            <w:r w:rsidRPr="00AB448C">
              <w:rPr>
                <w:rFonts w:eastAsia="Calibri"/>
              </w:rPr>
              <w:t>15:45</w:t>
            </w:r>
          </w:p>
        </w:tc>
      </w:tr>
      <w:tr w:rsidR="00410071" w:rsidRPr="00486A72" w14:paraId="223F4E11" w14:textId="77777777" w:rsidTr="005A6100">
        <w:trPr>
          <w:cantSplit/>
        </w:trPr>
        <w:tc>
          <w:tcPr>
            <w:tcW w:w="635" w:type="pct"/>
            <w:tcBorders>
              <w:bottom w:val="single" w:sz="4" w:space="0" w:color="A6A6A6"/>
            </w:tcBorders>
          </w:tcPr>
          <w:p w14:paraId="7672D764" w14:textId="77777777" w:rsidR="00410071" w:rsidRPr="00486A72" w:rsidRDefault="00410071" w:rsidP="005A6100">
            <w:pPr>
              <w:pStyle w:val="TableText"/>
            </w:pPr>
          </w:p>
        </w:tc>
        <w:tc>
          <w:tcPr>
            <w:tcW w:w="945" w:type="pct"/>
            <w:tcBorders>
              <w:bottom w:val="single" w:sz="4" w:space="0" w:color="A6A6A6"/>
            </w:tcBorders>
          </w:tcPr>
          <w:p w14:paraId="2EBE0746" w14:textId="77777777" w:rsidR="00410071" w:rsidRPr="00486A72" w:rsidRDefault="00410071" w:rsidP="005A6100">
            <w:pPr>
              <w:pStyle w:val="TableText"/>
            </w:pPr>
            <w:r>
              <w:t>Waikato</w:t>
            </w:r>
          </w:p>
        </w:tc>
        <w:tc>
          <w:tcPr>
            <w:tcW w:w="964" w:type="pct"/>
            <w:tcBorders>
              <w:bottom w:val="single" w:sz="4" w:space="0" w:color="A6A6A6"/>
            </w:tcBorders>
          </w:tcPr>
          <w:p w14:paraId="4B29CA4B" w14:textId="77777777" w:rsidR="00410071" w:rsidRPr="00AB448C" w:rsidRDefault="00410071" w:rsidP="005A6100">
            <w:pPr>
              <w:pStyle w:val="TableText"/>
              <w:tabs>
                <w:tab w:val="decimal" w:pos="933"/>
              </w:tabs>
            </w:pPr>
            <w:r w:rsidRPr="00AB448C">
              <w:rPr>
                <w:rFonts w:eastAsia="Calibri"/>
              </w:rPr>
              <w:t>50</w:t>
            </w:r>
          </w:p>
        </w:tc>
        <w:tc>
          <w:tcPr>
            <w:tcW w:w="1228" w:type="pct"/>
            <w:tcBorders>
              <w:bottom w:val="single" w:sz="4" w:space="0" w:color="A6A6A6"/>
            </w:tcBorders>
          </w:tcPr>
          <w:p w14:paraId="1D426C20" w14:textId="77777777" w:rsidR="00410071" w:rsidRPr="00AB448C" w:rsidRDefault="00410071" w:rsidP="005A6100">
            <w:pPr>
              <w:pStyle w:val="TableText"/>
              <w:tabs>
                <w:tab w:val="decimal" w:pos="934"/>
              </w:tabs>
            </w:pPr>
            <w:r w:rsidRPr="00AB448C">
              <w:rPr>
                <w:rFonts w:eastAsia="Calibri"/>
              </w:rPr>
              <w:t>4:28</w:t>
            </w:r>
          </w:p>
        </w:tc>
        <w:tc>
          <w:tcPr>
            <w:tcW w:w="1228" w:type="pct"/>
            <w:tcBorders>
              <w:bottom w:val="single" w:sz="4" w:space="0" w:color="A6A6A6"/>
            </w:tcBorders>
          </w:tcPr>
          <w:p w14:paraId="183AC90A" w14:textId="77777777" w:rsidR="00410071" w:rsidRPr="00AB448C" w:rsidRDefault="00410071" w:rsidP="005A6100">
            <w:pPr>
              <w:pStyle w:val="TableText"/>
              <w:tabs>
                <w:tab w:val="decimal" w:pos="863"/>
              </w:tabs>
            </w:pPr>
            <w:r w:rsidRPr="00AB448C">
              <w:rPr>
                <w:rFonts w:eastAsia="Calibri"/>
              </w:rPr>
              <w:t>8:21</w:t>
            </w:r>
          </w:p>
        </w:tc>
      </w:tr>
      <w:tr w:rsidR="00410071" w:rsidRPr="00486A72" w14:paraId="3D7AD0A4" w14:textId="77777777" w:rsidTr="005A6100">
        <w:trPr>
          <w:cantSplit/>
        </w:trPr>
        <w:tc>
          <w:tcPr>
            <w:tcW w:w="635" w:type="pct"/>
            <w:tcBorders>
              <w:bottom w:val="single" w:sz="18" w:space="0" w:color="A6A6A6"/>
            </w:tcBorders>
          </w:tcPr>
          <w:p w14:paraId="71A295F3" w14:textId="77777777" w:rsidR="00410071" w:rsidRPr="00486A72" w:rsidRDefault="00410071" w:rsidP="005A6100">
            <w:pPr>
              <w:pStyle w:val="TableText"/>
            </w:pPr>
          </w:p>
        </w:tc>
        <w:tc>
          <w:tcPr>
            <w:tcW w:w="945" w:type="pct"/>
            <w:tcBorders>
              <w:bottom w:val="single" w:sz="18" w:space="0" w:color="A6A6A6"/>
            </w:tcBorders>
          </w:tcPr>
          <w:p w14:paraId="055F78D4" w14:textId="77777777" w:rsidR="00410071" w:rsidRPr="00486A72" w:rsidRDefault="00410071" w:rsidP="005A6100">
            <w:pPr>
              <w:pStyle w:val="TableText"/>
            </w:pPr>
            <w:r>
              <w:t>Waitematā</w:t>
            </w:r>
          </w:p>
        </w:tc>
        <w:tc>
          <w:tcPr>
            <w:tcW w:w="964" w:type="pct"/>
            <w:tcBorders>
              <w:bottom w:val="single" w:sz="18" w:space="0" w:color="A6A6A6"/>
            </w:tcBorders>
          </w:tcPr>
          <w:p w14:paraId="3AAAFFB5" w14:textId="77777777" w:rsidR="00410071" w:rsidRPr="00AB448C" w:rsidRDefault="00410071" w:rsidP="005A6100">
            <w:pPr>
              <w:pStyle w:val="TableText"/>
              <w:tabs>
                <w:tab w:val="decimal" w:pos="933"/>
              </w:tabs>
            </w:pPr>
            <w:r w:rsidRPr="00AB448C">
              <w:rPr>
                <w:rFonts w:eastAsia="Calibri"/>
              </w:rPr>
              <w:t>562</w:t>
            </w:r>
          </w:p>
        </w:tc>
        <w:tc>
          <w:tcPr>
            <w:tcW w:w="1228" w:type="pct"/>
            <w:tcBorders>
              <w:bottom w:val="single" w:sz="18" w:space="0" w:color="A6A6A6"/>
            </w:tcBorders>
          </w:tcPr>
          <w:p w14:paraId="4D20A06A" w14:textId="77777777" w:rsidR="00410071" w:rsidRPr="00AB448C" w:rsidRDefault="00410071" w:rsidP="005A6100">
            <w:pPr>
              <w:pStyle w:val="TableText"/>
              <w:tabs>
                <w:tab w:val="decimal" w:pos="934"/>
              </w:tabs>
            </w:pPr>
            <w:r w:rsidRPr="00AB448C">
              <w:rPr>
                <w:rFonts w:eastAsia="Calibri"/>
              </w:rPr>
              <w:t>3:27</w:t>
            </w:r>
          </w:p>
        </w:tc>
        <w:tc>
          <w:tcPr>
            <w:tcW w:w="1228" w:type="pct"/>
            <w:tcBorders>
              <w:bottom w:val="single" w:sz="18" w:space="0" w:color="A6A6A6"/>
            </w:tcBorders>
          </w:tcPr>
          <w:p w14:paraId="77B6DE4B" w14:textId="77777777" w:rsidR="00410071" w:rsidRPr="00AB448C" w:rsidRDefault="00410071" w:rsidP="005A6100">
            <w:pPr>
              <w:pStyle w:val="TableText"/>
              <w:tabs>
                <w:tab w:val="decimal" w:pos="863"/>
              </w:tabs>
            </w:pPr>
            <w:r w:rsidRPr="00AB448C">
              <w:rPr>
                <w:rFonts w:eastAsia="Calibri"/>
              </w:rPr>
              <w:t>8:16</w:t>
            </w:r>
          </w:p>
        </w:tc>
      </w:tr>
      <w:tr w:rsidR="00410071" w:rsidRPr="00486A72" w14:paraId="270747B6" w14:textId="77777777" w:rsidTr="005A6100">
        <w:trPr>
          <w:cantSplit/>
        </w:trPr>
        <w:tc>
          <w:tcPr>
            <w:tcW w:w="635" w:type="pct"/>
            <w:tcBorders>
              <w:top w:val="single" w:sz="18" w:space="0" w:color="A6A6A6"/>
            </w:tcBorders>
          </w:tcPr>
          <w:p w14:paraId="2BA304E9" w14:textId="77777777" w:rsidR="00410071" w:rsidRPr="00486A72" w:rsidRDefault="00410071" w:rsidP="005A6100">
            <w:pPr>
              <w:pStyle w:val="TableText"/>
            </w:pPr>
            <w:r>
              <w:t>MHA</w:t>
            </w:r>
          </w:p>
        </w:tc>
        <w:tc>
          <w:tcPr>
            <w:tcW w:w="945" w:type="pct"/>
            <w:tcBorders>
              <w:top w:val="single" w:sz="18" w:space="0" w:color="A6A6A6"/>
            </w:tcBorders>
          </w:tcPr>
          <w:p w14:paraId="2800369D" w14:textId="77777777" w:rsidR="00410071" w:rsidRPr="00486A72" w:rsidRDefault="00410071" w:rsidP="005A6100">
            <w:pPr>
              <w:pStyle w:val="TableText"/>
            </w:pPr>
            <w:r>
              <w:t>Canterbury</w:t>
            </w:r>
          </w:p>
        </w:tc>
        <w:tc>
          <w:tcPr>
            <w:tcW w:w="964" w:type="pct"/>
            <w:tcBorders>
              <w:top w:val="single" w:sz="18" w:space="0" w:color="A6A6A6"/>
            </w:tcBorders>
          </w:tcPr>
          <w:p w14:paraId="2B3BE1F4" w14:textId="77777777" w:rsidR="00410071" w:rsidRPr="00AB448C" w:rsidRDefault="00410071" w:rsidP="005A6100">
            <w:pPr>
              <w:pStyle w:val="TableText"/>
              <w:tabs>
                <w:tab w:val="decimal" w:pos="933"/>
              </w:tabs>
            </w:pPr>
            <w:r w:rsidRPr="00AB448C">
              <w:rPr>
                <w:rFonts w:eastAsia="Calibri"/>
              </w:rPr>
              <w:t>31</w:t>
            </w:r>
          </w:p>
        </w:tc>
        <w:tc>
          <w:tcPr>
            <w:tcW w:w="1228" w:type="pct"/>
            <w:tcBorders>
              <w:top w:val="single" w:sz="18" w:space="0" w:color="A6A6A6"/>
            </w:tcBorders>
          </w:tcPr>
          <w:p w14:paraId="33581AF8" w14:textId="77777777" w:rsidR="00410071" w:rsidRPr="00AB448C" w:rsidRDefault="00410071" w:rsidP="005A6100">
            <w:pPr>
              <w:pStyle w:val="TableText"/>
              <w:tabs>
                <w:tab w:val="decimal" w:pos="934"/>
              </w:tabs>
            </w:pPr>
            <w:r w:rsidRPr="00AB448C">
              <w:rPr>
                <w:rFonts w:eastAsia="Calibri"/>
              </w:rPr>
              <w:t>15:40</w:t>
            </w:r>
          </w:p>
        </w:tc>
        <w:tc>
          <w:tcPr>
            <w:tcW w:w="1228" w:type="pct"/>
            <w:tcBorders>
              <w:top w:val="single" w:sz="18" w:space="0" w:color="A6A6A6"/>
            </w:tcBorders>
          </w:tcPr>
          <w:p w14:paraId="560F60F4" w14:textId="77777777" w:rsidR="00410071" w:rsidRPr="00AB448C" w:rsidRDefault="00410071" w:rsidP="005A6100">
            <w:pPr>
              <w:pStyle w:val="TableText"/>
              <w:tabs>
                <w:tab w:val="decimal" w:pos="863"/>
              </w:tabs>
            </w:pPr>
            <w:r w:rsidRPr="00AB448C">
              <w:rPr>
                <w:rFonts w:eastAsia="Calibri"/>
              </w:rPr>
              <w:t>15:40</w:t>
            </w:r>
          </w:p>
        </w:tc>
      </w:tr>
      <w:tr w:rsidR="00410071" w:rsidRPr="00486A72" w14:paraId="53FA3848" w14:textId="77777777" w:rsidTr="005A6100">
        <w:trPr>
          <w:cantSplit/>
        </w:trPr>
        <w:tc>
          <w:tcPr>
            <w:tcW w:w="635" w:type="pct"/>
          </w:tcPr>
          <w:p w14:paraId="5D56C724" w14:textId="77777777" w:rsidR="00410071" w:rsidRPr="00486A72" w:rsidRDefault="00410071" w:rsidP="005A6100">
            <w:pPr>
              <w:pStyle w:val="TableText"/>
            </w:pPr>
          </w:p>
        </w:tc>
        <w:tc>
          <w:tcPr>
            <w:tcW w:w="945" w:type="pct"/>
          </w:tcPr>
          <w:p w14:paraId="6522887E" w14:textId="77777777" w:rsidR="00410071" w:rsidRPr="00486A72" w:rsidRDefault="00410071" w:rsidP="005A6100">
            <w:pPr>
              <w:pStyle w:val="TableText"/>
            </w:pPr>
            <w:r>
              <w:t>Capital &amp; Coast</w:t>
            </w:r>
          </w:p>
        </w:tc>
        <w:tc>
          <w:tcPr>
            <w:tcW w:w="964" w:type="pct"/>
          </w:tcPr>
          <w:p w14:paraId="78DB307F" w14:textId="77777777" w:rsidR="00410071" w:rsidRPr="00AB448C" w:rsidRDefault="00410071" w:rsidP="005A6100">
            <w:pPr>
              <w:pStyle w:val="TableText"/>
              <w:tabs>
                <w:tab w:val="decimal" w:pos="933"/>
              </w:tabs>
            </w:pPr>
            <w:r w:rsidRPr="00AB448C">
              <w:rPr>
                <w:rFonts w:eastAsia="Calibri"/>
              </w:rPr>
              <w:t>5</w:t>
            </w:r>
          </w:p>
        </w:tc>
        <w:tc>
          <w:tcPr>
            <w:tcW w:w="1228" w:type="pct"/>
          </w:tcPr>
          <w:p w14:paraId="0BE07977" w14:textId="77777777" w:rsidR="00410071" w:rsidRPr="00AB448C" w:rsidRDefault="00410071" w:rsidP="005A6100">
            <w:pPr>
              <w:pStyle w:val="TableText"/>
              <w:tabs>
                <w:tab w:val="decimal" w:pos="934"/>
              </w:tabs>
            </w:pPr>
            <w:r w:rsidRPr="00AB448C">
              <w:rPr>
                <w:rFonts w:eastAsia="Calibri"/>
              </w:rPr>
              <w:t>2:17</w:t>
            </w:r>
          </w:p>
        </w:tc>
        <w:tc>
          <w:tcPr>
            <w:tcW w:w="1228" w:type="pct"/>
          </w:tcPr>
          <w:p w14:paraId="3DA0917D" w14:textId="77777777" w:rsidR="00410071" w:rsidRPr="00AB448C" w:rsidRDefault="00410071" w:rsidP="005A6100">
            <w:pPr>
              <w:pStyle w:val="TableText"/>
              <w:tabs>
                <w:tab w:val="decimal" w:pos="863"/>
              </w:tabs>
            </w:pPr>
            <w:r w:rsidRPr="00AB448C">
              <w:rPr>
                <w:rFonts w:eastAsia="Calibri"/>
              </w:rPr>
              <w:t>2:17</w:t>
            </w:r>
          </w:p>
        </w:tc>
      </w:tr>
      <w:tr w:rsidR="00410071" w:rsidRPr="00486A72" w14:paraId="1CD615D9" w14:textId="77777777" w:rsidTr="005A6100">
        <w:trPr>
          <w:cantSplit/>
        </w:trPr>
        <w:tc>
          <w:tcPr>
            <w:tcW w:w="635" w:type="pct"/>
          </w:tcPr>
          <w:p w14:paraId="414E141F" w14:textId="77777777" w:rsidR="00410071" w:rsidRPr="00486A72" w:rsidRDefault="00410071" w:rsidP="005A6100">
            <w:pPr>
              <w:pStyle w:val="TableText"/>
            </w:pPr>
          </w:p>
        </w:tc>
        <w:tc>
          <w:tcPr>
            <w:tcW w:w="945" w:type="pct"/>
          </w:tcPr>
          <w:p w14:paraId="6B66CDAA" w14:textId="77777777" w:rsidR="00410071" w:rsidRPr="00486A72" w:rsidRDefault="00410071" w:rsidP="005A6100">
            <w:pPr>
              <w:pStyle w:val="TableText"/>
            </w:pPr>
            <w:r>
              <w:t>Southern</w:t>
            </w:r>
          </w:p>
        </w:tc>
        <w:tc>
          <w:tcPr>
            <w:tcW w:w="964" w:type="pct"/>
          </w:tcPr>
          <w:p w14:paraId="61ECDBE1" w14:textId="77777777" w:rsidR="00410071" w:rsidRPr="00AB448C" w:rsidRDefault="00410071" w:rsidP="005A6100">
            <w:pPr>
              <w:pStyle w:val="TableText"/>
              <w:tabs>
                <w:tab w:val="decimal" w:pos="933"/>
              </w:tabs>
            </w:pPr>
            <w:r w:rsidRPr="00AB448C">
              <w:rPr>
                <w:rFonts w:eastAsia="Calibri"/>
              </w:rPr>
              <w:t>89</w:t>
            </w:r>
          </w:p>
        </w:tc>
        <w:tc>
          <w:tcPr>
            <w:tcW w:w="1228" w:type="pct"/>
          </w:tcPr>
          <w:p w14:paraId="56BC40F2" w14:textId="77777777" w:rsidR="00410071" w:rsidRPr="00AB448C" w:rsidRDefault="00410071" w:rsidP="005A6100">
            <w:pPr>
              <w:pStyle w:val="TableText"/>
              <w:tabs>
                <w:tab w:val="decimal" w:pos="934"/>
              </w:tabs>
            </w:pPr>
            <w:r w:rsidRPr="00AB448C">
              <w:rPr>
                <w:rFonts w:eastAsia="Calibri"/>
              </w:rPr>
              <w:t>1:55</w:t>
            </w:r>
          </w:p>
        </w:tc>
        <w:tc>
          <w:tcPr>
            <w:tcW w:w="1228" w:type="pct"/>
          </w:tcPr>
          <w:p w14:paraId="0F146792" w14:textId="77777777" w:rsidR="00410071" w:rsidRPr="00AB448C" w:rsidRDefault="00410071" w:rsidP="005A6100">
            <w:pPr>
              <w:pStyle w:val="TableText"/>
              <w:tabs>
                <w:tab w:val="decimal" w:pos="863"/>
              </w:tabs>
            </w:pPr>
            <w:r w:rsidRPr="00AB448C">
              <w:rPr>
                <w:rFonts w:eastAsia="Calibri"/>
              </w:rPr>
              <w:t>3:11</w:t>
            </w:r>
          </w:p>
        </w:tc>
      </w:tr>
      <w:tr w:rsidR="00410071" w:rsidRPr="00486A72" w14:paraId="120FEA2B" w14:textId="77777777" w:rsidTr="005A6100">
        <w:trPr>
          <w:cantSplit/>
        </w:trPr>
        <w:tc>
          <w:tcPr>
            <w:tcW w:w="635" w:type="pct"/>
            <w:tcBorders>
              <w:bottom w:val="single" w:sz="4" w:space="0" w:color="A6A6A6"/>
            </w:tcBorders>
          </w:tcPr>
          <w:p w14:paraId="5C10D616" w14:textId="77777777" w:rsidR="00410071" w:rsidRPr="00486A72" w:rsidRDefault="00410071" w:rsidP="005A6100">
            <w:pPr>
              <w:pStyle w:val="TableText"/>
            </w:pPr>
          </w:p>
        </w:tc>
        <w:tc>
          <w:tcPr>
            <w:tcW w:w="945" w:type="pct"/>
            <w:tcBorders>
              <w:bottom w:val="single" w:sz="4" w:space="0" w:color="A6A6A6"/>
            </w:tcBorders>
          </w:tcPr>
          <w:p w14:paraId="0CF1E2EF" w14:textId="77777777" w:rsidR="00410071" w:rsidRPr="00486A72" w:rsidRDefault="00410071" w:rsidP="005A6100">
            <w:pPr>
              <w:pStyle w:val="TableText"/>
            </w:pPr>
            <w:r w:rsidRPr="00486A72">
              <w:t>Wai</w:t>
            </w:r>
            <w:r>
              <w:t>kato</w:t>
            </w:r>
          </w:p>
        </w:tc>
        <w:tc>
          <w:tcPr>
            <w:tcW w:w="964" w:type="pct"/>
            <w:tcBorders>
              <w:bottom w:val="single" w:sz="4" w:space="0" w:color="A6A6A6"/>
            </w:tcBorders>
          </w:tcPr>
          <w:p w14:paraId="369BB59B" w14:textId="77777777" w:rsidR="00410071" w:rsidRPr="00AB448C" w:rsidRDefault="00410071" w:rsidP="005A6100">
            <w:pPr>
              <w:pStyle w:val="TableText"/>
              <w:tabs>
                <w:tab w:val="decimal" w:pos="933"/>
              </w:tabs>
            </w:pPr>
            <w:r w:rsidRPr="00AB448C">
              <w:rPr>
                <w:rFonts w:eastAsia="Calibri"/>
              </w:rPr>
              <w:t>0</w:t>
            </w:r>
          </w:p>
        </w:tc>
        <w:tc>
          <w:tcPr>
            <w:tcW w:w="1228" w:type="pct"/>
            <w:tcBorders>
              <w:bottom w:val="single" w:sz="4" w:space="0" w:color="A6A6A6"/>
            </w:tcBorders>
          </w:tcPr>
          <w:p w14:paraId="0E92B96D" w14:textId="77777777" w:rsidR="00410071" w:rsidRPr="00AB448C" w:rsidRDefault="00410071" w:rsidP="005A6100">
            <w:pPr>
              <w:pStyle w:val="TableText"/>
              <w:tabs>
                <w:tab w:val="decimal" w:pos="934"/>
              </w:tabs>
            </w:pPr>
            <w:r w:rsidRPr="00AB448C">
              <w:rPr>
                <w:rFonts w:eastAsia="Calibri"/>
              </w:rPr>
              <w:t>0:00</w:t>
            </w:r>
          </w:p>
        </w:tc>
        <w:tc>
          <w:tcPr>
            <w:tcW w:w="1228" w:type="pct"/>
            <w:tcBorders>
              <w:bottom w:val="single" w:sz="4" w:space="0" w:color="A6A6A6"/>
            </w:tcBorders>
          </w:tcPr>
          <w:p w14:paraId="2DE05454" w14:textId="77777777" w:rsidR="00410071" w:rsidRPr="00AB448C" w:rsidRDefault="00410071" w:rsidP="005A6100">
            <w:pPr>
              <w:pStyle w:val="TableText"/>
              <w:tabs>
                <w:tab w:val="decimal" w:pos="863"/>
              </w:tabs>
            </w:pPr>
            <w:r w:rsidRPr="00AB448C">
              <w:rPr>
                <w:rFonts w:eastAsia="Calibri"/>
              </w:rPr>
              <w:t>0:00</w:t>
            </w:r>
          </w:p>
        </w:tc>
      </w:tr>
      <w:tr w:rsidR="00410071" w:rsidRPr="00486A72" w14:paraId="7A2CC01F" w14:textId="77777777" w:rsidTr="005A6100">
        <w:trPr>
          <w:cantSplit/>
        </w:trPr>
        <w:tc>
          <w:tcPr>
            <w:tcW w:w="635" w:type="pct"/>
          </w:tcPr>
          <w:p w14:paraId="07972A53" w14:textId="77777777" w:rsidR="00410071" w:rsidRPr="00686CC7" w:rsidRDefault="00410071" w:rsidP="005A6100">
            <w:pPr>
              <w:pStyle w:val="TableText"/>
            </w:pPr>
          </w:p>
        </w:tc>
        <w:tc>
          <w:tcPr>
            <w:tcW w:w="945" w:type="pct"/>
          </w:tcPr>
          <w:p w14:paraId="4D3F5631" w14:textId="77777777" w:rsidR="00410071" w:rsidRPr="00A32079" w:rsidRDefault="00410071" w:rsidP="005A6100">
            <w:pPr>
              <w:pStyle w:val="TableText"/>
            </w:pPr>
            <w:r>
              <w:t>Waitematā</w:t>
            </w:r>
          </w:p>
        </w:tc>
        <w:tc>
          <w:tcPr>
            <w:tcW w:w="964" w:type="pct"/>
          </w:tcPr>
          <w:p w14:paraId="11DA7DCE" w14:textId="77777777" w:rsidR="00410071" w:rsidRPr="00AB448C" w:rsidRDefault="00410071" w:rsidP="005A6100">
            <w:pPr>
              <w:pStyle w:val="TableText"/>
              <w:tabs>
                <w:tab w:val="decimal" w:pos="933"/>
              </w:tabs>
            </w:pPr>
            <w:r w:rsidRPr="00AB448C">
              <w:rPr>
                <w:rFonts w:eastAsia="Calibri"/>
              </w:rPr>
              <w:t>1</w:t>
            </w:r>
            <w:r>
              <w:rPr>
                <w:rFonts w:eastAsia="Calibri"/>
              </w:rPr>
              <w:t>,</w:t>
            </w:r>
            <w:r w:rsidRPr="00AB448C">
              <w:rPr>
                <w:rFonts w:eastAsia="Calibri"/>
              </w:rPr>
              <w:t>404</w:t>
            </w:r>
          </w:p>
        </w:tc>
        <w:tc>
          <w:tcPr>
            <w:tcW w:w="1228" w:type="pct"/>
          </w:tcPr>
          <w:p w14:paraId="0618FFD0" w14:textId="77777777" w:rsidR="00410071" w:rsidRPr="00AB448C" w:rsidRDefault="00410071" w:rsidP="005A6100">
            <w:pPr>
              <w:pStyle w:val="TableText"/>
              <w:tabs>
                <w:tab w:val="decimal" w:pos="934"/>
              </w:tabs>
            </w:pPr>
            <w:r w:rsidRPr="00AB448C">
              <w:rPr>
                <w:rFonts w:eastAsia="Calibri"/>
              </w:rPr>
              <w:t>13:25</w:t>
            </w:r>
          </w:p>
        </w:tc>
        <w:tc>
          <w:tcPr>
            <w:tcW w:w="1228" w:type="pct"/>
          </w:tcPr>
          <w:p w14:paraId="081A75FB" w14:textId="77777777" w:rsidR="00410071" w:rsidRPr="00AB448C" w:rsidRDefault="00410071" w:rsidP="005A6100">
            <w:pPr>
              <w:pStyle w:val="TableText"/>
              <w:tabs>
                <w:tab w:val="decimal" w:pos="863"/>
              </w:tabs>
            </w:pPr>
            <w:r w:rsidRPr="00AB448C">
              <w:rPr>
                <w:rFonts w:eastAsia="Calibri"/>
              </w:rPr>
              <w:t>4:39</w:t>
            </w:r>
          </w:p>
        </w:tc>
      </w:tr>
    </w:tbl>
    <w:p w14:paraId="21D37055" w14:textId="77777777" w:rsidR="0039221C" w:rsidRDefault="00410071" w:rsidP="005A6100">
      <w:pPr>
        <w:pStyle w:val="Note"/>
      </w:pPr>
      <w:r w:rsidRPr="00200234">
        <w:t xml:space="preserve">Notes: </w:t>
      </w:r>
      <w:r>
        <w:t>ID(CC&amp;R) = Intellectual Disability (Compulsory Care and Rehabilitation) Act 2003; MHA = Mental Health (Compulsory Assessment and Treatment) Act 1992.</w:t>
      </w:r>
    </w:p>
    <w:p w14:paraId="47892526" w14:textId="77777777" w:rsidR="00410071" w:rsidRDefault="00410071" w:rsidP="005A6100">
      <w:pPr>
        <w:pStyle w:val="Source"/>
      </w:pPr>
      <w:r w:rsidRPr="000617A2">
        <w:t>Sources: PRIMHD data (extracted 1 July 2021) and manual data from Southern and Waitematā DHBs</w:t>
      </w:r>
      <w:r>
        <w:t>.</w:t>
      </w:r>
    </w:p>
    <w:p w14:paraId="73630C73" w14:textId="77777777" w:rsidR="005A6100" w:rsidRPr="005A6100" w:rsidRDefault="005A6100" w:rsidP="005A6100"/>
    <w:p w14:paraId="39E19C54" w14:textId="201C2D80" w:rsidR="00410071" w:rsidRDefault="00410071" w:rsidP="005A6100">
      <w:pPr>
        <w:pStyle w:val="Table"/>
      </w:pPr>
      <w:bookmarkStart w:id="314" w:name="_Toc87430009"/>
      <w:bookmarkStart w:id="315" w:name="_Toc88561366"/>
      <w:r>
        <w:t>Table</w:t>
      </w:r>
      <w:r w:rsidR="005A6100">
        <w:t> </w:t>
      </w:r>
      <w:r w:rsidR="00592799">
        <w:fldChar w:fldCharType="begin"/>
      </w:r>
      <w:r w:rsidR="00592799">
        <w:instrText xml:space="preserve"> SEQ Table \* ARABIC </w:instrText>
      </w:r>
      <w:r w:rsidR="00592799">
        <w:fldChar w:fldCharType="separate"/>
      </w:r>
      <w:r w:rsidR="00840F18">
        <w:rPr>
          <w:noProof/>
        </w:rPr>
        <w:t>11</w:t>
      </w:r>
      <w:r w:rsidR="00592799">
        <w:rPr>
          <w:noProof/>
        </w:rPr>
        <w:fldChar w:fldCharType="end"/>
      </w:r>
      <w:r w:rsidRPr="00947A98">
        <w:t xml:space="preserve">: </w:t>
      </w:r>
      <w:r>
        <w:t>Seclusion indicators</w:t>
      </w:r>
      <w:r w:rsidRPr="00947A98">
        <w:t xml:space="preserve"> for</w:t>
      </w:r>
      <w:r>
        <w:t xml:space="preserve"> people with intellectual disabilities</w:t>
      </w:r>
      <w:r w:rsidRPr="00947A98">
        <w:t xml:space="preserve">, by </w:t>
      </w:r>
      <w:r>
        <w:t>ethnicity</w:t>
      </w:r>
      <w:r w:rsidRPr="00947A98">
        <w:t>, 1</w:t>
      </w:r>
      <w:r w:rsidR="005A6100">
        <w:t> </w:t>
      </w:r>
      <w:r w:rsidRPr="00947A98">
        <w:t>January to 31 December 2020</w:t>
      </w:r>
      <w:bookmarkEnd w:id="314"/>
      <w:bookmarkEnd w:id="315"/>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993"/>
        <w:gridCol w:w="1134"/>
        <w:gridCol w:w="1464"/>
        <w:gridCol w:w="1464"/>
        <w:gridCol w:w="1466"/>
        <w:gridCol w:w="1559"/>
      </w:tblGrid>
      <w:tr w:rsidR="00410071" w:rsidRPr="005A6100" w14:paraId="4106DB79" w14:textId="77777777" w:rsidTr="00DE70B4">
        <w:trPr>
          <w:cantSplit/>
        </w:trPr>
        <w:tc>
          <w:tcPr>
            <w:tcW w:w="614" w:type="pct"/>
            <w:tcBorders>
              <w:top w:val="nil"/>
              <w:bottom w:val="nil"/>
            </w:tcBorders>
            <w:shd w:val="clear" w:color="auto" w:fill="D9D9D9"/>
          </w:tcPr>
          <w:p w14:paraId="1F37026F" w14:textId="77777777" w:rsidR="00410071" w:rsidRPr="005A6100" w:rsidRDefault="00410071" w:rsidP="005A6100">
            <w:pPr>
              <w:pStyle w:val="TableText"/>
              <w:rPr>
                <w:b/>
              </w:rPr>
            </w:pPr>
            <w:r w:rsidRPr="005A6100">
              <w:rPr>
                <w:b/>
              </w:rPr>
              <w:t>Legal Act</w:t>
            </w:r>
          </w:p>
        </w:tc>
        <w:tc>
          <w:tcPr>
            <w:tcW w:w="702" w:type="pct"/>
            <w:tcBorders>
              <w:top w:val="nil"/>
              <w:bottom w:val="nil"/>
            </w:tcBorders>
            <w:shd w:val="clear" w:color="auto" w:fill="D9D9D9"/>
          </w:tcPr>
          <w:p w14:paraId="1C650D7B" w14:textId="77777777" w:rsidR="00410071" w:rsidRPr="005A6100" w:rsidRDefault="00410071" w:rsidP="005A6100">
            <w:pPr>
              <w:pStyle w:val="TableText"/>
              <w:rPr>
                <w:b/>
              </w:rPr>
            </w:pPr>
            <w:r w:rsidRPr="005A6100">
              <w:rPr>
                <w:b/>
              </w:rPr>
              <w:t>Ethnicity</w:t>
            </w:r>
          </w:p>
        </w:tc>
        <w:tc>
          <w:tcPr>
            <w:tcW w:w="906" w:type="pct"/>
            <w:tcBorders>
              <w:top w:val="nil"/>
              <w:bottom w:val="nil"/>
            </w:tcBorders>
            <w:shd w:val="clear" w:color="auto" w:fill="D9D9D9"/>
          </w:tcPr>
          <w:p w14:paraId="6BC2E127" w14:textId="77777777" w:rsidR="00410071" w:rsidRPr="005A6100" w:rsidRDefault="00410071" w:rsidP="00DE70B4">
            <w:pPr>
              <w:pStyle w:val="TableText"/>
              <w:jc w:val="center"/>
              <w:rPr>
                <w:b/>
              </w:rPr>
            </w:pPr>
            <w:r w:rsidRPr="005A6100">
              <w:rPr>
                <w:b/>
              </w:rPr>
              <w:t>Number of people secluded</w:t>
            </w:r>
          </w:p>
        </w:tc>
        <w:tc>
          <w:tcPr>
            <w:tcW w:w="906" w:type="pct"/>
            <w:tcBorders>
              <w:top w:val="nil"/>
              <w:bottom w:val="nil"/>
            </w:tcBorders>
            <w:shd w:val="clear" w:color="auto" w:fill="D9D9D9"/>
          </w:tcPr>
          <w:p w14:paraId="2E447B39" w14:textId="77777777" w:rsidR="00410071" w:rsidRPr="005A6100" w:rsidRDefault="00410071" w:rsidP="00DE70B4">
            <w:pPr>
              <w:pStyle w:val="TableText"/>
              <w:jc w:val="center"/>
              <w:rPr>
                <w:b/>
              </w:rPr>
            </w:pPr>
            <w:r w:rsidRPr="005A6100">
              <w:rPr>
                <w:b/>
              </w:rPr>
              <w:t>Number of seclusion events</w:t>
            </w:r>
          </w:p>
        </w:tc>
        <w:tc>
          <w:tcPr>
            <w:tcW w:w="907" w:type="pct"/>
            <w:tcBorders>
              <w:top w:val="nil"/>
              <w:bottom w:val="nil"/>
            </w:tcBorders>
            <w:shd w:val="clear" w:color="auto" w:fill="D9D9D9"/>
          </w:tcPr>
          <w:p w14:paraId="1437FC79" w14:textId="77777777" w:rsidR="00410071" w:rsidRPr="005A6100" w:rsidRDefault="00410071" w:rsidP="00DE70B4">
            <w:pPr>
              <w:pStyle w:val="TableText"/>
              <w:jc w:val="center"/>
              <w:rPr>
                <w:b/>
              </w:rPr>
            </w:pPr>
            <w:r w:rsidRPr="005A6100">
              <w:rPr>
                <w:b/>
              </w:rPr>
              <w:t>Median</w:t>
            </w:r>
            <w:r w:rsidR="00DE70B4">
              <w:rPr>
                <w:b/>
              </w:rPr>
              <w:br/>
            </w:r>
            <w:r w:rsidRPr="005A6100">
              <w:rPr>
                <w:b/>
              </w:rPr>
              <w:t>number of events</w:t>
            </w:r>
          </w:p>
        </w:tc>
        <w:tc>
          <w:tcPr>
            <w:tcW w:w="965" w:type="pct"/>
            <w:tcBorders>
              <w:top w:val="nil"/>
              <w:bottom w:val="nil"/>
            </w:tcBorders>
            <w:shd w:val="clear" w:color="auto" w:fill="D9D9D9"/>
          </w:tcPr>
          <w:p w14:paraId="42DD5B5D" w14:textId="77777777" w:rsidR="00410071" w:rsidRPr="005A6100" w:rsidRDefault="00410071" w:rsidP="00DE70B4">
            <w:pPr>
              <w:pStyle w:val="TableText"/>
              <w:jc w:val="center"/>
              <w:rPr>
                <w:b/>
              </w:rPr>
            </w:pPr>
            <w:r w:rsidRPr="005A6100">
              <w:rPr>
                <w:b/>
              </w:rPr>
              <w:t>Average number of events per people</w:t>
            </w:r>
          </w:p>
        </w:tc>
      </w:tr>
      <w:tr w:rsidR="00410071" w:rsidRPr="00486A72" w14:paraId="4EF36780" w14:textId="77777777" w:rsidTr="00DE70B4">
        <w:trPr>
          <w:cantSplit/>
        </w:trPr>
        <w:tc>
          <w:tcPr>
            <w:tcW w:w="614" w:type="pct"/>
            <w:tcBorders>
              <w:top w:val="nil"/>
            </w:tcBorders>
          </w:tcPr>
          <w:p w14:paraId="3F1E7EE2" w14:textId="77777777" w:rsidR="00410071" w:rsidRPr="00486A72" w:rsidRDefault="00410071" w:rsidP="005A6100">
            <w:pPr>
              <w:pStyle w:val="TableText"/>
            </w:pPr>
            <w:r>
              <w:t>ID(CC&amp;R)</w:t>
            </w:r>
          </w:p>
        </w:tc>
        <w:tc>
          <w:tcPr>
            <w:tcW w:w="702" w:type="pct"/>
            <w:tcBorders>
              <w:top w:val="nil"/>
            </w:tcBorders>
          </w:tcPr>
          <w:p w14:paraId="0FF67A59" w14:textId="77777777" w:rsidR="00410071" w:rsidRPr="00486A72" w:rsidRDefault="00410071" w:rsidP="005A6100">
            <w:pPr>
              <w:pStyle w:val="TableText"/>
            </w:pPr>
            <w:r>
              <w:t>Māori</w:t>
            </w:r>
          </w:p>
        </w:tc>
        <w:tc>
          <w:tcPr>
            <w:tcW w:w="906" w:type="pct"/>
            <w:tcBorders>
              <w:top w:val="nil"/>
            </w:tcBorders>
          </w:tcPr>
          <w:p w14:paraId="7DC05E6D" w14:textId="77777777" w:rsidR="00410071" w:rsidRPr="005C5BFE" w:rsidRDefault="00410071" w:rsidP="00DE70B4">
            <w:pPr>
              <w:pStyle w:val="TableText"/>
              <w:tabs>
                <w:tab w:val="decimal" w:pos="761"/>
              </w:tabs>
            </w:pPr>
            <w:r w:rsidRPr="005C5BFE">
              <w:rPr>
                <w:rFonts w:eastAsia="Calibri"/>
              </w:rPr>
              <w:t>6</w:t>
            </w:r>
          </w:p>
        </w:tc>
        <w:tc>
          <w:tcPr>
            <w:tcW w:w="906" w:type="pct"/>
            <w:tcBorders>
              <w:top w:val="nil"/>
            </w:tcBorders>
          </w:tcPr>
          <w:p w14:paraId="57F38158" w14:textId="77777777" w:rsidR="00410071" w:rsidRPr="005C5BFE" w:rsidRDefault="00410071" w:rsidP="00DE70B4">
            <w:pPr>
              <w:pStyle w:val="TableText"/>
              <w:tabs>
                <w:tab w:val="decimal" w:pos="851"/>
              </w:tabs>
            </w:pPr>
            <w:r w:rsidRPr="005C5BFE">
              <w:rPr>
                <w:rFonts w:eastAsia="Calibri"/>
              </w:rPr>
              <w:t>52</w:t>
            </w:r>
          </w:p>
        </w:tc>
        <w:tc>
          <w:tcPr>
            <w:tcW w:w="907" w:type="pct"/>
            <w:tcBorders>
              <w:top w:val="nil"/>
            </w:tcBorders>
          </w:tcPr>
          <w:p w14:paraId="33B5EFA6" w14:textId="77777777" w:rsidR="00410071" w:rsidRPr="005C5BFE" w:rsidRDefault="00410071" w:rsidP="00DE70B4">
            <w:pPr>
              <w:pStyle w:val="TableText"/>
              <w:tabs>
                <w:tab w:val="decimal" w:pos="761"/>
              </w:tabs>
            </w:pPr>
            <w:r w:rsidRPr="005C5BFE">
              <w:rPr>
                <w:rFonts w:eastAsia="Calibri"/>
              </w:rPr>
              <w:t>6</w:t>
            </w:r>
          </w:p>
        </w:tc>
        <w:tc>
          <w:tcPr>
            <w:tcW w:w="965" w:type="pct"/>
            <w:tcBorders>
              <w:top w:val="nil"/>
            </w:tcBorders>
          </w:tcPr>
          <w:p w14:paraId="65B7959C" w14:textId="77777777" w:rsidR="00410071" w:rsidRPr="005C5BFE" w:rsidRDefault="00410071" w:rsidP="00DE70B4">
            <w:pPr>
              <w:pStyle w:val="TableText"/>
              <w:tabs>
                <w:tab w:val="decimal" w:pos="740"/>
              </w:tabs>
              <w:rPr>
                <w:rFonts w:eastAsia="Calibri"/>
              </w:rPr>
            </w:pPr>
            <w:r w:rsidRPr="005C5BFE">
              <w:rPr>
                <w:rFonts w:eastAsia="Calibri"/>
              </w:rPr>
              <w:t>8.7</w:t>
            </w:r>
          </w:p>
        </w:tc>
      </w:tr>
      <w:tr w:rsidR="00410071" w:rsidRPr="00486A72" w14:paraId="1A110738" w14:textId="77777777" w:rsidTr="00DE70B4">
        <w:trPr>
          <w:cantSplit/>
        </w:trPr>
        <w:tc>
          <w:tcPr>
            <w:tcW w:w="614" w:type="pct"/>
            <w:tcBorders>
              <w:top w:val="nil"/>
            </w:tcBorders>
          </w:tcPr>
          <w:p w14:paraId="6AD66D91" w14:textId="77777777" w:rsidR="00410071" w:rsidRPr="00486A72" w:rsidRDefault="00410071" w:rsidP="005A6100">
            <w:pPr>
              <w:pStyle w:val="TableText"/>
            </w:pPr>
          </w:p>
        </w:tc>
        <w:tc>
          <w:tcPr>
            <w:tcW w:w="702" w:type="pct"/>
            <w:tcBorders>
              <w:top w:val="nil"/>
            </w:tcBorders>
          </w:tcPr>
          <w:p w14:paraId="3F364C3C" w14:textId="77777777" w:rsidR="00410071" w:rsidRPr="00486A72" w:rsidRDefault="00410071" w:rsidP="005A6100">
            <w:pPr>
              <w:pStyle w:val="TableText"/>
            </w:pPr>
            <w:r>
              <w:t>Non-Māori</w:t>
            </w:r>
          </w:p>
        </w:tc>
        <w:tc>
          <w:tcPr>
            <w:tcW w:w="906" w:type="pct"/>
            <w:tcBorders>
              <w:top w:val="nil"/>
            </w:tcBorders>
          </w:tcPr>
          <w:p w14:paraId="21177DAE" w14:textId="77777777" w:rsidR="00410071" w:rsidRPr="005C5BFE" w:rsidRDefault="00410071" w:rsidP="00DE70B4">
            <w:pPr>
              <w:pStyle w:val="TableText"/>
              <w:tabs>
                <w:tab w:val="decimal" w:pos="761"/>
              </w:tabs>
            </w:pPr>
            <w:r w:rsidRPr="005C5BFE">
              <w:rPr>
                <w:rFonts w:eastAsia="Calibri"/>
              </w:rPr>
              <w:t>17</w:t>
            </w:r>
          </w:p>
        </w:tc>
        <w:tc>
          <w:tcPr>
            <w:tcW w:w="906" w:type="pct"/>
            <w:tcBorders>
              <w:top w:val="nil"/>
            </w:tcBorders>
          </w:tcPr>
          <w:p w14:paraId="1D3D348F" w14:textId="77777777" w:rsidR="00410071" w:rsidRPr="005C5BFE" w:rsidRDefault="00410071" w:rsidP="00DE70B4">
            <w:pPr>
              <w:pStyle w:val="TableText"/>
              <w:tabs>
                <w:tab w:val="decimal" w:pos="851"/>
              </w:tabs>
            </w:pPr>
            <w:r w:rsidRPr="005C5BFE">
              <w:rPr>
                <w:rFonts w:eastAsia="Calibri"/>
              </w:rPr>
              <w:t>131</w:t>
            </w:r>
          </w:p>
        </w:tc>
        <w:tc>
          <w:tcPr>
            <w:tcW w:w="907" w:type="pct"/>
            <w:tcBorders>
              <w:top w:val="nil"/>
            </w:tcBorders>
          </w:tcPr>
          <w:p w14:paraId="50161C34" w14:textId="77777777" w:rsidR="00410071" w:rsidRPr="005C5BFE" w:rsidRDefault="00410071" w:rsidP="00DE70B4">
            <w:pPr>
              <w:pStyle w:val="TableText"/>
              <w:tabs>
                <w:tab w:val="decimal" w:pos="761"/>
              </w:tabs>
            </w:pPr>
            <w:r w:rsidRPr="005C5BFE">
              <w:rPr>
                <w:rFonts w:eastAsia="Calibri"/>
              </w:rPr>
              <w:t>3</w:t>
            </w:r>
          </w:p>
        </w:tc>
        <w:tc>
          <w:tcPr>
            <w:tcW w:w="965" w:type="pct"/>
            <w:tcBorders>
              <w:top w:val="nil"/>
            </w:tcBorders>
          </w:tcPr>
          <w:p w14:paraId="7B44D0F3" w14:textId="77777777" w:rsidR="00410071" w:rsidRPr="005C5BFE" w:rsidRDefault="00410071" w:rsidP="00DE70B4">
            <w:pPr>
              <w:pStyle w:val="TableText"/>
              <w:tabs>
                <w:tab w:val="decimal" w:pos="740"/>
              </w:tabs>
              <w:rPr>
                <w:rFonts w:eastAsia="Calibri"/>
              </w:rPr>
            </w:pPr>
            <w:r w:rsidRPr="005C5BFE">
              <w:rPr>
                <w:rFonts w:eastAsia="Calibri"/>
              </w:rPr>
              <w:t>7.7</w:t>
            </w:r>
          </w:p>
        </w:tc>
      </w:tr>
      <w:tr w:rsidR="00410071" w:rsidRPr="00486A72" w14:paraId="5B2B175C" w14:textId="77777777" w:rsidTr="00DE70B4">
        <w:trPr>
          <w:cantSplit/>
        </w:trPr>
        <w:tc>
          <w:tcPr>
            <w:tcW w:w="614" w:type="pct"/>
            <w:tcBorders>
              <w:top w:val="single" w:sz="18" w:space="0" w:color="A6A6A6"/>
            </w:tcBorders>
          </w:tcPr>
          <w:p w14:paraId="1A4EBC73" w14:textId="77777777" w:rsidR="00410071" w:rsidRPr="00486A72" w:rsidRDefault="00410071" w:rsidP="005A6100">
            <w:pPr>
              <w:pStyle w:val="TableText"/>
            </w:pPr>
            <w:r>
              <w:t>MHA</w:t>
            </w:r>
          </w:p>
        </w:tc>
        <w:tc>
          <w:tcPr>
            <w:tcW w:w="702" w:type="pct"/>
            <w:tcBorders>
              <w:top w:val="single" w:sz="18" w:space="0" w:color="A6A6A6"/>
            </w:tcBorders>
          </w:tcPr>
          <w:p w14:paraId="59A037BB" w14:textId="77777777" w:rsidR="00410071" w:rsidRPr="00486A72" w:rsidRDefault="00410071" w:rsidP="005A6100">
            <w:pPr>
              <w:pStyle w:val="TableText"/>
            </w:pPr>
            <w:r>
              <w:t>Māori</w:t>
            </w:r>
          </w:p>
        </w:tc>
        <w:tc>
          <w:tcPr>
            <w:tcW w:w="906" w:type="pct"/>
            <w:tcBorders>
              <w:top w:val="single" w:sz="18" w:space="0" w:color="A6A6A6"/>
            </w:tcBorders>
          </w:tcPr>
          <w:p w14:paraId="7286E45C" w14:textId="77777777" w:rsidR="00410071" w:rsidRPr="005C5BFE" w:rsidRDefault="00410071" w:rsidP="00DE70B4">
            <w:pPr>
              <w:pStyle w:val="TableText"/>
              <w:tabs>
                <w:tab w:val="decimal" w:pos="761"/>
              </w:tabs>
            </w:pPr>
            <w:r w:rsidRPr="005C5BFE">
              <w:rPr>
                <w:rFonts w:eastAsia="Calibri"/>
              </w:rPr>
              <w:t>0</w:t>
            </w:r>
          </w:p>
        </w:tc>
        <w:tc>
          <w:tcPr>
            <w:tcW w:w="906" w:type="pct"/>
            <w:tcBorders>
              <w:top w:val="single" w:sz="18" w:space="0" w:color="A6A6A6"/>
            </w:tcBorders>
          </w:tcPr>
          <w:p w14:paraId="3BF39F0C" w14:textId="77777777" w:rsidR="00410071" w:rsidRPr="005C5BFE" w:rsidRDefault="00410071" w:rsidP="00DE70B4">
            <w:pPr>
              <w:pStyle w:val="TableText"/>
              <w:tabs>
                <w:tab w:val="decimal" w:pos="851"/>
              </w:tabs>
            </w:pPr>
            <w:r w:rsidRPr="005C5BFE">
              <w:rPr>
                <w:rFonts w:eastAsia="Calibri"/>
              </w:rPr>
              <w:t>0</w:t>
            </w:r>
          </w:p>
        </w:tc>
        <w:tc>
          <w:tcPr>
            <w:tcW w:w="907" w:type="pct"/>
            <w:tcBorders>
              <w:top w:val="single" w:sz="18" w:space="0" w:color="A6A6A6"/>
            </w:tcBorders>
          </w:tcPr>
          <w:p w14:paraId="0C29727E" w14:textId="77777777" w:rsidR="00410071" w:rsidRPr="005C5BFE" w:rsidRDefault="00410071" w:rsidP="00DE70B4">
            <w:pPr>
              <w:pStyle w:val="TableText"/>
              <w:tabs>
                <w:tab w:val="decimal" w:pos="761"/>
              </w:tabs>
            </w:pPr>
            <w:r w:rsidRPr="005C5BFE">
              <w:rPr>
                <w:rFonts w:eastAsia="Calibri"/>
              </w:rPr>
              <w:t>0</w:t>
            </w:r>
          </w:p>
        </w:tc>
        <w:tc>
          <w:tcPr>
            <w:tcW w:w="965" w:type="pct"/>
            <w:tcBorders>
              <w:top w:val="single" w:sz="18" w:space="0" w:color="A6A6A6"/>
            </w:tcBorders>
          </w:tcPr>
          <w:p w14:paraId="2D1A0B2A" w14:textId="77777777" w:rsidR="00410071" w:rsidRPr="005C5BFE" w:rsidRDefault="00410071" w:rsidP="00DE70B4">
            <w:pPr>
              <w:pStyle w:val="TableText"/>
              <w:tabs>
                <w:tab w:val="decimal" w:pos="740"/>
              </w:tabs>
              <w:rPr>
                <w:rFonts w:eastAsia="Calibri"/>
              </w:rPr>
            </w:pPr>
            <w:r w:rsidRPr="005C5BFE">
              <w:rPr>
                <w:rFonts w:eastAsia="Calibri"/>
              </w:rPr>
              <w:t>0.0</w:t>
            </w:r>
          </w:p>
        </w:tc>
      </w:tr>
      <w:tr w:rsidR="00410071" w:rsidRPr="00486A72" w14:paraId="605365AD" w14:textId="77777777" w:rsidTr="00DE70B4">
        <w:trPr>
          <w:cantSplit/>
        </w:trPr>
        <w:tc>
          <w:tcPr>
            <w:tcW w:w="614" w:type="pct"/>
          </w:tcPr>
          <w:p w14:paraId="1F2BFABE" w14:textId="77777777" w:rsidR="00410071" w:rsidRPr="00486A72" w:rsidRDefault="00410071" w:rsidP="005A6100">
            <w:pPr>
              <w:pStyle w:val="TableText"/>
            </w:pPr>
          </w:p>
        </w:tc>
        <w:tc>
          <w:tcPr>
            <w:tcW w:w="702" w:type="pct"/>
          </w:tcPr>
          <w:p w14:paraId="753F0816" w14:textId="77777777" w:rsidR="00410071" w:rsidRPr="00486A72" w:rsidRDefault="00410071" w:rsidP="005A6100">
            <w:pPr>
              <w:pStyle w:val="TableText"/>
            </w:pPr>
            <w:r>
              <w:t>Non-Māori</w:t>
            </w:r>
          </w:p>
        </w:tc>
        <w:tc>
          <w:tcPr>
            <w:tcW w:w="906" w:type="pct"/>
          </w:tcPr>
          <w:p w14:paraId="0E26359F" w14:textId="77777777" w:rsidR="00410071" w:rsidRPr="005C5BFE" w:rsidRDefault="00410071" w:rsidP="00DE70B4">
            <w:pPr>
              <w:pStyle w:val="TableText"/>
              <w:tabs>
                <w:tab w:val="decimal" w:pos="761"/>
              </w:tabs>
            </w:pPr>
            <w:r w:rsidRPr="005C5BFE">
              <w:rPr>
                <w:rFonts w:eastAsia="Calibri"/>
              </w:rPr>
              <w:t>4</w:t>
            </w:r>
          </w:p>
        </w:tc>
        <w:tc>
          <w:tcPr>
            <w:tcW w:w="906" w:type="pct"/>
          </w:tcPr>
          <w:p w14:paraId="6AE3D187" w14:textId="77777777" w:rsidR="00410071" w:rsidRPr="005C5BFE" w:rsidRDefault="00410071" w:rsidP="00DE70B4">
            <w:pPr>
              <w:pStyle w:val="TableText"/>
              <w:tabs>
                <w:tab w:val="decimal" w:pos="851"/>
              </w:tabs>
            </w:pPr>
            <w:r w:rsidRPr="005C5BFE">
              <w:rPr>
                <w:rFonts w:eastAsia="Calibri"/>
              </w:rPr>
              <w:t>81</w:t>
            </w:r>
          </w:p>
        </w:tc>
        <w:tc>
          <w:tcPr>
            <w:tcW w:w="907" w:type="pct"/>
          </w:tcPr>
          <w:p w14:paraId="40EA0DCC" w14:textId="77777777" w:rsidR="00410071" w:rsidRPr="005C5BFE" w:rsidRDefault="00410071" w:rsidP="00DE70B4">
            <w:pPr>
              <w:pStyle w:val="TableText"/>
              <w:tabs>
                <w:tab w:val="decimal" w:pos="761"/>
              </w:tabs>
            </w:pPr>
            <w:r w:rsidRPr="005C5BFE">
              <w:rPr>
                <w:rFonts w:eastAsia="Calibri"/>
              </w:rPr>
              <w:t>15</w:t>
            </w:r>
          </w:p>
        </w:tc>
        <w:tc>
          <w:tcPr>
            <w:tcW w:w="965" w:type="pct"/>
          </w:tcPr>
          <w:p w14:paraId="6E20185C" w14:textId="77777777" w:rsidR="00410071" w:rsidRPr="005C5BFE" w:rsidRDefault="00410071" w:rsidP="00DE70B4">
            <w:pPr>
              <w:pStyle w:val="TableText"/>
              <w:tabs>
                <w:tab w:val="decimal" w:pos="740"/>
              </w:tabs>
              <w:rPr>
                <w:rFonts w:eastAsia="Calibri"/>
              </w:rPr>
            </w:pPr>
            <w:r w:rsidRPr="005C5BFE">
              <w:rPr>
                <w:rFonts w:eastAsia="Calibri"/>
              </w:rPr>
              <w:t>20.3</w:t>
            </w:r>
          </w:p>
        </w:tc>
      </w:tr>
    </w:tbl>
    <w:p w14:paraId="7A70792F" w14:textId="77777777" w:rsidR="0039221C" w:rsidRDefault="00410071" w:rsidP="00DE70B4">
      <w:pPr>
        <w:pStyle w:val="Note"/>
      </w:pPr>
      <w:r w:rsidRPr="00200234">
        <w:t xml:space="preserve">Notes: </w:t>
      </w:r>
      <w:r>
        <w:t>ID(CC&amp;R) = Intellectual Disability (Compulsory Care and Rehabilitation) Act 2003; MHA = Mental Health (Compulsory Assessment and Treatment) Act 1992.</w:t>
      </w:r>
    </w:p>
    <w:p w14:paraId="47E5EA06" w14:textId="77777777" w:rsidR="00410071" w:rsidRPr="00200234" w:rsidRDefault="00410071" w:rsidP="00DE70B4">
      <w:pPr>
        <w:pStyle w:val="Source"/>
      </w:pPr>
      <w:r w:rsidRPr="000617A2">
        <w:t>Sources: PRIMHD data (extracted 1 July 2021) and manual data from Southern and Waitematā DHBs</w:t>
      </w:r>
      <w:r>
        <w:t>.</w:t>
      </w:r>
    </w:p>
    <w:p w14:paraId="5A4FBC06" w14:textId="77777777" w:rsidR="00410071" w:rsidRDefault="00410071" w:rsidP="00DE70B4"/>
    <w:p w14:paraId="3FED15D6" w14:textId="77777777" w:rsidR="00410071" w:rsidRDefault="00410071" w:rsidP="00872974">
      <w:pPr>
        <w:pStyle w:val="Heading2"/>
      </w:pPr>
      <w:bookmarkStart w:id="316" w:name="_Toc87429917"/>
      <w:bookmarkStart w:id="317" w:name="_Toc88826965"/>
      <w:r>
        <w:lastRenderedPageBreak/>
        <w:t>Night safety procedures</w:t>
      </w:r>
      <w:bookmarkEnd w:id="316"/>
      <w:bookmarkEnd w:id="317"/>
    </w:p>
    <w:p w14:paraId="056B7C8D" w14:textId="77777777" w:rsidR="0039221C" w:rsidRDefault="00410071" w:rsidP="00872974">
      <w:pPr>
        <w:keepNext/>
      </w:pPr>
      <w:bookmarkStart w:id="318" w:name="_Hlk79059530"/>
      <w:r>
        <w:t xml:space="preserve">Night safety procedures is the practice of locking a patient in their bedroom overnight for the purposes of safety, either for themselves or for others in the unit. This practice is based on a 1995 Ministry of Health document </w:t>
      </w:r>
      <w:r>
        <w:rPr>
          <w:i/>
          <w:iCs/>
        </w:rPr>
        <w:t>Night Safety Procedures</w:t>
      </w:r>
      <w:r>
        <w:t>.</w:t>
      </w:r>
      <w:r w:rsidRPr="00872974">
        <w:rPr>
          <w:rStyle w:val="FootnoteReference"/>
        </w:rPr>
        <w:footnoteReference w:id="20"/>
      </w:r>
    </w:p>
    <w:p w14:paraId="0795DD7B" w14:textId="77777777" w:rsidR="00410071" w:rsidRDefault="00410071" w:rsidP="00872974">
      <w:pPr>
        <w:keepNext/>
      </w:pPr>
    </w:p>
    <w:p w14:paraId="1B5E6A43" w14:textId="77777777" w:rsidR="0039221C" w:rsidRDefault="00410071" w:rsidP="00872974">
      <w:r>
        <w:t xml:space="preserve">This procedure, as it is currently constructed, is no longer fit for purpose, and the Ministry has signalled that this practice should cease by 31 December 2022. In 2018, the Ministry issued </w:t>
      </w:r>
      <w:r>
        <w:rPr>
          <w:i/>
          <w:iCs/>
        </w:rPr>
        <w:t>Night Safety Procedures: Transitional guideline</w:t>
      </w:r>
      <w:r>
        <w:t xml:space="preserve"> to ensure patients receive adequate standards of care and monitoring as services transition to no longer using these procedures.</w:t>
      </w:r>
      <w:r w:rsidRPr="00872974">
        <w:rPr>
          <w:rStyle w:val="FootnoteReference"/>
        </w:rPr>
        <w:footnoteReference w:id="21"/>
      </w:r>
    </w:p>
    <w:p w14:paraId="101F571F" w14:textId="77777777" w:rsidR="00410071" w:rsidRDefault="00410071" w:rsidP="00872974"/>
    <w:p w14:paraId="1D5DFE61" w14:textId="77777777" w:rsidR="00410071" w:rsidRDefault="00410071" w:rsidP="00872974">
      <w:r>
        <w:t>In regions where night safety procedures are still being used, it has been reported that they are considered an essential component to providing a safe environment. Reasons cited include: issues with building design and lines of vision, staffing levels and the level of risk that patients present with.</w:t>
      </w:r>
    </w:p>
    <w:p w14:paraId="39F498F8" w14:textId="77777777" w:rsidR="00410071" w:rsidRDefault="00410071" w:rsidP="00872974"/>
    <w:p w14:paraId="779D31BD" w14:textId="77777777" w:rsidR="00410071" w:rsidRDefault="00410071" w:rsidP="00872974">
      <w:r>
        <w:t>Services have recently started manually providing data to the Office of the Director of Mental Health and Addiction Services on their use of night safety procedures. Due to this data not being submitted via PRIMHD and the need to undertake quality checks, the data set is not available at the time of publication. Data on the number of people who are subject to night safety procedures and the number of night safety events, will be published once it becomes available.</w:t>
      </w:r>
    </w:p>
    <w:bookmarkEnd w:id="318"/>
    <w:p w14:paraId="648A2315" w14:textId="77777777" w:rsidR="00410071" w:rsidRDefault="00410071" w:rsidP="00872974"/>
    <w:p w14:paraId="2270CD8C" w14:textId="77777777" w:rsidR="00410071" w:rsidRPr="00200234" w:rsidRDefault="00410071" w:rsidP="00230460">
      <w:pPr>
        <w:pStyle w:val="Heading1"/>
      </w:pPr>
      <w:bookmarkStart w:id="319" w:name="_Toc65141627"/>
      <w:bookmarkStart w:id="320" w:name="_Toc75176451"/>
      <w:bookmarkStart w:id="321" w:name="_Toc87429918"/>
      <w:bookmarkStart w:id="322" w:name="_Toc88826966"/>
      <w:r w:rsidRPr="00200234">
        <w:lastRenderedPageBreak/>
        <w:t>Special and restricted patients</w:t>
      </w:r>
      <w:bookmarkEnd w:id="319"/>
      <w:bookmarkEnd w:id="320"/>
      <w:bookmarkEnd w:id="321"/>
      <w:bookmarkEnd w:id="322"/>
    </w:p>
    <w:p w14:paraId="5C8A436F" w14:textId="77777777" w:rsidR="0039221C" w:rsidRDefault="00410071" w:rsidP="00E7421B">
      <w:r w:rsidRPr="00200234">
        <w:t xml:space="preserve">Under </w:t>
      </w:r>
      <w:r>
        <w:t xml:space="preserve">Aotearoa </w:t>
      </w:r>
      <w:r w:rsidRPr="00200234">
        <w:t xml:space="preserve">New Zealand law, people who have been charged with committing crimes while </w:t>
      </w:r>
      <w:r>
        <w:t xml:space="preserve">their judgment was influenced by </w:t>
      </w:r>
      <w:r w:rsidRPr="00200234">
        <w:t xml:space="preserve">severe mental illness may be treated in a secure mental health facility instead of going to prison. These people are given </w:t>
      </w:r>
      <w:r w:rsidR="0039221C">
        <w:t>‘</w:t>
      </w:r>
      <w:r w:rsidRPr="00200234">
        <w:t>special patient</w:t>
      </w:r>
      <w:r w:rsidR="0039221C">
        <w:t>’</w:t>
      </w:r>
      <w:r w:rsidRPr="00200234">
        <w:t xml:space="preserve"> status.</w:t>
      </w:r>
    </w:p>
    <w:p w14:paraId="3F49CF6B" w14:textId="77777777" w:rsidR="00410071" w:rsidRPr="00200234" w:rsidRDefault="00410071" w:rsidP="00E7421B"/>
    <w:p w14:paraId="0DA70A66" w14:textId="77777777" w:rsidR="00410071" w:rsidRPr="00200234" w:rsidRDefault="00410071" w:rsidP="00E7421B">
      <w:r w:rsidRPr="00200234">
        <w:t>Special patients include:</w:t>
      </w:r>
    </w:p>
    <w:p w14:paraId="5C46AC51" w14:textId="77777777" w:rsidR="00410071" w:rsidRPr="00ED4FA1" w:rsidRDefault="00410071" w:rsidP="00E7421B">
      <w:pPr>
        <w:pStyle w:val="Bullet"/>
      </w:pPr>
      <w:r w:rsidRPr="00ED4FA1">
        <w:t>people charged with, or convicted of, a criminal offence and remanded to a hospital for a psychiatric report</w:t>
      </w:r>
    </w:p>
    <w:p w14:paraId="1E4D8149" w14:textId="77777777" w:rsidR="00410071" w:rsidRPr="00ED4FA1" w:rsidRDefault="00410071" w:rsidP="00E7421B">
      <w:pPr>
        <w:pStyle w:val="Bullet"/>
      </w:pPr>
      <w:r w:rsidRPr="00ED4FA1">
        <w:t>remanded or sentenced prisoners transferred from prison to a hospital</w:t>
      </w:r>
    </w:p>
    <w:p w14:paraId="1E65898A" w14:textId="77777777" w:rsidR="00410071" w:rsidRPr="00ED4FA1" w:rsidRDefault="00410071" w:rsidP="00E7421B">
      <w:pPr>
        <w:pStyle w:val="Bullet"/>
      </w:pPr>
      <w:r w:rsidRPr="00ED4FA1">
        <w:t>defendants found not guilty by reason of insanity</w:t>
      </w:r>
    </w:p>
    <w:p w14:paraId="385A3991" w14:textId="77777777" w:rsidR="00410071" w:rsidRPr="00ED4FA1" w:rsidRDefault="00410071" w:rsidP="00E7421B">
      <w:pPr>
        <w:pStyle w:val="Bullet"/>
      </w:pPr>
      <w:r w:rsidRPr="00ED4FA1">
        <w:t>defendants who are unfit to stand trial</w:t>
      </w:r>
    </w:p>
    <w:p w14:paraId="785F3F9F" w14:textId="77777777" w:rsidR="00410071" w:rsidRPr="00ED4FA1" w:rsidRDefault="00410071" w:rsidP="00E7421B">
      <w:pPr>
        <w:pStyle w:val="Bullet"/>
      </w:pPr>
      <w:r w:rsidRPr="00ED4FA1">
        <w:t>people who have been convicted of a criminal offence and both sentenced to a term of imprisonment and placed under a compulsory treatment order.</w:t>
      </w:r>
    </w:p>
    <w:p w14:paraId="7918AFB1" w14:textId="77777777" w:rsidR="00410071" w:rsidRPr="00200234" w:rsidRDefault="00410071" w:rsidP="00E7421B"/>
    <w:p w14:paraId="43192019" w14:textId="77777777" w:rsidR="00410071" w:rsidRPr="00200234" w:rsidRDefault="00410071" w:rsidP="00E7421B">
      <w:r w:rsidRPr="00200234">
        <w:t>Restricted patients are people detained in forensic mental health services, by court order, because they pose a danger to others. They may not be charged with or convicted of a crime. They may have also been transferred from prison or previously had a special patient status that was changed when their sentence ended.</w:t>
      </w:r>
    </w:p>
    <w:p w14:paraId="35F1303B" w14:textId="77777777" w:rsidR="00410071" w:rsidRPr="00200234" w:rsidRDefault="00410071" w:rsidP="00E7421B"/>
    <w:p w14:paraId="00D4166A" w14:textId="5D8D3ECC" w:rsidR="0039221C" w:rsidRDefault="00E7421B" w:rsidP="00E7421B">
      <w:r>
        <w:fldChar w:fldCharType="begin"/>
      </w:r>
      <w:r>
        <w:instrText xml:space="preserve"> REF _Ref65672403 \h </w:instrText>
      </w:r>
      <w:r>
        <w:fldChar w:fldCharType="separate"/>
      </w:r>
      <w:r w:rsidR="00840F18">
        <w:t>Figure </w:t>
      </w:r>
      <w:r w:rsidR="00840F18">
        <w:rPr>
          <w:noProof/>
        </w:rPr>
        <w:t>33</w:t>
      </w:r>
      <w:r>
        <w:fldChar w:fldCharType="end"/>
      </w:r>
      <w:r w:rsidR="00410071" w:rsidRPr="00200234">
        <w:t xml:space="preserve"> present</w:t>
      </w:r>
      <w:r w:rsidR="00410071">
        <w:t>s</w:t>
      </w:r>
      <w:r w:rsidR="00410071" w:rsidRPr="00200234">
        <w:t xml:space="preserve"> the total number of special patients in the care of each DHB that provide</w:t>
      </w:r>
      <w:r w:rsidR="00410071">
        <w:t>s</w:t>
      </w:r>
      <w:r w:rsidR="00410071" w:rsidRPr="00200234">
        <w:t xml:space="preserve"> regional forensic psychiatry services. </w:t>
      </w:r>
      <w:r w:rsidR="00410071">
        <w:t>The number of unique special patients nationally, 438 in total, is lower than the number of unique special patients by DHB, as some may have transferred across services during the 2020 year.</w:t>
      </w:r>
    </w:p>
    <w:p w14:paraId="636C7EDA" w14:textId="77777777" w:rsidR="00410071" w:rsidRPr="00200234" w:rsidRDefault="00410071" w:rsidP="00410071">
      <w:pPr>
        <w:rPr>
          <w:rFonts w:cs="Segoe UI"/>
        </w:rPr>
      </w:pPr>
    </w:p>
    <w:p w14:paraId="544B60B0" w14:textId="744A50B6" w:rsidR="00410071" w:rsidRDefault="00410071" w:rsidP="00E7421B">
      <w:pPr>
        <w:pStyle w:val="Figure"/>
      </w:pPr>
      <w:bookmarkStart w:id="323" w:name="_Ref65672403"/>
      <w:bookmarkStart w:id="324" w:name="_Toc63764781"/>
      <w:bookmarkStart w:id="325" w:name="_Toc75176497"/>
      <w:bookmarkStart w:id="326" w:name="_Toc85442589"/>
      <w:bookmarkStart w:id="327" w:name="_Toc85445937"/>
      <w:bookmarkStart w:id="328" w:name="_Toc87429982"/>
      <w:bookmarkStart w:id="329" w:name="_Toc88561414"/>
      <w:r>
        <w:lastRenderedPageBreak/>
        <w:t>Figure</w:t>
      </w:r>
      <w:r w:rsidR="00E7421B">
        <w:t> </w:t>
      </w:r>
      <w:r w:rsidR="00592799">
        <w:fldChar w:fldCharType="begin"/>
      </w:r>
      <w:r w:rsidR="00592799">
        <w:instrText xml:space="preserve"> SEQ Figure \* ARABIC </w:instrText>
      </w:r>
      <w:r w:rsidR="00592799">
        <w:fldChar w:fldCharType="separate"/>
      </w:r>
      <w:r w:rsidR="00840F18">
        <w:rPr>
          <w:noProof/>
        </w:rPr>
        <w:t>33</w:t>
      </w:r>
      <w:r w:rsidR="00592799">
        <w:rPr>
          <w:noProof/>
        </w:rPr>
        <w:fldChar w:fldCharType="end"/>
      </w:r>
      <w:bookmarkEnd w:id="323"/>
      <w:r w:rsidRPr="00200234">
        <w:t>: Total number of special patients, by DHB, 1 January to 31 December 20</w:t>
      </w:r>
      <w:bookmarkEnd w:id="324"/>
      <w:r>
        <w:t>20</w:t>
      </w:r>
      <w:bookmarkEnd w:id="325"/>
      <w:bookmarkEnd w:id="326"/>
      <w:bookmarkEnd w:id="327"/>
      <w:bookmarkEnd w:id="328"/>
      <w:bookmarkEnd w:id="329"/>
    </w:p>
    <w:p w14:paraId="6AC93007" w14:textId="77777777" w:rsidR="00410071" w:rsidRPr="006363A4" w:rsidRDefault="00410071" w:rsidP="00E7421B">
      <w:pPr>
        <w:keepNext/>
      </w:pPr>
      <w:r>
        <w:rPr>
          <w:noProof/>
          <w:lang w:eastAsia="en-NZ"/>
        </w:rPr>
        <w:drawing>
          <wp:inline distT="0" distB="0" distL="0" distR="0" wp14:anchorId="2CB2E7B8" wp14:editId="5D4DBEA6">
            <wp:extent cx="5120640" cy="2643447"/>
            <wp:effectExtent l="0" t="0" r="3810" b="5080"/>
            <wp:docPr id="35" name="Chart 35" descr="This bar graph shows that in 2020, Southern had 22 special patients, Canterbury had 51, Waikato had 109, Capital &amp; Coast had 119 and Waitematā had 142. ">
              <a:extLst xmlns:a="http://schemas.openxmlformats.org/drawingml/2006/main">
                <a:ext uri="{FF2B5EF4-FFF2-40B4-BE49-F238E27FC236}">
                  <a16:creationId xmlns:a16="http://schemas.microsoft.com/office/drawing/2014/main" id="{A7406855-9A1D-4BF3-AD80-6BA56E922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344728E" w14:textId="77777777" w:rsidR="0039221C" w:rsidRDefault="00410071" w:rsidP="00E7421B">
      <w:pPr>
        <w:pStyle w:val="Note"/>
      </w:pPr>
      <w:r w:rsidRPr="00200234">
        <w:t xml:space="preserve">Note: Due to their relatively small numbers of special patients, </w:t>
      </w:r>
      <w:r>
        <w:t>Hawke</w:t>
      </w:r>
      <w:r w:rsidR="0039221C">
        <w:t>’</w:t>
      </w:r>
      <w:r>
        <w:t xml:space="preserve">s Bay, MidCentral and </w:t>
      </w:r>
      <w:r w:rsidRPr="00200234">
        <w:t>Whanganui DHB</w:t>
      </w:r>
      <w:r>
        <w:t>s</w:t>
      </w:r>
      <w:r w:rsidRPr="00200234">
        <w:t xml:space="preserve"> </w:t>
      </w:r>
      <w:r>
        <w:t>are</w:t>
      </w:r>
      <w:r w:rsidRPr="00200234">
        <w:t xml:space="preserve"> included under Capital &amp; Coast DHB</w:t>
      </w:r>
      <w:r>
        <w:t>,</w:t>
      </w:r>
      <w:r w:rsidRPr="00200234">
        <w:t xml:space="preserve"> </w:t>
      </w:r>
      <w:r>
        <w:t xml:space="preserve">Taranaki DHB is included under Waikato DHB, </w:t>
      </w:r>
      <w:r w:rsidRPr="00200234">
        <w:t>and Nelson Marlborough DHB is included under Canterbury DHB.</w:t>
      </w:r>
    </w:p>
    <w:p w14:paraId="33EB8EB9" w14:textId="77777777" w:rsidR="0039221C" w:rsidRDefault="00410071" w:rsidP="00E7421B">
      <w:pPr>
        <w:pStyle w:val="Source"/>
      </w:pPr>
      <w:r w:rsidRPr="00200234">
        <w:t xml:space="preserve">Source: PRIMHD </w:t>
      </w:r>
      <w:r>
        <w:t>data (extracted</w:t>
      </w:r>
      <w:r w:rsidRPr="00200234">
        <w:t xml:space="preserve"> </w:t>
      </w:r>
      <w:r>
        <w:t>1 July 2021)</w:t>
      </w:r>
      <w:r w:rsidRPr="00200234">
        <w:t>.</w:t>
      </w:r>
    </w:p>
    <w:p w14:paraId="6ECF2094" w14:textId="77777777" w:rsidR="00410071" w:rsidRPr="00200234" w:rsidRDefault="00410071" w:rsidP="00E7421B"/>
    <w:p w14:paraId="1B21B1A6" w14:textId="77777777" w:rsidR="00410071" w:rsidRDefault="00410071" w:rsidP="00E7421B">
      <w:r w:rsidRPr="00200234">
        <w:t>Special and restricted patients may be detained for extended or short-term care.</w:t>
      </w:r>
    </w:p>
    <w:p w14:paraId="76A8E5B9" w14:textId="77777777" w:rsidR="00410071" w:rsidRPr="00200234" w:rsidRDefault="00410071" w:rsidP="00E7421B"/>
    <w:p w14:paraId="4881E1CB" w14:textId="77777777" w:rsidR="00410071" w:rsidRPr="00200234" w:rsidRDefault="00410071" w:rsidP="00E7421B">
      <w:pPr>
        <w:pStyle w:val="Heading2"/>
      </w:pPr>
      <w:bookmarkStart w:id="330" w:name="_Toc65141628"/>
      <w:bookmarkStart w:id="331" w:name="_Toc75176452"/>
      <w:bookmarkStart w:id="332" w:name="_Toc87429919"/>
      <w:bookmarkStart w:id="333" w:name="_Toc88826967"/>
      <w:r w:rsidRPr="00200234">
        <w:t>Extended forensic care special patients</w:t>
      </w:r>
      <w:bookmarkEnd w:id="330"/>
      <w:bookmarkEnd w:id="331"/>
      <w:bookmarkEnd w:id="332"/>
      <w:bookmarkEnd w:id="333"/>
    </w:p>
    <w:p w14:paraId="39BFFEB1" w14:textId="77777777" w:rsidR="00410071" w:rsidRPr="00200234" w:rsidRDefault="00410071" w:rsidP="00E7421B">
      <w:r w:rsidRPr="00200234">
        <w:t xml:space="preserve">Extended forensic care patients include special patients who have been found not guilty by reason of insanity or unfit to stand trial under section 24(2)(a) of </w:t>
      </w:r>
      <w:r>
        <w:t xml:space="preserve">the </w:t>
      </w:r>
      <w:r w:rsidRPr="00066817">
        <w:t>Criminal Procedure (Mentally Impaired Persons) Act 2003</w:t>
      </w:r>
      <w:r w:rsidRPr="00200234">
        <w:t>. Restricted patients under section 55 of the Mental Health Act are also subject to extended forensic care.</w:t>
      </w:r>
    </w:p>
    <w:p w14:paraId="159A8CE4" w14:textId="77777777" w:rsidR="00410071" w:rsidRPr="00200234" w:rsidRDefault="00410071" w:rsidP="00E7421B"/>
    <w:p w14:paraId="651BD055" w14:textId="2083810F" w:rsidR="00410071" w:rsidRDefault="00410071" w:rsidP="00E7421B">
      <w:r w:rsidRPr="00200234">
        <w:t>In 20</w:t>
      </w:r>
      <w:r>
        <w:t>20</w:t>
      </w:r>
      <w:r w:rsidRPr="00200234">
        <w:t xml:space="preserve">, </w:t>
      </w:r>
      <w:r>
        <w:t xml:space="preserve">Aotearoa </w:t>
      </w:r>
      <w:r w:rsidRPr="00200234">
        <w:t xml:space="preserve">New Zealand had </w:t>
      </w:r>
      <w:r>
        <w:t>167</w:t>
      </w:r>
      <w:r w:rsidRPr="00200234">
        <w:t xml:space="preserve"> extended forensic care special patients. </w:t>
      </w:r>
      <w:r>
        <w:fldChar w:fldCharType="begin"/>
      </w:r>
      <w:r>
        <w:instrText xml:space="preserve"> REF _Ref85450596 \h </w:instrText>
      </w:r>
      <w:r>
        <w:fldChar w:fldCharType="separate"/>
      </w:r>
      <w:r w:rsidR="00840F18">
        <w:t>Table </w:t>
      </w:r>
      <w:r w:rsidR="00840F18">
        <w:rPr>
          <w:noProof/>
        </w:rPr>
        <w:t>12</w:t>
      </w:r>
      <w:r>
        <w:fldChar w:fldCharType="end"/>
      </w:r>
      <w:r w:rsidRPr="00200234">
        <w:t xml:space="preserve"> </w:t>
      </w:r>
      <w:r>
        <w:t>shows</w:t>
      </w:r>
      <w:r w:rsidRPr="00200234">
        <w:t xml:space="preserve"> the number of these patients in the care of each DHB that provide</w:t>
      </w:r>
      <w:r>
        <w:t>s</w:t>
      </w:r>
      <w:r w:rsidRPr="00200234">
        <w:t xml:space="preserve"> regional forensic psychiatry services per year.</w:t>
      </w:r>
    </w:p>
    <w:p w14:paraId="77142DFC" w14:textId="77777777" w:rsidR="00410071" w:rsidRPr="00200234" w:rsidRDefault="00410071" w:rsidP="00E7421B"/>
    <w:p w14:paraId="5C3505F8" w14:textId="77777777" w:rsidR="00410071" w:rsidRPr="00200234" w:rsidRDefault="00410071" w:rsidP="00E7421B">
      <w:pPr>
        <w:pStyle w:val="Heading2"/>
      </w:pPr>
      <w:bookmarkStart w:id="334" w:name="_Toc65141629"/>
      <w:bookmarkStart w:id="335" w:name="_Toc75176453"/>
      <w:bookmarkStart w:id="336" w:name="_Toc87429920"/>
      <w:bookmarkStart w:id="337" w:name="_Toc88826968"/>
      <w:r w:rsidRPr="00200234">
        <w:lastRenderedPageBreak/>
        <w:t>Short-term forensic care special patients</w:t>
      </w:r>
      <w:bookmarkEnd w:id="334"/>
      <w:bookmarkEnd w:id="335"/>
      <w:bookmarkEnd w:id="336"/>
      <w:bookmarkEnd w:id="337"/>
    </w:p>
    <w:p w14:paraId="7932EACF" w14:textId="77777777" w:rsidR="00410071" w:rsidRPr="00200234" w:rsidRDefault="00410071" w:rsidP="00E7421B">
      <w:pPr>
        <w:keepLines/>
      </w:pPr>
      <w:r w:rsidRPr="00200234">
        <w:t xml:space="preserve">Short-term forensic care patients include people transferred to a forensic mental health service from prison. Once a person has been sentenced to a term of imprisonment, any compulsory mental health treatment order relating to them no longer applies. Remand prisoners may remain on a pre-existing compulsory treatment order, but it is unlawful to enforce compulsory treatment in the prison environment. However, a court may make a </w:t>
      </w:r>
      <w:r w:rsidR="0039221C">
        <w:t>‘</w:t>
      </w:r>
      <w:r w:rsidRPr="00200234">
        <w:t>hybrid order</w:t>
      </w:r>
      <w:r w:rsidR="0039221C">
        <w:t>’</w:t>
      </w:r>
      <w:r w:rsidRPr="00200234">
        <w:t xml:space="preserve"> under section 34(1)(a)(i) of the </w:t>
      </w:r>
      <w:r w:rsidRPr="00066817">
        <w:t>Criminal Procedure (Mentally Impaired Persons) Act 2003</w:t>
      </w:r>
      <w:r w:rsidRPr="00200234">
        <w:t>, sentencing an offender to a term of imprisonment while also ordering their detention in hospital as a special patient.</w:t>
      </w:r>
    </w:p>
    <w:p w14:paraId="316700BC" w14:textId="77777777" w:rsidR="00410071" w:rsidRPr="00200234" w:rsidRDefault="00410071" w:rsidP="00E7421B"/>
    <w:p w14:paraId="5793F7C0" w14:textId="4424982D" w:rsidR="00410071" w:rsidRPr="00200234" w:rsidRDefault="00410071" w:rsidP="00E7421B">
      <w:r w:rsidRPr="00200234">
        <w:t>In 20</w:t>
      </w:r>
      <w:r>
        <w:t>20</w:t>
      </w:r>
      <w:r w:rsidRPr="00200234">
        <w:t xml:space="preserve">, </w:t>
      </w:r>
      <w:r>
        <w:t xml:space="preserve">Aotearoa </w:t>
      </w:r>
      <w:r w:rsidRPr="00200234">
        <w:t xml:space="preserve">New Zealand had a total of </w:t>
      </w:r>
      <w:r>
        <w:t>281</w:t>
      </w:r>
      <w:r w:rsidRPr="00200234">
        <w:t xml:space="preserve"> short-term forensic care special patients. </w:t>
      </w:r>
      <w:r>
        <w:fldChar w:fldCharType="begin"/>
      </w:r>
      <w:r>
        <w:instrText xml:space="preserve"> REF _Ref85450596 \h </w:instrText>
      </w:r>
      <w:r>
        <w:fldChar w:fldCharType="separate"/>
      </w:r>
      <w:r w:rsidR="00840F18">
        <w:t>Table </w:t>
      </w:r>
      <w:r w:rsidR="00840F18">
        <w:rPr>
          <w:noProof/>
        </w:rPr>
        <w:t>12</w:t>
      </w:r>
      <w:r>
        <w:fldChar w:fldCharType="end"/>
      </w:r>
      <w:r w:rsidRPr="00200234">
        <w:t xml:space="preserve"> </w:t>
      </w:r>
      <w:r>
        <w:t>shows</w:t>
      </w:r>
      <w:r w:rsidRPr="00200234">
        <w:t xml:space="preserve"> the number of these patients in the care of each DHB that provide</w:t>
      </w:r>
      <w:r>
        <w:t>s</w:t>
      </w:r>
      <w:r w:rsidRPr="00200234">
        <w:t xml:space="preserve"> regional forensic psychiatry services. </w:t>
      </w:r>
      <w:r w:rsidR="00E7421B">
        <w:fldChar w:fldCharType="begin"/>
      </w:r>
      <w:r w:rsidR="00E7421B">
        <w:instrText xml:space="preserve"> REF _Ref65672426 \h </w:instrText>
      </w:r>
      <w:r w:rsidR="00E7421B">
        <w:fldChar w:fldCharType="separate"/>
      </w:r>
      <w:r w:rsidR="00840F18">
        <w:t>Figure </w:t>
      </w:r>
      <w:r w:rsidR="00840F18">
        <w:rPr>
          <w:noProof/>
        </w:rPr>
        <w:t>34</w:t>
      </w:r>
      <w:r w:rsidR="00E7421B">
        <w:fldChar w:fldCharType="end"/>
      </w:r>
      <w:r w:rsidRPr="00200234">
        <w:t xml:space="preserve"> show</w:t>
      </w:r>
      <w:r>
        <w:t>s</w:t>
      </w:r>
      <w:r w:rsidRPr="00200234" w:rsidDel="001B42F3">
        <w:t xml:space="preserve"> </w:t>
      </w:r>
      <w:r w:rsidRPr="00200234">
        <w:t xml:space="preserve">the percentage of court orders given for short-term forensic care legal status relative to those for extended forensic care legal status in each </w:t>
      </w:r>
      <w:r>
        <w:t xml:space="preserve">relevant </w:t>
      </w:r>
      <w:r w:rsidRPr="00200234">
        <w:t>DHB.</w:t>
      </w:r>
    </w:p>
    <w:p w14:paraId="62945737" w14:textId="77777777" w:rsidR="00410071" w:rsidRPr="00200234" w:rsidRDefault="00410071" w:rsidP="00E7421B"/>
    <w:p w14:paraId="6FE2CA58" w14:textId="31CD0275" w:rsidR="00410071" w:rsidRDefault="00410071" w:rsidP="00E7421B">
      <w:pPr>
        <w:pStyle w:val="Table"/>
      </w:pPr>
      <w:bookmarkStart w:id="338" w:name="_Ref85450596"/>
      <w:bookmarkStart w:id="339" w:name="_Toc87430010"/>
      <w:bookmarkStart w:id="340" w:name="_Toc88561367"/>
      <w:r>
        <w:t>Table</w:t>
      </w:r>
      <w:r w:rsidR="00E7421B">
        <w:t> </w:t>
      </w:r>
      <w:r w:rsidR="00592799">
        <w:fldChar w:fldCharType="begin"/>
      </w:r>
      <w:r w:rsidR="00592799">
        <w:instrText xml:space="preserve"> SEQ Table \* ARABIC </w:instrText>
      </w:r>
      <w:r w:rsidR="00592799">
        <w:fldChar w:fldCharType="separate"/>
      </w:r>
      <w:r w:rsidR="00840F18">
        <w:rPr>
          <w:noProof/>
        </w:rPr>
        <w:t>12</w:t>
      </w:r>
      <w:r w:rsidR="00592799">
        <w:rPr>
          <w:noProof/>
        </w:rPr>
        <w:fldChar w:fldCharType="end"/>
      </w:r>
      <w:bookmarkEnd w:id="338"/>
      <w:r w:rsidRPr="00D9092F">
        <w:t>: Total number of special patients, by type and DHB, 1 January to 31</w:t>
      </w:r>
      <w:r w:rsidR="00E7421B">
        <w:t> </w:t>
      </w:r>
      <w:r w:rsidRPr="00D9092F">
        <w:t>December 2020</w:t>
      </w:r>
      <w:bookmarkEnd w:id="339"/>
      <w:bookmarkEnd w:id="340"/>
    </w:p>
    <w:tbl>
      <w:tblPr>
        <w:tblW w:w="4931" w:type="pct"/>
        <w:tblInd w:w="57" w:type="dxa"/>
        <w:tblLayout w:type="fixed"/>
        <w:tblCellMar>
          <w:left w:w="57" w:type="dxa"/>
          <w:right w:w="57" w:type="dxa"/>
        </w:tblCellMar>
        <w:tblLook w:val="01E0" w:firstRow="1" w:lastRow="1" w:firstColumn="1" w:lastColumn="1" w:noHBand="0" w:noVBand="0"/>
      </w:tblPr>
      <w:tblGrid>
        <w:gridCol w:w="1872"/>
        <w:gridCol w:w="2068"/>
        <w:gridCol w:w="2070"/>
        <w:gridCol w:w="2070"/>
      </w:tblGrid>
      <w:tr w:rsidR="00410071" w:rsidRPr="00E7421B" w14:paraId="17B7CA0B" w14:textId="77777777" w:rsidTr="00E7421B">
        <w:trPr>
          <w:cantSplit/>
        </w:trPr>
        <w:tc>
          <w:tcPr>
            <w:tcW w:w="1158" w:type="pct"/>
            <w:shd w:val="clear" w:color="auto" w:fill="D9D9D9"/>
          </w:tcPr>
          <w:p w14:paraId="6A798B5A" w14:textId="77777777" w:rsidR="00410071" w:rsidRPr="00E7421B" w:rsidRDefault="00410071" w:rsidP="00E7421B">
            <w:pPr>
              <w:pStyle w:val="TableText"/>
              <w:rPr>
                <w:b/>
              </w:rPr>
            </w:pPr>
            <w:r w:rsidRPr="00E7421B">
              <w:rPr>
                <w:b/>
              </w:rPr>
              <w:t>Forensic services</w:t>
            </w:r>
          </w:p>
        </w:tc>
        <w:tc>
          <w:tcPr>
            <w:tcW w:w="1280" w:type="pct"/>
            <w:shd w:val="clear" w:color="auto" w:fill="D9D9D9"/>
          </w:tcPr>
          <w:p w14:paraId="53E3DF6D" w14:textId="77777777" w:rsidR="00410071" w:rsidRPr="00E7421B" w:rsidRDefault="00410071" w:rsidP="00E7421B">
            <w:pPr>
              <w:pStyle w:val="TableText"/>
              <w:jc w:val="center"/>
              <w:rPr>
                <w:b/>
              </w:rPr>
            </w:pPr>
            <w:r w:rsidRPr="00E7421B">
              <w:rPr>
                <w:b/>
              </w:rPr>
              <w:t>EFC special patients</w:t>
            </w:r>
          </w:p>
        </w:tc>
        <w:tc>
          <w:tcPr>
            <w:tcW w:w="1281" w:type="pct"/>
            <w:shd w:val="clear" w:color="auto" w:fill="D9D9D9"/>
          </w:tcPr>
          <w:p w14:paraId="67FF295E" w14:textId="77777777" w:rsidR="00410071" w:rsidRPr="00E7421B" w:rsidRDefault="00410071" w:rsidP="00E7421B">
            <w:pPr>
              <w:pStyle w:val="TableText"/>
              <w:jc w:val="center"/>
              <w:rPr>
                <w:b/>
              </w:rPr>
            </w:pPr>
            <w:r w:rsidRPr="00E7421B">
              <w:rPr>
                <w:b/>
              </w:rPr>
              <w:t>SFC special patients</w:t>
            </w:r>
          </w:p>
        </w:tc>
        <w:tc>
          <w:tcPr>
            <w:tcW w:w="1281" w:type="pct"/>
            <w:shd w:val="clear" w:color="auto" w:fill="D9D9D9"/>
          </w:tcPr>
          <w:p w14:paraId="42E2F402" w14:textId="77777777" w:rsidR="00410071" w:rsidRPr="00E7421B" w:rsidRDefault="00410071" w:rsidP="00E7421B">
            <w:pPr>
              <w:pStyle w:val="TableText"/>
              <w:jc w:val="center"/>
              <w:rPr>
                <w:b/>
              </w:rPr>
            </w:pPr>
            <w:r w:rsidRPr="00E7421B">
              <w:rPr>
                <w:b/>
              </w:rPr>
              <w:t>Total special patients</w:t>
            </w:r>
          </w:p>
        </w:tc>
      </w:tr>
      <w:tr w:rsidR="00410071" w:rsidRPr="00200234" w14:paraId="51C0610C" w14:textId="77777777" w:rsidTr="00E7421B">
        <w:trPr>
          <w:cantSplit/>
        </w:trPr>
        <w:tc>
          <w:tcPr>
            <w:tcW w:w="1158" w:type="pct"/>
            <w:tcBorders>
              <w:bottom w:val="single" w:sz="4" w:space="0" w:color="A6A6A6"/>
            </w:tcBorders>
          </w:tcPr>
          <w:p w14:paraId="00CECF42" w14:textId="77777777" w:rsidR="00410071" w:rsidRPr="00200234" w:rsidRDefault="00410071" w:rsidP="00E7421B">
            <w:pPr>
              <w:pStyle w:val="TableText"/>
            </w:pPr>
            <w:r w:rsidRPr="00200234">
              <w:t>Canterbury DHB</w:t>
            </w:r>
          </w:p>
        </w:tc>
        <w:tc>
          <w:tcPr>
            <w:tcW w:w="1280" w:type="pct"/>
            <w:tcBorders>
              <w:bottom w:val="single" w:sz="4" w:space="0" w:color="A6A6A6"/>
            </w:tcBorders>
          </w:tcPr>
          <w:p w14:paraId="18F1C07D" w14:textId="77777777" w:rsidR="00410071" w:rsidRPr="00200234" w:rsidRDefault="00410071" w:rsidP="00E7421B">
            <w:pPr>
              <w:pStyle w:val="TableText"/>
              <w:tabs>
                <w:tab w:val="decimal" w:pos="1173"/>
              </w:tabs>
            </w:pPr>
            <w:r w:rsidRPr="00200234">
              <w:t>16</w:t>
            </w:r>
          </w:p>
        </w:tc>
        <w:tc>
          <w:tcPr>
            <w:tcW w:w="1281" w:type="pct"/>
            <w:tcBorders>
              <w:bottom w:val="single" w:sz="4" w:space="0" w:color="A6A6A6"/>
            </w:tcBorders>
          </w:tcPr>
          <w:p w14:paraId="0D724704" w14:textId="77777777" w:rsidR="00410071" w:rsidRPr="00200234" w:rsidRDefault="00410071" w:rsidP="00E7421B">
            <w:pPr>
              <w:pStyle w:val="TableText"/>
              <w:tabs>
                <w:tab w:val="decimal" w:pos="1173"/>
              </w:tabs>
            </w:pPr>
            <w:r>
              <w:t>36</w:t>
            </w:r>
          </w:p>
        </w:tc>
        <w:tc>
          <w:tcPr>
            <w:tcW w:w="1281" w:type="pct"/>
            <w:tcBorders>
              <w:bottom w:val="single" w:sz="4" w:space="0" w:color="A6A6A6"/>
            </w:tcBorders>
          </w:tcPr>
          <w:p w14:paraId="741B2DFE" w14:textId="77777777" w:rsidR="00410071" w:rsidRPr="00200234" w:rsidRDefault="00410071" w:rsidP="00E7421B">
            <w:pPr>
              <w:pStyle w:val="TableText"/>
              <w:tabs>
                <w:tab w:val="decimal" w:pos="1173"/>
              </w:tabs>
            </w:pPr>
            <w:r>
              <w:t>51</w:t>
            </w:r>
          </w:p>
        </w:tc>
      </w:tr>
      <w:tr w:rsidR="00410071" w:rsidRPr="00200234" w14:paraId="3DE00F08" w14:textId="77777777" w:rsidTr="00E7421B">
        <w:trPr>
          <w:cantSplit/>
        </w:trPr>
        <w:tc>
          <w:tcPr>
            <w:tcW w:w="1158" w:type="pct"/>
            <w:tcBorders>
              <w:top w:val="single" w:sz="4" w:space="0" w:color="A6A6A6"/>
              <w:bottom w:val="single" w:sz="4" w:space="0" w:color="A6A6A6"/>
            </w:tcBorders>
          </w:tcPr>
          <w:p w14:paraId="5C57DDA7" w14:textId="77777777" w:rsidR="00410071" w:rsidRPr="00200234" w:rsidRDefault="00410071" w:rsidP="00E7421B">
            <w:pPr>
              <w:pStyle w:val="TableText"/>
            </w:pPr>
            <w:r w:rsidRPr="00200234">
              <w:t>Capital &amp; Coast DHB</w:t>
            </w:r>
          </w:p>
        </w:tc>
        <w:tc>
          <w:tcPr>
            <w:tcW w:w="1280" w:type="pct"/>
            <w:tcBorders>
              <w:top w:val="single" w:sz="4" w:space="0" w:color="A6A6A6"/>
              <w:bottom w:val="single" w:sz="4" w:space="0" w:color="A6A6A6"/>
            </w:tcBorders>
          </w:tcPr>
          <w:p w14:paraId="31DF36C5" w14:textId="77777777" w:rsidR="00410071" w:rsidRPr="00200234" w:rsidRDefault="00410071" w:rsidP="00E7421B">
            <w:pPr>
              <w:pStyle w:val="TableText"/>
              <w:tabs>
                <w:tab w:val="decimal" w:pos="1173"/>
              </w:tabs>
            </w:pPr>
            <w:r>
              <w:t>55</w:t>
            </w:r>
          </w:p>
        </w:tc>
        <w:tc>
          <w:tcPr>
            <w:tcW w:w="1281" w:type="pct"/>
            <w:tcBorders>
              <w:top w:val="single" w:sz="4" w:space="0" w:color="A6A6A6"/>
              <w:bottom w:val="single" w:sz="4" w:space="0" w:color="A6A6A6"/>
            </w:tcBorders>
          </w:tcPr>
          <w:p w14:paraId="5B44FB02" w14:textId="77777777" w:rsidR="00410071" w:rsidRPr="00200234" w:rsidRDefault="00410071" w:rsidP="00E7421B">
            <w:pPr>
              <w:pStyle w:val="TableText"/>
              <w:tabs>
                <w:tab w:val="decimal" w:pos="1173"/>
              </w:tabs>
            </w:pPr>
            <w:r>
              <w:t>66</w:t>
            </w:r>
          </w:p>
        </w:tc>
        <w:tc>
          <w:tcPr>
            <w:tcW w:w="1281" w:type="pct"/>
            <w:tcBorders>
              <w:top w:val="single" w:sz="4" w:space="0" w:color="A6A6A6"/>
              <w:bottom w:val="single" w:sz="4" w:space="0" w:color="A6A6A6"/>
            </w:tcBorders>
          </w:tcPr>
          <w:p w14:paraId="005E5499" w14:textId="77777777" w:rsidR="00410071" w:rsidRPr="00200234" w:rsidRDefault="00410071" w:rsidP="00E7421B">
            <w:pPr>
              <w:pStyle w:val="TableText"/>
              <w:tabs>
                <w:tab w:val="decimal" w:pos="1173"/>
              </w:tabs>
            </w:pPr>
            <w:r>
              <w:t>119</w:t>
            </w:r>
          </w:p>
        </w:tc>
      </w:tr>
      <w:tr w:rsidR="00410071" w:rsidRPr="00200234" w14:paraId="14129855" w14:textId="77777777" w:rsidTr="00E7421B">
        <w:trPr>
          <w:cantSplit/>
        </w:trPr>
        <w:tc>
          <w:tcPr>
            <w:tcW w:w="1158" w:type="pct"/>
            <w:tcBorders>
              <w:top w:val="single" w:sz="4" w:space="0" w:color="A6A6A6"/>
              <w:bottom w:val="single" w:sz="4" w:space="0" w:color="A6A6A6"/>
            </w:tcBorders>
          </w:tcPr>
          <w:p w14:paraId="57AD6825" w14:textId="77777777" w:rsidR="00410071" w:rsidRPr="00200234" w:rsidRDefault="00410071" w:rsidP="00E7421B">
            <w:pPr>
              <w:pStyle w:val="TableText"/>
            </w:pPr>
            <w:r w:rsidRPr="00200234">
              <w:t>Southern DHB</w:t>
            </w:r>
          </w:p>
        </w:tc>
        <w:tc>
          <w:tcPr>
            <w:tcW w:w="1280" w:type="pct"/>
            <w:tcBorders>
              <w:top w:val="single" w:sz="4" w:space="0" w:color="A6A6A6"/>
              <w:bottom w:val="single" w:sz="4" w:space="0" w:color="A6A6A6"/>
            </w:tcBorders>
          </w:tcPr>
          <w:p w14:paraId="32812B2F" w14:textId="77777777" w:rsidR="00410071" w:rsidRPr="00200234" w:rsidRDefault="00410071" w:rsidP="00E7421B">
            <w:pPr>
              <w:pStyle w:val="TableText"/>
              <w:tabs>
                <w:tab w:val="decimal" w:pos="1173"/>
              </w:tabs>
            </w:pPr>
            <w:r w:rsidRPr="00200234">
              <w:t>10</w:t>
            </w:r>
          </w:p>
        </w:tc>
        <w:tc>
          <w:tcPr>
            <w:tcW w:w="1281" w:type="pct"/>
            <w:tcBorders>
              <w:top w:val="single" w:sz="4" w:space="0" w:color="A6A6A6"/>
              <w:bottom w:val="single" w:sz="4" w:space="0" w:color="A6A6A6"/>
            </w:tcBorders>
          </w:tcPr>
          <w:p w14:paraId="20627874" w14:textId="77777777" w:rsidR="00410071" w:rsidRPr="00200234" w:rsidRDefault="00410071" w:rsidP="00E7421B">
            <w:pPr>
              <w:pStyle w:val="TableText"/>
              <w:tabs>
                <w:tab w:val="decimal" w:pos="1173"/>
              </w:tabs>
            </w:pPr>
            <w:r>
              <w:t>12</w:t>
            </w:r>
          </w:p>
        </w:tc>
        <w:tc>
          <w:tcPr>
            <w:tcW w:w="1281" w:type="pct"/>
            <w:tcBorders>
              <w:top w:val="single" w:sz="4" w:space="0" w:color="A6A6A6"/>
              <w:bottom w:val="single" w:sz="4" w:space="0" w:color="A6A6A6"/>
            </w:tcBorders>
          </w:tcPr>
          <w:p w14:paraId="7CB3AD77" w14:textId="77777777" w:rsidR="00410071" w:rsidRPr="00200234" w:rsidRDefault="00410071" w:rsidP="00E7421B">
            <w:pPr>
              <w:pStyle w:val="TableText"/>
              <w:tabs>
                <w:tab w:val="decimal" w:pos="1173"/>
              </w:tabs>
            </w:pPr>
            <w:r>
              <w:t>22</w:t>
            </w:r>
          </w:p>
        </w:tc>
      </w:tr>
      <w:tr w:rsidR="00410071" w:rsidRPr="00200234" w14:paraId="7B5BDC5D" w14:textId="77777777" w:rsidTr="00E7421B">
        <w:trPr>
          <w:cantSplit/>
        </w:trPr>
        <w:tc>
          <w:tcPr>
            <w:tcW w:w="1158" w:type="pct"/>
            <w:tcBorders>
              <w:top w:val="single" w:sz="4" w:space="0" w:color="A6A6A6"/>
              <w:bottom w:val="single" w:sz="4" w:space="0" w:color="A6A6A6"/>
            </w:tcBorders>
          </w:tcPr>
          <w:p w14:paraId="286AB026" w14:textId="77777777" w:rsidR="00410071" w:rsidRPr="00200234" w:rsidRDefault="00410071" w:rsidP="00E7421B">
            <w:pPr>
              <w:pStyle w:val="TableText"/>
            </w:pPr>
            <w:r w:rsidRPr="00200234">
              <w:t>Waikato DHB</w:t>
            </w:r>
          </w:p>
        </w:tc>
        <w:tc>
          <w:tcPr>
            <w:tcW w:w="1280" w:type="pct"/>
            <w:tcBorders>
              <w:top w:val="single" w:sz="4" w:space="0" w:color="A6A6A6"/>
              <w:bottom w:val="single" w:sz="4" w:space="0" w:color="A6A6A6"/>
            </w:tcBorders>
          </w:tcPr>
          <w:p w14:paraId="1FF46F48" w14:textId="77777777" w:rsidR="00410071" w:rsidRPr="00200234" w:rsidRDefault="00410071" w:rsidP="00E7421B">
            <w:pPr>
              <w:pStyle w:val="TableText"/>
              <w:tabs>
                <w:tab w:val="decimal" w:pos="1173"/>
              </w:tabs>
            </w:pPr>
            <w:r>
              <w:t>41</w:t>
            </w:r>
          </w:p>
        </w:tc>
        <w:tc>
          <w:tcPr>
            <w:tcW w:w="1281" w:type="pct"/>
            <w:tcBorders>
              <w:top w:val="single" w:sz="4" w:space="0" w:color="A6A6A6"/>
              <w:bottom w:val="single" w:sz="4" w:space="0" w:color="A6A6A6"/>
            </w:tcBorders>
          </w:tcPr>
          <w:p w14:paraId="7F5DEFF3" w14:textId="77777777" w:rsidR="00410071" w:rsidRPr="00200234" w:rsidRDefault="00410071" w:rsidP="00E7421B">
            <w:pPr>
              <w:pStyle w:val="TableText"/>
              <w:tabs>
                <w:tab w:val="decimal" w:pos="1173"/>
              </w:tabs>
            </w:pPr>
            <w:r>
              <w:t>71</w:t>
            </w:r>
          </w:p>
        </w:tc>
        <w:tc>
          <w:tcPr>
            <w:tcW w:w="1281" w:type="pct"/>
            <w:tcBorders>
              <w:top w:val="single" w:sz="4" w:space="0" w:color="A6A6A6"/>
              <w:bottom w:val="single" w:sz="4" w:space="0" w:color="A6A6A6"/>
            </w:tcBorders>
          </w:tcPr>
          <w:p w14:paraId="51CB3277" w14:textId="77777777" w:rsidR="00410071" w:rsidRPr="00200234" w:rsidRDefault="00410071" w:rsidP="00E7421B">
            <w:pPr>
              <w:pStyle w:val="TableText"/>
              <w:tabs>
                <w:tab w:val="decimal" w:pos="1173"/>
              </w:tabs>
            </w:pPr>
            <w:r>
              <w:t>109</w:t>
            </w:r>
          </w:p>
        </w:tc>
      </w:tr>
      <w:tr w:rsidR="00410071" w:rsidRPr="00200234" w14:paraId="193542F6" w14:textId="77777777" w:rsidTr="00E7421B">
        <w:trPr>
          <w:cantSplit/>
        </w:trPr>
        <w:tc>
          <w:tcPr>
            <w:tcW w:w="1158" w:type="pct"/>
            <w:tcBorders>
              <w:top w:val="single" w:sz="4" w:space="0" w:color="A6A6A6"/>
              <w:bottom w:val="single" w:sz="4" w:space="0" w:color="A6A6A6"/>
            </w:tcBorders>
          </w:tcPr>
          <w:p w14:paraId="0E21D386" w14:textId="77777777" w:rsidR="00410071" w:rsidRPr="00200234" w:rsidRDefault="00410071" w:rsidP="00E7421B">
            <w:pPr>
              <w:pStyle w:val="TableText"/>
            </w:pPr>
            <w:r w:rsidRPr="00200234">
              <w:t>Waitematā DHB</w:t>
            </w:r>
          </w:p>
        </w:tc>
        <w:tc>
          <w:tcPr>
            <w:tcW w:w="1280" w:type="pct"/>
            <w:tcBorders>
              <w:top w:val="single" w:sz="4" w:space="0" w:color="A6A6A6"/>
              <w:bottom w:val="single" w:sz="4" w:space="0" w:color="A6A6A6"/>
            </w:tcBorders>
          </w:tcPr>
          <w:p w14:paraId="42BC7959" w14:textId="77777777" w:rsidR="00410071" w:rsidRPr="00200234" w:rsidRDefault="00410071" w:rsidP="00E7421B">
            <w:pPr>
              <w:pStyle w:val="TableText"/>
              <w:tabs>
                <w:tab w:val="decimal" w:pos="1173"/>
              </w:tabs>
            </w:pPr>
            <w:r>
              <w:t>48</w:t>
            </w:r>
          </w:p>
        </w:tc>
        <w:tc>
          <w:tcPr>
            <w:tcW w:w="1281" w:type="pct"/>
            <w:tcBorders>
              <w:top w:val="single" w:sz="4" w:space="0" w:color="A6A6A6"/>
              <w:bottom w:val="single" w:sz="4" w:space="0" w:color="A6A6A6"/>
            </w:tcBorders>
          </w:tcPr>
          <w:p w14:paraId="5388119D" w14:textId="77777777" w:rsidR="00410071" w:rsidRPr="00200234" w:rsidRDefault="00410071" w:rsidP="00E7421B">
            <w:pPr>
              <w:pStyle w:val="TableText"/>
              <w:tabs>
                <w:tab w:val="decimal" w:pos="1173"/>
              </w:tabs>
            </w:pPr>
            <w:r>
              <w:t>97</w:t>
            </w:r>
          </w:p>
        </w:tc>
        <w:tc>
          <w:tcPr>
            <w:tcW w:w="1281" w:type="pct"/>
            <w:tcBorders>
              <w:top w:val="single" w:sz="4" w:space="0" w:color="A6A6A6"/>
              <w:bottom w:val="single" w:sz="4" w:space="0" w:color="A6A6A6"/>
            </w:tcBorders>
          </w:tcPr>
          <w:p w14:paraId="26189C6A" w14:textId="77777777" w:rsidR="00410071" w:rsidRPr="00200234" w:rsidRDefault="00410071" w:rsidP="00E7421B">
            <w:pPr>
              <w:pStyle w:val="TableText"/>
              <w:tabs>
                <w:tab w:val="decimal" w:pos="1173"/>
              </w:tabs>
            </w:pPr>
            <w:r>
              <w:t>142</w:t>
            </w:r>
          </w:p>
        </w:tc>
      </w:tr>
      <w:tr w:rsidR="00410071" w:rsidRPr="00E7421B" w14:paraId="52988116" w14:textId="77777777" w:rsidTr="00E7421B">
        <w:trPr>
          <w:cantSplit/>
        </w:trPr>
        <w:tc>
          <w:tcPr>
            <w:tcW w:w="1158" w:type="pct"/>
            <w:tcBorders>
              <w:top w:val="single" w:sz="4" w:space="0" w:color="A6A6A6"/>
              <w:bottom w:val="single" w:sz="4" w:space="0" w:color="A6A6A6"/>
            </w:tcBorders>
          </w:tcPr>
          <w:p w14:paraId="2B56908A" w14:textId="77777777" w:rsidR="00410071" w:rsidRPr="00E7421B" w:rsidRDefault="00410071" w:rsidP="00E7421B">
            <w:pPr>
              <w:pStyle w:val="TableText"/>
              <w:rPr>
                <w:b/>
                <w:bCs/>
              </w:rPr>
            </w:pPr>
            <w:r w:rsidRPr="00E7421B">
              <w:rPr>
                <w:b/>
                <w:bCs/>
              </w:rPr>
              <w:t>National total</w:t>
            </w:r>
          </w:p>
        </w:tc>
        <w:tc>
          <w:tcPr>
            <w:tcW w:w="1280" w:type="pct"/>
            <w:tcBorders>
              <w:top w:val="single" w:sz="4" w:space="0" w:color="A6A6A6"/>
              <w:bottom w:val="single" w:sz="4" w:space="0" w:color="A6A6A6"/>
            </w:tcBorders>
          </w:tcPr>
          <w:p w14:paraId="32F3C850" w14:textId="77777777" w:rsidR="00410071" w:rsidRPr="00E7421B" w:rsidRDefault="00410071" w:rsidP="00E7421B">
            <w:pPr>
              <w:pStyle w:val="TableText"/>
              <w:tabs>
                <w:tab w:val="decimal" w:pos="1173"/>
              </w:tabs>
              <w:rPr>
                <w:b/>
                <w:bCs/>
              </w:rPr>
            </w:pPr>
            <w:r w:rsidRPr="00E7421B">
              <w:rPr>
                <w:b/>
                <w:bCs/>
              </w:rPr>
              <w:t>167</w:t>
            </w:r>
          </w:p>
        </w:tc>
        <w:tc>
          <w:tcPr>
            <w:tcW w:w="1281" w:type="pct"/>
            <w:tcBorders>
              <w:top w:val="single" w:sz="4" w:space="0" w:color="A6A6A6"/>
              <w:bottom w:val="single" w:sz="4" w:space="0" w:color="A6A6A6"/>
            </w:tcBorders>
          </w:tcPr>
          <w:p w14:paraId="4D587828" w14:textId="77777777" w:rsidR="00410071" w:rsidRPr="00E7421B" w:rsidRDefault="00410071" w:rsidP="00E7421B">
            <w:pPr>
              <w:pStyle w:val="TableText"/>
              <w:tabs>
                <w:tab w:val="decimal" w:pos="1173"/>
              </w:tabs>
              <w:rPr>
                <w:b/>
                <w:bCs/>
              </w:rPr>
            </w:pPr>
            <w:r w:rsidRPr="00E7421B">
              <w:rPr>
                <w:b/>
                <w:bCs/>
              </w:rPr>
              <w:t>281</w:t>
            </w:r>
          </w:p>
        </w:tc>
        <w:tc>
          <w:tcPr>
            <w:tcW w:w="1281" w:type="pct"/>
            <w:tcBorders>
              <w:top w:val="single" w:sz="4" w:space="0" w:color="A6A6A6"/>
              <w:bottom w:val="single" w:sz="4" w:space="0" w:color="A6A6A6"/>
            </w:tcBorders>
          </w:tcPr>
          <w:p w14:paraId="5606813A" w14:textId="77777777" w:rsidR="00410071" w:rsidRPr="00E7421B" w:rsidRDefault="00410071" w:rsidP="00E7421B">
            <w:pPr>
              <w:pStyle w:val="TableText"/>
              <w:tabs>
                <w:tab w:val="decimal" w:pos="1173"/>
              </w:tabs>
              <w:rPr>
                <w:b/>
                <w:bCs/>
              </w:rPr>
            </w:pPr>
            <w:r w:rsidRPr="00E7421B">
              <w:rPr>
                <w:b/>
                <w:bCs/>
              </w:rPr>
              <w:t>438</w:t>
            </w:r>
          </w:p>
        </w:tc>
      </w:tr>
    </w:tbl>
    <w:p w14:paraId="3F9CFBDD" w14:textId="77777777" w:rsidR="0039221C" w:rsidRDefault="00410071" w:rsidP="00E7421B">
      <w:pPr>
        <w:pStyle w:val="Note"/>
      </w:pPr>
      <w:r w:rsidRPr="00200234">
        <w:t xml:space="preserve">Notes: EFC = extended forensic care; SFC = short-term forensic care. People are counted as special patients in more than one DHB when they receive treatment with more than one DHB. For this reason, the total of this data is higher than the national total. Due to their relatively small numbers of special patients, </w:t>
      </w:r>
      <w:r>
        <w:t>Hawke</w:t>
      </w:r>
      <w:r w:rsidR="0039221C">
        <w:t>’</w:t>
      </w:r>
      <w:r>
        <w:t xml:space="preserve">s Bay, MidCentral and </w:t>
      </w:r>
      <w:r w:rsidRPr="00200234">
        <w:t>Whanganui DHB</w:t>
      </w:r>
      <w:r>
        <w:t>s</w:t>
      </w:r>
      <w:r w:rsidRPr="00200234">
        <w:t xml:space="preserve"> </w:t>
      </w:r>
      <w:r>
        <w:t>are</w:t>
      </w:r>
      <w:r w:rsidRPr="00200234">
        <w:t xml:space="preserve"> included under Capital &amp; Coast DHB</w:t>
      </w:r>
      <w:r>
        <w:t>,</w:t>
      </w:r>
      <w:r w:rsidRPr="00200234">
        <w:t xml:space="preserve"> </w:t>
      </w:r>
      <w:r>
        <w:t xml:space="preserve">Taranaki DHB is included under Waikato DHB, </w:t>
      </w:r>
      <w:r w:rsidRPr="00200234">
        <w:t xml:space="preserve">and Nelson Marlborough DHB is included under Canterbury DHB. A patient may be represented under both the EFC and SFC categories in this </w:t>
      </w:r>
      <w:r>
        <w:t>table</w:t>
      </w:r>
      <w:r w:rsidRPr="00200234">
        <w:t>.</w:t>
      </w:r>
      <w:r>
        <w:t xml:space="preserve"> </w:t>
      </w:r>
      <w:r w:rsidRPr="00200234">
        <w:t>Under certain special patient orders, a court can direct treatment outside a regional forensic service. We have excluded this data because it involves only a few patients and it is necessary to protect patient confidentiality.</w:t>
      </w:r>
    </w:p>
    <w:p w14:paraId="04772315" w14:textId="77777777" w:rsidR="00410071" w:rsidRPr="00200234" w:rsidRDefault="00410071" w:rsidP="00E7421B">
      <w:pPr>
        <w:pStyle w:val="Source"/>
      </w:pPr>
      <w:r w:rsidRPr="00200234">
        <w:t xml:space="preserve">Source: PRIMHD </w:t>
      </w:r>
      <w:r>
        <w:t>data (extracted</w:t>
      </w:r>
      <w:r w:rsidRPr="00200234">
        <w:t xml:space="preserve"> </w:t>
      </w:r>
      <w:r>
        <w:t>1 July 2021)</w:t>
      </w:r>
      <w:r w:rsidRPr="00200234">
        <w:t>.</w:t>
      </w:r>
    </w:p>
    <w:p w14:paraId="69898F47" w14:textId="77777777" w:rsidR="00E7421B" w:rsidRPr="00200234" w:rsidRDefault="00E7421B" w:rsidP="00E7421B"/>
    <w:p w14:paraId="5D4A8EE7" w14:textId="22C2CBE8" w:rsidR="00410071" w:rsidRDefault="00410071" w:rsidP="00E7421B">
      <w:pPr>
        <w:pStyle w:val="Figure"/>
      </w:pPr>
      <w:bookmarkStart w:id="341" w:name="_Ref65672426"/>
      <w:bookmarkStart w:id="342" w:name="_Toc63764783"/>
      <w:bookmarkStart w:id="343" w:name="_Toc75176498"/>
      <w:bookmarkStart w:id="344" w:name="_Toc85442590"/>
      <w:bookmarkStart w:id="345" w:name="_Toc85445939"/>
      <w:bookmarkStart w:id="346" w:name="_Toc87429983"/>
      <w:bookmarkStart w:id="347" w:name="_Toc88561415"/>
      <w:r>
        <w:lastRenderedPageBreak/>
        <w:t>Figure</w:t>
      </w:r>
      <w:r w:rsidR="00E7421B">
        <w:t> </w:t>
      </w:r>
      <w:r w:rsidR="00592799">
        <w:fldChar w:fldCharType="begin"/>
      </w:r>
      <w:r w:rsidR="00592799">
        <w:instrText xml:space="preserve"> SEQ Figure \* ARABIC </w:instrText>
      </w:r>
      <w:r w:rsidR="00592799">
        <w:fldChar w:fldCharType="separate"/>
      </w:r>
      <w:r w:rsidR="00840F18">
        <w:rPr>
          <w:noProof/>
        </w:rPr>
        <w:t>34</w:t>
      </w:r>
      <w:r w:rsidR="00592799">
        <w:rPr>
          <w:noProof/>
        </w:rPr>
        <w:fldChar w:fldCharType="end"/>
      </w:r>
      <w:bookmarkEnd w:id="341"/>
      <w:r w:rsidRPr="00200234">
        <w:t>: Percentage of court orders given for extended forensic care relative to short-term forensic care legal statuses, by DHB, 1 January to 31 December 20</w:t>
      </w:r>
      <w:bookmarkEnd w:id="342"/>
      <w:r>
        <w:t>20</w:t>
      </w:r>
      <w:bookmarkEnd w:id="343"/>
      <w:bookmarkEnd w:id="344"/>
      <w:bookmarkEnd w:id="345"/>
      <w:bookmarkEnd w:id="346"/>
      <w:bookmarkEnd w:id="347"/>
    </w:p>
    <w:p w14:paraId="10591447" w14:textId="77777777" w:rsidR="00410071" w:rsidRPr="00702412" w:rsidRDefault="00410071" w:rsidP="00410071">
      <w:r w:rsidRPr="0061714F">
        <w:rPr>
          <w:noProof/>
          <w:color w:val="FFFFFF" w:themeColor="background1"/>
          <w:lang w:eastAsia="en-NZ"/>
        </w:rPr>
        <w:drawing>
          <wp:inline distT="0" distB="0" distL="0" distR="0" wp14:anchorId="7D25FA29" wp14:editId="41297487">
            <wp:extent cx="5004261" cy="3000894"/>
            <wp:effectExtent l="0" t="0" r="6350" b="0"/>
            <wp:docPr id="36" name="Chart 36" descr="This bar graph shows that in 2020, extended forensic care made up under 15% of the special patients at Canterbury, about 30% of special patients at Capital &amp; Coast, 23% in Southern, 18% in Waikato and 16% in Waitematā. The balance in all DHBs is short-term forensic care special patients.">
              <a:extLst xmlns:a="http://schemas.openxmlformats.org/drawingml/2006/main">
                <a:ext uri="{FF2B5EF4-FFF2-40B4-BE49-F238E27FC236}">
                  <a16:creationId xmlns:a16="http://schemas.microsoft.com/office/drawing/2014/main" id="{D6F9DE48-3E81-4858-B02D-F10F7707E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46BB1E6" w14:textId="77777777" w:rsidR="0039221C" w:rsidRDefault="00410071" w:rsidP="00E7421B">
      <w:pPr>
        <w:pStyle w:val="Note"/>
      </w:pPr>
      <w:r w:rsidRPr="00200234">
        <w:t>Note</w:t>
      </w:r>
      <w:r>
        <w:t>s</w:t>
      </w:r>
      <w:r w:rsidRPr="00200234">
        <w:t>: Unlike previous data in this section, the data in this figure is based on a count of court orders for legal statuses rather than a count of people with a special patient legal status. One special patient may have many court orders for their legal status in the year, which could include both extended forensic care (EFC) and short-term forensic care (SFC), but each special patient</w:t>
      </w:r>
      <w:r w:rsidR="0039221C">
        <w:t>’</w:t>
      </w:r>
      <w:r w:rsidRPr="00200234">
        <w:t xml:space="preserve">s legal status can only be in one category at any one time – EFC or SFC. Please use caution when comparing the counts of court orders for legal status with the counts of people with either EFC or SFC legal status. Due to their relatively small numbers of special patients, </w:t>
      </w:r>
      <w:r>
        <w:t>Hawke</w:t>
      </w:r>
      <w:r w:rsidR="0039221C">
        <w:t>’</w:t>
      </w:r>
      <w:r>
        <w:t xml:space="preserve">s Bay, MidCentral and </w:t>
      </w:r>
      <w:r w:rsidRPr="00200234">
        <w:t>Whanganui DHB</w:t>
      </w:r>
      <w:r>
        <w:t>s</w:t>
      </w:r>
      <w:r w:rsidRPr="00200234">
        <w:t xml:space="preserve"> </w:t>
      </w:r>
      <w:r>
        <w:t>are</w:t>
      </w:r>
      <w:r w:rsidRPr="00200234">
        <w:t xml:space="preserve"> included under Capital &amp; Coast DHB</w:t>
      </w:r>
      <w:r>
        <w:t>,</w:t>
      </w:r>
      <w:r w:rsidRPr="00200234">
        <w:t xml:space="preserve"> </w:t>
      </w:r>
      <w:r>
        <w:t xml:space="preserve">Taranaki DHB is included under Waikato DHB, </w:t>
      </w:r>
      <w:r w:rsidRPr="00200234">
        <w:t>and Nelson Marlborough DHB is included under Canterbury DHB.</w:t>
      </w:r>
    </w:p>
    <w:p w14:paraId="729490AE" w14:textId="77777777" w:rsidR="00410071" w:rsidRPr="00200234" w:rsidRDefault="00410071" w:rsidP="00E7421B">
      <w:pPr>
        <w:pStyle w:val="Source"/>
      </w:pPr>
      <w:r w:rsidRPr="00200234">
        <w:t xml:space="preserve">Source: PRIMHD </w:t>
      </w:r>
      <w:r w:rsidRPr="00F3393F">
        <w:t>data</w:t>
      </w:r>
      <w:r>
        <w:t xml:space="preserve"> (extracted</w:t>
      </w:r>
      <w:r w:rsidRPr="00200234">
        <w:t xml:space="preserve"> </w:t>
      </w:r>
      <w:r>
        <w:t>1 July 2021)</w:t>
      </w:r>
      <w:r w:rsidRPr="00200234">
        <w:t>.</w:t>
      </w:r>
    </w:p>
    <w:p w14:paraId="487F5208" w14:textId="77777777" w:rsidR="00410071" w:rsidRPr="00200234" w:rsidRDefault="00410071" w:rsidP="00E7421B"/>
    <w:p w14:paraId="577AC942" w14:textId="77777777" w:rsidR="00410071" w:rsidRPr="00200234" w:rsidRDefault="00410071" w:rsidP="00E7421B">
      <w:pPr>
        <w:pStyle w:val="Heading2"/>
      </w:pPr>
      <w:bookmarkStart w:id="348" w:name="_Toc65141630"/>
      <w:bookmarkStart w:id="349" w:name="_Toc75176454"/>
      <w:bookmarkStart w:id="350" w:name="_Toc87429921"/>
      <w:bookmarkStart w:id="351" w:name="_Toc88826969"/>
      <w:r w:rsidRPr="00200234">
        <w:lastRenderedPageBreak/>
        <w:t>Sex, age and ethnicity of special patients</w:t>
      </w:r>
      <w:bookmarkEnd w:id="348"/>
      <w:bookmarkEnd w:id="349"/>
      <w:r>
        <w:t xml:space="preserve"> in 2020</w:t>
      </w:r>
      <w:bookmarkEnd w:id="350"/>
      <w:bookmarkEnd w:id="351"/>
    </w:p>
    <w:p w14:paraId="1C87C657" w14:textId="23FF4AE1" w:rsidR="00410071" w:rsidRDefault="00410071" w:rsidP="00E7421B">
      <w:pPr>
        <w:keepNext/>
      </w:pPr>
      <w:r>
        <w:t>Special</w:t>
      </w:r>
      <w:r w:rsidRPr="00200234">
        <w:t xml:space="preserve"> patients were </w:t>
      </w:r>
      <w:r>
        <w:t xml:space="preserve">more than </w:t>
      </w:r>
      <w:r w:rsidRPr="00200234">
        <w:t>five times more likely to be male (</w:t>
      </w:r>
      <w:r>
        <w:t>86</w:t>
      </w:r>
      <w:r w:rsidRPr="00200234">
        <w:t xml:space="preserve"> percent) than female (</w:t>
      </w:r>
      <w:r>
        <w:t>14 </w:t>
      </w:r>
      <w:r w:rsidRPr="00200234">
        <w:t>percent)</w:t>
      </w:r>
      <w:r>
        <w:t xml:space="preserve"> (see </w:t>
      </w:r>
      <w:r>
        <w:fldChar w:fldCharType="begin"/>
      </w:r>
      <w:r>
        <w:instrText xml:space="preserve"> REF _Ref84315086 \h  \* MERGEFORMAT </w:instrText>
      </w:r>
      <w:r>
        <w:fldChar w:fldCharType="separate"/>
      </w:r>
      <w:r w:rsidR="00840F18">
        <w:t>Figure 35</w:t>
      </w:r>
      <w:r>
        <w:fldChar w:fldCharType="end"/>
      </w:r>
      <w:r>
        <w:t>)</w:t>
      </w:r>
      <w:r w:rsidRPr="00200234">
        <w:t>. The most common age group in 20</w:t>
      </w:r>
      <w:r>
        <w:t>20</w:t>
      </w:r>
      <w:r w:rsidRPr="00200234">
        <w:t xml:space="preserve"> for special patients was </w:t>
      </w:r>
      <w:r>
        <w:t>30</w:t>
      </w:r>
      <w:r w:rsidRPr="00200234">
        <w:t>–</w:t>
      </w:r>
      <w:r>
        <w:t>34</w:t>
      </w:r>
      <w:r w:rsidRPr="00200234">
        <w:t xml:space="preserve"> years old (see </w:t>
      </w:r>
      <w:r w:rsidR="00E7421B">
        <w:fldChar w:fldCharType="begin"/>
      </w:r>
      <w:r w:rsidR="00E7421B">
        <w:instrText xml:space="preserve"> REF _Ref88550576 \h </w:instrText>
      </w:r>
      <w:r w:rsidR="00E7421B">
        <w:fldChar w:fldCharType="separate"/>
      </w:r>
      <w:r w:rsidR="00840F18">
        <w:t>Figure </w:t>
      </w:r>
      <w:r w:rsidR="00840F18">
        <w:rPr>
          <w:noProof/>
        </w:rPr>
        <w:t>36</w:t>
      </w:r>
      <w:r w:rsidR="00E7421B">
        <w:fldChar w:fldCharType="end"/>
      </w:r>
      <w:r w:rsidR="00E7421B">
        <w:t>).</w:t>
      </w:r>
    </w:p>
    <w:p w14:paraId="1FD0B786" w14:textId="77777777" w:rsidR="00E7421B" w:rsidRDefault="00E7421B" w:rsidP="00E7421B">
      <w:pPr>
        <w:keepNext/>
      </w:pPr>
    </w:p>
    <w:p w14:paraId="251D40D6" w14:textId="40AB6900" w:rsidR="00410071" w:rsidRDefault="00410071" w:rsidP="00E7421B">
      <w:pPr>
        <w:pStyle w:val="Figure"/>
      </w:pPr>
      <w:bookmarkStart w:id="352" w:name="_Ref84315086"/>
      <w:bookmarkStart w:id="353" w:name="_Ref84315078"/>
      <w:bookmarkStart w:id="354" w:name="_Toc85442591"/>
      <w:bookmarkStart w:id="355" w:name="_Toc85445940"/>
      <w:bookmarkStart w:id="356" w:name="_Toc87429984"/>
      <w:bookmarkStart w:id="357" w:name="_Toc88561416"/>
      <w:r>
        <w:t>Figure</w:t>
      </w:r>
      <w:r w:rsidR="00E7421B">
        <w:t> </w:t>
      </w:r>
      <w:r w:rsidR="00592799">
        <w:fldChar w:fldCharType="begin"/>
      </w:r>
      <w:r w:rsidR="00592799">
        <w:instrText xml:space="preserve"> SEQ Figure \* ARABIC </w:instrText>
      </w:r>
      <w:r w:rsidR="00592799">
        <w:fldChar w:fldCharType="separate"/>
      </w:r>
      <w:r w:rsidR="00840F18">
        <w:rPr>
          <w:noProof/>
        </w:rPr>
        <w:t>35</w:t>
      </w:r>
      <w:r w:rsidR="00592799">
        <w:rPr>
          <w:noProof/>
        </w:rPr>
        <w:fldChar w:fldCharType="end"/>
      </w:r>
      <w:bookmarkEnd w:id="352"/>
      <w:r w:rsidRPr="00200234">
        <w:t xml:space="preserve">: </w:t>
      </w:r>
      <w:r>
        <w:t>Number</w:t>
      </w:r>
      <w:r w:rsidRPr="00200234">
        <w:t xml:space="preserve"> of special patients, by </w:t>
      </w:r>
      <w:r>
        <w:t>sex</w:t>
      </w:r>
      <w:r w:rsidRPr="00200234">
        <w:t>, 1 January to 31 December 20</w:t>
      </w:r>
      <w:r>
        <w:t>20</w:t>
      </w:r>
      <w:bookmarkEnd w:id="353"/>
      <w:bookmarkEnd w:id="354"/>
      <w:bookmarkEnd w:id="355"/>
      <w:bookmarkEnd w:id="356"/>
      <w:bookmarkEnd w:id="357"/>
    </w:p>
    <w:p w14:paraId="6E4D0B36" w14:textId="77777777" w:rsidR="00410071" w:rsidRDefault="00410071" w:rsidP="00410071">
      <w:r>
        <w:rPr>
          <w:noProof/>
          <w:lang w:eastAsia="en-NZ"/>
        </w:rPr>
        <w:drawing>
          <wp:inline distT="0" distB="0" distL="0" distR="0" wp14:anchorId="18346ADF" wp14:editId="3BE4E4A5">
            <wp:extent cx="3541222" cy="2518757"/>
            <wp:effectExtent l="0" t="0" r="2540" b="0"/>
            <wp:docPr id="38" name="Chart 38" descr="This bar graph shows 375 males and 63 females were special patients in 2020.">
              <a:extLst xmlns:a="http://schemas.openxmlformats.org/drawingml/2006/main">
                <a:ext uri="{FF2B5EF4-FFF2-40B4-BE49-F238E27FC236}">
                  <a16:creationId xmlns:a16="http://schemas.microsoft.com/office/drawing/2014/main" id="{00000000-0008-0000-0B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CB3FCAC" w14:textId="77777777" w:rsidR="00410071" w:rsidRDefault="00410071" w:rsidP="00E7421B">
      <w:pPr>
        <w:pStyle w:val="Source"/>
      </w:pPr>
      <w:r w:rsidRPr="00200234">
        <w:t xml:space="preserve">Source: PRIMHD </w:t>
      </w:r>
      <w:r w:rsidRPr="00F3393F">
        <w:t>data</w:t>
      </w:r>
      <w:r>
        <w:t xml:space="preserve"> (extracted</w:t>
      </w:r>
      <w:r w:rsidRPr="00200234">
        <w:t xml:space="preserve"> </w:t>
      </w:r>
      <w:r>
        <w:t>1 July 2021)</w:t>
      </w:r>
      <w:r w:rsidRPr="00200234">
        <w:t>.</w:t>
      </w:r>
      <w:bookmarkStart w:id="358" w:name="_Ref65672441"/>
      <w:bookmarkStart w:id="359" w:name="_Toc63764785"/>
      <w:bookmarkStart w:id="360" w:name="_Toc75176499"/>
    </w:p>
    <w:p w14:paraId="3FF1153F" w14:textId="77777777" w:rsidR="00E7421B" w:rsidRPr="00E7421B" w:rsidRDefault="00E7421B" w:rsidP="00E7421B"/>
    <w:p w14:paraId="1EC8E5A9" w14:textId="73EEA970" w:rsidR="00410071" w:rsidRDefault="00410071" w:rsidP="00E7421B">
      <w:pPr>
        <w:pStyle w:val="Figure"/>
      </w:pPr>
      <w:bookmarkStart w:id="361" w:name="_Ref88550576"/>
      <w:bookmarkStart w:id="362" w:name="_Toc85442592"/>
      <w:bookmarkStart w:id="363" w:name="_Toc85445941"/>
      <w:bookmarkStart w:id="364" w:name="_Toc87429985"/>
      <w:bookmarkStart w:id="365" w:name="_Toc88561417"/>
      <w:r>
        <w:t>Figure</w:t>
      </w:r>
      <w:r w:rsidR="00E7421B">
        <w:t> </w:t>
      </w:r>
      <w:r w:rsidR="00592799">
        <w:fldChar w:fldCharType="begin"/>
      </w:r>
      <w:r w:rsidR="00592799">
        <w:instrText xml:space="preserve"> SEQ Figure \* ARABIC </w:instrText>
      </w:r>
      <w:r w:rsidR="00592799">
        <w:fldChar w:fldCharType="separate"/>
      </w:r>
      <w:r w:rsidR="00840F18">
        <w:rPr>
          <w:noProof/>
        </w:rPr>
        <w:t>36</w:t>
      </w:r>
      <w:r w:rsidR="00592799">
        <w:rPr>
          <w:noProof/>
        </w:rPr>
        <w:fldChar w:fldCharType="end"/>
      </w:r>
      <w:bookmarkEnd w:id="358"/>
      <w:bookmarkEnd w:id="361"/>
      <w:r w:rsidRPr="00200234">
        <w:t>: Total number of special patients, by age group, 1 January to 31 December 20</w:t>
      </w:r>
      <w:bookmarkEnd w:id="359"/>
      <w:r>
        <w:t>20</w:t>
      </w:r>
      <w:bookmarkEnd w:id="360"/>
      <w:bookmarkEnd w:id="362"/>
      <w:bookmarkEnd w:id="363"/>
      <w:bookmarkEnd w:id="364"/>
      <w:bookmarkEnd w:id="365"/>
    </w:p>
    <w:p w14:paraId="1C1F3AB8" w14:textId="77777777" w:rsidR="00410071" w:rsidRPr="006363A4" w:rsidRDefault="00410071" w:rsidP="00410071">
      <w:r>
        <w:rPr>
          <w:noProof/>
          <w:lang w:eastAsia="en-NZ"/>
        </w:rPr>
        <w:drawing>
          <wp:inline distT="0" distB="0" distL="0" distR="0" wp14:anchorId="1C75D051" wp14:editId="381D363E">
            <wp:extent cx="4939665" cy="3114675"/>
            <wp:effectExtent l="0" t="0" r="0" b="0"/>
            <wp:docPr id="41" name="Chart 41" descr="This bar graph shows that in 2020, about 26 special patients were under age 20, about 54 were between 20 and 24, about 64 were 25-29, about 70 were 30-34, about 46 were 35-39 and 47 were 40-44, about 39 were 45-49, about 46 were 50-54, 20 were 55-59, about 14 were 60-64 and about 12 were over 65.">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51C72C4" w14:textId="77777777" w:rsidR="00410071" w:rsidRDefault="00410071" w:rsidP="00E7421B">
      <w:pPr>
        <w:pStyle w:val="Source"/>
      </w:pPr>
      <w:r w:rsidRPr="00200234">
        <w:t xml:space="preserve">Source: PRIMHD </w:t>
      </w:r>
      <w:r w:rsidRPr="00F3393F">
        <w:t>data</w:t>
      </w:r>
      <w:r>
        <w:t xml:space="preserve"> (extracted</w:t>
      </w:r>
      <w:r w:rsidRPr="00200234">
        <w:t xml:space="preserve"> </w:t>
      </w:r>
      <w:r>
        <w:t>1 July 2021)</w:t>
      </w:r>
      <w:r w:rsidRPr="00200234">
        <w:t>.</w:t>
      </w:r>
    </w:p>
    <w:p w14:paraId="5F6BC5CF" w14:textId="77777777" w:rsidR="00410071" w:rsidRDefault="00410071" w:rsidP="00E7421B"/>
    <w:p w14:paraId="449072BC" w14:textId="450F45CE" w:rsidR="0039221C" w:rsidRDefault="00410071" w:rsidP="008E5A9E">
      <w:r>
        <w:lastRenderedPageBreak/>
        <w:t>The</w:t>
      </w:r>
      <w:r w:rsidRPr="00200234">
        <w:t xml:space="preserve"> ethnic group with the highest proportion of people subject to a special patient order was Māori (</w:t>
      </w:r>
      <w:r>
        <w:t>54</w:t>
      </w:r>
      <w:r w:rsidRPr="00200234">
        <w:t xml:space="preserve"> percent) (see </w:t>
      </w:r>
      <w:r w:rsidRPr="00200234">
        <w:fldChar w:fldCharType="begin"/>
      </w:r>
      <w:r w:rsidRPr="00200234">
        <w:instrText xml:space="preserve"> REF _Ref65672461 \h </w:instrText>
      </w:r>
      <w:r w:rsidRPr="00200234">
        <w:fldChar w:fldCharType="separate"/>
      </w:r>
      <w:r w:rsidR="00840F18">
        <w:t>Figure </w:t>
      </w:r>
      <w:r w:rsidR="00840F18">
        <w:rPr>
          <w:noProof/>
        </w:rPr>
        <w:t>37</w:t>
      </w:r>
      <w:r w:rsidRPr="00200234">
        <w:fldChar w:fldCharType="end"/>
      </w:r>
      <w:r w:rsidRPr="00200234">
        <w:t>). Māori represented the highest proportion of both extended forensic care (</w:t>
      </w:r>
      <w:r>
        <w:t>43</w:t>
      </w:r>
      <w:r w:rsidRPr="00200234">
        <w:t xml:space="preserve"> percent) and short-term forensic care (</w:t>
      </w:r>
      <w:r>
        <w:t>60</w:t>
      </w:r>
      <w:r w:rsidRPr="00200234">
        <w:t xml:space="preserve"> percent) special patients. </w:t>
      </w:r>
      <w:r w:rsidRPr="00200234">
        <w:fldChar w:fldCharType="begin"/>
      </w:r>
      <w:r w:rsidRPr="00200234">
        <w:instrText xml:space="preserve"> REF _Ref65672513 \h </w:instrText>
      </w:r>
      <w:r w:rsidRPr="00200234">
        <w:fldChar w:fldCharType="separate"/>
      </w:r>
      <w:r w:rsidR="00840F18">
        <w:t>Figure </w:t>
      </w:r>
      <w:r w:rsidR="00840F18">
        <w:rPr>
          <w:noProof/>
        </w:rPr>
        <w:t>38</w:t>
      </w:r>
      <w:r w:rsidRPr="00200234">
        <w:fldChar w:fldCharType="end"/>
      </w:r>
      <w:r w:rsidRPr="00200234">
        <w:t xml:space="preserve"> shows the number of special patients in each ethnic group for each of these types of forensic care</w:t>
      </w:r>
      <w:r>
        <w:t>.</w:t>
      </w:r>
    </w:p>
    <w:p w14:paraId="748E7CA5" w14:textId="77777777" w:rsidR="00410071" w:rsidRPr="00200234" w:rsidRDefault="00410071" w:rsidP="008E5A9E"/>
    <w:p w14:paraId="1950CACB" w14:textId="1C6BE994" w:rsidR="00410071" w:rsidRDefault="00410071" w:rsidP="008E5A9E">
      <w:pPr>
        <w:pStyle w:val="Figure"/>
      </w:pPr>
      <w:bookmarkStart w:id="366" w:name="_Ref65672461"/>
      <w:bookmarkStart w:id="367" w:name="_Toc63764787"/>
      <w:bookmarkStart w:id="368" w:name="_Toc75176500"/>
      <w:bookmarkStart w:id="369" w:name="_Toc85442593"/>
      <w:bookmarkStart w:id="370" w:name="_Toc85445942"/>
      <w:bookmarkStart w:id="371" w:name="_Toc87429986"/>
      <w:bookmarkStart w:id="372" w:name="_Toc88561418"/>
      <w:r>
        <w:t>Figure</w:t>
      </w:r>
      <w:r w:rsidR="008E5A9E">
        <w:t> </w:t>
      </w:r>
      <w:r w:rsidR="00592799">
        <w:fldChar w:fldCharType="begin"/>
      </w:r>
      <w:r w:rsidR="00592799">
        <w:instrText xml:space="preserve"> SEQ Figure \* ARABIC </w:instrText>
      </w:r>
      <w:r w:rsidR="00592799">
        <w:fldChar w:fldCharType="separate"/>
      </w:r>
      <w:r w:rsidR="00840F18">
        <w:rPr>
          <w:noProof/>
        </w:rPr>
        <w:t>37</w:t>
      </w:r>
      <w:r w:rsidR="00592799">
        <w:rPr>
          <w:noProof/>
        </w:rPr>
        <w:fldChar w:fldCharType="end"/>
      </w:r>
      <w:bookmarkEnd w:id="366"/>
      <w:r w:rsidRPr="00200234">
        <w:t>: Percentage of special patients, by ethnicity, 1 January to 31 December 20</w:t>
      </w:r>
      <w:bookmarkEnd w:id="367"/>
      <w:r>
        <w:t>20</w:t>
      </w:r>
      <w:bookmarkEnd w:id="368"/>
      <w:bookmarkEnd w:id="369"/>
      <w:bookmarkEnd w:id="370"/>
      <w:bookmarkEnd w:id="371"/>
      <w:bookmarkEnd w:id="372"/>
    </w:p>
    <w:p w14:paraId="4B80832B" w14:textId="77777777" w:rsidR="00410071" w:rsidRDefault="00410071" w:rsidP="00410071">
      <w:pPr>
        <w:pStyle w:val="Note"/>
      </w:pPr>
      <w:r>
        <w:rPr>
          <w:noProof/>
          <w:lang w:eastAsia="en-NZ"/>
        </w:rPr>
        <w:drawing>
          <wp:inline distT="0" distB="0" distL="0" distR="0" wp14:anchorId="29E930F9" wp14:editId="2B8877D7">
            <wp:extent cx="4422370" cy="2734887"/>
            <wp:effectExtent l="0" t="0" r="0" b="8890"/>
            <wp:docPr id="49" name="Chart 49" descr="This bar graph shows that in 2020, 54% of special patients were Māori, 11% were Pacific peoples, 3% were Asian and 31% were of other ethnicities.">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C34F605" w14:textId="77777777" w:rsidR="00410071" w:rsidRPr="00200234" w:rsidRDefault="00410071" w:rsidP="008E5A9E">
      <w:pPr>
        <w:pStyle w:val="Source"/>
      </w:pPr>
      <w:r w:rsidRPr="00200234">
        <w:t xml:space="preserve">Source: PRIMHD </w:t>
      </w:r>
      <w:r w:rsidRPr="00F3393F">
        <w:t>data</w:t>
      </w:r>
      <w:r>
        <w:t xml:space="preserve"> (extracted</w:t>
      </w:r>
      <w:r w:rsidRPr="00200234">
        <w:t xml:space="preserve"> </w:t>
      </w:r>
      <w:r>
        <w:t>1 July 2021)</w:t>
      </w:r>
      <w:r w:rsidRPr="00200234">
        <w:t>.</w:t>
      </w:r>
    </w:p>
    <w:p w14:paraId="36CED8C9" w14:textId="77777777" w:rsidR="00410071" w:rsidRPr="00200234" w:rsidRDefault="00410071" w:rsidP="008E5A9E"/>
    <w:p w14:paraId="385F6EFC" w14:textId="7AB5DBEE" w:rsidR="00410071" w:rsidRDefault="00410071" w:rsidP="008E5A9E">
      <w:pPr>
        <w:pStyle w:val="Figure"/>
      </w:pPr>
      <w:bookmarkStart w:id="373" w:name="_Ref65672513"/>
      <w:bookmarkStart w:id="374" w:name="_Toc63764789"/>
      <w:bookmarkStart w:id="375" w:name="_Toc75176501"/>
      <w:bookmarkStart w:id="376" w:name="_Toc85442594"/>
      <w:bookmarkStart w:id="377" w:name="_Toc85445943"/>
      <w:bookmarkStart w:id="378" w:name="_Toc87429987"/>
      <w:bookmarkStart w:id="379" w:name="_Toc88561419"/>
      <w:r>
        <w:t>Figure</w:t>
      </w:r>
      <w:r w:rsidR="008E5A9E">
        <w:t> </w:t>
      </w:r>
      <w:r w:rsidR="00592799">
        <w:fldChar w:fldCharType="begin"/>
      </w:r>
      <w:r w:rsidR="00592799">
        <w:instrText xml:space="preserve"> SEQ Figure \* ARABIC </w:instrText>
      </w:r>
      <w:r w:rsidR="00592799">
        <w:fldChar w:fldCharType="separate"/>
      </w:r>
      <w:r w:rsidR="00840F18">
        <w:rPr>
          <w:noProof/>
        </w:rPr>
        <w:t>38</w:t>
      </w:r>
      <w:r w:rsidR="00592799">
        <w:rPr>
          <w:noProof/>
        </w:rPr>
        <w:fldChar w:fldCharType="end"/>
      </w:r>
      <w:bookmarkEnd w:id="373"/>
      <w:r w:rsidRPr="00200234">
        <w:t>: Number of special patients, by ethnicity and special patient type, 1 January to 31 December 20</w:t>
      </w:r>
      <w:bookmarkEnd w:id="374"/>
      <w:r>
        <w:t>20</w:t>
      </w:r>
      <w:bookmarkEnd w:id="375"/>
      <w:bookmarkEnd w:id="376"/>
      <w:bookmarkEnd w:id="377"/>
      <w:bookmarkEnd w:id="378"/>
      <w:bookmarkEnd w:id="379"/>
    </w:p>
    <w:p w14:paraId="40319CD4" w14:textId="77777777" w:rsidR="00410071" w:rsidRPr="001C0BB4" w:rsidRDefault="00410071" w:rsidP="00410071">
      <w:r>
        <w:rPr>
          <w:noProof/>
          <w:lang w:eastAsia="en-NZ"/>
        </w:rPr>
        <w:drawing>
          <wp:inline distT="0" distB="0" distL="0" distR="0" wp14:anchorId="4EACABF0" wp14:editId="0725EB90">
            <wp:extent cx="5245330" cy="2984269"/>
            <wp:effectExtent l="0" t="0" r="0" b="6985"/>
            <wp:docPr id="50" name="Chart 50" descr="This bar graph shows that in 2020, 238 special patients were Māori, with 72 being extended forensic care and 170 being short-term. 49 special patients were Pacific peoples, with 23 being extended forensic care and 27 being short-term. 15 special patients were Asian, with 7 being extended forensic care and 9 being short-term. 136 special patients were of other ethnicities, with 65 being extended forensic care and 75 being short-term.">
              <a:extLst xmlns:a="http://schemas.openxmlformats.org/drawingml/2006/main">
                <a:ext uri="{FF2B5EF4-FFF2-40B4-BE49-F238E27FC236}">
                  <a16:creationId xmlns:a16="http://schemas.microsoft.com/office/drawing/2014/main" id="{00000000-0008-0000-0B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A5A3E57" w14:textId="77777777" w:rsidR="00410071" w:rsidRPr="00200234" w:rsidRDefault="00410071" w:rsidP="008E5A9E">
      <w:pPr>
        <w:pStyle w:val="Note"/>
      </w:pPr>
      <w:r w:rsidRPr="00200234">
        <w:t xml:space="preserve">Notes: EFC = extended forensic care; SFC = short-term forensic care. A </w:t>
      </w:r>
      <w:r>
        <w:t xml:space="preserve">single </w:t>
      </w:r>
      <w:r w:rsidRPr="00200234">
        <w:t>patient may be represented under both the EFC and SFC categories in this graph.</w:t>
      </w:r>
    </w:p>
    <w:p w14:paraId="03167AD5" w14:textId="77777777" w:rsidR="00410071" w:rsidRDefault="00410071" w:rsidP="008E5A9E">
      <w:pPr>
        <w:pStyle w:val="Source"/>
      </w:pPr>
      <w:r w:rsidRPr="00200234">
        <w:t xml:space="preserve">Source: PRIMHD </w:t>
      </w:r>
      <w:r w:rsidRPr="00F3393F">
        <w:t>data</w:t>
      </w:r>
      <w:r>
        <w:t xml:space="preserve"> (extracted</w:t>
      </w:r>
      <w:r w:rsidRPr="00200234">
        <w:t xml:space="preserve"> </w:t>
      </w:r>
      <w:r>
        <w:t>1 July 2021)</w:t>
      </w:r>
      <w:r w:rsidRPr="00200234">
        <w:t>.</w:t>
      </w:r>
      <w:bookmarkStart w:id="380" w:name="_Toc65141631"/>
      <w:bookmarkStart w:id="381" w:name="_Toc75176455"/>
    </w:p>
    <w:p w14:paraId="1072EE16" w14:textId="77777777" w:rsidR="00410071" w:rsidRDefault="00410071" w:rsidP="008E5A9E"/>
    <w:p w14:paraId="24247805" w14:textId="77777777" w:rsidR="00410071" w:rsidRPr="00200234" w:rsidRDefault="00410071" w:rsidP="008E5A9E">
      <w:pPr>
        <w:pStyle w:val="Heading2"/>
      </w:pPr>
      <w:bookmarkStart w:id="382" w:name="_Toc87429922"/>
      <w:bookmarkStart w:id="383" w:name="_Toc88826970"/>
      <w:r w:rsidRPr="00200234">
        <w:lastRenderedPageBreak/>
        <w:t>Decisions about leave and change of legal status for special and restricted patients</w:t>
      </w:r>
      <w:bookmarkEnd w:id="380"/>
      <w:bookmarkEnd w:id="381"/>
      <w:bookmarkEnd w:id="382"/>
      <w:bookmarkEnd w:id="383"/>
    </w:p>
    <w:p w14:paraId="261D20E0" w14:textId="77777777" w:rsidR="00410071" w:rsidRPr="00200234" w:rsidRDefault="00410071" w:rsidP="008E5A9E">
      <w:r w:rsidRPr="00200234">
        <w:t xml:space="preserve">The Director of Mental Health </w:t>
      </w:r>
      <w:r>
        <w:t xml:space="preserve">(the Director) </w:t>
      </w:r>
      <w:r w:rsidRPr="00200234">
        <w:t>has a central role in managing special patients and restricted patients. The Director must be notified of the admission, discharge or transfer of special and restricted patients and certain incidents involving these people (section 43 of the Mental Health Act). The Director may authorise the transfer of patients between DHBs under section 49 of the Mental Health Act or grant leave for any period no longer than seven days for certain special and restricted patients (section 52).</w:t>
      </w:r>
    </w:p>
    <w:p w14:paraId="4682E8AC" w14:textId="77777777" w:rsidR="00410071" w:rsidRPr="00200234" w:rsidRDefault="00410071" w:rsidP="008E5A9E"/>
    <w:p w14:paraId="2724EA46" w14:textId="77777777" w:rsidR="00410071" w:rsidRPr="00200234" w:rsidRDefault="00410071" w:rsidP="008E5A9E">
      <w:r w:rsidRPr="00200234">
        <w:t>Under section 50 of the Mental Health Act, the Minister of Health can grant periods of leave for longer than seven days to certain categories of special patients. The Director briefs the Minister of Health when requests for leave are made. The first period of ministerial section 50 leave is usually granted for a period of six months, with the possibility of further applications for ministerial leave for a period of 12 months.</w:t>
      </w:r>
    </w:p>
    <w:p w14:paraId="4E3C4676" w14:textId="77777777" w:rsidR="00410071" w:rsidRPr="00200234" w:rsidRDefault="00410071" w:rsidP="008E5A9E"/>
    <w:p w14:paraId="7967FE32" w14:textId="77777777" w:rsidR="00410071" w:rsidRPr="00200234" w:rsidRDefault="00410071" w:rsidP="008E5A9E">
      <w:r>
        <w:t>A s</w:t>
      </w:r>
      <w:r w:rsidRPr="00200234">
        <w:t xml:space="preserve">pecial patient found not guilty by reason of insanity may be considered for a change of legal status if it is determined that their detention as a special patient is no longer necessary to safeguard the interests of </w:t>
      </w:r>
      <w:r>
        <w:t>themselves</w:t>
      </w:r>
      <w:r w:rsidRPr="00200234">
        <w:t xml:space="preserve"> or the public. This will usually occur after the person has been living successfully in the community on ministerial long leave for several years. Services send applications for changes of legal status to the Director. After careful consideration, the Director makes a recommendation for the Minister</w:t>
      </w:r>
      <w:r>
        <w:t xml:space="preserve"> of Health</w:t>
      </w:r>
      <w:r w:rsidR="0039221C">
        <w:t>’</w:t>
      </w:r>
      <w:r w:rsidRPr="00200234">
        <w:t>s decision about a person</w:t>
      </w:r>
      <w:r w:rsidR="0039221C">
        <w:t>’</w:t>
      </w:r>
      <w:r w:rsidRPr="00200234">
        <w:t>s legal status.</w:t>
      </w:r>
    </w:p>
    <w:p w14:paraId="258FC27F" w14:textId="77777777" w:rsidR="00410071" w:rsidRPr="00200234" w:rsidRDefault="00410071" w:rsidP="008E5A9E"/>
    <w:p w14:paraId="17253F35" w14:textId="3AA3EE88" w:rsidR="0039221C" w:rsidRDefault="00410071" w:rsidP="008E5A9E">
      <w:r>
        <w:fldChar w:fldCharType="begin"/>
      </w:r>
      <w:r>
        <w:instrText xml:space="preserve"> REF _Ref85451994 \h </w:instrText>
      </w:r>
      <w:r>
        <w:fldChar w:fldCharType="separate"/>
      </w:r>
      <w:r w:rsidR="00840F18">
        <w:t>Table </w:t>
      </w:r>
      <w:r w:rsidR="00840F18">
        <w:rPr>
          <w:noProof/>
        </w:rPr>
        <w:t>13</w:t>
      </w:r>
      <w:r>
        <w:fldChar w:fldCharType="end"/>
      </w:r>
      <w:r w:rsidRPr="00200234">
        <w:t xml:space="preserve"> shows the number of applications for section 50 long leave, revocation of leave and reclassification that the Office </w:t>
      </w:r>
      <w:r>
        <w:t xml:space="preserve">of the Director of Mental Health and Addiction Services </w:t>
      </w:r>
      <w:r w:rsidRPr="00200234">
        <w:t xml:space="preserve">processed </w:t>
      </w:r>
      <w:r>
        <w:t>during 2020</w:t>
      </w:r>
      <w:r w:rsidRPr="00200234">
        <w:t>.</w:t>
      </w:r>
    </w:p>
    <w:p w14:paraId="0AF68928" w14:textId="77777777" w:rsidR="00410071" w:rsidRPr="00200234" w:rsidRDefault="00410071" w:rsidP="008E5A9E"/>
    <w:p w14:paraId="2EF88026" w14:textId="14AE1812" w:rsidR="00410071" w:rsidRDefault="00410071" w:rsidP="008E5A9E">
      <w:pPr>
        <w:pStyle w:val="Table"/>
      </w:pPr>
      <w:bookmarkStart w:id="384" w:name="_Ref85451994"/>
      <w:bookmarkStart w:id="385" w:name="_Toc87430011"/>
      <w:bookmarkStart w:id="386" w:name="_Toc88561368"/>
      <w:r>
        <w:lastRenderedPageBreak/>
        <w:t>Table</w:t>
      </w:r>
      <w:r w:rsidR="008E5A9E">
        <w:t> </w:t>
      </w:r>
      <w:r w:rsidR="00592799">
        <w:fldChar w:fldCharType="begin"/>
      </w:r>
      <w:r w:rsidR="00592799">
        <w:instrText xml:space="preserve"> SEQ Table \* ARABIC </w:instrText>
      </w:r>
      <w:r w:rsidR="00592799">
        <w:fldChar w:fldCharType="separate"/>
      </w:r>
      <w:r w:rsidR="00840F18">
        <w:rPr>
          <w:noProof/>
        </w:rPr>
        <w:t>13</w:t>
      </w:r>
      <w:r w:rsidR="00592799">
        <w:rPr>
          <w:noProof/>
        </w:rPr>
        <w:fldChar w:fldCharType="end"/>
      </w:r>
      <w:bookmarkEnd w:id="384"/>
      <w:r w:rsidRPr="00FE5269">
        <w:t>: Number of section 50 long leave, revocation and reclassification applications sent to the Minister of Health for special patients and restricted patients, 1</w:t>
      </w:r>
      <w:r w:rsidR="008E5A9E">
        <w:t> </w:t>
      </w:r>
      <w:r w:rsidRPr="00FE5269">
        <w:t>January to 31 December 2020</w:t>
      </w:r>
      <w:bookmarkEnd w:id="385"/>
      <w:bookmarkEnd w:id="386"/>
    </w:p>
    <w:tbl>
      <w:tblPr>
        <w:tblW w:w="0" w:type="auto"/>
        <w:tblInd w:w="57" w:type="dxa"/>
        <w:tblLayout w:type="fixed"/>
        <w:tblCellMar>
          <w:left w:w="57" w:type="dxa"/>
          <w:right w:w="57" w:type="dxa"/>
        </w:tblCellMar>
        <w:tblLook w:val="01E0" w:firstRow="1" w:lastRow="1" w:firstColumn="1" w:lastColumn="1" w:noHBand="0" w:noVBand="0"/>
      </w:tblPr>
      <w:tblGrid>
        <w:gridCol w:w="5529"/>
        <w:gridCol w:w="2551"/>
      </w:tblGrid>
      <w:tr w:rsidR="00410071" w:rsidRPr="008E5A9E" w14:paraId="1F055761" w14:textId="77777777" w:rsidTr="008E5A9E">
        <w:trPr>
          <w:cantSplit/>
        </w:trPr>
        <w:tc>
          <w:tcPr>
            <w:tcW w:w="5529" w:type="dxa"/>
            <w:shd w:val="clear" w:color="auto" w:fill="D9D9D9"/>
          </w:tcPr>
          <w:p w14:paraId="0E5909A0" w14:textId="77777777" w:rsidR="00410071" w:rsidRPr="008E5A9E" w:rsidRDefault="00410071" w:rsidP="008E5A9E">
            <w:pPr>
              <w:pStyle w:val="TableText"/>
              <w:keepNext/>
              <w:rPr>
                <w:b/>
              </w:rPr>
            </w:pPr>
            <w:bookmarkStart w:id="387" w:name="_Hlk62740241"/>
            <w:r w:rsidRPr="008E5A9E">
              <w:rPr>
                <w:b/>
              </w:rPr>
              <w:t>Type of request</w:t>
            </w:r>
          </w:p>
        </w:tc>
        <w:tc>
          <w:tcPr>
            <w:tcW w:w="2551" w:type="dxa"/>
            <w:shd w:val="clear" w:color="auto" w:fill="D9D9D9"/>
          </w:tcPr>
          <w:p w14:paraId="08D2EE1C" w14:textId="77777777" w:rsidR="00410071" w:rsidRPr="008E5A9E" w:rsidRDefault="00410071" w:rsidP="008E5A9E">
            <w:pPr>
              <w:pStyle w:val="TableText"/>
              <w:keepNext/>
              <w:jc w:val="center"/>
              <w:rPr>
                <w:b/>
              </w:rPr>
            </w:pPr>
            <w:r w:rsidRPr="008E5A9E">
              <w:rPr>
                <w:b/>
              </w:rPr>
              <w:t>Number completed in 2020</w:t>
            </w:r>
          </w:p>
        </w:tc>
      </w:tr>
      <w:tr w:rsidR="00410071" w:rsidRPr="005D237F" w14:paraId="36B5DA49" w14:textId="77777777" w:rsidTr="008E5A9E">
        <w:trPr>
          <w:cantSplit/>
        </w:trPr>
        <w:tc>
          <w:tcPr>
            <w:tcW w:w="5529" w:type="dxa"/>
            <w:tcBorders>
              <w:bottom w:val="single" w:sz="4" w:space="0" w:color="A6A6A6"/>
            </w:tcBorders>
          </w:tcPr>
          <w:p w14:paraId="2AF5E85A" w14:textId="77777777" w:rsidR="00410071" w:rsidRPr="005D237F" w:rsidRDefault="00410071" w:rsidP="008E5A9E">
            <w:pPr>
              <w:pStyle w:val="TableText"/>
              <w:keepNext/>
            </w:pPr>
            <w:r w:rsidRPr="005D237F">
              <w:t>Initial ministerial section 50 leave applications approved</w:t>
            </w:r>
          </w:p>
        </w:tc>
        <w:tc>
          <w:tcPr>
            <w:tcW w:w="2551" w:type="dxa"/>
            <w:tcBorders>
              <w:bottom w:val="single" w:sz="4" w:space="0" w:color="A6A6A6"/>
            </w:tcBorders>
          </w:tcPr>
          <w:p w14:paraId="36DF7C71" w14:textId="77777777" w:rsidR="00410071" w:rsidRPr="005D237F" w:rsidRDefault="00410071" w:rsidP="008E5A9E">
            <w:pPr>
              <w:pStyle w:val="TableText"/>
              <w:keepNext/>
              <w:tabs>
                <w:tab w:val="decimal" w:pos="1360"/>
              </w:tabs>
            </w:pPr>
            <w:r>
              <w:t>11</w:t>
            </w:r>
          </w:p>
        </w:tc>
      </w:tr>
      <w:tr w:rsidR="00410071" w:rsidRPr="005D237F" w14:paraId="0B6F12BB" w14:textId="77777777" w:rsidTr="008E5A9E">
        <w:trPr>
          <w:cantSplit/>
        </w:trPr>
        <w:tc>
          <w:tcPr>
            <w:tcW w:w="5529" w:type="dxa"/>
            <w:tcBorders>
              <w:top w:val="single" w:sz="4" w:space="0" w:color="A6A6A6"/>
              <w:bottom w:val="single" w:sz="4" w:space="0" w:color="A6A6A6"/>
            </w:tcBorders>
          </w:tcPr>
          <w:p w14:paraId="7983F72F" w14:textId="77777777" w:rsidR="00410071" w:rsidRPr="005D237F" w:rsidRDefault="00410071" w:rsidP="008E5A9E">
            <w:pPr>
              <w:pStyle w:val="TableText"/>
              <w:keepNext/>
            </w:pPr>
            <w:r w:rsidRPr="005D237F">
              <w:t>Initial ministerial section 50 leave applications not approved</w:t>
            </w:r>
          </w:p>
        </w:tc>
        <w:tc>
          <w:tcPr>
            <w:tcW w:w="2551" w:type="dxa"/>
            <w:tcBorders>
              <w:top w:val="single" w:sz="4" w:space="0" w:color="A6A6A6"/>
              <w:bottom w:val="single" w:sz="4" w:space="0" w:color="A6A6A6"/>
            </w:tcBorders>
          </w:tcPr>
          <w:p w14:paraId="56AED004" w14:textId="77777777" w:rsidR="00410071" w:rsidRPr="005D237F" w:rsidRDefault="00410071" w:rsidP="008E5A9E">
            <w:pPr>
              <w:pStyle w:val="TableText"/>
              <w:keepNext/>
              <w:tabs>
                <w:tab w:val="decimal" w:pos="1360"/>
              </w:tabs>
            </w:pPr>
            <w:r>
              <w:t>0</w:t>
            </w:r>
          </w:p>
        </w:tc>
      </w:tr>
      <w:tr w:rsidR="00410071" w:rsidRPr="005D237F" w14:paraId="2C246DD6" w14:textId="77777777" w:rsidTr="008E5A9E">
        <w:trPr>
          <w:cantSplit/>
        </w:trPr>
        <w:tc>
          <w:tcPr>
            <w:tcW w:w="5529" w:type="dxa"/>
            <w:tcBorders>
              <w:top w:val="single" w:sz="4" w:space="0" w:color="A6A6A6"/>
              <w:bottom w:val="single" w:sz="4" w:space="0" w:color="A6A6A6"/>
            </w:tcBorders>
          </w:tcPr>
          <w:p w14:paraId="3F2E4B47" w14:textId="77777777" w:rsidR="00410071" w:rsidRPr="005D237F" w:rsidRDefault="00410071" w:rsidP="008E5A9E">
            <w:pPr>
              <w:pStyle w:val="TableText"/>
              <w:keepNext/>
            </w:pPr>
            <w:r w:rsidRPr="005D237F">
              <w:t>Ministerial section 50 leave revocations (initial and further)</w:t>
            </w:r>
          </w:p>
        </w:tc>
        <w:tc>
          <w:tcPr>
            <w:tcW w:w="2551" w:type="dxa"/>
            <w:tcBorders>
              <w:top w:val="single" w:sz="4" w:space="0" w:color="A6A6A6"/>
              <w:bottom w:val="single" w:sz="4" w:space="0" w:color="A6A6A6"/>
            </w:tcBorders>
          </w:tcPr>
          <w:p w14:paraId="6E0AB73C" w14:textId="77777777" w:rsidR="00410071" w:rsidRPr="005D237F" w:rsidRDefault="00410071" w:rsidP="008E5A9E">
            <w:pPr>
              <w:pStyle w:val="TableText"/>
              <w:keepNext/>
              <w:tabs>
                <w:tab w:val="decimal" w:pos="1360"/>
              </w:tabs>
            </w:pPr>
            <w:r>
              <w:t>2</w:t>
            </w:r>
          </w:p>
        </w:tc>
      </w:tr>
      <w:tr w:rsidR="00410071" w:rsidRPr="005D237F" w14:paraId="5D8DBE2B" w14:textId="77777777" w:rsidTr="008E5A9E">
        <w:trPr>
          <w:cantSplit/>
        </w:trPr>
        <w:tc>
          <w:tcPr>
            <w:tcW w:w="5529" w:type="dxa"/>
            <w:tcBorders>
              <w:top w:val="single" w:sz="4" w:space="0" w:color="A6A6A6"/>
              <w:bottom w:val="single" w:sz="4" w:space="0" w:color="A6A6A6"/>
            </w:tcBorders>
          </w:tcPr>
          <w:p w14:paraId="0C967A18" w14:textId="77777777" w:rsidR="00410071" w:rsidRPr="005D237F" w:rsidRDefault="00410071" w:rsidP="008E5A9E">
            <w:pPr>
              <w:pStyle w:val="TableText"/>
              <w:keepNext/>
            </w:pPr>
            <w:r w:rsidRPr="005D237F">
              <w:t>Further ministerial section 50 leave applications approved</w:t>
            </w:r>
          </w:p>
        </w:tc>
        <w:tc>
          <w:tcPr>
            <w:tcW w:w="2551" w:type="dxa"/>
            <w:tcBorders>
              <w:top w:val="single" w:sz="4" w:space="0" w:color="A6A6A6"/>
              <w:bottom w:val="single" w:sz="4" w:space="0" w:color="A6A6A6"/>
            </w:tcBorders>
          </w:tcPr>
          <w:p w14:paraId="03D6ABE9" w14:textId="77777777" w:rsidR="00410071" w:rsidRPr="005D237F" w:rsidRDefault="00410071" w:rsidP="008E5A9E">
            <w:pPr>
              <w:pStyle w:val="TableText"/>
              <w:keepNext/>
              <w:tabs>
                <w:tab w:val="decimal" w:pos="1360"/>
              </w:tabs>
            </w:pPr>
            <w:r>
              <w:t>22</w:t>
            </w:r>
          </w:p>
        </w:tc>
      </w:tr>
      <w:tr w:rsidR="00410071" w:rsidRPr="005D237F" w14:paraId="686B880B" w14:textId="77777777" w:rsidTr="008E5A9E">
        <w:trPr>
          <w:cantSplit/>
        </w:trPr>
        <w:tc>
          <w:tcPr>
            <w:tcW w:w="5529" w:type="dxa"/>
            <w:tcBorders>
              <w:top w:val="single" w:sz="4" w:space="0" w:color="A6A6A6"/>
              <w:bottom w:val="single" w:sz="4" w:space="0" w:color="A6A6A6"/>
            </w:tcBorders>
          </w:tcPr>
          <w:p w14:paraId="21C55E20" w14:textId="77777777" w:rsidR="00410071" w:rsidRPr="005D237F" w:rsidRDefault="00410071" w:rsidP="008E5A9E">
            <w:pPr>
              <w:pStyle w:val="TableText"/>
              <w:keepNext/>
            </w:pPr>
            <w:r w:rsidRPr="005D237F">
              <w:t>Further ministerial section 50 applications not approved</w:t>
            </w:r>
          </w:p>
        </w:tc>
        <w:tc>
          <w:tcPr>
            <w:tcW w:w="2551" w:type="dxa"/>
            <w:tcBorders>
              <w:top w:val="single" w:sz="4" w:space="0" w:color="A6A6A6"/>
              <w:bottom w:val="single" w:sz="4" w:space="0" w:color="A6A6A6"/>
            </w:tcBorders>
          </w:tcPr>
          <w:p w14:paraId="2BB8B7AF" w14:textId="77777777" w:rsidR="00410071" w:rsidRPr="005D237F" w:rsidRDefault="00410071" w:rsidP="008E5A9E">
            <w:pPr>
              <w:pStyle w:val="TableText"/>
              <w:keepNext/>
              <w:tabs>
                <w:tab w:val="decimal" w:pos="1360"/>
              </w:tabs>
            </w:pPr>
            <w:r>
              <w:t>0</w:t>
            </w:r>
          </w:p>
        </w:tc>
      </w:tr>
      <w:tr w:rsidR="00410071" w:rsidRPr="005D237F" w14:paraId="28913270" w14:textId="77777777" w:rsidTr="008E5A9E">
        <w:trPr>
          <w:cantSplit/>
        </w:trPr>
        <w:tc>
          <w:tcPr>
            <w:tcW w:w="5529" w:type="dxa"/>
            <w:tcBorders>
              <w:top w:val="single" w:sz="4" w:space="0" w:color="A6A6A6"/>
              <w:bottom w:val="single" w:sz="4" w:space="0" w:color="A6A6A6"/>
            </w:tcBorders>
          </w:tcPr>
          <w:p w14:paraId="004EF52D" w14:textId="77777777" w:rsidR="00410071" w:rsidRPr="005D237F" w:rsidRDefault="00410071" w:rsidP="008E5A9E">
            <w:pPr>
              <w:pStyle w:val="TableText"/>
              <w:keepNext/>
            </w:pPr>
            <w:r w:rsidRPr="005D237F">
              <w:t>Change of legal status applications approved</w:t>
            </w:r>
          </w:p>
        </w:tc>
        <w:tc>
          <w:tcPr>
            <w:tcW w:w="2551" w:type="dxa"/>
            <w:tcBorders>
              <w:top w:val="single" w:sz="4" w:space="0" w:color="A6A6A6"/>
              <w:bottom w:val="single" w:sz="4" w:space="0" w:color="A6A6A6"/>
            </w:tcBorders>
          </w:tcPr>
          <w:p w14:paraId="70207764" w14:textId="77777777" w:rsidR="00410071" w:rsidRPr="005D237F" w:rsidRDefault="00410071" w:rsidP="008E5A9E">
            <w:pPr>
              <w:pStyle w:val="TableText"/>
              <w:keepNext/>
              <w:tabs>
                <w:tab w:val="decimal" w:pos="1360"/>
              </w:tabs>
            </w:pPr>
            <w:r>
              <w:t>12</w:t>
            </w:r>
          </w:p>
        </w:tc>
      </w:tr>
      <w:tr w:rsidR="00410071" w:rsidRPr="005D237F" w14:paraId="7C4E185D" w14:textId="77777777" w:rsidTr="008E5A9E">
        <w:trPr>
          <w:cantSplit/>
        </w:trPr>
        <w:tc>
          <w:tcPr>
            <w:tcW w:w="5529" w:type="dxa"/>
            <w:tcBorders>
              <w:top w:val="single" w:sz="4" w:space="0" w:color="A6A6A6"/>
              <w:bottom w:val="single" w:sz="4" w:space="0" w:color="A6A6A6"/>
            </w:tcBorders>
          </w:tcPr>
          <w:p w14:paraId="6548C555" w14:textId="77777777" w:rsidR="00410071" w:rsidRPr="005D237F" w:rsidRDefault="00410071" w:rsidP="008E5A9E">
            <w:pPr>
              <w:pStyle w:val="TableText"/>
              <w:keepNext/>
            </w:pPr>
            <w:r w:rsidRPr="005D237F">
              <w:t>Change of legal status applications not approved</w:t>
            </w:r>
          </w:p>
        </w:tc>
        <w:tc>
          <w:tcPr>
            <w:tcW w:w="2551" w:type="dxa"/>
            <w:tcBorders>
              <w:top w:val="single" w:sz="4" w:space="0" w:color="A6A6A6"/>
              <w:bottom w:val="single" w:sz="4" w:space="0" w:color="A6A6A6"/>
            </w:tcBorders>
          </w:tcPr>
          <w:p w14:paraId="33C73522" w14:textId="77777777" w:rsidR="00410071" w:rsidRPr="005D237F" w:rsidRDefault="00410071" w:rsidP="008E5A9E">
            <w:pPr>
              <w:pStyle w:val="TableText"/>
              <w:keepNext/>
              <w:tabs>
                <w:tab w:val="decimal" w:pos="1360"/>
              </w:tabs>
            </w:pPr>
            <w:r>
              <w:t>3</w:t>
            </w:r>
          </w:p>
        </w:tc>
      </w:tr>
      <w:tr w:rsidR="00410071" w:rsidRPr="008E5A9E" w14:paraId="3C5D5AF8" w14:textId="77777777" w:rsidTr="008E5A9E">
        <w:trPr>
          <w:cantSplit/>
        </w:trPr>
        <w:tc>
          <w:tcPr>
            <w:tcW w:w="5529" w:type="dxa"/>
            <w:tcBorders>
              <w:top w:val="single" w:sz="4" w:space="0" w:color="A6A6A6"/>
              <w:bottom w:val="single" w:sz="4" w:space="0" w:color="A6A6A6"/>
            </w:tcBorders>
          </w:tcPr>
          <w:p w14:paraId="5B099EC5" w14:textId="77777777" w:rsidR="00410071" w:rsidRPr="008E5A9E" w:rsidRDefault="00410071" w:rsidP="008E5A9E">
            <w:pPr>
              <w:pStyle w:val="TableText"/>
              <w:keepNext/>
              <w:rPr>
                <w:b/>
              </w:rPr>
            </w:pPr>
            <w:r w:rsidRPr="008E5A9E">
              <w:rPr>
                <w:b/>
              </w:rPr>
              <w:t>Total applications approved or not approved</w:t>
            </w:r>
          </w:p>
        </w:tc>
        <w:tc>
          <w:tcPr>
            <w:tcW w:w="2551" w:type="dxa"/>
            <w:tcBorders>
              <w:top w:val="single" w:sz="4" w:space="0" w:color="A6A6A6"/>
              <w:bottom w:val="single" w:sz="4" w:space="0" w:color="A6A6A6"/>
            </w:tcBorders>
          </w:tcPr>
          <w:p w14:paraId="1B1CD67E" w14:textId="77777777" w:rsidR="00410071" w:rsidRPr="008E5A9E" w:rsidRDefault="00410071" w:rsidP="008E5A9E">
            <w:pPr>
              <w:pStyle w:val="TableText"/>
              <w:keepNext/>
              <w:tabs>
                <w:tab w:val="decimal" w:pos="1360"/>
              </w:tabs>
              <w:rPr>
                <w:b/>
              </w:rPr>
            </w:pPr>
            <w:r w:rsidRPr="008E5A9E">
              <w:rPr>
                <w:b/>
              </w:rPr>
              <w:t>50</w:t>
            </w:r>
          </w:p>
        </w:tc>
      </w:tr>
    </w:tbl>
    <w:bookmarkEnd w:id="387"/>
    <w:p w14:paraId="6477A299" w14:textId="77777777" w:rsidR="00410071" w:rsidRPr="00200234" w:rsidRDefault="00410071" w:rsidP="008E5A9E">
      <w:pPr>
        <w:pStyle w:val="Note"/>
        <w:keepNext/>
      </w:pPr>
      <w:r w:rsidRPr="00200234">
        <w:t>Note: Numbers do not include applications that were withdrawn before the Minister of Health received them.</w:t>
      </w:r>
    </w:p>
    <w:p w14:paraId="5CA5C4DC" w14:textId="77777777" w:rsidR="00410071" w:rsidRPr="00200234" w:rsidRDefault="00410071" w:rsidP="008E5A9E">
      <w:pPr>
        <w:pStyle w:val="Source"/>
      </w:pPr>
      <w:r w:rsidRPr="00200234">
        <w:t>Source: Office of the Director of Mental Health and Addiction Services records.</w:t>
      </w:r>
    </w:p>
    <w:p w14:paraId="5E7E20BC" w14:textId="77777777" w:rsidR="00410071" w:rsidRPr="00200234" w:rsidRDefault="00410071" w:rsidP="008E5A9E"/>
    <w:p w14:paraId="27BAACF5" w14:textId="77777777" w:rsidR="00410071" w:rsidRPr="00200234" w:rsidRDefault="00410071" w:rsidP="008E5A9E">
      <w:pPr>
        <w:pStyle w:val="Heading1"/>
      </w:pPr>
      <w:bookmarkStart w:id="388" w:name="_Toc65141632"/>
      <w:bookmarkStart w:id="389" w:name="_Toc75176456"/>
      <w:bookmarkStart w:id="390" w:name="_Toc87429923"/>
      <w:bookmarkStart w:id="391" w:name="_Toc88826971"/>
      <w:r w:rsidRPr="00200234">
        <w:lastRenderedPageBreak/>
        <w:t>Mental health and addiction adverse event reporting</w:t>
      </w:r>
      <w:bookmarkEnd w:id="388"/>
      <w:bookmarkEnd w:id="389"/>
      <w:bookmarkEnd w:id="390"/>
      <w:bookmarkEnd w:id="391"/>
    </w:p>
    <w:p w14:paraId="3F89F29E" w14:textId="77777777" w:rsidR="00410071" w:rsidRPr="00200234" w:rsidRDefault="00410071" w:rsidP="008E5A9E">
      <w:r>
        <w:t xml:space="preserve">Aotearoa </w:t>
      </w:r>
      <w:r w:rsidRPr="00200234">
        <w:t>New Zealand has two major national reporting mechanisms for adverse events relating to mental health.</w:t>
      </w:r>
      <w:r w:rsidRPr="008E5A9E">
        <w:rPr>
          <w:rStyle w:val="FootnoteReference"/>
        </w:rPr>
        <w:footnoteReference w:id="22"/>
      </w:r>
      <w:r w:rsidRPr="00200234">
        <w:t xml:space="preserve"> These are that DHBs must:</w:t>
      </w:r>
    </w:p>
    <w:p w14:paraId="2A2D7968" w14:textId="77777777" w:rsidR="0039221C" w:rsidRDefault="00410071" w:rsidP="008E5A9E">
      <w:pPr>
        <w:pStyle w:val="Number"/>
      </w:pPr>
      <w:r w:rsidRPr="00200234">
        <w:t>notify the Director of Mental Health of the death of any person or special patient under the Mental Health Act</w:t>
      </w:r>
    </w:p>
    <w:p w14:paraId="2D9754BD" w14:textId="77777777" w:rsidR="00410071" w:rsidRPr="00200234" w:rsidRDefault="00410071" w:rsidP="008E5A9E">
      <w:pPr>
        <w:pStyle w:val="Number"/>
      </w:pPr>
      <w:r w:rsidRPr="00200234">
        <w:t>report all adverse events rated Severity Assessment Code (SAC)</w:t>
      </w:r>
      <w:r w:rsidRPr="008E5A9E">
        <w:rPr>
          <w:rStyle w:val="FootnoteReference"/>
        </w:rPr>
        <w:footnoteReference w:id="23"/>
      </w:r>
      <w:r w:rsidRPr="00200234">
        <w:t xml:space="preserve"> 1 or 2 to the </w:t>
      </w:r>
      <w:r>
        <w:t>Health Quality &amp; Safety Commission</w:t>
      </w:r>
      <w:r w:rsidRPr="00200234">
        <w:t xml:space="preserve"> </w:t>
      </w:r>
      <w:r>
        <w:t>(</w:t>
      </w:r>
      <w:r w:rsidRPr="00200234">
        <w:t>HQSC</w:t>
      </w:r>
      <w:r>
        <w:t>)</w:t>
      </w:r>
      <w:r w:rsidRPr="00200234">
        <w:t xml:space="preserve"> in line with the National Adverse Events Reporting Policy.</w:t>
      </w:r>
      <w:r w:rsidRPr="008E5A9E">
        <w:rPr>
          <w:rStyle w:val="FootnoteReference"/>
        </w:rPr>
        <w:footnoteReference w:id="24"/>
      </w:r>
      <w:r w:rsidRPr="00200234">
        <w:t xml:space="preserve"> Mental health services that are not funded by DHBs are encouraged but not required to report adverse events to the HQSC.</w:t>
      </w:r>
    </w:p>
    <w:p w14:paraId="219A94DA" w14:textId="77777777" w:rsidR="00410071" w:rsidRPr="00200234" w:rsidRDefault="00410071" w:rsidP="008E5A9E"/>
    <w:p w14:paraId="424D3FE5" w14:textId="77777777" w:rsidR="00410071" w:rsidRPr="008E5A9E" w:rsidRDefault="00410071" w:rsidP="008E5A9E">
      <w:pPr>
        <w:ind w:right="-284"/>
        <w:rPr>
          <w:spacing w:val="-2"/>
        </w:rPr>
      </w:pPr>
      <w:r w:rsidRPr="008E5A9E">
        <w:rPr>
          <w:spacing w:val="-2"/>
        </w:rPr>
        <w:t>In Aotearoa New Zealand, adverse events have been reported publicly since 2006. Since reporting began, the number of adverse events that DHBs report has increased. This increase is not necessarily because adverse events have become more frequent; we consider that at least part of the explanation may be that DHBs have improved their reporting systems and created a stronger culture of transparency and commitment to learning.</w:t>
      </w:r>
    </w:p>
    <w:p w14:paraId="2898FFB9" w14:textId="77777777" w:rsidR="00410071" w:rsidRPr="00200234" w:rsidRDefault="00410071" w:rsidP="008E5A9E"/>
    <w:p w14:paraId="10971348" w14:textId="77777777" w:rsidR="00410071" w:rsidRPr="00200234" w:rsidRDefault="00410071" w:rsidP="008E5A9E">
      <w:pPr>
        <w:pStyle w:val="Heading2"/>
      </w:pPr>
      <w:bookmarkStart w:id="392" w:name="_Toc65141633"/>
      <w:bookmarkStart w:id="393" w:name="_Toc75176457"/>
      <w:bookmarkStart w:id="394" w:name="_Toc87429924"/>
      <w:bookmarkStart w:id="395" w:name="_Toc88826972"/>
      <w:r w:rsidRPr="00200234">
        <w:t xml:space="preserve">Adverse events reported by </w:t>
      </w:r>
      <w:r>
        <w:t>DHB</w:t>
      </w:r>
      <w:r w:rsidRPr="00200234">
        <w:t xml:space="preserve"> mental health services</w:t>
      </w:r>
      <w:bookmarkEnd w:id="392"/>
      <w:bookmarkEnd w:id="393"/>
      <w:bookmarkEnd w:id="394"/>
      <w:bookmarkEnd w:id="395"/>
    </w:p>
    <w:p w14:paraId="0ECB780B" w14:textId="6B2C6DBB" w:rsidR="0039221C" w:rsidRDefault="00410071" w:rsidP="008E5A9E">
      <w:r>
        <w:fldChar w:fldCharType="begin"/>
      </w:r>
      <w:r>
        <w:instrText xml:space="preserve"> REF _Ref85452098 \h </w:instrText>
      </w:r>
      <w:r>
        <w:fldChar w:fldCharType="separate"/>
      </w:r>
      <w:r w:rsidR="00840F18">
        <w:t>Table </w:t>
      </w:r>
      <w:r w:rsidR="00840F18">
        <w:rPr>
          <w:noProof/>
        </w:rPr>
        <w:t>14</w:t>
      </w:r>
      <w:r>
        <w:fldChar w:fldCharType="end"/>
      </w:r>
      <w:r w:rsidRPr="00200234">
        <w:t xml:space="preserve"> provide</w:t>
      </w:r>
      <w:r>
        <w:t>s</w:t>
      </w:r>
      <w:r w:rsidRPr="00200234">
        <w:t xml:space="preserve"> a breakdown of the types of adverse events relating to mental health that DHBs reported to HQSC during </w:t>
      </w:r>
      <w:r>
        <w:t>2020</w:t>
      </w:r>
      <w:r w:rsidRPr="00200234">
        <w:t xml:space="preserve">. </w:t>
      </w:r>
      <w:r>
        <w:fldChar w:fldCharType="begin"/>
      </w:r>
      <w:r>
        <w:instrText xml:space="preserve"> REF _Ref85452137 \h </w:instrText>
      </w:r>
      <w:r>
        <w:fldChar w:fldCharType="separate"/>
      </w:r>
      <w:r w:rsidR="00840F18">
        <w:t>Table </w:t>
      </w:r>
      <w:r w:rsidR="00840F18">
        <w:rPr>
          <w:noProof/>
        </w:rPr>
        <w:t>15</w:t>
      </w:r>
      <w:r>
        <w:fldChar w:fldCharType="end"/>
      </w:r>
      <w:r w:rsidRPr="00200234">
        <w:t xml:space="preserve"> show</w:t>
      </w:r>
      <w:r>
        <w:t>s</w:t>
      </w:r>
      <w:r w:rsidRPr="00200234">
        <w:t xml:space="preserve"> the number of events reported for each DHB.</w:t>
      </w:r>
    </w:p>
    <w:p w14:paraId="2EC8EB08" w14:textId="77777777" w:rsidR="00410071" w:rsidRPr="00200234" w:rsidRDefault="00410071" w:rsidP="008E5A9E"/>
    <w:p w14:paraId="6CED4BC0" w14:textId="77777777" w:rsidR="00410071" w:rsidRPr="00200234" w:rsidRDefault="00410071" w:rsidP="008E5A9E">
      <w:r w:rsidRPr="00200234">
        <w:t xml:space="preserve">Comparing individual DHBs based on this data is not straightforward. As noted above, high numbers can indicate a DHB has a good reporting culture rather than </w:t>
      </w:r>
      <w:r>
        <w:t>having</w:t>
      </w:r>
      <w:r w:rsidRPr="00200234">
        <w:t xml:space="preserve"> more adverse events compared with other DHBs. In addition, DHBs that serve a larger population or provide more complex mental health services may report a higher number of adverse events.</w:t>
      </w:r>
    </w:p>
    <w:p w14:paraId="667FE747" w14:textId="77777777" w:rsidR="00410071" w:rsidRPr="00200234" w:rsidRDefault="00410071" w:rsidP="008E5A9E"/>
    <w:p w14:paraId="53D88999" w14:textId="2F654FA3" w:rsidR="00410071" w:rsidRDefault="00410071" w:rsidP="008E5A9E">
      <w:pPr>
        <w:pStyle w:val="Table"/>
      </w:pPr>
      <w:bookmarkStart w:id="396" w:name="_Ref85452098"/>
      <w:bookmarkStart w:id="397" w:name="_Toc87430012"/>
      <w:bookmarkStart w:id="398" w:name="_Toc88561369"/>
      <w:r>
        <w:lastRenderedPageBreak/>
        <w:t>Table</w:t>
      </w:r>
      <w:r w:rsidR="008E5A9E">
        <w:t> </w:t>
      </w:r>
      <w:r w:rsidR="00592799">
        <w:fldChar w:fldCharType="begin"/>
      </w:r>
      <w:r w:rsidR="00592799">
        <w:instrText xml:space="preserve"> SEQ Table \* ARABIC </w:instrText>
      </w:r>
      <w:r w:rsidR="00592799">
        <w:fldChar w:fldCharType="separate"/>
      </w:r>
      <w:r w:rsidR="00840F18">
        <w:rPr>
          <w:noProof/>
        </w:rPr>
        <w:t>14</w:t>
      </w:r>
      <w:r w:rsidR="00592799">
        <w:rPr>
          <w:noProof/>
        </w:rPr>
        <w:fldChar w:fldCharType="end"/>
      </w:r>
      <w:bookmarkEnd w:id="396"/>
      <w:r w:rsidRPr="00157BCB">
        <w:t>: Number of mental health adverse events that DHBs reported to the HQSC, by type of event, 1 January to 31 December 2020</w:t>
      </w:r>
      <w:bookmarkEnd w:id="397"/>
      <w:bookmarkEnd w:id="398"/>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410"/>
        <w:gridCol w:w="1134"/>
        <w:gridCol w:w="1134"/>
        <w:gridCol w:w="1418"/>
        <w:gridCol w:w="992"/>
        <w:gridCol w:w="991"/>
      </w:tblGrid>
      <w:tr w:rsidR="00410071" w:rsidRPr="008E5A9E" w14:paraId="48EBF6DC" w14:textId="77777777" w:rsidTr="008E5A9E">
        <w:trPr>
          <w:cantSplit/>
        </w:trPr>
        <w:tc>
          <w:tcPr>
            <w:tcW w:w="2410" w:type="dxa"/>
            <w:tcBorders>
              <w:top w:val="nil"/>
              <w:bottom w:val="nil"/>
            </w:tcBorders>
            <w:shd w:val="clear" w:color="auto" w:fill="D9D9D9" w:themeFill="background1" w:themeFillShade="D9"/>
          </w:tcPr>
          <w:p w14:paraId="3523A79F" w14:textId="77777777" w:rsidR="00410071" w:rsidRPr="008E5A9E" w:rsidRDefault="00410071" w:rsidP="008E5A9E">
            <w:pPr>
              <w:pStyle w:val="TableText"/>
              <w:rPr>
                <w:b/>
              </w:rPr>
            </w:pPr>
            <w:r w:rsidRPr="008E5A9E">
              <w:rPr>
                <w:b/>
              </w:rPr>
              <w:t>Type of event</w:t>
            </w:r>
          </w:p>
        </w:tc>
        <w:tc>
          <w:tcPr>
            <w:tcW w:w="1134" w:type="dxa"/>
            <w:tcBorders>
              <w:top w:val="nil"/>
              <w:bottom w:val="nil"/>
            </w:tcBorders>
            <w:shd w:val="clear" w:color="auto" w:fill="D9D9D9" w:themeFill="background1" w:themeFillShade="D9"/>
          </w:tcPr>
          <w:p w14:paraId="33E24DF6" w14:textId="77777777" w:rsidR="00410071" w:rsidRPr="008E5A9E" w:rsidRDefault="00410071" w:rsidP="008E5A9E">
            <w:pPr>
              <w:pStyle w:val="TableText"/>
              <w:jc w:val="center"/>
              <w:rPr>
                <w:b/>
              </w:rPr>
            </w:pPr>
            <w:r w:rsidRPr="008E5A9E">
              <w:rPr>
                <w:b/>
              </w:rPr>
              <w:t>Outpatient</w:t>
            </w:r>
          </w:p>
        </w:tc>
        <w:tc>
          <w:tcPr>
            <w:tcW w:w="1134" w:type="dxa"/>
            <w:tcBorders>
              <w:top w:val="nil"/>
              <w:bottom w:val="nil"/>
            </w:tcBorders>
            <w:shd w:val="clear" w:color="auto" w:fill="D9D9D9" w:themeFill="background1" w:themeFillShade="D9"/>
          </w:tcPr>
          <w:p w14:paraId="0BD5AFFC" w14:textId="77777777" w:rsidR="00410071" w:rsidRPr="008E5A9E" w:rsidRDefault="00410071" w:rsidP="008E5A9E">
            <w:pPr>
              <w:pStyle w:val="TableText"/>
              <w:jc w:val="center"/>
              <w:rPr>
                <w:b/>
              </w:rPr>
            </w:pPr>
            <w:r w:rsidRPr="008E5A9E">
              <w:rPr>
                <w:b/>
              </w:rPr>
              <w:t>Inpatient</w:t>
            </w:r>
          </w:p>
        </w:tc>
        <w:tc>
          <w:tcPr>
            <w:tcW w:w="1418" w:type="dxa"/>
            <w:tcBorders>
              <w:top w:val="nil"/>
              <w:bottom w:val="nil"/>
            </w:tcBorders>
            <w:shd w:val="clear" w:color="auto" w:fill="D9D9D9" w:themeFill="background1" w:themeFillShade="D9"/>
          </w:tcPr>
          <w:p w14:paraId="1FCD1351" w14:textId="77777777" w:rsidR="00410071" w:rsidRPr="008E5A9E" w:rsidRDefault="00410071" w:rsidP="008E5A9E">
            <w:pPr>
              <w:pStyle w:val="TableText"/>
              <w:jc w:val="center"/>
              <w:rPr>
                <w:b/>
              </w:rPr>
            </w:pPr>
            <w:r w:rsidRPr="008E5A9E">
              <w:rPr>
                <w:b/>
              </w:rPr>
              <w:t>On approved leave</w:t>
            </w:r>
          </w:p>
        </w:tc>
        <w:tc>
          <w:tcPr>
            <w:tcW w:w="992" w:type="dxa"/>
            <w:tcBorders>
              <w:top w:val="nil"/>
              <w:bottom w:val="nil"/>
            </w:tcBorders>
            <w:shd w:val="clear" w:color="auto" w:fill="D9D9D9" w:themeFill="background1" w:themeFillShade="D9"/>
          </w:tcPr>
          <w:p w14:paraId="196AC9D1" w14:textId="77777777" w:rsidR="00410071" w:rsidRPr="008E5A9E" w:rsidRDefault="00410071" w:rsidP="008E5A9E">
            <w:pPr>
              <w:pStyle w:val="TableText"/>
              <w:jc w:val="center"/>
              <w:rPr>
                <w:b/>
              </w:rPr>
            </w:pPr>
            <w:r w:rsidRPr="008E5A9E">
              <w:rPr>
                <w:b/>
              </w:rPr>
              <w:t>Inpatient (AWOL)</w:t>
            </w:r>
          </w:p>
        </w:tc>
        <w:tc>
          <w:tcPr>
            <w:tcW w:w="991" w:type="dxa"/>
            <w:tcBorders>
              <w:top w:val="nil"/>
              <w:bottom w:val="nil"/>
            </w:tcBorders>
            <w:shd w:val="clear" w:color="auto" w:fill="D9D9D9" w:themeFill="background1" w:themeFillShade="D9"/>
          </w:tcPr>
          <w:p w14:paraId="30CD2407" w14:textId="77777777" w:rsidR="00410071" w:rsidRPr="008E5A9E" w:rsidRDefault="00410071" w:rsidP="008E5A9E">
            <w:pPr>
              <w:pStyle w:val="TableText"/>
              <w:jc w:val="center"/>
              <w:rPr>
                <w:b/>
              </w:rPr>
            </w:pPr>
            <w:r w:rsidRPr="008E5A9E">
              <w:rPr>
                <w:b/>
              </w:rPr>
              <w:t>Total</w:t>
            </w:r>
          </w:p>
        </w:tc>
      </w:tr>
      <w:tr w:rsidR="00410071" w:rsidRPr="00200234" w14:paraId="42AF3636" w14:textId="77777777" w:rsidTr="008E5A9E">
        <w:trPr>
          <w:cantSplit/>
        </w:trPr>
        <w:tc>
          <w:tcPr>
            <w:tcW w:w="2410" w:type="dxa"/>
            <w:tcBorders>
              <w:top w:val="nil"/>
            </w:tcBorders>
          </w:tcPr>
          <w:p w14:paraId="1F6A395B" w14:textId="77777777" w:rsidR="00410071" w:rsidRPr="00200234" w:rsidRDefault="00410071" w:rsidP="008E5A9E">
            <w:pPr>
              <w:pStyle w:val="TableText"/>
              <w:rPr>
                <w:sz w:val="20"/>
              </w:rPr>
            </w:pPr>
            <w:r w:rsidRPr="00200234">
              <w:t>Suspected suicide</w:t>
            </w:r>
          </w:p>
        </w:tc>
        <w:tc>
          <w:tcPr>
            <w:tcW w:w="1134" w:type="dxa"/>
            <w:tcBorders>
              <w:top w:val="nil"/>
            </w:tcBorders>
            <w:vAlign w:val="center"/>
          </w:tcPr>
          <w:p w14:paraId="49270CF5" w14:textId="77777777" w:rsidR="00410071" w:rsidRPr="009C4ED3" w:rsidRDefault="00410071" w:rsidP="008E5A9E">
            <w:pPr>
              <w:pStyle w:val="TableText"/>
              <w:tabs>
                <w:tab w:val="decimal" w:pos="727"/>
              </w:tabs>
              <w:rPr>
                <w:szCs w:val="18"/>
              </w:rPr>
            </w:pPr>
            <w:r>
              <w:rPr>
                <w:szCs w:val="18"/>
              </w:rPr>
              <w:t>162</w:t>
            </w:r>
          </w:p>
        </w:tc>
        <w:tc>
          <w:tcPr>
            <w:tcW w:w="1134" w:type="dxa"/>
            <w:tcBorders>
              <w:top w:val="nil"/>
            </w:tcBorders>
            <w:vAlign w:val="center"/>
          </w:tcPr>
          <w:p w14:paraId="7A28F5FB" w14:textId="77777777" w:rsidR="00410071" w:rsidRPr="009C4ED3" w:rsidRDefault="00410071" w:rsidP="008E5A9E">
            <w:pPr>
              <w:pStyle w:val="TableText"/>
              <w:tabs>
                <w:tab w:val="decimal" w:pos="652"/>
              </w:tabs>
              <w:rPr>
                <w:szCs w:val="18"/>
              </w:rPr>
            </w:pPr>
            <w:r>
              <w:rPr>
                <w:szCs w:val="18"/>
              </w:rPr>
              <w:t>3</w:t>
            </w:r>
          </w:p>
        </w:tc>
        <w:tc>
          <w:tcPr>
            <w:tcW w:w="1418" w:type="dxa"/>
            <w:tcBorders>
              <w:top w:val="nil"/>
            </w:tcBorders>
            <w:vAlign w:val="center"/>
          </w:tcPr>
          <w:p w14:paraId="10719C5E" w14:textId="77777777" w:rsidR="00410071" w:rsidRPr="009C4ED3" w:rsidRDefault="00410071" w:rsidP="008E5A9E">
            <w:pPr>
              <w:pStyle w:val="TableText"/>
              <w:jc w:val="center"/>
              <w:rPr>
                <w:szCs w:val="18"/>
              </w:rPr>
            </w:pPr>
            <w:r>
              <w:rPr>
                <w:szCs w:val="18"/>
              </w:rPr>
              <w:t>2</w:t>
            </w:r>
          </w:p>
        </w:tc>
        <w:tc>
          <w:tcPr>
            <w:tcW w:w="992" w:type="dxa"/>
            <w:tcBorders>
              <w:top w:val="nil"/>
            </w:tcBorders>
            <w:vAlign w:val="center"/>
          </w:tcPr>
          <w:p w14:paraId="71887120" w14:textId="77777777" w:rsidR="00410071" w:rsidRPr="009C4ED3" w:rsidRDefault="00410071" w:rsidP="008E5A9E">
            <w:pPr>
              <w:pStyle w:val="TableText"/>
              <w:jc w:val="center"/>
              <w:rPr>
                <w:szCs w:val="18"/>
              </w:rPr>
            </w:pPr>
            <w:r>
              <w:rPr>
                <w:szCs w:val="18"/>
              </w:rPr>
              <w:t>1</w:t>
            </w:r>
          </w:p>
        </w:tc>
        <w:tc>
          <w:tcPr>
            <w:tcW w:w="991" w:type="dxa"/>
            <w:tcBorders>
              <w:top w:val="nil"/>
            </w:tcBorders>
            <w:vAlign w:val="center"/>
          </w:tcPr>
          <w:p w14:paraId="1A68D48F" w14:textId="77777777" w:rsidR="00410071" w:rsidRPr="009C4ED3" w:rsidRDefault="00410071" w:rsidP="008E5A9E">
            <w:pPr>
              <w:pStyle w:val="TableText"/>
              <w:tabs>
                <w:tab w:val="decimal" w:pos="624"/>
              </w:tabs>
              <w:rPr>
                <w:szCs w:val="18"/>
              </w:rPr>
            </w:pPr>
            <w:r>
              <w:rPr>
                <w:szCs w:val="18"/>
              </w:rPr>
              <w:t>168</w:t>
            </w:r>
          </w:p>
        </w:tc>
      </w:tr>
      <w:tr w:rsidR="00410071" w:rsidRPr="00200234" w14:paraId="3817F0DD" w14:textId="77777777" w:rsidTr="008E5A9E">
        <w:trPr>
          <w:cantSplit/>
        </w:trPr>
        <w:tc>
          <w:tcPr>
            <w:tcW w:w="2410" w:type="dxa"/>
          </w:tcPr>
          <w:p w14:paraId="56BF7B4D" w14:textId="77777777" w:rsidR="00410071" w:rsidRPr="00200234" w:rsidRDefault="00410071" w:rsidP="008E5A9E">
            <w:pPr>
              <w:pStyle w:val="TableText"/>
            </w:pPr>
            <w:r w:rsidRPr="00200234">
              <w:t>Serious self-harm</w:t>
            </w:r>
          </w:p>
        </w:tc>
        <w:tc>
          <w:tcPr>
            <w:tcW w:w="1134" w:type="dxa"/>
            <w:vAlign w:val="center"/>
          </w:tcPr>
          <w:p w14:paraId="0AEA0FF8" w14:textId="77777777" w:rsidR="00410071" w:rsidRPr="009C4ED3" w:rsidRDefault="00410071" w:rsidP="008E5A9E">
            <w:pPr>
              <w:pStyle w:val="TableText"/>
              <w:tabs>
                <w:tab w:val="decimal" w:pos="727"/>
              </w:tabs>
              <w:rPr>
                <w:szCs w:val="18"/>
              </w:rPr>
            </w:pPr>
            <w:r>
              <w:rPr>
                <w:szCs w:val="18"/>
              </w:rPr>
              <w:t>24</w:t>
            </w:r>
          </w:p>
        </w:tc>
        <w:tc>
          <w:tcPr>
            <w:tcW w:w="1134" w:type="dxa"/>
            <w:vAlign w:val="center"/>
          </w:tcPr>
          <w:p w14:paraId="50734C26" w14:textId="77777777" w:rsidR="00410071" w:rsidRPr="009C4ED3" w:rsidRDefault="00410071" w:rsidP="008E5A9E">
            <w:pPr>
              <w:pStyle w:val="TableText"/>
              <w:tabs>
                <w:tab w:val="decimal" w:pos="652"/>
              </w:tabs>
              <w:rPr>
                <w:szCs w:val="18"/>
              </w:rPr>
            </w:pPr>
            <w:r>
              <w:rPr>
                <w:szCs w:val="18"/>
              </w:rPr>
              <w:t>3</w:t>
            </w:r>
          </w:p>
        </w:tc>
        <w:tc>
          <w:tcPr>
            <w:tcW w:w="1418" w:type="dxa"/>
            <w:vAlign w:val="center"/>
          </w:tcPr>
          <w:p w14:paraId="723D2A57" w14:textId="77777777" w:rsidR="00410071" w:rsidRPr="009C4ED3" w:rsidRDefault="00410071" w:rsidP="008E5A9E">
            <w:pPr>
              <w:pStyle w:val="TableText"/>
              <w:jc w:val="center"/>
              <w:rPr>
                <w:szCs w:val="18"/>
              </w:rPr>
            </w:pPr>
            <w:r>
              <w:rPr>
                <w:szCs w:val="18"/>
              </w:rPr>
              <w:t>1</w:t>
            </w:r>
          </w:p>
        </w:tc>
        <w:tc>
          <w:tcPr>
            <w:tcW w:w="992" w:type="dxa"/>
            <w:vAlign w:val="center"/>
          </w:tcPr>
          <w:p w14:paraId="2F8E31F5" w14:textId="77777777" w:rsidR="00410071" w:rsidRPr="009C4ED3" w:rsidRDefault="00410071" w:rsidP="008E5A9E">
            <w:pPr>
              <w:pStyle w:val="TableText"/>
              <w:jc w:val="center"/>
              <w:rPr>
                <w:szCs w:val="18"/>
              </w:rPr>
            </w:pPr>
            <w:r>
              <w:rPr>
                <w:szCs w:val="18"/>
              </w:rPr>
              <w:t>1</w:t>
            </w:r>
          </w:p>
        </w:tc>
        <w:tc>
          <w:tcPr>
            <w:tcW w:w="991" w:type="dxa"/>
            <w:vAlign w:val="center"/>
          </w:tcPr>
          <w:p w14:paraId="7D1F62A3" w14:textId="77777777" w:rsidR="00410071" w:rsidRPr="009C4ED3" w:rsidRDefault="00410071" w:rsidP="008E5A9E">
            <w:pPr>
              <w:pStyle w:val="TableText"/>
              <w:tabs>
                <w:tab w:val="decimal" w:pos="624"/>
              </w:tabs>
              <w:rPr>
                <w:szCs w:val="18"/>
              </w:rPr>
            </w:pPr>
            <w:r>
              <w:rPr>
                <w:szCs w:val="18"/>
              </w:rPr>
              <w:t>29</w:t>
            </w:r>
          </w:p>
        </w:tc>
      </w:tr>
      <w:tr w:rsidR="00410071" w:rsidRPr="00200234" w14:paraId="6B70DC82" w14:textId="77777777" w:rsidTr="008E5A9E">
        <w:trPr>
          <w:cantSplit/>
        </w:trPr>
        <w:tc>
          <w:tcPr>
            <w:tcW w:w="2410" w:type="dxa"/>
          </w:tcPr>
          <w:p w14:paraId="09802CA0" w14:textId="77777777" w:rsidR="00410071" w:rsidRPr="00200234" w:rsidRDefault="00410071" w:rsidP="008E5A9E">
            <w:pPr>
              <w:pStyle w:val="TableText"/>
            </w:pPr>
            <w:r w:rsidRPr="00200234">
              <w:t>Serious adverse behaviour</w:t>
            </w:r>
          </w:p>
        </w:tc>
        <w:tc>
          <w:tcPr>
            <w:tcW w:w="1134" w:type="dxa"/>
            <w:vAlign w:val="center"/>
          </w:tcPr>
          <w:p w14:paraId="153C9D8A" w14:textId="77777777" w:rsidR="00410071" w:rsidRPr="009C4ED3" w:rsidRDefault="00410071" w:rsidP="008E5A9E">
            <w:pPr>
              <w:pStyle w:val="TableText"/>
              <w:tabs>
                <w:tab w:val="decimal" w:pos="727"/>
              </w:tabs>
              <w:rPr>
                <w:szCs w:val="18"/>
              </w:rPr>
            </w:pPr>
            <w:r>
              <w:rPr>
                <w:szCs w:val="18"/>
              </w:rPr>
              <w:t>5</w:t>
            </w:r>
          </w:p>
        </w:tc>
        <w:tc>
          <w:tcPr>
            <w:tcW w:w="1134" w:type="dxa"/>
            <w:vAlign w:val="center"/>
          </w:tcPr>
          <w:p w14:paraId="51747F70" w14:textId="77777777" w:rsidR="00410071" w:rsidRPr="009C4ED3" w:rsidRDefault="00410071" w:rsidP="008E5A9E">
            <w:pPr>
              <w:pStyle w:val="TableText"/>
              <w:tabs>
                <w:tab w:val="decimal" w:pos="652"/>
              </w:tabs>
              <w:rPr>
                <w:szCs w:val="18"/>
              </w:rPr>
            </w:pPr>
            <w:r>
              <w:rPr>
                <w:szCs w:val="18"/>
              </w:rPr>
              <w:t>9</w:t>
            </w:r>
          </w:p>
        </w:tc>
        <w:tc>
          <w:tcPr>
            <w:tcW w:w="1418" w:type="dxa"/>
            <w:vAlign w:val="center"/>
          </w:tcPr>
          <w:p w14:paraId="7D49D063" w14:textId="77777777" w:rsidR="00410071" w:rsidRPr="009C4ED3" w:rsidRDefault="00410071" w:rsidP="008E5A9E">
            <w:pPr>
              <w:pStyle w:val="TableText"/>
              <w:jc w:val="center"/>
              <w:rPr>
                <w:szCs w:val="18"/>
              </w:rPr>
            </w:pPr>
            <w:r w:rsidRPr="009C4ED3">
              <w:rPr>
                <w:szCs w:val="18"/>
              </w:rPr>
              <w:t>0</w:t>
            </w:r>
          </w:p>
        </w:tc>
        <w:tc>
          <w:tcPr>
            <w:tcW w:w="992" w:type="dxa"/>
            <w:vAlign w:val="center"/>
          </w:tcPr>
          <w:p w14:paraId="13CC6AF7" w14:textId="77777777" w:rsidR="00410071" w:rsidRPr="009C4ED3" w:rsidRDefault="00410071" w:rsidP="008E5A9E">
            <w:pPr>
              <w:pStyle w:val="TableText"/>
              <w:jc w:val="center"/>
              <w:rPr>
                <w:szCs w:val="18"/>
              </w:rPr>
            </w:pPr>
            <w:r w:rsidRPr="009C4ED3">
              <w:rPr>
                <w:szCs w:val="18"/>
              </w:rPr>
              <w:t>0</w:t>
            </w:r>
          </w:p>
        </w:tc>
        <w:tc>
          <w:tcPr>
            <w:tcW w:w="991" w:type="dxa"/>
            <w:vAlign w:val="center"/>
          </w:tcPr>
          <w:p w14:paraId="24304918" w14:textId="77777777" w:rsidR="00410071" w:rsidRPr="009C4ED3" w:rsidRDefault="00410071" w:rsidP="008E5A9E">
            <w:pPr>
              <w:pStyle w:val="TableText"/>
              <w:tabs>
                <w:tab w:val="decimal" w:pos="624"/>
              </w:tabs>
              <w:rPr>
                <w:szCs w:val="18"/>
              </w:rPr>
            </w:pPr>
            <w:r>
              <w:rPr>
                <w:szCs w:val="18"/>
              </w:rPr>
              <w:t>14</w:t>
            </w:r>
          </w:p>
        </w:tc>
      </w:tr>
      <w:tr w:rsidR="00410071" w:rsidRPr="008E5A9E" w14:paraId="24651DCF" w14:textId="77777777" w:rsidTr="008E5A9E">
        <w:trPr>
          <w:cantSplit/>
        </w:trPr>
        <w:tc>
          <w:tcPr>
            <w:tcW w:w="2410" w:type="dxa"/>
          </w:tcPr>
          <w:p w14:paraId="63C8494E" w14:textId="77777777" w:rsidR="00410071" w:rsidRPr="008E5A9E" w:rsidRDefault="00410071" w:rsidP="008E5A9E">
            <w:pPr>
              <w:pStyle w:val="TableText"/>
              <w:rPr>
                <w:b/>
              </w:rPr>
            </w:pPr>
            <w:r w:rsidRPr="008E5A9E">
              <w:rPr>
                <w:b/>
              </w:rPr>
              <w:t>National total</w:t>
            </w:r>
          </w:p>
        </w:tc>
        <w:tc>
          <w:tcPr>
            <w:tcW w:w="1134" w:type="dxa"/>
            <w:vAlign w:val="center"/>
          </w:tcPr>
          <w:p w14:paraId="15B12CB3" w14:textId="77777777" w:rsidR="00410071" w:rsidRPr="008E5A9E" w:rsidRDefault="00410071" w:rsidP="008E5A9E">
            <w:pPr>
              <w:pStyle w:val="TableText"/>
              <w:tabs>
                <w:tab w:val="decimal" w:pos="727"/>
              </w:tabs>
              <w:rPr>
                <w:b/>
                <w:bCs/>
                <w:szCs w:val="18"/>
              </w:rPr>
            </w:pPr>
            <w:r w:rsidRPr="008E5A9E">
              <w:rPr>
                <w:b/>
                <w:bCs/>
                <w:szCs w:val="18"/>
              </w:rPr>
              <w:t>191</w:t>
            </w:r>
          </w:p>
        </w:tc>
        <w:tc>
          <w:tcPr>
            <w:tcW w:w="1134" w:type="dxa"/>
            <w:vAlign w:val="center"/>
          </w:tcPr>
          <w:p w14:paraId="490C9011" w14:textId="77777777" w:rsidR="00410071" w:rsidRPr="008E5A9E" w:rsidRDefault="00410071" w:rsidP="008E5A9E">
            <w:pPr>
              <w:pStyle w:val="TableText"/>
              <w:tabs>
                <w:tab w:val="decimal" w:pos="652"/>
              </w:tabs>
              <w:rPr>
                <w:b/>
                <w:bCs/>
                <w:szCs w:val="18"/>
              </w:rPr>
            </w:pPr>
            <w:r w:rsidRPr="008E5A9E">
              <w:rPr>
                <w:b/>
                <w:bCs/>
                <w:szCs w:val="18"/>
              </w:rPr>
              <w:t>15</w:t>
            </w:r>
          </w:p>
        </w:tc>
        <w:tc>
          <w:tcPr>
            <w:tcW w:w="1418" w:type="dxa"/>
            <w:vAlign w:val="center"/>
          </w:tcPr>
          <w:p w14:paraId="01FFA922" w14:textId="77777777" w:rsidR="00410071" w:rsidRPr="008E5A9E" w:rsidRDefault="00410071" w:rsidP="008E5A9E">
            <w:pPr>
              <w:pStyle w:val="TableText"/>
              <w:jc w:val="center"/>
              <w:rPr>
                <w:b/>
                <w:bCs/>
                <w:szCs w:val="18"/>
              </w:rPr>
            </w:pPr>
            <w:r w:rsidRPr="008E5A9E">
              <w:rPr>
                <w:b/>
                <w:bCs/>
                <w:szCs w:val="18"/>
              </w:rPr>
              <w:t>3</w:t>
            </w:r>
          </w:p>
        </w:tc>
        <w:tc>
          <w:tcPr>
            <w:tcW w:w="992" w:type="dxa"/>
            <w:vAlign w:val="center"/>
          </w:tcPr>
          <w:p w14:paraId="48081F5E" w14:textId="77777777" w:rsidR="00410071" w:rsidRPr="008E5A9E" w:rsidRDefault="00410071" w:rsidP="008E5A9E">
            <w:pPr>
              <w:pStyle w:val="TableText"/>
              <w:jc w:val="center"/>
              <w:rPr>
                <w:b/>
                <w:bCs/>
                <w:szCs w:val="18"/>
              </w:rPr>
            </w:pPr>
            <w:r w:rsidRPr="008E5A9E">
              <w:rPr>
                <w:b/>
                <w:bCs/>
                <w:szCs w:val="18"/>
              </w:rPr>
              <w:t>2</w:t>
            </w:r>
          </w:p>
        </w:tc>
        <w:tc>
          <w:tcPr>
            <w:tcW w:w="991" w:type="dxa"/>
            <w:vAlign w:val="center"/>
          </w:tcPr>
          <w:p w14:paraId="7AA844D2" w14:textId="77777777" w:rsidR="00410071" w:rsidRPr="008E5A9E" w:rsidRDefault="00410071" w:rsidP="008E5A9E">
            <w:pPr>
              <w:pStyle w:val="TableText"/>
              <w:tabs>
                <w:tab w:val="decimal" w:pos="624"/>
              </w:tabs>
              <w:rPr>
                <w:b/>
                <w:bCs/>
                <w:szCs w:val="18"/>
              </w:rPr>
            </w:pPr>
            <w:r w:rsidRPr="008E5A9E">
              <w:rPr>
                <w:b/>
                <w:bCs/>
                <w:szCs w:val="18"/>
              </w:rPr>
              <w:t>211</w:t>
            </w:r>
          </w:p>
        </w:tc>
      </w:tr>
    </w:tbl>
    <w:p w14:paraId="563548DE" w14:textId="77777777" w:rsidR="00410071" w:rsidRPr="00200234" w:rsidRDefault="00410071" w:rsidP="008E5A9E">
      <w:pPr>
        <w:pStyle w:val="Note"/>
      </w:pPr>
      <w:r w:rsidRPr="00200234">
        <w:t>Note: AWOL = absent without leave.</w:t>
      </w:r>
    </w:p>
    <w:p w14:paraId="55394F1A" w14:textId="77777777" w:rsidR="00410071" w:rsidRPr="00200234" w:rsidRDefault="00410071" w:rsidP="008E5A9E">
      <w:pPr>
        <w:pStyle w:val="Source"/>
      </w:pPr>
      <w:r w:rsidRPr="00200234">
        <w:t>Source: HQSC adverse event data</w:t>
      </w:r>
      <w:r>
        <w:t xml:space="preserve"> (extracted</w:t>
      </w:r>
      <w:r w:rsidRPr="00200234">
        <w:t xml:space="preserve"> </w:t>
      </w:r>
      <w:r>
        <w:t>6 August 2021)</w:t>
      </w:r>
      <w:r w:rsidRPr="00200234">
        <w:t>.</w:t>
      </w:r>
    </w:p>
    <w:p w14:paraId="129C8C36" w14:textId="77777777" w:rsidR="00410071" w:rsidRPr="00ED4FA1" w:rsidRDefault="00410071" w:rsidP="008E5A9E"/>
    <w:p w14:paraId="1ABBBF72" w14:textId="77464F6D" w:rsidR="00410071" w:rsidRDefault="00410071" w:rsidP="008E5A9E">
      <w:pPr>
        <w:pStyle w:val="Table"/>
      </w:pPr>
      <w:bookmarkStart w:id="399" w:name="_Ref85452137"/>
      <w:bookmarkStart w:id="400" w:name="_Toc87430013"/>
      <w:bookmarkStart w:id="401" w:name="_Toc88561370"/>
      <w:r>
        <w:t>Table</w:t>
      </w:r>
      <w:r w:rsidR="008E5A9E">
        <w:t> </w:t>
      </w:r>
      <w:r w:rsidR="00592799">
        <w:fldChar w:fldCharType="begin"/>
      </w:r>
      <w:r w:rsidR="00592799">
        <w:instrText xml:space="preserve"> SEQ Table \* ARABIC </w:instrText>
      </w:r>
      <w:r w:rsidR="00592799">
        <w:fldChar w:fldCharType="separate"/>
      </w:r>
      <w:r w:rsidR="00840F18">
        <w:rPr>
          <w:noProof/>
        </w:rPr>
        <w:t>15</w:t>
      </w:r>
      <w:r w:rsidR="00592799">
        <w:rPr>
          <w:noProof/>
        </w:rPr>
        <w:fldChar w:fldCharType="end"/>
      </w:r>
      <w:bookmarkEnd w:id="399"/>
      <w:r w:rsidRPr="001559C7">
        <w:t>: Mental health adverse events that DHBs reported to the HQSC, by DHB, 1</w:t>
      </w:r>
      <w:r w:rsidR="008E5A9E">
        <w:t> </w:t>
      </w:r>
      <w:r w:rsidRPr="001559C7">
        <w:t>January to 31 December 2020</w:t>
      </w:r>
      <w:bookmarkEnd w:id="400"/>
      <w:bookmarkEnd w:id="401"/>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31"/>
        <w:gridCol w:w="129"/>
        <w:gridCol w:w="1627"/>
        <w:gridCol w:w="45"/>
        <w:gridCol w:w="525"/>
        <w:gridCol w:w="2123"/>
        <w:gridCol w:w="1700"/>
      </w:tblGrid>
      <w:tr w:rsidR="00410071" w:rsidRPr="00200234" w14:paraId="5F03158C" w14:textId="77777777" w:rsidTr="008E5A9E">
        <w:trPr>
          <w:cantSplit/>
        </w:trPr>
        <w:tc>
          <w:tcPr>
            <w:tcW w:w="1194" w:type="pct"/>
            <w:tcBorders>
              <w:top w:val="nil"/>
              <w:bottom w:val="nil"/>
            </w:tcBorders>
            <w:shd w:val="clear" w:color="auto" w:fill="D9D9D9" w:themeFill="background1" w:themeFillShade="D9"/>
          </w:tcPr>
          <w:p w14:paraId="2FAC4B5C" w14:textId="77777777" w:rsidR="00410071" w:rsidRPr="008E5A9E" w:rsidRDefault="00410071" w:rsidP="008E5A9E">
            <w:pPr>
              <w:pStyle w:val="TableText"/>
              <w:rPr>
                <w:b/>
              </w:rPr>
            </w:pPr>
            <w:r w:rsidRPr="008E5A9E">
              <w:rPr>
                <w:b/>
              </w:rPr>
              <w:t>DHB</w:t>
            </w:r>
          </w:p>
        </w:tc>
        <w:tc>
          <w:tcPr>
            <w:tcW w:w="1087" w:type="pct"/>
            <w:gridSpan w:val="2"/>
            <w:tcBorders>
              <w:top w:val="nil"/>
              <w:bottom w:val="nil"/>
            </w:tcBorders>
            <w:shd w:val="clear" w:color="auto" w:fill="D9D9D9" w:themeFill="background1" w:themeFillShade="D9"/>
          </w:tcPr>
          <w:p w14:paraId="7FD3E52E" w14:textId="77777777" w:rsidR="00410071" w:rsidRPr="008E5A9E" w:rsidRDefault="00410071" w:rsidP="008E5A9E">
            <w:pPr>
              <w:pStyle w:val="TableText"/>
              <w:jc w:val="center"/>
              <w:rPr>
                <w:b/>
              </w:rPr>
            </w:pPr>
            <w:r w:rsidRPr="008E5A9E">
              <w:rPr>
                <w:b/>
              </w:rPr>
              <w:t>Number of events</w:t>
            </w:r>
          </w:p>
        </w:tc>
        <w:tc>
          <w:tcPr>
            <w:tcW w:w="353" w:type="pct"/>
            <w:gridSpan w:val="2"/>
            <w:tcBorders>
              <w:top w:val="nil"/>
              <w:bottom w:val="nil"/>
            </w:tcBorders>
            <w:shd w:val="clear" w:color="auto" w:fill="auto"/>
          </w:tcPr>
          <w:p w14:paraId="7F0C10F7" w14:textId="77777777" w:rsidR="00410071" w:rsidRPr="00200234" w:rsidRDefault="00410071" w:rsidP="008E5A9E">
            <w:pPr>
              <w:pStyle w:val="TableText"/>
            </w:pPr>
          </w:p>
        </w:tc>
        <w:tc>
          <w:tcPr>
            <w:tcW w:w="1314" w:type="pct"/>
            <w:tcBorders>
              <w:top w:val="nil"/>
              <w:bottom w:val="nil"/>
            </w:tcBorders>
            <w:shd w:val="clear" w:color="auto" w:fill="D9D9D9" w:themeFill="background1" w:themeFillShade="D9"/>
          </w:tcPr>
          <w:p w14:paraId="0CF3CC4B" w14:textId="77777777" w:rsidR="00410071" w:rsidRPr="008E5A9E" w:rsidRDefault="00410071" w:rsidP="008E5A9E">
            <w:pPr>
              <w:pStyle w:val="TableText"/>
              <w:rPr>
                <w:b/>
              </w:rPr>
            </w:pPr>
            <w:r w:rsidRPr="008E5A9E">
              <w:rPr>
                <w:b/>
              </w:rPr>
              <w:t>DHB</w:t>
            </w:r>
          </w:p>
        </w:tc>
        <w:tc>
          <w:tcPr>
            <w:tcW w:w="1053" w:type="pct"/>
            <w:tcBorders>
              <w:top w:val="nil"/>
              <w:bottom w:val="nil"/>
            </w:tcBorders>
            <w:shd w:val="clear" w:color="auto" w:fill="D9D9D9" w:themeFill="background1" w:themeFillShade="D9"/>
          </w:tcPr>
          <w:p w14:paraId="7FF116C2" w14:textId="77777777" w:rsidR="00410071" w:rsidRPr="008E5A9E" w:rsidRDefault="00410071" w:rsidP="008E5A9E">
            <w:pPr>
              <w:pStyle w:val="TableText"/>
              <w:jc w:val="center"/>
              <w:rPr>
                <w:b/>
              </w:rPr>
            </w:pPr>
            <w:r w:rsidRPr="008E5A9E">
              <w:rPr>
                <w:b/>
              </w:rPr>
              <w:t>Number of events</w:t>
            </w:r>
          </w:p>
        </w:tc>
      </w:tr>
      <w:tr w:rsidR="00410071" w:rsidRPr="00200234" w14:paraId="0357D348" w14:textId="77777777" w:rsidTr="008E5A9E">
        <w:trPr>
          <w:cantSplit/>
        </w:trPr>
        <w:tc>
          <w:tcPr>
            <w:tcW w:w="1194" w:type="pct"/>
            <w:tcBorders>
              <w:top w:val="nil"/>
            </w:tcBorders>
          </w:tcPr>
          <w:p w14:paraId="145E8C7B" w14:textId="77777777" w:rsidR="00410071" w:rsidRPr="00200234" w:rsidRDefault="00410071" w:rsidP="008E5A9E">
            <w:pPr>
              <w:pStyle w:val="TableText"/>
            </w:pPr>
            <w:r w:rsidRPr="00200234">
              <w:t>Auckland</w:t>
            </w:r>
          </w:p>
        </w:tc>
        <w:tc>
          <w:tcPr>
            <w:tcW w:w="1087" w:type="pct"/>
            <w:gridSpan w:val="2"/>
            <w:tcBorders>
              <w:top w:val="nil"/>
            </w:tcBorders>
          </w:tcPr>
          <w:p w14:paraId="0A3FFE63" w14:textId="77777777" w:rsidR="00410071" w:rsidRPr="00200234" w:rsidRDefault="00410071" w:rsidP="008E5A9E">
            <w:pPr>
              <w:pStyle w:val="TableText"/>
              <w:tabs>
                <w:tab w:val="decimal" w:pos="936"/>
              </w:tabs>
            </w:pPr>
            <w:r w:rsidRPr="00200234">
              <w:t>2</w:t>
            </w:r>
            <w:r>
              <w:t>2</w:t>
            </w:r>
          </w:p>
        </w:tc>
        <w:tc>
          <w:tcPr>
            <w:tcW w:w="353" w:type="pct"/>
            <w:gridSpan w:val="2"/>
            <w:tcBorders>
              <w:top w:val="nil"/>
              <w:bottom w:val="nil"/>
            </w:tcBorders>
            <w:shd w:val="clear" w:color="auto" w:fill="auto"/>
          </w:tcPr>
          <w:p w14:paraId="540EDC2D" w14:textId="77777777" w:rsidR="00410071" w:rsidRPr="00200234" w:rsidRDefault="00410071" w:rsidP="008E5A9E">
            <w:pPr>
              <w:pStyle w:val="TableText"/>
            </w:pPr>
          </w:p>
        </w:tc>
        <w:tc>
          <w:tcPr>
            <w:tcW w:w="1314" w:type="pct"/>
            <w:tcBorders>
              <w:top w:val="nil"/>
            </w:tcBorders>
          </w:tcPr>
          <w:p w14:paraId="59219DBC" w14:textId="77777777" w:rsidR="00410071" w:rsidRPr="00200234" w:rsidRDefault="00410071" w:rsidP="008E5A9E">
            <w:pPr>
              <w:pStyle w:val="TableText"/>
            </w:pPr>
            <w:r w:rsidRPr="00200234">
              <w:t>Northland</w:t>
            </w:r>
          </w:p>
        </w:tc>
        <w:tc>
          <w:tcPr>
            <w:tcW w:w="1053" w:type="pct"/>
            <w:tcBorders>
              <w:top w:val="nil"/>
            </w:tcBorders>
          </w:tcPr>
          <w:p w14:paraId="79AD2B02" w14:textId="77777777" w:rsidR="00410071" w:rsidRPr="00200234" w:rsidRDefault="00410071" w:rsidP="008E5A9E">
            <w:pPr>
              <w:pStyle w:val="TableText"/>
              <w:tabs>
                <w:tab w:val="decimal" w:pos="936"/>
              </w:tabs>
            </w:pPr>
            <w:r>
              <w:t>10</w:t>
            </w:r>
          </w:p>
        </w:tc>
      </w:tr>
      <w:tr w:rsidR="00410071" w:rsidRPr="00200234" w14:paraId="0CE2057D" w14:textId="77777777" w:rsidTr="008E5A9E">
        <w:trPr>
          <w:cantSplit/>
        </w:trPr>
        <w:tc>
          <w:tcPr>
            <w:tcW w:w="1194" w:type="pct"/>
          </w:tcPr>
          <w:p w14:paraId="5B5125D4" w14:textId="77777777" w:rsidR="00410071" w:rsidRPr="00200234" w:rsidRDefault="00410071" w:rsidP="008E5A9E">
            <w:pPr>
              <w:pStyle w:val="TableText"/>
            </w:pPr>
            <w:r w:rsidRPr="00200234">
              <w:t>Bay of Plenty</w:t>
            </w:r>
          </w:p>
        </w:tc>
        <w:tc>
          <w:tcPr>
            <w:tcW w:w="1087" w:type="pct"/>
            <w:gridSpan w:val="2"/>
          </w:tcPr>
          <w:p w14:paraId="53252A74" w14:textId="77777777" w:rsidR="00410071" w:rsidRPr="00200234" w:rsidRDefault="00410071" w:rsidP="008E5A9E">
            <w:pPr>
              <w:pStyle w:val="TableText"/>
              <w:tabs>
                <w:tab w:val="decimal" w:pos="936"/>
              </w:tabs>
            </w:pPr>
            <w:r w:rsidRPr="00200234">
              <w:t>8</w:t>
            </w:r>
          </w:p>
        </w:tc>
        <w:tc>
          <w:tcPr>
            <w:tcW w:w="353" w:type="pct"/>
            <w:gridSpan w:val="2"/>
            <w:tcBorders>
              <w:top w:val="nil"/>
              <w:bottom w:val="nil"/>
            </w:tcBorders>
            <w:shd w:val="clear" w:color="auto" w:fill="auto"/>
          </w:tcPr>
          <w:p w14:paraId="53DA8852" w14:textId="77777777" w:rsidR="00410071" w:rsidRPr="00200234" w:rsidRDefault="00410071" w:rsidP="008E5A9E">
            <w:pPr>
              <w:pStyle w:val="TableText"/>
            </w:pPr>
          </w:p>
        </w:tc>
        <w:tc>
          <w:tcPr>
            <w:tcW w:w="1314" w:type="pct"/>
          </w:tcPr>
          <w:p w14:paraId="01AC8603" w14:textId="77777777" w:rsidR="00410071" w:rsidRPr="00200234" w:rsidRDefault="00410071" w:rsidP="008E5A9E">
            <w:pPr>
              <w:pStyle w:val="TableText"/>
            </w:pPr>
            <w:r w:rsidRPr="00200234">
              <w:t>South Canterbury</w:t>
            </w:r>
          </w:p>
        </w:tc>
        <w:tc>
          <w:tcPr>
            <w:tcW w:w="1053" w:type="pct"/>
          </w:tcPr>
          <w:p w14:paraId="529DDADC" w14:textId="77777777" w:rsidR="00410071" w:rsidRPr="00200234" w:rsidRDefault="00410071" w:rsidP="008E5A9E">
            <w:pPr>
              <w:pStyle w:val="TableText"/>
              <w:tabs>
                <w:tab w:val="decimal" w:pos="936"/>
              </w:tabs>
            </w:pPr>
            <w:r>
              <w:t>2</w:t>
            </w:r>
          </w:p>
        </w:tc>
      </w:tr>
      <w:tr w:rsidR="00410071" w:rsidRPr="00200234" w14:paraId="4AC535FD" w14:textId="77777777" w:rsidTr="008E5A9E">
        <w:trPr>
          <w:cantSplit/>
        </w:trPr>
        <w:tc>
          <w:tcPr>
            <w:tcW w:w="1194" w:type="pct"/>
          </w:tcPr>
          <w:p w14:paraId="55F9558A" w14:textId="77777777" w:rsidR="00410071" w:rsidRPr="00200234" w:rsidRDefault="00410071" w:rsidP="008E5A9E">
            <w:pPr>
              <w:pStyle w:val="TableText"/>
            </w:pPr>
            <w:r w:rsidRPr="00200234">
              <w:t>Canterbury</w:t>
            </w:r>
          </w:p>
        </w:tc>
        <w:tc>
          <w:tcPr>
            <w:tcW w:w="1087" w:type="pct"/>
            <w:gridSpan w:val="2"/>
          </w:tcPr>
          <w:p w14:paraId="595373C3" w14:textId="77777777" w:rsidR="00410071" w:rsidRPr="00200234" w:rsidRDefault="00410071" w:rsidP="008E5A9E">
            <w:pPr>
              <w:pStyle w:val="TableText"/>
              <w:tabs>
                <w:tab w:val="decimal" w:pos="936"/>
              </w:tabs>
            </w:pPr>
            <w:r>
              <w:t>17</w:t>
            </w:r>
          </w:p>
        </w:tc>
        <w:tc>
          <w:tcPr>
            <w:tcW w:w="353" w:type="pct"/>
            <w:gridSpan w:val="2"/>
            <w:tcBorders>
              <w:top w:val="nil"/>
              <w:bottom w:val="nil"/>
            </w:tcBorders>
            <w:shd w:val="clear" w:color="auto" w:fill="auto"/>
          </w:tcPr>
          <w:p w14:paraId="718CD781" w14:textId="77777777" w:rsidR="00410071" w:rsidRPr="00200234" w:rsidRDefault="00410071" w:rsidP="008E5A9E">
            <w:pPr>
              <w:pStyle w:val="TableText"/>
            </w:pPr>
          </w:p>
        </w:tc>
        <w:tc>
          <w:tcPr>
            <w:tcW w:w="1314" w:type="pct"/>
          </w:tcPr>
          <w:p w14:paraId="43345DA2" w14:textId="77777777" w:rsidR="00410071" w:rsidRPr="00200234" w:rsidRDefault="00410071" w:rsidP="008E5A9E">
            <w:pPr>
              <w:pStyle w:val="TableText"/>
            </w:pPr>
            <w:r w:rsidRPr="00200234">
              <w:t>Southern</w:t>
            </w:r>
          </w:p>
        </w:tc>
        <w:tc>
          <w:tcPr>
            <w:tcW w:w="1053" w:type="pct"/>
          </w:tcPr>
          <w:p w14:paraId="4AF8EDBD" w14:textId="77777777" w:rsidR="00410071" w:rsidRPr="00200234" w:rsidRDefault="00410071" w:rsidP="008E5A9E">
            <w:pPr>
              <w:pStyle w:val="TableText"/>
              <w:tabs>
                <w:tab w:val="decimal" w:pos="936"/>
              </w:tabs>
            </w:pPr>
            <w:r>
              <w:t>17</w:t>
            </w:r>
          </w:p>
        </w:tc>
      </w:tr>
      <w:tr w:rsidR="00410071" w:rsidRPr="00200234" w14:paraId="574771C6" w14:textId="77777777" w:rsidTr="008E5A9E">
        <w:trPr>
          <w:cantSplit/>
        </w:trPr>
        <w:tc>
          <w:tcPr>
            <w:tcW w:w="1194" w:type="pct"/>
          </w:tcPr>
          <w:p w14:paraId="0AB50BF2" w14:textId="77777777" w:rsidR="00410071" w:rsidRPr="00200234" w:rsidRDefault="00410071" w:rsidP="008E5A9E">
            <w:pPr>
              <w:pStyle w:val="TableText"/>
            </w:pPr>
            <w:r w:rsidRPr="00200234">
              <w:t>Capital &amp; Coast</w:t>
            </w:r>
          </w:p>
        </w:tc>
        <w:tc>
          <w:tcPr>
            <w:tcW w:w="1087" w:type="pct"/>
            <w:gridSpan w:val="2"/>
          </w:tcPr>
          <w:p w14:paraId="5E97FF01" w14:textId="77777777" w:rsidR="00410071" w:rsidRPr="00200234" w:rsidRDefault="00410071" w:rsidP="008E5A9E">
            <w:pPr>
              <w:pStyle w:val="TableText"/>
              <w:tabs>
                <w:tab w:val="decimal" w:pos="936"/>
              </w:tabs>
            </w:pPr>
            <w:r w:rsidRPr="00200234">
              <w:t>1</w:t>
            </w:r>
            <w:r>
              <w:t>9</w:t>
            </w:r>
          </w:p>
        </w:tc>
        <w:tc>
          <w:tcPr>
            <w:tcW w:w="353" w:type="pct"/>
            <w:gridSpan w:val="2"/>
            <w:tcBorders>
              <w:top w:val="nil"/>
              <w:bottom w:val="nil"/>
            </w:tcBorders>
            <w:shd w:val="clear" w:color="auto" w:fill="auto"/>
          </w:tcPr>
          <w:p w14:paraId="081EBD22" w14:textId="77777777" w:rsidR="00410071" w:rsidRPr="00200234" w:rsidRDefault="00410071" w:rsidP="008E5A9E">
            <w:pPr>
              <w:pStyle w:val="TableText"/>
            </w:pPr>
          </w:p>
        </w:tc>
        <w:tc>
          <w:tcPr>
            <w:tcW w:w="1314" w:type="pct"/>
          </w:tcPr>
          <w:p w14:paraId="1E4A66D1" w14:textId="77777777" w:rsidR="00410071" w:rsidRPr="00200234" w:rsidRDefault="00410071" w:rsidP="008E5A9E">
            <w:pPr>
              <w:pStyle w:val="TableText"/>
            </w:pPr>
            <w:r w:rsidRPr="00200234">
              <w:t>Tairāwhiti</w:t>
            </w:r>
          </w:p>
        </w:tc>
        <w:tc>
          <w:tcPr>
            <w:tcW w:w="1053" w:type="pct"/>
          </w:tcPr>
          <w:p w14:paraId="275732E0" w14:textId="77777777" w:rsidR="00410071" w:rsidRPr="00200234" w:rsidRDefault="00410071" w:rsidP="008E5A9E">
            <w:pPr>
              <w:pStyle w:val="TableText"/>
              <w:tabs>
                <w:tab w:val="decimal" w:pos="936"/>
              </w:tabs>
            </w:pPr>
            <w:r>
              <w:t>1</w:t>
            </w:r>
          </w:p>
        </w:tc>
      </w:tr>
      <w:tr w:rsidR="00410071" w:rsidRPr="00200234" w14:paraId="4B4F014D" w14:textId="77777777" w:rsidTr="008E5A9E">
        <w:trPr>
          <w:cantSplit/>
        </w:trPr>
        <w:tc>
          <w:tcPr>
            <w:tcW w:w="1194" w:type="pct"/>
          </w:tcPr>
          <w:p w14:paraId="6AE48DD2" w14:textId="77777777" w:rsidR="00410071" w:rsidRPr="00200234" w:rsidRDefault="00410071" w:rsidP="008E5A9E">
            <w:pPr>
              <w:pStyle w:val="TableText"/>
            </w:pPr>
            <w:r w:rsidRPr="00200234">
              <w:t>Counties Manukau</w:t>
            </w:r>
          </w:p>
        </w:tc>
        <w:tc>
          <w:tcPr>
            <w:tcW w:w="1087" w:type="pct"/>
            <w:gridSpan w:val="2"/>
          </w:tcPr>
          <w:p w14:paraId="5D21A9C6" w14:textId="77777777" w:rsidR="00410071" w:rsidRPr="00200234" w:rsidRDefault="00410071" w:rsidP="008E5A9E">
            <w:pPr>
              <w:pStyle w:val="TableText"/>
              <w:tabs>
                <w:tab w:val="decimal" w:pos="936"/>
              </w:tabs>
            </w:pPr>
            <w:r>
              <w:t>20</w:t>
            </w:r>
          </w:p>
        </w:tc>
        <w:tc>
          <w:tcPr>
            <w:tcW w:w="353" w:type="pct"/>
            <w:gridSpan w:val="2"/>
            <w:tcBorders>
              <w:top w:val="nil"/>
              <w:bottom w:val="nil"/>
            </w:tcBorders>
            <w:shd w:val="clear" w:color="auto" w:fill="auto"/>
          </w:tcPr>
          <w:p w14:paraId="6F7AEDC3" w14:textId="77777777" w:rsidR="00410071" w:rsidRPr="00200234" w:rsidRDefault="00410071" w:rsidP="008E5A9E">
            <w:pPr>
              <w:pStyle w:val="TableText"/>
            </w:pPr>
          </w:p>
        </w:tc>
        <w:tc>
          <w:tcPr>
            <w:tcW w:w="1314" w:type="pct"/>
          </w:tcPr>
          <w:p w14:paraId="5A005410" w14:textId="77777777" w:rsidR="00410071" w:rsidRPr="00200234" w:rsidRDefault="00410071" w:rsidP="008E5A9E">
            <w:pPr>
              <w:pStyle w:val="TableText"/>
            </w:pPr>
            <w:r w:rsidRPr="00200234">
              <w:t>Taranaki</w:t>
            </w:r>
          </w:p>
        </w:tc>
        <w:tc>
          <w:tcPr>
            <w:tcW w:w="1053" w:type="pct"/>
          </w:tcPr>
          <w:p w14:paraId="59A5DE53" w14:textId="77777777" w:rsidR="00410071" w:rsidRPr="00200234" w:rsidRDefault="00410071" w:rsidP="008E5A9E">
            <w:pPr>
              <w:pStyle w:val="TableText"/>
              <w:tabs>
                <w:tab w:val="decimal" w:pos="936"/>
              </w:tabs>
            </w:pPr>
            <w:r>
              <w:t>9</w:t>
            </w:r>
          </w:p>
        </w:tc>
      </w:tr>
      <w:tr w:rsidR="00410071" w:rsidRPr="00200234" w14:paraId="50363BBB" w14:textId="77777777" w:rsidTr="008E5A9E">
        <w:trPr>
          <w:cantSplit/>
        </w:trPr>
        <w:tc>
          <w:tcPr>
            <w:tcW w:w="1194" w:type="pct"/>
          </w:tcPr>
          <w:p w14:paraId="30F1B712" w14:textId="77777777" w:rsidR="00410071" w:rsidRPr="00200234" w:rsidRDefault="00410071" w:rsidP="008E5A9E">
            <w:pPr>
              <w:pStyle w:val="TableText"/>
            </w:pPr>
            <w:r w:rsidRPr="00200234">
              <w:t>Hawke</w:t>
            </w:r>
            <w:r w:rsidR="0039221C">
              <w:t>’</w:t>
            </w:r>
            <w:r w:rsidRPr="00200234">
              <w:t>s Bay</w:t>
            </w:r>
          </w:p>
        </w:tc>
        <w:tc>
          <w:tcPr>
            <w:tcW w:w="1087" w:type="pct"/>
            <w:gridSpan w:val="2"/>
          </w:tcPr>
          <w:p w14:paraId="44090E0C" w14:textId="77777777" w:rsidR="00410071" w:rsidRPr="00200234" w:rsidRDefault="00410071" w:rsidP="008E5A9E">
            <w:pPr>
              <w:pStyle w:val="TableText"/>
              <w:tabs>
                <w:tab w:val="decimal" w:pos="936"/>
              </w:tabs>
            </w:pPr>
            <w:r>
              <w:t>7</w:t>
            </w:r>
          </w:p>
        </w:tc>
        <w:tc>
          <w:tcPr>
            <w:tcW w:w="353" w:type="pct"/>
            <w:gridSpan w:val="2"/>
            <w:tcBorders>
              <w:top w:val="nil"/>
              <w:bottom w:val="nil"/>
            </w:tcBorders>
            <w:shd w:val="clear" w:color="auto" w:fill="auto"/>
          </w:tcPr>
          <w:p w14:paraId="2A6CBA67" w14:textId="77777777" w:rsidR="00410071" w:rsidRPr="00200234" w:rsidRDefault="00410071" w:rsidP="008E5A9E">
            <w:pPr>
              <w:pStyle w:val="TableText"/>
            </w:pPr>
          </w:p>
        </w:tc>
        <w:tc>
          <w:tcPr>
            <w:tcW w:w="1314" w:type="pct"/>
          </w:tcPr>
          <w:p w14:paraId="2837C54E" w14:textId="77777777" w:rsidR="00410071" w:rsidRPr="00200234" w:rsidRDefault="00410071" w:rsidP="008E5A9E">
            <w:pPr>
              <w:pStyle w:val="TableText"/>
            </w:pPr>
            <w:r w:rsidRPr="00200234">
              <w:t>Waikato</w:t>
            </w:r>
          </w:p>
        </w:tc>
        <w:tc>
          <w:tcPr>
            <w:tcW w:w="1053" w:type="pct"/>
          </w:tcPr>
          <w:p w14:paraId="7E990A8A" w14:textId="77777777" w:rsidR="00410071" w:rsidRPr="00200234" w:rsidRDefault="00410071" w:rsidP="008E5A9E">
            <w:pPr>
              <w:pStyle w:val="TableText"/>
              <w:tabs>
                <w:tab w:val="decimal" w:pos="936"/>
              </w:tabs>
            </w:pPr>
            <w:r w:rsidRPr="00200234">
              <w:t>1</w:t>
            </w:r>
            <w:r>
              <w:t>3</w:t>
            </w:r>
          </w:p>
        </w:tc>
      </w:tr>
      <w:tr w:rsidR="00410071" w:rsidRPr="00200234" w14:paraId="2FCA562B" w14:textId="77777777" w:rsidTr="008E5A9E">
        <w:trPr>
          <w:cantSplit/>
        </w:trPr>
        <w:tc>
          <w:tcPr>
            <w:tcW w:w="1194" w:type="pct"/>
          </w:tcPr>
          <w:p w14:paraId="4B9E487A" w14:textId="77777777" w:rsidR="00410071" w:rsidRPr="00200234" w:rsidRDefault="00410071" w:rsidP="008E5A9E">
            <w:pPr>
              <w:pStyle w:val="TableText"/>
            </w:pPr>
            <w:r w:rsidRPr="00200234">
              <w:t>Hutt Valley</w:t>
            </w:r>
          </w:p>
        </w:tc>
        <w:tc>
          <w:tcPr>
            <w:tcW w:w="1087" w:type="pct"/>
            <w:gridSpan w:val="2"/>
          </w:tcPr>
          <w:p w14:paraId="124F5E78" w14:textId="77777777" w:rsidR="00410071" w:rsidRPr="00200234" w:rsidRDefault="00410071" w:rsidP="008E5A9E">
            <w:pPr>
              <w:pStyle w:val="TableText"/>
              <w:tabs>
                <w:tab w:val="decimal" w:pos="936"/>
              </w:tabs>
            </w:pPr>
            <w:r>
              <w:t>2</w:t>
            </w:r>
          </w:p>
        </w:tc>
        <w:tc>
          <w:tcPr>
            <w:tcW w:w="353" w:type="pct"/>
            <w:gridSpan w:val="2"/>
            <w:tcBorders>
              <w:top w:val="nil"/>
              <w:bottom w:val="nil"/>
            </w:tcBorders>
            <w:shd w:val="clear" w:color="auto" w:fill="auto"/>
          </w:tcPr>
          <w:p w14:paraId="09E7D586" w14:textId="77777777" w:rsidR="00410071" w:rsidRPr="00200234" w:rsidRDefault="00410071" w:rsidP="008E5A9E">
            <w:pPr>
              <w:pStyle w:val="TableText"/>
            </w:pPr>
          </w:p>
        </w:tc>
        <w:tc>
          <w:tcPr>
            <w:tcW w:w="1314" w:type="pct"/>
          </w:tcPr>
          <w:p w14:paraId="1DF72470" w14:textId="77777777" w:rsidR="00410071" w:rsidRPr="00200234" w:rsidRDefault="00410071" w:rsidP="008E5A9E">
            <w:pPr>
              <w:pStyle w:val="TableText"/>
            </w:pPr>
            <w:r w:rsidRPr="00200234">
              <w:t>Wairarapa</w:t>
            </w:r>
          </w:p>
        </w:tc>
        <w:tc>
          <w:tcPr>
            <w:tcW w:w="1053" w:type="pct"/>
          </w:tcPr>
          <w:p w14:paraId="2D3D9D5A" w14:textId="77777777" w:rsidR="00410071" w:rsidRPr="00200234" w:rsidRDefault="00410071" w:rsidP="008E5A9E">
            <w:pPr>
              <w:pStyle w:val="TableText"/>
              <w:tabs>
                <w:tab w:val="decimal" w:pos="936"/>
              </w:tabs>
            </w:pPr>
            <w:r>
              <w:t>1</w:t>
            </w:r>
          </w:p>
        </w:tc>
      </w:tr>
      <w:tr w:rsidR="00410071" w:rsidRPr="00200234" w14:paraId="2E160411" w14:textId="77777777" w:rsidTr="008E5A9E">
        <w:trPr>
          <w:cantSplit/>
        </w:trPr>
        <w:tc>
          <w:tcPr>
            <w:tcW w:w="1194" w:type="pct"/>
          </w:tcPr>
          <w:p w14:paraId="00588C9C" w14:textId="77777777" w:rsidR="00410071" w:rsidRPr="00200234" w:rsidRDefault="00410071" w:rsidP="008E5A9E">
            <w:pPr>
              <w:pStyle w:val="TableText"/>
            </w:pPr>
            <w:r w:rsidRPr="00200234">
              <w:t>Lakes</w:t>
            </w:r>
          </w:p>
        </w:tc>
        <w:tc>
          <w:tcPr>
            <w:tcW w:w="1087" w:type="pct"/>
            <w:gridSpan w:val="2"/>
          </w:tcPr>
          <w:p w14:paraId="6017001B" w14:textId="77777777" w:rsidR="00410071" w:rsidRPr="00200234" w:rsidRDefault="00410071" w:rsidP="008E5A9E">
            <w:pPr>
              <w:pStyle w:val="TableText"/>
              <w:tabs>
                <w:tab w:val="decimal" w:pos="936"/>
              </w:tabs>
            </w:pPr>
            <w:r w:rsidRPr="00200234">
              <w:t>9</w:t>
            </w:r>
          </w:p>
        </w:tc>
        <w:tc>
          <w:tcPr>
            <w:tcW w:w="353" w:type="pct"/>
            <w:gridSpan w:val="2"/>
            <w:tcBorders>
              <w:top w:val="nil"/>
              <w:bottom w:val="nil"/>
            </w:tcBorders>
            <w:shd w:val="clear" w:color="auto" w:fill="auto"/>
          </w:tcPr>
          <w:p w14:paraId="6D6BF7EE" w14:textId="77777777" w:rsidR="00410071" w:rsidRPr="00200234" w:rsidRDefault="00410071" w:rsidP="008E5A9E">
            <w:pPr>
              <w:pStyle w:val="TableText"/>
            </w:pPr>
          </w:p>
        </w:tc>
        <w:tc>
          <w:tcPr>
            <w:tcW w:w="1314" w:type="pct"/>
          </w:tcPr>
          <w:p w14:paraId="621351CE" w14:textId="77777777" w:rsidR="00410071" w:rsidRPr="00200234" w:rsidRDefault="00410071" w:rsidP="008E5A9E">
            <w:pPr>
              <w:pStyle w:val="TableText"/>
            </w:pPr>
            <w:r w:rsidRPr="00200234">
              <w:t>Waitematā</w:t>
            </w:r>
          </w:p>
        </w:tc>
        <w:tc>
          <w:tcPr>
            <w:tcW w:w="1053" w:type="pct"/>
          </w:tcPr>
          <w:p w14:paraId="1A363EDA" w14:textId="77777777" w:rsidR="00410071" w:rsidRPr="00200234" w:rsidRDefault="00410071" w:rsidP="008E5A9E">
            <w:pPr>
              <w:pStyle w:val="TableText"/>
              <w:tabs>
                <w:tab w:val="decimal" w:pos="936"/>
              </w:tabs>
            </w:pPr>
            <w:r>
              <w:t>32</w:t>
            </w:r>
          </w:p>
        </w:tc>
      </w:tr>
      <w:tr w:rsidR="00410071" w:rsidRPr="00200234" w14:paraId="46149DD6" w14:textId="77777777" w:rsidTr="008E5A9E">
        <w:trPr>
          <w:cantSplit/>
        </w:trPr>
        <w:tc>
          <w:tcPr>
            <w:tcW w:w="1194" w:type="pct"/>
          </w:tcPr>
          <w:p w14:paraId="1DA6D5F9" w14:textId="77777777" w:rsidR="00410071" w:rsidRPr="00200234" w:rsidRDefault="00410071" w:rsidP="008E5A9E">
            <w:pPr>
              <w:pStyle w:val="TableText"/>
            </w:pPr>
            <w:r w:rsidRPr="00200234">
              <w:t>MidCentral</w:t>
            </w:r>
          </w:p>
        </w:tc>
        <w:tc>
          <w:tcPr>
            <w:tcW w:w="1087" w:type="pct"/>
            <w:gridSpan w:val="2"/>
          </w:tcPr>
          <w:p w14:paraId="246B641C" w14:textId="77777777" w:rsidR="00410071" w:rsidRPr="00200234" w:rsidRDefault="00410071" w:rsidP="008E5A9E">
            <w:pPr>
              <w:pStyle w:val="TableText"/>
              <w:tabs>
                <w:tab w:val="decimal" w:pos="936"/>
              </w:tabs>
            </w:pPr>
            <w:r>
              <w:t>5</w:t>
            </w:r>
          </w:p>
        </w:tc>
        <w:tc>
          <w:tcPr>
            <w:tcW w:w="353" w:type="pct"/>
            <w:gridSpan w:val="2"/>
            <w:tcBorders>
              <w:top w:val="nil"/>
              <w:bottom w:val="nil"/>
            </w:tcBorders>
            <w:shd w:val="clear" w:color="auto" w:fill="auto"/>
          </w:tcPr>
          <w:p w14:paraId="46EC57EB" w14:textId="77777777" w:rsidR="00410071" w:rsidRPr="00200234" w:rsidRDefault="00410071" w:rsidP="008E5A9E">
            <w:pPr>
              <w:pStyle w:val="TableText"/>
            </w:pPr>
          </w:p>
        </w:tc>
        <w:tc>
          <w:tcPr>
            <w:tcW w:w="1314" w:type="pct"/>
          </w:tcPr>
          <w:p w14:paraId="73F5B2BA" w14:textId="77777777" w:rsidR="00410071" w:rsidRPr="00200234" w:rsidRDefault="00410071" w:rsidP="008E5A9E">
            <w:pPr>
              <w:pStyle w:val="TableText"/>
            </w:pPr>
            <w:r w:rsidRPr="00200234">
              <w:t>West Coast</w:t>
            </w:r>
          </w:p>
        </w:tc>
        <w:tc>
          <w:tcPr>
            <w:tcW w:w="1053" w:type="pct"/>
          </w:tcPr>
          <w:p w14:paraId="33D67A0A" w14:textId="77777777" w:rsidR="00410071" w:rsidRPr="00200234" w:rsidRDefault="00410071" w:rsidP="008E5A9E">
            <w:pPr>
              <w:pStyle w:val="TableText"/>
              <w:tabs>
                <w:tab w:val="decimal" w:pos="936"/>
              </w:tabs>
            </w:pPr>
            <w:r>
              <w:t>4</w:t>
            </w:r>
          </w:p>
        </w:tc>
      </w:tr>
      <w:tr w:rsidR="00410071" w:rsidRPr="00200234" w14:paraId="50469207" w14:textId="77777777" w:rsidTr="008E5A9E">
        <w:trPr>
          <w:cantSplit/>
        </w:trPr>
        <w:tc>
          <w:tcPr>
            <w:tcW w:w="1194" w:type="pct"/>
            <w:tcBorders>
              <w:bottom w:val="single" w:sz="4" w:space="0" w:color="A6A6A6" w:themeColor="background1" w:themeShade="A6"/>
            </w:tcBorders>
          </w:tcPr>
          <w:p w14:paraId="1FF7EA2B" w14:textId="77777777" w:rsidR="00410071" w:rsidRPr="00200234" w:rsidRDefault="00410071" w:rsidP="008E5A9E">
            <w:pPr>
              <w:pStyle w:val="TableText"/>
            </w:pPr>
            <w:r w:rsidRPr="00200234">
              <w:t>Nelson Marlborough</w:t>
            </w:r>
          </w:p>
        </w:tc>
        <w:tc>
          <w:tcPr>
            <w:tcW w:w="1087" w:type="pct"/>
            <w:gridSpan w:val="2"/>
            <w:tcBorders>
              <w:bottom w:val="single" w:sz="4" w:space="0" w:color="A6A6A6" w:themeColor="background1" w:themeShade="A6"/>
            </w:tcBorders>
          </w:tcPr>
          <w:p w14:paraId="04DF3BC8" w14:textId="77777777" w:rsidR="00410071" w:rsidRPr="00200234" w:rsidRDefault="00410071" w:rsidP="008E5A9E">
            <w:pPr>
              <w:pStyle w:val="TableText"/>
              <w:tabs>
                <w:tab w:val="decimal" w:pos="936"/>
              </w:tabs>
            </w:pPr>
            <w:r>
              <w:t>9</w:t>
            </w:r>
          </w:p>
        </w:tc>
        <w:tc>
          <w:tcPr>
            <w:tcW w:w="353" w:type="pct"/>
            <w:gridSpan w:val="2"/>
            <w:tcBorders>
              <w:top w:val="nil"/>
              <w:bottom w:val="nil"/>
            </w:tcBorders>
            <w:shd w:val="clear" w:color="auto" w:fill="auto"/>
          </w:tcPr>
          <w:p w14:paraId="03051810" w14:textId="77777777" w:rsidR="00410071" w:rsidRPr="00200234" w:rsidRDefault="00410071" w:rsidP="008E5A9E">
            <w:pPr>
              <w:pStyle w:val="TableText"/>
            </w:pPr>
          </w:p>
        </w:tc>
        <w:tc>
          <w:tcPr>
            <w:tcW w:w="1314" w:type="pct"/>
          </w:tcPr>
          <w:p w14:paraId="7578DE53" w14:textId="77777777" w:rsidR="00410071" w:rsidRPr="00200234" w:rsidRDefault="00410071" w:rsidP="008E5A9E">
            <w:pPr>
              <w:pStyle w:val="TableText"/>
            </w:pPr>
            <w:r w:rsidRPr="00200234">
              <w:t>Whanganui</w:t>
            </w:r>
          </w:p>
        </w:tc>
        <w:tc>
          <w:tcPr>
            <w:tcW w:w="1053" w:type="pct"/>
          </w:tcPr>
          <w:p w14:paraId="38F5FF0E" w14:textId="77777777" w:rsidR="00410071" w:rsidRPr="00200234" w:rsidRDefault="00410071" w:rsidP="008E5A9E">
            <w:pPr>
              <w:pStyle w:val="TableText"/>
              <w:tabs>
                <w:tab w:val="decimal" w:pos="936"/>
              </w:tabs>
            </w:pPr>
            <w:r w:rsidRPr="00200234">
              <w:t>4</w:t>
            </w:r>
          </w:p>
        </w:tc>
      </w:tr>
      <w:tr w:rsidR="00410071" w:rsidRPr="00200234" w14:paraId="1C72345C" w14:textId="77777777" w:rsidTr="008E5A9E">
        <w:trPr>
          <w:cantSplit/>
        </w:trPr>
        <w:tc>
          <w:tcPr>
            <w:tcW w:w="1274" w:type="pct"/>
            <w:gridSpan w:val="2"/>
            <w:tcBorders>
              <w:bottom w:val="nil"/>
            </w:tcBorders>
          </w:tcPr>
          <w:p w14:paraId="3E5CFD7F" w14:textId="77777777" w:rsidR="00410071" w:rsidRPr="00200234" w:rsidRDefault="00410071" w:rsidP="008E5A9E">
            <w:pPr>
              <w:pStyle w:val="TableText"/>
            </w:pPr>
          </w:p>
        </w:tc>
        <w:tc>
          <w:tcPr>
            <w:tcW w:w="1035" w:type="pct"/>
            <w:gridSpan w:val="2"/>
            <w:tcBorders>
              <w:bottom w:val="nil"/>
            </w:tcBorders>
          </w:tcPr>
          <w:p w14:paraId="1075BAA5" w14:textId="77777777" w:rsidR="00410071" w:rsidRPr="00200234" w:rsidRDefault="00410071" w:rsidP="008E5A9E">
            <w:pPr>
              <w:pStyle w:val="TableText"/>
            </w:pPr>
          </w:p>
        </w:tc>
        <w:tc>
          <w:tcPr>
            <w:tcW w:w="325" w:type="pct"/>
            <w:tcBorders>
              <w:top w:val="nil"/>
              <w:bottom w:val="nil"/>
            </w:tcBorders>
            <w:shd w:val="clear" w:color="auto" w:fill="auto"/>
          </w:tcPr>
          <w:p w14:paraId="0F8606B0" w14:textId="77777777" w:rsidR="00410071" w:rsidRPr="00200234" w:rsidRDefault="00410071" w:rsidP="008E5A9E">
            <w:pPr>
              <w:pStyle w:val="TableText"/>
            </w:pPr>
          </w:p>
        </w:tc>
        <w:tc>
          <w:tcPr>
            <w:tcW w:w="1314" w:type="pct"/>
          </w:tcPr>
          <w:p w14:paraId="23BB5100" w14:textId="77777777" w:rsidR="00410071" w:rsidRPr="008E5A9E" w:rsidRDefault="00410071" w:rsidP="008E5A9E">
            <w:pPr>
              <w:pStyle w:val="TableText"/>
              <w:rPr>
                <w:b/>
              </w:rPr>
            </w:pPr>
            <w:r w:rsidRPr="008E5A9E">
              <w:rPr>
                <w:b/>
              </w:rPr>
              <w:t>National total</w:t>
            </w:r>
          </w:p>
        </w:tc>
        <w:tc>
          <w:tcPr>
            <w:tcW w:w="1053" w:type="pct"/>
          </w:tcPr>
          <w:p w14:paraId="641F3647" w14:textId="77777777" w:rsidR="00410071" w:rsidRPr="008E5A9E" w:rsidRDefault="00410071" w:rsidP="008E5A9E">
            <w:pPr>
              <w:pStyle w:val="TableText"/>
              <w:tabs>
                <w:tab w:val="decimal" w:pos="936"/>
              </w:tabs>
              <w:rPr>
                <w:b/>
                <w:bCs/>
              </w:rPr>
            </w:pPr>
            <w:r w:rsidRPr="008E5A9E">
              <w:rPr>
                <w:b/>
                <w:bCs/>
              </w:rPr>
              <w:t>211</w:t>
            </w:r>
          </w:p>
        </w:tc>
      </w:tr>
    </w:tbl>
    <w:p w14:paraId="644F7CD8" w14:textId="77777777" w:rsidR="00410071" w:rsidRPr="00200234" w:rsidRDefault="00410071" w:rsidP="00410071">
      <w:pPr>
        <w:tabs>
          <w:tab w:val="left" w:pos="6367"/>
        </w:tabs>
        <w:spacing w:line="20" w:lineRule="exact"/>
        <w:ind w:left="2285"/>
        <w:rPr>
          <w:rFonts w:cs="Segoe UI"/>
          <w:sz w:val="2"/>
        </w:rPr>
      </w:pPr>
      <w:r w:rsidRPr="00200234">
        <w:rPr>
          <w:rFonts w:cs="Segoe UI"/>
          <w:sz w:val="2"/>
        </w:rPr>
        <w:tab/>
      </w:r>
    </w:p>
    <w:p w14:paraId="587558FD" w14:textId="77777777" w:rsidR="00410071" w:rsidRPr="00200234" w:rsidRDefault="00410071" w:rsidP="008E5A9E">
      <w:pPr>
        <w:pStyle w:val="Source"/>
      </w:pPr>
      <w:r w:rsidRPr="00200234">
        <w:t>Source: HQSC adverse event data</w:t>
      </w:r>
      <w:r>
        <w:t xml:space="preserve"> (extracted</w:t>
      </w:r>
      <w:r w:rsidRPr="00200234">
        <w:t xml:space="preserve"> </w:t>
      </w:r>
      <w:r>
        <w:t>6 August 2021)</w:t>
      </w:r>
      <w:r w:rsidRPr="00200234">
        <w:t>.</w:t>
      </w:r>
    </w:p>
    <w:p w14:paraId="28E3B8AE" w14:textId="77777777" w:rsidR="00410071" w:rsidRPr="00200234" w:rsidRDefault="00410071" w:rsidP="008E5A9E"/>
    <w:p w14:paraId="4330ABB9" w14:textId="77777777" w:rsidR="00410071" w:rsidRPr="00B011A8" w:rsidRDefault="00410071" w:rsidP="008E5A9E">
      <w:pPr>
        <w:pStyle w:val="Heading2"/>
      </w:pPr>
      <w:bookmarkStart w:id="402" w:name="_Toc75176458"/>
      <w:bookmarkStart w:id="403" w:name="_Toc87429925"/>
      <w:bookmarkStart w:id="404" w:name="_Toc88826973"/>
      <w:r w:rsidRPr="00B011A8">
        <w:lastRenderedPageBreak/>
        <w:t>Deaths reported to the Director of Mental Health</w:t>
      </w:r>
      <w:bookmarkEnd w:id="402"/>
      <w:bookmarkEnd w:id="403"/>
      <w:bookmarkEnd w:id="404"/>
    </w:p>
    <w:p w14:paraId="3D38C11B" w14:textId="77777777" w:rsidR="00410071" w:rsidRDefault="00410071" w:rsidP="008E5A9E">
      <w:pPr>
        <w:keepNext/>
      </w:pPr>
      <w:r>
        <w:t>Section 132 of the Mental Health Act requires the Director of Mental Health to be notified within 14 days of the death of any person or special patient under the Mental Health Act. Such a notification must identify the apparent cause of death.</w:t>
      </w:r>
    </w:p>
    <w:p w14:paraId="45550E09" w14:textId="77777777" w:rsidR="00410071" w:rsidRDefault="00410071" w:rsidP="008E5A9E">
      <w:pPr>
        <w:keepNext/>
      </w:pPr>
    </w:p>
    <w:p w14:paraId="6B085851" w14:textId="77777777" w:rsidR="00410071" w:rsidRDefault="00410071" w:rsidP="000F4AD6">
      <w:pPr>
        <w:keepNext/>
        <w:keepLines/>
      </w:pPr>
      <w:r>
        <w:t xml:space="preserve">In Aotearoa New Zealand, a coroner only officially classifies a death as suicide after completing their inquiry. Only those deaths that the coroner decides are </w:t>
      </w:r>
      <w:r w:rsidR="0039221C">
        <w:t>‘</w:t>
      </w:r>
      <w:r>
        <w:t>intentionally self-inflicted</w:t>
      </w:r>
      <w:r w:rsidR="0039221C">
        <w:t>’</w:t>
      </w:r>
      <w:r>
        <w:t xml:space="preserve"> will receive a final verdict of suicide. A coronial inquiry is unlikely to occur within a calendar year of an event occurring; for this reason, when a death appears to be self-inflicted but the coroner has not yet established the person</w:t>
      </w:r>
      <w:r w:rsidR="0039221C">
        <w:t>’</w:t>
      </w:r>
      <w:r>
        <w:t xml:space="preserve">s intent, it is called a </w:t>
      </w:r>
      <w:r w:rsidR="0039221C">
        <w:t>‘</w:t>
      </w:r>
      <w:r>
        <w:t>suspected suicide</w:t>
      </w:r>
      <w:r w:rsidR="0039221C">
        <w:t>’</w:t>
      </w:r>
      <w:r>
        <w:t>.</w:t>
      </w:r>
    </w:p>
    <w:p w14:paraId="3A310E97" w14:textId="77777777" w:rsidR="00410071" w:rsidRDefault="00410071" w:rsidP="008E5A9E"/>
    <w:p w14:paraId="070997BE" w14:textId="439435F7" w:rsidR="00410071" w:rsidRDefault="00410071" w:rsidP="008E5A9E">
      <w:r>
        <w:t xml:space="preserve">In 2020, the Director of Mental Health received 39 death notifications related to people under the Mental Health Act (see </w:t>
      </w:r>
      <w:r>
        <w:fldChar w:fldCharType="begin"/>
      </w:r>
      <w:r>
        <w:instrText xml:space="preserve"> REF _Ref85452193 \h </w:instrText>
      </w:r>
      <w:r>
        <w:fldChar w:fldCharType="separate"/>
      </w:r>
      <w:r w:rsidR="00840F18">
        <w:t>Table </w:t>
      </w:r>
      <w:r w:rsidR="00840F18">
        <w:rPr>
          <w:noProof/>
        </w:rPr>
        <w:t>16</w:t>
      </w:r>
      <w:r>
        <w:fldChar w:fldCharType="end"/>
      </w:r>
      <w:r>
        <w:t>). Of these, 11 related to people who were reported to have died by suspected suicide. The remaining 18 reportedly died by other means, including natural causes and illnesses unrelated to their mental health status.</w:t>
      </w:r>
    </w:p>
    <w:p w14:paraId="160F022F" w14:textId="77777777" w:rsidR="00410071" w:rsidRDefault="00410071" w:rsidP="008E5A9E"/>
    <w:p w14:paraId="58D3745A" w14:textId="04D25E4F" w:rsidR="00410071" w:rsidRDefault="00410071" w:rsidP="008E5A9E">
      <w:pPr>
        <w:pStyle w:val="Table"/>
      </w:pPr>
      <w:bookmarkStart w:id="405" w:name="_Ref85452193"/>
      <w:bookmarkStart w:id="406" w:name="_Toc87430014"/>
      <w:bookmarkStart w:id="407" w:name="_Toc88561371"/>
      <w:r>
        <w:t>Table</w:t>
      </w:r>
      <w:r w:rsidR="008E5A9E">
        <w:t> </w:t>
      </w:r>
      <w:r w:rsidR="00592799">
        <w:fldChar w:fldCharType="begin"/>
      </w:r>
      <w:r w:rsidR="00592799">
        <w:instrText xml:space="preserve"> SEQ Table \* ARABIC </w:instrText>
      </w:r>
      <w:r w:rsidR="00592799">
        <w:fldChar w:fldCharType="separate"/>
      </w:r>
      <w:r w:rsidR="00840F18">
        <w:rPr>
          <w:noProof/>
        </w:rPr>
        <w:t>16</w:t>
      </w:r>
      <w:r w:rsidR="00592799">
        <w:rPr>
          <w:noProof/>
        </w:rPr>
        <w:fldChar w:fldCharType="end"/>
      </w:r>
      <w:bookmarkEnd w:id="405"/>
      <w:r w:rsidRPr="00524CE9">
        <w:t>: Outcomes of reportable death notifications under section 132 of the Mental Health Act, 1 January to 31 December 2020</w:t>
      </w:r>
      <w:bookmarkEnd w:id="406"/>
      <w:bookmarkEnd w:id="407"/>
    </w:p>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2750"/>
        <w:gridCol w:w="1929"/>
      </w:tblGrid>
      <w:tr w:rsidR="00410071" w:rsidRPr="008E5A9E" w14:paraId="08023301" w14:textId="77777777" w:rsidTr="008E5A9E">
        <w:trPr>
          <w:cantSplit/>
        </w:trPr>
        <w:tc>
          <w:tcPr>
            <w:tcW w:w="2750" w:type="dxa"/>
            <w:tcBorders>
              <w:top w:val="nil"/>
              <w:bottom w:val="nil"/>
            </w:tcBorders>
            <w:shd w:val="clear" w:color="auto" w:fill="D9D9D9" w:themeFill="background1" w:themeFillShade="D9"/>
            <w:vAlign w:val="center"/>
          </w:tcPr>
          <w:p w14:paraId="43239223" w14:textId="77777777" w:rsidR="00410071" w:rsidRPr="008E5A9E" w:rsidRDefault="00410071" w:rsidP="008E5A9E">
            <w:pPr>
              <w:pStyle w:val="TableText"/>
              <w:rPr>
                <w:b/>
              </w:rPr>
            </w:pPr>
            <w:r w:rsidRPr="008E5A9E">
              <w:rPr>
                <w:b/>
              </w:rPr>
              <w:t>Reportable death outcome</w:t>
            </w:r>
          </w:p>
        </w:tc>
        <w:tc>
          <w:tcPr>
            <w:tcW w:w="1929" w:type="dxa"/>
            <w:tcBorders>
              <w:top w:val="nil"/>
              <w:bottom w:val="nil"/>
            </w:tcBorders>
            <w:shd w:val="clear" w:color="auto" w:fill="D9D9D9" w:themeFill="background1" w:themeFillShade="D9"/>
            <w:vAlign w:val="center"/>
          </w:tcPr>
          <w:p w14:paraId="46AA22B4" w14:textId="77777777" w:rsidR="00410071" w:rsidRPr="008E5A9E" w:rsidRDefault="00410071" w:rsidP="008E5A9E">
            <w:pPr>
              <w:pStyle w:val="TableText"/>
              <w:jc w:val="center"/>
              <w:rPr>
                <w:b/>
              </w:rPr>
            </w:pPr>
            <w:r w:rsidRPr="008E5A9E">
              <w:rPr>
                <w:b/>
              </w:rPr>
              <w:t>Number of deaths</w:t>
            </w:r>
          </w:p>
        </w:tc>
      </w:tr>
      <w:tr w:rsidR="00410071" w:rsidRPr="00884730" w14:paraId="3B23555E" w14:textId="77777777" w:rsidTr="008E5A9E">
        <w:trPr>
          <w:cantSplit/>
        </w:trPr>
        <w:tc>
          <w:tcPr>
            <w:tcW w:w="2750" w:type="dxa"/>
            <w:tcBorders>
              <w:top w:val="nil"/>
              <w:bottom w:val="single" w:sz="4" w:space="0" w:color="A6A6A6" w:themeColor="background1" w:themeShade="A6"/>
            </w:tcBorders>
            <w:vAlign w:val="center"/>
          </w:tcPr>
          <w:p w14:paraId="576B5825" w14:textId="77777777" w:rsidR="00410071" w:rsidRPr="00D86A22" w:rsidRDefault="00410071" w:rsidP="008E5A9E">
            <w:pPr>
              <w:pStyle w:val="TableText"/>
            </w:pPr>
            <w:r w:rsidRPr="00D86A22">
              <w:t>Suspected suicide</w:t>
            </w:r>
          </w:p>
        </w:tc>
        <w:tc>
          <w:tcPr>
            <w:tcW w:w="1929" w:type="dxa"/>
            <w:tcBorders>
              <w:top w:val="nil"/>
              <w:bottom w:val="single" w:sz="4" w:space="0" w:color="A6A6A6" w:themeColor="background1" w:themeShade="A6"/>
            </w:tcBorders>
            <w:vAlign w:val="center"/>
          </w:tcPr>
          <w:p w14:paraId="4C2178C7" w14:textId="77777777" w:rsidR="00410071" w:rsidRPr="00D86A22" w:rsidRDefault="00410071" w:rsidP="008E5A9E">
            <w:pPr>
              <w:pStyle w:val="TableText"/>
              <w:jc w:val="center"/>
            </w:pPr>
            <w:r>
              <w:t>11</w:t>
            </w:r>
          </w:p>
        </w:tc>
      </w:tr>
      <w:tr w:rsidR="00410071" w:rsidRPr="00884730" w14:paraId="41AE2EE7" w14:textId="77777777" w:rsidTr="008E5A9E">
        <w:trPr>
          <w:cantSplit/>
        </w:trPr>
        <w:tc>
          <w:tcPr>
            <w:tcW w:w="2750" w:type="dxa"/>
            <w:tcBorders>
              <w:top w:val="single" w:sz="4" w:space="0" w:color="A6A6A6" w:themeColor="background1" w:themeShade="A6"/>
              <w:bottom w:val="single" w:sz="4" w:space="0" w:color="A6A6A6" w:themeColor="background1" w:themeShade="A6"/>
            </w:tcBorders>
            <w:vAlign w:val="center"/>
          </w:tcPr>
          <w:p w14:paraId="558EC047" w14:textId="77777777" w:rsidR="00410071" w:rsidRPr="00D86A22" w:rsidRDefault="00410071" w:rsidP="008E5A9E">
            <w:pPr>
              <w:pStyle w:val="TableText"/>
            </w:pPr>
            <w:r w:rsidRPr="00D86A22">
              <w:t>Other deaths</w:t>
            </w:r>
          </w:p>
        </w:tc>
        <w:tc>
          <w:tcPr>
            <w:tcW w:w="1929" w:type="dxa"/>
            <w:tcBorders>
              <w:top w:val="single" w:sz="4" w:space="0" w:color="A6A6A6" w:themeColor="background1" w:themeShade="A6"/>
              <w:bottom w:val="single" w:sz="4" w:space="0" w:color="A6A6A6" w:themeColor="background1" w:themeShade="A6"/>
            </w:tcBorders>
            <w:vAlign w:val="center"/>
          </w:tcPr>
          <w:p w14:paraId="6073486C" w14:textId="77777777" w:rsidR="00410071" w:rsidRPr="00D86A22" w:rsidRDefault="00410071" w:rsidP="008E5A9E">
            <w:pPr>
              <w:pStyle w:val="TableText"/>
              <w:jc w:val="center"/>
            </w:pPr>
            <w:r>
              <w:t>28</w:t>
            </w:r>
          </w:p>
        </w:tc>
      </w:tr>
      <w:tr w:rsidR="00410071" w:rsidRPr="008E5A9E" w14:paraId="2BEEF318" w14:textId="77777777" w:rsidTr="008E5A9E">
        <w:trPr>
          <w:cantSplit/>
        </w:trPr>
        <w:tc>
          <w:tcPr>
            <w:tcW w:w="2750" w:type="dxa"/>
            <w:tcBorders>
              <w:top w:val="single" w:sz="4" w:space="0" w:color="A6A6A6" w:themeColor="background1" w:themeShade="A6"/>
              <w:bottom w:val="single" w:sz="4" w:space="0" w:color="A6A6A6" w:themeColor="background1" w:themeShade="A6"/>
            </w:tcBorders>
            <w:vAlign w:val="center"/>
          </w:tcPr>
          <w:p w14:paraId="524A1B53" w14:textId="77777777" w:rsidR="00410071" w:rsidRPr="008E5A9E" w:rsidRDefault="00410071" w:rsidP="008E5A9E">
            <w:pPr>
              <w:pStyle w:val="TableText"/>
              <w:rPr>
                <w:b/>
              </w:rPr>
            </w:pPr>
            <w:r w:rsidRPr="008E5A9E">
              <w:rPr>
                <w:b/>
              </w:rPr>
              <w:t>National total</w:t>
            </w:r>
          </w:p>
        </w:tc>
        <w:tc>
          <w:tcPr>
            <w:tcW w:w="1929" w:type="dxa"/>
            <w:tcBorders>
              <w:top w:val="single" w:sz="4" w:space="0" w:color="A6A6A6" w:themeColor="background1" w:themeShade="A6"/>
              <w:bottom w:val="single" w:sz="4" w:space="0" w:color="A6A6A6" w:themeColor="background1" w:themeShade="A6"/>
            </w:tcBorders>
            <w:vAlign w:val="center"/>
          </w:tcPr>
          <w:p w14:paraId="00071CF7" w14:textId="77777777" w:rsidR="00410071" w:rsidRPr="008E5A9E" w:rsidRDefault="00410071" w:rsidP="008E5A9E">
            <w:pPr>
              <w:pStyle w:val="TableText"/>
              <w:jc w:val="center"/>
              <w:rPr>
                <w:b/>
              </w:rPr>
            </w:pPr>
            <w:r w:rsidRPr="008E5A9E">
              <w:rPr>
                <w:b/>
              </w:rPr>
              <w:t>39</w:t>
            </w:r>
          </w:p>
        </w:tc>
      </w:tr>
    </w:tbl>
    <w:p w14:paraId="08F09E84" w14:textId="77777777" w:rsidR="00410071" w:rsidRDefault="00410071" w:rsidP="00EF4C97">
      <w:pPr>
        <w:pStyle w:val="Source"/>
      </w:pPr>
      <w:r w:rsidRPr="00F41D68">
        <w:t>Source: Office of the Director of Mental Health and Addiction Services records.</w:t>
      </w:r>
    </w:p>
    <w:p w14:paraId="11FDD0F3" w14:textId="77777777" w:rsidR="00410071" w:rsidRDefault="00410071" w:rsidP="00EF4C97"/>
    <w:p w14:paraId="5145A715" w14:textId="77777777" w:rsidR="00410071" w:rsidRDefault="00410071" w:rsidP="00EF4C97">
      <w:pPr>
        <w:pStyle w:val="Heading2"/>
      </w:pPr>
      <w:bookmarkStart w:id="408" w:name="_Toc87429926"/>
      <w:bookmarkStart w:id="409" w:name="_Toc88826974"/>
      <w:r>
        <w:t>Section 95 inquiries</w:t>
      </w:r>
      <w:bookmarkEnd w:id="408"/>
      <w:bookmarkEnd w:id="409"/>
    </w:p>
    <w:p w14:paraId="7827C24B" w14:textId="77777777" w:rsidR="0039221C" w:rsidRDefault="00410071" w:rsidP="00EF4C97">
      <w:r>
        <w:t>The Director of Mental Health will occasionally require a district inspector to carry out an inquiry under section 95 of the Mental Health Act. Such inquiries generally focus on systemic issues across one or more mental health service(s). They typically result in the district inspector making specific recommendations about the mental health services and/or their system.</w:t>
      </w:r>
    </w:p>
    <w:p w14:paraId="2855A624" w14:textId="77777777" w:rsidR="00410071" w:rsidRDefault="00410071" w:rsidP="00EF4C97"/>
    <w:p w14:paraId="78D38652" w14:textId="77777777" w:rsidR="0039221C" w:rsidRDefault="00410071" w:rsidP="00EF4C97">
      <w:r>
        <w:t>The Director considers the recommendations and acts on any that have implications for the Ministry or the mental health sector. The Director later audits the DHB</w:t>
      </w:r>
      <w:r w:rsidR="0039221C">
        <w:t>’</w:t>
      </w:r>
      <w:r>
        <w:t>s implementation of the recommendations.</w:t>
      </w:r>
    </w:p>
    <w:p w14:paraId="65D4F06C" w14:textId="77777777" w:rsidR="00410071" w:rsidRDefault="00410071" w:rsidP="00EF4C97"/>
    <w:p w14:paraId="35184A28" w14:textId="77777777" w:rsidR="0039221C" w:rsidRDefault="00410071" w:rsidP="00EF4C97">
      <w:r>
        <w:t>The inquiry process is not completed until the Director considers that the DHB concerned and, if appropriate, the Ministry and all other DHBs have satisfactorily implemented the recommendations.</w:t>
      </w:r>
    </w:p>
    <w:p w14:paraId="7FE1C216" w14:textId="77777777" w:rsidR="00EF4C97" w:rsidRDefault="00EF4C97" w:rsidP="00EF4C97"/>
    <w:p w14:paraId="12DFB2DE" w14:textId="2942778F" w:rsidR="00410071" w:rsidRDefault="00410071" w:rsidP="00EF4C97">
      <w:r>
        <w:lastRenderedPageBreak/>
        <w:t xml:space="preserve">No section 95 inquiries were completed during 2020. </w:t>
      </w:r>
      <w:r>
        <w:fldChar w:fldCharType="begin"/>
      </w:r>
      <w:r>
        <w:instrText xml:space="preserve"> REF _Ref85550138 \h </w:instrText>
      </w:r>
      <w:r>
        <w:fldChar w:fldCharType="separate"/>
      </w:r>
      <w:r w:rsidR="00840F18">
        <w:t>Table </w:t>
      </w:r>
      <w:r w:rsidR="00840F18">
        <w:rPr>
          <w:noProof/>
        </w:rPr>
        <w:t>17</w:t>
      </w:r>
      <w:r>
        <w:fldChar w:fldCharType="end"/>
      </w:r>
      <w:r>
        <w:t xml:space="preserve"> shows the number of completed section 95 inquiry reports received by the Director between 2005 and 2020.</w:t>
      </w:r>
    </w:p>
    <w:p w14:paraId="2ADD9F47" w14:textId="77777777" w:rsidR="00410071" w:rsidRDefault="00410071" w:rsidP="00EF4C97"/>
    <w:p w14:paraId="13343C37" w14:textId="1E1B5A70" w:rsidR="00410071" w:rsidRDefault="00410071" w:rsidP="00EF4C97">
      <w:pPr>
        <w:pStyle w:val="Table"/>
      </w:pPr>
      <w:bookmarkStart w:id="410" w:name="_Ref85550138"/>
      <w:bookmarkStart w:id="411" w:name="_Toc87430015"/>
      <w:bookmarkStart w:id="412" w:name="_Toc88561372"/>
      <w:r>
        <w:t>Table</w:t>
      </w:r>
      <w:r w:rsidR="00EF4C97">
        <w:t> </w:t>
      </w:r>
      <w:r w:rsidR="00592799">
        <w:fldChar w:fldCharType="begin"/>
      </w:r>
      <w:r w:rsidR="00592799">
        <w:instrText xml:space="preserve"> SEQ Table \* ARABIC </w:instrText>
      </w:r>
      <w:r w:rsidR="00592799">
        <w:fldChar w:fldCharType="separate"/>
      </w:r>
      <w:r w:rsidR="00840F18">
        <w:rPr>
          <w:noProof/>
        </w:rPr>
        <w:t>17</w:t>
      </w:r>
      <w:r w:rsidR="00592799">
        <w:rPr>
          <w:noProof/>
        </w:rPr>
        <w:fldChar w:fldCharType="end"/>
      </w:r>
      <w:bookmarkEnd w:id="410"/>
      <w:r w:rsidRPr="004C5503">
        <w:t>: Number of completed section 95 inquiry reports received by the Director of Mental Health, 2005–2020</w:t>
      </w:r>
      <w:bookmarkEnd w:id="411"/>
      <w:bookmarkEnd w:id="412"/>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05"/>
        <w:gridCol w:w="505"/>
        <w:gridCol w:w="505"/>
        <w:gridCol w:w="505"/>
        <w:gridCol w:w="505"/>
        <w:gridCol w:w="505"/>
        <w:gridCol w:w="505"/>
        <w:gridCol w:w="505"/>
        <w:gridCol w:w="505"/>
        <w:gridCol w:w="505"/>
        <w:gridCol w:w="505"/>
        <w:gridCol w:w="505"/>
        <w:gridCol w:w="505"/>
        <w:gridCol w:w="505"/>
        <w:gridCol w:w="505"/>
        <w:gridCol w:w="505"/>
      </w:tblGrid>
      <w:tr w:rsidR="00410071" w:rsidRPr="00EF4C97" w14:paraId="0430940A" w14:textId="77777777" w:rsidTr="00EF4C97">
        <w:trPr>
          <w:cantSplit/>
        </w:trPr>
        <w:tc>
          <w:tcPr>
            <w:tcW w:w="505" w:type="dxa"/>
            <w:tcBorders>
              <w:top w:val="nil"/>
              <w:left w:val="nil"/>
              <w:bottom w:val="nil"/>
              <w:right w:val="nil"/>
            </w:tcBorders>
            <w:shd w:val="clear" w:color="auto" w:fill="D9D9D9" w:themeFill="background1" w:themeFillShade="D9"/>
            <w:hideMark/>
          </w:tcPr>
          <w:p w14:paraId="55F6C027" w14:textId="77777777" w:rsidR="00410071" w:rsidRPr="00EF4C97" w:rsidRDefault="00410071" w:rsidP="00EF4C97">
            <w:pPr>
              <w:pStyle w:val="TableText"/>
              <w:jc w:val="center"/>
              <w:rPr>
                <w:b/>
                <w:sz w:val="16"/>
                <w:szCs w:val="16"/>
              </w:rPr>
            </w:pPr>
            <w:r w:rsidRPr="00EF4C97">
              <w:rPr>
                <w:b/>
                <w:sz w:val="16"/>
                <w:szCs w:val="16"/>
              </w:rPr>
              <w:t>2005</w:t>
            </w:r>
          </w:p>
        </w:tc>
        <w:tc>
          <w:tcPr>
            <w:tcW w:w="505" w:type="dxa"/>
            <w:tcBorders>
              <w:top w:val="nil"/>
              <w:left w:val="nil"/>
              <w:bottom w:val="nil"/>
              <w:right w:val="nil"/>
            </w:tcBorders>
            <w:shd w:val="clear" w:color="auto" w:fill="D9D9D9" w:themeFill="background1" w:themeFillShade="D9"/>
            <w:hideMark/>
          </w:tcPr>
          <w:p w14:paraId="76367E84" w14:textId="77777777" w:rsidR="00410071" w:rsidRPr="00EF4C97" w:rsidRDefault="00410071" w:rsidP="00EF4C97">
            <w:pPr>
              <w:pStyle w:val="TableText"/>
              <w:jc w:val="center"/>
              <w:rPr>
                <w:b/>
                <w:sz w:val="16"/>
                <w:szCs w:val="16"/>
              </w:rPr>
            </w:pPr>
            <w:r w:rsidRPr="00EF4C97">
              <w:rPr>
                <w:b/>
                <w:sz w:val="16"/>
                <w:szCs w:val="16"/>
              </w:rPr>
              <w:t>2006</w:t>
            </w:r>
          </w:p>
        </w:tc>
        <w:tc>
          <w:tcPr>
            <w:tcW w:w="505" w:type="dxa"/>
            <w:tcBorders>
              <w:top w:val="nil"/>
              <w:left w:val="nil"/>
              <w:bottom w:val="nil"/>
              <w:right w:val="nil"/>
            </w:tcBorders>
            <w:shd w:val="clear" w:color="auto" w:fill="D9D9D9" w:themeFill="background1" w:themeFillShade="D9"/>
            <w:hideMark/>
          </w:tcPr>
          <w:p w14:paraId="23A092CE" w14:textId="77777777" w:rsidR="00410071" w:rsidRPr="00EF4C97" w:rsidRDefault="00410071" w:rsidP="00EF4C97">
            <w:pPr>
              <w:pStyle w:val="TableText"/>
              <w:jc w:val="center"/>
              <w:rPr>
                <w:b/>
                <w:sz w:val="16"/>
                <w:szCs w:val="16"/>
              </w:rPr>
            </w:pPr>
            <w:r w:rsidRPr="00EF4C97">
              <w:rPr>
                <w:b/>
                <w:sz w:val="16"/>
                <w:szCs w:val="16"/>
              </w:rPr>
              <w:t>2007</w:t>
            </w:r>
          </w:p>
        </w:tc>
        <w:tc>
          <w:tcPr>
            <w:tcW w:w="505" w:type="dxa"/>
            <w:tcBorders>
              <w:top w:val="nil"/>
              <w:left w:val="nil"/>
              <w:bottom w:val="nil"/>
              <w:right w:val="nil"/>
            </w:tcBorders>
            <w:shd w:val="clear" w:color="auto" w:fill="D9D9D9" w:themeFill="background1" w:themeFillShade="D9"/>
            <w:hideMark/>
          </w:tcPr>
          <w:p w14:paraId="622C9E42" w14:textId="77777777" w:rsidR="00410071" w:rsidRPr="00EF4C97" w:rsidRDefault="00410071" w:rsidP="00EF4C97">
            <w:pPr>
              <w:pStyle w:val="TableText"/>
              <w:jc w:val="center"/>
              <w:rPr>
                <w:b/>
                <w:sz w:val="16"/>
                <w:szCs w:val="16"/>
              </w:rPr>
            </w:pPr>
            <w:r w:rsidRPr="00EF4C97">
              <w:rPr>
                <w:b/>
                <w:sz w:val="16"/>
                <w:szCs w:val="16"/>
              </w:rPr>
              <w:t>2008</w:t>
            </w:r>
          </w:p>
        </w:tc>
        <w:tc>
          <w:tcPr>
            <w:tcW w:w="505" w:type="dxa"/>
            <w:tcBorders>
              <w:top w:val="nil"/>
              <w:left w:val="nil"/>
              <w:bottom w:val="nil"/>
              <w:right w:val="nil"/>
            </w:tcBorders>
            <w:shd w:val="clear" w:color="auto" w:fill="D9D9D9" w:themeFill="background1" w:themeFillShade="D9"/>
            <w:hideMark/>
          </w:tcPr>
          <w:p w14:paraId="64C0375F" w14:textId="77777777" w:rsidR="00410071" w:rsidRPr="00EF4C97" w:rsidRDefault="00410071" w:rsidP="00EF4C97">
            <w:pPr>
              <w:pStyle w:val="TableText"/>
              <w:jc w:val="center"/>
              <w:rPr>
                <w:b/>
                <w:sz w:val="16"/>
                <w:szCs w:val="16"/>
              </w:rPr>
            </w:pPr>
            <w:r w:rsidRPr="00EF4C97">
              <w:rPr>
                <w:b/>
                <w:sz w:val="16"/>
                <w:szCs w:val="16"/>
              </w:rPr>
              <w:t>2009</w:t>
            </w:r>
          </w:p>
        </w:tc>
        <w:tc>
          <w:tcPr>
            <w:tcW w:w="505" w:type="dxa"/>
            <w:tcBorders>
              <w:top w:val="nil"/>
              <w:left w:val="nil"/>
              <w:bottom w:val="nil"/>
              <w:right w:val="nil"/>
            </w:tcBorders>
            <w:shd w:val="clear" w:color="auto" w:fill="D9D9D9" w:themeFill="background1" w:themeFillShade="D9"/>
            <w:hideMark/>
          </w:tcPr>
          <w:p w14:paraId="3D1918D8" w14:textId="77777777" w:rsidR="00410071" w:rsidRPr="00EF4C97" w:rsidRDefault="00410071" w:rsidP="00EF4C97">
            <w:pPr>
              <w:pStyle w:val="TableText"/>
              <w:jc w:val="center"/>
              <w:rPr>
                <w:b/>
                <w:sz w:val="16"/>
                <w:szCs w:val="16"/>
              </w:rPr>
            </w:pPr>
            <w:r w:rsidRPr="00EF4C97">
              <w:rPr>
                <w:b/>
                <w:sz w:val="16"/>
                <w:szCs w:val="16"/>
              </w:rPr>
              <w:t>2010</w:t>
            </w:r>
          </w:p>
        </w:tc>
        <w:tc>
          <w:tcPr>
            <w:tcW w:w="505" w:type="dxa"/>
            <w:tcBorders>
              <w:top w:val="nil"/>
              <w:left w:val="nil"/>
              <w:bottom w:val="nil"/>
              <w:right w:val="nil"/>
            </w:tcBorders>
            <w:shd w:val="clear" w:color="auto" w:fill="D9D9D9" w:themeFill="background1" w:themeFillShade="D9"/>
            <w:hideMark/>
          </w:tcPr>
          <w:p w14:paraId="06DAEE70" w14:textId="77777777" w:rsidR="00410071" w:rsidRPr="00EF4C97" w:rsidRDefault="00410071" w:rsidP="00EF4C97">
            <w:pPr>
              <w:pStyle w:val="TableText"/>
              <w:jc w:val="center"/>
              <w:rPr>
                <w:b/>
                <w:sz w:val="16"/>
                <w:szCs w:val="16"/>
              </w:rPr>
            </w:pPr>
            <w:r w:rsidRPr="00EF4C97">
              <w:rPr>
                <w:b/>
                <w:sz w:val="16"/>
                <w:szCs w:val="16"/>
              </w:rPr>
              <w:t>2011</w:t>
            </w:r>
          </w:p>
        </w:tc>
        <w:tc>
          <w:tcPr>
            <w:tcW w:w="505" w:type="dxa"/>
            <w:tcBorders>
              <w:top w:val="nil"/>
              <w:left w:val="nil"/>
              <w:bottom w:val="nil"/>
              <w:right w:val="nil"/>
            </w:tcBorders>
            <w:shd w:val="clear" w:color="auto" w:fill="D9D9D9" w:themeFill="background1" w:themeFillShade="D9"/>
            <w:hideMark/>
          </w:tcPr>
          <w:p w14:paraId="17F9FB9B" w14:textId="77777777" w:rsidR="00410071" w:rsidRPr="00EF4C97" w:rsidRDefault="00410071" w:rsidP="00EF4C97">
            <w:pPr>
              <w:pStyle w:val="TableText"/>
              <w:jc w:val="center"/>
              <w:rPr>
                <w:b/>
                <w:sz w:val="16"/>
                <w:szCs w:val="16"/>
              </w:rPr>
            </w:pPr>
            <w:r w:rsidRPr="00EF4C97">
              <w:rPr>
                <w:b/>
                <w:sz w:val="16"/>
                <w:szCs w:val="16"/>
              </w:rPr>
              <w:t>2012</w:t>
            </w:r>
          </w:p>
        </w:tc>
        <w:tc>
          <w:tcPr>
            <w:tcW w:w="505" w:type="dxa"/>
            <w:tcBorders>
              <w:top w:val="nil"/>
              <w:left w:val="nil"/>
              <w:bottom w:val="nil"/>
              <w:right w:val="nil"/>
            </w:tcBorders>
            <w:shd w:val="clear" w:color="auto" w:fill="D9D9D9" w:themeFill="background1" w:themeFillShade="D9"/>
            <w:hideMark/>
          </w:tcPr>
          <w:p w14:paraId="6C3636A2" w14:textId="77777777" w:rsidR="00410071" w:rsidRPr="00EF4C97" w:rsidRDefault="00410071" w:rsidP="00EF4C97">
            <w:pPr>
              <w:pStyle w:val="TableText"/>
              <w:jc w:val="center"/>
              <w:rPr>
                <w:b/>
                <w:sz w:val="16"/>
                <w:szCs w:val="16"/>
              </w:rPr>
            </w:pPr>
            <w:r w:rsidRPr="00EF4C97">
              <w:rPr>
                <w:b/>
                <w:sz w:val="16"/>
                <w:szCs w:val="16"/>
              </w:rPr>
              <w:t>2013</w:t>
            </w:r>
          </w:p>
        </w:tc>
        <w:tc>
          <w:tcPr>
            <w:tcW w:w="505" w:type="dxa"/>
            <w:tcBorders>
              <w:top w:val="nil"/>
              <w:left w:val="nil"/>
              <w:bottom w:val="nil"/>
              <w:right w:val="nil"/>
            </w:tcBorders>
            <w:shd w:val="clear" w:color="auto" w:fill="D9D9D9" w:themeFill="background1" w:themeFillShade="D9"/>
            <w:hideMark/>
          </w:tcPr>
          <w:p w14:paraId="76DAD012" w14:textId="77777777" w:rsidR="00410071" w:rsidRPr="00EF4C97" w:rsidRDefault="00410071" w:rsidP="00EF4C97">
            <w:pPr>
              <w:pStyle w:val="TableText"/>
              <w:jc w:val="center"/>
              <w:rPr>
                <w:b/>
                <w:sz w:val="16"/>
                <w:szCs w:val="16"/>
              </w:rPr>
            </w:pPr>
            <w:r w:rsidRPr="00EF4C97">
              <w:rPr>
                <w:b/>
                <w:sz w:val="16"/>
                <w:szCs w:val="16"/>
              </w:rPr>
              <w:t>2014</w:t>
            </w:r>
          </w:p>
        </w:tc>
        <w:tc>
          <w:tcPr>
            <w:tcW w:w="505" w:type="dxa"/>
            <w:tcBorders>
              <w:top w:val="nil"/>
              <w:left w:val="nil"/>
              <w:bottom w:val="nil"/>
              <w:right w:val="nil"/>
            </w:tcBorders>
            <w:shd w:val="clear" w:color="auto" w:fill="D9D9D9" w:themeFill="background1" w:themeFillShade="D9"/>
            <w:hideMark/>
          </w:tcPr>
          <w:p w14:paraId="436D400B" w14:textId="77777777" w:rsidR="00410071" w:rsidRPr="00EF4C97" w:rsidRDefault="00410071" w:rsidP="00EF4C97">
            <w:pPr>
              <w:pStyle w:val="TableText"/>
              <w:jc w:val="center"/>
              <w:rPr>
                <w:b/>
                <w:sz w:val="16"/>
                <w:szCs w:val="16"/>
              </w:rPr>
            </w:pPr>
            <w:r w:rsidRPr="00EF4C97">
              <w:rPr>
                <w:b/>
                <w:sz w:val="16"/>
                <w:szCs w:val="16"/>
              </w:rPr>
              <w:t>2015</w:t>
            </w:r>
          </w:p>
        </w:tc>
        <w:tc>
          <w:tcPr>
            <w:tcW w:w="505" w:type="dxa"/>
            <w:tcBorders>
              <w:top w:val="nil"/>
              <w:left w:val="nil"/>
              <w:bottom w:val="nil"/>
              <w:right w:val="nil"/>
            </w:tcBorders>
            <w:shd w:val="clear" w:color="auto" w:fill="D9D9D9" w:themeFill="background1" w:themeFillShade="D9"/>
            <w:hideMark/>
          </w:tcPr>
          <w:p w14:paraId="513EC96D" w14:textId="77777777" w:rsidR="00410071" w:rsidRPr="00EF4C97" w:rsidRDefault="00410071" w:rsidP="00EF4C97">
            <w:pPr>
              <w:pStyle w:val="TableText"/>
              <w:jc w:val="center"/>
              <w:rPr>
                <w:b/>
                <w:sz w:val="16"/>
                <w:szCs w:val="16"/>
              </w:rPr>
            </w:pPr>
            <w:r w:rsidRPr="00EF4C97">
              <w:rPr>
                <w:b/>
                <w:sz w:val="16"/>
                <w:szCs w:val="16"/>
              </w:rPr>
              <w:t>2016</w:t>
            </w:r>
          </w:p>
        </w:tc>
        <w:tc>
          <w:tcPr>
            <w:tcW w:w="505" w:type="dxa"/>
            <w:tcBorders>
              <w:top w:val="nil"/>
              <w:left w:val="nil"/>
              <w:bottom w:val="nil"/>
              <w:right w:val="nil"/>
            </w:tcBorders>
            <w:shd w:val="clear" w:color="auto" w:fill="D9D9D9" w:themeFill="background1" w:themeFillShade="D9"/>
            <w:hideMark/>
          </w:tcPr>
          <w:p w14:paraId="70C235DC" w14:textId="77777777" w:rsidR="00410071" w:rsidRPr="00EF4C97" w:rsidRDefault="00410071" w:rsidP="00EF4C97">
            <w:pPr>
              <w:pStyle w:val="TableText"/>
              <w:jc w:val="center"/>
              <w:rPr>
                <w:b/>
                <w:sz w:val="16"/>
                <w:szCs w:val="16"/>
              </w:rPr>
            </w:pPr>
            <w:r w:rsidRPr="00EF4C97">
              <w:rPr>
                <w:b/>
                <w:sz w:val="16"/>
                <w:szCs w:val="16"/>
              </w:rPr>
              <w:t>2017</w:t>
            </w:r>
          </w:p>
        </w:tc>
        <w:tc>
          <w:tcPr>
            <w:tcW w:w="505" w:type="dxa"/>
            <w:tcBorders>
              <w:top w:val="nil"/>
              <w:left w:val="nil"/>
              <w:bottom w:val="nil"/>
              <w:right w:val="nil"/>
            </w:tcBorders>
            <w:shd w:val="clear" w:color="auto" w:fill="D9D9D9" w:themeFill="background1" w:themeFillShade="D9"/>
            <w:hideMark/>
          </w:tcPr>
          <w:p w14:paraId="65991BE6" w14:textId="77777777" w:rsidR="00410071" w:rsidRPr="00EF4C97" w:rsidRDefault="00410071" w:rsidP="00EF4C97">
            <w:pPr>
              <w:pStyle w:val="TableText"/>
              <w:jc w:val="center"/>
              <w:rPr>
                <w:b/>
                <w:sz w:val="16"/>
                <w:szCs w:val="16"/>
              </w:rPr>
            </w:pPr>
            <w:r w:rsidRPr="00EF4C97">
              <w:rPr>
                <w:b/>
                <w:sz w:val="16"/>
                <w:szCs w:val="16"/>
              </w:rPr>
              <w:t>2018</w:t>
            </w:r>
          </w:p>
        </w:tc>
        <w:tc>
          <w:tcPr>
            <w:tcW w:w="505" w:type="dxa"/>
            <w:tcBorders>
              <w:top w:val="nil"/>
              <w:left w:val="nil"/>
              <w:bottom w:val="nil"/>
              <w:right w:val="nil"/>
            </w:tcBorders>
            <w:shd w:val="clear" w:color="auto" w:fill="D9D9D9" w:themeFill="background1" w:themeFillShade="D9"/>
            <w:hideMark/>
          </w:tcPr>
          <w:p w14:paraId="3DD044CF" w14:textId="77777777" w:rsidR="00410071" w:rsidRPr="00EF4C97" w:rsidRDefault="00410071" w:rsidP="00EF4C97">
            <w:pPr>
              <w:pStyle w:val="TableText"/>
              <w:jc w:val="center"/>
              <w:rPr>
                <w:b/>
                <w:sz w:val="16"/>
                <w:szCs w:val="16"/>
              </w:rPr>
            </w:pPr>
            <w:r w:rsidRPr="00EF4C97">
              <w:rPr>
                <w:b/>
                <w:sz w:val="16"/>
                <w:szCs w:val="16"/>
              </w:rPr>
              <w:t>2019</w:t>
            </w:r>
          </w:p>
        </w:tc>
        <w:tc>
          <w:tcPr>
            <w:tcW w:w="505" w:type="dxa"/>
            <w:tcBorders>
              <w:top w:val="nil"/>
              <w:left w:val="nil"/>
              <w:bottom w:val="nil"/>
              <w:right w:val="nil"/>
            </w:tcBorders>
            <w:shd w:val="clear" w:color="auto" w:fill="D9D9D9" w:themeFill="background1" w:themeFillShade="D9"/>
          </w:tcPr>
          <w:p w14:paraId="79EC9582" w14:textId="77777777" w:rsidR="00410071" w:rsidRPr="00EF4C97" w:rsidRDefault="00410071" w:rsidP="00EF4C97">
            <w:pPr>
              <w:pStyle w:val="TableText"/>
              <w:jc w:val="center"/>
              <w:rPr>
                <w:b/>
                <w:sz w:val="16"/>
                <w:szCs w:val="16"/>
              </w:rPr>
            </w:pPr>
            <w:r w:rsidRPr="00EF4C97">
              <w:rPr>
                <w:b/>
                <w:sz w:val="16"/>
                <w:szCs w:val="16"/>
              </w:rPr>
              <w:t>2020</w:t>
            </w:r>
          </w:p>
        </w:tc>
      </w:tr>
      <w:tr w:rsidR="00410071" w14:paraId="7D331675" w14:textId="77777777" w:rsidTr="00EF4C97">
        <w:trPr>
          <w:cantSplit/>
        </w:trPr>
        <w:tc>
          <w:tcPr>
            <w:tcW w:w="505" w:type="dxa"/>
            <w:tcBorders>
              <w:top w:val="nil"/>
              <w:left w:val="nil"/>
              <w:bottom w:val="single" w:sz="4" w:space="0" w:color="A6A6A6" w:themeColor="background1" w:themeShade="A6"/>
              <w:right w:val="nil"/>
            </w:tcBorders>
            <w:hideMark/>
          </w:tcPr>
          <w:p w14:paraId="56AC0831" w14:textId="77777777" w:rsidR="00410071" w:rsidRPr="00EF4C97" w:rsidRDefault="00410071" w:rsidP="00EF4C97">
            <w:pPr>
              <w:pStyle w:val="TableText"/>
              <w:jc w:val="center"/>
              <w:rPr>
                <w:sz w:val="16"/>
                <w:szCs w:val="16"/>
              </w:rPr>
            </w:pPr>
            <w:r w:rsidRPr="00EF4C97">
              <w:rPr>
                <w:sz w:val="16"/>
                <w:szCs w:val="16"/>
              </w:rPr>
              <w:t>1</w:t>
            </w:r>
          </w:p>
        </w:tc>
        <w:tc>
          <w:tcPr>
            <w:tcW w:w="505" w:type="dxa"/>
            <w:tcBorders>
              <w:top w:val="nil"/>
              <w:left w:val="nil"/>
              <w:bottom w:val="single" w:sz="4" w:space="0" w:color="A6A6A6" w:themeColor="background1" w:themeShade="A6"/>
              <w:right w:val="nil"/>
            </w:tcBorders>
            <w:hideMark/>
          </w:tcPr>
          <w:p w14:paraId="20C3215C" w14:textId="77777777" w:rsidR="00410071" w:rsidRPr="00EF4C97" w:rsidRDefault="00410071" w:rsidP="00EF4C97">
            <w:pPr>
              <w:pStyle w:val="TableText"/>
              <w:jc w:val="center"/>
              <w:rPr>
                <w:sz w:val="16"/>
                <w:szCs w:val="16"/>
              </w:rPr>
            </w:pPr>
            <w:r w:rsidRPr="00EF4C97">
              <w:rPr>
                <w:sz w:val="16"/>
                <w:szCs w:val="16"/>
              </w:rPr>
              <w:t>4</w:t>
            </w:r>
          </w:p>
        </w:tc>
        <w:tc>
          <w:tcPr>
            <w:tcW w:w="505" w:type="dxa"/>
            <w:tcBorders>
              <w:top w:val="nil"/>
              <w:left w:val="nil"/>
              <w:bottom w:val="single" w:sz="4" w:space="0" w:color="A6A6A6" w:themeColor="background1" w:themeShade="A6"/>
              <w:right w:val="nil"/>
            </w:tcBorders>
            <w:hideMark/>
          </w:tcPr>
          <w:p w14:paraId="78E38CED" w14:textId="77777777" w:rsidR="00410071" w:rsidRPr="00EF4C97" w:rsidRDefault="00410071" w:rsidP="00EF4C97">
            <w:pPr>
              <w:pStyle w:val="TableText"/>
              <w:jc w:val="center"/>
              <w:rPr>
                <w:sz w:val="16"/>
                <w:szCs w:val="16"/>
              </w:rPr>
            </w:pPr>
            <w:r w:rsidRPr="00EF4C97">
              <w:rPr>
                <w:sz w:val="16"/>
                <w:szCs w:val="16"/>
              </w:rPr>
              <w:t>1</w:t>
            </w:r>
          </w:p>
        </w:tc>
        <w:tc>
          <w:tcPr>
            <w:tcW w:w="505" w:type="dxa"/>
            <w:tcBorders>
              <w:top w:val="nil"/>
              <w:left w:val="nil"/>
              <w:bottom w:val="single" w:sz="4" w:space="0" w:color="A6A6A6" w:themeColor="background1" w:themeShade="A6"/>
              <w:right w:val="nil"/>
            </w:tcBorders>
            <w:hideMark/>
          </w:tcPr>
          <w:p w14:paraId="4CA25D61" w14:textId="77777777" w:rsidR="00410071" w:rsidRPr="00EF4C97" w:rsidRDefault="00410071" w:rsidP="00EF4C97">
            <w:pPr>
              <w:pStyle w:val="TableText"/>
              <w:jc w:val="center"/>
              <w:rPr>
                <w:sz w:val="16"/>
                <w:szCs w:val="16"/>
              </w:rPr>
            </w:pPr>
            <w:r w:rsidRPr="00EF4C97">
              <w:rPr>
                <w:sz w:val="16"/>
                <w:szCs w:val="16"/>
              </w:rPr>
              <w:t>1</w:t>
            </w:r>
          </w:p>
        </w:tc>
        <w:tc>
          <w:tcPr>
            <w:tcW w:w="505" w:type="dxa"/>
            <w:tcBorders>
              <w:top w:val="nil"/>
              <w:left w:val="nil"/>
              <w:bottom w:val="single" w:sz="4" w:space="0" w:color="A6A6A6" w:themeColor="background1" w:themeShade="A6"/>
              <w:right w:val="nil"/>
            </w:tcBorders>
            <w:hideMark/>
          </w:tcPr>
          <w:p w14:paraId="0BE520B1" w14:textId="77777777" w:rsidR="00410071" w:rsidRPr="00EF4C97" w:rsidRDefault="00410071" w:rsidP="00EF4C97">
            <w:pPr>
              <w:pStyle w:val="TableText"/>
              <w:jc w:val="center"/>
              <w:rPr>
                <w:sz w:val="16"/>
                <w:szCs w:val="16"/>
              </w:rPr>
            </w:pPr>
            <w:r w:rsidRPr="00EF4C97">
              <w:rPr>
                <w:sz w:val="16"/>
                <w:szCs w:val="16"/>
              </w:rPr>
              <w:t>3</w:t>
            </w:r>
          </w:p>
        </w:tc>
        <w:tc>
          <w:tcPr>
            <w:tcW w:w="505" w:type="dxa"/>
            <w:tcBorders>
              <w:top w:val="nil"/>
              <w:left w:val="nil"/>
              <w:bottom w:val="single" w:sz="4" w:space="0" w:color="A6A6A6" w:themeColor="background1" w:themeShade="A6"/>
              <w:right w:val="nil"/>
            </w:tcBorders>
            <w:hideMark/>
          </w:tcPr>
          <w:p w14:paraId="7023E098" w14:textId="77777777" w:rsidR="00410071" w:rsidRPr="00EF4C97" w:rsidRDefault="00410071" w:rsidP="00EF4C97">
            <w:pPr>
              <w:pStyle w:val="TableText"/>
              <w:jc w:val="center"/>
              <w:rPr>
                <w:sz w:val="16"/>
                <w:szCs w:val="16"/>
              </w:rPr>
            </w:pPr>
            <w:r w:rsidRPr="00EF4C97">
              <w:rPr>
                <w:sz w:val="16"/>
                <w:szCs w:val="16"/>
              </w:rPr>
              <w:t>2</w:t>
            </w:r>
          </w:p>
        </w:tc>
        <w:tc>
          <w:tcPr>
            <w:tcW w:w="505" w:type="dxa"/>
            <w:tcBorders>
              <w:top w:val="nil"/>
              <w:left w:val="nil"/>
              <w:bottom w:val="single" w:sz="4" w:space="0" w:color="A6A6A6" w:themeColor="background1" w:themeShade="A6"/>
              <w:right w:val="nil"/>
            </w:tcBorders>
            <w:hideMark/>
          </w:tcPr>
          <w:p w14:paraId="2B6C0D33" w14:textId="77777777" w:rsidR="00410071" w:rsidRPr="00EF4C97" w:rsidRDefault="00410071" w:rsidP="00EF4C97">
            <w:pPr>
              <w:pStyle w:val="TableText"/>
              <w:jc w:val="center"/>
              <w:rPr>
                <w:sz w:val="16"/>
                <w:szCs w:val="16"/>
              </w:rPr>
            </w:pPr>
            <w:r w:rsidRPr="00EF4C97">
              <w:rPr>
                <w:sz w:val="16"/>
                <w:szCs w:val="16"/>
              </w:rPr>
              <w:t>1</w:t>
            </w:r>
          </w:p>
        </w:tc>
        <w:tc>
          <w:tcPr>
            <w:tcW w:w="505" w:type="dxa"/>
            <w:tcBorders>
              <w:top w:val="nil"/>
              <w:left w:val="nil"/>
              <w:bottom w:val="single" w:sz="4" w:space="0" w:color="A6A6A6" w:themeColor="background1" w:themeShade="A6"/>
              <w:right w:val="nil"/>
            </w:tcBorders>
            <w:hideMark/>
          </w:tcPr>
          <w:p w14:paraId="6B43193E" w14:textId="77777777" w:rsidR="00410071" w:rsidRPr="00EF4C97" w:rsidRDefault="00410071" w:rsidP="00EF4C97">
            <w:pPr>
              <w:pStyle w:val="TableText"/>
              <w:jc w:val="center"/>
              <w:rPr>
                <w:sz w:val="16"/>
                <w:szCs w:val="16"/>
              </w:rPr>
            </w:pPr>
            <w:r w:rsidRPr="00EF4C97">
              <w:rPr>
                <w:sz w:val="16"/>
                <w:szCs w:val="16"/>
              </w:rPr>
              <w:t>1</w:t>
            </w:r>
          </w:p>
        </w:tc>
        <w:tc>
          <w:tcPr>
            <w:tcW w:w="505" w:type="dxa"/>
            <w:tcBorders>
              <w:top w:val="nil"/>
              <w:left w:val="nil"/>
              <w:bottom w:val="single" w:sz="4" w:space="0" w:color="A6A6A6" w:themeColor="background1" w:themeShade="A6"/>
              <w:right w:val="nil"/>
            </w:tcBorders>
            <w:hideMark/>
          </w:tcPr>
          <w:p w14:paraId="082C56D0" w14:textId="77777777" w:rsidR="00410071" w:rsidRPr="00EF4C97" w:rsidRDefault="00410071" w:rsidP="00EF4C97">
            <w:pPr>
              <w:pStyle w:val="TableText"/>
              <w:jc w:val="center"/>
              <w:rPr>
                <w:sz w:val="16"/>
                <w:szCs w:val="16"/>
              </w:rPr>
            </w:pPr>
            <w:r w:rsidRPr="00EF4C97">
              <w:rPr>
                <w:sz w:val="16"/>
                <w:szCs w:val="16"/>
              </w:rPr>
              <w:t>0</w:t>
            </w:r>
          </w:p>
        </w:tc>
        <w:tc>
          <w:tcPr>
            <w:tcW w:w="505" w:type="dxa"/>
            <w:tcBorders>
              <w:top w:val="nil"/>
              <w:left w:val="nil"/>
              <w:bottom w:val="single" w:sz="4" w:space="0" w:color="A6A6A6" w:themeColor="background1" w:themeShade="A6"/>
              <w:right w:val="nil"/>
            </w:tcBorders>
            <w:hideMark/>
          </w:tcPr>
          <w:p w14:paraId="280B23A2" w14:textId="77777777" w:rsidR="00410071" w:rsidRPr="00EF4C97" w:rsidRDefault="00410071" w:rsidP="00EF4C97">
            <w:pPr>
              <w:pStyle w:val="TableText"/>
              <w:jc w:val="center"/>
              <w:rPr>
                <w:sz w:val="16"/>
                <w:szCs w:val="16"/>
              </w:rPr>
            </w:pPr>
            <w:r w:rsidRPr="00EF4C97">
              <w:rPr>
                <w:sz w:val="16"/>
                <w:szCs w:val="16"/>
              </w:rPr>
              <w:t>0</w:t>
            </w:r>
          </w:p>
        </w:tc>
        <w:tc>
          <w:tcPr>
            <w:tcW w:w="505" w:type="dxa"/>
            <w:tcBorders>
              <w:top w:val="nil"/>
              <w:left w:val="nil"/>
              <w:bottom w:val="single" w:sz="4" w:space="0" w:color="A6A6A6" w:themeColor="background1" w:themeShade="A6"/>
              <w:right w:val="nil"/>
            </w:tcBorders>
            <w:hideMark/>
          </w:tcPr>
          <w:p w14:paraId="4E62CEEC" w14:textId="77777777" w:rsidR="00410071" w:rsidRPr="00EF4C97" w:rsidRDefault="00410071" w:rsidP="00EF4C97">
            <w:pPr>
              <w:pStyle w:val="TableText"/>
              <w:jc w:val="center"/>
              <w:rPr>
                <w:sz w:val="16"/>
                <w:szCs w:val="16"/>
              </w:rPr>
            </w:pPr>
            <w:r w:rsidRPr="00EF4C97">
              <w:rPr>
                <w:sz w:val="16"/>
                <w:szCs w:val="16"/>
              </w:rPr>
              <w:t>1</w:t>
            </w:r>
          </w:p>
        </w:tc>
        <w:tc>
          <w:tcPr>
            <w:tcW w:w="505" w:type="dxa"/>
            <w:tcBorders>
              <w:top w:val="nil"/>
              <w:left w:val="nil"/>
              <w:bottom w:val="single" w:sz="4" w:space="0" w:color="A6A6A6" w:themeColor="background1" w:themeShade="A6"/>
              <w:right w:val="nil"/>
            </w:tcBorders>
            <w:hideMark/>
          </w:tcPr>
          <w:p w14:paraId="3FA9221B" w14:textId="77777777" w:rsidR="00410071" w:rsidRPr="00EF4C97" w:rsidRDefault="00410071" w:rsidP="00EF4C97">
            <w:pPr>
              <w:pStyle w:val="TableText"/>
              <w:jc w:val="center"/>
              <w:rPr>
                <w:sz w:val="16"/>
                <w:szCs w:val="16"/>
              </w:rPr>
            </w:pPr>
            <w:r w:rsidRPr="00EF4C97">
              <w:rPr>
                <w:sz w:val="16"/>
                <w:szCs w:val="16"/>
              </w:rPr>
              <w:t>2</w:t>
            </w:r>
          </w:p>
        </w:tc>
        <w:tc>
          <w:tcPr>
            <w:tcW w:w="505" w:type="dxa"/>
            <w:tcBorders>
              <w:top w:val="nil"/>
              <w:left w:val="nil"/>
              <w:bottom w:val="single" w:sz="4" w:space="0" w:color="A6A6A6" w:themeColor="background1" w:themeShade="A6"/>
              <w:right w:val="nil"/>
            </w:tcBorders>
            <w:hideMark/>
          </w:tcPr>
          <w:p w14:paraId="568E2EA3" w14:textId="77777777" w:rsidR="00410071" w:rsidRPr="00EF4C97" w:rsidRDefault="00410071" w:rsidP="00EF4C97">
            <w:pPr>
              <w:pStyle w:val="TableText"/>
              <w:jc w:val="center"/>
              <w:rPr>
                <w:sz w:val="16"/>
                <w:szCs w:val="16"/>
              </w:rPr>
            </w:pPr>
            <w:r w:rsidRPr="00EF4C97">
              <w:rPr>
                <w:sz w:val="16"/>
                <w:szCs w:val="16"/>
              </w:rPr>
              <w:t>0</w:t>
            </w:r>
          </w:p>
        </w:tc>
        <w:tc>
          <w:tcPr>
            <w:tcW w:w="505" w:type="dxa"/>
            <w:tcBorders>
              <w:top w:val="nil"/>
              <w:left w:val="nil"/>
              <w:bottom w:val="single" w:sz="4" w:space="0" w:color="A6A6A6" w:themeColor="background1" w:themeShade="A6"/>
              <w:right w:val="nil"/>
            </w:tcBorders>
            <w:hideMark/>
          </w:tcPr>
          <w:p w14:paraId="27A01256" w14:textId="77777777" w:rsidR="00410071" w:rsidRPr="00EF4C97" w:rsidRDefault="00410071" w:rsidP="00EF4C97">
            <w:pPr>
              <w:pStyle w:val="TableText"/>
              <w:jc w:val="center"/>
              <w:rPr>
                <w:sz w:val="16"/>
                <w:szCs w:val="16"/>
              </w:rPr>
            </w:pPr>
            <w:r w:rsidRPr="00EF4C97">
              <w:rPr>
                <w:sz w:val="16"/>
                <w:szCs w:val="16"/>
              </w:rPr>
              <w:t>0</w:t>
            </w:r>
          </w:p>
        </w:tc>
        <w:tc>
          <w:tcPr>
            <w:tcW w:w="505" w:type="dxa"/>
            <w:tcBorders>
              <w:top w:val="nil"/>
              <w:left w:val="nil"/>
              <w:bottom w:val="single" w:sz="4" w:space="0" w:color="A6A6A6" w:themeColor="background1" w:themeShade="A6"/>
              <w:right w:val="nil"/>
            </w:tcBorders>
            <w:hideMark/>
          </w:tcPr>
          <w:p w14:paraId="42EC2F08" w14:textId="77777777" w:rsidR="00410071" w:rsidRPr="00EF4C97" w:rsidRDefault="00410071" w:rsidP="00EF4C97">
            <w:pPr>
              <w:pStyle w:val="TableText"/>
              <w:jc w:val="center"/>
              <w:rPr>
                <w:sz w:val="16"/>
                <w:szCs w:val="16"/>
              </w:rPr>
            </w:pPr>
            <w:r w:rsidRPr="00EF4C97">
              <w:rPr>
                <w:sz w:val="16"/>
                <w:szCs w:val="16"/>
              </w:rPr>
              <w:t>0</w:t>
            </w:r>
          </w:p>
        </w:tc>
        <w:tc>
          <w:tcPr>
            <w:tcW w:w="505" w:type="dxa"/>
            <w:tcBorders>
              <w:top w:val="nil"/>
              <w:left w:val="nil"/>
              <w:bottom w:val="single" w:sz="4" w:space="0" w:color="A6A6A6" w:themeColor="background1" w:themeShade="A6"/>
              <w:right w:val="nil"/>
            </w:tcBorders>
          </w:tcPr>
          <w:p w14:paraId="79D50BD0" w14:textId="77777777" w:rsidR="00410071" w:rsidRPr="00EF4C97" w:rsidRDefault="00410071" w:rsidP="00EF4C97">
            <w:pPr>
              <w:pStyle w:val="TableText"/>
              <w:jc w:val="center"/>
              <w:rPr>
                <w:sz w:val="16"/>
                <w:szCs w:val="16"/>
              </w:rPr>
            </w:pPr>
            <w:r w:rsidRPr="00EF4C97">
              <w:rPr>
                <w:sz w:val="16"/>
                <w:szCs w:val="16"/>
              </w:rPr>
              <w:t>0</w:t>
            </w:r>
          </w:p>
        </w:tc>
      </w:tr>
    </w:tbl>
    <w:p w14:paraId="2BF175ED" w14:textId="77777777" w:rsidR="00410071" w:rsidRDefault="00410071" w:rsidP="00EF4C97">
      <w:pPr>
        <w:pStyle w:val="Source"/>
      </w:pPr>
      <w:r>
        <w:t>Source: Office of the Director of Mental Health and Addiction Services records.</w:t>
      </w:r>
    </w:p>
    <w:p w14:paraId="6945BC78" w14:textId="77777777" w:rsidR="00410071" w:rsidRDefault="00410071" w:rsidP="00EF4C97"/>
    <w:p w14:paraId="335C2A5A" w14:textId="77777777" w:rsidR="00410071" w:rsidRPr="00200234" w:rsidRDefault="00410071" w:rsidP="00EF4C97">
      <w:pPr>
        <w:pStyle w:val="Heading1"/>
      </w:pPr>
      <w:bookmarkStart w:id="413" w:name="_Toc65141634"/>
      <w:bookmarkStart w:id="414" w:name="_Toc75176459"/>
      <w:bookmarkStart w:id="415" w:name="_Toc87429927"/>
      <w:bookmarkStart w:id="416" w:name="_Toc88826975"/>
      <w:r w:rsidRPr="00200234">
        <w:lastRenderedPageBreak/>
        <w:t>Electroconvulsive therapy</w:t>
      </w:r>
      <w:bookmarkEnd w:id="413"/>
      <w:bookmarkEnd w:id="414"/>
      <w:bookmarkEnd w:id="415"/>
      <w:bookmarkEnd w:id="416"/>
    </w:p>
    <w:p w14:paraId="71D1819B" w14:textId="77777777" w:rsidR="00410071" w:rsidRPr="00200234" w:rsidRDefault="00410071" w:rsidP="0048119A">
      <w:r w:rsidRPr="00200234">
        <w:t>Electroconvulsive therapy (ECT) is a therapeutic procedure that delivers a brief pulse of electricity to a person</w:t>
      </w:r>
      <w:r w:rsidR="0039221C">
        <w:t>’</w:t>
      </w:r>
      <w:r w:rsidRPr="00200234">
        <w:t xml:space="preserve">s brain in order to </w:t>
      </w:r>
      <w:r>
        <w:t>generate</w:t>
      </w:r>
      <w:r w:rsidRPr="00200234">
        <w:t xml:space="preserve"> a seizure. </w:t>
      </w:r>
      <w:r>
        <w:t>ECT</w:t>
      </w:r>
      <w:r w:rsidRPr="00200234">
        <w:t xml:space="preserve"> can be an effective treatment for depression, mania, catatonia and other serious neuropsychiatric conditions. It can only be given with the consent of the person receiving it, other than in carefully defined circumstances.</w:t>
      </w:r>
    </w:p>
    <w:p w14:paraId="0D65F905" w14:textId="77777777" w:rsidR="00410071" w:rsidRPr="00200234" w:rsidRDefault="00410071" w:rsidP="0048119A"/>
    <w:p w14:paraId="1C0EE2E6" w14:textId="77777777" w:rsidR="00410071" w:rsidRPr="00200234" w:rsidRDefault="00410071" w:rsidP="0048119A">
      <w:r w:rsidRPr="009A4134">
        <w:t>In summary, i</w:t>
      </w:r>
      <w:r w:rsidRPr="00200234">
        <w:t>n 20</w:t>
      </w:r>
      <w:r>
        <w:t>20</w:t>
      </w:r>
      <w:r w:rsidRPr="00200234">
        <w:t>:</w:t>
      </w:r>
    </w:p>
    <w:p w14:paraId="0223603C" w14:textId="77777777" w:rsidR="00410071" w:rsidRPr="00ED4FA1" w:rsidRDefault="00410071" w:rsidP="0048119A">
      <w:pPr>
        <w:pStyle w:val="Bullet"/>
      </w:pPr>
      <w:r>
        <w:t>232</w:t>
      </w:r>
      <w:r w:rsidRPr="00ED4FA1">
        <w:t xml:space="preserve"> people received ECT (</w:t>
      </w:r>
      <w:r>
        <w:t>4.6</w:t>
      </w:r>
      <w:r w:rsidRPr="00ED4FA1">
        <w:t xml:space="preserve"> people per 100,000 population)</w:t>
      </w:r>
    </w:p>
    <w:p w14:paraId="222F86A3" w14:textId="77777777" w:rsidR="00410071" w:rsidRPr="00ED4FA1" w:rsidRDefault="00410071" w:rsidP="0048119A">
      <w:pPr>
        <w:pStyle w:val="Bullet"/>
      </w:pPr>
      <w:r w:rsidRPr="00ED4FA1">
        <w:t xml:space="preserve">services administered a total of </w:t>
      </w:r>
      <w:r>
        <w:t>2,633</w:t>
      </w:r>
      <w:r w:rsidRPr="00ED4FA1">
        <w:t xml:space="preserve"> treatments of ECT</w:t>
      </w:r>
    </w:p>
    <w:p w14:paraId="144CCE79" w14:textId="77777777" w:rsidR="00410071" w:rsidRPr="00ED4FA1" w:rsidRDefault="00410071" w:rsidP="0048119A">
      <w:pPr>
        <w:pStyle w:val="Bullet"/>
      </w:pPr>
      <w:r>
        <w:t>the people</w:t>
      </w:r>
      <w:r w:rsidRPr="00ED4FA1">
        <w:t xml:space="preserve"> treated </w:t>
      </w:r>
      <w:r>
        <w:t xml:space="preserve">each </w:t>
      </w:r>
      <w:r w:rsidRPr="00ED4FA1">
        <w:t xml:space="preserve">received an average of </w:t>
      </w:r>
      <w:r>
        <w:t>11.3</w:t>
      </w:r>
      <w:r w:rsidRPr="00ED4FA1">
        <w:t xml:space="preserve"> treatments of ECT over the year</w:t>
      </w:r>
    </w:p>
    <w:p w14:paraId="6199A55D" w14:textId="77777777" w:rsidR="00410071" w:rsidRPr="00ED4FA1" w:rsidRDefault="00410071" w:rsidP="0048119A">
      <w:pPr>
        <w:pStyle w:val="Bullet"/>
      </w:pPr>
      <w:r>
        <w:t>females were more likely than males to receive ECT</w:t>
      </w:r>
    </w:p>
    <w:p w14:paraId="5E69BD78" w14:textId="77777777" w:rsidR="00410071" w:rsidRPr="00ED4FA1" w:rsidRDefault="00410071" w:rsidP="0048119A">
      <w:pPr>
        <w:pStyle w:val="Bullet"/>
      </w:pPr>
      <w:r w:rsidRPr="00ED4FA1">
        <w:t>older people were more likely to receive ECT than younger people, with those over 50</w:t>
      </w:r>
      <w:r w:rsidR="0048119A">
        <w:t> </w:t>
      </w:r>
      <w:r w:rsidRPr="00ED4FA1">
        <w:t xml:space="preserve">years old making up </w:t>
      </w:r>
      <w:r>
        <w:t>66</w:t>
      </w:r>
      <w:r w:rsidRPr="00ED4FA1">
        <w:t xml:space="preserve"> percent of ECT patients.</w:t>
      </w:r>
    </w:p>
    <w:p w14:paraId="199698E3" w14:textId="77777777" w:rsidR="00410071" w:rsidRPr="00200234" w:rsidRDefault="00410071" w:rsidP="0048119A"/>
    <w:p w14:paraId="4173EC58" w14:textId="77777777" w:rsidR="00410071" w:rsidRPr="00200234" w:rsidRDefault="00410071" w:rsidP="0048119A">
      <w:pPr>
        <w:pStyle w:val="Heading2"/>
      </w:pPr>
      <w:bookmarkStart w:id="417" w:name="_Toc65141635"/>
      <w:bookmarkStart w:id="418" w:name="_Toc75176460"/>
      <w:bookmarkStart w:id="419" w:name="_Toc87429928"/>
      <w:bookmarkStart w:id="420" w:name="_Toc88826976"/>
      <w:r w:rsidRPr="00200234">
        <w:t xml:space="preserve">ECT treatments in </w:t>
      </w:r>
      <w:bookmarkEnd w:id="417"/>
      <w:r>
        <w:t>2020</w:t>
      </w:r>
      <w:bookmarkEnd w:id="418"/>
      <w:bookmarkEnd w:id="419"/>
      <w:bookmarkEnd w:id="420"/>
    </w:p>
    <w:p w14:paraId="173EC86F" w14:textId="77777777" w:rsidR="00410071" w:rsidRDefault="00410071" w:rsidP="0048119A">
      <w:r w:rsidRPr="00200234">
        <w:t xml:space="preserve">The number of people treated with ECT in </w:t>
      </w:r>
      <w:r>
        <w:t xml:space="preserve">Aotearoa </w:t>
      </w:r>
      <w:r w:rsidRPr="00200234">
        <w:t>New Zealand has remained relatively stable since 2006. Around 200 to 300 people receive the treatment each year.</w:t>
      </w:r>
    </w:p>
    <w:p w14:paraId="5E9C0358" w14:textId="77777777" w:rsidR="00410071" w:rsidRPr="00200234" w:rsidRDefault="00410071" w:rsidP="0048119A"/>
    <w:p w14:paraId="22392994" w14:textId="2DD18E40" w:rsidR="00410071" w:rsidRDefault="00410071" w:rsidP="0048119A">
      <w:pPr>
        <w:pStyle w:val="Figure"/>
      </w:pPr>
      <w:bookmarkStart w:id="421" w:name="_Toc63764791"/>
      <w:bookmarkStart w:id="422" w:name="_Toc75176502"/>
      <w:bookmarkStart w:id="423" w:name="_Toc85442595"/>
      <w:bookmarkStart w:id="424" w:name="_Toc85445948"/>
      <w:bookmarkStart w:id="425" w:name="_Toc87429988"/>
      <w:bookmarkStart w:id="426" w:name="_Toc88561420"/>
      <w:r>
        <w:lastRenderedPageBreak/>
        <w:t>Figure</w:t>
      </w:r>
      <w:r w:rsidR="0048119A">
        <w:t> </w:t>
      </w:r>
      <w:r w:rsidR="00592799">
        <w:fldChar w:fldCharType="begin"/>
      </w:r>
      <w:r w:rsidR="00592799">
        <w:instrText xml:space="preserve"> SEQ Figure \* ARABIC </w:instrText>
      </w:r>
      <w:r w:rsidR="00592799">
        <w:fldChar w:fldCharType="separate"/>
      </w:r>
      <w:r w:rsidR="00840F18">
        <w:rPr>
          <w:noProof/>
        </w:rPr>
        <w:t>39</w:t>
      </w:r>
      <w:r w:rsidR="00592799">
        <w:rPr>
          <w:noProof/>
        </w:rPr>
        <w:fldChar w:fldCharType="end"/>
      </w:r>
      <w:r w:rsidRPr="00200234">
        <w:t xml:space="preserve">: Rate of people treated with </w:t>
      </w:r>
      <w:r>
        <w:t>ECT</w:t>
      </w:r>
      <w:r w:rsidRPr="00200234">
        <w:t xml:space="preserve"> per 100,000 population, 2005–20</w:t>
      </w:r>
      <w:bookmarkEnd w:id="421"/>
      <w:r>
        <w:t>20</w:t>
      </w:r>
      <w:bookmarkEnd w:id="422"/>
      <w:bookmarkEnd w:id="423"/>
      <w:bookmarkEnd w:id="424"/>
      <w:bookmarkEnd w:id="425"/>
      <w:bookmarkEnd w:id="426"/>
    </w:p>
    <w:p w14:paraId="05FCC7BE" w14:textId="77777777" w:rsidR="00410071" w:rsidRPr="00200234" w:rsidRDefault="00410071" w:rsidP="0048119A">
      <w:pPr>
        <w:keepNext/>
        <w:rPr>
          <w:rFonts w:eastAsia="Calibri" w:cs="Segoe UI"/>
        </w:rPr>
      </w:pPr>
      <w:r>
        <w:rPr>
          <w:noProof/>
          <w:lang w:eastAsia="en-NZ"/>
        </w:rPr>
        <w:drawing>
          <wp:inline distT="0" distB="0" distL="0" distR="0" wp14:anchorId="0ED21788" wp14:editId="0028D39E">
            <wp:extent cx="4867275" cy="2924175"/>
            <wp:effectExtent l="0" t="0" r="0" b="0"/>
            <wp:docPr id="40" name="Chart 40" descr="This line graph shows that the ECT rate has fluctuated over time. It was at about 7.5 per 100,000 in 2005, dipped to about 4.8 in 2008, climbed back up to about 6.5 in 2011, and has reached a low of 4.6 in 2020.">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D87879C" w14:textId="77777777" w:rsidR="00410071" w:rsidRDefault="00410071" w:rsidP="0048119A">
      <w:pPr>
        <w:pStyle w:val="Source"/>
      </w:pPr>
      <w:r w:rsidRPr="00200234">
        <w:t>Sources: PRIMHD data</w:t>
      </w:r>
      <w:r>
        <w:t xml:space="preserve"> (extracted</w:t>
      </w:r>
      <w:r w:rsidRPr="00200234">
        <w:t xml:space="preserve"> </w:t>
      </w:r>
      <w:r>
        <w:t>1 July 2021)</w:t>
      </w:r>
      <w:r w:rsidRPr="00200234">
        <w:t xml:space="preserve"> and manual data from </w:t>
      </w:r>
      <w:r>
        <w:t xml:space="preserve">MidCentral, </w:t>
      </w:r>
      <w:r w:rsidRPr="00200234">
        <w:t>Southern</w:t>
      </w:r>
      <w:r>
        <w:t xml:space="preserve"> and Waitematā</w:t>
      </w:r>
      <w:r w:rsidRPr="00200234">
        <w:t xml:space="preserve"> DHB</w:t>
      </w:r>
      <w:r>
        <w:t>s</w:t>
      </w:r>
      <w:r w:rsidRPr="00200234">
        <w:t>.</w:t>
      </w:r>
    </w:p>
    <w:p w14:paraId="636A3F5D" w14:textId="77777777" w:rsidR="00410071" w:rsidRPr="00993F35" w:rsidRDefault="00410071" w:rsidP="0048119A"/>
    <w:p w14:paraId="7E0DCEDD" w14:textId="77777777" w:rsidR="00410071" w:rsidRPr="00200234" w:rsidRDefault="00410071" w:rsidP="0048119A">
      <w:pPr>
        <w:pStyle w:val="Heading2"/>
      </w:pPr>
      <w:bookmarkStart w:id="427" w:name="_Toc65141636"/>
      <w:bookmarkStart w:id="428" w:name="_Toc75176461"/>
      <w:bookmarkStart w:id="429" w:name="_Toc87429929"/>
      <w:bookmarkStart w:id="430" w:name="_Toc88826977"/>
      <w:r w:rsidRPr="00200234">
        <w:t>ECT by region</w:t>
      </w:r>
      <w:bookmarkEnd w:id="427"/>
      <w:bookmarkEnd w:id="428"/>
      <w:bookmarkEnd w:id="429"/>
      <w:bookmarkEnd w:id="430"/>
    </w:p>
    <w:p w14:paraId="72C5ECB1" w14:textId="05F6C25E" w:rsidR="0039221C" w:rsidRDefault="00410071" w:rsidP="0048119A">
      <w:r w:rsidRPr="00200234">
        <w:t xml:space="preserve">The number and rate of ECT treatments vary regionally (see </w:t>
      </w:r>
      <w:r>
        <w:fldChar w:fldCharType="begin"/>
      </w:r>
      <w:r>
        <w:instrText xml:space="preserve"> REF _Ref85452298 \h </w:instrText>
      </w:r>
      <w:r>
        <w:fldChar w:fldCharType="separate"/>
      </w:r>
      <w:r w:rsidR="00840F18">
        <w:t>Table </w:t>
      </w:r>
      <w:r w:rsidR="00840F18">
        <w:rPr>
          <w:noProof/>
        </w:rPr>
        <w:t>18</w:t>
      </w:r>
      <w:r>
        <w:fldChar w:fldCharType="end"/>
      </w:r>
      <w:r w:rsidRPr="00200234">
        <w:t xml:space="preserve"> and </w:t>
      </w:r>
      <w:r w:rsidR="0048119A">
        <w:fldChar w:fldCharType="begin"/>
      </w:r>
      <w:r w:rsidR="0048119A">
        <w:instrText xml:space="preserve"> REF _Ref86343700 \h </w:instrText>
      </w:r>
      <w:r w:rsidR="0048119A">
        <w:fldChar w:fldCharType="separate"/>
      </w:r>
      <w:r w:rsidR="00840F18">
        <w:t>Figure </w:t>
      </w:r>
      <w:r w:rsidR="00840F18">
        <w:rPr>
          <w:noProof/>
        </w:rPr>
        <w:t>40</w:t>
      </w:r>
      <w:r w:rsidR="0048119A">
        <w:fldChar w:fldCharType="end"/>
      </w:r>
      <w:r w:rsidRPr="00200234">
        <w:t xml:space="preserve">). In interpreting these differences, it is important to consider several factors that help to explain these variations. </w:t>
      </w:r>
      <w:r>
        <w:t>R</w:t>
      </w:r>
      <w:r w:rsidRPr="00200234">
        <w:t>egions with smaller populations are more vulnerable to annual variations (according to the needs of the population at any given time). In addition, people receiving continuous or maintenance treatment will typically receive more treatments in a year than those treated with an acute course. Finally, populations in some DHB</w:t>
      </w:r>
      <w:r>
        <w:t xml:space="preserve"> area</w:t>
      </w:r>
      <w:r w:rsidRPr="00200234">
        <w:t xml:space="preserve">s have </w:t>
      </w:r>
      <w:r>
        <w:t xml:space="preserve">less barriers to </w:t>
      </w:r>
      <w:r w:rsidRPr="00200234">
        <w:t>access</w:t>
      </w:r>
      <w:r>
        <w:t>ing</w:t>
      </w:r>
      <w:r w:rsidRPr="00200234">
        <w:t xml:space="preserve"> ECT services</w:t>
      </w:r>
      <w:r>
        <w:t xml:space="preserve"> than those in other DHB areas</w:t>
      </w:r>
      <w:r w:rsidRPr="00200234">
        <w:t>.</w:t>
      </w:r>
    </w:p>
    <w:p w14:paraId="2E163E9C" w14:textId="77777777" w:rsidR="00410071" w:rsidRPr="00200234" w:rsidRDefault="00410071" w:rsidP="0048119A"/>
    <w:p w14:paraId="266CA756" w14:textId="49604F95" w:rsidR="00410071" w:rsidRDefault="00410071" w:rsidP="0048119A">
      <w:pPr>
        <w:pStyle w:val="Table"/>
      </w:pPr>
      <w:bookmarkStart w:id="431" w:name="_Ref85452298"/>
      <w:bookmarkStart w:id="432" w:name="_Toc87430016"/>
      <w:bookmarkStart w:id="433" w:name="_Toc88561373"/>
      <w:r>
        <w:lastRenderedPageBreak/>
        <w:t>Table</w:t>
      </w:r>
      <w:r w:rsidR="0048119A">
        <w:t> </w:t>
      </w:r>
      <w:r w:rsidR="00592799">
        <w:fldChar w:fldCharType="begin"/>
      </w:r>
      <w:r w:rsidR="00592799">
        <w:instrText xml:space="preserve"> SEQ Table \* ARABIC </w:instrText>
      </w:r>
      <w:r w:rsidR="00592799">
        <w:fldChar w:fldCharType="separate"/>
      </w:r>
      <w:r w:rsidR="00840F18">
        <w:rPr>
          <w:noProof/>
        </w:rPr>
        <w:t>18</w:t>
      </w:r>
      <w:r w:rsidR="00592799">
        <w:rPr>
          <w:noProof/>
        </w:rPr>
        <w:fldChar w:fldCharType="end"/>
      </w:r>
      <w:bookmarkEnd w:id="431"/>
      <w:r w:rsidRPr="0081115B">
        <w:t>: ECT indicators, by DHB of domicile, 1 January to 31 December 2020</w:t>
      </w:r>
      <w:bookmarkEnd w:id="432"/>
      <w:bookmarkEnd w:id="433"/>
    </w:p>
    <w:tbl>
      <w:tblPr>
        <w:tblW w:w="4931" w:type="pct"/>
        <w:tblInd w:w="57" w:type="dxa"/>
        <w:tblBorders>
          <w:top w:val="single" w:sz="4" w:space="0" w:color="auto"/>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2127"/>
        <w:gridCol w:w="1984"/>
        <w:gridCol w:w="1417"/>
        <w:gridCol w:w="2552"/>
      </w:tblGrid>
      <w:tr w:rsidR="00410071" w:rsidRPr="0048119A" w14:paraId="633C91B7" w14:textId="77777777" w:rsidTr="0048119A">
        <w:trPr>
          <w:cantSplit/>
        </w:trPr>
        <w:tc>
          <w:tcPr>
            <w:tcW w:w="1316" w:type="pct"/>
            <w:tcBorders>
              <w:top w:val="nil"/>
              <w:bottom w:val="nil"/>
            </w:tcBorders>
            <w:shd w:val="clear" w:color="auto" w:fill="D9D9D9"/>
          </w:tcPr>
          <w:p w14:paraId="315C5EB7" w14:textId="77777777" w:rsidR="00410071" w:rsidRPr="0048119A" w:rsidRDefault="00410071" w:rsidP="002D23CE">
            <w:pPr>
              <w:pStyle w:val="TableText"/>
              <w:keepNext/>
              <w:rPr>
                <w:b/>
              </w:rPr>
            </w:pPr>
            <w:r w:rsidRPr="0048119A">
              <w:rPr>
                <w:b/>
              </w:rPr>
              <w:t>DHB of domicile</w:t>
            </w:r>
          </w:p>
        </w:tc>
        <w:tc>
          <w:tcPr>
            <w:tcW w:w="1228" w:type="pct"/>
            <w:tcBorders>
              <w:top w:val="nil"/>
              <w:bottom w:val="nil"/>
            </w:tcBorders>
            <w:shd w:val="clear" w:color="auto" w:fill="D9D9D9"/>
          </w:tcPr>
          <w:p w14:paraId="3FAA6F78" w14:textId="77777777" w:rsidR="00410071" w:rsidRPr="0048119A" w:rsidRDefault="00410071" w:rsidP="002D23CE">
            <w:pPr>
              <w:pStyle w:val="TableText"/>
              <w:keepNext/>
              <w:jc w:val="center"/>
              <w:rPr>
                <w:b/>
              </w:rPr>
            </w:pPr>
            <w:r w:rsidRPr="0048119A">
              <w:rPr>
                <w:b/>
              </w:rPr>
              <w:t>Number of people treated with ECT</w:t>
            </w:r>
          </w:p>
        </w:tc>
        <w:tc>
          <w:tcPr>
            <w:tcW w:w="877" w:type="pct"/>
            <w:tcBorders>
              <w:top w:val="nil"/>
              <w:bottom w:val="nil"/>
            </w:tcBorders>
            <w:shd w:val="clear" w:color="auto" w:fill="D9D9D9"/>
          </w:tcPr>
          <w:p w14:paraId="08831208" w14:textId="77777777" w:rsidR="00410071" w:rsidRPr="0048119A" w:rsidRDefault="00410071" w:rsidP="002D23CE">
            <w:pPr>
              <w:pStyle w:val="TableText"/>
              <w:keepNext/>
              <w:jc w:val="center"/>
              <w:rPr>
                <w:b/>
              </w:rPr>
            </w:pPr>
            <w:r w:rsidRPr="0048119A">
              <w:rPr>
                <w:b/>
              </w:rPr>
              <w:t>Number of</w:t>
            </w:r>
            <w:r w:rsidR="0048119A">
              <w:rPr>
                <w:b/>
              </w:rPr>
              <w:t xml:space="preserve"> </w:t>
            </w:r>
            <w:r w:rsidRPr="0048119A">
              <w:rPr>
                <w:b/>
              </w:rPr>
              <w:t>treatments</w:t>
            </w:r>
          </w:p>
        </w:tc>
        <w:tc>
          <w:tcPr>
            <w:tcW w:w="1579" w:type="pct"/>
            <w:tcBorders>
              <w:top w:val="nil"/>
              <w:bottom w:val="nil"/>
            </w:tcBorders>
            <w:shd w:val="clear" w:color="auto" w:fill="D9D9D9"/>
          </w:tcPr>
          <w:p w14:paraId="275782AB" w14:textId="77777777" w:rsidR="00410071" w:rsidRPr="0048119A" w:rsidRDefault="00410071" w:rsidP="002D23CE">
            <w:pPr>
              <w:pStyle w:val="TableText"/>
              <w:keepNext/>
              <w:jc w:val="center"/>
              <w:rPr>
                <w:b/>
              </w:rPr>
            </w:pPr>
            <w:r w:rsidRPr="0048119A">
              <w:rPr>
                <w:b/>
              </w:rPr>
              <w:t>Mean number of treatments per person (range)</w:t>
            </w:r>
          </w:p>
        </w:tc>
      </w:tr>
      <w:tr w:rsidR="00410071" w:rsidRPr="00200234" w14:paraId="595DC781" w14:textId="77777777" w:rsidTr="0048119A">
        <w:trPr>
          <w:cantSplit/>
        </w:trPr>
        <w:tc>
          <w:tcPr>
            <w:tcW w:w="1316" w:type="pct"/>
            <w:tcBorders>
              <w:top w:val="nil"/>
              <w:bottom w:val="single" w:sz="4" w:space="0" w:color="A6A6A6" w:themeColor="background1" w:themeShade="A6"/>
            </w:tcBorders>
            <w:shd w:val="clear" w:color="auto" w:fill="auto"/>
          </w:tcPr>
          <w:p w14:paraId="25AF1125" w14:textId="77777777" w:rsidR="00410071" w:rsidRPr="007159B5" w:rsidRDefault="00410071" w:rsidP="002D23CE">
            <w:pPr>
              <w:pStyle w:val="TableText"/>
              <w:keepNext/>
              <w:rPr>
                <w:bCs/>
                <w:szCs w:val="18"/>
              </w:rPr>
            </w:pPr>
            <w:r w:rsidRPr="007159B5">
              <w:rPr>
                <w:bCs/>
                <w:szCs w:val="18"/>
              </w:rPr>
              <w:t>Auckland</w:t>
            </w:r>
          </w:p>
        </w:tc>
        <w:tc>
          <w:tcPr>
            <w:tcW w:w="1228" w:type="pct"/>
            <w:tcBorders>
              <w:top w:val="nil"/>
              <w:bottom w:val="single" w:sz="4" w:space="0" w:color="A6A6A6" w:themeColor="background1" w:themeShade="A6"/>
            </w:tcBorders>
            <w:shd w:val="clear" w:color="auto" w:fill="auto"/>
          </w:tcPr>
          <w:p w14:paraId="48316EFD" w14:textId="77777777" w:rsidR="00410071" w:rsidRPr="007159B5" w:rsidRDefault="00410071" w:rsidP="002D23CE">
            <w:pPr>
              <w:pStyle w:val="TableText"/>
              <w:keepNext/>
              <w:tabs>
                <w:tab w:val="decimal" w:pos="1077"/>
              </w:tabs>
              <w:rPr>
                <w:bCs/>
                <w:szCs w:val="18"/>
              </w:rPr>
            </w:pPr>
            <w:r w:rsidRPr="007159B5">
              <w:rPr>
                <w:bCs/>
                <w:szCs w:val="18"/>
              </w:rPr>
              <w:t>22</w:t>
            </w:r>
          </w:p>
        </w:tc>
        <w:tc>
          <w:tcPr>
            <w:tcW w:w="877" w:type="pct"/>
            <w:tcBorders>
              <w:top w:val="nil"/>
              <w:bottom w:val="single" w:sz="4" w:space="0" w:color="A6A6A6" w:themeColor="background1" w:themeShade="A6"/>
            </w:tcBorders>
            <w:shd w:val="clear" w:color="auto" w:fill="auto"/>
          </w:tcPr>
          <w:p w14:paraId="2B7BC2BE" w14:textId="77777777" w:rsidR="00410071" w:rsidRPr="007159B5" w:rsidRDefault="00410071" w:rsidP="002D23CE">
            <w:pPr>
              <w:pStyle w:val="TableText"/>
              <w:keepNext/>
              <w:tabs>
                <w:tab w:val="decimal" w:pos="935"/>
              </w:tabs>
              <w:rPr>
                <w:bCs/>
                <w:szCs w:val="18"/>
              </w:rPr>
            </w:pPr>
            <w:r>
              <w:rPr>
                <w:bCs/>
                <w:szCs w:val="18"/>
              </w:rPr>
              <w:t>256</w:t>
            </w:r>
          </w:p>
        </w:tc>
        <w:tc>
          <w:tcPr>
            <w:tcW w:w="1579" w:type="pct"/>
            <w:tcBorders>
              <w:top w:val="nil"/>
              <w:bottom w:val="single" w:sz="4" w:space="0" w:color="A6A6A6" w:themeColor="background1" w:themeShade="A6"/>
            </w:tcBorders>
            <w:shd w:val="clear" w:color="auto" w:fill="auto"/>
          </w:tcPr>
          <w:p w14:paraId="45EABCE7" w14:textId="77777777" w:rsidR="00410071" w:rsidRPr="007159B5" w:rsidRDefault="00410071" w:rsidP="002D23CE">
            <w:pPr>
              <w:pStyle w:val="TableText"/>
              <w:keepNext/>
              <w:tabs>
                <w:tab w:val="decimal" w:pos="936"/>
              </w:tabs>
              <w:rPr>
                <w:bCs/>
                <w:szCs w:val="18"/>
              </w:rPr>
            </w:pPr>
            <w:r>
              <w:rPr>
                <w:bCs/>
                <w:szCs w:val="18"/>
              </w:rPr>
              <w:t>12 (1–41)</w:t>
            </w:r>
          </w:p>
        </w:tc>
      </w:tr>
      <w:tr w:rsidR="00410071" w:rsidRPr="00200234" w14:paraId="570822F8"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7DBB74AE" w14:textId="77777777" w:rsidR="00410071" w:rsidRPr="007159B5" w:rsidRDefault="00410071" w:rsidP="002D23CE">
            <w:pPr>
              <w:pStyle w:val="TableText"/>
              <w:keepNext/>
              <w:rPr>
                <w:bCs/>
                <w:szCs w:val="18"/>
              </w:rPr>
            </w:pPr>
            <w:r w:rsidRPr="007159B5">
              <w:rPr>
                <w:bCs/>
                <w:szCs w:val="18"/>
              </w:rPr>
              <w:t>Bay of Plenty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1B7828BB" w14:textId="77777777" w:rsidR="00410071" w:rsidRPr="007159B5" w:rsidRDefault="00410071" w:rsidP="002D23CE">
            <w:pPr>
              <w:pStyle w:val="TableText"/>
              <w:keepNext/>
              <w:tabs>
                <w:tab w:val="decimal" w:pos="1077"/>
              </w:tabs>
              <w:rPr>
                <w:bCs/>
                <w:szCs w:val="18"/>
              </w:rPr>
            </w:pPr>
            <w:r>
              <w:rPr>
                <w:bCs/>
                <w:szCs w:val="18"/>
              </w:rPr>
              <w:t>18</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6BBF489A" w14:textId="77777777" w:rsidR="00410071" w:rsidRPr="007159B5" w:rsidRDefault="00410071" w:rsidP="002D23CE">
            <w:pPr>
              <w:pStyle w:val="TableText"/>
              <w:keepNext/>
              <w:tabs>
                <w:tab w:val="decimal" w:pos="935"/>
              </w:tabs>
              <w:rPr>
                <w:bCs/>
                <w:szCs w:val="18"/>
              </w:rPr>
            </w:pPr>
            <w:r>
              <w:rPr>
                <w:bCs/>
                <w:szCs w:val="18"/>
              </w:rPr>
              <w:t>276</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24511E67" w14:textId="77777777" w:rsidR="00410071" w:rsidRPr="007159B5" w:rsidRDefault="00410071" w:rsidP="002D23CE">
            <w:pPr>
              <w:pStyle w:val="TableText"/>
              <w:keepNext/>
              <w:tabs>
                <w:tab w:val="decimal" w:pos="936"/>
              </w:tabs>
              <w:rPr>
                <w:bCs/>
                <w:szCs w:val="18"/>
              </w:rPr>
            </w:pPr>
            <w:r>
              <w:rPr>
                <w:bCs/>
                <w:szCs w:val="18"/>
              </w:rPr>
              <w:t>15 (4–52)</w:t>
            </w:r>
          </w:p>
        </w:tc>
      </w:tr>
      <w:tr w:rsidR="00410071" w:rsidRPr="00200234" w14:paraId="6043BA57"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6E325DDB" w14:textId="77777777" w:rsidR="00410071" w:rsidRPr="007159B5" w:rsidRDefault="00410071" w:rsidP="002D23CE">
            <w:pPr>
              <w:pStyle w:val="TableText"/>
              <w:keepNext/>
              <w:rPr>
                <w:bCs/>
                <w:szCs w:val="18"/>
              </w:rPr>
            </w:pPr>
            <w:r w:rsidRPr="007159B5">
              <w:rPr>
                <w:bCs/>
                <w:szCs w:val="18"/>
              </w:rPr>
              <w:t>Canterbury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1D478BA1" w14:textId="77777777" w:rsidR="00410071" w:rsidRPr="007159B5" w:rsidRDefault="00410071" w:rsidP="002D23CE">
            <w:pPr>
              <w:pStyle w:val="TableText"/>
              <w:keepNext/>
              <w:tabs>
                <w:tab w:val="decimal" w:pos="1077"/>
              </w:tabs>
              <w:rPr>
                <w:bCs/>
                <w:szCs w:val="18"/>
              </w:rPr>
            </w:pPr>
            <w:r>
              <w:rPr>
                <w:bCs/>
                <w:szCs w:val="18"/>
              </w:rPr>
              <w:t>25</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5CC456B6" w14:textId="77777777" w:rsidR="00410071" w:rsidRPr="007159B5" w:rsidRDefault="00410071" w:rsidP="002D23CE">
            <w:pPr>
              <w:pStyle w:val="TableText"/>
              <w:keepNext/>
              <w:tabs>
                <w:tab w:val="decimal" w:pos="935"/>
              </w:tabs>
              <w:rPr>
                <w:bCs/>
                <w:szCs w:val="18"/>
              </w:rPr>
            </w:pPr>
            <w:r>
              <w:rPr>
                <w:bCs/>
                <w:szCs w:val="18"/>
              </w:rPr>
              <w:t>210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733F58EF" w14:textId="77777777" w:rsidR="00410071" w:rsidRPr="007159B5" w:rsidRDefault="00410071" w:rsidP="002D23CE">
            <w:pPr>
              <w:pStyle w:val="TableText"/>
              <w:keepNext/>
              <w:tabs>
                <w:tab w:val="decimal" w:pos="936"/>
              </w:tabs>
              <w:rPr>
                <w:bCs/>
                <w:szCs w:val="18"/>
              </w:rPr>
            </w:pPr>
            <w:r>
              <w:rPr>
                <w:bCs/>
                <w:szCs w:val="18"/>
              </w:rPr>
              <w:t>8 (1–39)</w:t>
            </w:r>
          </w:p>
        </w:tc>
      </w:tr>
      <w:tr w:rsidR="00410071" w:rsidRPr="00200234" w14:paraId="45D5D231"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1507CA4" w14:textId="77777777" w:rsidR="00410071" w:rsidRPr="007159B5" w:rsidRDefault="00410071" w:rsidP="002D23CE">
            <w:pPr>
              <w:pStyle w:val="TableText"/>
              <w:keepNext/>
              <w:rPr>
                <w:bCs/>
                <w:szCs w:val="18"/>
              </w:rPr>
            </w:pPr>
            <w:r w:rsidRPr="007159B5">
              <w:rPr>
                <w:bCs/>
                <w:szCs w:val="18"/>
              </w:rPr>
              <w:t>Capital &amp; Coast</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27CA5BAC" w14:textId="77777777" w:rsidR="00410071" w:rsidRPr="007159B5" w:rsidRDefault="00410071" w:rsidP="002D23CE">
            <w:pPr>
              <w:pStyle w:val="TableText"/>
              <w:keepNext/>
              <w:tabs>
                <w:tab w:val="decimal" w:pos="1077"/>
              </w:tabs>
              <w:rPr>
                <w:bCs/>
                <w:szCs w:val="18"/>
              </w:rPr>
            </w:pPr>
            <w:r>
              <w:rPr>
                <w:bCs/>
                <w:szCs w:val="18"/>
              </w:rPr>
              <w:t>4</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192BA2E3" w14:textId="77777777" w:rsidR="00410071" w:rsidRPr="007159B5" w:rsidRDefault="00410071" w:rsidP="002D23CE">
            <w:pPr>
              <w:pStyle w:val="TableText"/>
              <w:keepNext/>
              <w:tabs>
                <w:tab w:val="decimal" w:pos="935"/>
              </w:tabs>
              <w:rPr>
                <w:bCs/>
                <w:szCs w:val="18"/>
              </w:rPr>
            </w:pPr>
            <w:r>
              <w:rPr>
                <w:bCs/>
                <w:szCs w:val="18"/>
              </w:rPr>
              <w:t>12</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3A14AA4B" w14:textId="77777777" w:rsidR="00410071" w:rsidRPr="007159B5" w:rsidRDefault="00410071" w:rsidP="002D23CE">
            <w:pPr>
              <w:pStyle w:val="TableText"/>
              <w:keepNext/>
              <w:tabs>
                <w:tab w:val="decimal" w:pos="936"/>
              </w:tabs>
              <w:rPr>
                <w:bCs/>
                <w:szCs w:val="18"/>
              </w:rPr>
            </w:pPr>
            <w:r>
              <w:rPr>
                <w:bCs/>
                <w:szCs w:val="18"/>
              </w:rPr>
              <w:t>3 (1–6)</w:t>
            </w:r>
          </w:p>
        </w:tc>
      </w:tr>
      <w:tr w:rsidR="00410071" w:rsidRPr="00200234" w14:paraId="2DF60AFB"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36ED7E90" w14:textId="77777777" w:rsidR="00410071" w:rsidRPr="007159B5" w:rsidRDefault="00410071" w:rsidP="002D23CE">
            <w:pPr>
              <w:pStyle w:val="TableText"/>
              <w:keepNext/>
              <w:rPr>
                <w:bCs/>
                <w:szCs w:val="18"/>
              </w:rPr>
            </w:pPr>
            <w:r w:rsidRPr="007159B5">
              <w:rPr>
                <w:bCs/>
                <w:szCs w:val="18"/>
              </w:rPr>
              <w:t>Counties Manukau</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501D2F35" w14:textId="77777777" w:rsidR="00410071" w:rsidRPr="007159B5" w:rsidRDefault="00410071" w:rsidP="002D23CE">
            <w:pPr>
              <w:pStyle w:val="TableText"/>
              <w:keepNext/>
              <w:tabs>
                <w:tab w:val="decimal" w:pos="1077"/>
              </w:tabs>
              <w:rPr>
                <w:bCs/>
                <w:szCs w:val="18"/>
              </w:rPr>
            </w:pPr>
            <w:r>
              <w:rPr>
                <w:bCs/>
                <w:szCs w:val="18"/>
              </w:rPr>
              <w:t>24</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AA8D661" w14:textId="77777777" w:rsidR="00410071" w:rsidRPr="007159B5" w:rsidRDefault="00410071" w:rsidP="002D23CE">
            <w:pPr>
              <w:pStyle w:val="TableText"/>
              <w:keepNext/>
              <w:tabs>
                <w:tab w:val="decimal" w:pos="935"/>
              </w:tabs>
              <w:rPr>
                <w:bCs/>
                <w:szCs w:val="18"/>
              </w:rPr>
            </w:pPr>
            <w:r>
              <w:rPr>
                <w:bCs/>
                <w:szCs w:val="18"/>
              </w:rPr>
              <w:t>205</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0A34FDB7" w14:textId="77777777" w:rsidR="00410071" w:rsidRPr="007159B5" w:rsidRDefault="00410071" w:rsidP="002D23CE">
            <w:pPr>
              <w:pStyle w:val="TableText"/>
              <w:keepNext/>
              <w:tabs>
                <w:tab w:val="decimal" w:pos="936"/>
              </w:tabs>
              <w:rPr>
                <w:bCs/>
                <w:szCs w:val="18"/>
              </w:rPr>
            </w:pPr>
            <w:r>
              <w:rPr>
                <w:bCs/>
                <w:szCs w:val="18"/>
              </w:rPr>
              <w:t>9 (1–35)</w:t>
            </w:r>
          </w:p>
        </w:tc>
      </w:tr>
      <w:tr w:rsidR="00410071" w:rsidRPr="00200234" w14:paraId="07053A4C"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53100D2F" w14:textId="77777777" w:rsidR="00410071" w:rsidRPr="007159B5" w:rsidRDefault="00410071" w:rsidP="002D23CE">
            <w:pPr>
              <w:pStyle w:val="TableText"/>
              <w:keepNext/>
              <w:rPr>
                <w:bCs/>
                <w:szCs w:val="18"/>
              </w:rPr>
            </w:pPr>
            <w:r w:rsidRPr="007159B5">
              <w:rPr>
                <w:bCs/>
                <w:szCs w:val="18"/>
              </w:rPr>
              <w:t>Hawke</w:t>
            </w:r>
            <w:r w:rsidR="0039221C">
              <w:rPr>
                <w:bCs/>
                <w:szCs w:val="18"/>
              </w:rPr>
              <w:t>’</w:t>
            </w:r>
            <w:r w:rsidRPr="007159B5">
              <w:rPr>
                <w:bCs/>
                <w:szCs w:val="18"/>
              </w:rPr>
              <w:t>s Bay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29D6A149" w14:textId="77777777" w:rsidR="00410071" w:rsidRPr="007159B5" w:rsidRDefault="00410071" w:rsidP="002D23CE">
            <w:pPr>
              <w:pStyle w:val="TableText"/>
              <w:keepNext/>
              <w:tabs>
                <w:tab w:val="decimal" w:pos="1077"/>
              </w:tabs>
              <w:rPr>
                <w:bCs/>
                <w:szCs w:val="18"/>
              </w:rPr>
            </w:pPr>
            <w:r>
              <w:rPr>
                <w:bCs/>
                <w:szCs w:val="18"/>
              </w:rPr>
              <w:t>3</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29F645DD" w14:textId="77777777" w:rsidR="00410071" w:rsidRPr="007159B5" w:rsidRDefault="00410071" w:rsidP="002D23CE">
            <w:pPr>
              <w:pStyle w:val="TableText"/>
              <w:keepNext/>
              <w:tabs>
                <w:tab w:val="decimal" w:pos="935"/>
              </w:tabs>
              <w:rPr>
                <w:bCs/>
                <w:szCs w:val="18"/>
              </w:rPr>
            </w:pPr>
            <w:r>
              <w:rPr>
                <w:bCs/>
                <w:szCs w:val="18"/>
              </w:rPr>
              <w:t>33</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67E2E8AE" w14:textId="77777777" w:rsidR="00410071" w:rsidRPr="007159B5" w:rsidRDefault="00410071" w:rsidP="002D23CE">
            <w:pPr>
              <w:pStyle w:val="TableText"/>
              <w:keepNext/>
              <w:tabs>
                <w:tab w:val="decimal" w:pos="936"/>
              </w:tabs>
              <w:rPr>
                <w:bCs/>
                <w:szCs w:val="18"/>
              </w:rPr>
            </w:pPr>
            <w:r>
              <w:rPr>
                <w:bCs/>
                <w:szCs w:val="18"/>
              </w:rPr>
              <w:t>11 (2–23)</w:t>
            </w:r>
          </w:p>
        </w:tc>
      </w:tr>
      <w:tr w:rsidR="00410071" w:rsidRPr="00200234" w14:paraId="46365362"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6E9A3C57" w14:textId="77777777" w:rsidR="00410071" w:rsidRPr="007159B5" w:rsidRDefault="00410071" w:rsidP="002D23CE">
            <w:pPr>
              <w:pStyle w:val="TableText"/>
              <w:keepNext/>
              <w:rPr>
                <w:bCs/>
                <w:szCs w:val="18"/>
              </w:rPr>
            </w:pPr>
            <w:r w:rsidRPr="007159B5">
              <w:rPr>
                <w:bCs/>
                <w:szCs w:val="18"/>
              </w:rPr>
              <w:t>Hutt Valley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2E09C16E" w14:textId="77777777" w:rsidR="00410071" w:rsidRPr="007159B5" w:rsidRDefault="00410071" w:rsidP="002D23CE">
            <w:pPr>
              <w:pStyle w:val="TableText"/>
              <w:keepNext/>
              <w:tabs>
                <w:tab w:val="decimal" w:pos="1077"/>
              </w:tabs>
              <w:rPr>
                <w:bCs/>
                <w:szCs w:val="18"/>
              </w:rPr>
            </w:pPr>
            <w:r>
              <w:rPr>
                <w:bCs/>
                <w:szCs w:val="18"/>
              </w:rPr>
              <w:t>10</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474E5B1F" w14:textId="77777777" w:rsidR="00410071" w:rsidRPr="007159B5" w:rsidRDefault="00410071" w:rsidP="002D23CE">
            <w:pPr>
              <w:pStyle w:val="TableText"/>
              <w:keepNext/>
              <w:tabs>
                <w:tab w:val="decimal" w:pos="935"/>
              </w:tabs>
              <w:rPr>
                <w:bCs/>
                <w:szCs w:val="18"/>
              </w:rPr>
            </w:pPr>
            <w:r>
              <w:rPr>
                <w:bCs/>
                <w:szCs w:val="18"/>
              </w:rPr>
              <w:t>104</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240A9D03" w14:textId="77777777" w:rsidR="00410071" w:rsidRPr="007159B5" w:rsidRDefault="00410071" w:rsidP="002D23CE">
            <w:pPr>
              <w:pStyle w:val="TableText"/>
              <w:keepNext/>
              <w:tabs>
                <w:tab w:val="decimal" w:pos="936"/>
              </w:tabs>
              <w:rPr>
                <w:bCs/>
                <w:szCs w:val="18"/>
              </w:rPr>
            </w:pPr>
            <w:r>
              <w:rPr>
                <w:bCs/>
                <w:szCs w:val="18"/>
              </w:rPr>
              <w:t>10 (1–17)</w:t>
            </w:r>
          </w:p>
        </w:tc>
      </w:tr>
      <w:tr w:rsidR="00410071" w:rsidRPr="00200234" w14:paraId="7CF36785"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D29A188" w14:textId="77777777" w:rsidR="00410071" w:rsidRPr="007159B5" w:rsidRDefault="00410071" w:rsidP="002D23CE">
            <w:pPr>
              <w:pStyle w:val="TableText"/>
              <w:keepNext/>
              <w:rPr>
                <w:bCs/>
                <w:szCs w:val="18"/>
              </w:rPr>
            </w:pPr>
            <w:r w:rsidRPr="007159B5">
              <w:rPr>
                <w:bCs/>
                <w:szCs w:val="18"/>
              </w:rPr>
              <w:t>Lakes</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3126AA76" w14:textId="77777777" w:rsidR="00410071" w:rsidRPr="007159B5" w:rsidRDefault="00410071" w:rsidP="002D23CE">
            <w:pPr>
              <w:pStyle w:val="TableText"/>
              <w:keepNext/>
              <w:tabs>
                <w:tab w:val="decimal" w:pos="1077"/>
              </w:tabs>
              <w:rPr>
                <w:bCs/>
                <w:szCs w:val="18"/>
              </w:rPr>
            </w:pPr>
            <w:r>
              <w:rPr>
                <w:bCs/>
                <w:szCs w:val="18"/>
              </w:rPr>
              <w:t>10</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366325B" w14:textId="77777777" w:rsidR="00410071" w:rsidRPr="007159B5" w:rsidRDefault="00410071" w:rsidP="002D23CE">
            <w:pPr>
              <w:pStyle w:val="TableText"/>
              <w:keepNext/>
              <w:tabs>
                <w:tab w:val="decimal" w:pos="935"/>
              </w:tabs>
              <w:rPr>
                <w:bCs/>
                <w:szCs w:val="18"/>
              </w:rPr>
            </w:pPr>
            <w:r>
              <w:rPr>
                <w:bCs/>
                <w:szCs w:val="18"/>
              </w:rPr>
              <w:t>77</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72A69D74" w14:textId="77777777" w:rsidR="00410071" w:rsidRPr="007159B5" w:rsidRDefault="00410071" w:rsidP="002D23CE">
            <w:pPr>
              <w:pStyle w:val="TableText"/>
              <w:keepNext/>
              <w:tabs>
                <w:tab w:val="decimal" w:pos="936"/>
              </w:tabs>
              <w:rPr>
                <w:bCs/>
                <w:szCs w:val="18"/>
              </w:rPr>
            </w:pPr>
            <w:r>
              <w:rPr>
                <w:bCs/>
                <w:szCs w:val="18"/>
              </w:rPr>
              <w:t>8 (2–14)</w:t>
            </w:r>
          </w:p>
        </w:tc>
      </w:tr>
      <w:tr w:rsidR="00410071" w:rsidRPr="00200234" w14:paraId="324DB131"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0D7473D" w14:textId="77777777" w:rsidR="00410071" w:rsidRPr="007159B5" w:rsidRDefault="00410071" w:rsidP="002D23CE">
            <w:pPr>
              <w:pStyle w:val="TableText"/>
              <w:keepNext/>
              <w:rPr>
                <w:bCs/>
                <w:szCs w:val="18"/>
              </w:rPr>
            </w:pPr>
            <w:r w:rsidRPr="007159B5">
              <w:rPr>
                <w:bCs/>
                <w:szCs w:val="18"/>
              </w:rPr>
              <w:t>MidCentral</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DD4B49E" w14:textId="77777777" w:rsidR="00410071" w:rsidRPr="007159B5" w:rsidRDefault="00410071" w:rsidP="002D23CE">
            <w:pPr>
              <w:pStyle w:val="TableText"/>
              <w:keepNext/>
              <w:tabs>
                <w:tab w:val="decimal" w:pos="1077"/>
              </w:tabs>
              <w:rPr>
                <w:bCs/>
                <w:szCs w:val="18"/>
              </w:rPr>
            </w:pPr>
            <w:r>
              <w:rPr>
                <w:bCs/>
                <w:szCs w:val="18"/>
              </w:rPr>
              <w:t>4</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6421F9D9" w14:textId="77777777" w:rsidR="00410071" w:rsidRPr="007159B5" w:rsidRDefault="00410071" w:rsidP="002D23CE">
            <w:pPr>
              <w:pStyle w:val="TableText"/>
              <w:keepNext/>
              <w:tabs>
                <w:tab w:val="decimal" w:pos="935"/>
              </w:tabs>
              <w:rPr>
                <w:bCs/>
                <w:szCs w:val="18"/>
              </w:rPr>
            </w:pPr>
            <w:r>
              <w:rPr>
                <w:bCs/>
                <w:szCs w:val="18"/>
              </w:rPr>
              <w:t>42</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067ADBC4" w14:textId="77777777" w:rsidR="00410071" w:rsidRPr="007159B5" w:rsidRDefault="00410071" w:rsidP="002D23CE">
            <w:pPr>
              <w:pStyle w:val="TableText"/>
              <w:keepNext/>
              <w:tabs>
                <w:tab w:val="decimal" w:pos="936"/>
              </w:tabs>
              <w:rPr>
                <w:bCs/>
                <w:szCs w:val="18"/>
              </w:rPr>
            </w:pPr>
            <w:r>
              <w:rPr>
                <w:bCs/>
                <w:szCs w:val="18"/>
              </w:rPr>
              <w:t>8 (1–18)</w:t>
            </w:r>
          </w:p>
        </w:tc>
      </w:tr>
      <w:tr w:rsidR="00410071" w:rsidRPr="00200234" w14:paraId="0EEA84BA"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6993671C" w14:textId="77777777" w:rsidR="00410071" w:rsidRPr="007159B5" w:rsidRDefault="00410071" w:rsidP="0048119A">
            <w:pPr>
              <w:pStyle w:val="TableText"/>
              <w:rPr>
                <w:bCs/>
                <w:szCs w:val="18"/>
              </w:rPr>
            </w:pPr>
            <w:r w:rsidRPr="007159B5">
              <w:rPr>
                <w:bCs/>
                <w:szCs w:val="18"/>
              </w:rPr>
              <w:t>Nelson Marlborough</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56E793DB" w14:textId="77777777" w:rsidR="00410071" w:rsidRPr="007159B5" w:rsidRDefault="00410071" w:rsidP="0048119A">
            <w:pPr>
              <w:pStyle w:val="TableText"/>
              <w:tabs>
                <w:tab w:val="decimal" w:pos="1077"/>
              </w:tabs>
              <w:rPr>
                <w:bCs/>
                <w:szCs w:val="18"/>
              </w:rPr>
            </w:pPr>
            <w:r>
              <w:rPr>
                <w:bCs/>
                <w:szCs w:val="18"/>
              </w:rPr>
              <w:t>5</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D202DFA" w14:textId="77777777" w:rsidR="00410071" w:rsidRPr="007159B5" w:rsidRDefault="00410071" w:rsidP="0048119A">
            <w:pPr>
              <w:pStyle w:val="TableText"/>
              <w:tabs>
                <w:tab w:val="decimal" w:pos="935"/>
              </w:tabs>
              <w:rPr>
                <w:bCs/>
                <w:szCs w:val="18"/>
              </w:rPr>
            </w:pPr>
            <w:r>
              <w:rPr>
                <w:bCs/>
                <w:szCs w:val="18"/>
              </w:rPr>
              <w:t>26</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26907523" w14:textId="77777777" w:rsidR="00410071" w:rsidRPr="007159B5" w:rsidRDefault="00410071" w:rsidP="0048119A">
            <w:pPr>
              <w:pStyle w:val="TableText"/>
              <w:tabs>
                <w:tab w:val="decimal" w:pos="936"/>
              </w:tabs>
              <w:rPr>
                <w:bCs/>
                <w:szCs w:val="18"/>
              </w:rPr>
            </w:pPr>
            <w:r>
              <w:rPr>
                <w:bCs/>
                <w:szCs w:val="18"/>
              </w:rPr>
              <w:t>5 (1–9)</w:t>
            </w:r>
          </w:p>
        </w:tc>
      </w:tr>
      <w:tr w:rsidR="00410071" w:rsidRPr="00200234" w14:paraId="42C7BD7A"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55F29236" w14:textId="77777777" w:rsidR="00410071" w:rsidRPr="007159B5" w:rsidRDefault="00410071" w:rsidP="0048119A">
            <w:pPr>
              <w:pStyle w:val="TableText"/>
              <w:rPr>
                <w:bCs/>
                <w:szCs w:val="18"/>
              </w:rPr>
            </w:pPr>
            <w:r w:rsidRPr="007159B5">
              <w:rPr>
                <w:bCs/>
                <w:szCs w:val="18"/>
              </w:rPr>
              <w:t>Northland</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55DFF5C3" w14:textId="77777777" w:rsidR="00410071" w:rsidRPr="007159B5" w:rsidRDefault="00410071" w:rsidP="0048119A">
            <w:pPr>
              <w:pStyle w:val="TableText"/>
              <w:tabs>
                <w:tab w:val="decimal" w:pos="1077"/>
              </w:tabs>
              <w:rPr>
                <w:bCs/>
                <w:szCs w:val="18"/>
              </w:rPr>
            </w:pPr>
            <w:r>
              <w:rPr>
                <w:bCs/>
                <w:szCs w:val="18"/>
              </w:rPr>
              <w:t>9</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BE41302" w14:textId="77777777" w:rsidR="00410071" w:rsidRPr="007159B5" w:rsidRDefault="00410071" w:rsidP="0048119A">
            <w:pPr>
              <w:pStyle w:val="TableText"/>
              <w:tabs>
                <w:tab w:val="decimal" w:pos="935"/>
              </w:tabs>
              <w:rPr>
                <w:bCs/>
                <w:szCs w:val="18"/>
              </w:rPr>
            </w:pPr>
            <w:r>
              <w:rPr>
                <w:bCs/>
                <w:szCs w:val="18"/>
              </w:rPr>
              <w:t>80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47B9ED0C" w14:textId="77777777" w:rsidR="00410071" w:rsidRPr="007159B5" w:rsidRDefault="00410071" w:rsidP="0048119A">
            <w:pPr>
              <w:pStyle w:val="TableText"/>
              <w:tabs>
                <w:tab w:val="decimal" w:pos="936"/>
              </w:tabs>
              <w:rPr>
                <w:bCs/>
                <w:szCs w:val="18"/>
              </w:rPr>
            </w:pPr>
            <w:r>
              <w:rPr>
                <w:bCs/>
                <w:szCs w:val="18"/>
              </w:rPr>
              <w:t>9 (1–16)</w:t>
            </w:r>
          </w:p>
        </w:tc>
      </w:tr>
      <w:tr w:rsidR="00410071" w:rsidRPr="00200234" w14:paraId="472E483E"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03BCBC2D" w14:textId="77777777" w:rsidR="00410071" w:rsidRPr="007159B5" w:rsidRDefault="00410071" w:rsidP="0048119A">
            <w:pPr>
              <w:pStyle w:val="TableText"/>
              <w:rPr>
                <w:bCs/>
                <w:szCs w:val="18"/>
              </w:rPr>
            </w:pPr>
            <w:r w:rsidRPr="007159B5">
              <w:rPr>
                <w:bCs/>
                <w:szCs w:val="18"/>
              </w:rPr>
              <w:t>South Canterbury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A8BCF6E" w14:textId="77777777" w:rsidR="00410071" w:rsidRPr="007159B5" w:rsidRDefault="00410071" w:rsidP="0048119A">
            <w:pPr>
              <w:pStyle w:val="TableText"/>
              <w:tabs>
                <w:tab w:val="decimal" w:pos="1077"/>
              </w:tabs>
              <w:rPr>
                <w:bCs/>
                <w:szCs w:val="18"/>
              </w:rPr>
            </w:pPr>
            <w:r>
              <w:rPr>
                <w:bCs/>
                <w:szCs w:val="18"/>
              </w:rPr>
              <w:t>–</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60A19AEE" w14:textId="77777777" w:rsidR="00410071" w:rsidRPr="007159B5" w:rsidRDefault="00410071" w:rsidP="0048119A">
            <w:pPr>
              <w:pStyle w:val="TableText"/>
              <w:tabs>
                <w:tab w:val="decimal" w:pos="935"/>
              </w:tabs>
              <w:rPr>
                <w:bCs/>
                <w:szCs w:val="18"/>
              </w:rPr>
            </w:pPr>
            <w:r>
              <w:rPr>
                <w:bCs/>
                <w:szCs w:val="18"/>
              </w:rPr>
              <w:t>–</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32C192EC" w14:textId="77777777" w:rsidR="00410071" w:rsidRPr="007159B5" w:rsidRDefault="00410071" w:rsidP="0048119A">
            <w:pPr>
              <w:pStyle w:val="TableText"/>
              <w:tabs>
                <w:tab w:val="decimal" w:pos="936"/>
              </w:tabs>
              <w:rPr>
                <w:bCs/>
                <w:szCs w:val="18"/>
              </w:rPr>
            </w:pPr>
            <w:r>
              <w:rPr>
                <w:bCs/>
                <w:szCs w:val="18"/>
              </w:rPr>
              <w:t>–</w:t>
            </w:r>
          </w:p>
        </w:tc>
      </w:tr>
      <w:tr w:rsidR="00410071" w:rsidRPr="00200234" w14:paraId="4BCDF7D8"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55964A90" w14:textId="77777777" w:rsidR="00410071" w:rsidRPr="007159B5" w:rsidRDefault="00410071" w:rsidP="0048119A">
            <w:pPr>
              <w:pStyle w:val="TableText"/>
              <w:rPr>
                <w:bCs/>
                <w:szCs w:val="18"/>
              </w:rPr>
            </w:pPr>
            <w:r w:rsidRPr="007159B5">
              <w:rPr>
                <w:bCs/>
                <w:szCs w:val="18"/>
              </w:rPr>
              <w:t>Southern</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01B76091" w14:textId="77777777" w:rsidR="00410071" w:rsidRPr="007159B5" w:rsidRDefault="00410071" w:rsidP="0048119A">
            <w:pPr>
              <w:pStyle w:val="TableText"/>
              <w:tabs>
                <w:tab w:val="decimal" w:pos="1077"/>
              </w:tabs>
              <w:rPr>
                <w:bCs/>
                <w:szCs w:val="18"/>
              </w:rPr>
            </w:pPr>
            <w:r>
              <w:rPr>
                <w:bCs/>
                <w:szCs w:val="18"/>
              </w:rPr>
              <w:t>29</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73003D84" w14:textId="77777777" w:rsidR="00410071" w:rsidRPr="007159B5" w:rsidRDefault="00410071" w:rsidP="0048119A">
            <w:pPr>
              <w:pStyle w:val="TableText"/>
              <w:tabs>
                <w:tab w:val="decimal" w:pos="935"/>
              </w:tabs>
              <w:rPr>
                <w:bCs/>
                <w:szCs w:val="18"/>
              </w:rPr>
            </w:pPr>
            <w:r>
              <w:rPr>
                <w:bCs/>
                <w:szCs w:val="18"/>
              </w:rPr>
              <w:t>470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6B44DC8D" w14:textId="77777777" w:rsidR="00410071" w:rsidRPr="007159B5" w:rsidRDefault="00410071" w:rsidP="0048119A">
            <w:pPr>
              <w:pStyle w:val="TableText"/>
              <w:tabs>
                <w:tab w:val="decimal" w:pos="936"/>
              </w:tabs>
              <w:rPr>
                <w:bCs/>
                <w:szCs w:val="18"/>
              </w:rPr>
            </w:pPr>
            <w:r>
              <w:rPr>
                <w:bCs/>
                <w:szCs w:val="18"/>
              </w:rPr>
              <w:t>16 (1–67)</w:t>
            </w:r>
          </w:p>
        </w:tc>
      </w:tr>
      <w:tr w:rsidR="00410071" w:rsidRPr="00200234" w14:paraId="3DA6013B"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37AA0597" w14:textId="77777777" w:rsidR="00410071" w:rsidRPr="007159B5" w:rsidRDefault="00410071" w:rsidP="0048119A">
            <w:pPr>
              <w:pStyle w:val="TableText"/>
              <w:rPr>
                <w:bCs/>
                <w:szCs w:val="18"/>
              </w:rPr>
            </w:pPr>
            <w:r w:rsidRPr="007159B5">
              <w:rPr>
                <w:bCs/>
                <w:szCs w:val="18"/>
              </w:rPr>
              <w:t>Tairāwhiti</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10A54FD2" w14:textId="77777777" w:rsidR="00410071" w:rsidRPr="007159B5" w:rsidRDefault="00410071" w:rsidP="0048119A">
            <w:pPr>
              <w:pStyle w:val="TableText"/>
              <w:tabs>
                <w:tab w:val="decimal" w:pos="1077"/>
              </w:tabs>
              <w:rPr>
                <w:bCs/>
                <w:szCs w:val="18"/>
              </w:rPr>
            </w:pPr>
            <w:r>
              <w:rPr>
                <w:bCs/>
                <w:szCs w:val="18"/>
              </w:rPr>
              <w:t>–</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0F3D639" w14:textId="77777777" w:rsidR="00410071" w:rsidRPr="007159B5" w:rsidRDefault="00410071" w:rsidP="0048119A">
            <w:pPr>
              <w:pStyle w:val="TableText"/>
              <w:tabs>
                <w:tab w:val="decimal" w:pos="935"/>
              </w:tabs>
              <w:rPr>
                <w:bCs/>
                <w:szCs w:val="18"/>
              </w:rPr>
            </w:pPr>
            <w:r>
              <w:rPr>
                <w:bCs/>
                <w:szCs w:val="18"/>
              </w:rPr>
              <w:t>–</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156E259F" w14:textId="77777777" w:rsidR="00410071" w:rsidRPr="007159B5" w:rsidRDefault="00410071" w:rsidP="0048119A">
            <w:pPr>
              <w:pStyle w:val="TableText"/>
              <w:tabs>
                <w:tab w:val="decimal" w:pos="936"/>
              </w:tabs>
              <w:rPr>
                <w:bCs/>
                <w:szCs w:val="18"/>
              </w:rPr>
            </w:pPr>
            <w:r>
              <w:rPr>
                <w:bCs/>
                <w:szCs w:val="18"/>
              </w:rPr>
              <w:t>–</w:t>
            </w:r>
          </w:p>
        </w:tc>
      </w:tr>
      <w:tr w:rsidR="00410071" w:rsidRPr="00200234" w14:paraId="78B4EE3F"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489FE51" w14:textId="77777777" w:rsidR="00410071" w:rsidRPr="007159B5" w:rsidRDefault="00410071" w:rsidP="0048119A">
            <w:pPr>
              <w:pStyle w:val="TableText"/>
              <w:rPr>
                <w:bCs/>
                <w:szCs w:val="18"/>
              </w:rPr>
            </w:pPr>
            <w:r w:rsidRPr="007159B5">
              <w:rPr>
                <w:bCs/>
                <w:szCs w:val="18"/>
              </w:rPr>
              <w:t>Taranaki</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5CEE20A6" w14:textId="77777777" w:rsidR="00410071" w:rsidRPr="007159B5" w:rsidRDefault="00410071" w:rsidP="0048119A">
            <w:pPr>
              <w:pStyle w:val="TableText"/>
              <w:tabs>
                <w:tab w:val="decimal" w:pos="1077"/>
              </w:tabs>
              <w:rPr>
                <w:bCs/>
                <w:szCs w:val="18"/>
              </w:rPr>
            </w:pPr>
            <w:r>
              <w:rPr>
                <w:bCs/>
                <w:szCs w:val="18"/>
              </w:rPr>
              <w:t>8</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6675520" w14:textId="77777777" w:rsidR="00410071" w:rsidRPr="007159B5" w:rsidRDefault="00410071" w:rsidP="0048119A">
            <w:pPr>
              <w:pStyle w:val="TableText"/>
              <w:tabs>
                <w:tab w:val="decimal" w:pos="935"/>
              </w:tabs>
              <w:rPr>
                <w:bCs/>
                <w:szCs w:val="18"/>
              </w:rPr>
            </w:pPr>
            <w:r>
              <w:rPr>
                <w:bCs/>
                <w:szCs w:val="18"/>
              </w:rPr>
              <w:t>103</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353977C7" w14:textId="77777777" w:rsidR="00410071" w:rsidRPr="007159B5" w:rsidRDefault="00410071" w:rsidP="0048119A">
            <w:pPr>
              <w:pStyle w:val="TableText"/>
              <w:tabs>
                <w:tab w:val="decimal" w:pos="936"/>
              </w:tabs>
              <w:rPr>
                <w:bCs/>
                <w:szCs w:val="18"/>
              </w:rPr>
            </w:pPr>
            <w:r>
              <w:rPr>
                <w:bCs/>
                <w:szCs w:val="18"/>
              </w:rPr>
              <w:t>13 (1–41)</w:t>
            </w:r>
          </w:p>
        </w:tc>
      </w:tr>
      <w:tr w:rsidR="00410071" w:rsidRPr="00200234" w14:paraId="12EE0BCD"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5024E8BD" w14:textId="77777777" w:rsidR="00410071" w:rsidRPr="007159B5" w:rsidRDefault="00410071" w:rsidP="0048119A">
            <w:pPr>
              <w:pStyle w:val="TableText"/>
              <w:rPr>
                <w:bCs/>
                <w:szCs w:val="18"/>
              </w:rPr>
            </w:pPr>
            <w:r w:rsidRPr="007159B5">
              <w:rPr>
                <w:bCs/>
                <w:szCs w:val="18"/>
              </w:rPr>
              <w:t>Waikato</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33016C42" w14:textId="77777777" w:rsidR="00410071" w:rsidRPr="007159B5" w:rsidRDefault="00410071" w:rsidP="0048119A">
            <w:pPr>
              <w:pStyle w:val="TableText"/>
              <w:tabs>
                <w:tab w:val="decimal" w:pos="1077"/>
              </w:tabs>
              <w:rPr>
                <w:bCs/>
                <w:szCs w:val="18"/>
              </w:rPr>
            </w:pPr>
            <w:r>
              <w:rPr>
                <w:bCs/>
                <w:szCs w:val="18"/>
              </w:rPr>
              <w:t>35</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58A2F266" w14:textId="77777777" w:rsidR="00410071" w:rsidRPr="007159B5" w:rsidRDefault="00410071" w:rsidP="0048119A">
            <w:pPr>
              <w:pStyle w:val="TableText"/>
              <w:tabs>
                <w:tab w:val="decimal" w:pos="935"/>
              </w:tabs>
              <w:rPr>
                <w:bCs/>
                <w:szCs w:val="18"/>
              </w:rPr>
            </w:pPr>
            <w:r>
              <w:rPr>
                <w:bCs/>
                <w:szCs w:val="18"/>
              </w:rPr>
              <w:t>360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7E3A0566" w14:textId="77777777" w:rsidR="00410071" w:rsidRPr="007159B5" w:rsidRDefault="00410071" w:rsidP="0048119A">
            <w:pPr>
              <w:pStyle w:val="TableText"/>
              <w:tabs>
                <w:tab w:val="decimal" w:pos="936"/>
              </w:tabs>
              <w:rPr>
                <w:bCs/>
                <w:szCs w:val="18"/>
              </w:rPr>
            </w:pPr>
            <w:r>
              <w:rPr>
                <w:bCs/>
                <w:szCs w:val="18"/>
              </w:rPr>
              <w:t>10 (1–29)</w:t>
            </w:r>
          </w:p>
        </w:tc>
      </w:tr>
      <w:tr w:rsidR="00410071" w:rsidRPr="00200234" w14:paraId="5217F9E6"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514760C2" w14:textId="77777777" w:rsidR="00410071" w:rsidRPr="007159B5" w:rsidRDefault="00410071" w:rsidP="0048119A">
            <w:pPr>
              <w:pStyle w:val="TableText"/>
              <w:rPr>
                <w:bCs/>
                <w:szCs w:val="18"/>
              </w:rPr>
            </w:pPr>
            <w:r w:rsidRPr="007159B5">
              <w:rPr>
                <w:bCs/>
                <w:szCs w:val="18"/>
              </w:rPr>
              <w:t>Wairarapa</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3A57CF8A" w14:textId="77777777" w:rsidR="00410071" w:rsidRPr="007159B5" w:rsidRDefault="00410071" w:rsidP="0048119A">
            <w:pPr>
              <w:pStyle w:val="TableText"/>
              <w:tabs>
                <w:tab w:val="decimal" w:pos="1077"/>
              </w:tabs>
              <w:rPr>
                <w:bCs/>
                <w:szCs w:val="18"/>
              </w:rPr>
            </w:pPr>
            <w:r>
              <w:rPr>
                <w:bCs/>
                <w:szCs w:val="18"/>
              </w:rPr>
              <w:t>–</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55C1AB89" w14:textId="77777777" w:rsidR="00410071" w:rsidRPr="007159B5" w:rsidRDefault="00410071" w:rsidP="0048119A">
            <w:pPr>
              <w:pStyle w:val="TableText"/>
              <w:tabs>
                <w:tab w:val="decimal" w:pos="935"/>
              </w:tabs>
              <w:rPr>
                <w:bCs/>
                <w:szCs w:val="18"/>
              </w:rPr>
            </w:pPr>
            <w:r>
              <w:rPr>
                <w:bCs/>
                <w:szCs w:val="18"/>
              </w:rPr>
              <w:t>–</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01DE8EC6" w14:textId="77777777" w:rsidR="00410071" w:rsidRPr="007159B5" w:rsidRDefault="00410071" w:rsidP="0048119A">
            <w:pPr>
              <w:pStyle w:val="TableText"/>
              <w:tabs>
                <w:tab w:val="decimal" w:pos="936"/>
              </w:tabs>
              <w:rPr>
                <w:bCs/>
                <w:szCs w:val="18"/>
              </w:rPr>
            </w:pPr>
            <w:r>
              <w:rPr>
                <w:bCs/>
                <w:szCs w:val="18"/>
              </w:rPr>
              <w:t>–</w:t>
            </w:r>
          </w:p>
        </w:tc>
      </w:tr>
      <w:tr w:rsidR="00410071" w:rsidRPr="00200234" w14:paraId="16F142CC"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7CDAE0B1" w14:textId="77777777" w:rsidR="00410071" w:rsidRPr="007159B5" w:rsidRDefault="00410071" w:rsidP="0048119A">
            <w:pPr>
              <w:pStyle w:val="TableText"/>
              <w:rPr>
                <w:bCs/>
                <w:szCs w:val="18"/>
              </w:rPr>
            </w:pPr>
            <w:r w:rsidRPr="007159B5">
              <w:rPr>
                <w:bCs/>
                <w:szCs w:val="18"/>
              </w:rPr>
              <w:t>Waitematā</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3EAEBF8" w14:textId="77777777" w:rsidR="00410071" w:rsidRPr="007159B5" w:rsidRDefault="00410071" w:rsidP="0048119A">
            <w:pPr>
              <w:pStyle w:val="TableText"/>
              <w:tabs>
                <w:tab w:val="decimal" w:pos="1077"/>
              </w:tabs>
              <w:rPr>
                <w:bCs/>
                <w:szCs w:val="18"/>
              </w:rPr>
            </w:pPr>
            <w:r>
              <w:rPr>
                <w:bCs/>
                <w:szCs w:val="18"/>
              </w:rPr>
              <w:t>27</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166B8B19" w14:textId="77777777" w:rsidR="00410071" w:rsidRPr="007159B5" w:rsidRDefault="00410071" w:rsidP="0048119A">
            <w:pPr>
              <w:pStyle w:val="TableText"/>
              <w:tabs>
                <w:tab w:val="decimal" w:pos="935"/>
              </w:tabs>
              <w:rPr>
                <w:bCs/>
                <w:szCs w:val="18"/>
              </w:rPr>
            </w:pPr>
            <w:r>
              <w:rPr>
                <w:bCs/>
                <w:szCs w:val="18"/>
              </w:rPr>
              <w:t>379</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36C3F741" w14:textId="77777777" w:rsidR="00410071" w:rsidRPr="007159B5" w:rsidRDefault="00410071" w:rsidP="0048119A">
            <w:pPr>
              <w:pStyle w:val="TableText"/>
              <w:tabs>
                <w:tab w:val="decimal" w:pos="936"/>
              </w:tabs>
              <w:rPr>
                <w:bCs/>
                <w:szCs w:val="18"/>
              </w:rPr>
            </w:pPr>
            <w:r>
              <w:rPr>
                <w:bCs/>
                <w:szCs w:val="18"/>
              </w:rPr>
              <w:t>14 (1–39)</w:t>
            </w:r>
          </w:p>
        </w:tc>
      </w:tr>
      <w:tr w:rsidR="00410071" w:rsidRPr="00200234" w14:paraId="36ADDAF3"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409C38D8" w14:textId="77777777" w:rsidR="00410071" w:rsidRPr="007159B5" w:rsidRDefault="00410071" w:rsidP="0048119A">
            <w:pPr>
              <w:pStyle w:val="TableText"/>
              <w:rPr>
                <w:bCs/>
                <w:szCs w:val="18"/>
              </w:rPr>
            </w:pPr>
            <w:r w:rsidRPr="007159B5">
              <w:rPr>
                <w:bCs/>
                <w:szCs w:val="18"/>
              </w:rPr>
              <w:t>West Coast</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443D7ACE" w14:textId="77777777" w:rsidR="00410071" w:rsidRPr="007159B5" w:rsidRDefault="00410071" w:rsidP="0048119A">
            <w:pPr>
              <w:pStyle w:val="TableText"/>
              <w:tabs>
                <w:tab w:val="decimal" w:pos="1077"/>
              </w:tabs>
              <w:rPr>
                <w:bCs/>
                <w:szCs w:val="18"/>
              </w:rPr>
            </w:pPr>
            <w:r>
              <w:rPr>
                <w:bCs/>
                <w:szCs w:val="18"/>
              </w:rPr>
              <w:t>–</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59CFD7E" w14:textId="77777777" w:rsidR="00410071" w:rsidRPr="007159B5" w:rsidRDefault="00410071" w:rsidP="0048119A">
            <w:pPr>
              <w:pStyle w:val="TableText"/>
              <w:tabs>
                <w:tab w:val="decimal" w:pos="935"/>
              </w:tabs>
              <w:rPr>
                <w:bCs/>
                <w:szCs w:val="18"/>
              </w:rPr>
            </w:pPr>
            <w:r>
              <w:rPr>
                <w:bCs/>
                <w:szCs w:val="18"/>
              </w:rPr>
              <w:t>–</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72B57747" w14:textId="77777777" w:rsidR="00410071" w:rsidRPr="007159B5" w:rsidRDefault="00410071" w:rsidP="0048119A">
            <w:pPr>
              <w:pStyle w:val="TableText"/>
              <w:tabs>
                <w:tab w:val="decimal" w:pos="936"/>
              </w:tabs>
              <w:rPr>
                <w:bCs/>
                <w:szCs w:val="18"/>
              </w:rPr>
            </w:pPr>
            <w:r>
              <w:rPr>
                <w:bCs/>
                <w:szCs w:val="18"/>
              </w:rPr>
              <w:t>–</w:t>
            </w:r>
          </w:p>
        </w:tc>
      </w:tr>
      <w:tr w:rsidR="00410071" w:rsidRPr="00200234" w14:paraId="3D776580"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46B5755E" w14:textId="77777777" w:rsidR="00410071" w:rsidRPr="007159B5" w:rsidRDefault="00410071" w:rsidP="0048119A">
            <w:pPr>
              <w:pStyle w:val="TableText"/>
              <w:rPr>
                <w:bCs/>
                <w:szCs w:val="18"/>
              </w:rPr>
            </w:pPr>
            <w:r w:rsidRPr="007159B5">
              <w:rPr>
                <w:bCs/>
                <w:szCs w:val="18"/>
              </w:rPr>
              <w:t>Whanganui</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3A646FDD" w14:textId="77777777" w:rsidR="00410071" w:rsidRPr="007159B5" w:rsidRDefault="00410071" w:rsidP="0048119A">
            <w:pPr>
              <w:pStyle w:val="TableText"/>
              <w:tabs>
                <w:tab w:val="decimal" w:pos="1077"/>
              </w:tabs>
              <w:rPr>
                <w:bCs/>
                <w:szCs w:val="18"/>
              </w:rPr>
            </w:pPr>
            <w:r>
              <w:rPr>
                <w:bCs/>
                <w:szCs w:val="18"/>
              </w:rPr>
              <w:t>–</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A244D86" w14:textId="77777777" w:rsidR="00410071" w:rsidRPr="007159B5" w:rsidRDefault="00410071" w:rsidP="0048119A">
            <w:pPr>
              <w:pStyle w:val="TableText"/>
              <w:tabs>
                <w:tab w:val="decimal" w:pos="935"/>
              </w:tabs>
              <w:rPr>
                <w:bCs/>
                <w:szCs w:val="18"/>
              </w:rPr>
            </w:pPr>
            <w:r>
              <w:rPr>
                <w:bCs/>
                <w:szCs w:val="18"/>
              </w:rPr>
              <w:t>–</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1DBED829" w14:textId="77777777" w:rsidR="00410071" w:rsidRPr="007159B5" w:rsidRDefault="00410071" w:rsidP="0048119A">
            <w:pPr>
              <w:pStyle w:val="TableText"/>
              <w:tabs>
                <w:tab w:val="decimal" w:pos="936"/>
              </w:tabs>
              <w:rPr>
                <w:bCs/>
                <w:szCs w:val="18"/>
              </w:rPr>
            </w:pPr>
            <w:r>
              <w:rPr>
                <w:bCs/>
                <w:szCs w:val="18"/>
              </w:rPr>
              <w:t>–</w:t>
            </w:r>
          </w:p>
        </w:tc>
      </w:tr>
      <w:tr w:rsidR="00410071" w:rsidRPr="0048119A" w14:paraId="6414944F" w14:textId="77777777" w:rsidTr="0048119A">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87DB9B7" w14:textId="77777777" w:rsidR="00410071" w:rsidRPr="0048119A" w:rsidRDefault="00410071" w:rsidP="0048119A">
            <w:pPr>
              <w:pStyle w:val="TableText"/>
              <w:rPr>
                <w:b/>
                <w:szCs w:val="18"/>
              </w:rPr>
            </w:pPr>
            <w:r w:rsidRPr="0048119A">
              <w:rPr>
                <w:b/>
                <w:szCs w:val="18"/>
              </w:rPr>
              <w:t>National total</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A4A6FA1" w14:textId="77777777" w:rsidR="00410071" w:rsidRPr="0048119A" w:rsidRDefault="00410071" w:rsidP="0048119A">
            <w:pPr>
              <w:pStyle w:val="TableText"/>
              <w:tabs>
                <w:tab w:val="decimal" w:pos="1077"/>
              </w:tabs>
              <w:rPr>
                <w:b/>
                <w:szCs w:val="18"/>
              </w:rPr>
            </w:pPr>
            <w:r w:rsidRPr="0048119A">
              <w:rPr>
                <w:b/>
                <w:szCs w:val="18"/>
              </w:rPr>
              <w:t>233</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14A95EA4" w14:textId="77777777" w:rsidR="00410071" w:rsidRPr="0048119A" w:rsidRDefault="00410071" w:rsidP="0048119A">
            <w:pPr>
              <w:pStyle w:val="TableText"/>
              <w:tabs>
                <w:tab w:val="decimal" w:pos="935"/>
              </w:tabs>
              <w:rPr>
                <w:b/>
                <w:szCs w:val="18"/>
              </w:rPr>
            </w:pPr>
            <w:r w:rsidRPr="0048119A">
              <w:rPr>
                <w:b/>
                <w:szCs w:val="18"/>
              </w:rPr>
              <w:t>2,633</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40A06377" w14:textId="77777777" w:rsidR="00410071" w:rsidRPr="0048119A" w:rsidRDefault="00410071" w:rsidP="0048119A">
            <w:pPr>
              <w:pStyle w:val="TableText"/>
              <w:tabs>
                <w:tab w:val="decimal" w:pos="936"/>
              </w:tabs>
              <w:rPr>
                <w:b/>
                <w:szCs w:val="18"/>
              </w:rPr>
            </w:pPr>
            <w:r w:rsidRPr="0048119A">
              <w:rPr>
                <w:b/>
                <w:szCs w:val="18"/>
              </w:rPr>
              <w:t>(1–67)</w:t>
            </w:r>
          </w:p>
        </w:tc>
      </w:tr>
    </w:tbl>
    <w:p w14:paraId="048A90DD" w14:textId="77777777" w:rsidR="0039221C" w:rsidRDefault="00410071" w:rsidP="0048119A">
      <w:pPr>
        <w:pStyle w:val="Note"/>
      </w:pPr>
      <w:r w:rsidRPr="00200234">
        <w:t>Note: In 20</w:t>
      </w:r>
      <w:r>
        <w:t>20</w:t>
      </w:r>
      <w:r w:rsidRPr="00200234">
        <w:t xml:space="preserve">, </w:t>
      </w:r>
      <w:r>
        <w:t>there were 14</w:t>
      </w:r>
      <w:r w:rsidRPr="00200234">
        <w:t xml:space="preserve"> people </w:t>
      </w:r>
      <w:r>
        <w:t xml:space="preserve">who </w:t>
      </w:r>
      <w:r w:rsidRPr="00200234">
        <w:t>were treated out of area, as follows:</w:t>
      </w:r>
      <w:r>
        <w:t xml:space="preserve"> </w:t>
      </w:r>
      <w:r w:rsidRPr="00200234">
        <w:t xml:space="preserve">Auckland DHB saw </w:t>
      </w:r>
      <w:r>
        <w:t xml:space="preserve">two people from Waitematā DHB; </w:t>
      </w:r>
      <w:r w:rsidRPr="00A60E55">
        <w:t>Canterbury DHB saw two people from Nelson Marlborough DHB</w:t>
      </w:r>
      <w:r>
        <w:t xml:space="preserve">; </w:t>
      </w:r>
      <w:r w:rsidRPr="00A60E55">
        <w:t>Hutt Valley DHB saw three people from Capital &amp; Coast DHB</w:t>
      </w:r>
      <w:r>
        <w:t xml:space="preserve">; </w:t>
      </w:r>
      <w:r w:rsidRPr="00A60E55">
        <w:t>MidCentral DHB saw one person from Hutt Valley DHB</w:t>
      </w:r>
      <w:r>
        <w:t xml:space="preserve">; </w:t>
      </w:r>
      <w:r w:rsidRPr="00A60E55">
        <w:t>Southern DHB saw one person from Nelson Marlborough DHB</w:t>
      </w:r>
      <w:r>
        <w:t xml:space="preserve">; </w:t>
      </w:r>
      <w:r w:rsidRPr="00A60E55">
        <w:t>Waikato DHB saw one person from Bay of Plenty DHB and one person from Taranaki DHB</w:t>
      </w:r>
      <w:r>
        <w:t xml:space="preserve">; </w:t>
      </w:r>
      <w:r w:rsidRPr="00A60E55">
        <w:t>Waitematā saw three people from Auckland DHB.</w:t>
      </w:r>
    </w:p>
    <w:p w14:paraId="52E432EB" w14:textId="77777777" w:rsidR="00410071" w:rsidRDefault="00410071" w:rsidP="0048119A">
      <w:pPr>
        <w:pStyle w:val="Source"/>
      </w:pPr>
      <w:r w:rsidRPr="00200234">
        <w:t>Sources: PRIMHD data</w:t>
      </w:r>
      <w:r>
        <w:t xml:space="preserve"> (extracted</w:t>
      </w:r>
      <w:r w:rsidRPr="00200234">
        <w:t xml:space="preserve"> </w:t>
      </w:r>
      <w:r>
        <w:t>1 July 2021)</w:t>
      </w:r>
      <w:r w:rsidRPr="00200234">
        <w:t xml:space="preserve"> and manual data from</w:t>
      </w:r>
      <w:r>
        <w:t xml:space="preserve"> MidCentral,</w:t>
      </w:r>
      <w:r w:rsidRPr="00200234">
        <w:t xml:space="preserve"> </w:t>
      </w:r>
      <w:r>
        <w:t>Southern and Waitematā DHBs.</w:t>
      </w:r>
    </w:p>
    <w:p w14:paraId="178249E6" w14:textId="77777777" w:rsidR="00410071" w:rsidRDefault="00410071" w:rsidP="0048119A"/>
    <w:p w14:paraId="7C59BEF0" w14:textId="1FD26C32" w:rsidR="00410071" w:rsidRDefault="00410071" w:rsidP="0048119A">
      <w:pPr>
        <w:pStyle w:val="Figure"/>
      </w:pPr>
      <w:bookmarkStart w:id="434" w:name="_Ref86343700"/>
      <w:bookmarkStart w:id="435" w:name="_Toc87429989"/>
      <w:bookmarkStart w:id="436" w:name="_Toc88561421"/>
      <w:r>
        <w:lastRenderedPageBreak/>
        <w:t>Figure</w:t>
      </w:r>
      <w:r w:rsidR="0048119A">
        <w:t> </w:t>
      </w:r>
      <w:r w:rsidR="00592799">
        <w:fldChar w:fldCharType="begin"/>
      </w:r>
      <w:r w:rsidR="00592799">
        <w:instrText xml:space="preserve"> SEQ Figure \* ARABIC </w:instrText>
      </w:r>
      <w:r w:rsidR="00592799">
        <w:fldChar w:fldCharType="separate"/>
      </w:r>
      <w:r w:rsidR="00840F18">
        <w:rPr>
          <w:noProof/>
        </w:rPr>
        <w:t>40</w:t>
      </w:r>
      <w:r w:rsidR="00592799">
        <w:rPr>
          <w:noProof/>
        </w:rPr>
        <w:fldChar w:fldCharType="end"/>
      </w:r>
      <w:bookmarkEnd w:id="434"/>
      <w:r>
        <w:t>: Number of people per 100,000 population treated with ECT, by DHB, 1</w:t>
      </w:r>
      <w:r w:rsidR="0048119A">
        <w:t> </w:t>
      </w:r>
      <w:r>
        <w:t>January to 31 December 2020</w:t>
      </w:r>
      <w:bookmarkEnd w:id="435"/>
      <w:bookmarkEnd w:id="436"/>
    </w:p>
    <w:p w14:paraId="19FEFAD8" w14:textId="77777777" w:rsidR="00410071" w:rsidRPr="00EF5172" w:rsidRDefault="00410071" w:rsidP="00410071">
      <w:r>
        <w:rPr>
          <w:noProof/>
          <w:lang w:eastAsia="en-NZ"/>
        </w:rPr>
        <w:drawing>
          <wp:inline distT="0" distB="0" distL="0" distR="0" wp14:anchorId="4481D523" wp14:editId="2F79EEB4">
            <wp:extent cx="5162203" cy="3840480"/>
            <wp:effectExtent l="0" t="0" r="0" b="0"/>
            <wp:docPr id="55" name="Chart 55" descr="This graph shows that the national average number of people treated with ECT in 2020 was about 5 per 100,000. The DHBs with the highest numbers of secluded people were Lakes with about 9 people and Southern and Waikato with about 8 people per 100,000. South Canterbury, Tairāwhiti, Wairarapa, West Coast and Whanganui all had 0 people. Excluding those, Capital &amp; Coast was the lowest with 1 person per 100,000, and Hawke's Bay with 2 people per 100,000.">
              <a:extLst xmlns:a="http://schemas.openxmlformats.org/drawingml/2006/main">
                <a:ext uri="{FF2B5EF4-FFF2-40B4-BE49-F238E27FC236}">
                  <a16:creationId xmlns:a16="http://schemas.microsoft.com/office/drawing/2014/main" id="{00000000-0008-0000-1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5E9FB78" w14:textId="77777777" w:rsidR="00410071" w:rsidRDefault="00410071" w:rsidP="0048119A">
      <w:pPr>
        <w:pStyle w:val="Source"/>
      </w:pPr>
      <w:r w:rsidRPr="00200234">
        <w:t>Sources: PRIMHD data</w:t>
      </w:r>
      <w:r>
        <w:t xml:space="preserve"> (extracted</w:t>
      </w:r>
      <w:r w:rsidRPr="00200234">
        <w:t xml:space="preserve"> </w:t>
      </w:r>
      <w:r>
        <w:t>1 July 2021)</w:t>
      </w:r>
      <w:r w:rsidRPr="00200234">
        <w:t xml:space="preserve"> and manual data from</w:t>
      </w:r>
      <w:r>
        <w:t xml:space="preserve"> MidCentral,</w:t>
      </w:r>
      <w:r w:rsidRPr="00200234">
        <w:t xml:space="preserve"> </w:t>
      </w:r>
      <w:r>
        <w:t>Southern and Waitematā DHBs.</w:t>
      </w:r>
    </w:p>
    <w:p w14:paraId="5C6123FA" w14:textId="77777777" w:rsidR="00410071" w:rsidRPr="00993F35" w:rsidRDefault="00410071" w:rsidP="0048119A"/>
    <w:p w14:paraId="15AE118E" w14:textId="77777777" w:rsidR="00410071" w:rsidRPr="00200234" w:rsidRDefault="00410071" w:rsidP="0048119A">
      <w:pPr>
        <w:pStyle w:val="Heading2"/>
      </w:pPr>
      <w:bookmarkStart w:id="437" w:name="_Toc65141637"/>
      <w:bookmarkStart w:id="438" w:name="_Toc75176462"/>
      <w:bookmarkStart w:id="439" w:name="_Toc87429930"/>
      <w:bookmarkStart w:id="440" w:name="_Toc88826978"/>
      <w:r w:rsidRPr="00200234">
        <w:lastRenderedPageBreak/>
        <w:t>Sex and age of people receiving ECT</w:t>
      </w:r>
      <w:bookmarkEnd w:id="437"/>
      <w:bookmarkEnd w:id="438"/>
      <w:bookmarkEnd w:id="439"/>
      <w:bookmarkEnd w:id="440"/>
    </w:p>
    <w:p w14:paraId="51E41EFF" w14:textId="77777777" w:rsidR="0039221C" w:rsidRDefault="00410071" w:rsidP="0048119A">
      <w:pPr>
        <w:keepNext/>
      </w:pPr>
      <w:r w:rsidRPr="00200234">
        <w:t xml:space="preserve">In </w:t>
      </w:r>
      <w:r>
        <w:t>2020</w:t>
      </w:r>
      <w:r w:rsidRPr="00200234">
        <w:t>, women were more likely to receive ECT than men. This ratio is similar to that reported in other countries.</w:t>
      </w:r>
    </w:p>
    <w:p w14:paraId="3785EF22" w14:textId="77777777" w:rsidR="00410071" w:rsidRPr="00200234" w:rsidRDefault="00410071" w:rsidP="0048119A">
      <w:pPr>
        <w:keepNext/>
      </w:pPr>
    </w:p>
    <w:p w14:paraId="2833C4AB" w14:textId="77777777" w:rsidR="00410071" w:rsidRPr="00200234" w:rsidRDefault="00410071" w:rsidP="0048119A">
      <w:pPr>
        <w:keepNext/>
      </w:pPr>
      <w:r w:rsidRPr="00200234">
        <w:t>Older people were more likely to receive ECT than younger people, with patients over 50</w:t>
      </w:r>
      <w:r w:rsidR="0048119A">
        <w:t> </w:t>
      </w:r>
      <w:r w:rsidRPr="00200234">
        <w:t xml:space="preserve">years old representing </w:t>
      </w:r>
      <w:r>
        <w:t>66</w:t>
      </w:r>
      <w:r w:rsidRPr="00200234">
        <w:t xml:space="preserve"> percent of all patients in </w:t>
      </w:r>
      <w:r>
        <w:t>2020.</w:t>
      </w:r>
    </w:p>
    <w:p w14:paraId="650C9B60" w14:textId="77777777" w:rsidR="00410071" w:rsidRPr="00200234" w:rsidRDefault="00410071" w:rsidP="0048119A">
      <w:pPr>
        <w:keepNext/>
      </w:pPr>
    </w:p>
    <w:p w14:paraId="2FB1A81D" w14:textId="3B203571" w:rsidR="00410071" w:rsidRDefault="00410071" w:rsidP="0048119A">
      <w:pPr>
        <w:pStyle w:val="Figure"/>
      </w:pPr>
      <w:bookmarkStart w:id="441" w:name="_Ref65672687"/>
      <w:bookmarkStart w:id="442" w:name="_Toc63764792"/>
      <w:bookmarkStart w:id="443" w:name="_Toc75176503"/>
      <w:bookmarkStart w:id="444" w:name="_Toc85442596"/>
      <w:bookmarkStart w:id="445" w:name="_Toc85445950"/>
      <w:bookmarkStart w:id="446" w:name="_Toc87429990"/>
      <w:bookmarkStart w:id="447" w:name="_Toc88561422"/>
      <w:r>
        <w:t>Figure</w:t>
      </w:r>
      <w:r w:rsidR="0048119A">
        <w:t> </w:t>
      </w:r>
      <w:r w:rsidR="00592799">
        <w:fldChar w:fldCharType="begin"/>
      </w:r>
      <w:r w:rsidR="00592799">
        <w:instrText xml:space="preserve"> SEQ Figure \* ARABIC </w:instrText>
      </w:r>
      <w:r w:rsidR="00592799">
        <w:fldChar w:fldCharType="separate"/>
      </w:r>
      <w:r w:rsidR="00840F18">
        <w:rPr>
          <w:noProof/>
        </w:rPr>
        <w:t>41</w:t>
      </w:r>
      <w:r w:rsidR="00592799">
        <w:rPr>
          <w:noProof/>
        </w:rPr>
        <w:fldChar w:fldCharType="end"/>
      </w:r>
      <w:bookmarkEnd w:id="441"/>
      <w:r w:rsidRPr="00200234">
        <w:t xml:space="preserve">: Number of people treated with </w:t>
      </w:r>
      <w:r w:rsidRPr="003A59E3">
        <w:t>ECT</w:t>
      </w:r>
      <w:r w:rsidRPr="00200234">
        <w:t>, by age group and sex, 1 January to 31</w:t>
      </w:r>
      <w:r w:rsidR="0048119A">
        <w:t> </w:t>
      </w:r>
      <w:r w:rsidRPr="00200234">
        <w:t>December 20</w:t>
      </w:r>
      <w:bookmarkEnd w:id="442"/>
      <w:r>
        <w:t>20</w:t>
      </w:r>
      <w:bookmarkEnd w:id="443"/>
      <w:bookmarkEnd w:id="444"/>
      <w:bookmarkEnd w:id="445"/>
      <w:bookmarkEnd w:id="446"/>
      <w:bookmarkEnd w:id="447"/>
    </w:p>
    <w:p w14:paraId="4D8B2C23" w14:textId="77777777" w:rsidR="00410071" w:rsidRPr="00C9293D" w:rsidRDefault="00410071" w:rsidP="00410071">
      <w:r>
        <w:rPr>
          <w:noProof/>
          <w:lang w:eastAsia="en-NZ"/>
        </w:rPr>
        <w:drawing>
          <wp:inline distT="0" distB="0" distL="0" distR="0" wp14:anchorId="30DA7E39" wp14:editId="139EA9A6">
            <wp:extent cx="5731510" cy="3219450"/>
            <wp:effectExtent l="0" t="0" r="2540" b="0"/>
            <wp:docPr id="51" name="Chart 51" descr="This bar graph shows that in 2020, females were generally treated with ECT more often than males, with the exception of the 15-19 age group, which had 1 male and 0 females, 25-29 which had 6 males and 2 females, and 85-89 which had 3 males and 3 females. The largest number of people who received the treatment were in the 70-74 age group, at about 28. There were just over 20 in the 30-34, 50-54, 55-59, 60-64, and 65-69 age groups. It was less than 20 in all other age groups.">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6F291F1E" w14:textId="77777777" w:rsidR="00410071" w:rsidRDefault="00410071" w:rsidP="0048119A">
      <w:pPr>
        <w:pStyle w:val="Source"/>
      </w:pPr>
      <w:r w:rsidRPr="00200234">
        <w:t>Sources: PRIMHD data</w:t>
      </w:r>
      <w:r>
        <w:t xml:space="preserve"> (extracted</w:t>
      </w:r>
      <w:r w:rsidRPr="00200234">
        <w:t xml:space="preserve"> </w:t>
      </w:r>
      <w:r>
        <w:t>1 July 2021)</w:t>
      </w:r>
      <w:r w:rsidRPr="00200234">
        <w:t xml:space="preserve"> and manual data from MidCentral, Southern and Waitematā DHBs.</w:t>
      </w:r>
    </w:p>
    <w:p w14:paraId="179BAB07" w14:textId="77777777" w:rsidR="00410071" w:rsidRPr="00D7747A" w:rsidRDefault="00410071" w:rsidP="0048119A"/>
    <w:p w14:paraId="49FCD906" w14:textId="77777777" w:rsidR="00410071" w:rsidRPr="00200234" w:rsidRDefault="00410071" w:rsidP="0048119A">
      <w:pPr>
        <w:pStyle w:val="Heading2"/>
      </w:pPr>
      <w:bookmarkStart w:id="448" w:name="_Toc65141638"/>
      <w:bookmarkStart w:id="449" w:name="_Toc75176463"/>
      <w:bookmarkStart w:id="450" w:name="_Toc87429931"/>
      <w:bookmarkStart w:id="451" w:name="_Toc88826979"/>
      <w:r w:rsidRPr="00200234">
        <w:lastRenderedPageBreak/>
        <w:t xml:space="preserve">Ethnicity of people treated with </w:t>
      </w:r>
      <w:r w:rsidRPr="003A59E3">
        <w:t>ECT</w:t>
      </w:r>
      <w:bookmarkEnd w:id="448"/>
      <w:bookmarkEnd w:id="449"/>
      <w:bookmarkEnd w:id="450"/>
      <w:bookmarkEnd w:id="451"/>
    </w:p>
    <w:p w14:paraId="041E9ED7" w14:textId="6E93FBA8" w:rsidR="00410071" w:rsidRPr="00200234" w:rsidRDefault="00410071" w:rsidP="00BB539E">
      <w:pPr>
        <w:keepNext/>
        <w:keepLines/>
      </w:pPr>
      <w:r>
        <w:fldChar w:fldCharType="begin"/>
      </w:r>
      <w:r>
        <w:instrText xml:space="preserve"> REF _Ref85452367 \h </w:instrText>
      </w:r>
      <w:r>
        <w:fldChar w:fldCharType="separate"/>
      </w:r>
      <w:r w:rsidR="00840F18">
        <w:t>Table </w:t>
      </w:r>
      <w:r w:rsidR="00840F18">
        <w:rPr>
          <w:noProof/>
        </w:rPr>
        <w:t>19</w:t>
      </w:r>
      <w:r>
        <w:fldChar w:fldCharType="end"/>
      </w:r>
      <w:r w:rsidRPr="00200234">
        <w:t xml:space="preserve"> indicate</w:t>
      </w:r>
      <w:r>
        <w:t>s</w:t>
      </w:r>
      <w:r w:rsidRPr="00200234">
        <w:t xml:space="preserve"> that Asian, Māori and Pacific peoples are less likely to receive ECT than other ethnicities, such as New Zealand European. However, the numbers involved are so small that it is not statistically appropriate to compare the percentages of people receiving ECT in each ethnic group with the proportion of each ethnic group in the total population of </w:t>
      </w:r>
      <w:r>
        <w:t xml:space="preserve">Aotearoa </w:t>
      </w:r>
      <w:r w:rsidRPr="00200234">
        <w:t>New Zealand.</w:t>
      </w:r>
    </w:p>
    <w:p w14:paraId="25C0418C" w14:textId="77777777" w:rsidR="00410071" w:rsidRPr="00200234" w:rsidRDefault="00410071" w:rsidP="0048119A">
      <w:pPr>
        <w:keepNext/>
      </w:pPr>
    </w:p>
    <w:p w14:paraId="5B9F6E7A" w14:textId="30E62B53" w:rsidR="00410071" w:rsidRDefault="00410071" w:rsidP="0048119A">
      <w:pPr>
        <w:pStyle w:val="Table"/>
      </w:pPr>
      <w:bookmarkStart w:id="452" w:name="_Ref85452367"/>
      <w:bookmarkStart w:id="453" w:name="_Toc87430017"/>
      <w:bookmarkStart w:id="454" w:name="_Toc88561374"/>
      <w:r>
        <w:t>Table</w:t>
      </w:r>
      <w:r w:rsidR="0048119A">
        <w:t> </w:t>
      </w:r>
      <w:r w:rsidR="00592799">
        <w:fldChar w:fldCharType="begin"/>
      </w:r>
      <w:r w:rsidR="00592799">
        <w:instrText xml:space="preserve"> SEQ Table \* ARABIC </w:instrText>
      </w:r>
      <w:r w:rsidR="00592799">
        <w:fldChar w:fldCharType="separate"/>
      </w:r>
      <w:r w:rsidR="00840F18">
        <w:rPr>
          <w:noProof/>
        </w:rPr>
        <w:t>19</w:t>
      </w:r>
      <w:r w:rsidR="00592799">
        <w:rPr>
          <w:noProof/>
        </w:rPr>
        <w:fldChar w:fldCharType="end"/>
      </w:r>
      <w:bookmarkEnd w:id="452"/>
      <w:r w:rsidRPr="008B1409">
        <w:t>: Number of people treated with ECT, by ethnicity, 1 January to 31 December 2020</w:t>
      </w:r>
      <w:bookmarkEnd w:id="453"/>
      <w:bookmarkEnd w:id="454"/>
    </w:p>
    <w:tbl>
      <w:tblPr>
        <w:tblW w:w="3261"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985"/>
        <w:gridCol w:w="1276"/>
      </w:tblGrid>
      <w:tr w:rsidR="00410071" w:rsidRPr="0048119A" w14:paraId="3DD5D361" w14:textId="77777777" w:rsidTr="00EC625C">
        <w:trPr>
          <w:cantSplit/>
        </w:trPr>
        <w:tc>
          <w:tcPr>
            <w:tcW w:w="1985" w:type="dxa"/>
            <w:tcBorders>
              <w:top w:val="nil"/>
              <w:bottom w:val="nil"/>
            </w:tcBorders>
            <w:shd w:val="clear" w:color="auto" w:fill="D9D9D9"/>
          </w:tcPr>
          <w:p w14:paraId="0E5E1743" w14:textId="77777777" w:rsidR="00410071" w:rsidRPr="0048119A" w:rsidRDefault="00410071" w:rsidP="0048119A">
            <w:pPr>
              <w:pStyle w:val="TableText"/>
              <w:keepNext/>
              <w:rPr>
                <w:b/>
              </w:rPr>
            </w:pPr>
            <w:r w:rsidRPr="0048119A">
              <w:rPr>
                <w:b/>
              </w:rPr>
              <w:t>Ethnicity</w:t>
            </w:r>
          </w:p>
        </w:tc>
        <w:tc>
          <w:tcPr>
            <w:tcW w:w="1276" w:type="dxa"/>
            <w:tcBorders>
              <w:top w:val="nil"/>
              <w:bottom w:val="nil"/>
            </w:tcBorders>
            <w:shd w:val="clear" w:color="auto" w:fill="D9D9D9"/>
          </w:tcPr>
          <w:p w14:paraId="4AAF301E" w14:textId="77777777" w:rsidR="00410071" w:rsidRPr="0048119A" w:rsidRDefault="00410071" w:rsidP="0048119A">
            <w:pPr>
              <w:pStyle w:val="TableText"/>
              <w:keepNext/>
              <w:jc w:val="center"/>
              <w:rPr>
                <w:b/>
              </w:rPr>
            </w:pPr>
            <w:r w:rsidRPr="0048119A">
              <w:rPr>
                <w:b/>
              </w:rPr>
              <w:t>Number</w:t>
            </w:r>
          </w:p>
        </w:tc>
      </w:tr>
      <w:tr w:rsidR="00410071" w:rsidRPr="00200234" w14:paraId="34494C16" w14:textId="77777777" w:rsidTr="00EC625C">
        <w:trPr>
          <w:cantSplit/>
        </w:trPr>
        <w:tc>
          <w:tcPr>
            <w:tcW w:w="1985" w:type="dxa"/>
            <w:tcBorders>
              <w:top w:val="nil"/>
            </w:tcBorders>
          </w:tcPr>
          <w:p w14:paraId="4F1AF9F8" w14:textId="77777777" w:rsidR="00410071" w:rsidRPr="00200234" w:rsidRDefault="00410071" w:rsidP="0048119A">
            <w:pPr>
              <w:pStyle w:val="TableText"/>
              <w:keepNext/>
            </w:pPr>
            <w:r w:rsidRPr="00200234">
              <w:t>Asian</w:t>
            </w:r>
          </w:p>
        </w:tc>
        <w:tc>
          <w:tcPr>
            <w:tcW w:w="1276" w:type="dxa"/>
            <w:tcBorders>
              <w:top w:val="nil"/>
            </w:tcBorders>
          </w:tcPr>
          <w:p w14:paraId="58F46EBE" w14:textId="77777777" w:rsidR="00410071" w:rsidRPr="00200234" w:rsidRDefault="00410071" w:rsidP="0048119A">
            <w:pPr>
              <w:pStyle w:val="TableText"/>
              <w:keepNext/>
              <w:tabs>
                <w:tab w:val="decimal" w:pos="709"/>
              </w:tabs>
            </w:pPr>
            <w:r>
              <w:t>17</w:t>
            </w:r>
          </w:p>
        </w:tc>
      </w:tr>
      <w:tr w:rsidR="00410071" w:rsidRPr="00200234" w14:paraId="1480C8A3" w14:textId="77777777" w:rsidTr="00EC625C">
        <w:trPr>
          <w:cantSplit/>
        </w:trPr>
        <w:tc>
          <w:tcPr>
            <w:tcW w:w="1985" w:type="dxa"/>
          </w:tcPr>
          <w:p w14:paraId="7AF8B265" w14:textId="77777777" w:rsidR="00410071" w:rsidRPr="00200234" w:rsidRDefault="00410071" w:rsidP="0048119A">
            <w:pPr>
              <w:pStyle w:val="TableText"/>
              <w:keepNext/>
            </w:pPr>
            <w:r w:rsidRPr="00200234">
              <w:t>Māori</w:t>
            </w:r>
          </w:p>
        </w:tc>
        <w:tc>
          <w:tcPr>
            <w:tcW w:w="1276" w:type="dxa"/>
          </w:tcPr>
          <w:p w14:paraId="31E0B4B1" w14:textId="77777777" w:rsidR="00410071" w:rsidRPr="00200234" w:rsidRDefault="00410071" w:rsidP="0048119A">
            <w:pPr>
              <w:pStyle w:val="TableText"/>
              <w:keepNext/>
              <w:tabs>
                <w:tab w:val="decimal" w:pos="709"/>
              </w:tabs>
            </w:pPr>
            <w:r>
              <w:t>25</w:t>
            </w:r>
          </w:p>
        </w:tc>
      </w:tr>
      <w:tr w:rsidR="00410071" w:rsidRPr="00200234" w14:paraId="757BFC77" w14:textId="77777777" w:rsidTr="00EC625C">
        <w:trPr>
          <w:cantSplit/>
        </w:trPr>
        <w:tc>
          <w:tcPr>
            <w:tcW w:w="1985" w:type="dxa"/>
          </w:tcPr>
          <w:p w14:paraId="2B9DE2FE" w14:textId="77777777" w:rsidR="00410071" w:rsidRPr="00200234" w:rsidRDefault="00410071" w:rsidP="0048119A">
            <w:pPr>
              <w:pStyle w:val="TableText"/>
            </w:pPr>
            <w:r w:rsidRPr="00200234">
              <w:t>Pacific</w:t>
            </w:r>
            <w:r>
              <w:t xml:space="preserve"> peoples</w:t>
            </w:r>
          </w:p>
        </w:tc>
        <w:tc>
          <w:tcPr>
            <w:tcW w:w="1276" w:type="dxa"/>
          </w:tcPr>
          <w:p w14:paraId="6319F294" w14:textId="77777777" w:rsidR="00410071" w:rsidRPr="00200234" w:rsidRDefault="00410071" w:rsidP="0048119A">
            <w:pPr>
              <w:pStyle w:val="TableText"/>
              <w:tabs>
                <w:tab w:val="decimal" w:pos="709"/>
              </w:tabs>
            </w:pPr>
            <w:r>
              <w:t>5</w:t>
            </w:r>
          </w:p>
        </w:tc>
      </w:tr>
      <w:tr w:rsidR="00410071" w:rsidRPr="00200234" w14:paraId="3B5758E6" w14:textId="77777777" w:rsidTr="00EC625C">
        <w:trPr>
          <w:cantSplit/>
        </w:trPr>
        <w:tc>
          <w:tcPr>
            <w:tcW w:w="1985" w:type="dxa"/>
          </w:tcPr>
          <w:p w14:paraId="3091663B" w14:textId="77777777" w:rsidR="00410071" w:rsidRPr="00200234" w:rsidRDefault="00410071" w:rsidP="0048119A">
            <w:pPr>
              <w:pStyle w:val="TableText"/>
            </w:pPr>
            <w:r w:rsidRPr="00200234">
              <w:t>Other</w:t>
            </w:r>
          </w:p>
        </w:tc>
        <w:tc>
          <w:tcPr>
            <w:tcW w:w="1276" w:type="dxa"/>
          </w:tcPr>
          <w:p w14:paraId="550BA8CB" w14:textId="77777777" w:rsidR="00410071" w:rsidRPr="00200234" w:rsidRDefault="00410071" w:rsidP="0048119A">
            <w:pPr>
              <w:pStyle w:val="TableText"/>
              <w:tabs>
                <w:tab w:val="decimal" w:pos="709"/>
              </w:tabs>
            </w:pPr>
            <w:r>
              <w:t>185</w:t>
            </w:r>
          </w:p>
        </w:tc>
      </w:tr>
      <w:tr w:rsidR="00410071" w:rsidRPr="0048119A" w14:paraId="20243E26" w14:textId="77777777" w:rsidTr="00EC625C">
        <w:trPr>
          <w:cantSplit/>
        </w:trPr>
        <w:tc>
          <w:tcPr>
            <w:tcW w:w="1985" w:type="dxa"/>
          </w:tcPr>
          <w:p w14:paraId="20FA51A3" w14:textId="77777777" w:rsidR="00410071" w:rsidRPr="0048119A" w:rsidRDefault="00410071" w:rsidP="0048119A">
            <w:pPr>
              <w:pStyle w:val="TableText"/>
              <w:rPr>
                <w:b/>
              </w:rPr>
            </w:pPr>
            <w:r w:rsidRPr="0048119A">
              <w:rPr>
                <w:b/>
              </w:rPr>
              <w:t>National total</w:t>
            </w:r>
          </w:p>
        </w:tc>
        <w:tc>
          <w:tcPr>
            <w:tcW w:w="1276" w:type="dxa"/>
          </w:tcPr>
          <w:p w14:paraId="3E1AAB23" w14:textId="77777777" w:rsidR="00410071" w:rsidRPr="0048119A" w:rsidRDefault="00410071" w:rsidP="0048119A">
            <w:pPr>
              <w:pStyle w:val="TableText"/>
              <w:tabs>
                <w:tab w:val="decimal" w:pos="709"/>
              </w:tabs>
              <w:rPr>
                <w:b/>
              </w:rPr>
            </w:pPr>
            <w:r w:rsidRPr="0048119A">
              <w:rPr>
                <w:b/>
              </w:rPr>
              <w:t>232</w:t>
            </w:r>
          </w:p>
        </w:tc>
      </w:tr>
    </w:tbl>
    <w:p w14:paraId="297108E1" w14:textId="77777777" w:rsidR="00410071" w:rsidRDefault="00410071" w:rsidP="0048119A">
      <w:pPr>
        <w:pStyle w:val="Source"/>
      </w:pPr>
      <w:r w:rsidRPr="00200234">
        <w:t>Sources: PRIMHD data</w:t>
      </w:r>
      <w:r>
        <w:t xml:space="preserve"> (extracted</w:t>
      </w:r>
      <w:r w:rsidRPr="00200234">
        <w:t xml:space="preserve"> </w:t>
      </w:r>
      <w:r>
        <w:t>1 July 2021)</w:t>
      </w:r>
      <w:r w:rsidRPr="00200234">
        <w:t xml:space="preserve"> and manual data from </w:t>
      </w:r>
      <w:r>
        <w:t xml:space="preserve">MidCentral, </w:t>
      </w:r>
      <w:r w:rsidRPr="00200234">
        <w:t>Southern and Waitematā DHBs.</w:t>
      </w:r>
    </w:p>
    <w:p w14:paraId="706E67BE" w14:textId="77777777" w:rsidR="00410071" w:rsidRPr="00993F35" w:rsidRDefault="00410071" w:rsidP="0048119A"/>
    <w:p w14:paraId="568ED337" w14:textId="77777777" w:rsidR="00410071" w:rsidRPr="00200234" w:rsidRDefault="00410071" w:rsidP="0048119A">
      <w:pPr>
        <w:pStyle w:val="Heading2"/>
      </w:pPr>
      <w:bookmarkStart w:id="455" w:name="_Toc65141639"/>
      <w:bookmarkStart w:id="456" w:name="_Toc75176464"/>
      <w:bookmarkStart w:id="457" w:name="_Toc87429932"/>
      <w:bookmarkStart w:id="458" w:name="_Toc88826980"/>
      <w:r w:rsidRPr="00200234">
        <w:t>Consent to treatment</w:t>
      </w:r>
      <w:bookmarkEnd w:id="455"/>
      <w:bookmarkEnd w:id="456"/>
      <w:bookmarkEnd w:id="457"/>
      <w:bookmarkEnd w:id="458"/>
    </w:p>
    <w:p w14:paraId="4049D419" w14:textId="77777777" w:rsidR="00410071" w:rsidRPr="00200234" w:rsidRDefault="00410071" w:rsidP="0048119A">
      <w:r w:rsidRPr="00200234">
        <w:t>Under the Mental Health Act, a person can be treated with ECT if they consent in writing or if an independent psychiatrist appointed by the Mental Health Review Tribunal</w:t>
      </w:r>
      <w:r w:rsidRPr="0048119A">
        <w:rPr>
          <w:rStyle w:val="FootnoteReference"/>
        </w:rPr>
        <w:footnoteReference w:id="25"/>
      </w:r>
      <w:r w:rsidRPr="00200234">
        <w:t xml:space="preserve"> considers this treatment to be in the person</w:t>
      </w:r>
      <w:r w:rsidR="0039221C">
        <w:t>’</w:t>
      </w:r>
      <w:r w:rsidRPr="00200234">
        <w:t>s interests. An independent psychiatrist cannot be the patient</w:t>
      </w:r>
      <w:r w:rsidR="0039221C">
        <w:t>’</w:t>
      </w:r>
      <w:r w:rsidRPr="00200234">
        <w:t>s responsible clinician or part of the patient</w:t>
      </w:r>
      <w:r w:rsidR="0039221C">
        <w:t>’</w:t>
      </w:r>
      <w:r w:rsidRPr="00200234">
        <w:t>s clinical team.</w:t>
      </w:r>
    </w:p>
    <w:p w14:paraId="6B5AAB3B" w14:textId="77777777" w:rsidR="00410071" w:rsidRPr="00200234" w:rsidRDefault="00410071" w:rsidP="0048119A"/>
    <w:p w14:paraId="1067E2B5" w14:textId="7F79D14B" w:rsidR="00410071" w:rsidRDefault="00410071" w:rsidP="0048119A">
      <w:pPr>
        <w:rPr>
          <w:rFonts w:cs="Segoe UI"/>
        </w:rPr>
      </w:pPr>
      <w:r>
        <w:t>In</w:t>
      </w:r>
      <w:r w:rsidRPr="00200234">
        <w:t xml:space="preserve"> 20</w:t>
      </w:r>
      <w:r>
        <w:t>20</w:t>
      </w:r>
      <w:r w:rsidRPr="00200234">
        <w:t xml:space="preserve">, services administered ECT to </w:t>
      </w:r>
      <w:r>
        <w:t>102</w:t>
      </w:r>
      <w:r w:rsidRPr="00200234">
        <w:t xml:space="preserve"> people who could not consent to treatment. </w:t>
      </w:r>
      <w:r>
        <w:t>In</w:t>
      </w:r>
      <w:r w:rsidRPr="00200234">
        <w:t xml:space="preserve"> total</w:t>
      </w:r>
      <w:r>
        <w:t>,</w:t>
      </w:r>
      <w:r w:rsidRPr="00200234">
        <w:t xml:space="preserve"> </w:t>
      </w:r>
      <w:r>
        <w:t xml:space="preserve">1,146 </w:t>
      </w:r>
      <w:r w:rsidRPr="00200234">
        <w:t xml:space="preserve">ECT treatments </w:t>
      </w:r>
      <w:r>
        <w:t xml:space="preserve">were </w:t>
      </w:r>
      <w:r w:rsidRPr="00200234">
        <w:t>administered without consent</w:t>
      </w:r>
      <w:r>
        <w:t>,</w:t>
      </w:r>
      <w:r w:rsidRPr="00200234">
        <w:t xml:space="preserve"> </w:t>
      </w:r>
      <w:r>
        <w:t>an increase</w:t>
      </w:r>
      <w:r w:rsidRPr="00200234">
        <w:t xml:space="preserve"> from </w:t>
      </w:r>
      <w:r>
        <w:t>838</w:t>
      </w:r>
      <w:r w:rsidR="0048119A">
        <w:t> </w:t>
      </w:r>
      <w:r w:rsidRPr="00200234">
        <w:t>treatments in 201</w:t>
      </w:r>
      <w:r>
        <w:t>9</w:t>
      </w:r>
      <w:r w:rsidRPr="00200234">
        <w:t xml:space="preserve">. An additional </w:t>
      </w:r>
      <w:r>
        <w:t>43</w:t>
      </w:r>
      <w:r w:rsidRPr="00200234">
        <w:t xml:space="preserve"> treatments were administered to </w:t>
      </w:r>
      <w:r>
        <w:t>six</w:t>
      </w:r>
      <w:r w:rsidRPr="00200234">
        <w:t xml:space="preserve"> people who </w:t>
      </w:r>
      <w:r>
        <w:t>had the</w:t>
      </w:r>
      <w:r w:rsidRPr="00200234">
        <w:t xml:space="preserve"> capacity to consent but refused</w:t>
      </w:r>
      <w:r>
        <w:t xml:space="preserve"> (</w:t>
      </w:r>
      <w:r w:rsidRPr="00200234">
        <w:t>the DHB</w:t>
      </w:r>
      <w:r>
        <w:t>s</w:t>
      </w:r>
      <w:r w:rsidRPr="00200234">
        <w:t xml:space="preserve"> gain</w:t>
      </w:r>
      <w:r>
        <w:t>ed</w:t>
      </w:r>
      <w:r w:rsidRPr="00200234">
        <w:t xml:space="preserve"> a second opinion from an independent psychiatrist</w:t>
      </w:r>
      <w:r>
        <w:t>)</w:t>
      </w:r>
      <w:r w:rsidRPr="00200234">
        <w:t xml:space="preserve">. </w:t>
      </w:r>
      <w:r>
        <w:rPr>
          <w:rFonts w:cs="Segoe UI"/>
        </w:rPr>
        <w:fldChar w:fldCharType="begin"/>
      </w:r>
      <w:r>
        <w:rPr>
          <w:rFonts w:cs="Segoe UI"/>
        </w:rPr>
        <w:instrText xml:space="preserve"> REF _Ref85452431 \h </w:instrText>
      </w:r>
      <w:r>
        <w:rPr>
          <w:rFonts w:cs="Segoe UI"/>
        </w:rPr>
      </w:r>
      <w:r>
        <w:rPr>
          <w:rFonts w:cs="Segoe UI"/>
        </w:rPr>
        <w:fldChar w:fldCharType="separate"/>
      </w:r>
      <w:r w:rsidR="00840F18">
        <w:t>Table </w:t>
      </w:r>
      <w:r w:rsidR="00840F18">
        <w:rPr>
          <w:noProof/>
        </w:rPr>
        <w:t>20</w:t>
      </w:r>
      <w:r>
        <w:rPr>
          <w:rFonts w:cs="Segoe UI"/>
        </w:rPr>
        <w:fldChar w:fldCharType="end"/>
      </w:r>
      <w:r w:rsidRPr="00200234">
        <w:rPr>
          <w:rFonts w:cs="Segoe UI"/>
        </w:rPr>
        <w:t xml:space="preserve"> show</w:t>
      </w:r>
      <w:r>
        <w:rPr>
          <w:rFonts w:cs="Segoe UI"/>
        </w:rPr>
        <w:t>s</w:t>
      </w:r>
      <w:r w:rsidRPr="00200234">
        <w:rPr>
          <w:rFonts w:cs="Segoe UI"/>
        </w:rPr>
        <w:t xml:space="preserve"> the number of treatments administered without consent during 20</w:t>
      </w:r>
      <w:r>
        <w:rPr>
          <w:rFonts w:cs="Segoe UI"/>
        </w:rPr>
        <w:t>20.</w:t>
      </w:r>
    </w:p>
    <w:p w14:paraId="7C70FF5C" w14:textId="77777777" w:rsidR="00410071" w:rsidRPr="00200234" w:rsidRDefault="00410071" w:rsidP="0048119A"/>
    <w:p w14:paraId="160162D0" w14:textId="3A06E0A1" w:rsidR="00410071" w:rsidRDefault="00410071" w:rsidP="0048119A">
      <w:pPr>
        <w:pStyle w:val="Table"/>
      </w:pPr>
      <w:bookmarkStart w:id="459" w:name="_Ref85452431"/>
      <w:bookmarkStart w:id="460" w:name="_Toc87430018"/>
      <w:bookmarkStart w:id="461" w:name="_Toc88561375"/>
      <w:r>
        <w:lastRenderedPageBreak/>
        <w:t>Table</w:t>
      </w:r>
      <w:r w:rsidR="0048119A">
        <w:t> </w:t>
      </w:r>
      <w:r w:rsidR="00592799">
        <w:fldChar w:fldCharType="begin"/>
      </w:r>
      <w:r w:rsidR="00592799">
        <w:instrText xml:space="preserve"> SEQ Table \* ARABIC </w:instrText>
      </w:r>
      <w:r w:rsidR="00592799">
        <w:fldChar w:fldCharType="separate"/>
      </w:r>
      <w:r w:rsidR="00840F18">
        <w:rPr>
          <w:noProof/>
        </w:rPr>
        <w:t>20</w:t>
      </w:r>
      <w:r w:rsidR="00592799">
        <w:rPr>
          <w:noProof/>
        </w:rPr>
        <w:fldChar w:fldCharType="end"/>
      </w:r>
      <w:bookmarkEnd w:id="459"/>
      <w:r w:rsidRPr="00B040CF">
        <w:t>: ECT administered under second opinion without consent, by DHB of service, 1</w:t>
      </w:r>
      <w:r w:rsidR="0048119A">
        <w:t> </w:t>
      </w:r>
      <w:r w:rsidRPr="00B040CF">
        <w:t>January to 31 December 2020</w:t>
      </w:r>
      <w:bookmarkEnd w:id="460"/>
      <w:bookmarkEnd w:id="461"/>
    </w:p>
    <w:tbl>
      <w:tblPr>
        <w:tblW w:w="4931" w:type="pct"/>
        <w:tblInd w:w="57" w:type="dxa"/>
        <w:tblBorders>
          <w:top w:val="single" w:sz="4" w:space="0" w:color="A6A6A6"/>
          <w:bottom w:val="single" w:sz="4" w:space="0" w:color="A6A6A6"/>
          <w:insideH w:val="single" w:sz="6" w:space="0" w:color="A6A6A6"/>
        </w:tblBorders>
        <w:tblLayout w:type="fixed"/>
        <w:tblCellMar>
          <w:left w:w="57" w:type="dxa"/>
          <w:right w:w="57" w:type="dxa"/>
        </w:tblCellMar>
        <w:tblLook w:val="01E0" w:firstRow="1" w:lastRow="1" w:firstColumn="1" w:lastColumn="1" w:noHBand="0" w:noVBand="0"/>
      </w:tblPr>
      <w:tblGrid>
        <w:gridCol w:w="2186"/>
        <w:gridCol w:w="1474"/>
        <w:gridCol w:w="1474"/>
        <w:gridCol w:w="1474"/>
        <w:gridCol w:w="1472"/>
      </w:tblGrid>
      <w:tr w:rsidR="0048119A" w:rsidRPr="0048119A" w14:paraId="29E427FC" w14:textId="77777777" w:rsidTr="0048119A">
        <w:trPr>
          <w:cantSplit/>
        </w:trPr>
        <w:tc>
          <w:tcPr>
            <w:tcW w:w="1353" w:type="pct"/>
            <w:vMerge w:val="restart"/>
            <w:tcBorders>
              <w:top w:val="nil"/>
              <w:right w:val="single" w:sz="4" w:space="0" w:color="A6A6A6"/>
            </w:tcBorders>
            <w:shd w:val="clear" w:color="auto" w:fill="D9D9D9"/>
          </w:tcPr>
          <w:p w14:paraId="4E3878BD" w14:textId="77777777" w:rsidR="0048119A" w:rsidRPr="0048119A" w:rsidRDefault="0048119A" w:rsidP="0048119A">
            <w:pPr>
              <w:pStyle w:val="TableText"/>
              <w:keepNext/>
              <w:rPr>
                <w:b/>
              </w:rPr>
            </w:pPr>
            <w:r w:rsidRPr="0048119A">
              <w:rPr>
                <w:b/>
              </w:rPr>
              <w:t>DHB of service</w:t>
            </w:r>
          </w:p>
        </w:tc>
        <w:tc>
          <w:tcPr>
            <w:tcW w:w="1824" w:type="pct"/>
            <w:gridSpan w:val="2"/>
            <w:tcBorders>
              <w:top w:val="nil"/>
              <w:left w:val="single" w:sz="4" w:space="0" w:color="A6A6A6"/>
              <w:bottom w:val="nil"/>
              <w:right w:val="single" w:sz="4" w:space="0" w:color="A6A6A6"/>
            </w:tcBorders>
            <w:shd w:val="clear" w:color="auto" w:fill="D9D9D9"/>
          </w:tcPr>
          <w:p w14:paraId="677CC6D2" w14:textId="77777777" w:rsidR="0048119A" w:rsidRPr="0048119A" w:rsidRDefault="0048119A" w:rsidP="0048119A">
            <w:pPr>
              <w:pStyle w:val="TableText"/>
              <w:keepNext/>
              <w:jc w:val="center"/>
              <w:rPr>
                <w:b/>
              </w:rPr>
            </w:pPr>
            <w:r w:rsidRPr="0048119A">
              <w:rPr>
                <w:b/>
              </w:rPr>
              <w:t>Second opinion where patient did not have the capacity to consent</w:t>
            </w:r>
          </w:p>
        </w:tc>
        <w:tc>
          <w:tcPr>
            <w:tcW w:w="1824" w:type="pct"/>
            <w:gridSpan w:val="2"/>
            <w:tcBorders>
              <w:top w:val="nil"/>
              <w:left w:val="single" w:sz="4" w:space="0" w:color="A6A6A6"/>
              <w:bottom w:val="nil"/>
            </w:tcBorders>
            <w:shd w:val="clear" w:color="auto" w:fill="D9D9D9"/>
          </w:tcPr>
          <w:p w14:paraId="38E4502A" w14:textId="77777777" w:rsidR="0048119A" w:rsidRPr="0048119A" w:rsidRDefault="0048119A" w:rsidP="0048119A">
            <w:pPr>
              <w:pStyle w:val="TableText"/>
              <w:keepNext/>
              <w:jc w:val="center"/>
              <w:rPr>
                <w:b/>
              </w:rPr>
            </w:pPr>
            <w:r w:rsidRPr="0048119A">
              <w:rPr>
                <w:b/>
              </w:rPr>
              <w:t>Second opinion where patient had the capacity but refused to consent</w:t>
            </w:r>
          </w:p>
        </w:tc>
      </w:tr>
      <w:tr w:rsidR="0048119A" w:rsidRPr="0048119A" w14:paraId="7B54968B" w14:textId="77777777" w:rsidTr="0048119A">
        <w:trPr>
          <w:cantSplit/>
        </w:trPr>
        <w:tc>
          <w:tcPr>
            <w:tcW w:w="1353" w:type="pct"/>
            <w:vMerge/>
            <w:tcBorders>
              <w:right w:val="single" w:sz="4" w:space="0" w:color="A6A6A6"/>
            </w:tcBorders>
            <w:shd w:val="clear" w:color="auto" w:fill="D9D9D9"/>
          </w:tcPr>
          <w:p w14:paraId="30DEC863" w14:textId="77777777" w:rsidR="0048119A" w:rsidRPr="0048119A" w:rsidRDefault="0048119A" w:rsidP="0048119A">
            <w:pPr>
              <w:pStyle w:val="TableText"/>
              <w:rPr>
                <w:b/>
              </w:rPr>
            </w:pPr>
          </w:p>
        </w:tc>
        <w:tc>
          <w:tcPr>
            <w:tcW w:w="912" w:type="pct"/>
            <w:tcBorders>
              <w:top w:val="nil"/>
              <w:left w:val="single" w:sz="4" w:space="0" w:color="A6A6A6"/>
            </w:tcBorders>
            <w:shd w:val="clear" w:color="auto" w:fill="D9D9D9"/>
          </w:tcPr>
          <w:p w14:paraId="6DBA4FA2" w14:textId="77777777" w:rsidR="0048119A" w:rsidRPr="0048119A" w:rsidRDefault="0048119A" w:rsidP="0048119A">
            <w:pPr>
              <w:pStyle w:val="TableText"/>
              <w:spacing w:before="0"/>
              <w:jc w:val="center"/>
              <w:rPr>
                <w:b/>
              </w:rPr>
            </w:pPr>
            <w:r w:rsidRPr="0048119A">
              <w:rPr>
                <w:b/>
              </w:rPr>
              <w:t>Number of people given ECT</w:t>
            </w:r>
          </w:p>
        </w:tc>
        <w:tc>
          <w:tcPr>
            <w:tcW w:w="912" w:type="pct"/>
            <w:tcBorders>
              <w:top w:val="nil"/>
              <w:right w:val="single" w:sz="4" w:space="0" w:color="A6A6A6"/>
            </w:tcBorders>
            <w:shd w:val="clear" w:color="auto" w:fill="D9D9D9"/>
          </w:tcPr>
          <w:p w14:paraId="1F8DF99B" w14:textId="77777777" w:rsidR="0048119A" w:rsidRPr="0048119A" w:rsidRDefault="0048119A" w:rsidP="0048119A">
            <w:pPr>
              <w:pStyle w:val="TableText"/>
              <w:spacing w:before="0"/>
              <w:jc w:val="center"/>
              <w:rPr>
                <w:b/>
              </w:rPr>
            </w:pPr>
            <w:r w:rsidRPr="0048119A">
              <w:rPr>
                <w:b/>
              </w:rPr>
              <w:t>Number of treatments administered</w:t>
            </w:r>
          </w:p>
        </w:tc>
        <w:tc>
          <w:tcPr>
            <w:tcW w:w="912" w:type="pct"/>
            <w:tcBorders>
              <w:top w:val="nil"/>
              <w:left w:val="single" w:sz="4" w:space="0" w:color="A6A6A6"/>
            </w:tcBorders>
            <w:shd w:val="clear" w:color="auto" w:fill="D9D9D9"/>
          </w:tcPr>
          <w:p w14:paraId="24AD7D9C" w14:textId="77777777" w:rsidR="0048119A" w:rsidRPr="0048119A" w:rsidRDefault="0048119A" w:rsidP="0048119A">
            <w:pPr>
              <w:pStyle w:val="TableText"/>
              <w:spacing w:before="0"/>
              <w:jc w:val="center"/>
              <w:rPr>
                <w:b/>
              </w:rPr>
            </w:pPr>
            <w:r w:rsidRPr="0048119A">
              <w:rPr>
                <w:b/>
              </w:rPr>
              <w:t>Number of people given ECT</w:t>
            </w:r>
          </w:p>
        </w:tc>
        <w:tc>
          <w:tcPr>
            <w:tcW w:w="912" w:type="pct"/>
            <w:tcBorders>
              <w:top w:val="nil"/>
            </w:tcBorders>
            <w:shd w:val="clear" w:color="auto" w:fill="D9D9D9"/>
          </w:tcPr>
          <w:p w14:paraId="2EB89C65" w14:textId="77777777" w:rsidR="0048119A" w:rsidRPr="0048119A" w:rsidRDefault="0048119A" w:rsidP="0048119A">
            <w:pPr>
              <w:pStyle w:val="TableText"/>
              <w:spacing w:before="0"/>
              <w:jc w:val="center"/>
              <w:rPr>
                <w:b/>
              </w:rPr>
            </w:pPr>
            <w:r w:rsidRPr="0048119A">
              <w:rPr>
                <w:b/>
              </w:rPr>
              <w:t>Number of treatments administered</w:t>
            </w:r>
          </w:p>
        </w:tc>
      </w:tr>
      <w:tr w:rsidR="00410071" w:rsidRPr="00200234" w14:paraId="1BC7D767" w14:textId="77777777" w:rsidTr="0048119A">
        <w:trPr>
          <w:cantSplit/>
        </w:trPr>
        <w:tc>
          <w:tcPr>
            <w:tcW w:w="1353" w:type="pct"/>
            <w:tcBorders>
              <w:right w:val="single" w:sz="4" w:space="0" w:color="A6A6A6"/>
            </w:tcBorders>
            <w:shd w:val="clear" w:color="auto" w:fill="auto"/>
          </w:tcPr>
          <w:p w14:paraId="77205A1D" w14:textId="77777777" w:rsidR="00410071" w:rsidRPr="00200234" w:rsidRDefault="00410071" w:rsidP="0048119A">
            <w:pPr>
              <w:pStyle w:val="TableText"/>
            </w:pPr>
            <w:r w:rsidRPr="00200234">
              <w:t>Auckland</w:t>
            </w:r>
          </w:p>
        </w:tc>
        <w:tc>
          <w:tcPr>
            <w:tcW w:w="912" w:type="pct"/>
            <w:tcBorders>
              <w:left w:val="single" w:sz="4" w:space="0" w:color="A6A6A6"/>
            </w:tcBorders>
            <w:shd w:val="clear" w:color="auto" w:fill="auto"/>
          </w:tcPr>
          <w:p w14:paraId="2F2E020C" w14:textId="77777777" w:rsidR="00410071" w:rsidRPr="00CB4993" w:rsidRDefault="00410071" w:rsidP="0048119A">
            <w:pPr>
              <w:pStyle w:val="TableText"/>
              <w:tabs>
                <w:tab w:val="decimal" w:pos="794"/>
              </w:tabs>
            </w:pPr>
            <w:r w:rsidRPr="00CB4993">
              <w:t>11</w:t>
            </w:r>
          </w:p>
        </w:tc>
        <w:tc>
          <w:tcPr>
            <w:tcW w:w="912" w:type="pct"/>
            <w:tcBorders>
              <w:right w:val="single" w:sz="4" w:space="0" w:color="A6A6A6"/>
            </w:tcBorders>
            <w:shd w:val="clear" w:color="auto" w:fill="auto"/>
          </w:tcPr>
          <w:p w14:paraId="13115569" w14:textId="77777777" w:rsidR="00410071" w:rsidRPr="00CB4993" w:rsidRDefault="00410071" w:rsidP="0048119A">
            <w:pPr>
              <w:pStyle w:val="TableText"/>
              <w:tabs>
                <w:tab w:val="decimal" w:pos="794"/>
              </w:tabs>
            </w:pPr>
            <w:r w:rsidRPr="00CB4993">
              <w:t>130</w:t>
            </w:r>
          </w:p>
        </w:tc>
        <w:tc>
          <w:tcPr>
            <w:tcW w:w="912" w:type="pct"/>
            <w:tcBorders>
              <w:left w:val="single" w:sz="4" w:space="0" w:color="A6A6A6"/>
            </w:tcBorders>
            <w:shd w:val="clear" w:color="auto" w:fill="auto"/>
          </w:tcPr>
          <w:p w14:paraId="1B0668D3" w14:textId="77777777" w:rsidR="00410071" w:rsidRPr="00CB4993" w:rsidRDefault="00410071" w:rsidP="0048119A">
            <w:pPr>
              <w:pStyle w:val="TableText"/>
              <w:jc w:val="center"/>
            </w:pPr>
            <w:r w:rsidRPr="00CB4993">
              <w:t>0</w:t>
            </w:r>
          </w:p>
        </w:tc>
        <w:tc>
          <w:tcPr>
            <w:tcW w:w="912" w:type="pct"/>
            <w:shd w:val="clear" w:color="auto" w:fill="auto"/>
          </w:tcPr>
          <w:p w14:paraId="5FF02BA9" w14:textId="77777777" w:rsidR="00410071" w:rsidRPr="00CB4993" w:rsidRDefault="00410071" w:rsidP="0048119A">
            <w:pPr>
              <w:pStyle w:val="TableText"/>
              <w:tabs>
                <w:tab w:val="decimal" w:pos="794"/>
              </w:tabs>
            </w:pPr>
            <w:r w:rsidRPr="00CB4993">
              <w:t>0</w:t>
            </w:r>
          </w:p>
        </w:tc>
      </w:tr>
      <w:tr w:rsidR="00410071" w:rsidRPr="00200234" w14:paraId="4686911E" w14:textId="77777777" w:rsidTr="0048119A">
        <w:trPr>
          <w:cantSplit/>
        </w:trPr>
        <w:tc>
          <w:tcPr>
            <w:tcW w:w="1353" w:type="pct"/>
            <w:tcBorders>
              <w:right w:val="single" w:sz="4" w:space="0" w:color="A6A6A6"/>
            </w:tcBorders>
            <w:shd w:val="clear" w:color="auto" w:fill="auto"/>
          </w:tcPr>
          <w:p w14:paraId="5C9F3833" w14:textId="77777777" w:rsidR="00410071" w:rsidRPr="00200234" w:rsidRDefault="00410071" w:rsidP="0048119A">
            <w:pPr>
              <w:pStyle w:val="TableText"/>
            </w:pPr>
            <w:r w:rsidRPr="00200234">
              <w:t>Bay of Plenty</w:t>
            </w:r>
          </w:p>
        </w:tc>
        <w:tc>
          <w:tcPr>
            <w:tcW w:w="912" w:type="pct"/>
            <w:tcBorders>
              <w:left w:val="single" w:sz="4" w:space="0" w:color="A6A6A6"/>
            </w:tcBorders>
            <w:shd w:val="clear" w:color="auto" w:fill="auto"/>
          </w:tcPr>
          <w:p w14:paraId="633BD5B1" w14:textId="77777777" w:rsidR="00410071" w:rsidRPr="00CB4993" w:rsidRDefault="00410071" w:rsidP="0048119A">
            <w:pPr>
              <w:pStyle w:val="TableText"/>
              <w:tabs>
                <w:tab w:val="decimal" w:pos="794"/>
              </w:tabs>
            </w:pPr>
            <w:r>
              <w:t>9</w:t>
            </w:r>
          </w:p>
        </w:tc>
        <w:tc>
          <w:tcPr>
            <w:tcW w:w="912" w:type="pct"/>
            <w:tcBorders>
              <w:right w:val="single" w:sz="4" w:space="0" w:color="A6A6A6"/>
            </w:tcBorders>
            <w:shd w:val="clear" w:color="auto" w:fill="auto"/>
          </w:tcPr>
          <w:p w14:paraId="0981C6FD" w14:textId="77777777" w:rsidR="00410071" w:rsidRPr="00CB4993" w:rsidRDefault="00410071" w:rsidP="0048119A">
            <w:pPr>
              <w:pStyle w:val="TableText"/>
              <w:tabs>
                <w:tab w:val="decimal" w:pos="794"/>
              </w:tabs>
            </w:pPr>
            <w:r>
              <w:t>47</w:t>
            </w:r>
          </w:p>
        </w:tc>
        <w:tc>
          <w:tcPr>
            <w:tcW w:w="912" w:type="pct"/>
            <w:tcBorders>
              <w:left w:val="single" w:sz="4" w:space="0" w:color="A6A6A6"/>
            </w:tcBorders>
            <w:shd w:val="clear" w:color="auto" w:fill="auto"/>
          </w:tcPr>
          <w:p w14:paraId="52BB89A9" w14:textId="77777777" w:rsidR="00410071" w:rsidRPr="00CB4993" w:rsidRDefault="00410071" w:rsidP="0048119A">
            <w:pPr>
              <w:pStyle w:val="TableText"/>
              <w:jc w:val="center"/>
            </w:pPr>
            <w:r>
              <w:t>2</w:t>
            </w:r>
          </w:p>
        </w:tc>
        <w:tc>
          <w:tcPr>
            <w:tcW w:w="912" w:type="pct"/>
            <w:shd w:val="clear" w:color="auto" w:fill="auto"/>
          </w:tcPr>
          <w:p w14:paraId="7F9D099C" w14:textId="77777777" w:rsidR="00410071" w:rsidRPr="00CB4993" w:rsidRDefault="00410071" w:rsidP="0048119A">
            <w:pPr>
              <w:pStyle w:val="TableText"/>
              <w:tabs>
                <w:tab w:val="decimal" w:pos="794"/>
              </w:tabs>
            </w:pPr>
            <w:r>
              <w:t>15</w:t>
            </w:r>
          </w:p>
        </w:tc>
      </w:tr>
      <w:tr w:rsidR="00410071" w:rsidRPr="00200234" w14:paraId="74C11FE8" w14:textId="77777777" w:rsidTr="0048119A">
        <w:trPr>
          <w:cantSplit/>
        </w:trPr>
        <w:tc>
          <w:tcPr>
            <w:tcW w:w="1353" w:type="pct"/>
            <w:tcBorders>
              <w:right w:val="single" w:sz="4" w:space="0" w:color="A6A6A6"/>
            </w:tcBorders>
            <w:shd w:val="clear" w:color="auto" w:fill="auto"/>
          </w:tcPr>
          <w:p w14:paraId="337A1805" w14:textId="77777777" w:rsidR="00410071" w:rsidRPr="00200234" w:rsidRDefault="00410071" w:rsidP="0048119A">
            <w:pPr>
              <w:pStyle w:val="TableText"/>
            </w:pPr>
            <w:r w:rsidRPr="00200234">
              <w:t>Canterbury</w:t>
            </w:r>
          </w:p>
        </w:tc>
        <w:tc>
          <w:tcPr>
            <w:tcW w:w="912" w:type="pct"/>
            <w:tcBorders>
              <w:left w:val="single" w:sz="4" w:space="0" w:color="A6A6A6"/>
            </w:tcBorders>
            <w:shd w:val="clear" w:color="auto" w:fill="auto"/>
          </w:tcPr>
          <w:p w14:paraId="6DF855C6" w14:textId="77777777" w:rsidR="00410071" w:rsidRPr="00CB4993" w:rsidRDefault="00410071" w:rsidP="0048119A">
            <w:pPr>
              <w:pStyle w:val="TableText"/>
              <w:tabs>
                <w:tab w:val="decimal" w:pos="794"/>
              </w:tabs>
            </w:pPr>
            <w:r w:rsidRPr="00CB4993">
              <w:t>3</w:t>
            </w:r>
          </w:p>
        </w:tc>
        <w:tc>
          <w:tcPr>
            <w:tcW w:w="912" w:type="pct"/>
            <w:tcBorders>
              <w:right w:val="single" w:sz="4" w:space="0" w:color="A6A6A6"/>
            </w:tcBorders>
            <w:shd w:val="clear" w:color="auto" w:fill="auto"/>
          </w:tcPr>
          <w:p w14:paraId="6AFF8496" w14:textId="77777777" w:rsidR="00410071" w:rsidRPr="00CB4993" w:rsidRDefault="00410071" w:rsidP="0048119A">
            <w:pPr>
              <w:pStyle w:val="TableText"/>
              <w:tabs>
                <w:tab w:val="decimal" w:pos="794"/>
              </w:tabs>
            </w:pPr>
            <w:r w:rsidRPr="00CB4993">
              <w:t>52</w:t>
            </w:r>
          </w:p>
        </w:tc>
        <w:tc>
          <w:tcPr>
            <w:tcW w:w="912" w:type="pct"/>
            <w:tcBorders>
              <w:left w:val="single" w:sz="4" w:space="0" w:color="A6A6A6"/>
            </w:tcBorders>
            <w:shd w:val="clear" w:color="auto" w:fill="auto"/>
          </w:tcPr>
          <w:p w14:paraId="678E71D7" w14:textId="77777777" w:rsidR="00410071" w:rsidRPr="00CB4993" w:rsidRDefault="00410071" w:rsidP="0048119A">
            <w:pPr>
              <w:pStyle w:val="TableText"/>
              <w:jc w:val="center"/>
            </w:pPr>
            <w:r w:rsidRPr="00CB4993">
              <w:t>1</w:t>
            </w:r>
          </w:p>
        </w:tc>
        <w:tc>
          <w:tcPr>
            <w:tcW w:w="912" w:type="pct"/>
            <w:shd w:val="clear" w:color="auto" w:fill="auto"/>
          </w:tcPr>
          <w:p w14:paraId="5EB22EFA" w14:textId="77777777" w:rsidR="00410071" w:rsidRPr="00CB4993" w:rsidRDefault="00410071" w:rsidP="0048119A">
            <w:pPr>
              <w:pStyle w:val="TableText"/>
              <w:tabs>
                <w:tab w:val="decimal" w:pos="794"/>
              </w:tabs>
            </w:pPr>
            <w:r w:rsidRPr="00CB4993">
              <w:t>1</w:t>
            </w:r>
          </w:p>
        </w:tc>
      </w:tr>
      <w:tr w:rsidR="00410071" w:rsidRPr="00200234" w14:paraId="73619DF3" w14:textId="77777777" w:rsidTr="0048119A">
        <w:trPr>
          <w:cantSplit/>
        </w:trPr>
        <w:tc>
          <w:tcPr>
            <w:tcW w:w="1353" w:type="pct"/>
            <w:tcBorders>
              <w:right w:val="single" w:sz="4" w:space="0" w:color="A6A6A6"/>
            </w:tcBorders>
            <w:shd w:val="clear" w:color="auto" w:fill="auto"/>
          </w:tcPr>
          <w:p w14:paraId="2FF2077C" w14:textId="77777777" w:rsidR="00410071" w:rsidRPr="00200234" w:rsidRDefault="00410071" w:rsidP="0048119A">
            <w:pPr>
              <w:pStyle w:val="TableText"/>
            </w:pPr>
            <w:r w:rsidRPr="00200234">
              <w:t>Capital &amp; Coast</w:t>
            </w:r>
          </w:p>
        </w:tc>
        <w:tc>
          <w:tcPr>
            <w:tcW w:w="912" w:type="pct"/>
            <w:tcBorders>
              <w:left w:val="single" w:sz="4" w:space="0" w:color="A6A6A6"/>
            </w:tcBorders>
            <w:shd w:val="clear" w:color="auto" w:fill="auto"/>
          </w:tcPr>
          <w:p w14:paraId="7315F1CA" w14:textId="77777777" w:rsidR="00410071" w:rsidRPr="00CB4993" w:rsidRDefault="00410071" w:rsidP="0048119A">
            <w:pPr>
              <w:pStyle w:val="TableText"/>
              <w:tabs>
                <w:tab w:val="decimal" w:pos="794"/>
              </w:tabs>
            </w:pPr>
            <w:r w:rsidRPr="00CB4993">
              <w:t>5</w:t>
            </w:r>
          </w:p>
        </w:tc>
        <w:tc>
          <w:tcPr>
            <w:tcW w:w="912" w:type="pct"/>
            <w:tcBorders>
              <w:right w:val="single" w:sz="4" w:space="0" w:color="A6A6A6"/>
            </w:tcBorders>
            <w:shd w:val="clear" w:color="auto" w:fill="auto"/>
          </w:tcPr>
          <w:p w14:paraId="2BE9D91B" w14:textId="77777777" w:rsidR="00410071" w:rsidRPr="00CB4993" w:rsidRDefault="00410071" w:rsidP="0048119A">
            <w:pPr>
              <w:pStyle w:val="TableText"/>
              <w:tabs>
                <w:tab w:val="decimal" w:pos="794"/>
              </w:tabs>
            </w:pPr>
            <w:r w:rsidRPr="00CB4993">
              <w:t>37</w:t>
            </w:r>
          </w:p>
        </w:tc>
        <w:tc>
          <w:tcPr>
            <w:tcW w:w="912" w:type="pct"/>
            <w:tcBorders>
              <w:left w:val="single" w:sz="4" w:space="0" w:color="A6A6A6"/>
            </w:tcBorders>
            <w:shd w:val="clear" w:color="auto" w:fill="auto"/>
          </w:tcPr>
          <w:p w14:paraId="453AAB10" w14:textId="77777777" w:rsidR="00410071" w:rsidRPr="00CB4993" w:rsidRDefault="00410071" w:rsidP="0048119A">
            <w:pPr>
              <w:pStyle w:val="TableText"/>
              <w:jc w:val="center"/>
            </w:pPr>
            <w:r w:rsidRPr="00CB4993">
              <w:t>1</w:t>
            </w:r>
          </w:p>
        </w:tc>
        <w:tc>
          <w:tcPr>
            <w:tcW w:w="912" w:type="pct"/>
            <w:shd w:val="clear" w:color="auto" w:fill="auto"/>
          </w:tcPr>
          <w:p w14:paraId="76C15EE0" w14:textId="77777777" w:rsidR="00410071" w:rsidRPr="00CB4993" w:rsidRDefault="00410071" w:rsidP="0048119A">
            <w:pPr>
              <w:pStyle w:val="TableText"/>
              <w:tabs>
                <w:tab w:val="decimal" w:pos="794"/>
              </w:tabs>
            </w:pPr>
            <w:r w:rsidRPr="00CB4993">
              <w:t>12</w:t>
            </w:r>
          </w:p>
        </w:tc>
      </w:tr>
      <w:tr w:rsidR="00410071" w:rsidRPr="00200234" w14:paraId="45299795" w14:textId="77777777" w:rsidTr="0048119A">
        <w:trPr>
          <w:cantSplit/>
        </w:trPr>
        <w:tc>
          <w:tcPr>
            <w:tcW w:w="1353" w:type="pct"/>
            <w:tcBorders>
              <w:right w:val="single" w:sz="4" w:space="0" w:color="A6A6A6"/>
            </w:tcBorders>
            <w:shd w:val="clear" w:color="auto" w:fill="auto"/>
          </w:tcPr>
          <w:p w14:paraId="02F566BF" w14:textId="77777777" w:rsidR="00410071" w:rsidRPr="00200234" w:rsidRDefault="00410071" w:rsidP="0048119A">
            <w:pPr>
              <w:pStyle w:val="TableText"/>
            </w:pPr>
            <w:r w:rsidRPr="00200234">
              <w:t>Counties Manukau</w:t>
            </w:r>
          </w:p>
        </w:tc>
        <w:tc>
          <w:tcPr>
            <w:tcW w:w="912" w:type="pct"/>
            <w:tcBorders>
              <w:left w:val="single" w:sz="4" w:space="0" w:color="A6A6A6"/>
            </w:tcBorders>
            <w:shd w:val="clear" w:color="auto" w:fill="auto"/>
          </w:tcPr>
          <w:p w14:paraId="1B735D6B" w14:textId="77777777" w:rsidR="00410071" w:rsidRPr="00CB4993" w:rsidRDefault="00410071" w:rsidP="0048119A">
            <w:pPr>
              <w:pStyle w:val="TableText"/>
              <w:tabs>
                <w:tab w:val="decimal" w:pos="794"/>
              </w:tabs>
            </w:pPr>
            <w:r w:rsidRPr="00CB4993">
              <w:t>10</w:t>
            </w:r>
          </w:p>
        </w:tc>
        <w:tc>
          <w:tcPr>
            <w:tcW w:w="912" w:type="pct"/>
            <w:tcBorders>
              <w:right w:val="single" w:sz="4" w:space="0" w:color="A6A6A6"/>
            </w:tcBorders>
            <w:shd w:val="clear" w:color="auto" w:fill="auto"/>
          </w:tcPr>
          <w:p w14:paraId="33D395E9" w14:textId="77777777" w:rsidR="00410071" w:rsidRPr="00CB4993" w:rsidRDefault="00410071" w:rsidP="0048119A">
            <w:pPr>
              <w:pStyle w:val="TableText"/>
              <w:tabs>
                <w:tab w:val="decimal" w:pos="794"/>
              </w:tabs>
            </w:pPr>
            <w:r w:rsidRPr="00CB4993">
              <w:t>69</w:t>
            </w:r>
          </w:p>
        </w:tc>
        <w:tc>
          <w:tcPr>
            <w:tcW w:w="912" w:type="pct"/>
            <w:tcBorders>
              <w:left w:val="single" w:sz="4" w:space="0" w:color="A6A6A6"/>
            </w:tcBorders>
            <w:shd w:val="clear" w:color="auto" w:fill="auto"/>
          </w:tcPr>
          <w:p w14:paraId="572AD36D" w14:textId="77777777" w:rsidR="00410071" w:rsidRPr="00CB4993" w:rsidRDefault="00410071" w:rsidP="0048119A">
            <w:pPr>
              <w:pStyle w:val="TableText"/>
              <w:jc w:val="center"/>
            </w:pPr>
            <w:r w:rsidRPr="00CB4993">
              <w:t>0</w:t>
            </w:r>
          </w:p>
        </w:tc>
        <w:tc>
          <w:tcPr>
            <w:tcW w:w="912" w:type="pct"/>
            <w:shd w:val="clear" w:color="auto" w:fill="auto"/>
          </w:tcPr>
          <w:p w14:paraId="20FDD6E3" w14:textId="77777777" w:rsidR="00410071" w:rsidRPr="00CB4993" w:rsidRDefault="00410071" w:rsidP="0048119A">
            <w:pPr>
              <w:pStyle w:val="TableText"/>
              <w:tabs>
                <w:tab w:val="decimal" w:pos="794"/>
              </w:tabs>
            </w:pPr>
            <w:r w:rsidRPr="00CB4993">
              <w:t>0</w:t>
            </w:r>
          </w:p>
        </w:tc>
      </w:tr>
      <w:tr w:rsidR="00410071" w:rsidRPr="00200234" w14:paraId="4E4D6222" w14:textId="77777777" w:rsidTr="0048119A">
        <w:trPr>
          <w:cantSplit/>
        </w:trPr>
        <w:tc>
          <w:tcPr>
            <w:tcW w:w="1353" w:type="pct"/>
            <w:tcBorders>
              <w:right w:val="single" w:sz="4" w:space="0" w:color="A6A6A6"/>
            </w:tcBorders>
            <w:shd w:val="clear" w:color="auto" w:fill="auto"/>
          </w:tcPr>
          <w:p w14:paraId="67A91627" w14:textId="77777777" w:rsidR="00410071" w:rsidRPr="00200234" w:rsidRDefault="00410071" w:rsidP="0048119A">
            <w:pPr>
              <w:pStyle w:val="TableText"/>
            </w:pPr>
            <w:r w:rsidRPr="00200234">
              <w:t>Hawke</w:t>
            </w:r>
            <w:r w:rsidR="0039221C">
              <w:t>’</w:t>
            </w:r>
            <w:r w:rsidRPr="00200234">
              <w:t>s Bay</w:t>
            </w:r>
          </w:p>
        </w:tc>
        <w:tc>
          <w:tcPr>
            <w:tcW w:w="912" w:type="pct"/>
            <w:tcBorders>
              <w:left w:val="single" w:sz="4" w:space="0" w:color="A6A6A6"/>
            </w:tcBorders>
            <w:shd w:val="clear" w:color="auto" w:fill="auto"/>
          </w:tcPr>
          <w:p w14:paraId="5CC3CD01" w14:textId="77777777" w:rsidR="00410071" w:rsidRPr="00CB4993" w:rsidRDefault="00410071" w:rsidP="0048119A">
            <w:pPr>
              <w:pStyle w:val="TableText"/>
              <w:tabs>
                <w:tab w:val="decimal" w:pos="794"/>
              </w:tabs>
            </w:pPr>
            <w:r w:rsidRPr="00CB4993">
              <w:t>1</w:t>
            </w:r>
          </w:p>
        </w:tc>
        <w:tc>
          <w:tcPr>
            <w:tcW w:w="912" w:type="pct"/>
            <w:tcBorders>
              <w:right w:val="single" w:sz="4" w:space="0" w:color="A6A6A6"/>
            </w:tcBorders>
            <w:shd w:val="clear" w:color="auto" w:fill="auto"/>
          </w:tcPr>
          <w:p w14:paraId="5E9C7C59" w14:textId="77777777" w:rsidR="00410071" w:rsidRPr="00CB4993" w:rsidRDefault="00410071" w:rsidP="0048119A">
            <w:pPr>
              <w:pStyle w:val="TableText"/>
              <w:tabs>
                <w:tab w:val="decimal" w:pos="794"/>
              </w:tabs>
            </w:pPr>
            <w:r w:rsidRPr="00CB4993">
              <w:t>36</w:t>
            </w:r>
          </w:p>
        </w:tc>
        <w:tc>
          <w:tcPr>
            <w:tcW w:w="912" w:type="pct"/>
            <w:tcBorders>
              <w:left w:val="single" w:sz="4" w:space="0" w:color="A6A6A6"/>
            </w:tcBorders>
            <w:shd w:val="clear" w:color="auto" w:fill="auto"/>
          </w:tcPr>
          <w:p w14:paraId="345B4C22" w14:textId="77777777" w:rsidR="00410071" w:rsidRPr="00CB4993" w:rsidRDefault="00410071" w:rsidP="0048119A">
            <w:pPr>
              <w:pStyle w:val="TableText"/>
              <w:jc w:val="center"/>
            </w:pPr>
            <w:r w:rsidRPr="00CB4993">
              <w:t>0</w:t>
            </w:r>
          </w:p>
        </w:tc>
        <w:tc>
          <w:tcPr>
            <w:tcW w:w="912" w:type="pct"/>
            <w:shd w:val="clear" w:color="auto" w:fill="auto"/>
          </w:tcPr>
          <w:p w14:paraId="2D847A1C" w14:textId="77777777" w:rsidR="00410071" w:rsidRPr="00CB4993" w:rsidRDefault="00410071" w:rsidP="0048119A">
            <w:pPr>
              <w:pStyle w:val="TableText"/>
              <w:tabs>
                <w:tab w:val="decimal" w:pos="794"/>
              </w:tabs>
            </w:pPr>
            <w:r w:rsidRPr="00CB4993">
              <w:t>0</w:t>
            </w:r>
          </w:p>
        </w:tc>
      </w:tr>
      <w:tr w:rsidR="00410071" w:rsidRPr="00200234" w14:paraId="5AC7EF08" w14:textId="77777777" w:rsidTr="0048119A">
        <w:trPr>
          <w:cantSplit/>
        </w:trPr>
        <w:tc>
          <w:tcPr>
            <w:tcW w:w="1353" w:type="pct"/>
            <w:tcBorders>
              <w:right w:val="single" w:sz="4" w:space="0" w:color="A6A6A6"/>
            </w:tcBorders>
            <w:shd w:val="clear" w:color="auto" w:fill="auto"/>
          </w:tcPr>
          <w:p w14:paraId="09BA83A7" w14:textId="77777777" w:rsidR="00410071" w:rsidRPr="00200234" w:rsidRDefault="00410071" w:rsidP="0048119A">
            <w:pPr>
              <w:pStyle w:val="TableText"/>
            </w:pPr>
            <w:r w:rsidRPr="00200234">
              <w:t>Hutt Valley</w:t>
            </w:r>
          </w:p>
        </w:tc>
        <w:tc>
          <w:tcPr>
            <w:tcW w:w="912" w:type="pct"/>
            <w:tcBorders>
              <w:left w:val="single" w:sz="4" w:space="0" w:color="A6A6A6"/>
            </w:tcBorders>
            <w:shd w:val="clear" w:color="auto" w:fill="auto"/>
          </w:tcPr>
          <w:p w14:paraId="53595437" w14:textId="77777777" w:rsidR="00410071" w:rsidRPr="00CB4993" w:rsidRDefault="00410071" w:rsidP="0048119A">
            <w:pPr>
              <w:pStyle w:val="TableText"/>
              <w:tabs>
                <w:tab w:val="decimal" w:pos="794"/>
              </w:tabs>
            </w:pPr>
            <w:r w:rsidRPr="00CB4993">
              <w:t>4</w:t>
            </w:r>
          </w:p>
        </w:tc>
        <w:tc>
          <w:tcPr>
            <w:tcW w:w="912" w:type="pct"/>
            <w:tcBorders>
              <w:right w:val="single" w:sz="4" w:space="0" w:color="A6A6A6"/>
            </w:tcBorders>
            <w:shd w:val="clear" w:color="auto" w:fill="auto"/>
          </w:tcPr>
          <w:p w14:paraId="2500A4D0" w14:textId="77777777" w:rsidR="00410071" w:rsidRPr="00CB4993" w:rsidRDefault="00410071" w:rsidP="0048119A">
            <w:pPr>
              <w:pStyle w:val="TableText"/>
              <w:tabs>
                <w:tab w:val="decimal" w:pos="794"/>
              </w:tabs>
            </w:pPr>
            <w:r w:rsidRPr="00CB4993">
              <w:t>25</w:t>
            </w:r>
          </w:p>
        </w:tc>
        <w:tc>
          <w:tcPr>
            <w:tcW w:w="912" w:type="pct"/>
            <w:tcBorders>
              <w:left w:val="single" w:sz="4" w:space="0" w:color="A6A6A6"/>
            </w:tcBorders>
            <w:shd w:val="clear" w:color="auto" w:fill="auto"/>
          </w:tcPr>
          <w:p w14:paraId="24BF8972" w14:textId="77777777" w:rsidR="00410071" w:rsidRPr="00CB4993" w:rsidRDefault="00410071" w:rsidP="0048119A">
            <w:pPr>
              <w:pStyle w:val="TableText"/>
              <w:jc w:val="center"/>
            </w:pPr>
            <w:r w:rsidRPr="00CB4993">
              <w:t>2</w:t>
            </w:r>
          </w:p>
        </w:tc>
        <w:tc>
          <w:tcPr>
            <w:tcW w:w="912" w:type="pct"/>
            <w:shd w:val="clear" w:color="auto" w:fill="auto"/>
          </w:tcPr>
          <w:p w14:paraId="630891A2" w14:textId="77777777" w:rsidR="00410071" w:rsidRPr="00CB4993" w:rsidRDefault="00410071" w:rsidP="0048119A">
            <w:pPr>
              <w:pStyle w:val="TableText"/>
              <w:tabs>
                <w:tab w:val="decimal" w:pos="794"/>
              </w:tabs>
            </w:pPr>
            <w:r w:rsidRPr="00CB4993">
              <w:t>15</w:t>
            </w:r>
          </w:p>
        </w:tc>
      </w:tr>
      <w:tr w:rsidR="00410071" w:rsidRPr="00200234" w14:paraId="3C7CF344" w14:textId="77777777" w:rsidTr="0048119A">
        <w:trPr>
          <w:cantSplit/>
        </w:trPr>
        <w:tc>
          <w:tcPr>
            <w:tcW w:w="1353" w:type="pct"/>
            <w:tcBorders>
              <w:right w:val="single" w:sz="4" w:space="0" w:color="A6A6A6"/>
            </w:tcBorders>
            <w:shd w:val="clear" w:color="auto" w:fill="auto"/>
          </w:tcPr>
          <w:p w14:paraId="4329F76C" w14:textId="77777777" w:rsidR="00410071" w:rsidRPr="00200234" w:rsidRDefault="00410071" w:rsidP="0048119A">
            <w:pPr>
              <w:pStyle w:val="TableText"/>
            </w:pPr>
            <w:r w:rsidRPr="00200234">
              <w:t>Lakes</w:t>
            </w:r>
          </w:p>
        </w:tc>
        <w:tc>
          <w:tcPr>
            <w:tcW w:w="912" w:type="pct"/>
            <w:tcBorders>
              <w:left w:val="single" w:sz="4" w:space="0" w:color="A6A6A6"/>
            </w:tcBorders>
            <w:shd w:val="clear" w:color="auto" w:fill="auto"/>
          </w:tcPr>
          <w:p w14:paraId="3C05CB31" w14:textId="77777777" w:rsidR="00410071" w:rsidRPr="00CB4993" w:rsidRDefault="00410071" w:rsidP="0048119A">
            <w:pPr>
              <w:pStyle w:val="TableText"/>
              <w:tabs>
                <w:tab w:val="decimal" w:pos="794"/>
              </w:tabs>
            </w:pPr>
            <w:r>
              <w:t>6</w:t>
            </w:r>
          </w:p>
        </w:tc>
        <w:tc>
          <w:tcPr>
            <w:tcW w:w="912" w:type="pct"/>
            <w:tcBorders>
              <w:right w:val="single" w:sz="4" w:space="0" w:color="A6A6A6"/>
            </w:tcBorders>
            <w:shd w:val="clear" w:color="auto" w:fill="auto"/>
          </w:tcPr>
          <w:p w14:paraId="4550F24A" w14:textId="77777777" w:rsidR="00410071" w:rsidRPr="00CB4993" w:rsidRDefault="00410071" w:rsidP="0048119A">
            <w:pPr>
              <w:pStyle w:val="TableText"/>
              <w:tabs>
                <w:tab w:val="decimal" w:pos="794"/>
              </w:tabs>
            </w:pPr>
            <w:r>
              <w:t>45</w:t>
            </w:r>
          </w:p>
        </w:tc>
        <w:tc>
          <w:tcPr>
            <w:tcW w:w="912" w:type="pct"/>
            <w:tcBorders>
              <w:left w:val="single" w:sz="4" w:space="0" w:color="A6A6A6"/>
            </w:tcBorders>
            <w:shd w:val="clear" w:color="auto" w:fill="auto"/>
          </w:tcPr>
          <w:p w14:paraId="4D6BD268" w14:textId="77777777" w:rsidR="00410071" w:rsidRPr="00CB4993" w:rsidRDefault="00410071" w:rsidP="0048119A">
            <w:pPr>
              <w:pStyle w:val="TableText"/>
              <w:jc w:val="center"/>
            </w:pPr>
            <w:r>
              <w:t>0</w:t>
            </w:r>
          </w:p>
        </w:tc>
        <w:tc>
          <w:tcPr>
            <w:tcW w:w="912" w:type="pct"/>
            <w:shd w:val="clear" w:color="auto" w:fill="auto"/>
          </w:tcPr>
          <w:p w14:paraId="3C73AB3C" w14:textId="77777777" w:rsidR="00410071" w:rsidRPr="00CB4993" w:rsidRDefault="00410071" w:rsidP="0048119A">
            <w:pPr>
              <w:pStyle w:val="TableText"/>
              <w:tabs>
                <w:tab w:val="decimal" w:pos="794"/>
              </w:tabs>
            </w:pPr>
            <w:r>
              <w:t>0</w:t>
            </w:r>
          </w:p>
        </w:tc>
      </w:tr>
      <w:tr w:rsidR="00410071" w:rsidRPr="00200234" w14:paraId="007A86F5" w14:textId="77777777" w:rsidTr="0048119A">
        <w:trPr>
          <w:cantSplit/>
        </w:trPr>
        <w:tc>
          <w:tcPr>
            <w:tcW w:w="1353" w:type="pct"/>
            <w:tcBorders>
              <w:right w:val="single" w:sz="4" w:space="0" w:color="A6A6A6"/>
            </w:tcBorders>
            <w:shd w:val="clear" w:color="auto" w:fill="auto"/>
          </w:tcPr>
          <w:p w14:paraId="208D42B5" w14:textId="77777777" w:rsidR="00410071" w:rsidRPr="00200234" w:rsidRDefault="00410071" w:rsidP="0048119A">
            <w:pPr>
              <w:pStyle w:val="TableText"/>
            </w:pPr>
            <w:r w:rsidRPr="00200234">
              <w:t>Nelson Marlborough</w:t>
            </w:r>
          </w:p>
        </w:tc>
        <w:tc>
          <w:tcPr>
            <w:tcW w:w="912" w:type="pct"/>
            <w:tcBorders>
              <w:left w:val="single" w:sz="4" w:space="0" w:color="A6A6A6"/>
            </w:tcBorders>
            <w:shd w:val="clear" w:color="auto" w:fill="auto"/>
          </w:tcPr>
          <w:p w14:paraId="6644ECC6" w14:textId="77777777" w:rsidR="00410071" w:rsidRPr="00CB4993" w:rsidRDefault="00410071" w:rsidP="0048119A">
            <w:pPr>
              <w:pStyle w:val="TableText"/>
              <w:tabs>
                <w:tab w:val="decimal" w:pos="794"/>
              </w:tabs>
            </w:pPr>
            <w:r>
              <w:t>0</w:t>
            </w:r>
          </w:p>
        </w:tc>
        <w:tc>
          <w:tcPr>
            <w:tcW w:w="912" w:type="pct"/>
            <w:tcBorders>
              <w:right w:val="single" w:sz="4" w:space="0" w:color="A6A6A6"/>
            </w:tcBorders>
            <w:shd w:val="clear" w:color="auto" w:fill="auto"/>
          </w:tcPr>
          <w:p w14:paraId="7D3C4BA8" w14:textId="77777777" w:rsidR="00410071" w:rsidRPr="00CB4993" w:rsidRDefault="00410071" w:rsidP="0048119A">
            <w:pPr>
              <w:pStyle w:val="TableText"/>
              <w:tabs>
                <w:tab w:val="decimal" w:pos="794"/>
              </w:tabs>
            </w:pPr>
            <w:r>
              <w:t>0</w:t>
            </w:r>
          </w:p>
        </w:tc>
        <w:tc>
          <w:tcPr>
            <w:tcW w:w="912" w:type="pct"/>
            <w:tcBorders>
              <w:left w:val="single" w:sz="4" w:space="0" w:color="A6A6A6"/>
            </w:tcBorders>
            <w:shd w:val="clear" w:color="auto" w:fill="auto"/>
          </w:tcPr>
          <w:p w14:paraId="0D2F632C" w14:textId="77777777" w:rsidR="00410071" w:rsidRPr="00CB4993" w:rsidRDefault="00410071" w:rsidP="0048119A">
            <w:pPr>
              <w:pStyle w:val="TableText"/>
              <w:jc w:val="center"/>
            </w:pPr>
            <w:r>
              <w:t>0</w:t>
            </w:r>
          </w:p>
        </w:tc>
        <w:tc>
          <w:tcPr>
            <w:tcW w:w="912" w:type="pct"/>
            <w:shd w:val="clear" w:color="auto" w:fill="auto"/>
          </w:tcPr>
          <w:p w14:paraId="6DFC3B44" w14:textId="77777777" w:rsidR="00410071" w:rsidRPr="00CB4993" w:rsidRDefault="00410071" w:rsidP="0048119A">
            <w:pPr>
              <w:pStyle w:val="TableText"/>
              <w:tabs>
                <w:tab w:val="decimal" w:pos="794"/>
              </w:tabs>
            </w:pPr>
            <w:r>
              <w:t>0</w:t>
            </w:r>
          </w:p>
        </w:tc>
      </w:tr>
      <w:tr w:rsidR="00410071" w:rsidRPr="00200234" w14:paraId="3FF7F795" w14:textId="77777777" w:rsidTr="0048119A">
        <w:trPr>
          <w:cantSplit/>
        </w:trPr>
        <w:tc>
          <w:tcPr>
            <w:tcW w:w="1353" w:type="pct"/>
            <w:tcBorders>
              <w:right w:val="single" w:sz="4" w:space="0" w:color="A6A6A6"/>
            </w:tcBorders>
            <w:shd w:val="clear" w:color="auto" w:fill="auto"/>
          </w:tcPr>
          <w:p w14:paraId="7798242A" w14:textId="77777777" w:rsidR="00410071" w:rsidRPr="00200234" w:rsidRDefault="00410071" w:rsidP="0048119A">
            <w:pPr>
              <w:pStyle w:val="TableText"/>
            </w:pPr>
            <w:r w:rsidRPr="00200234">
              <w:t>Northland</w:t>
            </w:r>
          </w:p>
        </w:tc>
        <w:tc>
          <w:tcPr>
            <w:tcW w:w="912" w:type="pct"/>
            <w:tcBorders>
              <w:left w:val="single" w:sz="4" w:space="0" w:color="A6A6A6"/>
            </w:tcBorders>
            <w:shd w:val="clear" w:color="auto" w:fill="auto"/>
          </w:tcPr>
          <w:p w14:paraId="22B0642F" w14:textId="77777777" w:rsidR="00410071" w:rsidRPr="00CB4993" w:rsidRDefault="00410071" w:rsidP="0048119A">
            <w:pPr>
              <w:pStyle w:val="TableText"/>
              <w:tabs>
                <w:tab w:val="decimal" w:pos="794"/>
              </w:tabs>
            </w:pPr>
            <w:r w:rsidRPr="00CB4993">
              <w:t>6</w:t>
            </w:r>
          </w:p>
        </w:tc>
        <w:tc>
          <w:tcPr>
            <w:tcW w:w="912" w:type="pct"/>
            <w:tcBorders>
              <w:right w:val="single" w:sz="4" w:space="0" w:color="A6A6A6"/>
            </w:tcBorders>
            <w:shd w:val="clear" w:color="auto" w:fill="auto"/>
          </w:tcPr>
          <w:p w14:paraId="640026EE" w14:textId="77777777" w:rsidR="00410071" w:rsidRPr="00CB4993" w:rsidRDefault="00410071" w:rsidP="0048119A">
            <w:pPr>
              <w:pStyle w:val="TableText"/>
              <w:tabs>
                <w:tab w:val="decimal" w:pos="794"/>
              </w:tabs>
            </w:pPr>
            <w:r w:rsidRPr="00CB4993">
              <w:t>69</w:t>
            </w:r>
          </w:p>
        </w:tc>
        <w:tc>
          <w:tcPr>
            <w:tcW w:w="912" w:type="pct"/>
            <w:tcBorders>
              <w:left w:val="single" w:sz="4" w:space="0" w:color="A6A6A6"/>
            </w:tcBorders>
            <w:shd w:val="clear" w:color="auto" w:fill="auto"/>
          </w:tcPr>
          <w:p w14:paraId="74E259B7" w14:textId="77777777" w:rsidR="00410071" w:rsidRPr="00CB4993" w:rsidRDefault="00410071" w:rsidP="0048119A">
            <w:pPr>
              <w:pStyle w:val="TableText"/>
              <w:jc w:val="center"/>
            </w:pPr>
            <w:r w:rsidRPr="00CB4993">
              <w:t>0</w:t>
            </w:r>
          </w:p>
        </w:tc>
        <w:tc>
          <w:tcPr>
            <w:tcW w:w="912" w:type="pct"/>
            <w:shd w:val="clear" w:color="auto" w:fill="auto"/>
          </w:tcPr>
          <w:p w14:paraId="2A98B8D8" w14:textId="77777777" w:rsidR="00410071" w:rsidRPr="00CB4993" w:rsidRDefault="00410071" w:rsidP="0048119A">
            <w:pPr>
              <w:pStyle w:val="TableText"/>
              <w:tabs>
                <w:tab w:val="decimal" w:pos="794"/>
              </w:tabs>
            </w:pPr>
            <w:r w:rsidRPr="00CB4993">
              <w:t>0</w:t>
            </w:r>
          </w:p>
        </w:tc>
      </w:tr>
      <w:tr w:rsidR="00410071" w:rsidRPr="00200234" w14:paraId="3C981CFD" w14:textId="77777777" w:rsidTr="0048119A">
        <w:trPr>
          <w:cantSplit/>
        </w:trPr>
        <w:tc>
          <w:tcPr>
            <w:tcW w:w="1353" w:type="pct"/>
            <w:tcBorders>
              <w:right w:val="single" w:sz="4" w:space="0" w:color="A6A6A6"/>
            </w:tcBorders>
            <w:shd w:val="clear" w:color="auto" w:fill="auto"/>
          </w:tcPr>
          <w:p w14:paraId="26E1E30D" w14:textId="77777777" w:rsidR="00410071" w:rsidRPr="00200234" w:rsidRDefault="00410071" w:rsidP="0048119A">
            <w:pPr>
              <w:pStyle w:val="TableText"/>
            </w:pPr>
            <w:r w:rsidRPr="00200234">
              <w:t>South Canterbury</w:t>
            </w:r>
          </w:p>
        </w:tc>
        <w:tc>
          <w:tcPr>
            <w:tcW w:w="912" w:type="pct"/>
            <w:tcBorders>
              <w:left w:val="single" w:sz="4" w:space="0" w:color="A6A6A6"/>
            </w:tcBorders>
            <w:shd w:val="clear" w:color="auto" w:fill="auto"/>
          </w:tcPr>
          <w:p w14:paraId="42D02DFC" w14:textId="77777777" w:rsidR="00410071" w:rsidRPr="00CB4993" w:rsidRDefault="00410071" w:rsidP="0048119A">
            <w:pPr>
              <w:pStyle w:val="TableText"/>
              <w:tabs>
                <w:tab w:val="decimal" w:pos="794"/>
              </w:tabs>
            </w:pPr>
            <w:r w:rsidRPr="00CB4993">
              <w:t>0</w:t>
            </w:r>
          </w:p>
        </w:tc>
        <w:tc>
          <w:tcPr>
            <w:tcW w:w="912" w:type="pct"/>
            <w:tcBorders>
              <w:right w:val="single" w:sz="4" w:space="0" w:color="A6A6A6"/>
            </w:tcBorders>
            <w:shd w:val="clear" w:color="auto" w:fill="auto"/>
          </w:tcPr>
          <w:p w14:paraId="4780E23B" w14:textId="77777777" w:rsidR="00410071" w:rsidRPr="00CB4993" w:rsidRDefault="00410071" w:rsidP="0048119A">
            <w:pPr>
              <w:pStyle w:val="TableText"/>
              <w:tabs>
                <w:tab w:val="decimal" w:pos="794"/>
              </w:tabs>
            </w:pPr>
            <w:r w:rsidRPr="00CB4993">
              <w:t>0</w:t>
            </w:r>
          </w:p>
        </w:tc>
        <w:tc>
          <w:tcPr>
            <w:tcW w:w="912" w:type="pct"/>
            <w:tcBorders>
              <w:left w:val="single" w:sz="4" w:space="0" w:color="A6A6A6"/>
            </w:tcBorders>
            <w:shd w:val="clear" w:color="auto" w:fill="auto"/>
          </w:tcPr>
          <w:p w14:paraId="3673C86D" w14:textId="77777777" w:rsidR="00410071" w:rsidRPr="00CB4993" w:rsidRDefault="00410071" w:rsidP="0048119A">
            <w:pPr>
              <w:pStyle w:val="TableText"/>
              <w:jc w:val="center"/>
            </w:pPr>
            <w:r w:rsidRPr="00CB4993">
              <w:t>0</w:t>
            </w:r>
          </w:p>
        </w:tc>
        <w:tc>
          <w:tcPr>
            <w:tcW w:w="912" w:type="pct"/>
            <w:shd w:val="clear" w:color="auto" w:fill="auto"/>
          </w:tcPr>
          <w:p w14:paraId="12DCD305" w14:textId="77777777" w:rsidR="00410071" w:rsidRPr="00CB4993" w:rsidRDefault="00410071" w:rsidP="0048119A">
            <w:pPr>
              <w:pStyle w:val="TableText"/>
              <w:tabs>
                <w:tab w:val="decimal" w:pos="794"/>
              </w:tabs>
            </w:pPr>
            <w:r w:rsidRPr="00CB4993">
              <w:t>0</w:t>
            </w:r>
          </w:p>
        </w:tc>
      </w:tr>
      <w:tr w:rsidR="00410071" w:rsidRPr="00200234" w14:paraId="67EC9D84" w14:textId="77777777" w:rsidTr="0048119A">
        <w:trPr>
          <w:cantSplit/>
        </w:trPr>
        <w:tc>
          <w:tcPr>
            <w:tcW w:w="1353" w:type="pct"/>
            <w:tcBorders>
              <w:right w:val="single" w:sz="4" w:space="0" w:color="A6A6A6"/>
            </w:tcBorders>
            <w:shd w:val="clear" w:color="auto" w:fill="auto"/>
          </w:tcPr>
          <w:p w14:paraId="329CFC43" w14:textId="77777777" w:rsidR="00410071" w:rsidRPr="00200234" w:rsidRDefault="00410071" w:rsidP="0048119A">
            <w:pPr>
              <w:pStyle w:val="TableText"/>
            </w:pPr>
            <w:r w:rsidRPr="00200234">
              <w:t>Southern</w:t>
            </w:r>
          </w:p>
        </w:tc>
        <w:tc>
          <w:tcPr>
            <w:tcW w:w="912" w:type="pct"/>
            <w:tcBorders>
              <w:left w:val="single" w:sz="4" w:space="0" w:color="A6A6A6"/>
            </w:tcBorders>
            <w:shd w:val="clear" w:color="auto" w:fill="auto"/>
          </w:tcPr>
          <w:p w14:paraId="4B8674D3" w14:textId="77777777" w:rsidR="00410071" w:rsidRPr="00CB4993" w:rsidRDefault="00410071" w:rsidP="0048119A">
            <w:pPr>
              <w:pStyle w:val="TableText"/>
              <w:tabs>
                <w:tab w:val="decimal" w:pos="794"/>
              </w:tabs>
            </w:pPr>
            <w:r w:rsidRPr="00CB4993">
              <w:t>15</w:t>
            </w:r>
          </w:p>
        </w:tc>
        <w:tc>
          <w:tcPr>
            <w:tcW w:w="912" w:type="pct"/>
            <w:tcBorders>
              <w:right w:val="single" w:sz="4" w:space="0" w:color="A6A6A6"/>
            </w:tcBorders>
            <w:shd w:val="clear" w:color="auto" w:fill="auto"/>
          </w:tcPr>
          <w:p w14:paraId="003C9E5E" w14:textId="77777777" w:rsidR="00410071" w:rsidRPr="00CB4993" w:rsidRDefault="00410071" w:rsidP="0048119A">
            <w:pPr>
              <w:pStyle w:val="TableText"/>
              <w:tabs>
                <w:tab w:val="decimal" w:pos="794"/>
              </w:tabs>
            </w:pPr>
            <w:r w:rsidRPr="00CB4993">
              <w:t>232</w:t>
            </w:r>
          </w:p>
        </w:tc>
        <w:tc>
          <w:tcPr>
            <w:tcW w:w="912" w:type="pct"/>
            <w:tcBorders>
              <w:left w:val="single" w:sz="4" w:space="0" w:color="A6A6A6"/>
            </w:tcBorders>
            <w:shd w:val="clear" w:color="auto" w:fill="auto"/>
          </w:tcPr>
          <w:p w14:paraId="30943C37" w14:textId="77777777" w:rsidR="00410071" w:rsidRPr="00CB4993" w:rsidRDefault="00410071" w:rsidP="0048119A">
            <w:pPr>
              <w:pStyle w:val="TableText"/>
              <w:jc w:val="center"/>
            </w:pPr>
            <w:r w:rsidRPr="00CB4993">
              <w:t>0</w:t>
            </w:r>
          </w:p>
        </w:tc>
        <w:tc>
          <w:tcPr>
            <w:tcW w:w="912" w:type="pct"/>
            <w:shd w:val="clear" w:color="auto" w:fill="auto"/>
          </w:tcPr>
          <w:p w14:paraId="41D6C912" w14:textId="77777777" w:rsidR="00410071" w:rsidRPr="00CB4993" w:rsidRDefault="00410071" w:rsidP="0048119A">
            <w:pPr>
              <w:pStyle w:val="TableText"/>
              <w:tabs>
                <w:tab w:val="decimal" w:pos="794"/>
              </w:tabs>
            </w:pPr>
            <w:r w:rsidRPr="00CB4993">
              <w:t>0</w:t>
            </w:r>
          </w:p>
        </w:tc>
      </w:tr>
      <w:tr w:rsidR="00410071" w:rsidRPr="00200234" w14:paraId="41DEF3F1" w14:textId="77777777" w:rsidTr="0048119A">
        <w:trPr>
          <w:cantSplit/>
        </w:trPr>
        <w:tc>
          <w:tcPr>
            <w:tcW w:w="1353" w:type="pct"/>
            <w:tcBorders>
              <w:right w:val="single" w:sz="4" w:space="0" w:color="A6A6A6"/>
            </w:tcBorders>
            <w:shd w:val="clear" w:color="auto" w:fill="auto"/>
          </w:tcPr>
          <w:p w14:paraId="7B63B2F5" w14:textId="77777777" w:rsidR="00410071" w:rsidRPr="00200234" w:rsidRDefault="00410071" w:rsidP="0048119A">
            <w:pPr>
              <w:pStyle w:val="TableText"/>
            </w:pPr>
            <w:r w:rsidRPr="00200234">
              <w:t>Tairāwhiti</w:t>
            </w:r>
          </w:p>
        </w:tc>
        <w:tc>
          <w:tcPr>
            <w:tcW w:w="912" w:type="pct"/>
            <w:tcBorders>
              <w:left w:val="single" w:sz="4" w:space="0" w:color="A6A6A6"/>
            </w:tcBorders>
            <w:shd w:val="clear" w:color="auto" w:fill="auto"/>
          </w:tcPr>
          <w:p w14:paraId="3AD55152" w14:textId="77777777" w:rsidR="00410071" w:rsidRPr="00CB4993" w:rsidRDefault="00410071" w:rsidP="0048119A">
            <w:pPr>
              <w:pStyle w:val="TableText"/>
              <w:tabs>
                <w:tab w:val="decimal" w:pos="794"/>
              </w:tabs>
            </w:pPr>
            <w:r>
              <w:t>0</w:t>
            </w:r>
          </w:p>
        </w:tc>
        <w:tc>
          <w:tcPr>
            <w:tcW w:w="912" w:type="pct"/>
            <w:tcBorders>
              <w:right w:val="single" w:sz="4" w:space="0" w:color="A6A6A6"/>
            </w:tcBorders>
            <w:shd w:val="clear" w:color="auto" w:fill="auto"/>
          </w:tcPr>
          <w:p w14:paraId="249D9B6B" w14:textId="77777777" w:rsidR="00410071" w:rsidRPr="00CB4993" w:rsidRDefault="00410071" w:rsidP="0048119A">
            <w:pPr>
              <w:pStyle w:val="TableText"/>
              <w:tabs>
                <w:tab w:val="decimal" w:pos="794"/>
              </w:tabs>
            </w:pPr>
            <w:r>
              <w:t>0</w:t>
            </w:r>
          </w:p>
        </w:tc>
        <w:tc>
          <w:tcPr>
            <w:tcW w:w="912" w:type="pct"/>
            <w:tcBorders>
              <w:left w:val="single" w:sz="4" w:space="0" w:color="A6A6A6"/>
            </w:tcBorders>
            <w:shd w:val="clear" w:color="auto" w:fill="auto"/>
          </w:tcPr>
          <w:p w14:paraId="4D602F89" w14:textId="77777777" w:rsidR="00410071" w:rsidRPr="00CB4993" w:rsidRDefault="00410071" w:rsidP="0048119A">
            <w:pPr>
              <w:pStyle w:val="TableText"/>
              <w:jc w:val="center"/>
            </w:pPr>
            <w:r>
              <w:t>0</w:t>
            </w:r>
          </w:p>
        </w:tc>
        <w:tc>
          <w:tcPr>
            <w:tcW w:w="912" w:type="pct"/>
            <w:shd w:val="clear" w:color="auto" w:fill="auto"/>
          </w:tcPr>
          <w:p w14:paraId="7E0C8889" w14:textId="77777777" w:rsidR="00410071" w:rsidRPr="00CB4993" w:rsidRDefault="00410071" w:rsidP="0048119A">
            <w:pPr>
              <w:pStyle w:val="TableText"/>
              <w:tabs>
                <w:tab w:val="decimal" w:pos="794"/>
              </w:tabs>
            </w:pPr>
            <w:r>
              <w:t>0</w:t>
            </w:r>
          </w:p>
        </w:tc>
      </w:tr>
      <w:tr w:rsidR="00410071" w:rsidRPr="00200234" w14:paraId="513B8FBF" w14:textId="77777777" w:rsidTr="0048119A">
        <w:trPr>
          <w:cantSplit/>
        </w:trPr>
        <w:tc>
          <w:tcPr>
            <w:tcW w:w="1353" w:type="pct"/>
            <w:tcBorders>
              <w:right w:val="single" w:sz="4" w:space="0" w:color="A6A6A6"/>
            </w:tcBorders>
            <w:shd w:val="clear" w:color="auto" w:fill="auto"/>
          </w:tcPr>
          <w:p w14:paraId="21414E47" w14:textId="77777777" w:rsidR="00410071" w:rsidRPr="00200234" w:rsidRDefault="00410071" w:rsidP="0048119A">
            <w:pPr>
              <w:pStyle w:val="TableText"/>
            </w:pPr>
            <w:r w:rsidRPr="00200234">
              <w:t>Taranaki</w:t>
            </w:r>
          </w:p>
        </w:tc>
        <w:tc>
          <w:tcPr>
            <w:tcW w:w="912" w:type="pct"/>
            <w:tcBorders>
              <w:left w:val="single" w:sz="4" w:space="0" w:color="A6A6A6"/>
            </w:tcBorders>
            <w:shd w:val="clear" w:color="auto" w:fill="auto"/>
          </w:tcPr>
          <w:p w14:paraId="6164B895" w14:textId="77777777" w:rsidR="00410071" w:rsidRPr="00CB4993" w:rsidRDefault="00410071" w:rsidP="0048119A">
            <w:pPr>
              <w:pStyle w:val="TableText"/>
              <w:tabs>
                <w:tab w:val="decimal" w:pos="794"/>
              </w:tabs>
            </w:pPr>
            <w:r w:rsidRPr="00CB4993">
              <w:t>6</w:t>
            </w:r>
          </w:p>
        </w:tc>
        <w:tc>
          <w:tcPr>
            <w:tcW w:w="912" w:type="pct"/>
            <w:tcBorders>
              <w:right w:val="single" w:sz="4" w:space="0" w:color="A6A6A6"/>
            </w:tcBorders>
            <w:shd w:val="clear" w:color="auto" w:fill="auto"/>
          </w:tcPr>
          <w:p w14:paraId="700A0E35" w14:textId="77777777" w:rsidR="00410071" w:rsidRPr="00CB4993" w:rsidRDefault="00410071" w:rsidP="0048119A">
            <w:pPr>
              <w:pStyle w:val="TableText"/>
              <w:tabs>
                <w:tab w:val="decimal" w:pos="794"/>
              </w:tabs>
            </w:pPr>
            <w:r w:rsidRPr="00CB4993">
              <w:t>73</w:t>
            </w:r>
          </w:p>
        </w:tc>
        <w:tc>
          <w:tcPr>
            <w:tcW w:w="912" w:type="pct"/>
            <w:tcBorders>
              <w:left w:val="single" w:sz="4" w:space="0" w:color="A6A6A6"/>
            </w:tcBorders>
            <w:shd w:val="clear" w:color="auto" w:fill="auto"/>
          </w:tcPr>
          <w:p w14:paraId="4CCFFE8A" w14:textId="77777777" w:rsidR="00410071" w:rsidRPr="00CB4993" w:rsidRDefault="00410071" w:rsidP="0048119A">
            <w:pPr>
              <w:pStyle w:val="TableText"/>
              <w:jc w:val="center"/>
            </w:pPr>
            <w:r w:rsidRPr="00CB4993">
              <w:t>0</w:t>
            </w:r>
          </w:p>
        </w:tc>
        <w:tc>
          <w:tcPr>
            <w:tcW w:w="912" w:type="pct"/>
            <w:shd w:val="clear" w:color="auto" w:fill="auto"/>
          </w:tcPr>
          <w:p w14:paraId="6264D490" w14:textId="77777777" w:rsidR="00410071" w:rsidRPr="00CB4993" w:rsidRDefault="00410071" w:rsidP="0048119A">
            <w:pPr>
              <w:pStyle w:val="TableText"/>
              <w:tabs>
                <w:tab w:val="decimal" w:pos="794"/>
              </w:tabs>
            </w:pPr>
            <w:r w:rsidRPr="00CB4993">
              <w:t>0</w:t>
            </w:r>
          </w:p>
        </w:tc>
      </w:tr>
      <w:tr w:rsidR="00410071" w:rsidRPr="00200234" w14:paraId="32A85B11" w14:textId="77777777" w:rsidTr="0048119A">
        <w:trPr>
          <w:cantSplit/>
        </w:trPr>
        <w:tc>
          <w:tcPr>
            <w:tcW w:w="1353" w:type="pct"/>
            <w:tcBorders>
              <w:right w:val="single" w:sz="4" w:space="0" w:color="A6A6A6"/>
            </w:tcBorders>
            <w:shd w:val="clear" w:color="auto" w:fill="auto"/>
          </w:tcPr>
          <w:p w14:paraId="750680C1" w14:textId="77777777" w:rsidR="00410071" w:rsidRPr="00200234" w:rsidRDefault="00410071" w:rsidP="0048119A">
            <w:pPr>
              <w:pStyle w:val="TableText"/>
            </w:pPr>
            <w:r w:rsidRPr="00200234">
              <w:t>Waikato</w:t>
            </w:r>
          </w:p>
        </w:tc>
        <w:tc>
          <w:tcPr>
            <w:tcW w:w="912" w:type="pct"/>
            <w:tcBorders>
              <w:left w:val="single" w:sz="4" w:space="0" w:color="A6A6A6"/>
            </w:tcBorders>
            <w:shd w:val="clear" w:color="auto" w:fill="auto"/>
          </w:tcPr>
          <w:p w14:paraId="15865B4F" w14:textId="77777777" w:rsidR="00410071" w:rsidRPr="00CB4993" w:rsidRDefault="00410071" w:rsidP="0048119A">
            <w:pPr>
              <w:pStyle w:val="TableText"/>
              <w:tabs>
                <w:tab w:val="decimal" w:pos="794"/>
              </w:tabs>
            </w:pPr>
            <w:r w:rsidRPr="00CB4993">
              <w:t>12</w:t>
            </w:r>
          </w:p>
        </w:tc>
        <w:tc>
          <w:tcPr>
            <w:tcW w:w="912" w:type="pct"/>
            <w:tcBorders>
              <w:right w:val="single" w:sz="4" w:space="0" w:color="A6A6A6"/>
            </w:tcBorders>
            <w:shd w:val="clear" w:color="auto" w:fill="auto"/>
          </w:tcPr>
          <w:p w14:paraId="5E69AE74" w14:textId="77777777" w:rsidR="00410071" w:rsidRPr="00CB4993" w:rsidRDefault="00410071" w:rsidP="0048119A">
            <w:pPr>
              <w:pStyle w:val="TableText"/>
              <w:tabs>
                <w:tab w:val="decimal" w:pos="794"/>
              </w:tabs>
            </w:pPr>
            <w:r w:rsidRPr="00CB4993">
              <w:t>148</w:t>
            </w:r>
          </w:p>
        </w:tc>
        <w:tc>
          <w:tcPr>
            <w:tcW w:w="912" w:type="pct"/>
            <w:tcBorders>
              <w:left w:val="single" w:sz="4" w:space="0" w:color="A6A6A6"/>
            </w:tcBorders>
            <w:shd w:val="clear" w:color="auto" w:fill="auto"/>
          </w:tcPr>
          <w:p w14:paraId="1756804B" w14:textId="77777777" w:rsidR="00410071" w:rsidRPr="00CB4993" w:rsidRDefault="00410071" w:rsidP="0048119A">
            <w:pPr>
              <w:pStyle w:val="TableText"/>
              <w:jc w:val="center"/>
            </w:pPr>
            <w:r w:rsidRPr="00CB4993">
              <w:t>0</w:t>
            </w:r>
          </w:p>
        </w:tc>
        <w:tc>
          <w:tcPr>
            <w:tcW w:w="912" w:type="pct"/>
            <w:shd w:val="clear" w:color="auto" w:fill="auto"/>
          </w:tcPr>
          <w:p w14:paraId="6C848327" w14:textId="77777777" w:rsidR="00410071" w:rsidRPr="00CB4993" w:rsidRDefault="00410071" w:rsidP="0048119A">
            <w:pPr>
              <w:pStyle w:val="TableText"/>
              <w:tabs>
                <w:tab w:val="decimal" w:pos="794"/>
              </w:tabs>
            </w:pPr>
            <w:r w:rsidRPr="00CB4993">
              <w:t>0</w:t>
            </w:r>
          </w:p>
        </w:tc>
      </w:tr>
      <w:tr w:rsidR="00410071" w:rsidRPr="00200234" w14:paraId="44BF4F12" w14:textId="77777777" w:rsidTr="0048119A">
        <w:trPr>
          <w:cantSplit/>
        </w:trPr>
        <w:tc>
          <w:tcPr>
            <w:tcW w:w="1353" w:type="pct"/>
            <w:tcBorders>
              <w:right w:val="single" w:sz="4" w:space="0" w:color="A6A6A6"/>
            </w:tcBorders>
            <w:shd w:val="clear" w:color="auto" w:fill="auto"/>
          </w:tcPr>
          <w:p w14:paraId="7FBA643A" w14:textId="77777777" w:rsidR="00410071" w:rsidRPr="00200234" w:rsidRDefault="00410071" w:rsidP="0048119A">
            <w:pPr>
              <w:pStyle w:val="TableText"/>
            </w:pPr>
            <w:r w:rsidRPr="00200234">
              <w:t>Wairarapa</w:t>
            </w:r>
          </w:p>
        </w:tc>
        <w:tc>
          <w:tcPr>
            <w:tcW w:w="912" w:type="pct"/>
            <w:tcBorders>
              <w:left w:val="single" w:sz="4" w:space="0" w:color="A6A6A6"/>
            </w:tcBorders>
            <w:shd w:val="clear" w:color="auto" w:fill="auto"/>
          </w:tcPr>
          <w:p w14:paraId="2CA40918" w14:textId="77777777" w:rsidR="00410071" w:rsidRPr="00CB4993" w:rsidRDefault="00410071" w:rsidP="0048119A">
            <w:pPr>
              <w:pStyle w:val="TableText"/>
              <w:tabs>
                <w:tab w:val="decimal" w:pos="794"/>
              </w:tabs>
            </w:pPr>
            <w:r w:rsidRPr="00CB4993">
              <w:t>–</w:t>
            </w:r>
          </w:p>
        </w:tc>
        <w:tc>
          <w:tcPr>
            <w:tcW w:w="912" w:type="pct"/>
            <w:tcBorders>
              <w:right w:val="single" w:sz="4" w:space="0" w:color="A6A6A6"/>
            </w:tcBorders>
            <w:shd w:val="clear" w:color="auto" w:fill="auto"/>
          </w:tcPr>
          <w:p w14:paraId="2BFDB9A8" w14:textId="77777777" w:rsidR="00410071" w:rsidRPr="00CB4993" w:rsidRDefault="00410071" w:rsidP="0048119A">
            <w:pPr>
              <w:pStyle w:val="TableText"/>
              <w:tabs>
                <w:tab w:val="decimal" w:pos="794"/>
              </w:tabs>
            </w:pPr>
            <w:r w:rsidRPr="00CB4993">
              <w:t>–</w:t>
            </w:r>
          </w:p>
        </w:tc>
        <w:tc>
          <w:tcPr>
            <w:tcW w:w="912" w:type="pct"/>
            <w:tcBorders>
              <w:left w:val="single" w:sz="4" w:space="0" w:color="A6A6A6"/>
            </w:tcBorders>
            <w:shd w:val="clear" w:color="auto" w:fill="auto"/>
          </w:tcPr>
          <w:p w14:paraId="3FC83700" w14:textId="77777777" w:rsidR="00410071" w:rsidRPr="00CB4993" w:rsidRDefault="00410071" w:rsidP="0048119A">
            <w:pPr>
              <w:pStyle w:val="TableText"/>
              <w:jc w:val="center"/>
            </w:pPr>
            <w:r w:rsidRPr="00CB4993">
              <w:t>–</w:t>
            </w:r>
          </w:p>
        </w:tc>
        <w:tc>
          <w:tcPr>
            <w:tcW w:w="912" w:type="pct"/>
            <w:shd w:val="clear" w:color="auto" w:fill="auto"/>
          </w:tcPr>
          <w:p w14:paraId="7EF2D416" w14:textId="77777777" w:rsidR="00410071" w:rsidRPr="00CB4993" w:rsidRDefault="00410071" w:rsidP="0048119A">
            <w:pPr>
              <w:pStyle w:val="TableText"/>
              <w:tabs>
                <w:tab w:val="decimal" w:pos="794"/>
              </w:tabs>
            </w:pPr>
            <w:r w:rsidRPr="00CB4993">
              <w:t>–</w:t>
            </w:r>
          </w:p>
        </w:tc>
      </w:tr>
      <w:tr w:rsidR="00410071" w:rsidRPr="00200234" w14:paraId="2605DB38" w14:textId="77777777" w:rsidTr="0048119A">
        <w:trPr>
          <w:cantSplit/>
        </w:trPr>
        <w:tc>
          <w:tcPr>
            <w:tcW w:w="1353" w:type="pct"/>
            <w:tcBorders>
              <w:right w:val="single" w:sz="4" w:space="0" w:color="A6A6A6"/>
            </w:tcBorders>
            <w:shd w:val="clear" w:color="auto" w:fill="auto"/>
          </w:tcPr>
          <w:p w14:paraId="7A4941C6" w14:textId="77777777" w:rsidR="00410071" w:rsidRPr="00200234" w:rsidRDefault="00410071" w:rsidP="0048119A">
            <w:pPr>
              <w:pStyle w:val="TableText"/>
            </w:pPr>
            <w:r w:rsidRPr="00200234">
              <w:t>Waitematā</w:t>
            </w:r>
          </w:p>
        </w:tc>
        <w:tc>
          <w:tcPr>
            <w:tcW w:w="912" w:type="pct"/>
            <w:tcBorders>
              <w:left w:val="single" w:sz="4" w:space="0" w:color="A6A6A6"/>
            </w:tcBorders>
            <w:shd w:val="clear" w:color="auto" w:fill="auto"/>
          </w:tcPr>
          <w:p w14:paraId="676D39C5" w14:textId="77777777" w:rsidR="00410071" w:rsidRPr="00CB4993" w:rsidRDefault="00410071" w:rsidP="0048119A">
            <w:pPr>
              <w:pStyle w:val="TableText"/>
              <w:tabs>
                <w:tab w:val="decimal" w:pos="794"/>
              </w:tabs>
            </w:pPr>
            <w:r w:rsidRPr="00CB4993">
              <w:t>14</w:t>
            </w:r>
          </w:p>
        </w:tc>
        <w:tc>
          <w:tcPr>
            <w:tcW w:w="912" w:type="pct"/>
            <w:tcBorders>
              <w:right w:val="single" w:sz="4" w:space="0" w:color="A6A6A6"/>
            </w:tcBorders>
            <w:shd w:val="clear" w:color="auto" w:fill="auto"/>
          </w:tcPr>
          <w:p w14:paraId="644E29AF" w14:textId="77777777" w:rsidR="00410071" w:rsidRPr="00CB4993" w:rsidRDefault="00410071" w:rsidP="0048119A">
            <w:pPr>
              <w:pStyle w:val="TableText"/>
              <w:tabs>
                <w:tab w:val="decimal" w:pos="794"/>
              </w:tabs>
            </w:pPr>
            <w:r w:rsidRPr="00CB4993">
              <w:t>183</w:t>
            </w:r>
          </w:p>
        </w:tc>
        <w:tc>
          <w:tcPr>
            <w:tcW w:w="912" w:type="pct"/>
            <w:tcBorders>
              <w:left w:val="single" w:sz="4" w:space="0" w:color="A6A6A6"/>
            </w:tcBorders>
            <w:shd w:val="clear" w:color="auto" w:fill="auto"/>
          </w:tcPr>
          <w:p w14:paraId="25A206BA" w14:textId="77777777" w:rsidR="00410071" w:rsidRPr="00CB4993" w:rsidRDefault="00410071" w:rsidP="0048119A">
            <w:pPr>
              <w:pStyle w:val="TableText"/>
              <w:jc w:val="center"/>
            </w:pPr>
            <w:r w:rsidRPr="00CB4993">
              <w:t>0</w:t>
            </w:r>
          </w:p>
        </w:tc>
        <w:tc>
          <w:tcPr>
            <w:tcW w:w="912" w:type="pct"/>
            <w:shd w:val="clear" w:color="auto" w:fill="auto"/>
          </w:tcPr>
          <w:p w14:paraId="53E8D37A" w14:textId="77777777" w:rsidR="00410071" w:rsidRPr="00CB4993" w:rsidRDefault="00410071" w:rsidP="0048119A">
            <w:pPr>
              <w:pStyle w:val="TableText"/>
              <w:tabs>
                <w:tab w:val="decimal" w:pos="794"/>
              </w:tabs>
            </w:pPr>
            <w:r w:rsidRPr="00CB4993">
              <w:t>0</w:t>
            </w:r>
          </w:p>
        </w:tc>
      </w:tr>
      <w:tr w:rsidR="00410071" w:rsidRPr="00200234" w14:paraId="22AAE27A" w14:textId="77777777" w:rsidTr="0048119A">
        <w:trPr>
          <w:cantSplit/>
        </w:trPr>
        <w:tc>
          <w:tcPr>
            <w:tcW w:w="1353" w:type="pct"/>
            <w:tcBorders>
              <w:right w:val="single" w:sz="4" w:space="0" w:color="A6A6A6"/>
            </w:tcBorders>
            <w:shd w:val="clear" w:color="auto" w:fill="auto"/>
          </w:tcPr>
          <w:p w14:paraId="49B7BC66" w14:textId="77777777" w:rsidR="00410071" w:rsidRPr="00200234" w:rsidRDefault="00410071" w:rsidP="0048119A">
            <w:pPr>
              <w:pStyle w:val="TableText"/>
            </w:pPr>
            <w:r w:rsidRPr="00200234">
              <w:t>West Coast</w:t>
            </w:r>
          </w:p>
        </w:tc>
        <w:tc>
          <w:tcPr>
            <w:tcW w:w="912" w:type="pct"/>
            <w:tcBorders>
              <w:left w:val="single" w:sz="4" w:space="0" w:color="A6A6A6"/>
            </w:tcBorders>
            <w:shd w:val="clear" w:color="auto" w:fill="auto"/>
          </w:tcPr>
          <w:p w14:paraId="28C372B7" w14:textId="77777777" w:rsidR="00410071" w:rsidRPr="00200234" w:rsidRDefault="00410071" w:rsidP="0048119A">
            <w:pPr>
              <w:pStyle w:val="TableText"/>
              <w:tabs>
                <w:tab w:val="decimal" w:pos="794"/>
              </w:tabs>
            </w:pPr>
            <w:r w:rsidRPr="00200234">
              <w:t>–</w:t>
            </w:r>
          </w:p>
        </w:tc>
        <w:tc>
          <w:tcPr>
            <w:tcW w:w="912" w:type="pct"/>
            <w:tcBorders>
              <w:right w:val="single" w:sz="4" w:space="0" w:color="A6A6A6"/>
            </w:tcBorders>
            <w:shd w:val="clear" w:color="auto" w:fill="auto"/>
          </w:tcPr>
          <w:p w14:paraId="6D14B244" w14:textId="77777777" w:rsidR="00410071" w:rsidRPr="00200234" w:rsidRDefault="00410071" w:rsidP="0048119A">
            <w:pPr>
              <w:pStyle w:val="TableText"/>
              <w:tabs>
                <w:tab w:val="decimal" w:pos="794"/>
              </w:tabs>
            </w:pPr>
            <w:r w:rsidRPr="00200234">
              <w:t>–</w:t>
            </w:r>
          </w:p>
        </w:tc>
        <w:tc>
          <w:tcPr>
            <w:tcW w:w="912" w:type="pct"/>
            <w:tcBorders>
              <w:left w:val="single" w:sz="4" w:space="0" w:color="A6A6A6"/>
            </w:tcBorders>
            <w:shd w:val="clear" w:color="auto" w:fill="auto"/>
          </w:tcPr>
          <w:p w14:paraId="4E07C819" w14:textId="77777777" w:rsidR="00410071" w:rsidRPr="00200234" w:rsidRDefault="00410071" w:rsidP="0048119A">
            <w:pPr>
              <w:pStyle w:val="TableText"/>
              <w:jc w:val="center"/>
            </w:pPr>
            <w:r w:rsidRPr="00200234">
              <w:t>–</w:t>
            </w:r>
          </w:p>
        </w:tc>
        <w:tc>
          <w:tcPr>
            <w:tcW w:w="912" w:type="pct"/>
            <w:shd w:val="clear" w:color="auto" w:fill="auto"/>
          </w:tcPr>
          <w:p w14:paraId="1B94486B" w14:textId="77777777" w:rsidR="00410071" w:rsidRPr="00200234" w:rsidRDefault="00410071" w:rsidP="0048119A">
            <w:pPr>
              <w:pStyle w:val="TableText"/>
              <w:tabs>
                <w:tab w:val="decimal" w:pos="794"/>
              </w:tabs>
            </w:pPr>
            <w:r>
              <w:t>–</w:t>
            </w:r>
          </w:p>
        </w:tc>
      </w:tr>
      <w:tr w:rsidR="00410071" w:rsidRPr="00200234" w14:paraId="7141E113" w14:textId="77777777" w:rsidTr="0048119A">
        <w:trPr>
          <w:cantSplit/>
        </w:trPr>
        <w:tc>
          <w:tcPr>
            <w:tcW w:w="1353" w:type="pct"/>
            <w:tcBorders>
              <w:right w:val="single" w:sz="4" w:space="0" w:color="A6A6A6"/>
            </w:tcBorders>
            <w:shd w:val="clear" w:color="auto" w:fill="auto"/>
          </w:tcPr>
          <w:p w14:paraId="10BF1F3D" w14:textId="77777777" w:rsidR="00410071" w:rsidRPr="00200234" w:rsidRDefault="00410071" w:rsidP="0048119A">
            <w:pPr>
              <w:pStyle w:val="TableText"/>
            </w:pPr>
            <w:r w:rsidRPr="00200234">
              <w:t>Whanganui</w:t>
            </w:r>
          </w:p>
        </w:tc>
        <w:tc>
          <w:tcPr>
            <w:tcW w:w="912" w:type="pct"/>
            <w:tcBorders>
              <w:left w:val="single" w:sz="4" w:space="0" w:color="A6A6A6"/>
            </w:tcBorders>
            <w:shd w:val="clear" w:color="auto" w:fill="auto"/>
          </w:tcPr>
          <w:p w14:paraId="0F1E347D" w14:textId="77777777" w:rsidR="00410071" w:rsidRPr="00200234" w:rsidRDefault="00410071" w:rsidP="0048119A">
            <w:pPr>
              <w:pStyle w:val="TableText"/>
              <w:tabs>
                <w:tab w:val="decimal" w:pos="794"/>
              </w:tabs>
            </w:pPr>
            <w:r w:rsidRPr="00200234">
              <w:t>–</w:t>
            </w:r>
          </w:p>
        </w:tc>
        <w:tc>
          <w:tcPr>
            <w:tcW w:w="912" w:type="pct"/>
            <w:tcBorders>
              <w:right w:val="single" w:sz="4" w:space="0" w:color="A6A6A6"/>
            </w:tcBorders>
            <w:shd w:val="clear" w:color="auto" w:fill="auto"/>
          </w:tcPr>
          <w:p w14:paraId="14D06446" w14:textId="77777777" w:rsidR="00410071" w:rsidRPr="00200234" w:rsidRDefault="00410071" w:rsidP="0048119A">
            <w:pPr>
              <w:pStyle w:val="TableText"/>
              <w:tabs>
                <w:tab w:val="decimal" w:pos="794"/>
              </w:tabs>
            </w:pPr>
            <w:r w:rsidRPr="00200234">
              <w:t>–</w:t>
            </w:r>
          </w:p>
        </w:tc>
        <w:tc>
          <w:tcPr>
            <w:tcW w:w="912" w:type="pct"/>
            <w:tcBorders>
              <w:left w:val="single" w:sz="4" w:space="0" w:color="A6A6A6"/>
            </w:tcBorders>
            <w:shd w:val="clear" w:color="auto" w:fill="auto"/>
          </w:tcPr>
          <w:p w14:paraId="19A38223" w14:textId="77777777" w:rsidR="00410071" w:rsidRPr="00200234" w:rsidRDefault="00410071" w:rsidP="0048119A">
            <w:pPr>
              <w:pStyle w:val="TableText"/>
              <w:jc w:val="center"/>
            </w:pPr>
            <w:r w:rsidRPr="00200234">
              <w:t>–</w:t>
            </w:r>
          </w:p>
        </w:tc>
        <w:tc>
          <w:tcPr>
            <w:tcW w:w="912" w:type="pct"/>
            <w:shd w:val="clear" w:color="auto" w:fill="auto"/>
          </w:tcPr>
          <w:p w14:paraId="30C42EBD" w14:textId="77777777" w:rsidR="00410071" w:rsidRPr="00200234" w:rsidRDefault="00410071" w:rsidP="0048119A">
            <w:pPr>
              <w:pStyle w:val="TableText"/>
              <w:tabs>
                <w:tab w:val="decimal" w:pos="794"/>
              </w:tabs>
            </w:pPr>
            <w:r>
              <w:t>–</w:t>
            </w:r>
          </w:p>
        </w:tc>
      </w:tr>
      <w:tr w:rsidR="00410071" w:rsidRPr="005739A3" w14:paraId="53E39B0D" w14:textId="77777777" w:rsidTr="0048119A">
        <w:trPr>
          <w:cantSplit/>
        </w:trPr>
        <w:tc>
          <w:tcPr>
            <w:tcW w:w="1353" w:type="pct"/>
            <w:tcBorders>
              <w:right w:val="single" w:sz="4" w:space="0" w:color="A6A6A6"/>
            </w:tcBorders>
            <w:shd w:val="clear" w:color="auto" w:fill="auto"/>
          </w:tcPr>
          <w:p w14:paraId="07647CA2" w14:textId="77777777" w:rsidR="00410071" w:rsidRPr="005739A3" w:rsidRDefault="00410071" w:rsidP="0048119A">
            <w:pPr>
              <w:pStyle w:val="TableText"/>
              <w:rPr>
                <w:b/>
              </w:rPr>
            </w:pPr>
            <w:r w:rsidRPr="005739A3">
              <w:rPr>
                <w:b/>
              </w:rPr>
              <w:t>National total</w:t>
            </w:r>
          </w:p>
        </w:tc>
        <w:tc>
          <w:tcPr>
            <w:tcW w:w="912" w:type="pct"/>
            <w:tcBorders>
              <w:left w:val="single" w:sz="4" w:space="0" w:color="A6A6A6"/>
              <w:bottom w:val="single" w:sz="4" w:space="0" w:color="A6A6A6"/>
            </w:tcBorders>
            <w:shd w:val="clear" w:color="auto" w:fill="auto"/>
          </w:tcPr>
          <w:p w14:paraId="350E0787" w14:textId="77777777" w:rsidR="00410071" w:rsidRPr="005739A3" w:rsidRDefault="00410071" w:rsidP="0048119A">
            <w:pPr>
              <w:pStyle w:val="TableText"/>
              <w:tabs>
                <w:tab w:val="decimal" w:pos="794"/>
              </w:tabs>
              <w:rPr>
                <w:b/>
              </w:rPr>
            </w:pPr>
            <w:r w:rsidRPr="005739A3">
              <w:rPr>
                <w:b/>
              </w:rPr>
              <w:t>102</w:t>
            </w:r>
          </w:p>
        </w:tc>
        <w:tc>
          <w:tcPr>
            <w:tcW w:w="912" w:type="pct"/>
            <w:tcBorders>
              <w:bottom w:val="single" w:sz="4" w:space="0" w:color="A6A6A6"/>
              <w:right w:val="single" w:sz="4" w:space="0" w:color="A6A6A6"/>
            </w:tcBorders>
            <w:shd w:val="clear" w:color="auto" w:fill="auto"/>
          </w:tcPr>
          <w:p w14:paraId="7643941E" w14:textId="77777777" w:rsidR="00410071" w:rsidRPr="005739A3" w:rsidRDefault="00410071" w:rsidP="0048119A">
            <w:pPr>
              <w:pStyle w:val="TableText"/>
              <w:tabs>
                <w:tab w:val="decimal" w:pos="794"/>
              </w:tabs>
              <w:rPr>
                <w:b/>
              </w:rPr>
            </w:pPr>
            <w:r w:rsidRPr="005739A3">
              <w:rPr>
                <w:b/>
              </w:rPr>
              <w:t>1,146</w:t>
            </w:r>
          </w:p>
        </w:tc>
        <w:tc>
          <w:tcPr>
            <w:tcW w:w="912" w:type="pct"/>
            <w:tcBorders>
              <w:left w:val="single" w:sz="4" w:space="0" w:color="A6A6A6"/>
            </w:tcBorders>
            <w:shd w:val="clear" w:color="auto" w:fill="auto"/>
          </w:tcPr>
          <w:p w14:paraId="19962715" w14:textId="77777777" w:rsidR="00410071" w:rsidRPr="005739A3" w:rsidRDefault="00410071" w:rsidP="0048119A">
            <w:pPr>
              <w:pStyle w:val="TableText"/>
              <w:jc w:val="center"/>
              <w:rPr>
                <w:b/>
                <w:bCs/>
              </w:rPr>
            </w:pPr>
            <w:r w:rsidRPr="005739A3">
              <w:rPr>
                <w:b/>
                <w:bCs/>
              </w:rPr>
              <w:t>6</w:t>
            </w:r>
          </w:p>
        </w:tc>
        <w:tc>
          <w:tcPr>
            <w:tcW w:w="912" w:type="pct"/>
            <w:shd w:val="clear" w:color="auto" w:fill="auto"/>
          </w:tcPr>
          <w:p w14:paraId="3065FE90" w14:textId="77777777" w:rsidR="00410071" w:rsidRPr="005739A3" w:rsidRDefault="00410071" w:rsidP="0048119A">
            <w:pPr>
              <w:pStyle w:val="TableText"/>
              <w:tabs>
                <w:tab w:val="decimal" w:pos="794"/>
              </w:tabs>
              <w:rPr>
                <w:b/>
                <w:bCs/>
              </w:rPr>
            </w:pPr>
            <w:r w:rsidRPr="005739A3">
              <w:rPr>
                <w:b/>
                <w:bCs/>
              </w:rPr>
              <w:t>43</w:t>
            </w:r>
          </w:p>
        </w:tc>
      </w:tr>
    </w:tbl>
    <w:p w14:paraId="5DC0192A" w14:textId="54D48913" w:rsidR="00410071" w:rsidRPr="00200234" w:rsidRDefault="00410071" w:rsidP="0048119A">
      <w:pPr>
        <w:pStyle w:val="Note"/>
      </w:pPr>
      <w:r w:rsidRPr="00200234">
        <w:t xml:space="preserve">Notes: The data in this table cannot be reliably compared with the data in </w:t>
      </w:r>
      <w:r>
        <w:fldChar w:fldCharType="begin"/>
      </w:r>
      <w:r>
        <w:instrText xml:space="preserve"> REF _Ref85452298 \h </w:instrText>
      </w:r>
      <w:r>
        <w:fldChar w:fldCharType="separate"/>
      </w:r>
      <w:r w:rsidR="00840F18">
        <w:t>Table </w:t>
      </w:r>
      <w:r w:rsidR="00840F18">
        <w:rPr>
          <w:noProof/>
        </w:rPr>
        <w:t>18</w:t>
      </w:r>
      <w:r>
        <w:fldChar w:fldCharType="end"/>
      </w:r>
      <w:r>
        <w:t xml:space="preserve"> because</w:t>
      </w:r>
      <w:r w:rsidRPr="00200234">
        <w:t xml:space="preserve"> it relates to DHB of service rather than DHB of domicile.</w:t>
      </w:r>
      <w:r>
        <w:t xml:space="preserve"> MidCentral DHB did not provide data for 2020 and so is excluded from this table.</w:t>
      </w:r>
      <w:r>
        <w:br/>
      </w:r>
      <w:r w:rsidRPr="00200234">
        <w:t xml:space="preserve">A dash (–) indicates the DHB </w:t>
      </w:r>
      <w:r>
        <w:t>did</w:t>
      </w:r>
      <w:r w:rsidRPr="00200234">
        <w:t xml:space="preserve"> not perform ECT</w:t>
      </w:r>
      <w:r>
        <w:t xml:space="preserve"> in 2020 – they</w:t>
      </w:r>
      <w:r w:rsidRPr="00200234">
        <w:t xml:space="preserve"> sen</w:t>
      </w:r>
      <w:r>
        <w:t>t</w:t>
      </w:r>
      <w:r w:rsidRPr="00200234">
        <w:t xml:space="preserve"> people to other DHBs for treatment.</w:t>
      </w:r>
    </w:p>
    <w:p w14:paraId="2D923920" w14:textId="77777777" w:rsidR="00410071" w:rsidRDefault="00410071" w:rsidP="0048119A">
      <w:pPr>
        <w:pStyle w:val="Source"/>
      </w:pPr>
      <w:r w:rsidRPr="00200234">
        <w:t>Source: Manual data from DHBs.</w:t>
      </w:r>
    </w:p>
    <w:p w14:paraId="5DA6446F" w14:textId="77777777" w:rsidR="0048119A" w:rsidRPr="0048119A" w:rsidRDefault="0048119A" w:rsidP="005739A3"/>
    <w:p w14:paraId="4E9C3EEC" w14:textId="77777777" w:rsidR="00410071" w:rsidRPr="00200234" w:rsidRDefault="00410071" w:rsidP="005561B0">
      <w:pPr>
        <w:pStyle w:val="Heading1"/>
      </w:pPr>
      <w:bookmarkStart w:id="462" w:name="_Toc65141640"/>
      <w:bookmarkStart w:id="463" w:name="_Toc75176465"/>
      <w:bookmarkStart w:id="464" w:name="_Toc87429933"/>
      <w:bookmarkStart w:id="465" w:name="_Toc88826981"/>
      <w:r>
        <w:lastRenderedPageBreak/>
        <w:t>2020</w:t>
      </w:r>
      <w:r w:rsidRPr="00200234">
        <w:t xml:space="preserve"> </w:t>
      </w:r>
      <w:r>
        <w:t>s</w:t>
      </w:r>
      <w:r w:rsidRPr="00200234">
        <w:t xml:space="preserve">ubstance </w:t>
      </w:r>
      <w:r>
        <w:t>u</w:t>
      </w:r>
      <w:r w:rsidRPr="00200234">
        <w:t xml:space="preserve">se </w:t>
      </w:r>
      <w:r>
        <w:t>t</w:t>
      </w:r>
      <w:r w:rsidRPr="00200234">
        <w:t>reatment</w:t>
      </w:r>
      <w:bookmarkEnd w:id="462"/>
      <w:bookmarkEnd w:id="463"/>
      <w:bookmarkEnd w:id="464"/>
      <w:bookmarkEnd w:id="465"/>
    </w:p>
    <w:p w14:paraId="5B26D373" w14:textId="77777777" w:rsidR="00410071" w:rsidRDefault="00410071" w:rsidP="005561B0">
      <w:pPr>
        <w:pStyle w:val="Heading2"/>
      </w:pPr>
      <w:bookmarkStart w:id="466" w:name="_Toc87429934"/>
      <w:bookmarkStart w:id="467" w:name="_Toc65141649"/>
      <w:bookmarkStart w:id="468" w:name="_Toc75176466"/>
      <w:bookmarkStart w:id="469" w:name="_Toc88826982"/>
      <w:r>
        <w:t>Substance Addiction (Compulsory Assessment and Treatment) Act 2017</w:t>
      </w:r>
      <w:bookmarkEnd w:id="466"/>
      <w:bookmarkEnd w:id="469"/>
    </w:p>
    <w:p w14:paraId="7B8ADC4F" w14:textId="77777777" w:rsidR="00410071" w:rsidRDefault="00410071" w:rsidP="005561B0">
      <w:r>
        <w:t>In February 2018, the Substance Addiction (Compulsory Assessment and Treatment) Act 2017 (the Substance Addiction Act) came into force, replacing the Alcoholism and Drug Addiction Act 1996. The Substance Addiction Act is designed to help people who have a severe substance addiction and impaired capacity to make decisions about engaging in treatment. This legislation is better equipped to protect the human rights and cultural needs of patients and families and whānau, and it places greater emphasis on enhancing a mana-enhancing and following a health-based approach.</w:t>
      </w:r>
    </w:p>
    <w:p w14:paraId="1932B45E" w14:textId="77777777" w:rsidR="00410071" w:rsidRDefault="00410071" w:rsidP="005561B0"/>
    <w:p w14:paraId="493E42C1" w14:textId="77777777" w:rsidR="00410071" w:rsidRDefault="00410071" w:rsidP="005561B0">
      <w:r>
        <w:t>Section 119 of the Substance Addiction Act requires the Ministry to publish certain information in its annual report, such as the number of people who received compulsory treatment. The Ministry</w:t>
      </w:r>
      <w:r w:rsidR="0039221C">
        <w:t>’</w:t>
      </w:r>
      <w:r>
        <w:t xml:space="preserve">s annual report covers a financial year and is typically published a few months after the closure of that year. You can find the latest annual report by searching </w:t>
      </w:r>
      <w:r w:rsidR="0039221C">
        <w:t>‘</w:t>
      </w:r>
      <w:r>
        <w:t>Annual Reports</w:t>
      </w:r>
      <w:r w:rsidR="0039221C">
        <w:t>’</w:t>
      </w:r>
      <w:r>
        <w:t xml:space="preserve"> on the Ministry</w:t>
      </w:r>
      <w:r w:rsidR="0039221C">
        <w:t>’</w:t>
      </w:r>
      <w:r>
        <w:t>s website.</w:t>
      </w:r>
    </w:p>
    <w:p w14:paraId="7493C053" w14:textId="77777777" w:rsidR="00410071" w:rsidRDefault="00410071" w:rsidP="005561B0"/>
    <w:p w14:paraId="634624AA" w14:textId="77777777" w:rsidR="00410071" w:rsidRPr="006E3936" w:rsidRDefault="00410071" w:rsidP="005561B0">
      <w:r>
        <w:t xml:space="preserve">In order to provide a comprehensive view of activities under the Substance Addiction Act, more data is provided on the Act in the Appendix: Additional statistics of this report. Please note, however, that this data covers the 1 July 2020 to 30 June 2021 financial year, as opposed to the 2020 calendar year. If you are interested in seeing data covering the six-month period from 1 January 2020 to 30 June 2020, search </w:t>
      </w:r>
      <w:r w:rsidR="0039221C">
        <w:t>‘</w:t>
      </w:r>
      <w:r>
        <w:t>Substance Addiction data</w:t>
      </w:r>
      <w:r w:rsidR="0039221C">
        <w:t>’</w:t>
      </w:r>
      <w:r>
        <w:t xml:space="preserve"> on the Ministry</w:t>
      </w:r>
      <w:r w:rsidR="0039221C">
        <w:t>’</w:t>
      </w:r>
      <w:r>
        <w:t>s website.</w:t>
      </w:r>
    </w:p>
    <w:p w14:paraId="14F978FC" w14:textId="77777777" w:rsidR="00410071" w:rsidRDefault="00410071" w:rsidP="005561B0"/>
    <w:p w14:paraId="41A30C40" w14:textId="77777777" w:rsidR="00410071" w:rsidRPr="00200234" w:rsidRDefault="00410071" w:rsidP="005561B0">
      <w:pPr>
        <w:pStyle w:val="Heading2"/>
      </w:pPr>
      <w:bookmarkStart w:id="470" w:name="_Toc87429935"/>
      <w:bookmarkStart w:id="471" w:name="_Toc88826983"/>
      <w:r w:rsidRPr="00200234">
        <w:lastRenderedPageBreak/>
        <w:t>Land Transport Act 1998</w:t>
      </w:r>
      <w:bookmarkEnd w:id="467"/>
      <w:bookmarkEnd w:id="468"/>
      <w:bookmarkEnd w:id="470"/>
      <w:bookmarkEnd w:id="471"/>
    </w:p>
    <w:p w14:paraId="2719CFA3" w14:textId="77777777" w:rsidR="00410071" w:rsidRPr="00200234" w:rsidRDefault="00410071" w:rsidP="005561B0">
      <w:pPr>
        <w:keepLines/>
      </w:pPr>
      <w:r w:rsidRPr="00200234">
        <w:t xml:space="preserve">In </w:t>
      </w:r>
      <w:r>
        <w:t>2020</w:t>
      </w:r>
      <w:r w:rsidRPr="00200234">
        <w:t xml:space="preserve">, the Office of the Director of Mental Health and Addiction Services continued to work with </w:t>
      </w:r>
      <w:r>
        <w:t>Waka Kotahi New Zealand</w:t>
      </w:r>
      <w:r w:rsidRPr="00200234">
        <w:t xml:space="preserve"> Transport Agency</w:t>
      </w:r>
      <w:r>
        <w:t xml:space="preserve"> (Waka Kotahi)</w:t>
      </w:r>
      <w:r w:rsidRPr="00200234">
        <w:t xml:space="preserve">, </w:t>
      </w:r>
      <w:r>
        <w:t xml:space="preserve">the </w:t>
      </w:r>
      <w:r w:rsidRPr="00200234">
        <w:t xml:space="preserve">Ministry of Transport and </w:t>
      </w:r>
      <w:r w:rsidRPr="00271864">
        <w:t>the Drug and Alcohol Practitioners</w:t>
      </w:r>
      <w:r w:rsidR="0039221C">
        <w:t>’</w:t>
      </w:r>
      <w:r w:rsidRPr="00271864">
        <w:t xml:space="preserve"> Association Aotearoa</w:t>
      </w:r>
      <w:r>
        <w:t xml:space="preserve"> </w:t>
      </w:r>
      <w:r w:rsidRPr="00271864">
        <w:t>New Zealand (DAPAANZ)</w:t>
      </w:r>
      <w:r w:rsidRPr="00200234">
        <w:t xml:space="preserve"> to monitor the reinstatement of drivers disqualified for offences involving alcohol or drugs and to approve assessment centres as stated under section 65A of the Land Transport Act 1998. This section provides for the mandatory indefinite disqualification of driver licences and assessment for repeat driving offenders involving drugs or alcohol. For a </w:t>
      </w:r>
      <w:r>
        <w:t xml:space="preserve">driver </w:t>
      </w:r>
      <w:r w:rsidRPr="00200234">
        <w:t xml:space="preserve">licence to be reinstated, the person must </w:t>
      </w:r>
      <w:r>
        <w:t>undergo</w:t>
      </w:r>
      <w:r w:rsidRPr="00200234">
        <w:t xml:space="preserve"> an assessment of how well they are managing their substance use or addictive behaviours </w:t>
      </w:r>
      <w:r>
        <w:t xml:space="preserve">at </w:t>
      </w:r>
      <w:r w:rsidRPr="00200234">
        <w:t xml:space="preserve">an approved assessment centre. The assessment centres send copies of their reports to </w:t>
      </w:r>
      <w:r>
        <w:t>Waka Kotahi</w:t>
      </w:r>
      <w:r w:rsidRPr="00200234">
        <w:t>, which decides whether to reinstate the person</w:t>
      </w:r>
      <w:r w:rsidR="0039221C">
        <w:t>’</w:t>
      </w:r>
      <w:r w:rsidRPr="00200234">
        <w:t>s licence.</w:t>
      </w:r>
    </w:p>
    <w:p w14:paraId="243F78A2" w14:textId="77777777" w:rsidR="00410071" w:rsidRPr="00200234" w:rsidRDefault="00410071" w:rsidP="005561B0"/>
    <w:p w14:paraId="32039F37" w14:textId="77777777" w:rsidR="00410071" w:rsidRDefault="00410071" w:rsidP="005561B0">
      <w:r w:rsidRPr="00200234">
        <w:t>The Director-General of Health approves assessment centres. Establishments and individuals applying to be an approved assessment centre must demonstrate that they are competent in assessing alcohol and other drug problems and are a registered and experienced alcohol and drug practitioner.</w:t>
      </w:r>
    </w:p>
    <w:p w14:paraId="4FFFDBF1" w14:textId="77777777" w:rsidR="00410071" w:rsidRPr="00200234" w:rsidRDefault="00410071" w:rsidP="005561B0"/>
    <w:p w14:paraId="25A59A06" w14:textId="77777777" w:rsidR="00410071" w:rsidRPr="00200234" w:rsidRDefault="00410071" w:rsidP="005561B0">
      <w:pPr>
        <w:pStyle w:val="Heading2"/>
      </w:pPr>
      <w:bookmarkStart w:id="472" w:name="_Toc65141650"/>
      <w:bookmarkStart w:id="473" w:name="_Toc75176467"/>
      <w:bookmarkStart w:id="474" w:name="_Toc87429936"/>
      <w:bookmarkStart w:id="475" w:name="_Toc88826984"/>
      <w:r w:rsidRPr="00200234">
        <w:t>Opioid substitution treatment</w:t>
      </w:r>
      <w:bookmarkEnd w:id="472"/>
      <w:bookmarkEnd w:id="473"/>
      <w:bookmarkEnd w:id="474"/>
      <w:bookmarkEnd w:id="475"/>
    </w:p>
    <w:p w14:paraId="5D129A1D" w14:textId="77777777" w:rsidR="00410071" w:rsidRPr="00200234" w:rsidRDefault="00410071" w:rsidP="005561B0">
      <w:r w:rsidRPr="00200234">
        <w:t xml:space="preserve">Opioid dependence is a complex, relapsing condition requiring a model of treatment and care much like any other chronic health problem. Opioid substitution treatment (OST) helps people </w:t>
      </w:r>
      <w:r>
        <w:t>who have an</w:t>
      </w:r>
      <w:r w:rsidRPr="00200234">
        <w:t xml:space="preserve"> opioid dependence to access treatment, including substitution therapy, </w:t>
      </w:r>
      <w:r>
        <w:t>which</w:t>
      </w:r>
      <w:r w:rsidRPr="00200234">
        <w:t xml:space="preserve"> provides them with the opportunity to recover their health and wellbeing.</w:t>
      </w:r>
    </w:p>
    <w:p w14:paraId="2DAF44BF" w14:textId="77777777" w:rsidR="00410071" w:rsidRPr="00200234" w:rsidRDefault="00410071" w:rsidP="005561B0"/>
    <w:p w14:paraId="37ED10AE" w14:textId="77777777" w:rsidR="00410071" w:rsidRPr="00200234" w:rsidRDefault="00410071" w:rsidP="005561B0">
      <w:r w:rsidRPr="00200234">
        <w:t xml:space="preserve">Specialist OST services are specified by the Minister of Health under section 24A of the Misuse of Drugs Act 1975 and notified in the </w:t>
      </w:r>
      <w:r w:rsidRPr="00DB1FB1">
        <w:rPr>
          <w:i/>
          <w:iCs/>
        </w:rPr>
        <w:t>New Zealand Gazette</w:t>
      </w:r>
      <w:r w:rsidR="005561B0">
        <w:rPr>
          <w:iCs/>
        </w:rPr>
        <w:t>.</w:t>
      </w:r>
      <w:r w:rsidRPr="005561B0">
        <w:rPr>
          <w:rStyle w:val="FootnoteReference"/>
        </w:rPr>
        <w:footnoteReference w:id="26"/>
      </w:r>
      <w:r w:rsidRPr="00200234">
        <w:t xml:space="preserve"> OST services in </w:t>
      </w:r>
      <w:r>
        <w:t xml:space="preserve">Aotearoa </w:t>
      </w:r>
      <w:r w:rsidRPr="00200234">
        <w:t xml:space="preserve">New Zealand are expected to provide a standardised approach underpinned by concepts of </w:t>
      </w:r>
      <w:r>
        <w:t xml:space="preserve">centring the </w:t>
      </w:r>
      <w:r w:rsidRPr="00200234">
        <w:t>person, family and whānau</w:t>
      </w:r>
      <w:r>
        <w:t xml:space="preserve"> at the heart of</w:t>
      </w:r>
      <w:r w:rsidRPr="00200234">
        <w:t xml:space="preserve"> treatment, recovery, wellbeing and citizenship. To help services take this approach, </w:t>
      </w:r>
      <w:r>
        <w:t xml:space="preserve">the </w:t>
      </w:r>
      <w:r w:rsidRPr="00DB1FB1">
        <w:rPr>
          <w:i/>
          <w:iCs/>
        </w:rPr>
        <w:t>New Zealand Practice Guidelines for Opioid Substitution Treatment</w:t>
      </w:r>
      <w:r w:rsidRPr="005561B0">
        <w:rPr>
          <w:rStyle w:val="FootnoteReference"/>
        </w:rPr>
        <w:footnoteReference w:id="27"/>
      </w:r>
      <w:r w:rsidRPr="00200234">
        <w:t xml:space="preserve"> provides clinical and procedural guidance for specialist services and primary </w:t>
      </w:r>
      <w:r>
        <w:t xml:space="preserve">health </w:t>
      </w:r>
      <w:r w:rsidRPr="00200234">
        <w:t>care providers who deliver OST.</w:t>
      </w:r>
    </w:p>
    <w:p w14:paraId="1CA5AD05" w14:textId="77777777" w:rsidR="00410071" w:rsidRPr="00200234" w:rsidRDefault="00410071" w:rsidP="005561B0"/>
    <w:p w14:paraId="1AEB4913" w14:textId="77777777" w:rsidR="00410071" w:rsidRPr="00200234" w:rsidRDefault="00410071" w:rsidP="005561B0">
      <w:pPr>
        <w:keepLines/>
      </w:pPr>
      <w:r w:rsidRPr="00200234">
        <w:lastRenderedPageBreak/>
        <w:t xml:space="preserve">The medical officer of health, acting under delegated authority from the Minister of Health, designates specialist services and lead clinicians to provide treatment with controlled drugs to people who are dependent on controlled drugs, according to section 24A(7)(b) of the Misuse of Drugs Act 1975. These services are also subject to a Ministry audit every three years, through the Specialist Opioid Substitution Treatment </w:t>
      </w:r>
      <w:r>
        <w:t xml:space="preserve">(OST) </w:t>
      </w:r>
      <w:r w:rsidRPr="00200234">
        <w:t>Service Audit and Review Tool.</w:t>
      </w:r>
      <w:r w:rsidRPr="005561B0">
        <w:rPr>
          <w:rStyle w:val="FootnoteReference"/>
        </w:rPr>
        <w:footnoteReference w:id="28"/>
      </w:r>
    </w:p>
    <w:p w14:paraId="4F5F107A" w14:textId="77777777" w:rsidR="00410071" w:rsidRPr="00200234" w:rsidRDefault="00410071" w:rsidP="005561B0">
      <w:bookmarkStart w:id="476" w:name="_Toc65141651"/>
    </w:p>
    <w:p w14:paraId="0D080977" w14:textId="77777777" w:rsidR="00410071" w:rsidRPr="00DD75F8" w:rsidRDefault="00410071" w:rsidP="005561B0">
      <w:r w:rsidRPr="009A4134">
        <w:t>In summary, i</w:t>
      </w:r>
      <w:r w:rsidRPr="00DD75F8">
        <w:t>n 20</w:t>
      </w:r>
      <w:r>
        <w:t>20</w:t>
      </w:r>
      <w:r w:rsidRPr="00DD75F8">
        <w:t>:</w:t>
      </w:r>
      <w:bookmarkEnd w:id="476"/>
    </w:p>
    <w:p w14:paraId="085FD85A" w14:textId="77777777" w:rsidR="00410071" w:rsidRPr="00ED4FA1" w:rsidRDefault="00410071" w:rsidP="005561B0">
      <w:pPr>
        <w:pStyle w:val="Bullet"/>
      </w:pPr>
      <w:r>
        <w:t xml:space="preserve">5,542 </w:t>
      </w:r>
      <w:r w:rsidRPr="00ED4FA1">
        <w:t>people received OST</w:t>
      </w:r>
    </w:p>
    <w:p w14:paraId="5FFB980F" w14:textId="77777777" w:rsidR="00410071" w:rsidRPr="00ED4FA1" w:rsidRDefault="00410071" w:rsidP="005561B0">
      <w:pPr>
        <w:pStyle w:val="Bullet"/>
      </w:pPr>
      <w:r>
        <w:t>79.6</w:t>
      </w:r>
      <w:r w:rsidRPr="00ED4FA1">
        <w:t xml:space="preserve"> percent of these people were New Zealand European, </w:t>
      </w:r>
      <w:r>
        <w:t>15.6</w:t>
      </w:r>
      <w:r w:rsidRPr="00ED4FA1">
        <w:t xml:space="preserve"> percent were Māori, </w:t>
      </w:r>
      <w:r>
        <w:t>1.3</w:t>
      </w:r>
      <w:r w:rsidRPr="00ED4FA1">
        <w:t xml:space="preserve"> percent were Pacific peoples and </w:t>
      </w:r>
      <w:r>
        <w:t>3.5</w:t>
      </w:r>
      <w:r w:rsidRPr="00ED4FA1">
        <w:t xml:space="preserve"> percent were of other ethnicit</w:t>
      </w:r>
      <w:r>
        <w:t>ies</w:t>
      </w:r>
    </w:p>
    <w:p w14:paraId="52056D76" w14:textId="77777777" w:rsidR="00410071" w:rsidRPr="00DB2D47" w:rsidRDefault="00410071" w:rsidP="005561B0">
      <w:pPr>
        <w:pStyle w:val="Bullet"/>
      </w:pPr>
      <w:r>
        <w:t>65.3</w:t>
      </w:r>
      <w:r w:rsidRPr="00ED4FA1">
        <w:t xml:space="preserve"> percent of clients receiving OST were over </w:t>
      </w:r>
      <w:r>
        <w:t>45</w:t>
      </w:r>
      <w:r w:rsidRPr="00DB2D47">
        <w:t xml:space="preserve"> years old</w:t>
      </w:r>
    </w:p>
    <w:p w14:paraId="354524EE" w14:textId="77777777" w:rsidR="00410071" w:rsidRDefault="00410071" w:rsidP="005561B0">
      <w:pPr>
        <w:pStyle w:val="Bullet"/>
      </w:pPr>
      <w:r>
        <w:t>27.1</w:t>
      </w:r>
      <w:r w:rsidRPr="00ED4FA1">
        <w:t xml:space="preserve"> percent of people receiving OST were being treated by a general practitioner in a shared-care arrangement.</w:t>
      </w:r>
      <w:r w:rsidRPr="005561B0">
        <w:rPr>
          <w:rStyle w:val="FootnoteReference"/>
        </w:rPr>
        <w:footnoteReference w:id="29"/>
      </w:r>
      <w:bookmarkStart w:id="477" w:name="_Toc65141652"/>
    </w:p>
    <w:p w14:paraId="38A688DE" w14:textId="77777777" w:rsidR="00410071" w:rsidRPr="00C51519" w:rsidRDefault="00410071" w:rsidP="005561B0"/>
    <w:p w14:paraId="67DD6E49" w14:textId="77777777" w:rsidR="00410071" w:rsidRPr="00200234" w:rsidRDefault="00410071" w:rsidP="005561B0">
      <w:pPr>
        <w:pStyle w:val="Heading3"/>
      </w:pPr>
      <w:bookmarkStart w:id="478" w:name="_Toc65141653"/>
      <w:bookmarkStart w:id="479" w:name="_Toc87429937"/>
      <w:bookmarkEnd w:id="477"/>
      <w:r w:rsidRPr="00200234">
        <w:t>Service providers</w:t>
      </w:r>
      <w:bookmarkEnd w:id="478"/>
      <w:bookmarkEnd w:id="479"/>
    </w:p>
    <w:p w14:paraId="34DCC4DB" w14:textId="77777777" w:rsidR="00410071" w:rsidRPr="00200234" w:rsidRDefault="00410071" w:rsidP="005561B0">
      <w:r w:rsidRPr="00200234">
        <w:t>Three types of providers undertake OST services.</w:t>
      </w:r>
    </w:p>
    <w:p w14:paraId="1478D356" w14:textId="77777777" w:rsidR="00410071" w:rsidRPr="00200234" w:rsidRDefault="00410071" w:rsidP="005561B0"/>
    <w:p w14:paraId="7A50528B" w14:textId="77777777" w:rsidR="00410071" w:rsidRPr="00200234" w:rsidRDefault="00410071" w:rsidP="005561B0">
      <w:r w:rsidRPr="00200234">
        <w:rPr>
          <w:rFonts w:ascii="Segoe UI Semibold" w:hAnsi="Segoe UI Semibold" w:cs="Segoe UI Semibold"/>
        </w:rPr>
        <w:t>Specialist services</w:t>
      </w:r>
      <w:r>
        <w:rPr>
          <w:rFonts w:ascii="Segoe UI Semibold" w:hAnsi="Segoe UI Semibold" w:cs="Segoe UI Semibold"/>
        </w:rPr>
        <w:t>:</w:t>
      </w:r>
      <w:r w:rsidRPr="00200234">
        <w:t xml:space="preserve"> Specialist OST services are the entry point for nearly all people requiring treatment with controlled drugs. Specialist OST services will comprehensively assess the needs of clients, provide specialist interventions and stabilise clients. This creates a pathway for recovery planning, referrals for co-existing health needs and social support and eventually the transfer of treatment to a primary health provider or withdrawal from treatment altogether.</w:t>
      </w:r>
      <w:r>
        <w:t xml:space="preserve"> In 2020, in all, 71.9 percent of OST clients received that treatment from specialist services.</w:t>
      </w:r>
    </w:p>
    <w:p w14:paraId="767BA98F" w14:textId="77777777" w:rsidR="00410071" w:rsidRPr="00200234" w:rsidRDefault="00410071" w:rsidP="005561B0"/>
    <w:p w14:paraId="0124D7F3" w14:textId="3484A5C9" w:rsidR="00410071" w:rsidRPr="00200234" w:rsidRDefault="00410071" w:rsidP="005561B0">
      <w:r w:rsidRPr="00200234">
        <w:rPr>
          <w:rFonts w:ascii="Segoe UI Semibold" w:hAnsi="Segoe UI Semibold" w:cs="Segoe UI Semibold"/>
        </w:rPr>
        <w:t>Primary health</w:t>
      </w:r>
      <w:r>
        <w:rPr>
          <w:rFonts w:ascii="Segoe UI Semibold" w:hAnsi="Segoe UI Semibold" w:cs="Segoe UI Semibold"/>
        </w:rPr>
        <w:t>:</w:t>
      </w:r>
      <w:r w:rsidRPr="00200234">
        <w:rPr>
          <w:rFonts w:ascii="Segoe UI Semibold" w:hAnsi="Segoe UI Semibold" w:cs="Segoe UI Semibold"/>
        </w:rPr>
        <w:t xml:space="preserve"> </w:t>
      </w:r>
      <w:r w:rsidRPr="00200234">
        <w:t xml:space="preserve">Specialist addiction services work together with primary health care. This approach allows specialist services to focus on clients </w:t>
      </w:r>
      <w:r>
        <w:t>who have</w:t>
      </w:r>
      <w:r w:rsidRPr="00200234">
        <w:t xml:space="preserve"> the highest need and normalises the treatment process. In 20</w:t>
      </w:r>
      <w:r>
        <w:t>20</w:t>
      </w:r>
      <w:r w:rsidRPr="00200234">
        <w:t xml:space="preserve">, </w:t>
      </w:r>
      <w:r>
        <w:t>27.1</w:t>
      </w:r>
      <w:r w:rsidRPr="00200234">
        <w:t xml:space="preserve"> percent of OST clients </w:t>
      </w:r>
      <w:r>
        <w:t>received</w:t>
      </w:r>
      <w:r w:rsidRPr="00200234">
        <w:t xml:space="preserve"> that treatment from their general practitioner. The Ministry</w:t>
      </w:r>
      <w:r w:rsidR="0039221C">
        <w:t>’</w:t>
      </w:r>
      <w:r w:rsidRPr="00200234">
        <w:t>s target for service provision is 50</w:t>
      </w:r>
      <w:r>
        <w:t xml:space="preserve"> </w:t>
      </w:r>
      <w:r w:rsidRPr="00200234">
        <w:t>:</w:t>
      </w:r>
      <w:r>
        <w:t xml:space="preserve"> </w:t>
      </w:r>
      <w:r w:rsidRPr="00200234">
        <w:t xml:space="preserve">50 between primary and specialist health care services. </w:t>
      </w:r>
      <w:r w:rsidR="005561B0">
        <w:fldChar w:fldCharType="begin"/>
      </w:r>
      <w:r w:rsidR="005561B0">
        <w:instrText xml:space="preserve"> REF _Ref65672817 \h </w:instrText>
      </w:r>
      <w:r w:rsidR="005561B0">
        <w:fldChar w:fldCharType="separate"/>
      </w:r>
      <w:r w:rsidR="00840F18">
        <w:t>Figure </w:t>
      </w:r>
      <w:r w:rsidR="00840F18">
        <w:rPr>
          <w:noProof/>
        </w:rPr>
        <w:t>42</w:t>
      </w:r>
      <w:r w:rsidR="005561B0">
        <w:fldChar w:fldCharType="end"/>
      </w:r>
      <w:r w:rsidRPr="00200234">
        <w:t xml:space="preserve"> present</w:t>
      </w:r>
      <w:r>
        <w:t>s</w:t>
      </w:r>
      <w:r w:rsidRPr="00200234">
        <w:t xml:space="preserve"> the percentage of people receiving OST from specialist services and general practice in each DHB in </w:t>
      </w:r>
      <w:r>
        <w:t>2020</w:t>
      </w:r>
      <w:r w:rsidRPr="00200234">
        <w:t>.</w:t>
      </w:r>
    </w:p>
    <w:p w14:paraId="7D7D48A2" w14:textId="77777777" w:rsidR="00410071" w:rsidRPr="00200234" w:rsidRDefault="00410071" w:rsidP="005561B0"/>
    <w:p w14:paraId="4A587A5E" w14:textId="77777777" w:rsidR="00410071" w:rsidRPr="00200234" w:rsidRDefault="00410071" w:rsidP="005561B0">
      <w:pPr>
        <w:keepLines/>
      </w:pPr>
      <w:r>
        <w:rPr>
          <w:rFonts w:ascii="Segoe UI Semibold" w:hAnsi="Segoe UI Semibold" w:cs="Segoe UI Semibold"/>
        </w:rPr>
        <w:lastRenderedPageBreak/>
        <w:t xml:space="preserve">Te </w:t>
      </w:r>
      <w:r>
        <w:rPr>
          <w:rFonts w:ascii="Segoe UI Semibold" w:hAnsi="Segoe UI Semibold" w:cs="Segoe UI Semibold"/>
          <w:lang w:val="mi-NZ"/>
        </w:rPr>
        <w:t xml:space="preserve">Kāwanatanga o Aotearoa, </w:t>
      </w:r>
      <w:r w:rsidRPr="00200234">
        <w:rPr>
          <w:rFonts w:ascii="Segoe UI Semibold" w:hAnsi="Segoe UI Semibold" w:cs="Segoe UI Semibold"/>
        </w:rPr>
        <w:t>Department of Corrections</w:t>
      </w:r>
      <w:r>
        <w:rPr>
          <w:rFonts w:ascii="Segoe UI Semibold" w:hAnsi="Segoe UI Semibold" w:cs="Segoe UI Semibold"/>
        </w:rPr>
        <w:t>:</w:t>
      </w:r>
      <w:r w:rsidRPr="00200234">
        <w:rPr>
          <w:rFonts w:ascii="Segoe UI Semibold" w:hAnsi="Segoe UI Semibold" w:cs="Segoe UI Semibold"/>
        </w:rPr>
        <w:t xml:space="preserve"> </w:t>
      </w:r>
      <w:r w:rsidRPr="00200234">
        <w:t xml:space="preserve">When a person receiving OST goes to prison, </w:t>
      </w:r>
      <w:r>
        <w:t>Te Kāwanatanga o Aotearoa</w:t>
      </w:r>
      <w:r w:rsidRPr="00200234">
        <w:t xml:space="preserve"> Department of Corrections </w:t>
      </w:r>
      <w:r>
        <w:t>(Te</w:t>
      </w:r>
      <w:r w:rsidR="005561B0">
        <w:t> </w:t>
      </w:r>
      <w:r>
        <w:t xml:space="preserve">Kāwanatanga) </w:t>
      </w:r>
      <w:r w:rsidRPr="00200234">
        <w:t>ensures that the person continues to receive OST services, including psychosocial support and treatment from specialist services. In 20</w:t>
      </w:r>
      <w:r>
        <w:t>20</w:t>
      </w:r>
      <w:r w:rsidRPr="00200234">
        <w:t xml:space="preserve">, </w:t>
      </w:r>
      <w:r>
        <w:t>1.0</w:t>
      </w:r>
      <w:r w:rsidRPr="00200234">
        <w:t xml:space="preserve"> percent of OST clients </w:t>
      </w:r>
      <w:r>
        <w:t>received</w:t>
      </w:r>
      <w:r w:rsidRPr="00200234">
        <w:t xml:space="preserve"> that treatment from </w:t>
      </w:r>
      <w:r>
        <w:t>Te Kāwanatanga</w:t>
      </w:r>
      <w:r w:rsidRPr="00200234">
        <w:t xml:space="preserve">. Service providers and </w:t>
      </w:r>
      <w:r>
        <w:t>Te</w:t>
      </w:r>
      <w:r w:rsidR="005561B0">
        <w:t> </w:t>
      </w:r>
      <w:r>
        <w:t>Kāwanatanga</w:t>
      </w:r>
      <w:r w:rsidRPr="00200234">
        <w:t xml:space="preserve"> work together to initiate OST as appropriate for people who are imprisoned.</w:t>
      </w:r>
    </w:p>
    <w:p w14:paraId="3F5B55C5" w14:textId="77777777" w:rsidR="00410071" w:rsidRPr="00200234" w:rsidRDefault="00410071" w:rsidP="005561B0"/>
    <w:p w14:paraId="2DF63671" w14:textId="3A1EA87B" w:rsidR="00410071" w:rsidRPr="00200234" w:rsidRDefault="00410071" w:rsidP="005561B0">
      <w:r w:rsidRPr="00200234">
        <w:fldChar w:fldCharType="begin"/>
      </w:r>
      <w:r w:rsidRPr="00200234">
        <w:instrText xml:space="preserve"> REF _Ref65672913 \h </w:instrText>
      </w:r>
      <w:r w:rsidRPr="00200234">
        <w:fldChar w:fldCharType="separate"/>
      </w:r>
      <w:r w:rsidR="00840F18">
        <w:t>Figure </w:t>
      </w:r>
      <w:r w:rsidR="00840F18">
        <w:rPr>
          <w:noProof/>
        </w:rPr>
        <w:t>43</w:t>
      </w:r>
      <w:r w:rsidRPr="00200234">
        <w:fldChar w:fldCharType="end"/>
      </w:r>
      <w:r w:rsidRPr="00200234">
        <w:t xml:space="preserve"> shows the number of people receiving OST from each of these types of providers each year from 2008 to 20</w:t>
      </w:r>
      <w:r>
        <w:t>20</w:t>
      </w:r>
      <w:r w:rsidRPr="00200234">
        <w:t>.</w:t>
      </w:r>
    </w:p>
    <w:p w14:paraId="599358A7" w14:textId="77777777" w:rsidR="00410071" w:rsidRPr="00200234" w:rsidRDefault="00410071" w:rsidP="005561B0"/>
    <w:p w14:paraId="04BCE313" w14:textId="4EA93A05" w:rsidR="00410071" w:rsidRPr="00200234" w:rsidRDefault="00410071" w:rsidP="005561B0">
      <w:pPr>
        <w:pStyle w:val="Figure"/>
      </w:pPr>
      <w:bookmarkStart w:id="480" w:name="_Ref65672817"/>
      <w:bookmarkStart w:id="481" w:name="_Toc63764798"/>
      <w:bookmarkStart w:id="482" w:name="_Toc75176504"/>
      <w:bookmarkStart w:id="483" w:name="_Toc85442597"/>
      <w:bookmarkStart w:id="484" w:name="_Toc85445953"/>
      <w:bookmarkStart w:id="485" w:name="_Toc87429991"/>
      <w:bookmarkStart w:id="486" w:name="_Toc88561423"/>
      <w:r>
        <w:t>Figure</w:t>
      </w:r>
      <w:r w:rsidR="005561B0">
        <w:t> </w:t>
      </w:r>
      <w:r w:rsidR="00592799">
        <w:fldChar w:fldCharType="begin"/>
      </w:r>
      <w:r w:rsidR="00592799">
        <w:instrText xml:space="preserve"> SEQ Figure \* ARABIC </w:instrText>
      </w:r>
      <w:r w:rsidR="00592799">
        <w:fldChar w:fldCharType="separate"/>
      </w:r>
      <w:r w:rsidR="00840F18">
        <w:rPr>
          <w:noProof/>
        </w:rPr>
        <w:t>42</w:t>
      </w:r>
      <w:r w:rsidR="00592799">
        <w:rPr>
          <w:noProof/>
        </w:rPr>
        <w:fldChar w:fldCharType="end"/>
      </w:r>
      <w:bookmarkEnd w:id="480"/>
      <w:r w:rsidRPr="00200234">
        <w:t>: Percentage of people receiving opioid substitution treatment from specialist services and general practice, by DHB, 1 January to 31 December 20</w:t>
      </w:r>
      <w:bookmarkEnd w:id="481"/>
      <w:r>
        <w:t>20</w:t>
      </w:r>
      <w:bookmarkEnd w:id="482"/>
      <w:bookmarkEnd w:id="483"/>
      <w:bookmarkEnd w:id="484"/>
      <w:bookmarkEnd w:id="485"/>
      <w:bookmarkEnd w:id="486"/>
    </w:p>
    <w:p w14:paraId="5D6012A9" w14:textId="77777777" w:rsidR="00410071" w:rsidRPr="00200234" w:rsidRDefault="00410071" w:rsidP="005561B0">
      <w:pPr>
        <w:rPr>
          <w:rFonts w:cs="Segoe UI"/>
        </w:rPr>
      </w:pPr>
      <w:r>
        <w:rPr>
          <w:noProof/>
          <w:lang w:eastAsia="en-NZ"/>
        </w:rPr>
        <w:drawing>
          <wp:inline distT="0" distB="0" distL="0" distR="0" wp14:anchorId="49696484" wp14:editId="37278D5A">
            <wp:extent cx="5261956" cy="3341717"/>
            <wp:effectExtent l="0" t="0" r="0" b="0"/>
            <wp:docPr id="42" name="Chart 42" descr="This bar graph shows that in 2020, most people received opioid substitution treatment from specialist services compared to general practice. Auckland had the largest number of people receiving it from their GP, at just over 40%, while Tairawhiti DHB had about 2.5% of people receiving treatment from their GP. Most other DHBs were between 30 and 10% GPs.">
              <a:extLst xmlns:a="http://schemas.openxmlformats.org/drawingml/2006/main">
                <a:ext uri="{FF2B5EF4-FFF2-40B4-BE49-F238E27FC236}">
                  <a16:creationId xmlns:a16="http://schemas.microsoft.com/office/drawing/2014/main" id="{52FBEDFC-ACBB-4B79-8B5F-73E091D2C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9B8D787" w14:textId="77777777" w:rsidR="00410071" w:rsidRPr="00200234" w:rsidRDefault="00410071" w:rsidP="005561B0">
      <w:pPr>
        <w:pStyle w:val="Note"/>
      </w:pPr>
      <w:r w:rsidRPr="00200234">
        <w:t>Note</w:t>
      </w:r>
      <w:r>
        <w:t>s</w:t>
      </w:r>
      <w:r w:rsidRPr="00200234">
        <w:t>: GP = general practitioner.</w:t>
      </w:r>
      <w:r>
        <w:t xml:space="preserve"> </w:t>
      </w:r>
      <w:r w:rsidR="0039221C">
        <w:t>‘</w:t>
      </w:r>
      <w:r>
        <w:t>Auckland</w:t>
      </w:r>
      <w:r w:rsidR="0039221C">
        <w:t>’</w:t>
      </w:r>
      <w:r>
        <w:t xml:space="preserve"> includes Auckland, Counties Manukau and Waitematā DHBs. </w:t>
      </w:r>
      <w:r w:rsidR="0039221C">
        <w:t>‘</w:t>
      </w:r>
      <w:r>
        <w:t>Capital &amp; Coast</w:t>
      </w:r>
      <w:r w:rsidR="0039221C">
        <w:t>’</w:t>
      </w:r>
      <w:r>
        <w:t xml:space="preserve"> includes Capital &amp; Coast and Hutt Valley DHBs.</w:t>
      </w:r>
    </w:p>
    <w:p w14:paraId="533132BA" w14:textId="77777777" w:rsidR="00410071" w:rsidRPr="00200234" w:rsidRDefault="00410071" w:rsidP="005561B0">
      <w:pPr>
        <w:pStyle w:val="Source"/>
      </w:pPr>
      <w:r w:rsidRPr="00200234">
        <w:t>Source: Data provided by OST services in six-monthly reports.</w:t>
      </w:r>
    </w:p>
    <w:p w14:paraId="2173FDDC" w14:textId="77777777" w:rsidR="00410071" w:rsidRPr="00200234" w:rsidRDefault="00410071" w:rsidP="005561B0"/>
    <w:p w14:paraId="79DEB729" w14:textId="0B68A2F1" w:rsidR="00410071" w:rsidRPr="00200234" w:rsidRDefault="00410071" w:rsidP="005561B0">
      <w:pPr>
        <w:pStyle w:val="Figure"/>
      </w:pPr>
      <w:bookmarkStart w:id="487" w:name="_Ref65672913"/>
      <w:bookmarkStart w:id="488" w:name="_Toc63764800"/>
      <w:bookmarkStart w:id="489" w:name="_Toc75176505"/>
      <w:bookmarkStart w:id="490" w:name="_Toc85442598"/>
      <w:bookmarkStart w:id="491" w:name="_Toc85445954"/>
      <w:bookmarkStart w:id="492" w:name="_Toc87429992"/>
      <w:bookmarkStart w:id="493" w:name="_Toc88561424"/>
      <w:r>
        <w:lastRenderedPageBreak/>
        <w:t>Figure</w:t>
      </w:r>
      <w:r w:rsidR="005561B0">
        <w:t> </w:t>
      </w:r>
      <w:r w:rsidR="00592799">
        <w:fldChar w:fldCharType="begin"/>
      </w:r>
      <w:r w:rsidR="00592799">
        <w:instrText xml:space="preserve"> SEQ Figure \* ARABIC </w:instrText>
      </w:r>
      <w:r w:rsidR="00592799">
        <w:fldChar w:fldCharType="separate"/>
      </w:r>
      <w:r w:rsidR="00840F18">
        <w:rPr>
          <w:noProof/>
        </w:rPr>
        <w:t>43</w:t>
      </w:r>
      <w:r w:rsidR="00592799">
        <w:rPr>
          <w:noProof/>
        </w:rPr>
        <w:fldChar w:fldCharType="end"/>
      </w:r>
      <w:bookmarkEnd w:id="487"/>
      <w:r w:rsidRPr="00200234">
        <w:t>: Number of people receiving opioid substitution treatment from a specialist service, general practice or prison service, 2008–20</w:t>
      </w:r>
      <w:bookmarkEnd w:id="488"/>
      <w:r>
        <w:t>20</w:t>
      </w:r>
      <w:bookmarkEnd w:id="489"/>
      <w:bookmarkEnd w:id="490"/>
      <w:bookmarkEnd w:id="491"/>
      <w:bookmarkEnd w:id="492"/>
      <w:bookmarkEnd w:id="493"/>
    </w:p>
    <w:p w14:paraId="7025A2B7" w14:textId="77777777" w:rsidR="00410071" w:rsidRPr="00200234" w:rsidRDefault="00410071" w:rsidP="005561B0">
      <w:r>
        <w:rPr>
          <w:noProof/>
          <w:lang w:eastAsia="en-NZ"/>
        </w:rPr>
        <w:drawing>
          <wp:inline distT="0" distB="0" distL="0" distR="0" wp14:anchorId="5DEF2DDD" wp14:editId="50BBC503">
            <wp:extent cx="5228705" cy="3599411"/>
            <wp:effectExtent l="0" t="0" r="0" b="1270"/>
            <wp:docPr id="43" name="Chart 43" descr="This bar graph shows that the number of people receiving opioid substitution treatment has increased over time from just over 4500 in 2008 to about 5500 in 2020. The proportion of people receiving treatment at specialist services compared to general practice has remained relatively steady. Beginning in 2013, a small number of people began receiving treatment at prison services.">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6EE04C60" w14:textId="77777777" w:rsidR="00410071" w:rsidRPr="00200234" w:rsidRDefault="00410071" w:rsidP="005561B0">
      <w:pPr>
        <w:pStyle w:val="Note"/>
      </w:pPr>
      <w:r w:rsidRPr="00200234">
        <w:t>Note: Data for clients seen in prison collected from July 2013.</w:t>
      </w:r>
    </w:p>
    <w:p w14:paraId="2DDEEF7E" w14:textId="77777777" w:rsidR="00410071" w:rsidRPr="00200234" w:rsidRDefault="00410071" w:rsidP="005561B0">
      <w:pPr>
        <w:pStyle w:val="Source"/>
      </w:pPr>
      <w:r w:rsidRPr="00200234">
        <w:t>Source: Data provided by OST services in six-monthly reports.</w:t>
      </w:r>
    </w:p>
    <w:p w14:paraId="5C968EE9" w14:textId="77777777" w:rsidR="00410071" w:rsidRPr="00200234" w:rsidRDefault="00410071" w:rsidP="005561B0"/>
    <w:p w14:paraId="16F56E31" w14:textId="77777777" w:rsidR="00410071" w:rsidRPr="00200234" w:rsidRDefault="00410071" w:rsidP="005561B0">
      <w:pPr>
        <w:pStyle w:val="Heading3"/>
      </w:pPr>
      <w:bookmarkStart w:id="494" w:name="_Toc65141654"/>
      <w:bookmarkStart w:id="495" w:name="_Toc87429938"/>
      <w:r w:rsidRPr="00200234">
        <w:t>Prescribing opioid treatments</w:t>
      </w:r>
      <w:bookmarkEnd w:id="494"/>
      <w:bookmarkEnd w:id="495"/>
    </w:p>
    <w:p w14:paraId="609116B4" w14:textId="77777777" w:rsidR="00410071" w:rsidRPr="00200234" w:rsidRDefault="00410071" w:rsidP="005561B0">
      <w:r w:rsidRPr="00200234">
        <w:t>Replacing addictive substances like opioids with prescribed drugs is called pharmacotherapy. The purpose of this treatment is to stabilise the opioid user</w:t>
      </w:r>
      <w:r w:rsidR="0039221C">
        <w:t>’</w:t>
      </w:r>
      <w:r w:rsidRPr="00200234">
        <w:t>s life and reduce harms related to drug use, such as the risk of overdose, blood-borne virus transmission and substance-related criminal activity.</w:t>
      </w:r>
    </w:p>
    <w:p w14:paraId="3920ED7A" w14:textId="77777777" w:rsidR="00410071" w:rsidRPr="00200234" w:rsidRDefault="00410071" w:rsidP="005561B0"/>
    <w:p w14:paraId="3F43455A" w14:textId="77777777" w:rsidR="00410071" w:rsidRPr="00200234" w:rsidRDefault="00410071" w:rsidP="005561B0">
      <w:r w:rsidRPr="00200234">
        <w:t>The two types of pharmacotherapy are:</w:t>
      </w:r>
    </w:p>
    <w:p w14:paraId="12C853FB" w14:textId="77777777" w:rsidR="00410071" w:rsidRPr="00200234" w:rsidRDefault="00410071" w:rsidP="005561B0">
      <w:pPr>
        <w:pStyle w:val="Number"/>
        <w:spacing w:before="90"/>
      </w:pPr>
      <w:r>
        <w:t>m</w:t>
      </w:r>
      <w:r w:rsidRPr="00200234">
        <w:t xml:space="preserve">aintenance therapy – using opioid substitutes </w:t>
      </w:r>
      <w:r>
        <w:t xml:space="preserve">to </w:t>
      </w:r>
      <w:r w:rsidRPr="00200234">
        <w:t>remain on a stable dose</w:t>
      </w:r>
    </w:p>
    <w:p w14:paraId="2A4A8632" w14:textId="77777777" w:rsidR="00410071" w:rsidRPr="00200234" w:rsidRDefault="00410071" w:rsidP="005561B0">
      <w:pPr>
        <w:pStyle w:val="Number"/>
        <w:spacing w:before="90"/>
      </w:pPr>
      <w:r>
        <w:t>d</w:t>
      </w:r>
      <w:r w:rsidRPr="00200234">
        <w:t xml:space="preserve">etox – using opioid substitutes </w:t>
      </w:r>
      <w:r>
        <w:t xml:space="preserve">to </w:t>
      </w:r>
      <w:r w:rsidRPr="00200234">
        <w:t xml:space="preserve">gradually withdraw from the substitute so the client </w:t>
      </w:r>
      <w:r>
        <w:t>can be</w:t>
      </w:r>
      <w:r w:rsidRPr="00200234">
        <w:t xml:space="preserve"> free of all opioid substances.</w:t>
      </w:r>
    </w:p>
    <w:p w14:paraId="080B06FB" w14:textId="77777777" w:rsidR="00410071" w:rsidRPr="00200234" w:rsidRDefault="00410071" w:rsidP="005561B0"/>
    <w:p w14:paraId="2A17845B" w14:textId="77777777" w:rsidR="00410071" w:rsidRPr="00200234" w:rsidRDefault="00410071" w:rsidP="005561B0">
      <w:r w:rsidRPr="00200234">
        <w:t xml:space="preserve">Methadone has historically been the main </w:t>
      </w:r>
      <w:r>
        <w:t>OST</w:t>
      </w:r>
      <w:r w:rsidRPr="00200234">
        <w:t xml:space="preserve"> available. Clients need a daily dose, which in turn makes it necessary to place limits on prescribing and dispensing.</w:t>
      </w:r>
    </w:p>
    <w:p w14:paraId="633D613C" w14:textId="77777777" w:rsidR="00410071" w:rsidRPr="00200234" w:rsidRDefault="00410071" w:rsidP="005561B0"/>
    <w:p w14:paraId="44C83441" w14:textId="7C117F2B" w:rsidR="0039221C" w:rsidRDefault="00410071" w:rsidP="005561B0">
      <w:r w:rsidRPr="00200234">
        <w:t xml:space="preserve">In 2012, </w:t>
      </w:r>
      <w:r>
        <w:t>the Pharmaceutical Management Agency (</w:t>
      </w:r>
      <w:r w:rsidRPr="00200234">
        <w:t>PHARMAC</w:t>
      </w:r>
      <w:r>
        <w:t>)</w:t>
      </w:r>
      <w:r w:rsidRPr="00200234">
        <w:t xml:space="preserve"> began funding a buprenorphine-naloxone (suboxone) combination. Suboxone can be administered in cumulative doses that last several days, which reduces the risk of drug diversion and offers clients more normality in their lives. </w:t>
      </w:r>
      <w:r w:rsidRPr="00200234">
        <w:fldChar w:fldCharType="begin"/>
      </w:r>
      <w:r w:rsidRPr="00200234">
        <w:instrText xml:space="preserve"> REF _Ref65672928 \h </w:instrText>
      </w:r>
      <w:r w:rsidRPr="00200234">
        <w:fldChar w:fldCharType="separate"/>
      </w:r>
      <w:r w:rsidR="00840F18">
        <w:t>Figure </w:t>
      </w:r>
      <w:r w:rsidR="00840F18">
        <w:rPr>
          <w:noProof/>
        </w:rPr>
        <w:t>44</w:t>
      </w:r>
      <w:r w:rsidRPr="00200234">
        <w:fldChar w:fldCharType="end"/>
      </w:r>
      <w:r w:rsidRPr="00200234">
        <w:t xml:space="preserve"> presents the number of people prescribed suboxone from 2008 to 20</w:t>
      </w:r>
      <w:r>
        <w:t>20.</w:t>
      </w:r>
      <w:r w:rsidRPr="00200234">
        <w:t xml:space="preserve"> In 20</w:t>
      </w:r>
      <w:r>
        <w:t>20</w:t>
      </w:r>
      <w:r w:rsidRPr="00200234">
        <w:t xml:space="preserve">, </w:t>
      </w:r>
      <w:r>
        <w:t>19.9</w:t>
      </w:r>
      <w:r w:rsidRPr="00200234">
        <w:t xml:space="preserve"> percent of clients were prescribed suboxone.</w:t>
      </w:r>
    </w:p>
    <w:p w14:paraId="4F898C4F" w14:textId="77777777" w:rsidR="00410071" w:rsidRDefault="00410071" w:rsidP="005561B0"/>
    <w:p w14:paraId="6AD8A5B6" w14:textId="7799AF72" w:rsidR="00410071" w:rsidRPr="00A345F0" w:rsidRDefault="00410071" w:rsidP="005561B0">
      <w:pPr>
        <w:pStyle w:val="Figure"/>
      </w:pPr>
      <w:bookmarkStart w:id="496" w:name="_Ref65672928"/>
      <w:bookmarkStart w:id="497" w:name="_Toc63764801"/>
      <w:bookmarkStart w:id="498" w:name="_Toc75176506"/>
      <w:bookmarkStart w:id="499" w:name="_Toc85442599"/>
      <w:bookmarkStart w:id="500" w:name="_Toc85445955"/>
      <w:bookmarkStart w:id="501" w:name="_Toc87429993"/>
      <w:bookmarkStart w:id="502" w:name="_Toc88561425"/>
      <w:r>
        <w:lastRenderedPageBreak/>
        <w:t>Figure</w:t>
      </w:r>
      <w:r w:rsidR="005561B0">
        <w:t> </w:t>
      </w:r>
      <w:r w:rsidR="00592799">
        <w:fldChar w:fldCharType="begin"/>
      </w:r>
      <w:r w:rsidR="00592799">
        <w:instrText xml:space="preserve"> SEQ Figure \* ARABIC </w:instrText>
      </w:r>
      <w:r w:rsidR="00592799">
        <w:fldChar w:fldCharType="separate"/>
      </w:r>
      <w:r w:rsidR="00840F18">
        <w:rPr>
          <w:noProof/>
        </w:rPr>
        <w:t>44</w:t>
      </w:r>
      <w:r w:rsidR="00592799">
        <w:rPr>
          <w:noProof/>
        </w:rPr>
        <w:fldChar w:fldCharType="end"/>
      </w:r>
      <w:bookmarkEnd w:id="496"/>
      <w:r w:rsidRPr="00200234">
        <w:t>: Number of people prescribed suboxone, 2008–20</w:t>
      </w:r>
      <w:bookmarkEnd w:id="497"/>
      <w:r>
        <w:t>20</w:t>
      </w:r>
      <w:bookmarkEnd w:id="498"/>
      <w:bookmarkEnd w:id="499"/>
      <w:bookmarkEnd w:id="500"/>
      <w:bookmarkEnd w:id="501"/>
      <w:bookmarkEnd w:id="502"/>
    </w:p>
    <w:p w14:paraId="145A305B" w14:textId="77777777" w:rsidR="00410071" w:rsidRPr="00200234" w:rsidRDefault="00410071" w:rsidP="00410071">
      <w:pPr>
        <w:keepNext/>
        <w:rPr>
          <w:rFonts w:cs="Segoe UI"/>
        </w:rPr>
      </w:pPr>
      <w:r>
        <w:rPr>
          <w:noProof/>
          <w:lang w:eastAsia="en-NZ"/>
        </w:rPr>
        <w:drawing>
          <wp:inline distT="0" distB="0" distL="0" distR="0" wp14:anchorId="36FC7A43" wp14:editId="36F6C8FB">
            <wp:extent cx="5133975" cy="2743200"/>
            <wp:effectExtent l="0" t="0" r="0" b="0"/>
            <wp:docPr id="44" name="Chart 44" descr="This line graph shows that the number of people prescribed suboxone has increased from near zero in 2008 to just around 1,100 in 2020.">
              <a:extLst xmlns:a="http://schemas.openxmlformats.org/drawingml/2006/main">
                <a:ext uri="{FF2B5EF4-FFF2-40B4-BE49-F238E27FC236}">
                  <a16:creationId xmlns:a16="http://schemas.microsoft.com/office/drawing/2014/main" id="{F9DF0A9F-E539-4654-98B3-50D3ED099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2FDC2A3" w14:textId="77777777" w:rsidR="00410071" w:rsidRDefault="00410071" w:rsidP="005561B0">
      <w:pPr>
        <w:pStyle w:val="Source"/>
      </w:pPr>
      <w:r w:rsidRPr="00200234">
        <w:t>Source: Data provided by OST services in July to December six-monthly reports.</w:t>
      </w:r>
    </w:p>
    <w:p w14:paraId="3C20CE2B" w14:textId="77777777" w:rsidR="00410071" w:rsidRPr="00993F35" w:rsidRDefault="00410071" w:rsidP="005561B0"/>
    <w:p w14:paraId="51921120" w14:textId="77777777" w:rsidR="00410071" w:rsidRPr="00200234" w:rsidRDefault="00410071" w:rsidP="005561B0">
      <w:pPr>
        <w:pStyle w:val="Heading3"/>
      </w:pPr>
      <w:bookmarkStart w:id="503" w:name="_Toc65141655"/>
      <w:bookmarkStart w:id="504" w:name="_Toc87429939"/>
      <w:r w:rsidRPr="00200234">
        <w:t xml:space="preserve">The ageing population of </w:t>
      </w:r>
      <w:r>
        <w:t>opioid substitution treatment</w:t>
      </w:r>
      <w:r w:rsidRPr="00200234">
        <w:t xml:space="preserve"> clients</w:t>
      </w:r>
      <w:bookmarkEnd w:id="503"/>
      <w:bookmarkEnd w:id="504"/>
    </w:p>
    <w:p w14:paraId="6BA7D9BB" w14:textId="37C61A2A" w:rsidR="00410071" w:rsidRPr="00200234" w:rsidRDefault="00410071" w:rsidP="005561B0">
      <w:r w:rsidRPr="00200234">
        <w:t>OST clients are an ageing population</w:t>
      </w:r>
      <w:r>
        <w:t>.</w:t>
      </w:r>
      <w:r w:rsidRPr="00200234">
        <w:t xml:space="preserve"> </w:t>
      </w:r>
      <w:r w:rsidRPr="00200234">
        <w:fldChar w:fldCharType="begin"/>
      </w:r>
      <w:r w:rsidRPr="00200234">
        <w:instrText xml:space="preserve"> REF _Ref65672935 \h </w:instrText>
      </w:r>
      <w:r w:rsidRPr="00200234">
        <w:fldChar w:fldCharType="separate"/>
      </w:r>
      <w:r w:rsidR="00840F18">
        <w:t>Figure </w:t>
      </w:r>
      <w:r w:rsidR="00840F18">
        <w:rPr>
          <w:noProof/>
        </w:rPr>
        <w:t>45</w:t>
      </w:r>
      <w:r w:rsidRPr="00200234">
        <w:fldChar w:fldCharType="end"/>
      </w:r>
      <w:r w:rsidRPr="00200234">
        <w:t xml:space="preserve"> shows how clients in older groups have been increasing in number from 2008 to 20</w:t>
      </w:r>
      <w:r>
        <w:t>20</w:t>
      </w:r>
      <w:r w:rsidRPr="00200234">
        <w:t xml:space="preserve"> to the point that those over 45 years of age are now the most likely </w:t>
      </w:r>
      <w:r>
        <w:t xml:space="preserve">age group </w:t>
      </w:r>
      <w:r w:rsidRPr="00200234">
        <w:t xml:space="preserve">to be receiving </w:t>
      </w:r>
      <w:r>
        <w:t>OST</w:t>
      </w:r>
      <w:r w:rsidRPr="00200234">
        <w:t>. In 20</w:t>
      </w:r>
      <w:r>
        <w:t>20</w:t>
      </w:r>
      <w:r w:rsidRPr="00200234">
        <w:t xml:space="preserve">, </w:t>
      </w:r>
      <w:r>
        <w:t xml:space="preserve">the majority </w:t>
      </w:r>
      <w:r w:rsidRPr="00200234">
        <w:t xml:space="preserve">of clients </w:t>
      </w:r>
      <w:r>
        <w:t>(65.3</w:t>
      </w:r>
      <w:r w:rsidRPr="00200234">
        <w:t xml:space="preserve"> percent</w:t>
      </w:r>
      <w:r>
        <w:t>)</w:t>
      </w:r>
      <w:r w:rsidRPr="00200234">
        <w:t xml:space="preserve"> were over 45 years old</w:t>
      </w:r>
      <w:r>
        <w:t xml:space="preserve">. </w:t>
      </w:r>
      <w:r w:rsidRPr="00200234">
        <w:t>Treating an ageing population brings with it more health complications.</w:t>
      </w:r>
    </w:p>
    <w:p w14:paraId="2158C45C" w14:textId="77777777" w:rsidR="00410071" w:rsidRPr="00200234" w:rsidRDefault="00410071" w:rsidP="005561B0"/>
    <w:p w14:paraId="6571C6C6" w14:textId="44A08910" w:rsidR="00410071" w:rsidRPr="00200234" w:rsidRDefault="00410071" w:rsidP="005561B0">
      <w:pPr>
        <w:pStyle w:val="Figure"/>
      </w:pPr>
      <w:bookmarkStart w:id="505" w:name="_Ref65672935"/>
      <w:bookmarkStart w:id="506" w:name="_Toc63764802"/>
      <w:bookmarkStart w:id="507" w:name="_Toc75176507"/>
      <w:bookmarkStart w:id="508" w:name="_Toc85442600"/>
      <w:bookmarkStart w:id="509" w:name="_Toc85445956"/>
      <w:bookmarkStart w:id="510" w:name="_Toc87429994"/>
      <w:bookmarkStart w:id="511" w:name="_Toc88561426"/>
      <w:r>
        <w:t>Figure</w:t>
      </w:r>
      <w:r w:rsidR="005561B0">
        <w:t> </w:t>
      </w:r>
      <w:r w:rsidR="00592799">
        <w:fldChar w:fldCharType="begin"/>
      </w:r>
      <w:r w:rsidR="00592799">
        <w:instrText xml:space="preserve"> SEQ Figure \* ARABIC </w:instrText>
      </w:r>
      <w:r w:rsidR="00592799">
        <w:fldChar w:fldCharType="separate"/>
      </w:r>
      <w:r w:rsidR="00840F18">
        <w:rPr>
          <w:noProof/>
        </w:rPr>
        <w:t>45</w:t>
      </w:r>
      <w:r w:rsidR="00592799">
        <w:rPr>
          <w:noProof/>
        </w:rPr>
        <w:fldChar w:fldCharType="end"/>
      </w:r>
      <w:bookmarkEnd w:id="505"/>
      <w:r w:rsidRPr="00200234">
        <w:t>: Number of opioid substitution treatment clients, by age</w:t>
      </w:r>
      <w:r>
        <w:t xml:space="preserve"> </w:t>
      </w:r>
      <w:r w:rsidRPr="00200234">
        <w:t>group, 2008–20</w:t>
      </w:r>
      <w:bookmarkEnd w:id="506"/>
      <w:r>
        <w:t>20</w:t>
      </w:r>
      <w:bookmarkEnd w:id="507"/>
      <w:bookmarkEnd w:id="508"/>
      <w:bookmarkEnd w:id="509"/>
      <w:bookmarkEnd w:id="510"/>
      <w:bookmarkEnd w:id="511"/>
    </w:p>
    <w:p w14:paraId="58E39376" w14:textId="77777777" w:rsidR="00410071" w:rsidRDefault="00410071" w:rsidP="005561B0">
      <w:r>
        <w:rPr>
          <w:noProof/>
          <w:lang w:eastAsia="en-NZ"/>
        </w:rPr>
        <w:drawing>
          <wp:inline distT="0" distB="0" distL="0" distR="0" wp14:anchorId="6EA1AA5E" wp14:editId="4B7F1BEB">
            <wp:extent cx="5170516" cy="2809702"/>
            <wp:effectExtent l="0" t="0" r="0" b="0"/>
            <wp:docPr id="45" name="Chart 45" descr="This line graph shows that in 2008 there were about 2500 clients aged 30-44, decreasing to about 1600 in 2020. The number of clients aged 45-59 has increased from about 1600 in 2008 to just around 2800 in 2020. The number of clients aged 19-29 has gradually decreased from around 400 in 2008 to 300 in 2020. The number of clients over 60 has increased from near zero in 2008 to about 800 in 2019.">
              <a:extLst xmlns:a="http://schemas.openxmlformats.org/drawingml/2006/main">
                <a:ext uri="{FF2B5EF4-FFF2-40B4-BE49-F238E27FC236}">
                  <a16:creationId xmlns:a16="http://schemas.microsoft.com/office/drawing/2014/main" id="{E4AA276D-9069-41F6-A752-7AF88E9A6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D9D0789" w14:textId="77777777" w:rsidR="00410071" w:rsidRDefault="00410071" w:rsidP="005561B0">
      <w:pPr>
        <w:pStyle w:val="Source"/>
      </w:pPr>
      <w:r w:rsidRPr="00200234">
        <w:t>Source: Data provided by OST services in July to December six-monthly reports.</w:t>
      </w:r>
    </w:p>
    <w:p w14:paraId="7C36DB4C" w14:textId="77777777" w:rsidR="00410071" w:rsidRDefault="00410071" w:rsidP="005561B0"/>
    <w:p w14:paraId="5F87EC37" w14:textId="77777777" w:rsidR="00410071" w:rsidRPr="00200234" w:rsidRDefault="00410071" w:rsidP="005561B0">
      <w:pPr>
        <w:pStyle w:val="Heading3"/>
      </w:pPr>
      <w:bookmarkStart w:id="512" w:name="_Toc65141656"/>
      <w:bookmarkStart w:id="513" w:name="_Toc87429940"/>
      <w:r w:rsidRPr="00200234">
        <w:lastRenderedPageBreak/>
        <w:t>Exit from</w:t>
      </w:r>
      <w:bookmarkEnd w:id="512"/>
      <w:r>
        <w:t xml:space="preserve"> opioid substitution treatment</w:t>
      </w:r>
      <w:bookmarkEnd w:id="513"/>
    </w:p>
    <w:p w14:paraId="7C7DF2B0" w14:textId="77777777" w:rsidR="00410071" w:rsidRPr="00200234" w:rsidRDefault="00410071" w:rsidP="005561B0">
      <w:r w:rsidRPr="009A4134">
        <w:t>In summary, i</w:t>
      </w:r>
      <w:r w:rsidRPr="00200234">
        <w:t>n 20</w:t>
      </w:r>
      <w:r>
        <w:t>20</w:t>
      </w:r>
      <w:r w:rsidRPr="00200234">
        <w:t>:</w:t>
      </w:r>
    </w:p>
    <w:p w14:paraId="06D43BAF" w14:textId="77777777" w:rsidR="00410071" w:rsidRPr="00ED4FA1" w:rsidRDefault="00410071" w:rsidP="005561B0">
      <w:pPr>
        <w:pStyle w:val="Bullet"/>
      </w:pPr>
      <w:r>
        <w:t>287</w:t>
      </w:r>
      <w:r w:rsidRPr="00ED4FA1">
        <w:t xml:space="preserve"> people voluntarily withdrew from OST, which accounted for</w:t>
      </w:r>
      <w:r>
        <w:t xml:space="preserve"> 80</w:t>
      </w:r>
      <w:r w:rsidRPr="00ED4FA1">
        <w:t xml:space="preserve"> percent of all people who exited from OST that year</w:t>
      </w:r>
      <w:r>
        <w:t>. There was a total of 11</w:t>
      </w:r>
      <w:r w:rsidRPr="00ED4FA1">
        <w:t xml:space="preserve"> involuntary withdrawals (</w:t>
      </w:r>
      <w:r>
        <w:t>3</w:t>
      </w:r>
      <w:r w:rsidRPr="00ED4FA1">
        <w:t xml:space="preserve"> percent of all withdrawals).</w:t>
      </w:r>
      <w:r>
        <w:t xml:space="preserve"> </w:t>
      </w:r>
      <w:r w:rsidRPr="00ED4FA1">
        <w:t>Involuntary withdrawals are the result of behavioural risks that jeopardise the safety of the client or others.</w:t>
      </w:r>
    </w:p>
    <w:p w14:paraId="170251DD" w14:textId="77777777" w:rsidR="00410071" w:rsidRPr="00ED4FA1" w:rsidRDefault="00410071" w:rsidP="005561B0">
      <w:pPr>
        <w:pStyle w:val="Bullet"/>
      </w:pPr>
      <w:r>
        <w:t>61</w:t>
      </w:r>
      <w:r w:rsidRPr="00ED4FA1">
        <w:t xml:space="preserve"> people </w:t>
      </w:r>
      <w:r>
        <w:t xml:space="preserve">who had been </w:t>
      </w:r>
      <w:r w:rsidRPr="00ED4FA1">
        <w:t xml:space="preserve">receiving OST died. A small proportion of these people died of a suspected overdose. When a client dies of a suspected overdose, the Ministry requires services to conduct an incident review and report it to the medical officer of health. The remaining deaths </w:t>
      </w:r>
      <w:r>
        <w:t>were the result of</w:t>
      </w:r>
      <w:r w:rsidRPr="00ED4FA1">
        <w:t xml:space="preserve"> a range of other causes, such as cancer and cardiovascular disease.</w:t>
      </w:r>
    </w:p>
    <w:p w14:paraId="4F0B41FB" w14:textId="77777777" w:rsidR="00410071" w:rsidRDefault="00410071" w:rsidP="005561B0"/>
    <w:p w14:paraId="7DEF2AF2" w14:textId="65635F87" w:rsidR="00410071" w:rsidRPr="00ED4FA1" w:rsidRDefault="00410071" w:rsidP="00410071">
      <w:r w:rsidRPr="00ED4FA1">
        <w:fldChar w:fldCharType="begin"/>
      </w:r>
      <w:r w:rsidRPr="00ED4FA1">
        <w:instrText xml:space="preserve"> REF _Ref65672943 \h </w:instrText>
      </w:r>
      <w:r>
        <w:instrText xml:space="preserve"> \* MERGEFORMAT </w:instrText>
      </w:r>
      <w:r w:rsidRPr="00ED4FA1">
        <w:fldChar w:fldCharType="separate"/>
      </w:r>
      <w:r w:rsidR="00840F18">
        <w:t>Figure 46</w:t>
      </w:r>
      <w:r w:rsidRPr="00ED4FA1">
        <w:fldChar w:fldCharType="end"/>
      </w:r>
      <w:r w:rsidRPr="00ED4FA1">
        <w:t xml:space="preserve"> gives an overview of the reasons for withdrawal (voluntary, involuntary or death) over time, from 2008 to 20</w:t>
      </w:r>
      <w:r>
        <w:t>20</w:t>
      </w:r>
      <w:r w:rsidRPr="00ED4FA1">
        <w:t>.</w:t>
      </w:r>
    </w:p>
    <w:p w14:paraId="5B4F9447" w14:textId="77777777" w:rsidR="00410071" w:rsidRPr="00200234" w:rsidRDefault="00410071" w:rsidP="005561B0"/>
    <w:p w14:paraId="16F84621" w14:textId="5D487E43" w:rsidR="00410071" w:rsidRPr="00200234" w:rsidRDefault="00410071" w:rsidP="005561B0">
      <w:pPr>
        <w:pStyle w:val="Figure"/>
      </w:pPr>
      <w:bookmarkStart w:id="514" w:name="_Ref65672943"/>
      <w:bookmarkStart w:id="515" w:name="_Toc63764803"/>
      <w:bookmarkStart w:id="516" w:name="_Toc75176508"/>
      <w:bookmarkStart w:id="517" w:name="_Toc85442601"/>
      <w:bookmarkStart w:id="518" w:name="_Toc85445957"/>
      <w:bookmarkStart w:id="519" w:name="_Toc87429995"/>
      <w:bookmarkStart w:id="520" w:name="_Toc88561427"/>
      <w:r>
        <w:t>Figure</w:t>
      </w:r>
      <w:r w:rsidR="005561B0">
        <w:t> </w:t>
      </w:r>
      <w:r w:rsidR="00592799">
        <w:fldChar w:fldCharType="begin"/>
      </w:r>
      <w:r w:rsidR="00592799">
        <w:instrText xml:space="preserve"> SEQ Figure \* ARABIC </w:instrText>
      </w:r>
      <w:r w:rsidR="00592799">
        <w:fldChar w:fldCharType="separate"/>
      </w:r>
      <w:r w:rsidR="00840F18">
        <w:rPr>
          <w:noProof/>
        </w:rPr>
        <w:t>46</w:t>
      </w:r>
      <w:r w:rsidR="00592799">
        <w:rPr>
          <w:noProof/>
        </w:rPr>
        <w:fldChar w:fldCharType="end"/>
      </w:r>
      <w:bookmarkEnd w:id="514"/>
      <w:r w:rsidRPr="00200234">
        <w:t xml:space="preserve">: Percentage of withdrawals from </w:t>
      </w:r>
      <w:r>
        <w:t>opioid substitution treatment</w:t>
      </w:r>
      <w:r w:rsidRPr="00200234">
        <w:t xml:space="preserve"> programmes, by reason (voluntary, involuntary or death), 2008–20</w:t>
      </w:r>
      <w:bookmarkEnd w:id="515"/>
      <w:r>
        <w:t>20</w:t>
      </w:r>
      <w:bookmarkEnd w:id="516"/>
      <w:bookmarkEnd w:id="517"/>
      <w:bookmarkEnd w:id="518"/>
      <w:bookmarkEnd w:id="519"/>
      <w:bookmarkEnd w:id="520"/>
    </w:p>
    <w:p w14:paraId="4DA72DC3" w14:textId="77777777" w:rsidR="00410071" w:rsidRPr="00200234" w:rsidRDefault="00410071" w:rsidP="005561B0">
      <w:r>
        <w:rPr>
          <w:noProof/>
          <w:lang w:eastAsia="en-NZ"/>
        </w:rPr>
        <w:drawing>
          <wp:inline distT="0" distB="0" distL="0" distR="0" wp14:anchorId="0255F81B" wp14:editId="5BE387A2">
            <wp:extent cx="5261956" cy="3807230"/>
            <wp:effectExtent l="0" t="0" r="0" b="3175"/>
            <wp:docPr id="46" name="Chart 46" descr="This bar graph shows most people withdraw voluntarily. This has varied over the years from 69% in 2009 to 86% in 2015 and down to 80% in 2020. Apart from years 2010-2012, client deaths have been the next largest group. Between 2010 and 2012 involuntary withdrawals were the next largest group, at around 20%. After 2012, the number of involuntary withdrawals was never higher than 7% and client deaths never accounted for more than 15% of the total, with the exception of 2016 and 2020 when they were at 17%.">
              <a:extLst xmlns:a="http://schemas.openxmlformats.org/drawingml/2006/main">
                <a:ext uri="{FF2B5EF4-FFF2-40B4-BE49-F238E27FC236}">
                  <a16:creationId xmlns:a16="http://schemas.microsoft.com/office/drawing/2014/main" id="{00000000-0008-0000-0C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21938083" w14:textId="77777777" w:rsidR="00410071" w:rsidRPr="00200234" w:rsidRDefault="00410071" w:rsidP="005561B0">
      <w:pPr>
        <w:pStyle w:val="Source"/>
        <w:rPr>
          <w:rFonts w:cs="Segoe UI"/>
        </w:rPr>
      </w:pPr>
      <w:r w:rsidRPr="00200234">
        <w:t>Source: Data provided by OST services in six-monthly reports</w:t>
      </w:r>
      <w:r>
        <w:t>.</w:t>
      </w:r>
    </w:p>
    <w:p w14:paraId="32B5DFEE" w14:textId="77777777" w:rsidR="00410071" w:rsidRPr="00200234" w:rsidRDefault="00410071" w:rsidP="005561B0"/>
    <w:p w14:paraId="065C8C19" w14:textId="77777777" w:rsidR="00410071" w:rsidRPr="00200234" w:rsidRDefault="00410071" w:rsidP="00410071">
      <w:pPr>
        <w:pStyle w:val="Heading1"/>
      </w:pPr>
      <w:bookmarkStart w:id="521" w:name="_Toc65141657"/>
      <w:bookmarkStart w:id="522" w:name="_Toc75176468"/>
      <w:bookmarkStart w:id="523" w:name="_Toc87429941"/>
      <w:bookmarkStart w:id="524" w:name="_Ref88547600"/>
      <w:bookmarkStart w:id="525" w:name="_Toc88826985"/>
      <w:r w:rsidRPr="00200234">
        <w:lastRenderedPageBreak/>
        <w:t>Appendix: Additional</w:t>
      </w:r>
      <w:r w:rsidR="005561B0">
        <w:t> </w:t>
      </w:r>
      <w:r>
        <w:t>s</w:t>
      </w:r>
      <w:r w:rsidRPr="00200234">
        <w:t>tatistics</w:t>
      </w:r>
      <w:bookmarkEnd w:id="521"/>
      <w:bookmarkEnd w:id="522"/>
      <w:bookmarkEnd w:id="523"/>
      <w:bookmarkEnd w:id="524"/>
      <w:bookmarkEnd w:id="525"/>
    </w:p>
    <w:p w14:paraId="27775E5F" w14:textId="77777777" w:rsidR="00410071" w:rsidRPr="00200234" w:rsidRDefault="00410071" w:rsidP="005561B0">
      <w:pPr>
        <w:pStyle w:val="Heading2"/>
      </w:pPr>
      <w:bookmarkStart w:id="526" w:name="_Toc65141658"/>
      <w:bookmarkStart w:id="527" w:name="_Toc75176469"/>
      <w:bookmarkStart w:id="528" w:name="_Toc87429942"/>
      <w:bookmarkStart w:id="529" w:name="_Toc88826986"/>
      <w:r w:rsidRPr="00200234">
        <w:t>Ministry of Justice</w:t>
      </w:r>
      <w:bookmarkEnd w:id="526"/>
      <w:bookmarkEnd w:id="527"/>
      <w:bookmarkEnd w:id="528"/>
      <w:bookmarkEnd w:id="529"/>
    </w:p>
    <w:p w14:paraId="296C1A56" w14:textId="77777777" w:rsidR="00410071" w:rsidRPr="00200234" w:rsidRDefault="00410071" w:rsidP="005561B0">
      <w:r w:rsidRPr="00200234">
        <w:t>Table A1 presents data on applications for a compulsory treatment order from 2004 to 20</w:t>
      </w:r>
      <w:r>
        <w:t>20</w:t>
      </w:r>
      <w:r w:rsidRPr="00200234">
        <w:t>. Table A2 shows the types of orders granted over the same period.</w:t>
      </w:r>
    </w:p>
    <w:p w14:paraId="333B1515" w14:textId="77777777" w:rsidR="00410071" w:rsidRPr="00200234" w:rsidRDefault="00410071" w:rsidP="001509BE"/>
    <w:p w14:paraId="7CA4972C" w14:textId="113125AA" w:rsidR="00410071" w:rsidRPr="00200234" w:rsidRDefault="00410071" w:rsidP="005561B0">
      <w:pPr>
        <w:pStyle w:val="Table"/>
      </w:pPr>
      <w:bookmarkStart w:id="530" w:name="_Toc63764687"/>
      <w:bookmarkStart w:id="531" w:name="_Toc75176540"/>
      <w:bookmarkStart w:id="532" w:name="_Toc87430019"/>
      <w:bookmarkStart w:id="533" w:name="_Toc88561376"/>
      <w:r w:rsidRPr="00200234">
        <w:t>Table A</w:t>
      </w:r>
      <w:r w:rsidR="00592799">
        <w:fldChar w:fldCharType="begin"/>
      </w:r>
      <w:r w:rsidR="00592799">
        <w:instrText xml:space="preserve"> SEQ Table_A \* ARABIC </w:instrText>
      </w:r>
      <w:r w:rsidR="00592799">
        <w:fldChar w:fldCharType="separate"/>
      </w:r>
      <w:r w:rsidR="00840F18">
        <w:rPr>
          <w:noProof/>
        </w:rPr>
        <w:t>1</w:t>
      </w:r>
      <w:r w:rsidR="00592799">
        <w:rPr>
          <w:noProof/>
        </w:rPr>
        <w:fldChar w:fldCharType="end"/>
      </w:r>
      <w:r w:rsidRPr="00200234">
        <w:t>: Applications for compulsory treatment orders or extensions, 2004–20</w:t>
      </w:r>
      <w:bookmarkEnd w:id="530"/>
      <w:r>
        <w:t>20</w:t>
      </w:r>
      <w:bookmarkEnd w:id="531"/>
      <w:bookmarkEnd w:id="532"/>
      <w:bookmarkEnd w:id="533"/>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720"/>
        <w:gridCol w:w="1495"/>
        <w:gridCol w:w="1495"/>
        <w:gridCol w:w="1495"/>
        <w:gridCol w:w="1495"/>
        <w:gridCol w:w="1380"/>
      </w:tblGrid>
      <w:tr w:rsidR="00410071" w:rsidRPr="001509BE" w14:paraId="0A2B229A" w14:textId="77777777" w:rsidTr="001509BE">
        <w:trPr>
          <w:cantSplit/>
        </w:trPr>
        <w:tc>
          <w:tcPr>
            <w:tcW w:w="446" w:type="pct"/>
            <w:tcBorders>
              <w:top w:val="nil"/>
              <w:bottom w:val="nil"/>
            </w:tcBorders>
            <w:shd w:val="clear" w:color="auto" w:fill="D9D9D9" w:themeFill="background1" w:themeFillShade="D9"/>
          </w:tcPr>
          <w:p w14:paraId="51487D4D" w14:textId="77777777" w:rsidR="00410071" w:rsidRPr="001509BE" w:rsidRDefault="00410071" w:rsidP="001509BE">
            <w:pPr>
              <w:pStyle w:val="TableText"/>
              <w:rPr>
                <w:b/>
              </w:rPr>
            </w:pPr>
            <w:r w:rsidRPr="001509BE">
              <w:rPr>
                <w:b/>
              </w:rPr>
              <w:t>Year</w:t>
            </w:r>
          </w:p>
        </w:tc>
        <w:tc>
          <w:tcPr>
            <w:tcW w:w="925" w:type="pct"/>
            <w:tcBorders>
              <w:top w:val="nil"/>
              <w:bottom w:val="nil"/>
            </w:tcBorders>
            <w:shd w:val="clear" w:color="auto" w:fill="D9D9D9" w:themeFill="background1" w:themeFillShade="D9"/>
          </w:tcPr>
          <w:p w14:paraId="64FBD8CC" w14:textId="77777777" w:rsidR="00410071" w:rsidRPr="001509BE" w:rsidRDefault="00410071" w:rsidP="001509BE">
            <w:pPr>
              <w:pStyle w:val="TableText"/>
              <w:jc w:val="center"/>
              <w:rPr>
                <w:b/>
              </w:rPr>
            </w:pPr>
            <w:r w:rsidRPr="001509BE">
              <w:rPr>
                <w:b/>
              </w:rPr>
              <w:t>Number of applications for a CTO, or extension to a CTO</w:t>
            </w:r>
          </w:p>
        </w:tc>
        <w:tc>
          <w:tcPr>
            <w:tcW w:w="925" w:type="pct"/>
            <w:tcBorders>
              <w:top w:val="nil"/>
              <w:bottom w:val="nil"/>
            </w:tcBorders>
            <w:shd w:val="clear" w:color="auto" w:fill="D9D9D9" w:themeFill="background1" w:themeFillShade="D9"/>
          </w:tcPr>
          <w:p w14:paraId="2CB9048B" w14:textId="77777777" w:rsidR="00410071" w:rsidRPr="001509BE" w:rsidRDefault="00410071" w:rsidP="001509BE">
            <w:pPr>
              <w:pStyle w:val="TableText"/>
              <w:jc w:val="center"/>
              <w:rPr>
                <w:b/>
              </w:rPr>
            </w:pPr>
            <w:r w:rsidRPr="001509BE">
              <w:rPr>
                <w:b/>
              </w:rPr>
              <w:t>Number of applications granted or granted with consent</w:t>
            </w:r>
          </w:p>
        </w:tc>
        <w:tc>
          <w:tcPr>
            <w:tcW w:w="925" w:type="pct"/>
            <w:tcBorders>
              <w:top w:val="nil"/>
              <w:bottom w:val="nil"/>
            </w:tcBorders>
            <w:shd w:val="clear" w:color="auto" w:fill="D9D9D9" w:themeFill="background1" w:themeFillShade="D9"/>
          </w:tcPr>
          <w:p w14:paraId="50F01AB1" w14:textId="77777777" w:rsidR="00410071" w:rsidRPr="001509BE" w:rsidRDefault="00410071" w:rsidP="001509BE">
            <w:pPr>
              <w:pStyle w:val="TableText"/>
              <w:jc w:val="center"/>
              <w:rPr>
                <w:b/>
              </w:rPr>
            </w:pPr>
            <w:r w:rsidRPr="001509BE">
              <w:rPr>
                <w:b/>
              </w:rPr>
              <w:t>Number of applications dismissed or struck out</w:t>
            </w:r>
          </w:p>
        </w:tc>
        <w:tc>
          <w:tcPr>
            <w:tcW w:w="925" w:type="pct"/>
            <w:tcBorders>
              <w:top w:val="nil"/>
              <w:bottom w:val="nil"/>
            </w:tcBorders>
            <w:shd w:val="clear" w:color="auto" w:fill="D9D9D9" w:themeFill="background1" w:themeFillShade="D9"/>
          </w:tcPr>
          <w:p w14:paraId="263CDC1B" w14:textId="77777777" w:rsidR="00410071" w:rsidRPr="001509BE" w:rsidRDefault="00410071" w:rsidP="001509BE">
            <w:pPr>
              <w:pStyle w:val="TableText"/>
              <w:jc w:val="center"/>
              <w:rPr>
                <w:b/>
              </w:rPr>
            </w:pPr>
            <w:r w:rsidRPr="001509BE">
              <w:rPr>
                <w:b/>
              </w:rPr>
              <w:t>Number of applications withdrawn, lapsed or discontinued</w:t>
            </w:r>
          </w:p>
        </w:tc>
        <w:tc>
          <w:tcPr>
            <w:tcW w:w="854" w:type="pct"/>
            <w:tcBorders>
              <w:top w:val="nil"/>
              <w:bottom w:val="nil"/>
            </w:tcBorders>
            <w:shd w:val="clear" w:color="auto" w:fill="D9D9D9" w:themeFill="background1" w:themeFillShade="D9"/>
          </w:tcPr>
          <w:p w14:paraId="07D4CF8E" w14:textId="77777777" w:rsidR="00410071" w:rsidRPr="001509BE" w:rsidRDefault="00410071" w:rsidP="001509BE">
            <w:pPr>
              <w:pStyle w:val="TableText"/>
              <w:jc w:val="center"/>
              <w:rPr>
                <w:b/>
              </w:rPr>
            </w:pPr>
            <w:r w:rsidRPr="001509BE">
              <w:rPr>
                <w:b/>
              </w:rPr>
              <w:t>Number of applications transferred to the High Court</w:t>
            </w:r>
          </w:p>
        </w:tc>
      </w:tr>
      <w:tr w:rsidR="00410071" w:rsidRPr="00BA51FF" w14:paraId="419FDBB0" w14:textId="77777777" w:rsidTr="001509BE">
        <w:trPr>
          <w:cantSplit/>
        </w:trPr>
        <w:tc>
          <w:tcPr>
            <w:tcW w:w="446" w:type="pct"/>
            <w:tcBorders>
              <w:top w:val="nil"/>
            </w:tcBorders>
          </w:tcPr>
          <w:p w14:paraId="33DB2146" w14:textId="77777777" w:rsidR="00410071" w:rsidRPr="00BA51FF" w:rsidRDefault="00410071" w:rsidP="001509BE">
            <w:pPr>
              <w:pStyle w:val="TableText"/>
            </w:pPr>
            <w:r w:rsidRPr="00BA51FF">
              <w:rPr>
                <w:w w:val="105"/>
              </w:rPr>
              <w:t>2004</w:t>
            </w:r>
          </w:p>
        </w:tc>
        <w:tc>
          <w:tcPr>
            <w:tcW w:w="925" w:type="pct"/>
            <w:tcBorders>
              <w:top w:val="nil"/>
            </w:tcBorders>
          </w:tcPr>
          <w:p w14:paraId="78983E29" w14:textId="77777777" w:rsidR="00410071" w:rsidRPr="00BA51FF" w:rsidRDefault="00410071" w:rsidP="001509BE">
            <w:pPr>
              <w:pStyle w:val="TableText"/>
              <w:jc w:val="center"/>
            </w:pPr>
            <w:r w:rsidRPr="00BA51FF">
              <w:t>4,443</w:t>
            </w:r>
          </w:p>
        </w:tc>
        <w:tc>
          <w:tcPr>
            <w:tcW w:w="925" w:type="pct"/>
            <w:tcBorders>
              <w:top w:val="nil"/>
            </w:tcBorders>
          </w:tcPr>
          <w:p w14:paraId="0395B2E5" w14:textId="77777777" w:rsidR="00410071" w:rsidRPr="00BA51FF" w:rsidRDefault="00410071" w:rsidP="001509BE">
            <w:pPr>
              <w:pStyle w:val="TableText"/>
              <w:jc w:val="center"/>
            </w:pPr>
            <w:r w:rsidRPr="00BA51FF">
              <w:t>3,863</w:t>
            </w:r>
          </w:p>
        </w:tc>
        <w:tc>
          <w:tcPr>
            <w:tcW w:w="925" w:type="pct"/>
            <w:tcBorders>
              <w:top w:val="nil"/>
            </w:tcBorders>
          </w:tcPr>
          <w:p w14:paraId="20FCA262" w14:textId="77777777" w:rsidR="00410071" w:rsidRPr="00BA51FF" w:rsidRDefault="00410071" w:rsidP="001509BE">
            <w:pPr>
              <w:pStyle w:val="TableText"/>
              <w:tabs>
                <w:tab w:val="decimal" w:pos="788"/>
              </w:tabs>
            </w:pPr>
            <w:r w:rsidRPr="00BA51FF">
              <w:t>100</w:t>
            </w:r>
          </w:p>
        </w:tc>
        <w:tc>
          <w:tcPr>
            <w:tcW w:w="925" w:type="pct"/>
            <w:tcBorders>
              <w:top w:val="nil"/>
            </w:tcBorders>
          </w:tcPr>
          <w:p w14:paraId="16EE3D01" w14:textId="77777777" w:rsidR="00410071" w:rsidRPr="00BA51FF" w:rsidRDefault="00410071" w:rsidP="001509BE">
            <w:pPr>
              <w:pStyle w:val="TableText"/>
              <w:jc w:val="center"/>
            </w:pPr>
            <w:r w:rsidRPr="00BA51FF">
              <w:t>460</w:t>
            </w:r>
          </w:p>
        </w:tc>
        <w:tc>
          <w:tcPr>
            <w:tcW w:w="854" w:type="pct"/>
            <w:tcBorders>
              <w:top w:val="nil"/>
            </w:tcBorders>
          </w:tcPr>
          <w:p w14:paraId="4CA71A11" w14:textId="77777777" w:rsidR="00410071" w:rsidRPr="00BA51FF" w:rsidRDefault="00410071" w:rsidP="001509BE">
            <w:pPr>
              <w:pStyle w:val="TableText"/>
              <w:jc w:val="center"/>
            </w:pPr>
            <w:r w:rsidRPr="00BA51FF">
              <w:rPr>
                <w:w w:val="102"/>
              </w:rPr>
              <w:t>0</w:t>
            </w:r>
          </w:p>
        </w:tc>
      </w:tr>
      <w:tr w:rsidR="00410071" w:rsidRPr="00BA51FF" w14:paraId="13B63AF8" w14:textId="77777777" w:rsidTr="001509BE">
        <w:trPr>
          <w:cantSplit/>
        </w:trPr>
        <w:tc>
          <w:tcPr>
            <w:tcW w:w="446" w:type="pct"/>
          </w:tcPr>
          <w:p w14:paraId="2CBBBCCA" w14:textId="77777777" w:rsidR="00410071" w:rsidRPr="00BA51FF" w:rsidRDefault="00410071" w:rsidP="001509BE">
            <w:pPr>
              <w:pStyle w:val="TableText"/>
            </w:pPr>
            <w:r w:rsidRPr="00BA51FF">
              <w:rPr>
                <w:w w:val="105"/>
              </w:rPr>
              <w:t>2005</w:t>
            </w:r>
          </w:p>
        </w:tc>
        <w:tc>
          <w:tcPr>
            <w:tcW w:w="925" w:type="pct"/>
          </w:tcPr>
          <w:p w14:paraId="394660A8" w14:textId="77777777" w:rsidR="00410071" w:rsidRPr="00BA51FF" w:rsidRDefault="00410071" w:rsidP="001509BE">
            <w:pPr>
              <w:pStyle w:val="TableText"/>
              <w:jc w:val="center"/>
            </w:pPr>
            <w:r w:rsidRPr="00BA51FF">
              <w:t>4,298</w:t>
            </w:r>
          </w:p>
        </w:tc>
        <w:tc>
          <w:tcPr>
            <w:tcW w:w="925" w:type="pct"/>
          </w:tcPr>
          <w:p w14:paraId="5BF6ED9D" w14:textId="77777777" w:rsidR="00410071" w:rsidRPr="00BA51FF" w:rsidRDefault="00410071" w:rsidP="001509BE">
            <w:pPr>
              <w:pStyle w:val="TableText"/>
              <w:jc w:val="center"/>
            </w:pPr>
            <w:r w:rsidRPr="00BA51FF">
              <w:t>3,682</w:t>
            </w:r>
          </w:p>
        </w:tc>
        <w:tc>
          <w:tcPr>
            <w:tcW w:w="925" w:type="pct"/>
          </w:tcPr>
          <w:p w14:paraId="2B067F0C" w14:textId="77777777" w:rsidR="00410071" w:rsidRPr="00BA51FF" w:rsidRDefault="00410071" w:rsidP="001509BE">
            <w:pPr>
              <w:pStyle w:val="TableText"/>
              <w:tabs>
                <w:tab w:val="decimal" w:pos="788"/>
              </w:tabs>
            </w:pPr>
            <w:r w:rsidRPr="00BA51FF">
              <w:t>100</w:t>
            </w:r>
          </w:p>
        </w:tc>
        <w:tc>
          <w:tcPr>
            <w:tcW w:w="925" w:type="pct"/>
          </w:tcPr>
          <w:p w14:paraId="3344AF20" w14:textId="77777777" w:rsidR="00410071" w:rsidRPr="00BA51FF" w:rsidRDefault="00410071" w:rsidP="001509BE">
            <w:pPr>
              <w:pStyle w:val="TableText"/>
              <w:jc w:val="center"/>
            </w:pPr>
            <w:r w:rsidRPr="00BA51FF">
              <w:t>520</w:t>
            </w:r>
          </w:p>
        </w:tc>
        <w:tc>
          <w:tcPr>
            <w:tcW w:w="854" w:type="pct"/>
          </w:tcPr>
          <w:p w14:paraId="6CFF2834" w14:textId="77777777" w:rsidR="00410071" w:rsidRPr="00BA51FF" w:rsidRDefault="00410071" w:rsidP="001509BE">
            <w:pPr>
              <w:pStyle w:val="TableText"/>
              <w:jc w:val="center"/>
            </w:pPr>
            <w:r w:rsidRPr="00BA51FF">
              <w:rPr>
                <w:w w:val="102"/>
              </w:rPr>
              <w:t>0</w:t>
            </w:r>
          </w:p>
        </w:tc>
      </w:tr>
      <w:tr w:rsidR="00410071" w:rsidRPr="00BA51FF" w14:paraId="30E98529" w14:textId="77777777" w:rsidTr="001509BE">
        <w:trPr>
          <w:cantSplit/>
        </w:trPr>
        <w:tc>
          <w:tcPr>
            <w:tcW w:w="446" w:type="pct"/>
          </w:tcPr>
          <w:p w14:paraId="5100FB1C" w14:textId="77777777" w:rsidR="00410071" w:rsidRPr="00BA51FF" w:rsidRDefault="00410071" w:rsidP="001509BE">
            <w:pPr>
              <w:pStyle w:val="TableText"/>
            </w:pPr>
            <w:r w:rsidRPr="00BA51FF">
              <w:rPr>
                <w:w w:val="105"/>
              </w:rPr>
              <w:t>2006</w:t>
            </w:r>
          </w:p>
        </w:tc>
        <w:tc>
          <w:tcPr>
            <w:tcW w:w="925" w:type="pct"/>
          </w:tcPr>
          <w:p w14:paraId="2DAE31CC" w14:textId="77777777" w:rsidR="00410071" w:rsidRPr="00BA51FF" w:rsidRDefault="00410071" w:rsidP="001509BE">
            <w:pPr>
              <w:pStyle w:val="TableText"/>
              <w:jc w:val="center"/>
            </w:pPr>
            <w:r w:rsidRPr="00BA51FF">
              <w:t>4,254</w:t>
            </w:r>
          </w:p>
        </w:tc>
        <w:tc>
          <w:tcPr>
            <w:tcW w:w="925" w:type="pct"/>
          </w:tcPr>
          <w:p w14:paraId="0EB923AC" w14:textId="77777777" w:rsidR="00410071" w:rsidRPr="00BA51FF" w:rsidRDefault="00410071" w:rsidP="001509BE">
            <w:pPr>
              <w:pStyle w:val="TableText"/>
              <w:jc w:val="center"/>
            </w:pPr>
            <w:r w:rsidRPr="00BA51FF">
              <w:t>3,643</w:t>
            </w:r>
          </w:p>
        </w:tc>
        <w:tc>
          <w:tcPr>
            <w:tcW w:w="925" w:type="pct"/>
          </w:tcPr>
          <w:p w14:paraId="6F9A38AD" w14:textId="77777777" w:rsidR="00410071" w:rsidRPr="00BA51FF" w:rsidRDefault="00410071" w:rsidP="001509BE">
            <w:pPr>
              <w:pStyle w:val="TableText"/>
              <w:tabs>
                <w:tab w:val="decimal" w:pos="788"/>
              </w:tabs>
            </w:pPr>
            <w:r w:rsidRPr="00BA51FF">
              <w:t>109</w:t>
            </w:r>
          </w:p>
        </w:tc>
        <w:tc>
          <w:tcPr>
            <w:tcW w:w="925" w:type="pct"/>
          </w:tcPr>
          <w:p w14:paraId="0A7D31B9" w14:textId="77777777" w:rsidR="00410071" w:rsidRPr="00BA51FF" w:rsidRDefault="00410071" w:rsidP="001509BE">
            <w:pPr>
              <w:pStyle w:val="TableText"/>
              <w:jc w:val="center"/>
            </w:pPr>
            <w:r w:rsidRPr="00BA51FF">
              <w:t>515</w:t>
            </w:r>
          </w:p>
        </w:tc>
        <w:tc>
          <w:tcPr>
            <w:tcW w:w="854" w:type="pct"/>
          </w:tcPr>
          <w:p w14:paraId="7FE936D5" w14:textId="77777777" w:rsidR="00410071" w:rsidRPr="00BA51FF" w:rsidRDefault="00410071" w:rsidP="001509BE">
            <w:pPr>
              <w:pStyle w:val="TableText"/>
              <w:jc w:val="center"/>
            </w:pPr>
            <w:r w:rsidRPr="00BA51FF">
              <w:rPr>
                <w:w w:val="102"/>
              </w:rPr>
              <w:t>1</w:t>
            </w:r>
          </w:p>
        </w:tc>
      </w:tr>
      <w:tr w:rsidR="00410071" w:rsidRPr="00BA51FF" w14:paraId="49737709" w14:textId="77777777" w:rsidTr="001509BE">
        <w:trPr>
          <w:cantSplit/>
        </w:trPr>
        <w:tc>
          <w:tcPr>
            <w:tcW w:w="446" w:type="pct"/>
          </w:tcPr>
          <w:p w14:paraId="09A6526F" w14:textId="77777777" w:rsidR="00410071" w:rsidRPr="00BA51FF" w:rsidRDefault="00410071" w:rsidP="001509BE">
            <w:pPr>
              <w:pStyle w:val="TableText"/>
            </w:pPr>
            <w:r w:rsidRPr="00BA51FF">
              <w:rPr>
                <w:w w:val="105"/>
              </w:rPr>
              <w:t>2007</w:t>
            </w:r>
          </w:p>
        </w:tc>
        <w:tc>
          <w:tcPr>
            <w:tcW w:w="925" w:type="pct"/>
          </w:tcPr>
          <w:p w14:paraId="4CB52C50" w14:textId="77777777" w:rsidR="00410071" w:rsidRPr="00BA51FF" w:rsidRDefault="00410071" w:rsidP="001509BE">
            <w:pPr>
              <w:pStyle w:val="TableText"/>
              <w:jc w:val="center"/>
            </w:pPr>
            <w:r w:rsidRPr="00BA51FF">
              <w:t>4,535</w:t>
            </w:r>
          </w:p>
        </w:tc>
        <w:tc>
          <w:tcPr>
            <w:tcW w:w="925" w:type="pct"/>
          </w:tcPr>
          <w:p w14:paraId="5D71D78C" w14:textId="77777777" w:rsidR="00410071" w:rsidRPr="00BA51FF" w:rsidRDefault="00410071" w:rsidP="001509BE">
            <w:pPr>
              <w:pStyle w:val="TableText"/>
              <w:jc w:val="center"/>
            </w:pPr>
            <w:r w:rsidRPr="00BA51FF">
              <w:t>3,916</w:t>
            </w:r>
          </w:p>
        </w:tc>
        <w:tc>
          <w:tcPr>
            <w:tcW w:w="925" w:type="pct"/>
          </w:tcPr>
          <w:p w14:paraId="7366F192" w14:textId="77777777" w:rsidR="00410071" w:rsidRPr="00BA51FF" w:rsidRDefault="00410071" w:rsidP="001509BE">
            <w:pPr>
              <w:pStyle w:val="TableText"/>
              <w:tabs>
                <w:tab w:val="decimal" w:pos="788"/>
              </w:tabs>
            </w:pPr>
            <w:r w:rsidRPr="00BA51FF">
              <w:t>99</w:t>
            </w:r>
          </w:p>
        </w:tc>
        <w:tc>
          <w:tcPr>
            <w:tcW w:w="925" w:type="pct"/>
          </w:tcPr>
          <w:p w14:paraId="4F4E5477" w14:textId="77777777" w:rsidR="00410071" w:rsidRPr="00BA51FF" w:rsidRDefault="00410071" w:rsidP="001509BE">
            <w:pPr>
              <w:pStyle w:val="TableText"/>
              <w:jc w:val="center"/>
            </w:pPr>
            <w:r w:rsidRPr="00BA51FF">
              <w:t>542</w:t>
            </w:r>
          </w:p>
        </w:tc>
        <w:tc>
          <w:tcPr>
            <w:tcW w:w="854" w:type="pct"/>
          </w:tcPr>
          <w:p w14:paraId="0B0B3EC3" w14:textId="77777777" w:rsidR="00410071" w:rsidRPr="00BA51FF" w:rsidRDefault="00410071" w:rsidP="001509BE">
            <w:pPr>
              <w:pStyle w:val="TableText"/>
              <w:jc w:val="center"/>
            </w:pPr>
            <w:r w:rsidRPr="00BA51FF">
              <w:rPr>
                <w:w w:val="102"/>
              </w:rPr>
              <w:t>0</w:t>
            </w:r>
          </w:p>
        </w:tc>
      </w:tr>
      <w:tr w:rsidR="00410071" w:rsidRPr="00BA51FF" w14:paraId="1B0B1B35" w14:textId="77777777" w:rsidTr="001509BE">
        <w:trPr>
          <w:cantSplit/>
        </w:trPr>
        <w:tc>
          <w:tcPr>
            <w:tcW w:w="446" w:type="pct"/>
          </w:tcPr>
          <w:p w14:paraId="6DAA76F3" w14:textId="77777777" w:rsidR="00410071" w:rsidRPr="00BA51FF" w:rsidRDefault="00410071" w:rsidP="001509BE">
            <w:pPr>
              <w:pStyle w:val="TableText"/>
            </w:pPr>
            <w:r w:rsidRPr="00BA51FF">
              <w:rPr>
                <w:w w:val="105"/>
              </w:rPr>
              <w:t>2008</w:t>
            </w:r>
          </w:p>
        </w:tc>
        <w:tc>
          <w:tcPr>
            <w:tcW w:w="925" w:type="pct"/>
          </w:tcPr>
          <w:p w14:paraId="3FA22A95" w14:textId="77777777" w:rsidR="00410071" w:rsidRPr="00BA51FF" w:rsidRDefault="00410071" w:rsidP="001509BE">
            <w:pPr>
              <w:pStyle w:val="TableText"/>
              <w:jc w:val="center"/>
            </w:pPr>
            <w:r w:rsidRPr="00BA51FF">
              <w:t>4,633</w:t>
            </w:r>
          </w:p>
        </w:tc>
        <w:tc>
          <w:tcPr>
            <w:tcW w:w="925" w:type="pct"/>
          </w:tcPr>
          <w:p w14:paraId="4B487BF5" w14:textId="77777777" w:rsidR="00410071" w:rsidRPr="00BA51FF" w:rsidRDefault="00410071" w:rsidP="001509BE">
            <w:pPr>
              <w:pStyle w:val="TableText"/>
              <w:jc w:val="center"/>
            </w:pPr>
            <w:r w:rsidRPr="00BA51FF">
              <w:t>3,969</w:t>
            </w:r>
          </w:p>
        </w:tc>
        <w:tc>
          <w:tcPr>
            <w:tcW w:w="925" w:type="pct"/>
          </w:tcPr>
          <w:p w14:paraId="36C83A13" w14:textId="77777777" w:rsidR="00410071" w:rsidRPr="00BA51FF" w:rsidRDefault="00410071" w:rsidP="001509BE">
            <w:pPr>
              <w:pStyle w:val="TableText"/>
              <w:tabs>
                <w:tab w:val="decimal" w:pos="788"/>
              </w:tabs>
            </w:pPr>
            <w:r w:rsidRPr="00BA51FF">
              <w:t>103</w:t>
            </w:r>
          </w:p>
        </w:tc>
        <w:tc>
          <w:tcPr>
            <w:tcW w:w="925" w:type="pct"/>
          </w:tcPr>
          <w:p w14:paraId="3A68BD19" w14:textId="77777777" w:rsidR="00410071" w:rsidRPr="00BA51FF" w:rsidRDefault="00410071" w:rsidP="001509BE">
            <w:pPr>
              <w:pStyle w:val="TableText"/>
              <w:jc w:val="center"/>
            </w:pPr>
            <w:r w:rsidRPr="00BA51FF">
              <w:t>486</w:t>
            </w:r>
          </w:p>
        </w:tc>
        <w:tc>
          <w:tcPr>
            <w:tcW w:w="854" w:type="pct"/>
          </w:tcPr>
          <w:p w14:paraId="5F2B4BE3" w14:textId="77777777" w:rsidR="00410071" w:rsidRPr="00BA51FF" w:rsidRDefault="00410071" w:rsidP="001509BE">
            <w:pPr>
              <w:pStyle w:val="TableText"/>
              <w:jc w:val="center"/>
            </w:pPr>
            <w:r w:rsidRPr="00BA51FF">
              <w:rPr>
                <w:w w:val="102"/>
              </w:rPr>
              <w:t>0</w:t>
            </w:r>
          </w:p>
        </w:tc>
      </w:tr>
      <w:tr w:rsidR="00410071" w:rsidRPr="00BA51FF" w14:paraId="5D7426D9" w14:textId="77777777" w:rsidTr="001509BE">
        <w:trPr>
          <w:cantSplit/>
        </w:trPr>
        <w:tc>
          <w:tcPr>
            <w:tcW w:w="446" w:type="pct"/>
          </w:tcPr>
          <w:p w14:paraId="141F8EA2" w14:textId="77777777" w:rsidR="00410071" w:rsidRPr="00BA51FF" w:rsidRDefault="00410071" w:rsidP="001509BE">
            <w:pPr>
              <w:pStyle w:val="TableText"/>
              <w:rPr>
                <w:w w:val="105"/>
              </w:rPr>
            </w:pPr>
            <w:r w:rsidRPr="00BA51FF">
              <w:rPr>
                <w:w w:val="105"/>
              </w:rPr>
              <w:t>2009</w:t>
            </w:r>
          </w:p>
        </w:tc>
        <w:tc>
          <w:tcPr>
            <w:tcW w:w="925" w:type="pct"/>
          </w:tcPr>
          <w:p w14:paraId="19AF902E" w14:textId="77777777" w:rsidR="00410071" w:rsidRPr="00BA51FF" w:rsidRDefault="00410071" w:rsidP="001509BE">
            <w:pPr>
              <w:pStyle w:val="TableText"/>
              <w:jc w:val="center"/>
            </w:pPr>
            <w:r w:rsidRPr="00BA51FF">
              <w:t>4,564</w:t>
            </w:r>
          </w:p>
        </w:tc>
        <w:tc>
          <w:tcPr>
            <w:tcW w:w="925" w:type="pct"/>
          </w:tcPr>
          <w:p w14:paraId="7F3AF871" w14:textId="77777777" w:rsidR="00410071" w:rsidRPr="00BA51FF" w:rsidRDefault="00410071" w:rsidP="001509BE">
            <w:pPr>
              <w:pStyle w:val="TableText"/>
              <w:jc w:val="center"/>
            </w:pPr>
            <w:r w:rsidRPr="00BA51FF">
              <w:t>4,039</w:t>
            </w:r>
          </w:p>
        </w:tc>
        <w:tc>
          <w:tcPr>
            <w:tcW w:w="925" w:type="pct"/>
          </w:tcPr>
          <w:p w14:paraId="145A0F0C" w14:textId="77777777" w:rsidR="00410071" w:rsidRPr="00BA51FF" w:rsidRDefault="00410071" w:rsidP="001509BE">
            <w:pPr>
              <w:pStyle w:val="TableText"/>
              <w:tabs>
                <w:tab w:val="decimal" w:pos="788"/>
              </w:tabs>
            </w:pPr>
            <w:r w:rsidRPr="00BA51FF">
              <w:t>54</w:t>
            </w:r>
          </w:p>
        </w:tc>
        <w:tc>
          <w:tcPr>
            <w:tcW w:w="925" w:type="pct"/>
          </w:tcPr>
          <w:p w14:paraId="5E000CE9" w14:textId="77777777" w:rsidR="00410071" w:rsidRPr="00BA51FF" w:rsidRDefault="00410071" w:rsidP="001509BE">
            <w:pPr>
              <w:pStyle w:val="TableText"/>
              <w:jc w:val="center"/>
            </w:pPr>
            <w:r w:rsidRPr="00BA51FF">
              <w:t>494</w:t>
            </w:r>
          </w:p>
        </w:tc>
        <w:tc>
          <w:tcPr>
            <w:tcW w:w="854" w:type="pct"/>
          </w:tcPr>
          <w:p w14:paraId="42FC2069" w14:textId="77777777" w:rsidR="00410071" w:rsidRPr="00BA51FF" w:rsidRDefault="00410071" w:rsidP="001509BE">
            <w:pPr>
              <w:pStyle w:val="TableText"/>
              <w:jc w:val="center"/>
            </w:pPr>
            <w:r w:rsidRPr="00BA51FF">
              <w:rPr>
                <w:w w:val="102"/>
              </w:rPr>
              <w:t>0</w:t>
            </w:r>
          </w:p>
        </w:tc>
      </w:tr>
      <w:tr w:rsidR="00410071" w:rsidRPr="00BA51FF" w14:paraId="00C2EC9D" w14:textId="77777777" w:rsidTr="001509BE">
        <w:trPr>
          <w:cantSplit/>
        </w:trPr>
        <w:tc>
          <w:tcPr>
            <w:tcW w:w="446" w:type="pct"/>
          </w:tcPr>
          <w:p w14:paraId="4C033058" w14:textId="77777777" w:rsidR="00410071" w:rsidRPr="00BA51FF" w:rsidRDefault="00410071" w:rsidP="001509BE">
            <w:pPr>
              <w:pStyle w:val="TableText"/>
              <w:rPr>
                <w:w w:val="105"/>
              </w:rPr>
            </w:pPr>
            <w:r w:rsidRPr="00BA51FF">
              <w:rPr>
                <w:w w:val="105"/>
              </w:rPr>
              <w:t>2010</w:t>
            </w:r>
          </w:p>
        </w:tc>
        <w:tc>
          <w:tcPr>
            <w:tcW w:w="925" w:type="pct"/>
          </w:tcPr>
          <w:p w14:paraId="31626DD2" w14:textId="77777777" w:rsidR="00410071" w:rsidRPr="00BA51FF" w:rsidRDefault="00410071" w:rsidP="001509BE">
            <w:pPr>
              <w:pStyle w:val="TableText"/>
              <w:jc w:val="center"/>
            </w:pPr>
            <w:r w:rsidRPr="00BA51FF">
              <w:t>4,783</w:t>
            </w:r>
          </w:p>
        </w:tc>
        <w:tc>
          <w:tcPr>
            <w:tcW w:w="925" w:type="pct"/>
          </w:tcPr>
          <w:p w14:paraId="281BE091" w14:textId="77777777" w:rsidR="00410071" w:rsidRPr="00BA51FF" w:rsidRDefault="00410071" w:rsidP="001509BE">
            <w:pPr>
              <w:pStyle w:val="TableText"/>
              <w:jc w:val="center"/>
            </w:pPr>
            <w:r w:rsidRPr="00BA51FF">
              <w:t>4,156</w:t>
            </w:r>
          </w:p>
        </w:tc>
        <w:tc>
          <w:tcPr>
            <w:tcW w:w="925" w:type="pct"/>
          </w:tcPr>
          <w:p w14:paraId="5082D4E5" w14:textId="77777777" w:rsidR="00410071" w:rsidRPr="00BA51FF" w:rsidRDefault="00410071" w:rsidP="001509BE">
            <w:pPr>
              <w:pStyle w:val="TableText"/>
              <w:tabs>
                <w:tab w:val="decimal" w:pos="788"/>
              </w:tabs>
            </w:pPr>
            <w:r w:rsidRPr="00BA51FF">
              <w:t>74</w:t>
            </w:r>
          </w:p>
        </w:tc>
        <w:tc>
          <w:tcPr>
            <w:tcW w:w="925" w:type="pct"/>
          </w:tcPr>
          <w:p w14:paraId="462E3433" w14:textId="77777777" w:rsidR="00410071" w:rsidRPr="00BA51FF" w:rsidRDefault="00410071" w:rsidP="001509BE">
            <w:pPr>
              <w:pStyle w:val="TableText"/>
              <w:jc w:val="center"/>
            </w:pPr>
            <w:r w:rsidRPr="00BA51FF">
              <w:t>523</w:t>
            </w:r>
          </w:p>
        </w:tc>
        <w:tc>
          <w:tcPr>
            <w:tcW w:w="854" w:type="pct"/>
          </w:tcPr>
          <w:p w14:paraId="75956EA7" w14:textId="77777777" w:rsidR="00410071" w:rsidRPr="00BA51FF" w:rsidRDefault="00410071" w:rsidP="001509BE">
            <w:pPr>
              <w:pStyle w:val="TableText"/>
              <w:jc w:val="center"/>
            </w:pPr>
            <w:r w:rsidRPr="00BA51FF">
              <w:rPr>
                <w:w w:val="102"/>
              </w:rPr>
              <w:t>1</w:t>
            </w:r>
          </w:p>
        </w:tc>
      </w:tr>
      <w:tr w:rsidR="00410071" w:rsidRPr="00BA51FF" w14:paraId="0F11008F" w14:textId="77777777" w:rsidTr="001509BE">
        <w:trPr>
          <w:cantSplit/>
        </w:trPr>
        <w:tc>
          <w:tcPr>
            <w:tcW w:w="446" w:type="pct"/>
          </w:tcPr>
          <w:p w14:paraId="50FC04E5" w14:textId="77777777" w:rsidR="00410071" w:rsidRPr="00BA51FF" w:rsidRDefault="00410071" w:rsidP="001509BE">
            <w:pPr>
              <w:pStyle w:val="TableText"/>
              <w:rPr>
                <w:w w:val="105"/>
              </w:rPr>
            </w:pPr>
            <w:r w:rsidRPr="00BA51FF">
              <w:rPr>
                <w:w w:val="105"/>
              </w:rPr>
              <w:t>2011</w:t>
            </w:r>
          </w:p>
        </w:tc>
        <w:tc>
          <w:tcPr>
            <w:tcW w:w="925" w:type="pct"/>
          </w:tcPr>
          <w:p w14:paraId="6F54B86E" w14:textId="77777777" w:rsidR="00410071" w:rsidRPr="00BA51FF" w:rsidRDefault="00410071" w:rsidP="001509BE">
            <w:pPr>
              <w:pStyle w:val="TableText"/>
              <w:jc w:val="center"/>
            </w:pPr>
            <w:r w:rsidRPr="00BA51FF">
              <w:t>4,781</w:t>
            </w:r>
          </w:p>
        </w:tc>
        <w:tc>
          <w:tcPr>
            <w:tcW w:w="925" w:type="pct"/>
          </w:tcPr>
          <w:p w14:paraId="20344734" w14:textId="77777777" w:rsidR="00410071" w:rsidRPr="00BA51FF" w:rsidRDefault="00410071" w:rsidP="001509BE">
            <w:pPr>
              <w:pStyle w:val="TableText"/>
              <w:jc w:val="center"/>
            </w:pPr>
            <w:r w:rsidRPr="00BA51FF">
              <w:t>4,215</w:t>
            </w:r>
          </w:p>
        </w:tc>
        <w:tc>
          <w:tcPr>
            <w:tcW w:w="925" w:type="pct"/>
          </w:tcPr>
          <w:p w14:paraId="109C5775" w14:textId="77777777" w:rsidR="00410071" w:rsidRPr="00BA51FF" w:rsidRDefault="00410071" w:rsidP="001509BE">
            <w:pPr>
              <w:pStyle w:val="TableText"/>
              <w:tabs>
                <w:tab w:val="decimal" w:pos="788"/>
              </w:tabs>
            </w:pPr>
            <w:r w:rsidRPr="00BA51FF">
              <w:t>70</w:t>
            </w:r>
          </w:p>
        </w:tc>
        <w:tc>
          <w:tcPr>
            <w:tcW w:w="925" w:type="pct"/>
          </w:tcPr>
          <w:p w14:paraId="58D3D481" w14:textId="77777777" w:rsidR="00410071" w:rsidRPr="00BA51FF" w:rsidRDefault="00410071" w:rsidP="001509BE">
            <w:pPr>
              <w:pStyle w:val="TableText"/>
              <w:jc w:val="center"/>
            </w:pPr>
            <w:r w:rsidRPr="00BA51FF">
              <w:t>516</w:t>
            </w:r>
          </w:p>
        </w:tc>
        <w:tc>
          <w:tcPr>
            <w:tcW w:w="854" w:type="pct"/>
          </w:tcPr>
          <w:p w14:paraId="518C511F" w14:textId="77777777" w:rsidR="00410071" w:rsidRPr="00BA51FF" w:rsidRDefault="00410071" w:rsidP="001509BE">
            <w:pPr>
              <w:pStyle w:val="TableText"/>
              <w:jc w:val="center"/>
            </w:pPr>
            <w:r w:rsidRPr="00BA51FF">
              <w:rPr>
                <w:w w:val="102"/>
              </w:rPr>
              <w:t>0</w:t>
            </w:r>
          </w:p>
        </w:tc>
      </w:tr>
      <w:tr w:rsidR="00410071" w:rsidRPr="00BA51FF" w14:paraId="153349C0" w14:textId="77777777" w:rsidTr="001509BE">
        <w:trPr>
          <w:cantSplit/>
        </w:trPr>
        <w:tc>
          <w:tcPr>
            <w:tcW w:w="446" w:type="pct"/>
          </w:tcPr>
          <w:p w14:paraId="1A4F2FD0" w14:textId="77777777" w:rsidR="00410071" w:rsidRPr="00BA51FF" w:rsidRDefault="00410071" w:rsidP="001509BE">
            <w:pPr>
              <w:pStyle w:val="TableText"/>
              <w:rPr>
                <w:w w:val="105"/>
              </w:rPr>
            </w:pPr>
            <w:r w:rsidRPr="00BA51FF">
              <w:rPr>
                <w:w w:val="105"/>
              </w:rPr>
              <w:t>2012</w:t>
            </w:r>
          </w:p>
        </w:tc>
        <w:tc>
          <w:tcPr>
            <w:tcW w:w="925" w:type="pct"/>
          </w:tcPr>
          <w:p w14:paraId="6AEA0B70" w14:textId="77777777" w:rsidR="00410071" w:rsidRPr="00BA51FF" w:rsidRDefault="00410071" w:rsidP="001509BE">
            <w:pPr>
              <w:pStyle w:val="TableText"/>
              <w:jc w:val="center"/>
            </w:pPr>
            <w:r w:rsidRPr="00BA51FF">
              <w:t>4,885</w:t>
            </w:r>
          </w:p>
        </w:tc>
        <w:tc>
          <w:tcPr>
            <w:tcW w:w="925" w:type="pct"/>
          </w:tcPr>
          <w:p w14:paraId="2FC5AF77" w14:textId="77777777" w:rsidR="00410071" w:rsidRPr="00BA51FF" w:rsidRDefault="00410071" w:rsidP="001509BE">
            <w:pPr>
              <w:pStyle w:val="TableText"/>
              <w:jc w:val="center"/>
            </w:pPr>
            <w:r w:rsidRPr="00BA51FF">
              <w:t>4,343</w:t>
            </w:r>
          </w:p>
        </w:tc>
        <w:tc>
          <w:tcPr>
            <w:tcW w:w="925" w:type="pct"/>
          </w:tcPr>
          <w:p w14:paraId="4DE931BC" w14:textId="77777777" w:rsidR="00410071" w:rsidRPr="00BA51FF" w:rsidRDefault="00410071" w:rsidP="001509BE">
            <w:pPr>
              <w:pStyle w:val="TableText"/>
              <w:tabs>
                <w:tab w:val="decimal" w:pos="788"/>
              </w:tabs>
            </w:pPr>
            <w:r w:rsidRPr="00BA51FF">
              <w:t>71</w:t>
            </w:r>
          </w:p>
        </w:tc>
        <w:tc>
          <w:tcPr>
            <w:tcW w:w="925" w:type="pct"/>
          </w:tcPr>
          <w:p w14:paraId="0625DA68" w14:textId="77777777" w:rsidR="00410071" w:rsidRPr="00BA51FF" w:rsidRDefault="00410071" w:rsidP="001509BE">
            <w:pPr>
              <w:pStyle w:val="TableText"/>
              <w:jc w:val="center"/>
            </w:pPr>
            <w:r w:rsidRPr="00BA51FF">
              <w:t>443</w:t>
            </w:r>
          </w:p>
        </w:tc>
        <w:tc>
          <w:tcPr>
            <w:tcW w:w="854" w:type="pct"/>
          </w:tcPr>
          <w:p w14:paraId="75388AD7" w14:textId="77777777" w:rsidR="00410071" w:rsidRPr="00BA51FF" w:rsidRDefault="00410071" w:rsidP="001509BE">
            <w:pPr>
              <w:pStyle w:val="TableText"/>
              <w:jc w:val="center"/>
            </w:pPr>
            <w:r w:rsidRPr="00BA51FF">
              <w:rPr>
                <w:w w:val="102"/>
              </w:rPr>
              <w:t>0</w:t>
            </w:r>
          </w:p>
        </w:tc>
      </w:tr>
      <w:tr w:rsidR="00410071" w:rsidRPr="00BA51FF" w14:paraId="7567DDED" w14:textId="77777777" w:rsidTr="001509BE">
        <w:trPr>
          <w:cantSplit/>
        </w:trPr>
        <w:tc>
          <w:tcPr>
            <w:tcW w:w="446" w:type="pct"/>
          </w:tcPr>
          <w:p w14:paraId="6BA11719" w14:textId="77777777" w:rsidR="00410071" w:rsidRPr="00BA51FF" w:rsidRDefault="00410071" w:rsidP="001509BE">
            <w:pPr>
              <w:pStyle w:val="TableText"/>
              <w:rPr>
                <w:w w:val="105"/>
              </w:rPr>
            </w:pPr>
            <w:r w:rsidRPr="00BA51FF">
              <w:rPr>
                <w:w w:val="105"/>
              </w:rPr>
              <w:t>2013</w:t>
            </w:r>
          </w:p>
        </w:tc>
        <w:tc>
          <w:tcPr>
            <w:tcW w:w="925" w:type="pct"/>
          </w:tcPr>
          <w:p w14:paraId="1E001DCF" w14:textId="77777777" w:rsidR="00410071" w:rsidRPr="00BA51FF" w:rsidRDefault="00410071" w:rsidP="001509BE">
            <w:pPr>
              <w:pStyle w:val="TableText"/>
              <w:jc w:val="center"/>
            </w:pPr>
            <w:r w:rsidRPr="00BA51FF">
              <w:t>5,062</w:t>
            </w:r>
          </w:p>
        </w:tc>
        <w:tc>
          <w:tcPr>
            <w:tcW w:w="925" w:type="pct"/>
          </w:tcPr>
          <w:p w14:paraId="05844E44" w14:textId="77777777" w:rsidR="00410071" w:rsidRPr="00BA51FF" w:rsidRDefault="00410071" w:rsidP="001509BE">
            <w:pPr>
              <w:pStyle w:val="TableText"/>
              <w:jc w:val="center"/>
            </w:pPr>
            <w:r w:rsidRPr="00BA51FF">
              <w:t>4,607</w:t>
            </w:r>
          </w:p>
        </w:tc>
        <w:tc>
          <w:tcPr>
            <w:tcW w:w="925" w:type="pct"/>
          </w:tcPr>
          <w:p w14:paraId="3FBB45CB" w14:textId="77777777" w:rsidR="00410071" w:rsidRPr="00BA51FF" w:rsidRDefault="00410071" w:rsidP="001509BE">
            <w:pPr>
              <w:pStyle w:val="TableText"/>
              <w:tabs>
                <w:tab w:val="decimal" w:pos="788"/>
              </w:tabs>
            </w:pPr>
            <w:r w:rsidRPr="00BA51FF">
              <w:t>68</w:t>
            </w:r>
          </w:p>
        </w:tc>
        <w:tc>
          <w:tcPr>
            <w:tcW w:w="925" w:type="pct"/>
          </w:tcPr>
          <w:p w14:paraId="0E715457" w14:textId="77777777" w:rsidR="00410071" w:rsidRPr="00BA51FF" w:rsidRDefault="00410071" w:rsidP="001509BE">
            <w:pPr>
              <w:pStyle w:val="TableText"/>
              <w:jc w:val="center"/>
            </w:pPr>
            <w:r w:rsidRPr="00BA51FF">
              <w:t>411</w:t>
            </w:r>
          </w:p>
        </w:tc>
        <w:tc>
          <w:tcPr>
            <w:tcW w:w="854" w:type="pct"/>
          </w:tcPr>
          <w:p w14:paraId="2CBD4E0C" w14:textId="77777777" w:rsidR="00410071" w:rsidRPr="00BA51FF" w:rsidRDefault="00410071" w:rsidP="001509BE">
            <w:pPr>
              <w:pStyle w:val="TableText"/>
              <w:jc w:val="center"/>
            </w:pPr>
            <w:r w:rsidRPr="00BA51FF">
              <w:rPr>
                <w:w w:val="102"/>
              </w:rPr>
              <w:t>0</w:t>
            </w:r>
          </w:p>
        </w:tc>
      </w:tr>
      <w:tr w:rsidR="00410071" w:rsidRPr="00BA51FF" w14:paraId="67BA45C3" w14:textId="77777777" w:rsidTr="001509BE">
        <w:trPr>
          <w:cantSplit/>
        </w:trPr>
        <w:tc>
          <w:tcPr>
            <w:tcW w:w="446" w:type="pct"/>
          </w:tcPr>
          <w:p w14:paraId="2CB9B673" w14:textId="77777777" w:rsidR="00410071" w:rsidRPr="00BA51FF" w:rsidRDefault="00410071" w:rsidP="001509BE">
            <w:pPr>
              <w:pStyle w:val="TableText"/>
              <w:rPr>
                <w:w w:val="105"/>
              </w:rPr>
            </w:pPr>
            <w:r w:rsidRPr="00BA51FF">
              <w:rPr>
                <w:w w:val="105"/>
              </w:rPr>
              <w:t>2014</w:t>
            </w:r>
          </w:p>
        </w:tc>
        <w:tc>
          <w:tcPr>
            <w:tcW w:w="925" w:type="pct"/>
          </w:tcPr>
          <w:p w14:paraId="6B991C3D" w14:textId="77777777" w:rsidR="00410071" w:rsidRPr="00BA51FF" w:rsidRDefault="00410071" w:rsidP="001509BE">
            <w:pPr>
              <w:pStyle w:val="TableText"/>
              <w:jc w:val="center"/>
            </w:pPr>
            <w:r w:rsidRPr="00BA51FF">
              <w:t>5,227</w:t>
            </w:r>
          </w:p>
        </w:tc>
        <w:tc>
          <w:tcPr>
            <w:tcW w:w="925" w:type="pct"/>
          </w:tcPr>
          <w:p w14:paraId="6BDD2E6B" w14:textId="77777777" w:rsidR="00410071" w:rsidRPr="00BA51FF" w:rsidRDefault="00410071" w:rsidP="001509BE">
            <w:pPr>
              <w:pStyle w:val="TableText"/>
              <w:jc w:val="center"/>
            </w:pPr>
            <w:r w:rsidRPr="00BA51FF">
              <w:t>4,632</w:t>
            </w:r>
          </w:p>
        </w:tc>
        <w:tc>
          <w:tcPr>
            <w:tcW w:w="925" w:type="pct"/>
          </w:tcPr>
          <w:p w14:paraId="1F4AAC32" w14:textId="77777777" w:rsidR="00410071" w:rsidRPr="00BA51FF" w:rsidRDefault="00410071" w:rsidP="001509BE">
            <w:pPr>
              <w:pStyle w:val="TableText"/>
              <w:tabs>
                <w:tab w:val="decimal" w:pos="788"/>
              </w:tabs>
            </w:pPr>
            <w:r w:rsidRPr="00BA51FF">
              <w:t>47</w:t>
            </w:r>
          </w:p>
        </w:tc>
        <w:tc>
          <w:tcPr>
            <w:tcW w:w="925" w:type="pct"/>
          </w:tcPr>
          <w:p w14:paraId="0EBCAE3E" w14:textId="77777777" w:rsidR="00410071" w:rsidRPr="00BA51FF" w:rsidRDefault="00410071" w:rsidP="001509BE">
            <w:pPr>
              <w:pStyle w:val="TableText"/>
              <w:jc w:val="center"/>
            </w:pPr>
            <w:r w:rsidRPr="00BA51FF">
              <w:t>577</w:t>
            </w:r>
          </w:p>
        </w:tc>
        <w:tc>
          <w:tcPr>
            <w:tcW w:w="854" w:type="pct"/>
          </w:tcPr>
          <w:p w14:paraId="77753D36" w14:textId="77777777" w:rsidR="00410071" w:rsidRPr="00BA51FF" w:rsidRDefault="00410071" w:rsidP="001509BE">
            <w:pPr>
              <w:pStyle w:val="TableText"/>
              <w:jc w:val="center"/>
            </w:pPr>
            <w:r w:rsidRPr="00BA51FF">
              <w:rPr>
                <w:w w:val="102"/>
              </w:rPr>
              <w:t>0</w:t>
            </w:r>
          </w:p>
        </w:tc>
      </w:tr>
      <w:tr w:rsidR="00410071" w:rsidRPr="00BA51FF" w14:paraId="12E4757F" w14:textId="77777777" w:rsidTr="001509BE">
        <w:trPr>
          <w:cantSplit/>
        </w:trPr>
        <w:tc>
          <w:tcPr>
            <w:tcW w:w="446" w:type="pct"/>
          </w:tcPr>
          <w:p w14:paraId="7013417F" w14:textId="77777777" w:rsidR="00410071" w:rsidRPr="00BA51FF" w:rsidRDefault="00410071" w:rsidP="001509BE">
            <w:pPr>
              <w:pStyle w:val="TableText"/>
              <w:rPr>
                <w:w w:val="105"/>
              </w:rPr>
            </w:pPr>
            <w:r w:rsidRPr="00BA51FF">
              <w:rPr>
                <w:w w:val="105"/>
              </w:rPr>
              <w:t>2015</w:t>
            </w:r>
          </w:p>
        </w:tc>
        <w:tc>
          <w:tcPr>
            <w:tcW w:w="925" w:type="pct"/>
          </w:tcPr>
          <w:p w14:paraId="2DC4A86A" w14:textId="77777777" w:rsidR="00410071" w:rsidRPr="00BA51FF" w:rsidRDefault="00410071" w:rsidP="001509BE">
            <w:pPr>
              <w:pStyle w:val="TableText"/>
              <w:jc w:val="center"/>
            </w:pPr>
            <w:r w:rsidRPr="00BA51FF">
              <w:t>5,368</w:t>
            </w:r>
          </w:p>
        </w:tc>
        <w:tc>
          <w:tcPr>
            <w:tcW w:w="925" w:type="pct"/>
          </w:tcPr>
          <w:p w14:paraId="6C7DA6F9" w14:textId="77777777" w:rsidR="00410071" w:rsidRPr="00BA51FF" w:rsidRDefault="00410071" w:rsidP="001509BE">
            <w:pPr>
              <w:pStyle w:val="TableText"/>
              <w:jc w:val="center"/>
            </w:pPr>
            <w:r w:rsidRPr="00BA51FF">
              <w:t>4,748</w:t>
            </w:r>
          </w:p>
        </w:tc>
        <w:tc>
          <w:tcPr>
            <w:tcW w:w="925" w:type="pct"/>
          </w:tcPr>
          <w:p w14:paraId="2B7B8EB4" w14:textId="77777777" w:rsidR="00410071" w:rsidRPr="00BA51FF" w:rsidRDefault="00410071" w:rsidP="001509BE">
            <w:pPr>
              <w:pStyle w:val="TableText"/>
              <w:tabs>
                <w:tab w:val="decimal" w:pos="788"/>
              </w:tabs>
            </w:pPr>
            <w:r w:rsidRPr="00BA51FF">
              <w:t>52</w:t>
            </w:r>
          </w:p>
        </w:tc>
        <w:tc>
          <w:tcPr>
            <w:tcW w:w="925" w:type="pct"/>
          </w:tcPr>
          <w:p w14:paraId="3E1E46C3" w14:textId="77777777" w:rsidR="00410071" w:rsidRPr="00BA51FF" w:rsidRDefault="00410071" w:rsidP="001509BE">
            <w:pPr>
              <w:pStyle w:val="TableText"/>
              <w:jc w:val="center"/>
            </w:pPr>
            <w:r w:rsidRPr="00BA51FF">
              <w:t>550</w:t>
            </w:r>
          </w:p>
        </w:tc>
        <w:tc>
          <w:tcPr>
            <w:tcW w:w="854" w:type="pct"/>
          </w:tcPr>
          <w:p w14:paraId="2A8D8999" w14:textId="77777777" w:rsidR="00410071" w:rsidRPr="00BA51FF" w:rsidRDefault="00410071" w:rsidP="001509BE">
            <w:pPr>
              <w:pStyle w:val="TableText"/>
              <w:jc w:val="center"/>
            </w:pPr>
            <w:r w:rsidRPr="00BA51FF">
              <w:rPr>
                <w:w w:val="102"/>
              </w:rPr>
              <w:t>0</w:t>
            </w:r>
          </w:p>
        </w:tc>
      </w:tr>
      <w:tr w:rsidR="00410071" w:rsidRPr="00BA51FF" w14:paraId="3DE6B3F1" w14:textId="77777777" w:rsidTr="001509BE">
        <w:trPr>
          <w:cantSplit/>
        </w:trPr>
        <w:tc>
          <w:tcPr>
            <w:tcW w:w="446" w:type="pct"/>
          </w:tcPr>
          <w:p w14:paraId="617C447A" w14:textId="77777777" w:rsidR="00410071" w:rsidRPr="00BA51FF" w:rsidRDefault="00410071" w:rsidP="001509BE">
            <w:pPr>
              <w:pStyle w:val="TableText"/>
              <w:rPr>
                <w:w w:val="105"/>
              </w:rPr>
            </w:pPr>
            <w:r w:rsidRPr="00BA51FF">
              <w:rPr>
                <w:w w:val="105"/>
              </w:rPr>
              <w:t>2016</w:t>
            </w:r>
          </w:p>
        </w:tc>
        <w:tc>
          <w:tcPr>
            <w:tcW w:w="925" w:type="pct"/>
          </w:tcPr>
          <w:p w14:paraId="775BF720" w14:textId="77777777" w:rsidR="00410071" w:rsidRPr="00BA51FF" w:rsidRDefault="00410071" w:rsidP="001509BE">
            <w:pPr>
              <w:pStyle w:val="TableText"/>
              <w:jc w:val="center"/>
            </w:pPr>
            <w:r w:rsidRPr="00BA51FF">
              <w:t>5,601</w:t>
            </w:r>
          </w:p>
        </w:tc>
        <w:tc>
          <w:tcPr>
            <w:tcW w:w="925" w:type="pct"/>
          </w:tcPr>
          <w:p w14:paraId="1E247BAA" w14:textId="77777777" w:rsidR="00410071" w:rsidRPr="00BA51FF" w:rsidRDefault="00410071" w:rsidP="001509BE">
            <w:pPr>
              <w:pStyle w:val="TableText"/>
              <w:jc w:val="center"/>
            </w:pPr>
            <w:r w:rsidRPr="00BA51FF">
              <w:t>4,927</w:t>
            </w:r>
          </w:p>
        </w:tc>
        <w:tc>
          <w:tcPr>
            <w:tcW w:w="925" w:type="pct"/>
          </w:tcPr>
          <w:p w14:paraId="78A8F81B" w14:textId="77777777" w:rsidR="00410071" w:rsidRPr="00BA51FF" w:rsidRDefault="00410071" w:rsidP="001509BE">
            <w:pPr>
              <w:pStyle w:val="TableText"/>
              <w:tabs>
                <w:tab w:val="decimal" w:pos="788"/>
              </w:tabs>
            </w:pPr>
            <w:r w:rsidRPr="00BA51FF">
              <w:t>70</w:t>
            </w:r>
          </w:p>
        </w:tc>
        <w:tc>
          <w:tcPr>
            <w:tcW w:w="925" w:type="pct"/>
          </w:tcPr>
          <w:p w14:paraId="05430B5D" w14:textId="77777777" w:rsidR="00410071" w:rsidRPr="00BA51FF" w:rsidRDefault="00410071" w:rsidP="001509BE">
            <w:pPr>
              <w:pStyle w:val="TableText"/>
              <w:jc w:val="center"/>
            </w:pPr>
            <w:r w:rsidRPr="00BA51FF">
              <w:t>549</w:t>
            </w:r>
          </w:p>
        </w:tc>
        <w:tc>
          <w:tcPr>
            <w:tcW w:w="854" w:type="pct"/>
          </w:tcPr>
          <w:p w14:paraId="7817A375" w14:textId="77777777" w:rsidR="00410071" w:rsidRPr="00BA51FF" w:rsidRDefault="00410071" w:rsidP="001509BE">
            <w:pPr>
              <w:pStyle w:val="TableText"/>
              <w:jc w:val="center"/>
              <w:rPr>
                <w:w w:val="102"/>
              </w:rPr>
            </w:pPr>
            <w:r w:rsidRPr="00BA51FF">
              <w:rPr>
                <w:w w:val="102"/>
              </w:rPr>
              <w:t>0</w:t>
            </w:r>
          </w:p>
        </w:tc>
      </w:tr>
      <w:tr w:rsidR="00410071" w:rsidRPr="00BA51FF" w14:paraId="681335A2" w14:textId="77777777" w:rsidTr="001509BE">
        <w:trPr>
          <w:cantSplit/>
        </w:trPr>
        <w:tc>
          <w:tcPr>
            <w:tcW w:w="446" w:type="pct"/>
          </w:tcPr>
          <w:p w14:paraId="569208E1" w14:textId="77777777" w:rsidR="00410071" w:rsidRPr="00BA51FF" w:rsidRDefault="00410071" w:rsidP="001509BE">
            <w:pPr>
              <w:pStyle w:val="TableText"/>
              <w:rPr>
                <w:w w:val="105"/>
              </w:rPr>
            </w:pPr>
            <w:r w:rsidRPr="00BA51FF">
              <w:rPr>
                <w:w w:val="105"/>
              </w:rPr>
              <w:t>2017</w:t>
            </w:r>
          </w:p>
        </w:tc>
        <w:tc>
          <w:tcPr>
            <w:tcW w:w="925" w:type="pct"/>
          </w:tcPr>
          <w:p w14:paraId="3B6B81E5" w14:textId="77777777" w:rsidR="00410071" w:rsidRPr="00BA51FF" w:rsidRDefault="00410071" w:rsidP="001509BE">
            <w:pPr>
              <w:pStyle w:val="TableText"/>
              <w:jc w:val="center"/>
            </w:pPr>
            <w:r w:rsidRPr="00BA51FF">
              <w:t>5,566</w:t>
            </w:r>
          </w:p>
        </w:tc>
        <w:tc>
          <w:tcPr>
            <w:tcW w:w="925" w:type="pct"/>
          </w:tcPr>
          <w:p w14:paraId="26630616" w14:textId="77777777" w:rsidR="00410071" w:rsidRPr="00BA51FF" w:rsidRDefault="00410071" w:rsidP="001509BE">
            <w:pPr>
              <w:pStyle w:val="TableText"/>
              <w:jc w:val="center"/>
            </w:pPr>
            <w:r w:rsidRPr="00BA51FF">
              <w:t>4,940</w:t>
            </w:r>
          </w:p>
        </w:tc>
        <w:tc>
          <w:tcPr>
            <w:tcW w:w="925" w:type="pct"/>
          </w:tcPr>
          <w:p w14:paraId="3FED2FF1" w14:textId="77777777" w:rsidR="00410071" w:rsidRPr="00BA51FF" w:rsidRDefault="00410071" w:rsidP="001509BE">
            <w:pPr>
              <w:pStyle w:val="TableText"/>
              <w:tabs>
                <w:tab w:val="decimal" w:pos="788"/>
              </w:tabs>
            </w:pPr>
            <w:r w:rsidRPr="00BA51FF">
              <w:t>69</w:t>
            </w:r>
          </w:p>
        </w:tc>
        <w:tc>
          <w:tcPr>
            <w:tcW w:w="925" w:type="pct"/>
          </w:tcPr>
          <w:p w14:paraId="09550200" w14:textId="77777777" w:rsidR="00410071" w:rsidRPr="00BA51FF" w:rsidRDefault="00410071" w:rsidP="001509BE">
            <w:pPr>
              <w:pStyle w:val="TableText"/>
              <w:jc w:val="center"/>
            </w:pPr>
            <w:r w:rsidRPr="00BA51FF">
              <w:t>583</w:t>
            </w:r>
          </w:p>
        </w:tc>
        <w:tc>
          <w:tcPr>
            <w:tcW w:w="854" w:type="pct"/>
          </w:tcPr>
          <w:p w14:paraId="1D3A7E7D" w14:textId="77777777" w:rsidR="00410071" w:rsidRPr="00BA51FF" w:rsidRDefault="00410071" w:rsidP="001509BE">
            <w:pPr>
              <w:pStyle w:val="TableText"/>
              <w:jc w:val="center"/>
              <w:rPr>
                <w:w w:val="102"/>
              </w:rPr>
            </w:pPr>
            <w:r w:rsidRPr="00BA51FF">
              <w:rPr>
                <w:w w:val="102"/>
              </w:rPr>
              <w:t>0</w:t>
            </w:r>
          </w:p>
        </w:tc>
      </w:tr>
      <w:tr w:rsidR="00410071" w:rsidRPr="00BA51FF" w14:paraId="128AF2AB" w14:textId="77777777" w:rsidTr="001509BE">
        <w:trPr>
          <w:cantSplit/>
        </w:trPr>
        <w:tc>
          <w:tcPr>
            <w:tcW w:w="446" w:type="pct"/>
          </w:tcPr>
          <w:p w14:paraId="43FD78D8" w14:textId="77777777" w:rsidR="00410071" w:rsidRPr="00BA51FF" w:rsidRDefault="00410071" w:rsidP="001509BE">
            <w:pPr>
              <w:pStyle w:val="TableText"/>
              <w:rPr>
                <w:w w:val="105"/>
              </w:rPr>
            </w:pPr>
            <w:r w:rsidRPr="00BA51FF">
              <w:rPr>
                <w:w w:val="105"/>
              </w:rPr>
              <w:t>2018</w:t>
            </w:r>
          </w:p>
        </w:tc>
        <w:tc>
          <w:tcPr>
            <w:tcW w:w="925" w:type="pct"/>
          </w:tcPr>
          <w:p w14:paraId="6E11CD02" w14:textId="77777777" w:rsidR="00410071" w:rsidRPr="00BA51FF" w:rsidRDefault="00410071" w:rsidP="001509BE">
            <w:pPr>
              <w:pStyle w:val="TableText"/>
              <w:jc w:val="center"/>
            </w:pPr>
            <w:r w:rsidRPr="00BA51FF">
              <w:t>5,646</w:t>
            </w:r>
          </w:p>
        </w:tc>
        <w:tc>
          <w:tcPr>
            <w:tcW w:w="925" w:type="pct"/>
          </w:tcPr>
          <w:p w14:paraId="3BF2BE10" w14:textId="77777777" w:rsidR="00410071" w:rsidRPr="00BA51FF" w:rsidRDefault="00410071" w:rsidP="001509BE">
            <w:pPr>
              <w:pStyle w:val="TableText"/>
              <w:jc w:val="center"/>
            </w:pPr>
            <w:r w:rsidRPr="00BA51FF">
              <w:t>5,002</w:t>
            </w:r>
          </w:p>
        </w:tc>
        <w:tc>
          <w:tcPr>
            <w:tcW w:w="925" w:type="pct"/>
          </w:tcPr>
          <w:p w14:paraId="6A723ADC" w14:textId="77777777" w:rsidR="00410071" w:rsidRPr="00BA51FF" w:rsidRDefault="00410071" w:rsidP="001509BE">
            <w:pPr>
              <w:pStyle w:val="TableText"/>
              <w:tabs>
                <w:tab w:val="decimal" w:pos="788"/>
              </w:tabs>
            </w:pPr>
            <w:r w:rsidRPr="00BA51FF">
              <w:t>77</w:t>
            </w:r>
          </w:p>
        </w:tc>
        <w:tc>
          <w:tcPr>
            <w:tcW w:w="925" w:type="pct"/>
          </w:tcPr>
          <w:p w14:paraId="3B48FBF7" w14:textId="77777777" w:rsidR="00410071" w:rsidRPr="00BA51FF" w:rsidRDefault="00410071" w:rsidP="001509BE">
            <w:pPr>
              <w:pStyle w:val="TableText"/>
              <w:jc w:val="center"/>
            </w:pPr>
            <w:r w:rsidRPr="00BA51FF">
              <w:t>542</w:t>
            </w:r>
          </w:p>
        </w:tc>
        <w:tc>
          <w:tcPr>
            <w:tcW w:w="854" w:type="pct"/>
          </w:tcPr>
          <w:p w14:paraId="79F6F7BC" w14:textId="77777777" w:rsidR="00410071" w:rsidRPr="00BA51FF" w:rsidRDefault="00410071" w:rsidP="001509BE">
            <w:pPr>
              <w:pStyle w:val="TableText"/>
              <w:jc w:val="center"/>
              <w:rPr>
                <w:w w:val="102"/>
              </w:rPr>
            </w:pPr>
            <w:r w:rsidRPr="00BA51FF">
              <w:rPr>
                <w:w w:val="102"/>
              </w:rPr>
              <w:t>0</w:t>
            </w:r>
          </w:p>
        </w:tc>
      </w:tr>
      <w:tr w:rsidR="00410071" w:rsidRPr="00BA51FF" w14:paraId="16B3D2F8" w14:textId="77777777" w:rsidTr="001509BE">
        <w:trPr>
          <w:cantSplit/>
        </w:trPr>
        <w:tc>
          <w:tcPr>
            <w:tcW w:w="446" w:type="pct"/>
          </w:tcPr>
          <w:p w14:paraId="778C37E6" w14:textId="77777777" w:rsidR="00410071" w:rsidRPr="00BA51FF" w:rsidRDefault="00410071" w:rsidP="001509BE">
            <w:pPr>
              <w:pStyle w:val="TableText"/>
              <w:rPr>
                <w:w w:val="105"/>
              </w:rPr>
            </w:pPr>
            <w:r w:rsidRPr="00BA51FF">
              <w:rPr>
                <w:w w:val="105"/>
              </w:rPr>
              <w:t>2019</w:t>
            </w:r>
          </w:p>
        </w:tc>
        <w:tc>
          <w:tcPr>
            <w:tcW w:w="925" w:type="pct"/>
          </w:tcPr>
          <w:p w14:paraId="59497215" w14:textId="77777777" w:rsidR="00410071" w:rsidRPr="00BA51FF" w:rsidRDefault="00410071" w:rsidP="001509BE">
            <w:pPr>
              <w:pStyle w:val="TableText"/>
              <w:jc w:val="center"/>
            </w:pPr>
            <w:r w:rsidRPr="00BA51FF">
              <w:t>5,617</w:t>
            </w:r>
          </w:p>
        </w:tc>
        <w:tc>
          <w:tcPr>
            <w:tcW w:w="925" w:type="pct"/>
          </w:tcPr>
          <w:p w14:paraId="71AA6F76" w14:textId="77777777" w:rsidR="00410071" w:rsidRPr="00BA51FF" w:rsidRDefault="00410071" w:rsidP="001509BE">
            <w:pPr>
              <w:pStyle w:val="TableText"/>
              <w:jc w:val="center"/>
            </w:pPr>
            <w:r w:rsidRPr="00BA51FF">
              <w:t>4,984</w:t>
            </w:r>
          </w:p>
        </w:tc>
        <w:tc>
          <w:tcPr>
            <w:tcW w:w="925" w:type="pct"/>
          </w:tcPr>
          <w:p w14:paraId="3282E7EC" w14:textId="77777777" w:rsidR="00410071" w:rsidRPr="00BA51FF" w:rsidRDefault="00410071" w:rsidP="001509BE">
            <w:pPr>
              <w:pStyle w:val="TableText"/>
              <w:tabs>
                <w:tab w:val="decimal" w:pos="788"/>
              </w:tabs>
            </w:pPr>
            <w:r w:rsidRPr="00BA51FF">
              <w:t>48</w:t>
            </w:r>
          </w:p>
        </w:tc>
        <w:tc>
          <w:tcPr>
            <w:tcW w:w="925" w:type="pct"/>
          </w:tcPr>
          <w:p w14:paraId="63080B7E" w14:textId="77777777" w:rsidR="00410071" w:rsidRPr="00BA51FF" w:rsidRDefault="00410071" w:rsidP="001509BE">
            <w:pPr>
              <w:pStyle w:val="TableText"/>
              <w:jc w:val="center"/>
            </w:pPr>
            <w:r w:rsidRPr="00BA51FF">
              <w:t>618</w:t>
            </w:r>
          </w:p>
        </w:tc>
        <w:tc>
          <w:tcPr>
            <w:tcW w:w="854" w:type="pct"/>
          </w:tcPr>
          <w:p w14:paraId="46ADDAE8" w14:textId="77777777" w:rsidR="00410071" w:rsidRPr="00BA51FF" w:rsidRDefault="00410071" w:rsidP="001509BE">
            <w:pPr>
              <w:pStyle w:val="TableText"/>
              <w:jc w:val="center"/>
              <w:rPr>
                <w:w w:val="102"/>
              </w:rPr>
            </w:pPr>
            <w:r w:rsidRPr="00BA51FF">
              <w:rPr>
                <w:w w:val="102"/>
              </w:rPr>
              <w:t>0</w:t>
            </w:r>
          </w:p>
        </w:tc>
      </w:tr>
      <w:tr w:rsidR="00410071" w:rsidRPr="00BA51FF" w14:paraId="5EBD7C07" w14:textId="77777777" w:rsidTr="001509BE">
        <w:trPr>
          <w:cantSplit/>
        </w:trPr>
        <w:tc>
          <w:tcPr>
            <w:tcW w:w="446" w:type="pct"/>
          </w:tcPr>
          <w:p w14:paraId="0BB14206" w14:textId="77777777" w:rsidR="00410071" w:rsidRPr="00BA51FF" w:rsidRDefault="00410071" w:rsidP="001509BE">
            <w:pPr>
              <w:pStyle w:val="TableText"/>
              <w:rPr>
                <w:w w:val="105"/>
              </w:rPr>
            </w:pPr>
            <w:r>
              <w:rPr>
                <w:w w:val="105"/>
              </w:rPr>
              <w:t>2020</w:t>
            </w:r>
          </w:p>
        </w:tc>
        <w:tc>
          <w:tcPr>
            <w:tcW w:w="925" w:type="pct"/>
          </w:tcPr>
          <w:p w14:paraId="2A3E900F" w14:textId="77777777" w:rsidR="00410071" w:rsidRPr="00BA51FF" w:rsidRDefault="00410071" w:rsidP="001509BE">
            <w:pPr>
              <w:pStyle w:val="TableText"/>
              <w:jc w:val="center"/>
            </w:pPr>
            <w:r>
              <w:t>5,874</w:t>
            </w:r>
          </w:p>
        </w:tc>
        <w:tc>
          <w:tcPr>
            <w:tcW w:w="925" w:type="pct"/>
          </w:tcPr>
          <w:p w14:paraId="3D296BE9" w14:textId="77777777" w:rsidR="00410071" w:rsidRPr="00BA51FF" w:rsidRDefault="00410071" w:rsidP="001509BE">
            <w:pPr>
              <w:pStyle w:val="TableText"/>
              <w:jc w:val="center"/>
            </w:pPr>
            <w:r>
              <w:t>5,137</w:t>
            </w:r>
          </w:p>
        </w:tc>
        <w:tc>
          <w:tcPr>
            <w:tcW w:w="925" w:type="pct"/>
          </w:tcPr>
          <w:p w14:paraId="791DA906" w14:textId="77777777" w:rsidR="00410071" w:rsidRPr="00BA51FF" w:rsidRDefault="00410071" w:rsidP="001509BE">
            <w:pPr>
              <w:pStyle w:val="TableText"/>
              <w:tabs>
                <w:tab w:val="decimal" w:pos="788"/>
              </w:tabs>
            </w:pPr>
            <w:r>
              <w:t>62</w:t>
            </w:r>
          </w:p>
        </w:tc>
        <w:tc>
          <w:tcPr>
            <w:tcW w:w="925" w:type="pct"/>
          </w:tcPr>
          <w:p w14:paraId="01EA5427" w14:textId="77777777" w:rsidR="00410071" w:rsidRPr="00BA51FF" w:rsidRDefault="00410071" w:rsidP="001509BE">
            <w:pPr>
              <w:pStyle w:val="TableText"/>
              <w:jc w:val="center"/>
            </w:pPr>
            <w:r>
              <w:t>599</w:t>
            </w:r>
          </w:p>
        </w:tc>
        <w:tc>
          <w:tcPr>
            <w:tcW w:w="854" w:type="pct"/>
          </w:tcPr>
          <w:p w14:paraId="15AB1125" w14:textId="77777777" w:rsidR="00410071" w:rsidRPr="00BA51FF" w:rsidRDefault="00410071" w:rsidP="001509BE">
            <w:pPr>
              <w:pStyle w:val="TableText"/>
              <w:jc w:val="center"/>
              <w:rPr>
                <w:w w:val="102"/>
              </w:rPr>
            </w:pPr>
            <w:r>
              <w:rPr>
                <w:w w:val="102"/>
              </w:rPr>
              <w:t>0</w:t>
            </w:r>
          </w:p>
        </w:tc>
      </w:tr>
    </w:tbl>
    <w:p w14:paraId="264C033E" w14:textId="77777777" w:rsidR="00410071" w:rsidRPr="00BA51FF" w:rsidRDefault="00410071" w:rsidP="001509BE">
      <w:pPr>
        <w:pStyle w:val="Note"/>
      </w:pPr>
      <w:r w:rsidRPr="00BA51FF">
        <w:t>Notes: CTO = compulsory treatment order. The table presents applications that had been processed at the time of data extraction on 1 February 2021. The year is determined by the final outcome date. The case management system (CMS) is a live operational database. Figures are subject to minor changes at any time.</w:t>
      </w:r>
    </w:p>
    <w:p w14:paraId="4D252E2D" w14:textId="77777777" w:rsidR="00410071" w:rsidRDefault="00410071" w:rsidP="001509BE">
      <w:pPr>
        <w:pStyle w:val="Source"/>
      </w:pPr>
      <w:r w:rsidRPr="00BA51FF">
        <w:t>Source: Ministry of Justice Integrated Sector Intelligence System, which uses data entered into the CMS</w:t>
      </w:r>
      <w:r>
        <w:t xml:space="preserve"> (extracted</w:t>
      </w:r>
      <w:r w:rsidRPr="00BA51FF">
        <w:t xml:space="preserve"> 1</w:t>
      </w:r>
      <w:r>
        <w:t> </w:t>
      </w:r>
      <w:r w:rsidRPr="00BA51FF">
        <w:t>February 2021</w:t>
      </w:r>
      <w:r>
        <w:t>)</w:t>
      </w:r>
      <w:r w:rsidRPr="00BA51FF">
        <w:t>.</w:t>
      </w:r>
    </w:p>
    <w:p w14:paraId="26694738" w14:textId="77777777" w:rsidR="001509BE" w:rsidRPr="001509BE" w:rsidRDefault="001509BE" w:rsidP="001509BE"/>
    <w:p w14:paraId="2FDE0523" w14:textId="66727C87" w:rsidR="00410071" w:rsidRPr="00200234" w:rsidRDefault="00410071" w:rsidP="001509BE">
      <w:pPr>
        <w:pStyle w:val="Table"/>
      </w:pPr>
      <w:bookmarkStart w:id="534" w:name="_Toc63764688"/>
      <w:bookmarkStart w:id="535" w:name="_Toc75176541"/>
      <w:bookmarkStart w:id="536" w:name="_Toc87430020"/>
      <w:bookmarkStart w:id="537" w:name="_Toc88561377"/>
      <w:r w:rsidRPr="00200234">
        <w:lastRenderedPageBreak/>
        <w:t>Table</w:t>
      </w:r>
      <w:r w:rsidR="001509BE">
        <w:t> </w:t>
      </w:r>
      <w:r w:rsidRPr="00200234">
        <w:t>A</w:t>
      </w:r>
      <w:r w:rsidR="00592799">
        <w:fldChar w:fldCharType="begin"/>
      </w:r>
      <w:r w:rsidR="00592799">
        <w:instrText xml:space="preserve"> SEQ Table_A \* ARABIC </w:instrText>
      </w:r>
      <w:r w:rsidR="00592799">
        <w:fldChar w:fldCharType="separate"/>
      </w:r>
      <w:r w:rsidR="00840F18">
        <w:rPr>
          <w:noProof/>
        </w:rPr>
        <w:t>2</w:t>
      </w:r>
      <w:r w:rsidR="00592799">
        <w:rPr>
          <w:noProof/>
        </w:rPr>
        <w:fldChar w:fldCharType="end"/>
      </w:r>
      <w:r w:rsidRPr="00200234">
        <w:t>: Types of compulsory treatment orders made on granted applications, 2004–20</w:t>
      </w:r>
      <w:bookmarkEnd w:id="534"/>
      <w:r>
        <w:t>20</w:t>
      </w:r>
      <w:bookmarkEnd w:id="535"/>
      <w:bookmarkEnd w:id="536"/>
      <w:bookmarkEnd w:id="537"/>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02"/>
        <w:gridCol w:w="1206"/>
        <w:gridCol w:w="1204"/>
        <w:gridCol w:w="1204"/>
        <w:gridCol w:w="1685"/>
        <w:gridCol w:w="902"/>
        <w:gridCol w:w="1277"/>
      </w:tblGrid>
      <w:tr w:rsidR="00410071" w:rsidRPr="001509BE" w14:paraId="6792FCCE" w14:textId="77777777" w:rsidTr="001509BE">
        <w:trPr>
          <w:cantSplit/>
        </w:trPr>
        <w:tc>
          <w:tcPr>
            <w:tcW w:w="373" w:type="pct"/>
            <w:tcBorders>
              <w:top w:val="nil"/>
              <w:bottom w:val="nil"/>
            </w:tcBorders>
            <w:shd w:val="clear" w:color="auto" w:fill="D9D9D9" w:themeFill="background1" w:themeFillShade="D9"/>
          </w:tcPr>
          <w:p w14:paraId="7377E8BA" w14:textId="77777777" w:rsidR="00410071" w:rsidRPr="001509BE" w:rsidRDefault="00410071" w:rsidP="001509BE">
            <w:pPr>
              <w:pStyle w:val="TableText"/>
              <w:rPr>
                <w:b/>
              </w:rPr>
            </w:pPr>
            <w:r w:rsidRPr="001509BE">
              <w:rPr>
                <w:b/>
              </w:rPr>
              <w:t>Year</w:t>
            </w:r>
          </w:p>
        </w:tc>
        <w:tc>
          <w:tcPr>
            <w:tcW w:w="746" w:type="pct"/>
            <w:tcBorders>
              <w:top w:val="nil"/>
              <w:bottom w:val="nil"/>
            </w:tcBorders>
            <w:shd w:val="clear" w:color="auto" w:fill="D9D9D9"/>
          </w:tcPr>
          <w:p w14:paraId="5A281FAE" w14:textId="77777777" w:rsidR="00410071" w:rsidRPr="001509BE" w:rsidRDefault="00410071" w:rsidP="001509BE">
            <w:pPr>
              <w:pStyle w:val="TableText"/>
              <w:jc w:val="center"/>
              <w:rPr>
                <w:b/>
              </w:rPr>
            </w:pPr>
            <w:r w:rsidRPr="001509BE">
              <w:rPr>
                <w:b/>
              </w:rPr>
              <w:t>Number of granted applications for orders</w:t>
            </w:r>
          </w:p>
        </w:tc>
        <w:tc>
          <w:tcPr>
            <w:tcW w:w="745" w:type="pct"/>
            <w:tcBorders>
              <w:top w:val="nil"/>
              <w:bottom w:val="nil"/>
            </w:tcBorders>
            <w:shd w:val="clear" w:color="auto" w:fill="D9D9D9" w:themeFill="background1" w:themeFillShade="D9"/>
          </w:tcPr>
          <w:p w14:paraId="505436A5" w14:textId="77777777" w:rsidR="00410071" w:rsidRPr="001509BE" w:rsidRDefault="00410071" w:rsidP="001509BE">
            <w:pPr>
              <w:pStyle w:val="TableText"/>
              <w:jc w:val="center"/>
              <w:rPr>
                <w:b/>
              </w:rPr>
            </w:pPr>
            <w:r w:rsidRPr="001509BE">
              <w:rPr>
                <w:b/>
              </w:rPr>
              <w:t>Number of compulsory community treatment orders (or extension)</w:t>
            </w:r>
          </w:p>
        </w:tc>
        <w:tc>
          <w:tcPr>
            <w:tcW w:w="745" w:type="pct"/>
            <w:tcBorders>
              <w:top w:val="nil"/>
              <w:bottom w:val="nil"/>
            </w:tcBorders>
            <w:shd w:val="clear" w:color="auto" w:fill="D9D9D9" w:themeFill="background1" w:themeFillShade="D9"/>
          </w:tcPr>
          <w:p w14:paraId="49C12903" w14:textId="77777777" w:rsidR="00410071" w:rsidRPr="001509BE" w:rsidRDefault="00410071" w:rsidP="001509BE">
            <w:pPr>
              <w:pStyle w:val="TableText"/>
              <w:jc w:val="center"/>
              <w:rPr>
                <w:b/>
              </w:rPr>
            </w:pPr>
            <w:r w:rsidRPr="001509BE">
              <w:rPr>
                <w:b/>
              </w:rPr>
              <w:t>Number of compulsory inpatient treatment orders (or extension)</w:t>
            </w:r>
          </w:p>
        </w:tc>
        <w:tc>
          <w:tcPr>
            <w:tcW w:w="1043" w:type="pct"/>
            <w:tcBorders>
              <w:top w:val="nil"/>
              <w:bottom w:val="nil"/>
            </w:tcBorders>
            <w:shd w:val="clear" w:color="auto" w:fill="D9D9D9" w:themeFill="background1" w:themeFillShade="D9"/>
          </w:tcPr>
          <w:p w14:paraId="124F4676" w14:textId="77777777" w:rsidR="00410071" w:rsidRPr="001509BE" w:rsidRDefault="00410071" w:rsidP="001509BE">
            <w:pPr>
              <w:pStyle w:val="TableText"/>
              <w:jc w:val="center"/>
              <w:rPr>
                <w:b/>
              </w:rPr>
            </w:pPr>
            <w:r w:rsidRPr="001509BE">
              <w:rPr>
                <w:b/>
              </w:rPr>
              <w:t>Number of orders recorded as both compulsory community and inpatient treatment orders (or extension)</w:t>
            </w:r>
          </w:p>
        </w:tc>
        <w:tc>
          <w:tcPr>
            <w:tcW w:w="558" w:type="pct"/>
            <w:tcBorders>
              <w:top w:val="nil"/>
              <w:bottom w:val="nil"/>
            </w:tcBorders>
            <w:shd w:val="clear" w:color="auto" w:fill="D9D9D9" w:themeFill="background1" w:themeFillShade="D9"/>
          </w:tcPr>
          <w:p w14:paraId="064EE5B4" w14:textId="77777777" w:rsidR="00410071" w:rsidRPr="001509BE" w:rsidRDefault="00410071" w:rsidP="001509BE">
            <w:pPr>
              <w:pStyle w:val="TableText"/>
              <w:jc w:val="center"/>
              <w:rPr>
                <w:b/>
              </w:rPr>
            </w:pPr>
            <w:r w:rsidRPr="001509BE">
              <w:rPr>
                <w:b/>
              </w:rPr>
              <w:t>Number of other orders</w:t>
            </w:r>
          </w:p>
        </w:tc>
        <w:tc>
          <w:tcPr>
            <w:tcW w:w="790" w:type="pct"/>
            <w:tcBorders>
              <w:top w:val="nil"/>
              <w:bottom w:val="nil"/>
            </w:tcBorders>
            <w:shd w:val="clear" w:color="auto" w:fill="D9D9D9" w:themeFill="background1" w:themeFillShade="D9"/>
          </w:tcPr>
          <w:p w14:paraId="1BCECCC9" w14:textId="77777777" w:rsidR="00410071" w:rsidRPr="001509BE" w:rsidRDefault="00410071" w:rsidP="001509BE">
            <w:pPr>
              <w:pStyle w:val="TableText"/>
              <w:jc w:val="center"/>
              <w:rPr>
                <w:b/>
              </w:rPr>
            </w:pPr>
            <w:r w:rsidRPr="001509BE">
              <w:rPr>
                <w:b/>
              </w:rPr>
              <w:t>Number of applications where type of order was not recorded</w:t>
            </w:r>
          </w:p>
        </w:tc>
      </w:tr>
      <w:tr w:rsidR="00410071" w:rsidRPr="00200234" w14:paraId="03245DAF" w14:textId="77777777" w:rsidTr="001509BE">
        <w:trPr>
          <w:cantSplit/>
        </w:trPr>
        <w:tc>
          <w:tcPr>
            <w:tcW w:w="373" w:type="pct"/>
            <w:tcBorders>
              <w:top w:val="nil"/>
            </w:tcBorders>
          </w:tcPr>
          <w:p w14:paraId="0CF9571C" w14:textId="77777777" w:rsidR="00410071" w:rsidRPr="00200234" w:rsidRDefault="00410071" w:rsidP="001509BE">
            <w:pPr>
              <w:pStyle w:val="TableText"/>
            </w:pPr>
            <w:r w:rsidRPr="00200234">
              <w:rPr>
                <w:w w:val="105"/>
              </w:rPr>
              <w:t>2004</w:t>
            </w:r>
          </w:p>
        </w:tc>
        <w:tc>
          <w:tcPr>
            <w:tcW w:w="746" w:type="pct"/>
            <w:tcBorders>
              <w:top w:val="nil"/>
            </w:tcBorders>
          </w:tcPr>
          <w:p w14:paraId="548F92B4" w14:textId="77777777" w:rsidR="00410071" w:rsidRPr="00200234" w:rsidRDefault="00410071" w:rsidP="001509BE">
            <w:pPr>
              <w:pStyle w:val="TableText"/>
              <w:jc w:val="center"/>
            </w:pPr>
            <w:r w:rsidRPr="00200234">
              <w:t>3,863</w:t>
            </w:r>
          </w:p>
        </w:tc>
        <w:tc>
          <w:tcPr>
            <w:tcW w:w="745" w:type="pct"/>
            <w:tcBorders>
              <w:top w:val="nil"/>
            </w:tcBorders>
          </w:tcPr>
          <w:p w14:paraId="22FBF2D0" w14:textId="77777777" w:rsidR="00410071" w:rsidRPr="00200234" w:rsidRDefault="00410071" w:rsidP="001509BE">
            <w:pPr>
              <w:pStyle w:val="TableText"/>
              <w:jc w:val="center"/>
            </w:pPr>
            <w:r w:rsidRPr="00200234">
              <w:t>1,831</w:t>
            </w:r>
          </w:p>
        </w:tc>
        <w:tc>
          <w:tcPr>
            <w:tcW w:w="745" w:type="pct"/>
            <w:tcBorders>
              <w:top w:val="nil"/>
            </w:tcBorders>
          </w:tcPr>
          <w:p w14:paraId="369ECCDC" w14:textId="77777777" w:rsidR="00410071" w:rsidRPr="00200234" w:rsidRDefault="00410071" w:rsidP="001509BE">
            <w:pPr>
              <w:pStyle w:val="TableText"/>
              <w:jc w:val="center"/>
            </w:pPr>
            <w:r w:rsidRPr="00200234">
              <w:t>1,533</w:t>
            </w:r>
          </w:p>
        </w:tc>
        <w:tc>
          <w:tcPr>
            <w:tcW w:w="1043" w:type="pct"/>
            <w:tcBorders>
              <w:top w:val="nil"/>
            </w:tcBorders>
          </w:tcPr>
          <w:p w14:paraId="0525EFB7" w14:textId="77777777" w:rsidR="00410071" w:rsidRPr="00200234" w:rsidRDefault="00410071" w:rsidP="001509BE">
            <w:pPr>
              <w:pStyle w:val="TableText"/>
              <w:tabs>
                <w:tab w:val="decimal" w:pos="911"/>
              </w:tabs>
            </w:pPr>
            <w:r w:rsidRPr="00200234">
              <w:t>119</w:t>
            </w:r>
          </w:p>
        </w:tc>
        <w:tc>
          <w:tcPr>
            <w:tcW w:w="558" w:type="pct"/>
            <w:tcBorders>
              <w:top w:val="nil"/>
            </w:tcBorders>
          </w:tcPr>
          <w:p w14:paraId="1B69E027" w14:textId="77777777" w:rsidR="00410071" w:rsidRPr="00200234" w:rsidRDefault="00410071" w:rsidP="001509BE">
            <w:pPr>
              <w:pStyle w:val="TableText"/>
              <w:tabs>
                <w:tab w:val="decimal" w:pos="496"/>
              </w:tabs>
            </w:pPr>
            <w:r w:rsidRPr="00200234">
              <w:t>12</w:t>
            </w:r>
          </w:p>
        </w:tc>
        <w:tc>
          <w:tcPr>
            <w:tcW w:w="790" w:type="pct"/>
            <w:tcBorders>
              <w:top w:val="nil"/>
            </w:tcBorders>
          </w:tcPr>
          <w:p w14:paraId="47C8F323" w14:textId="77777777" w:rsidR="00410071" w:rsidRPr="00200234" w:rsidRDefault="00410071" w:rsidP="001509BE">
            <w:pPr>
              <w:pStyle w:val="TableText"/>
              <w:tabs>
                <w:tab w:val="decimal" w:pos="706"/>
              </w:tabs>
            </w:pPr>
            <w:r w:rsidRPr="00200234">
              <w:t>368</w:t>
            </w:r>
          </w:p>
        </w:tc>
      </w:tr>
      <w:tr w:rsidR="00410071" w:rsidRPr="00200234" w14:paraId="01BA26CD" w14:textId="77777777" w:rsidTr="001509BE">
        <w:trPr>
          <w:cantSplit/>
        </w:trPr>
        <w:tc>
          <w:tcPr>
            <w:tcW w:w="373" w:type="pct"/>
          </w:tcPr>
          <w:p w14:paraId="252ABF7E" w14:textId="77777777" w:rsidR="00410071" w:rsidRPr="00200234" w:rsidRDefault="00410071" w:rsidP="001509BE">
            <w:pPr>
              <w:pStyle w:val="TableText"/>
              <w:rPr>
                <w:w w:val="105"/>
              </w:rPr>
            </w:pPr>
            <w:r w:rsidRPr="00200234">
              <w:rPr>
                <w:w w:val="105"/>
              </w:rPr>
              <w:t>2005</w:t>
            </w:r>
          </w:p>
        </w:tc>
        <w:tc>
          <w:tcPr>
            <w:tcW w:w="746" w:type="pct"/>
          </w:tcPr>
          <w:p w14:paraId="74011219" w14:textId="77777777" w:rsidR="00410071" w:rsidRPr="00200234" w:rsidRDefault="00410071" w:rsidP="001509BE">
            <w:pPr>
              <w:pStyle w:val="TableText"/>
              <w:jc w:val="center"/>
            </w:pPr>
            <w:r w:rsidRPr="00200234">
              <w:t>3,682</w:t>
            </w:r>
          </w:p>
        </w:tc>
        <w:tc>
          <w:tcPr>
            <w:tcW w:w="745" w:type="pct"/>
          </w:tcPr>
          <w:p w14:paraId="68204B4E" w14:textId="77777777" w:rsidR="00410071" w:rsidRPr="00200234" w:rsidRDefault="00410071" w:rsidP="001509BE">
            <w:pPr>
              <w:pStyle w:val="TableText"/>
              <w:jc w:val="center"/>
            </w:pPr>
            <w:r w:rsidRPr="00200234">
              <w:t>1,575</w:t>
            </w:r>
          </w:p>
        </w:tc>
        <w:tc>
          <w:tcPr>
            <w:tcW w:w="745" w:type="pct"/>
          </w:tcPr>
          <w:p w14:paraId="39F5E3DA" w14:textId="77777777" w:rsidR="00410071" w:rsidRPr="00200234" w:rsidRDefault="00410071" w:rsidP="001509BE">
            <w:pPr>
              <w:pStyle w:val="TableText"/>
              <w:jc w:val="center"/>
            </w:pPr>
            <w:r w:rsidRPr="00200234">
              <w:t>1,438</w:t>
            </w:r>
          </w:p>
        </w:tc>
        <w:tc>
          <w:tcPr>
            <w:tcW w:w="1043" w:type="pct"/>
          </w:tcPr>
          <w:p w14:paraId="2932E6FB" w14:textId="77777777" w:rsidR="00410071" w:rsidRPr="00200234" w:rsidRDefault="00410071" w:rsidP="001509BE">
            <w:pPr>
              <w:pStyle w:val="TableText"/>
              <w:tabs>
                <w:tab w:val="decimal" w:pos="911"/>
              </w:tabs>
            </w:pPr>
            <w:r w:rsidRPr="00200234">
              <w:t>93</w:t>
            </w:r>
          </w:p>
        </w:tc>
        <w:tc>
          <w:tcPr>
            <w:tcW w:w="558" w:type="pct"/>
          </w:tcPr>
          <w:p w14:paraId="20D3FB49" w14:textId="77777777" w:rsidR="00410071" w:rsidRPr="00200234" w:rsidRDefault="00410071" w:rsidP="001509BE">
            <w:pPr>
              <w:pStyle w:val="TableText"/>
              <w:tabs>
                <w:tab w:val="decimal" w:pos="496"/>
              </w:tabs>
            </w:pPr>
            <w:r w:rsidRPr="00200234">
              <w:t>10</w:t>
            </w:r>
          </w:p>
        </w:tc>
        <w:tc>
          <w:tcPr>
            <w:tcW w:w="790" w:type="pct"/>
          </w:tcPr>
          <w:p w14:paraId="7F5BD9A9" w14:textId="77777777" w:rsidR="00410071" w:rsidRPr="00200234" w:rsidRDefault="00410071" w:rsidP="001509BE">
            <w:pPr>
              <w:pStyle w:val="TableText"/>
              <w:tabs>
                <w:tab w:val="decimal" w:pos="706"/>
              </w:tabs>
            </w:pPr>
            <w:r w:rsidRPr="00200234">
              <w:t>566</w:t>
            </w:r>
          </w:p>
        </w:tc>
      </w:tr>
      <w:tr w:rsidR="00410071" w:rsidRPr="00200234" w14:paraId="0F8CC2B4" w14:textId="77777777" w:rsidTr="001509BE">
        <w:trPr>
          <w:cantSplit/>
        </w:trPr>
        <w:tc>
          <w:tcPr>
            <w:tcW w:w="373" w:type="pct"/>
          </w:tcPr>
          <w:p w14:paraId="5D6F4A6E" w14:textId="77777777" w:rsidR="00410071" w:rsidRPr="00200234" w:rsidRDefault="00410071" w:rsidP="001509BE">
            <w:pPr>
              <w:pStyle w:val="TableText"/>
              <w:rPr>
                <w:w w:val="105"/>
              </w:rPr>
            </w:pPr>
            <w:r w:rsidRPr="00200234">
              <w:rPr>
                <w:w w:val="105"/>
              </w:rPr>
              <w:t>2006</w:t>
            </w:r>
          </w:p>
        </w:tc>
        <w:tc>
          <w:tcPr>
            <w:tcW w:w="746" w:type="pct"/>
          </w:tcPr>
          <w:p w14:paraId="11875481" w14:textId="77777777" w:rsidR="00410071" w:rsidRPr="00200234" w:rsidRDefault="00410071" w:rsidP="001509BE">
            <w:pPr>
              <w:pStyle w:val="TableText"/>
              <w:jc w:val="center"/>
            </w:pPr>
            <w:r w:rsidRPr="00200234">
              <w:t>3,643</w:t>
            </w:r>
          </w:p>
        </w:tc>
        <w:tc>
          <w:tcPr>
            <w:tcW w:w="745" w:type="pct"/>
          </w:tcPr>
          <w:p w14:paraId="0FC18A9E" w14:textId="77777777" w:rsidR="00410071" w:rsidRPr="00200234" w:rsidRDefault="00410071" w:rsidP="001509BE">
            <w:pPr>
              <w:pStyle w:val="TableText"/>
              <w:jc w:val="center"/>
            </w:pPr>
            <w:r w:rsidRPr="00200234">
              <w:t>1,614</w:t>
            </w:r>
          </w:p>
        </w:tc>
        <w:tc>
          <w:tcPr>
            <w:tcW w:w="745" w:type="pct"/>
          </w:tcPr>
          <w:p w14:paraId="0EEF9A41" w14:textId="77777777" w:rsidR="00410071" w:rsidRPr="00200234" w:rsidRDefault="00410071" w:rsidP="001509BE">
            <w:pPr>
              <w:pStyle w:val="TableText"/>
              <w:jc w:val="center"/>
            </w:pPr>
            <w:r w:rsidRPr="00200234">
              <w:t>1,384</w:t>
            </w:r>
          </w:p>
        </w:tc>
        <w:tc>
          <w:tcPr>
            <w:tcW w:w="1043" w:type="pct"/>
          </w:tcPr>
          <w:p w14:paraId="18FD74B3" w14:textId="77777777" w:rsidR="00410071" w:rsidRPr="00200234" w:rsidRDefault="00410071" w:rsidP="001509BE">
            <w:pPr>
              <w:pStyle w:val="TableText"/>
              <w:tabs>
                <w:tab w:val="decimal" w:pos="911"/>
              </w:tabs>
            </w:pPr>
            <w:r w:rsidRPr="00200234">
              <w:t>91</w:t>
            </w:r>
          </w:p>
        </w:tc>
        <w:tc>
          <w:tcPr>
            <w:tcW w:w="558" w:type="pct"/>
          </w:tcPr>
          <w:p w14:paraId="4E72BCA3" w14:textId="77777777" w:rsidR="00410071" w:rsidRPr="00200234" w:rsidRDefault="00410071" w:rsidP="001509BE">
            <w:pPr>
              <w:pStyle w:val="TableText"/>
              <w:tabs>
                <w:tab w:val="decimal" w:pos="496"/>
              </w:tabs>
            </w:pPr>
            <w:r w:rsidRPr="00200234">
              <w:t>14</w:t>
            </w:r>
          </w:p>
        </w:tc>
        <w:tc>
          <w:tcPr>
            <w:tcW w:w="790" w:type="pct"/>
          </w:tcPr>
          <w:p w14:paraId="22BB893E" w14:textId="77777777" w:rsidR="00410071" w:rsidRPr="00200234" w:rsidRDefault="00410071" w:rsidP="001509BE">
            <w:pPr>
              <w:pStyle w:val="TableText"/>
              <w:tabs>
                <w:tab w:val="decimal" w:pos="706"/>
              </w:tabs>
            </w:pPr>
            <w:r w:rsidRPr="00200234">
              <w:t>540</w:t>
            </w:r>
          </w:p>
        </w:tc>
      </w:tr>
      <w:tr w:rsidR="00410071" w:rsidRPr="00200234" w14:paraId="63A5D03B" w14:textId="77777777" w:rsidTr="001509BE">
        <w:trPr>
          <w:cantSplit/>
        </w:trPr>
        <w:tc>
          <w:tcPr>
            <w:tcW w:w="373" w:type="pct"/>
          </w:tcPr>
          <w:p w14:paraId="26162931" w14:textId="77777777" w:rsidR="00410071" w:rsidRPr="00200234" w:rsidRDefault="00410071" w:rsidP="001509BE">
            <w:pPr>
              <w:pStyle w:val="TableText"/>
              <w:rPr>
                <w:w w:val="105"/>
              </w:rPr>
            </w:pPr>
            <w:r w:rsidRPr="00200234">
              <w:rPr>
                <w:w w:val="105"/>
              </w:rPr>
              <w:t>2007</w:t>
            </w:r>
          </w:p>
        </w:tc>
        <w:tc>
          <w:tcPr>
            <w:tcW w:w="746" w:type="pct"/>
          </w:tcPr>
          <w:p w14:paraId="3B370050" w14:textId="77777777" w:rsidR="00410071" w:rsidRPr="00200234" w:rsidRDefault="00410071" w:rsidP="001509BE">
            <w:pPr>
              <w:pStyle w:val="TableText"/>
              <w:jc w:val="center"/>
            </w:pPr>
            <w:r w:rsidRPr="00200234">
              <w:t>3,916</w:t>
            </w:r>
          </w:p>
        </w:tc>
        <w:tc>
          <w:tcPr>
            <w:tcW w:w="745" w:type="pct"/>
          </w:tcPr>
          <w:p w14:paraId="4813C9CA" w14:textId="77777777" w:rsidR="00410071" w:rsidRPr="00200234" w:rsidRDefault="00410071" w:rsidP="001509BE">
            <w:pPr>
              <w:pStyle w:val="TableText"/>
              <w:jc w:val="center"/>
            </w:pPr>
            <w:r w:rsidRPr="00200234">
              <w:t>1,714</w:t>
            </w:r>
          </w:p>
        </w:tc>
        <w:tc>
          <w:tcPr>
            <w:tcW w:w="745" w:type="pct"/>
          </w:tcPr>
          <w:p w14:paraId="3A312439" w14:textId="77777777" w:rsidR="00410071" w:rsidRPr="00200234" w:rsidRDefault="00410071" w:rsidP="001509BE">
            <w:pPr>
              <w:pStyle w:val="TableText"/>
              <w:jc w:val="center"/>
            </w:pPr>
            <w:r w:rsidRPr="00200234">
              <w:t>1,336</w:t>
            </w:r>
          </w:p>
        </w:tc>
        <w:tc>
          <w:tcPr>
            <w:tcW w:w="1043" w:type="pct"/>
          </w:tcPr>
          <w:p w14:paraId="0A477062" w14:textId="77777777" w:rsidR="00410071" w:rsidRPr="00200234" w:rsidRDefault="00410071" w:rsidP="001509BE">
            <w:pPr>
              <w:pStyle w:val="TableText"/>
              <w:tabs>
                <w:tab w:val="decimal" w:pos="911"/>
              </w:tabs>
            </w:pPr>
            <w:r w:rsidRPr="00200234">
              <w:t>118</w:t>
            </w:r>
          </w:p>
        </w:tc>
        <w:tc>
          <w:tcPr>
            <w:tcW w:w="558" w:type="pct"/>
          </w:tcPr>
          <w:p w14:paraId="71AF12A0" w14:textId="77777777" w:rsidR="00410071" w:rsidRPr="00200234" w:rsidRDefault="00410071" w:rsidP="001509BE">
            <w:pPr>
              <w:pStyle w:val="TableText"/>
              <w:tabs>
                <w:tab w:val="decimal" w:pos="496"/>
              </w:tabs>
            </w:pPr>
            <w:r w:rsidRPr="00200234">
              <w:t>24</w:t>
            </w:r>
          </w:p>
        </w:tc>
        <w:tc>
          <w:tcPr>
            <w:tcW w:w="790" w:type="pct"/>
          </w:tcPr>
          <w:p w14:paraId="646A78B6" w14:textId="77777777" w:rsidR="00410071" w:rsidRPr="00200234" w:rsidRDefault="00410071" w:rsidP="001509BE">
            <w:pPr>
              <w:pStyle w:val="TableText"/>
              <w:tabs>
                <w:tab w:val="decimal" w:pos="706"/>
              </w:tabs>
            </w:pPr>
            <w:r w:rsidRPr="00200234">
              <w:t>724</w:t>
            </w:r>
          </w:p>
        </w:tc>
      </w:tr>
      <w:tr w:rsidR="00410071" w:rsidRPr="00200234" w14:paraId="17E6B0CD" w14:textId="77777777" w:rsidTr="001509BE">
        <w:trPr>
          <w:cantSplit/>
        </w:trPr>
        <w:tc>
          <w:tcPr>
            <w:tcW w:w="373" w:type="pct"/>
          </w:tcPr>
          <w:p w14:paraId="6B3259C6" w14:textId="77777777" w:rsidR="00410071" w:rsidRPr="00200234" w:rsidRDefault="00410071" w:rsidP="001509BE">
            <w:pPr>
              <w:pStyle w:val="TableText"/>
              <w:rPr>
                <w:w w:val="105"/>
              </w:rPr>
            </w:pPr>
            <w:r w:rsidRPr="00200234">
              <w:rPr>
                <w:w w:val="105"/>
              </w:rPr>
              <w:t>2008</w:t>
            </w:r>
          </w:p>
        </w:tc>
        <w:tc>
          <w:tcPr>
            <w:tcW w:w="746" w:type="pct"/>
          </w:tcPr>
          <w:p w14:paraId="05AAE1D1" w14:textId="77777777" w:rsidR="00410071" w:rsidRPr="00200234" w:rsidRDefault="00410071" w:rsidP="001509BE">
            <w:pPr>
              <w:pStyle w:val="TableText"/>
              <w:jc w:val="center"/>
            </w:pPr>
            <w:r w:rsidRPr="00200234">
              <w:t>3,969</w:t>
            </w:r>
          </w:p>
        </w:tc>
        <w:tc>
          <w:tcPr>
            <w:tcW w:w="745" w:type="pct"/>
          </w:tcPr>
          <w:p w14:paraId="07A5BD29" w14:textId="77777777" w:rsidR="00410071" w:rsidRPr="00200234" w:rsidRDefault="00410071" w:rsidP="001509BE">
            <w:pPr>
              <w:pStyle w:val="TableText"/>
              <w:jc w:val="center"/>
            </w:pPr>
            <w:r w:rsidRPr="00200234">
              <w:t>1,841</w:t>
            </w:r>
          </w:p>
        </w:tc>
        <w:tc>
          <w:tcPr>
            <w:tcW w:w="745" w:type="pct"/>
          </w:tcPr>
          <w:p w14:paraId="7C568424" w14:textId="77777777" w:rsidR="00410071" w:rsidRPr="00200234" w:rsidRDefault="00410071" w:rsidP="001509BE">
            <w:pPr>
              <w:pStyle w:val="TableText"/>
              <w:jc w:val="center"/>
            </w:pPr>
            <w:r w:rsidRPr="00200234">
              <w:t>1,431</w:t>
            </w:r>
          </w:p>
        </w:tc>
        <w:tc>
          <w:tcPr>
            <w:tcW w:w="1043" w:type="pct"/>
          </w:tcPr>
          <w:p w14:paraId="1E184667" w14:textId="77777777" w:rsidR="00410071" w:rsidRPr="00200234" w:rsidRDefault="00410071" w:rsidP="001509BE">
            <w:pPr>
              <w:pStyle w:val="TableText"/>
              <w:tabs>
                <w:tab w:val="decimal" w:pos="911"/>
              </w:tabs>
            </w:pPr>
            <w:r w:rsidRPr="00200234">
              <w:t>120</w:t>
            </w:r>
          </w:p>
        </w:tc>
        <w:tc>
          <w:tcPr>
            <w:tcW w:w="558" w:type="pct"/>
          </w:tcPr>
          <w:p w14:paraId="2451917F" w14:textId="77777777" w:rsidR="00410071" w:rsidRPr="00200234" w:rsidRDefault="00410071" w:rsidP="001509BE">
            <w:pPr>
              <w:pStyle w:val="TableText"/>
              <w:tabs>
                <w:tab w:val="decimal" w:pos="496"/>
              </w:tabs>
            </w:pPr>
            <w:r w:rsidRPr="00200234">
              <w:t>13</w:t>
            </w:r>
          </w:p>
        </w:tc>
        <w:tc>
          <w:tcPr>
            <w:tcW w:w="790" w:type="pct"/>
          </w:tcPr>
          <w:p w14:paraId="684771D4" w14:textId="77777777" w:rsidR="00410071" w:rsidRPr="00200234" w:rsidRDefault="00410071" w:rsidP="001509BE">
            <w:pPr>
              <w:pStyle w:val="TableText"/>
              <w:tabs>
                <w:tab w:val="decimal" w:pos="706"/>
              </w:tabs>
            </w:pPr>
            <w:r w:rsidRPr="00200234">
              <w:t>564</w:t>
            </w:r>
          </w:p>
        </w:tc>
      </w:tr>
      <w:tr w:rsidR="00410071" w:rsidRPr="00200234" w14:paraId="2336BFC2" w14:textId="77777777" w:rsidTr="001509BE">
        <w:trPr>
          <w:cantSplit/>
        </w:trPr>
        <w:tc>
          <w:tcPr>
            <w:tcW w:w="373" w:type="pct"/>
          </w:tcPr>
          <w:p w14:paraId="081979B3" w14:textId="77777777" w:rsidR="00410071" w:rsidRPr="00200234" w:rsidRDefault="00410071" w:rsidP="001509BE">
            <w:pPr>
              <w:pStyle w:val="TableText"/>
              <w:rPr>
                <w:w w:val="105"/>
              </w:rPr>
            </w:pPr>
            <w:r w:rsidRPr="00200234">
              <w:rPr>
                <w:w w:val="105"/>
              </w:rPr>
              <w:t>2009</w:t>
            </w:r>
          </w:p>
        </w:tc>
        <w:tc>
          <w:tcPr>
            <w:tcW w:w="746" w:type="pct"/>
          </w:tcPr>
          <w:p w14:paraId="545E779B" w14:textId="77777777" w:rsidR="00410071" w:rsidRPr="00200234" w:rsidRDefault="00410071" w:rsidP="001509BE">
            <w:pPr>
              <w:pStyle w:val="TableText"/>
              <w:jc w:val="center"/>
            </w:pPr>
            <w:r w:rsidRPr="00200234">
              <w:t>4,039</w:t>
            </w:r>
          </w:p>
        </w:tc>
        <w:tc>
          <w:tcPr>
            <w:tcW w:w="745" w:type="pct"/>
          </w:tcPr>
          <w:p w14:paraId="471F5C43" w14:textId="77777777" w:rsidR="00410071" w:rsidRPr="00200234" w:rsidRDefault="00410071" w:rsidP="001509BE">
            <w:pPr>
              <w:pStyle w:val="TableText"/>
              <w:jc w:val="center"/>
            </w:pPr>
            <w:r w:rsidRPr="00200234">
              <w:t>2,085</w:t>
            </w:r>
          </w:p>
        </w:tc>
        <w:tc>
          <w:tcPr>
            <w:tcW w:w="745" w:type="pct"/>
          </w:tcPr>
          <w:p w14:paraId="19233FD9" w14:textId="77777777" w:rsidR="00410071" w:rsidRPr="00200234" w:rsidRDefault="00410071" w:rsidP="001509BE">
            <w:pPr>
              <w:pStyle w:val="TableText"/>
              <w:jc w:val="center"/>
            </w:pPr>
            <w:r w:rsidRPr="00200234">
              <w:t>1,565</w:t>
            </w:r>
          </w:p>
        </w:tc>
        <w:tc>
          <w:tcPr>
            <w:tcW w:w="1043" w:type="pct"/>
          </w:tcPr>
          <w:p w14:paraId="78552293" w14:textId="77777777" w:rsidR="00410071" w:rsidRPr="00200234" w:rsidRDefault="00410071" w:rsidP="001509BE">
            <w:pPr>
              <w:pStyle w:val="TableText"/>
              <w:tabs>
                <w:tab w:val="decimal" w:pos="911"/>
              </w:tabs>
            </w:pPr>
            <w:r w:rsidRPr="00200234">
              <w:t>106</w:t>
            </w:r>
          </w:p>
        </w:tc>
        <w:tc>
          <w:tcPr>
            <w:tcW w:w="558" w:type="pct"/>
          </w:tcPr>
          <w:p w14:paraId="751C4AD3" w14:textId="77777777" w:rsidR="00410071" w:rsidRPr="00200234" w:rsidRDefault="00410071" w:rsidP="001509BE">
            <w:pPr>
              <w:pStyle w:val="TableText"/>
              <w:tabs>
                <w:tab w:val="decimal" w:pos="496"/>
              </w:tabs>
            </w:pPr>
            <w:r w:rsidRPr="00200234">
              <w:t>15</w:t>
            </w:r>
          </w:p>
        </w:tc>
        <w:tc>
          <w:tcPr>
            <w:tcW w:w="790" w:type="pct"/>
          </w:tcPr>
          <w:p w14:paraId="596F705F" w14:textId="77777777" w:rsidR="00410071" w:rsidRPr="00200234" w:rsidRDefault="00410071" w:rsidP="001509BE">
            <w:pPr>
              <w:pStyle w:val="TableText"/>
              <w:tabs>
                <w:tab w:val="decimal" w:pos="706"/>
              </w:tabs>
            </w:pPr>
            <w:r w:rsidRPr="00200234">
              <w:t>268</w:t>
            </w:r>
          </w:p>
        </w:tc>
      </w:tr>
      <w:tr w:rsidR="00410071" w:rsidRPr="00200234" w14:paraId="463754B0" w14:textId="77777777" w:rsidTr="001509BE">
        <w:trPr>
          <w:cantSplit/>
        </w:trPr>
        <w:tc>
          <w:tcPr>
            <w:tcW w:w="373" w:type="pct"/>
          </w:tcPr>
          <w:p w14:paraId="066747C0" w14:textId="77777777" w:rsidR="00410071" w:rsidRPr="00200234" w:rsidRDefault="00410071" w:rsidP="001509BE">
            <w:pPr>
              <w:pStyle w:val="TableText"/>
              <w:rPr>
                <w:w w:val="105"/>
              </w:rPr>
            </w:pPr>
            <w:r w:rsidRPr="00200234">
              <w:rPr>
                <w:w w:val="105"/>
              </w:rPr>
              <w:t>2010</w:t>
            </w:r>
          </w:p>
        </w:tc>
        <w:tc>
          <w:tcPr>
            <w:tcW w:w="746" w:type="pct"/>
          </w:tcPr>
          <w:p w14:paraId="43385529" w14:textId="77777777" w:rsidR="00410071" w:rsidRPr="00200234" w:rsidRDefault="00410071" w:rsidP="001509BE">
            <w:pPr>
              <w:pStyle w:val="TableText"/>
              <w:jc w:val="center"/>
            </w:pPr>
            <w:r w:rsidRPr="00200234">
              <w:t>4,156</w:t>
            </w:r>
          </w:p>
        </w:tc>
        <w:tc>
          <w:tcPr>
            <w:tcW w:w="745" w:type="pct"/>
          </w:tcPr>
          <w:p w14:paraId="6327D983" w14:textId="77777777" w:rsidR="00410071" w:rsidRPr="00200234" w:rsidRDefault="00410071" w:rsidP="001509BE">
            <w:pPr>
              <w:pStyle w:val="TableText"/>
              <w:jc w:val="center"/>
            </w:pPr>
            <w:r w:rsidRPr="00200234">
              <w:t>2,252</w:t>
            </w:r>
          </w:p>
        </w:tc>
        <w:tc>
          <w:tcPr>
            <w:tcW w:w="745" w:type="pct"/>
          </w:tcPr>
          <w:p w14:paraId="0AD06BB5" w14:textId="77777777" w:rsidR="00410071" w:rsidRPr="00200234" w:rsidRDefault="00410071" w:rsidP="001509BE">
            <w:pPr>
              <w:pStyle w:val="TableText"/>
              <w:jc w:val="center"/>
            </w:pPr>
            <w:r w:rsidRPr="00200234">
              <w:t>1,624</w:t>
            </w:r>
          </w:p>
        </w:tc>
        <w:tc>
          <w:tcPr>
            <w:tcW w:w="1043" w:type="pct"/>
          </w:tcPr>
          <w:p w14:paraId="78C0AE8E" w14:textId="77777777" w:rsidR="00410071" w:rsidRPr="00200234" w:rsidRDefault="00410071" w:rsidP="001509BE">
            <w:pPr>
              <w:pStyle w:val="TableText"/>
              <w:tabs>
                <w:tab w:val="decimal" w:pos="911"/>
              </w:tabs>
            </w:pPr>
            <w:r w:rsidRPr="00200234">
              <w:t>113</w:t>
            </w:r>
          </w:p>
        </w:tc>
        <w:tc>
          <w:tcPr>
            <w:tcW w:w="558" w:type="pct"/>
          </w:tcPr>
          <w:p w14:paraId="12F57972" w14:textId="77777777" w:rsidR="00410071" w:rsidRPr="00200234" w:rsidRDefault="00410071" w:rsidP="001509BE">
            <w:pPr>
              <w:pStyle w:val="TableText"/>
              <w:tabs>
                <w:tab w:val="decimal" w:pos="496"/>
              </w:tabs>
            </w:pPr>
            <w:r w:rsidRPr="00200234">
              <w:t>9</w:t>
            </w:r>
          </w:p>
        </w:tc>
        <w:tc>
          <w:tcPr>
            <w:tcW w:w="790" w:type="pct"/>
          </w:tcPr>
          <w:p w14:paraId="6E40C7A1" w14:textId="77777777" w:rsidR="00410071" w:rsidRPr="00200234" w:rsidRDefault="00410071" w:rsidP="001509BE">
            <w:pPr>
              <w:pStyle w:val="TableText"/>
              <w:tabs>
                <w:tab w:val="decimal" w:pos="706"/>
              </w:tabs>
            </w:pPr>
            <w:r w:rsidRPr="00200234">
              <w:t>158</w:t>
            </w:r>
          </w:p>
        </w:tc>
      </w:tr>
      <w:tr w:rsidR="00410071" w:rsidRPr="00200234" w14:paraId="08851A2E" w14:textId="77777777" w:rsidTr="001509BE">
        <w:trPr>
          <w:cantSplit/>
        </w:trPr>
        <w:tc>
          <w:tcPr>
            <w:tcW w:w="373" w:type="pct"/>
          </w:tcPr>
          <w:p w14:paraId="53B8BEAD" w14:textId="77777777" w:rsidR="00410071" w:rsidRPr="00200234" w:rsidRDefault="00410071" w:rsidP="001509BE">
            <w:pPr>
              <w:pStyle w:val="TableText"/>
              <w:rPr>
                <w:w w:val="105"/>
              </w:rPr>
            </w:pPr>
            <w:r w:rsidRPr="00200234">
              <w:rPr>
                <w:w w:val="105"/>
              </w:rPr>
              <w:t>2011</w:t>
            </w:r>
          </w:p>
        </w:tc>
        <w:tc>
          <w:tcPr>
            <w:tcW w:w="746" w:type="pct"/>
          </w:tcPr>
          <w:p w14:paraId="7177CB69" w14:textId="77777777" w:rsidR="00410071" w:rsidRPr="00200234" w:rsidRDefault="00410071" w:rsidP="001509BE">
            <w:pPr>
              <w:pStyle w:val="TableText"/>
              <w:jc w:val="center"/>
            </w:pPr>
            <w:r w:rsidRPr="00200234">
              <w:t>4,215</w:t>
            </w:r>
          </w:p>
        </w:tc>
        <w:tc>
          <w:tcPr>
            <w:tcW w:w="745" w:type="pct"/>
          </w:tcPr>
          <w:p w14:paraId="1BC36FCF" w14:textId="77777777" w:rsidR="00410071" w:rsidRPr="00200234" w:rsidRDefault="00410071" w:rsidP="001509BE">
            <w:pPr>
              <w:pStyle w:val="TableText"/>
              <w:jc w:val="center"/>
            </w:pPr>
            <w:r w:rsidRPr="00200234">
              <w:t>2,255</w:t>
            </w:r>
          </w:p>
        </w:tc>
        <w:tc>
          <w:tcPr>
            <w:tcW w:w="745" w:type="pct"/>
          </w:tcPr>
          <w:p w14:paraId="33A52AFF" w14:textId="77777777" w:rsidR="00410071" w:rsidRPr="00200234" w:rsidRDefault="00410071" w:rsidP="001509BE">
            <w:pPr>
              <w:pStyle w:val="TableText"/>
              <w:jc w:val="center"/>
            </w:pPr>
            <w:r w:rsidRPr="00200234">
              <w:t>1,677</w:t>
            </w:r>
          </w:p>
        </w:tc>
        <w:tc>
          <w:tcPr>
            <w:tcW w:w="1043" w:type="pct"/>
          </w:tcPr>
          <w:p w14:paraId="626F4776" w14:textId="77777777" w:rsidR="00410071" w:rsidRPr="00200234" w:rsidRDefault="00410071" w:rsidP="001509BE">
            <w:pPr>
              <w:pStyle w:val="TableText"/>
              <w:tabs>
                <w:tab w:val="decimal" w:pos="911"/>
              </w:tabs>
            </w:pPr>
            <w:r w:rsidRPr="00200234">
              <w:t>90</w:t>
            </w:r>
          </w:p>
        </w:tc>
        <w:tc>
          <w:tcPr>
            <w:tcW w:w="558" w:type="pct"/>
          </w:tcPr>
          <w:p w14:paraId="62155700" w14:textId="77777777" w:rsidR="00410071" w:rsidRPr="00200234" w:rsidRDefault="00410071" w:rsidP="001509BE">
            <w:pPr>
              <w:pStyle w:val="TableText"/>
              <w:tabs>
                <w:tab w:val="decimal" w:pos="496"/>
              </w:tabs>
            </w:pPr>
            <w:r w:rsidRPr="00200234">
              <w:t>8</w:t>
            </w:r>
          </w:p>
        </w:tc>
        <w:tc>
          <w:tcPr>
            <w:tcW w:w="790" w:type="pct"/>
          </w:tcPr>
          <w:p w14:paraId="67B792BC" w14:textId="77777777" w:rsidR="00410071" w:rsidRPr="00200234" w:rsidRDefault="00410071" w:rsidP="001509BE">
            <w:pPr>
              <w:pStyle w:val="TableText"/>
              <w:tabs>
                <w:tab w:val="decimal" w:pos="706"/>
              </w:tabs>
            </w:pPr>
            <w:r w:rsidRPr="00200234">
              <w:t>185</w:t>
            </w:r>
          </w:p>
        </w:tc>
      </w:tr>
      <w:tr w:rsidR="00410071" w:rsidRPr="00200234" w14:paraId="5FCF6824" w14:textId="77777777" w:rsidTr="001509BE">
        <w:trPr>
          <w:cantSplit/>
        </w:trPr>
        <w:tc>
          <w:tcPr>
            <w:tcW w:w="373" w:type="pct"/>
          </w:tcPr>
          <w:p w14:paraId="754A0F0E" w14:textId="77777777" w:rsidR="00410071" w:rsidRPr="00200234" w:rsidRDefault="00410071" w:rsidP="001509BE">
            <w:pPr>
              <w:pStyle w:val="TableText"/>
              <w:rPr>
                <w:w w:val="105"/>
              </w:rPr>
            </w:pPr>
            <w:r w:rsidRPr="00200234">
              <w:rPr>
                <w:w w:val="105"/>
              </w:rPr>
              <w:t>2012</w:t>
            </w:r>
          </w:p>
        </w:tc>
        <w:tc>
          <w:tcPr>
            <w:tcW w:w="746" w:type="pct"/>
          </w:tcPr>
          <w:p w14:paraId="35307CB4" w14:textId="77777777" w:rsidR="00410071" w:rsidRPr="00200234" w:rsidRDefault="00410071" w:rsidP="001509BE">
            <w:pPr>
              <w:pStyle w:val="TableText"/>
              <w:jc w:val="center"/>
            </w:pPr>
            <w:r w:rsidRPr="00200234">
              <w:t>4,343</w:t>
            </w:r>
          </w:p>
        </w:tc>
        <w:tc>
          <w:tcPr>
            <w:tcW w:w="745" w:type="pct"/>
          </w:tcPr>
          <w:p w14:paraId="202CDF88" w14:textId="77777777" w:rsidR="00410071" w:rsidRPr="00200234" w:rsidRDefault="00410071" w:rsidP="001509BE">
            <w:pPr>
              <w:pStyle w:val="TableText"/>
              <w:jc w:val="center"/>
            </w:pPr>
            <w:r w:rsidRPr="00200234">
              <w:t>2,436</w:t>
            </w:r>
          </w:p>
        </w:tc>
        <w:tc>
          <w:tcPr>
            <w:tcW w:w="745" w:type="pct"/>
          </w:tcPr>
          <w:p w14:paraId="74882B96" w14:textId="77777777" w:rsidR="00410071" w:rsidRPr="00200234" w:rsidRDefault="00410071" w:rsidP="001509BE">
            <w:pPr>
              <w:pStyle w:val="TableText"/>
              <w:jc w:val="center"/>
            </w:pPr>
            <w:r w:rsidRPr="00200234">
              <w:t>1,684</w:t>
            </w:r>
          </w:p>
        </w:tc>
        <w:tc>
          <w:tcPr>
            <w:tcW w:w="1043" w:type="pct"/>
          </w:tcPr>
          <w:p w14:paraId="26FD08C3" w14:textId="77777777" w:rsidR="00410071" w:rsidRPr="00200234" w:rsidRDefault="00410071" w:rsidP="001509BE">
            <w:pPr>
              <w:pStyle w:val="TableText"/>
              <w:tabs>
                <w:tab w:val="decimal" w:pos="911"/>
              </w:tabs>
            </w:pPr>
            <w:r w:rsidRPr="00200234">
              <w:t>80</w:t>
            </w:r>
          </w:p>
        </w:tc>
        <w:tc>
          <w:tcPr>
            <w:tcW w:w="558" w:type="pct"/>
          </w:tcPr>
          <w:p w14:paraId="5445F0A3" w14:textId="77777777" w:rsidR="00410071" w:rsidRPr="00200234" w:rsidRDefault="00410071" w:rsidP="001509BE">
            <w:pPr>
              <w:pStyle w:val="TableText"/>
              <w:tabs>
                <w:tab w:val="decimal" w:pos="496"/>
              </w:tabs>
            </w:pPr>
            <w:r w:rsidRPr="00200234">
              <w:t>4</w:t>
            </w:r>
          </w:p>
        </w:tc>
        <w:tc>
          <w:tcPr>
            <w:tcW w:w="790" w:type="pct"/>
          </w:tcPr>
          <w:p w14:paraId="1A2D8837" w14:textId="77777777" w:rsidR="00410071" w:rsidRPr="00200234" w:rsidRDefault="00410071" w:rsidP="001509BE">
            <w:pPr>
              <w:pStyle w:val="TableText"/>
              <w:tabs>
                <w:tab w:val="decimal" w:pos="706"/>
              </w:tabs>
            </w:pPr>
            <w:r w:rsidRPr="00200234">
              <w:t>139</w:t>
            </w:r>
          </w:p>
        </w:tc>
      </w:tr>
      <w:tr w:rsidR="00410071" w:rsidRPr="00200234" w14:paraId="1205FFA9" w14:textId="77777777" w:rsidTr="001509BE">
        <w:trPr>
          <w:cantSplit/>
        </w:trPr>
        <w:tc>
          <w:tcPr>
            <w:tcW w:w="373" w:type="pct"/>
          </w:tcPr>
          <w:p w14:paraId="32DB15D4" w14:textId="77777777" w:rsidR="00410071" w:rsidRPr="00200234" w:rsidRDefault="00410071" w:rsidP="001509BE">
            <w:pPr>
              <w:pStyle w:val="TableText"/>
              <w:rPr>
                <w:w w:val="105"/>
              </w:rPr>
            </w:pPr>
            <w:r w:rsidRPr="00200234">
              <w:rPr>
                <w:w w:val="105"/>
              </w:rPr>
              <w:t>2013</w:t>
            </w:r>
          </w:p>
        </w:tc>
        <w:tc>
          <w:tcPr>
            <w:tcW w:w="746" w:type="pct"/>
          </w:tcPr>
          <w:p w14:paraId="19E13D4F" w14:textId="77777777" w:rsidR="00410071" w:rsidRPr="00200234" w:rsidRDefault="00410071" w:rsidP="001509BE">
            <w:pPr>
              <w:pStyle w:val="TableText"/>
              <w:jc w:val="center"/>
            </w:pPr>
            <w:r w:rsidRPr="00200234">
              <w:t>4,607</w:t>
            </w:r>
          </w:p>
        </w:tc>
        <w:tc>
          <w:tcPr>
            <w:tcW w:w="745" w:type="pct"/>
          </w:tcPr>
          <w:p w14:paraId="70F9CAA0" w14:textId="77777777" w:rsidR="00410071" w:rsidRPr="00200234" w:rsidRDefault="00410071" w:rsidP="001509BE">
            <w:pPr>
              <w:pStyle w:val="TableText"/>
              <w:jc w:val="center"/>
            </w:pPr>
            <w:r w:rsidRPr="00200234">
              <w:t>2,639</w:t>
            </w:r>
          </w:p>
        </w:tc>
        <w:tc>
          <w:tcPr>
            <w:tcW w:w="745" w:type="pct"/>
          </w:tcPr>
          <w:p w14:paraId="39DF4E8B" w14:textId="77777777" w:rsidR="00410071" w:rsidRPr="00200234" w:rsidRDefault="00410071" w:rsidP="001509BE">
            <w:pPr>
              <w:pStyle w:val="TableText"/>
              <w:jc w:val="center"/>
            </w:pPr>
            <w:r w:rsidRPr="00200234">
              <w:t>1,765</w:t>
            </w:r>
          </w:p>
        </w:tc>
        <w:tc>
          <w:tcPr>
            <w:tcW w:w="1043" w:type="pct"/>
          </w:tcPr>
          <w:p w14:paraId="46D4EC0F" w14:textId="77777777" w:rsidR="00410071" w:rsidRPr="00200234" w:rsidRDefault="00410071" w:rsidP="001509BE">
            <w:pPr>
              <w:pStyle w:val="TableText"/>
              <w:tabs>
                <w:tab w:val="decimal" w:pos="911"/>
              </w:tabs>
            </w:pPr>
            <w:r w:rsidRPr="00200234">
              <w:t>73</w:t>
            </w:r>
          </w:p>
        </w:tc>
        <w:tc>
          <w:tcPr>
            <w:tcW w:w="558" w:type="pct"/>
          </w:tcPr>
          <w:p w14:paraId="7170D2D0" w14:textId="77777777" w:rsidR="00410071" w:rsidRPr="00200234" w:rsidRDefault="00410071" w:rsidP="001509BE">
            <w:pPr>
              <w:pStyle w:val="TableText"/>
              <w:tabs>
                <w:tab w:val="decimal" w:pos="496"/>
              </w:tabs>
            </w:pPr>
            <w:r w:rsidRPr="00200234">
              <w:t>1</w:t>
            </w:r>
          </w:p>
        </w:tc>
        <w:tc>
          <w:tcPr>
            <w:tcW w:w="790" w:type="pct"/>
          </w:tcPr>
          <w:p w14:paraId="10546DD3" w14:textId="77777777" w:rsidR="00410071" w:rsidRPr="00200234" w:rsidRDefault="00410071" w:rsidP="001509BE">
            <w:pPr>
              <w:pStyle w:val="TableText"/>
              <w:tabs>
                <w:tab w:val="decimal" w:pos="706"/>
              </w:tabs>
            </w:pPr>
            <w:r w:rsidRPr="00200234">
              <w:t>129</w:t>
            </w:r>
          </w:p>
        </w:tc>
      </w:tr>
      <w:tr w:rsidR="00410071" w:rsidRPr="00200234" w14:paraId="20501F86" w14:textId="77777777" w:rsidTr="001509BE">
        <w:trPr>
          <w:cantSplit/>
        </w:trPr>
        <w:tc>
          <w:tcPr>
            <w:tcW w:w="373" w:type="pct"/>
          </w:tcPr>
          <w:p w14:paraId="0B2DBF3A" w14:textId="77777777" w:rsidR="00410071" w:rsidRPr="00200234" w:rsidRDefault="00410071" w:rsidP="001509BE">
            <w:pPr>
              <w:pStyle w:val="TableText"/>
              <w:rPr>
                <w:w w:val="105"/>
              </w:rPr>
            </w:pPr>
            <w:r w:rsidRPr="00200234">
              <w:rPr>
                <w:w w:val="105"/>
              </w:rPr>
              <w:t>2014</w:t>
            </w:r>
          </w:p>
        </w:tc>
        <w:tc>
          <w:tcPr>
            <w:tcW w:w="746" w:type="pct"/>
          </w:tcPr>
          <w:p w14:paraId="750DDCD3" w14:textId="77777777" w:rsidR="00410071" w:rsidRPr="00200234" w:rsidRDefault="00410071" w:rsidP="001509BE">
            <w:pPr>
              <w:pStyle w:val="TableText"/>
              <w:jc w:val="center"/>
            </w:pPr>
            <w:r w:rsidRPr="00200234">
              <w:t>4,632</w:t>
            </w:r>
          </w:p>
        </w:tc>
        <w:tc>
          <w:tcPr>
            <w:tcW w:w="745" w:type="pct"/>
          </w:tcPr>
          <w:p w14:paraId="2FDD72CE" w14:textId="77777777" w:rsidR="00410071" w:rsidRPr="00200234" w:rsidRDefault="00410071" w:rsidP="001509BE">
            <w:pPr>
              <w:pStyle w:val="TableText"/>
              <w:jc w:val="center"/>
            </w:pPr>
            <w:r w:rsidRPr="00200234">
              <w:t>2,658</w:t>
            </w:r>
          </w:p>
        </w:tc>
        <w:tc>
          <w:tcPr>
            <w:tcW w:w="745" w:type="pct"/>
          </w:tcPr>
          <w:p w14:paraId="5D8A0EE4" w14:textId="77777777" w:rsidR="00410071" w:rsidRPr="00200234" w:rsidRDefault="00410071" w:rsidP="001509BE">
            <w:pPr>
              <w:pStyle w:val="TableText"/>
              <w:jc w:val="center"/>
            </w:pPr>
            <w:r w:rsidRPr="00200234">
              <w:t>1,784</w:t>
            </w:r>
          </w:p>
        </w:tc>
        <w:tc>
          <w:tcPr>
            <w:tcW w:w="1043" w:type="pct"/>
          </w:tcPr>
          <w:p w14:paraId="146A3AAA" w14:textId="77777777" w:rsidR="00410071" w:rsidRPr="00200234" w:rsidRDefault="00410071" w:rsidP="001509BE">
            <w:pPr>
              <w:pStyle w:val="TableText"/>
              <w:tabs>
                <w:tab w:val="decimal" w:pos="911"/>
              </w:tabs>
            </w:pPr>
            <w:r w:rsidRPr="00200234">
              <w:t>84</w:t>
            </w:r>
          </w:p>
        </w:tc>
        <w:tc>
          <w:tcPr>
            <w:tcW w:w="558" w:type="pct"/>
          </w:tcPr>
          <w:p w14:paraId="4A594C92" w14:textId="77777777" w:rsidR="00410071" w:rsidRPr="00200234" w:rsidRDefault="00410071" w:rsidP="001509BE">
            <w:pPr>
              <w:pStyle w:val="TableText"/>
              <w:tabs>
                <w:tab w:val="decimal" w:pos="496"/>
              </w:tabs>
            </w:pPr>
            <w:r w:rsidRPr="00200234">
              <w:t>1</w:t>
            </w:r>
          </w:p>
        </w:tc>
        <w:tc>
          <w:tcPr>
            <w:tcW w:w="790" w:type="pct"/>
          </w:tcPr>
          <w:p w14:paraId="5EDB5B72" w14:textId="77777777" w:rsidR="00410071" w:rsidRPr="00200234" w:rsidRDefault="00410071" w:rsidP="001509BE">
            <w:pPr>
              <w:pStyle w:val="TableText"/>
              <w:tabs>
                <w:tab w:val="decimal" w:pos="706"/>
              </w:tabs>
            </w:pPr>
            <w:r w:rsidRPr="00200234">
              <w:t>105</w:t>
            </w:r>
          </w:p>
        </w:tc>
      </w:tr>
      <w:tr w:rsidR="00410071" w:rsidRPr="00200234" w14:paraId="4398118A" w14:textId="77777777" w:rsidTr="001509BE">
        <w:trPr>
          <w:cantSplit/>
        </w:trPr>
        <w:tc>
          <w:tcPr>
            <w:tcW w:w="373" w:type="pct"/>
          </w:tcPr>
          <w:p w14:paraId="3CD61BDD" w14:textId="77777777" w:rsidR="00410071" w:rsidRPr="00200234" w:rsidRDefault="00410071" w:rsidP="001509BE">
            <w:pPr>
              <w:pStyle w:val="TableText"/>
              <w:rPr>
                <w:w w:val="105"/>
              </w:rPr>
            </w:pPr>
            <w:r w:rsidRPr="00200234">
              <w:rPr>
                <w:w w:val="105"/>
              </w:rPr>
              <w:t>2015</w:t>
            </w:r>
          </w:p>
        </w:tc>
        <w:tc>
          <w:tcPr>
            <w:tcW w:w="746" w:type="pct"/>
          </w:tcPr>
          <w:p w14:paraId="7CF7D25C" w14:textId="77777777" w:rsidR="00410071" w:rsidRPr="00200234" w:rsidRDefault="00410071" w:rsidP="001509BE">
            <w:pPr>
              <w:pStyle w:val="TableText"/>
              <w:jc w:val="center"/>
            </w:pPr>
            <w:r w:rsidRPr="00200234">
              <w:t>4,748</w:t>
            </w:r>
          </w:p>
        </w:tc>
        <w:tc>
          <w:tcPr>
            <w:tcW w:w="745" w:type="pct"/>
          </w:tcPr>
          <w:p w14:paraId="4A4E14E6" w14:textId="77777777" w:rsidR="00410071" w:rsidRPr="00200234" w:rsidRDefault="00410071" w:rsidP="001509BE">
            <w:pPr>
              <w:pStyle w:val="TableText"/>
              <w:jc w:val="center"/>
            </w:pPr>
            <w:r w:rsidRPr="00200234">
              <w:t>2,801</w:t>
            </w:r>
          </w:p>
        </w:tc>
        <w:tc>
          <w:tcPr>
            <w:tcW w:w="745" w:type="pct"/>
          </w:tcPr>
          <w:p w14:paraId="30849099" w14:textId="77777777" w:rsidR="00410071" w:rsidRPr="00200234" w:rsidRDefault="00410071" w:rsidP="001509BE">
            <w:pPr>
              <w:pStyle w:val="TableText"/>
              <w:jc w:val="center"/>
            </w:pPr>
            <w:r w:rsidRPr="00200234">
              <w:t>1,787</w:t>
            </w:r>
          </w:p>
        </w:tc>
        <w:tc>
          <w:tcPr>
            <w:tcW w:w="1043" w:type="pct"/>
          </w:tcPr>
          <w:p w14:paraId="68AC1DA3" w14:textId="77777777" w:rsidR="00410071" w:rsidRPr="00200234" w:rsidRDefault="00410071" w:rsidP="001509BE">
            <w:pPr>
              <w:pStyle w:val="TableText"/>
              <w:tabs>
                <w:tab w:val="decimal" w:pos="911"/>
              </w:tabs>
            </w:pPr>
            <w:r w:rsidRPr="00200234">
              <w:t>70</w:t>
            </w:r>
          </w:p>
        </w:tc>
        <w:tc>
          <w:tcPr>
            <w:tcW w:w="558" w:type="pct"/>
          </w:tcPr>
          <w:p w14:paraId="2DF9F12C" w14:textId="77777777" w:rsidR="00410071" w:rsidRPr="00200234" w:rsidRDefault="00410071" w:rsidP="001509BE">
            <w:pPr>
              <w:pStyle w:val="TableText"/>
              <w:tabs>
                <w:tab w:val="decimal" w:pos="496"/>
              </w:tabs>
            </w:pPr>
            <w:r w:rsidRPr="00200234">
              <w:t>1</w:t>
            </w:r>
          </w:p>
        </w:tc>
        <w:tc>
          <w:tcPr>
            <w:tcW w:w="790" w:type="pct"/>
          </w:tcPr>
          <w:p w14:paraId="68A60198" w14:textId="77777777" w:rsidR="00410071" w:rsidRPr="00200234" w:rsidRDefault="00410071" w:rsidP="001509BE">
            <w:pPr>
              <w:pStyle w:val="TableText"/>
              <w:tabs>
                <w:tab w:val="decimal" w:pos="706"/>
              </w:tabs>
            </w:pPr>
            <w:r w:rsidRPr="00200234">
              <w:t>89</w:t>
            </w:r>
          </w:p>
        </w:tc>
      </w:tr>
      <w:tr w:rsidR="00410071" w:rsidRPr="00200234" w14:paraId="118E974C" w14:textId="77777777" w:rsidTr="001509BE">
        <w:trPr>
          <w:cantSplit/>
        </w:trPr>
        <w:tc>
          <w:tcPr>
            <w:tcW w:w="373" w:type="pct"/>
          </w:tcPr>
          <w:p w14:paraId="3BE5B57F" w14:textId="77777777" w:rsidR="00410071" w:rsidRPr="00200234" w:rsidRDefault="00410071" w:rsidP="001509BE">
            <w:pPr>
              <w:pStyle w:val="TableText"/>
              <w:rPr>
                <w:w w:val="105"/>
              </w:rPr>
            </w:pPr>
            <w:r w:rsidRPr="00200234">
              <w:rPr>
                <w:w w:val="105"/>
              </w:rPr>
              <w:t>2016</w:t>
            </w:r>
          </w:p>
        </w:tc>
        <w:tc>
          <w:tcPr>
            <w:tcW w:w="746" w:type="pct"/>
          </w:tcPr>
          <w:p w14:paraId="7670A538" w14:textId="77777777" w:rsidR="00410071" w:rsidRPr="00200234" w:rsidRDefault="00410071" w:rsidP="001509BE">
            <w:pPr>
              <w:pStyle w:val="TableText"/>
              <w:jc w:val="center"/>
            </w:pPr>
            <w:r w:rsidRPr="00200234">
              <w:t>4,927</w:t>
            </w:r>
          </w:p>
        </w:tc>
        <w:tc>
          <w:tcPr>
            <w:tcW w:w="745" w:type="pct"/>
          </w:tcPr>
          <w:p w14:paraId="5A7F5E9C" w14:textId="77777777" w:rsidR="00410071" w:rsidRPr="00200234" w:rsidRDefault="00410071" w:rsidP="001509BE">
            <w:pPr>
              <w:pStyle w:val="TableText"/>
              <w:jc w:val="center"/>
            </w:pPr>
            <w:r w:rsidRPr="00200234">
              <w:t>2,894</w:t>
            </w:r>
          </w:p>
        </w:tc>
        <w:tc>
          <w:tcPr>
            <w:tcW w:w="745" w:type="pct"/>
          </w:tcPr>
          <w:p w14:paraId="635D7DE2" w14:textId="77777777" w:rsidR="00410071" w:rsidRPr="00200234" w:rsidRDefault="00410071" w:rsidP="001509BE">
            <w:pPr>
              <w:pStyle w:val="TableText"/>
              <w:jc w:val="center"/>
            </w:pPr>
            <w:r w:rsidRPr="00200234">
              <w:t>1,722</w:t>
            </w:r>
          </w:p>
        </w:tc>
        <w:tc>
          <w:tcPr>
            <w:tcW w:w="1043" w:type="pct"/>
          </w:tcPr>
          <w:p w14:paraId="14B32092" w14:textId="77777777" w:rsidR="00410071" w:rsidRPr="00200234" w:rsidRDefault="00410071" w:rsidP="001509BE">
            <w:pPr>
              <w:pStyle w:val="TableText"/>
              <w:tabs>
                <w:tab w:val="decimal" w:pos="911"/>
              </w:tabs>
            </w:pPr>
            <w:r w:rsidRPr="00200234">
              <w:t>66</w:t>
            </w:r>
          </w:p>
        </w:tc>
        <w:tc>
          <w:tcPr>
            <w:tcW w:w="558" w:type="pct"/>
          </w:tcPr>
          <w:p w14:paraId="36F52FDF" w14:textId="77777777" w:rsidR="00410071" w:rsidRPr="00200234" w:rsidRDefault="00410071" w:rsidP="001509BE">
            <w:pPr>
              <w:pStyle w:val="TableText"/>
              <w:tabs>
                <w:tab w:val="decimal" w:pos="496"/>
              </w:tabs>
            </w:pPr>
            <w:r w:rsidRPr="00200234">
              <w:t>3</w:t>
            </w:r>
          </w:p>
        </w:tc>
        <w:tc>
          <w:tcPr>
            <w:tcW w:w="790" w:type="pct"/>
          </w:tcPr>
          <w:p w14:paraId="773A45A4" w14:textId="77777777" w:rsidR="00410071" w:rsidRPr="00200234" w:rsidRDefault="00410071" w:rsidP="001509BE">
            <w:pPr>
              <w:pStyle w:val="TableText"/>
              <w:tabs>
                <w:tab w:val="decimal" w:pos="706"/>
              </w:tabs>
            </w:pPr>
            <w:r w:rsidRPr="00200234">
              <w:t>242</w:t>
            </w:r>
          </w:p>
        </w:tc>
      </w:tr>
      <w:tr w:rsidR="00410071" w:rsidRPr="00200234" w14:paraId="6D55A969" w14:textId="77777777" w:rsidTr="001509BE">
        <w:trPr>
          <w:cantSplit/>
        </w:trPr>
        <w:tc>
          <w:tcPr>
            <w:tcW w:w="373" w:type="pct"/>
          </w:tcPr>
          <w:p w14:paraId="264EF5AF" w14:textId="77777777" w:rsidR="00410071" w:rsidRPr="00200234" w:rsidRDefault="00410071" w:rsidP="001509BE">
            <w:pPr>
              <w:pStyle w:val="TableText"/>
              <w:rPr>
                <w:w w:val="105"/>
              </w:rPr>
            </w:pPr>
            <w:r w:rsidRPr="00200234">
              <w:rPr>
                <w:w w:val="105"/>
              </w:rPr>
              <w:t>2017</w:t>
            </w:r>
          </w:p>
        </w:tc>
        <w:tc>
          <w:tcPr>
            <w:tcW w:w="746" w:type="pct"/>
          </w:tcPr>
          <w:p w14:paraId="3E340175" w14:textId="77777777" w:rsidR="00410071" w:rsidRPr="00200234" w:rsidRDefault="00410071" w:rsidP="001509BE">
            <w:pPr>
              <w:pStyle w:val="TableText"/>
              <w:jc w:val="center"/>
            </w:pPr>
            <w:r w:rsidRPr="00200234">
              <w:t>4,940</w:t>
            </w:r>
          </w:p>
        </w:tc>
        <w:tc>
          <w:tcPr>
            <w:tcW w:w="745" w:type="pct"/>
          </w:tcPr>
          <w:p w14:paraId="6C28B8E6" w14:textId="77777777" w:rsidR="00410071" w:rsidRPr="00200234" w:rsidRDefault="00410071" w:rsidP="001509BE">
            <w:pPr>
              <w:pStyle w:val="TableText"/>
              <w:jc w:val="center"/>
            </w:pPr>
            <w:r w:rsidRPr="00200234">
              <w:t>2,612</w:t>
            </w:r>
          </w:p>
        </w:tc>
        <w:tc>
          <w:tcPr>
            <w:tcW w:w="745" w:type="pct"/>
          </w:tcPr>
          <w:p w14:paraId="714A2FC3" w14:textId="77777777" w:rsidR="00410071" w:rsidRPr="00200234" w:rsidRDefault="00410071" w:rsidP="001509BE">
            <w:pPr>
              <w:pStyle w:val="TableText"/>
              <w:jc w:val="center"/>
            </w:pPr>
            <w:r w:rsidRPr="00200234">
              <w:t>1,691</w:t>
            </w:r>
          </w:p>
        </w:tc>
        <w:tc>
          <w:tcPr>
            <w:tcW w:w="1043" w:type="pct"/>
          </w:tcPr>
          <w:p w14:paraId="46172E5F" w14:textId="77777777" w:rsidR="00410071" w:rsidRPr="00200234" w:rsidRDefault="00410071" w:rsidP="001509BE">
            <w:pPr>
              <w:pStyle w:val="TableText"/>
              <w:tabs>
                <w:tab w:val="decimal" w:pos="911"/>
              </w:tabs>
            </w:pPr>
            <w:r w:rsidRPr="00200234">
              <w:t>57</w:t>
            </w:r>
          </w:p>
        </w:tc>
        <w:tc>
          <w:tcPr>
            <w:tcW w:w="558" w:type="pct"/>
          </w:tcPr>
          <w:p w14:paraId="025AC6F6" w14:textId="77777777" w:rsidR="00410071" w:rsidRPr="00200234" w:rsidRDefault="00410071" w:rsidP="001509BE">
            <w:pPr>
              <w:pStyle w:val="TableText"/>
              <w:tabs>
                <w:tab w:val="decimal" w:pos="496"/>
              </w:tabs>
            </w:pPr>
            <w:r w:rsidRPr="00200234">
              <w:t>3</w:t>
            </w:r>
          </w:p>
        </w:tc>
        <w:tc>
          <w:tcPr>
            <w:tcW w:w="790" w:type="pct"/>
          </w:tcPr>
          <w:p w14:paraId="6F8F73AD" w14:textId="77777777" w:rsidR="00410071" w:rsidRPr="00200234" w:rsidRDefault="00410071" w:rsidP="001509BE">
            <w:pPr>
              <w:pStyle w:val="TableText"/>
              <w:tabs>
                <w:tab w:val="decimal" w:pos="706"/>
              </w:tabs>
            </w:pPr>
            <w:r w:rsidRPr="00200234">
              <w:t>577</w:t>
            </w:r>
          </w:p>
        </w:tc>
      </w:tr>
      <w:tr w:rsidR="00410071" w:rsidRPr="00200234" w14:paraId="27BAAC65" w14:textId="77777777" w:rsidTr="001509BE">
        <w:trPr>
          <w:cantSplit/>
        </w:trPr>
        <w:tc>
          <w:tcPr>
            <w:tcW w:w="373" w:type="pct"/>
          </w:tcPr>
          <w:p w14:paraId="0A5111C4" w14:textId="77777777" w:rsidR="00410071" w:rsidRPr="00200234" w:rsidRDefault="00410071" w:rsidP="001509BE">
            <w:pPr>
              <w:pStyle w:val="TableText"/>
              <w:rPr>
                <w:w w:val="105"/>
              </w:rPr>
            </w:pPr>
            <w:r w:rsidRPr="00200234">
              <w:rPr>
                <w:w w:val="105"/>
              </w:rPr>
              <w:t>2018</w:t>
            </w:r>
          </w:p>
        </w:tc>
        <w:tc>
          <w:tcPr>
            <w:tcW w:w="746" w:type="pct"/>
          </w:tcPr>
          <w:p w14:paraId="63233FFA" w14:textId="77777777" w:rsidR="00410071" w:rsidRPr="00200234" w:rsidRDefault="00410071" w:rsidP="001509BE">
            <w:pPr>
              <w:pStyle w:val="TableText"/>
              <w:jc w:val="center"/>
            </w:pPr>
            <w:r w:rsidRPr="00200234">
              <w:t>5,002</w:t>
            </w:r>
          </w:p>
        </w:tc>
        <w:tc>
          <w:tcPr>
            <w:tcW w:w="745" w:type="pct"/>
          </w:tcPr>
          <w:p w14:paraId="5A5A475D" w14:textId="77777777" w:rsidR="00410071" w:rsidRPr="00200234" w:rsidRDefault="00410071" w:rsidP="001509BE">
            <w:pPr>
              <w:pStyle w:val="TableText"/>
              <w:jc w:val="center"/>
            </w:pPr>
            <w:r w:rsidRPr="00200234">
              <w:t>2,633</w:t>
            </w:r>
          </w:p>
        </w:tc>
        <w:tc>
          <w:tcPr>
            <w:tcW w:w="745" w:type="pct"/>
          </w:tcPr>
          <w:p w14:paraId="5470AA0E" w14:textId="77777777" w:rsidR="00410071" w:rsidRPr="00200234" w:rsidRDefault="00410071" w:rsidP="001509BE">
            <w:pPr>
              <w:pStyle w:val="TableText"/>
              <w:jc w:val="center"/>
            </w:pPr>
            <w:r w:rsidRPr="00200234">
              <w:t>1,753</w:t>
            </w:r>
          </w:p>
        </w:tc>
        <w:tc>
          <w:tcPr>
            <w:tcW w:w="1043" w:type="pct"/>
          </w:tcPr>
          <w:p w14:paraId="0138AAD0" w14:textId="77777777" w:rsidR="00410071" w:rsidRPr="00200234" w:rsidRDefault="00410071" w:rsidP="001509BE">
            <w:pPr>
              <w:pStyle w:val="TableText"/>
              <w:tabs>
                <w:tab w:val="decimal" w:pos="911"/>
              </w:tabs>
            </w:pPr>
            <w:r w:rsidRPr="00200234">
              <w:t>46</w:t>
            </w:r>
          </w:p>
        </w:tc>
        <w:tc>
          <w:tcPr>
            <w:tcW w:w="558" w:type="pct"/>
          </w:tcPr>
          <w:p w14:paraId="75FDAB3A" w14:textId="77777777" w:rsidR="00410071" w:rsidRPr="00200234" w:rsidRDefault="00410071" w:rsidP="001509BE">
            <w:pPr>
              <w:pStyle w:val="TableText"/>
              <w:tabs>
                <w:tab w:val="decimal" w:pos="496"/>
              </w:tabs>
            </w:pPr>
            <w:r w:rsidRPr="00200234">
              <w:t>3</w:t>
            </w:r>
          </w:p>
        </w:tc>
        <w:tc>
          <w:tcPr>
            <w:tcW w:w="790" w:type="pct"/>
          </w:tcPr>
          <w:p w14:paraId="1F9EBCB8" w14:textId="77777777" w:rsidR="00410071" w:rsidRPr="00200234" w:rsidRDefault="00410071" w:rsidP="001509BE">
            <w:pPr>
              <w:pStyle w:val="TableText"/>
              <w:tabs>
                <w:tab w:val="decimal" w:pos="706"/>
              </w:tabs>
            </w:pPr>
            <w:r w:rsidRPr="00200234">
              <w:t>567</w:t>
            </w:r>
          </w:p>
        </w:tc>
      </w:tr>
      <w:tr w:rsidR="00410071" w:rsidRPr="00200234" w14:paraId="40A05BA4" w14:textId="77777777" w:rsidTr="001509BE">
        <w:trPr>
          <w:cantSplit/>
        </w:trPr>
        <w:tc>
          <w:tcPr>
            <w:tcW w:w="373" w:type="pct"/>
          </w:tcPr>
          <w:p w14:paraId="3F747875" w14:textId="77777777" w:rsidR="00410071" w:rsidRPr="00200234" w:rsidRDefault="00410071" w:rsidP="001509BE">
            <w:pPr>
              <w:pStyle w:val="TableText"/>
              <w:rPr>
                <w:w w:val="105"/>
              </w:rPr>
            </w:pPr>
            <w:r w:rsidRPr="00200234">
              <w:rPr>
                <w:w w:val="105"/>
              </w:rPr>
              <w:t>2019</w:t>
            </w:r>
          </w:p>
        </w:tc>
        <w:tc>
          <w:tcPr>
            <w:tcW w:w="746" w:type="pct"/>
          </w:tcPr>
          <w:p w14:paraId="723DEB34" w14:textId="77777777" w:rsidR="00410071" w:rsidRPr="00200234" w:rsidRDefault="00410071" w:rsidP="001509BE">
            <w:pPr>
              <w:pStyle w:val="TableText"/>
              <w:jc w:val="center"/>
            </w:pPr>
            <w:r w:rsidRPr="00200234">
              <w:t>4,984</w:t>
            </w:r>
          </w:p>
        </w:tc>
        <w:tc>
          <w:tcPr>
            <w:tcW w:w="745" w:type="pct"/>
          </w:tcPr>
          <w:p w14:paraId="4C752DC4" w14:textId="77777777" w:rsidR="00410071" w:rsidRPr="00200234" w:rsidRDefault="00410071" w:rsidP="001509BE">
            <w:pPr>
              <w:pStyle w:val="TableText"/>
              <w:jc w:val="center"/>
            </w:pPr>
            <w:r w:rsidRPr="00200234">
              <w:t>2,780</w:t>
            </w:r>
          </w:p>
        </w:tc>
        <w:tc>
          <w:tcPr>
            <w:tcW w:w="745" w:type="pct"/>
          </w:tcPr>
          <w:p w14:paraId="4669860E" w14:textId="77777777" w:rsidR="00410071" w:rsidRPr="00200234" w:rsidRDefault="00410071" w:rsidP="001509BE">
            <w:pPr>
              <w:pStyle w:val="TableText"/>
              <w:jc w:val="center"/>
            </w:pPr>
            <w:r w:rsidRPr="00200234">
              <w:t>1,796</w:t>
            </w:r>
          </w:p>
        </w:tc>
        <w:tc>
          <w:tcPr>
            <w:tcW w:w="1043" w:type="pct"/>
          </w:tcPr>
          <w:p w14:paraId="5948965C" w14:textId="77777777" w:rsidR="00410071" w:rsidRPr="00200234" w:rsidRDefault="00410071" w:rsidP="001509BE">
            <w:pPr>
              <w:pStyle w:val="TableText"/>
              <w:tabs>
                <w:tab w:val="decimal" w:pos="911"/>
              </w:tabs>
            </w:pPr>
            <w:r w:rsidRPr="00200234">
              <w:t>56</w:t>
            </w:r>
          </w:p>
        </w:tc>
        <w:tc>
          <w:tcPr>
            <w:tcW w:w="558" w:type="pct"/>
          </w:tcPr>
          <w:p w14:paraId="50BD2801" w14:textId="77777777" w:rsidR="00410071" w:rsidRPr="00200234" w:rsidRDefault="00410071" w:rsidP="001509BE">
            <w:pPr>
              <w:pStyle w:val="TableText"/>
              <w:tabs>
                <w:tab w:val="decimal" w:pos="496"/>
              </w:tabs>
            </w:pPr>
            <w:r w:rsidRPr="00200234">
              <w:t>1</w:t>
            </w:r>
          </w:p>
        </w:tc>
        <w:tc>
          <w:tcPr>
            <w:tcW w:w="790" w:type="pct"/>
          </w:tcPr>
          <w:p w14:paraId="03B48D60" w14:textId="77777777" w:rsidR="00410071" w:rsidRPr="00200234" w:rsidRDefault="00410071" w:rsidP="001509BE">
            <w:pPr>
              <w:pStyle w:val="TableText"/>
              <w:tabs>
                <w:tab w:val="decimal" w:pos="706"/>
              </w:tabs>
            </w:pPr>
            <w:r w:rsidRPr="00200234">
              <w:t>351</w:t>
            </w:r>
          </w:p>
        </w:tc>
      </w:tr>
      <w:tr w:rsidR="00410071" w:rsidRPr="00200234" w14:paraId="6D9DD2DE" w14:textId="77777777" w:rsidTr="001509BE">
        <w:trPr>
          <w:cantSplit/>
        </w:trPr>
        <w:tc>
          <w:tcPr>
            <w:tcW w:w="373" w:type="pct"/>
          </w:tcPr>
          <w:p w14:paraId="62E86C28" w14:textId="77777777" w:rsidR="00410071" w:rsidRPr="00200234" w:rsidRDefault="00410071" w:rsidP="001509BE">
            <w:pPr>
              <w:pStyle w:val="TableText"/>
              <w:rPr>
                <w:w w:val="105"/>
              </w:rPr>
            </w:pPr>
            <w:r>
              <w:rPr>
                <w:w w:val="105"/>
              </w:rPr>
              <w:t>2020</w:t>
            </w:r>
          </w:p>
        </w:tc>
        <w:tc>
          <w:tcPr>
            <w:tcW w:w="746" w:type="pct"/>
          </w:tcPr>
          <w:p w14:paraId="098A229C" w14:textId="77777777" w:rsidR="00410071" w:rsidRPr="00200234" w:rsidRDefault="00410071" w:rsidP="001509BE">
            <w:pPr>
              <w:pStyle w:val="TableText"/>
              <w:jc w:val="center"/>
            </w:pPr>
            <w:r>
              <w:t>5,137</w:t>
            </w:r>
          </w:p>
        </w:tc>
        <w:tc>
          <w:tcPr>
            <w:tcW w:w="745" w:type="pct"/>
          </w:tcPr>
          <w:p w14:paraId="135E799D" w14:textId="77777777" w:rsidR="00410071" w:rsidRPr="00200234" w:rsidRDefault="00410071" w:rsidP="001509BE">
            <w:pPr>
              <w:pStyle w:val="TableText"/>
              <w:jc w:val="center"/>
            </w:pPr>
            <w:r>
              <w:t>3,021</w:t>
            </w:r>
          </w:p>
        </w:tc>
        <w:tc>
          <w:tcPr>
            <w:tcW w:w="745" w:type="pct"/>
          </w:tcPr>
          <w:p w14:paraId="2A6C45B1" w14:textId="77777777" w:rsidR="00410071" w:rsidRPr="00200234" w:rsidRDefault="00410071" w:rsidP="001509BE">
            <w:pPr>
              <w:pStyle w:val="TableText"/>
              <w:jc w:val="center"/>
            </w:pPr>
            <w:r>
              <w:t>1,826</w:t>
            </w:r>
          </w:p>
        </w:tc>
        <w:tc>
          <w:tcPr>
            <w:tcW w:w="1043" w:type="pct"/>
          </w:tcPr>
          <w:p w14:paraId="16BA5FFC" w14:textId="77777777" w:rsidR="00410071" w:rsidRPr="00200234" w:rsidRDefault="00410071" w:rsidP="001509BE">
            <w:pPr>
              <w:pStyle w:val="TableText"/>
              <w:tabs>
                <w:tab w:val="decimal" w:pos="911"/>
              </w:tabs>
            </w:pPr>
            <w:r>
              <w:t>45</w:t>
            </w:r>
          </w:p>
        </w:tc>
        <w:tc>
          <w:tcPr>
            <w:tcW w:w="558" w:type="pct"/>
          </w:tcPr>
          <w:p w14:paraId="0701015F" w14:textId="77777777" w:rsidR="00410071" w:rsidRPr="00200234" w:rsidRDefault="00410071" w:rsidP="001509BE">
            <w:pPr>
              <w:pStyle w:val="TableText"/>
              <w:tabs>
                <w:tab w:val="decimal" w:pos="496"/>
              </w:tabs>
            </w:pPr>
            <w:r>
              <w:t>3</w:t>
            </w:r>
          </w:p>
        </w:tc>
        <w:tc>
          <w:tcPr>
            <w:tcW w:w="790" w:type="pct"/>
          </w:tcPr>
          <w:p w14:paraId="4C9E3D2D" w14:textId="77777777" w:rsidR="00410071" w:rsidRPr="00200234" w:rsidRDefault="00410071" w:rsidP="001509BE">
            <w:pPr>
              <w:pStyle w:val="TableText"/>
              <w:tabs>
                <w:tab w:val="decimal" w:pos="706"/>
              </w:tabs>
            </w:pPr>
            <w:r>
              <w:t>242</w:t>
            </w:r>
          </w:p>
        </w:tc>
      </w:tr>
    </w:tbl>
    <w:p w14:paraId="5AAF8196" w14:textId="77777777" w:rsidR="00410071" w:rsidRPr="00200234" w:rsidRDefault="00410071" w:rsidP="001509BE">
      <w:pPr>
        <w:pStyle w:val="Note"/>
      </w:pPr>
      <w:r w:rsidRPr="00200234">
        <w:t>Notes: The table presents applications that had been processed at the time of data extraction on 1 February 2021. The year is determined by the date the application was granted. Where more than one type of order is shown, it is likely to be because new orders are being linked to a previous application in the case management system (CMS). The CMS is a live operational database. Figures are subject to minor changes at any time.</w:t>
      </w:r>
    </w:p>
    <w:p w14:paraId="1A0B49E9" w14:textId="77777777" w:rsidR="00410071" w:rsidRPr="00200234" w:rsidRDefault="00410071" w:rsidP="001509BE">
      <w:pPr>
        <w:pStyle w:val="Source"/>
      </w:pPr>
      <w:r w:rsidRPr="00200234">
        <w:t>Source: Ministry of Justice Integrated Sector Intelligence System, which uses data entered into the CMS.</w:t>
      </w:r>
    </w:p>
    <w:p w14:paraId="3E1F3122" w14:textId="77777777" w:rsidR="00410071" w:rsidRPr="00200234" w:rsidRDefault="00410071" w:rsidP="001509BE"/>
    <w:p w14:paraId="4DACB5C0" w14:textId="77777777" w:rsidR="00410071" w:rsidRPr="00200234" w:rsidRDefault="00410071" w:rsidP="00FB2B93">
      <w:pPr>
        <w:pStyle w:val="Heading2"/>
      </w:pPr>
      <w:bookmarkStart w:id="538" w:name="_Toc65141659"/>
      <w:bookmarkStart w:id="539" w:name="_Toc75176470"/>
      <w:bookmarkStart w:id="540" w:name="_Toc87429943"/>
      <w:bookmarkStart w:id="541" w:name="_Toc88826987"/>
      <w:r w:rsidRPr="00200234">
        <w:lastRenderedPageBreak/>
        <w:t>Seclusion data incorporating outlier data</w:t>
      </w:r>
      <w:bookmarkEnd w:id="538"/>
      <w:bookmarkEnd w:id="539"/>
      <w:bookmarkEnd w:id="540"/>
      <w:bookmarkEnd w:id="541"/>
    </w:p>
    <w:p w14:paraId="75C55CC4" w14:textId="77777777" w:rsidR="00410071" w:rsidRPr="00200234" w:rsidRDefault="00410071" w:rsidP="000F4AD6">
      <w:pPr>
        <w:keepNext/>
        <w:keepLines/>
      </w:pPr>
      <w:r w:rsidRPr="00200234">
        <w:t xml:space="preserve">In </w:t>
      </w:r>
      <w:r>
        <w:t>2020</w:t>
      </w:r>
      <w:r w:rsidRPr="00200234">
        <w:t xml:space="preserve">, </w:t>
      </w:r>
      <w:r>
        <w:t>Capital &amp; Coast</w:t>
      </w:r>
      <w:r w:rsidRPr="00200234">
        <w:t xml:space="preserve"> </w:t>
      </w:r>
      <w:r>
        <w:t xml:space="preserve">DHB </w:t>
      </w:r>
      <w:r w:rsidRPr="00200234">
        <w:t xml:space="preserve">provided data that included a single client with a high number of seclusion hours. We have treated the data on </w:t>
      </w:r>
      <w:r>
        <w:t>this client</w:t>
      </w:r>
      <w:r w:rsidRPr="00200234">
        <w:t xml:space="preserve"> as an outlier because including it in the national statistics would skew the overall data and create a different picture of mental health services.</w:t>
      </w:r>
    </w:p>
    <w:p w14:paraId="2F84B920" w14:textId="77777777" w:rsidR="00410071" w:rsidRPr="00200234" w:rsidRDefault="00410071" w:rsidP="00FB2B93">
      <w:pPr>
        <w:keepNext/>
      </w:pPr>
    </w:p>
    <w:p w14:paraId="11BEC616" w14:textId="77777777" w:rsidR="00410071" w:rsidRPr="00200234" w:rsidRDefault="00410071" w:rsidP="00FB2B93">
      <w:r w:rsidRPr="00200234">
        <w:t xml:space="preserve">To highlight how influential this discrepancy is, we present some of the data that includes the outliers in </w:t>
      </w:r>
      <w:r w:rsidR="00FB2B93">
        <w:t>T</w:t>
      </w:r>
      <w:r w:rsidRPr="00200234">
        <w:t>able A3 below.</w:t>
      </w:r>
    </w:p>
    <w:p w14:paraId="5EC1FC14" w14:textId="77777777" w:rsidR="00410071" w:rsidRPr="00200234" w:rsidRDefault="00410071" w:rsidP="00FB2B93"/>
    <w:p w14:paraId="52F06D0C" w14:textId="59C134F0" w:rsidR="00410071" w:rsidRPr="00200234" w:rsidRDefault="00410071" w:rsidP="00FB2B93">
      <w:pPr>
        <w:pStyle w:val="Table"/>
      </w:pPr>
      <w:bookmarkStart w:id="542" w:name="_Toc63764689"/>
      <w:bookmarkStart w:id="543" w:name="_Toc75176542"/>
      <w:bookmarkStart w:id="544" w:name="_Toc87430021"/>
      <w:bookmarkStart w:id="545" w:name="_Toc88561378"/>
      <w:bookmarkStart w:id="546" w:name="_Hlk63161974"/>
      <w:r w:rsidRPr="00200234">
        <w:t>Table A</w:t>
      </w:r>
      <w:r w:rsidR="00592799">
        <w:fldChar w:fldCharType="begin"/>
      </w:r>
      <w:r w:rsidR="00592799">
        <w:instrText xml:space="preserve"> SEQ Table_A \* ARABIC </w:instrText>
      </w:r>
      <w:r w:rsidR="00592799">
        <w:fldChar w:fldCharType="separate"/>
      </w:r>
      <w:r w:rsidR="00840F18">
        <w:rPr>
          <w:noProof/>
        </w:rPr>
        <w:t>3</w:t>
      </w:r>
      <w:r w:rsidR="00592799">
        <w:rPr>
          <w:noProof/>
        </w:rPr>
        <w:fldChar w:fldCharType="end"/>
      </w:r>
      <w:r w:rsidRPr="00200234">
        <w:t xml:space="preserve">: Seclusion data in </w:t>
      </w:r>
      <w:r>
        <w:t xml:space="preserve">Aotearoa </w:t>
      </w:r>
      <w:r w:rsidRPr="00200234">
        <w:t>New Zealand mental health services, 1 January to 31</w:t>
      </w:r>
      <w:r>
        <w:t> </w:t>
      </w:r>
      <w:r w:rsidRPr="00200234">
        <w:t>December 20</w:t>
      </w:r>
      <w:bookmarkEnd w:id="542"/>
      <w:r>
        <w:t>20</w:t>
      </w:r>
      <w:bookmarkEnd w:id="543"/>
      <w:bookmarkEnd w:id="544"/>
      <w:bookmarkEnd w:id="545"/>
    </w:p>
    <w:tbl>
      <w:tblPr>
        <w:tblW w:w="4931" w:type="pct"/>
        <w:tblInd w:w="57" w:type="dxa"/>
        <w:tblBorders>
          <w:top w:val="single" w:sz="4" w:space="0" w:color="A6A6A6"/>
          <w:bottom w:val="single" w:sz="4" w:space="0" w:color="A6A6A6"/>
          <w:insideH w:val="single" w:sz="6" w:space="0" w:color="A6A6A6"/>
        </w:tblBorders>
        <w:tblLayout w:type="fixed"/>
        <w:tblCellMar>
          <w:left w:w="57" w:type="dxa"/>
          <w:right w:w="57" w:type="dxa"/>
        </w:tblCellMar>
        <w:tblLook w:val="04A0" w:firstRow="1" w:lastRow="0" w:firstColumn="1" w:lastColumn="0" w:noHBand="0" w:noVBand="1"/>
      </w:tblPr>
      <w:tblGrid>
        <w:gridCol w:w="4445"/>
        <w:gridCol w:w="1891"/>
        <w:gridCol w:w="1744"/>
      </w:tblGrid>
      <w:tr w:rsidR="00410071" w:rsidRPr="00D91E32" w14:paraId="06C0C3BB" w14:textId="77777777" w:rsidTr="00D91E32">
        <w:trPr>
          <w:cantSplit/>
        </w:trPr>
        <w:tc>
          <w:tcPr>
            <w:tcW w:w="2751" w:type="pct"/>
            <w:tcBorders>
              <w:top w:val="nil"/>
              <w:bottom w:val="nil"/>
            </w:tcBorders>
            <w:shd w:val="clear" w:color="auto" w:fill="D9D9D9"/>
          </w:tcPr>
          <w:p w14:paraId="6C9440C5" w14:textId="77777777" w:rsidR="00410071" w:rsidRPr="00D91E32" w:rsidRDefault="00410071" w:rsidP="00D91E32">
            <w:pPr>
              <w:pStyle w:val="TableText"/>
              <w:rPr>
                <w:b/>
              </w:rPr>
            </w:pPr>
          </w:p>
        </w:tc>
        <w:tc>
          <w:tcPr>
            <w:tcW w:w="1170" w:type="pct"/>
            <w:tcBorders>
              <w:top w:val="nil"/>
              <w:bottom w:val="nil"/>
            </w:tcBorders>
            <w:shd w:val="clear" w:color="auto" w:fill="D9D9D9"/>
          </w:tcPr>
          <w:p w14:paraId="0E85B67D" w14:textId="77777777" w:rsidR="00410071" w:rsidRPr="00D91E32" w:rsidRDefault="00410071" w:rsidP="00D91E32">
            <w:pPr>
              <w:pStyle w:val="TableText"/>
              <w:jc w:val="center"/>
              <w:rPr>
                <w:b/>
              </w:rPr>
            </w:pPr>
            <w:r w:rsidRPr="00D91E32">
              <w:rPr>
                <w:b/>
              </w:rPr>
              <w:t>Excluding outliers</w:t>
            </w:r>
          </w:p>
        </w:tc>
        <w:tc>
          <w:tcPr>
            <w:tcW w:w="1079" w:type="pct"/>
            <w:tcBorders>
              <w:top w:val="nil"/>
              <w:bottom w:val="nil"/>
            </w:tcBorders>
            <w:shd w:val="clear" w:color="auto" w:fill="D9D9D9"/>
          </w:tcPr>
          <w:p w14:paraId="3AB682B2" w14:textId="77777777" w:rsidR="00410071" w:rsidRPr="00D91E32" w:rsidRDefault="00410071" w:rsidP="00D91E32">
            <w:pPr>
              <w:pStyle w:val="TableText"/>
              <w:jc w:val="center"/>
              <w:rPr>
                <w:b/>
              </w:rPr>
            </w:pPr>
            <w:r w:rsidRPr="00D91E32">
              <w:rPr>
                <w:b/>
              </w:rPr>
              <w:t>Including outliers</w:t>
            </w:r>
          </w:p>
        </w:tc>
      </w:tr>
      <w:tr w:rsidR="00410071" w:rsidRPr="00C11FC0" w14:paraId="36C98BE2" w14:textId="77777777" w:rsidTr="00D91E32">
        <w:trPr>
          <w:cantSplit/>
        </w:trPr>
        <w:tc>
          <w:tcPr>
            <w:tcW w:w="2751" w:type="pct"/>
            <w:tcBorders>
              <w:top w:val="nil"/>
            </w:tcBorders>
          </w:tcPr>
          <w:p w14:paraId="2C2180FA" w14:textId="77777777" w:rsidR="00410071" w:rsidRPr="00C11FC0" w:rsidRDefault="00410071" w:rsidP="00D91E32">
            <w:pPr>
              <w:pStyle w:val="TableText"/>
            </w:pPr>
            <w:r w:rsidRPr="00C11FC0">
              <w:t>Number of people secluded in adult services</w:t>
            </w:r>
          </w:p>
        </w:tc>
        <w:tc>
          <w:tcPr>
            <w:tcW w:w="1170" w:type="pct"/>
            <w:tcBorders>
              <w:top w:val="nil"/>
            </w:tcBorders>
          </w:tcPr>
          <w:p w14:paraId="1C5DB876" w14:textId="77777777" w:rsidR="00410071" w:rsidRPr="00C11FC0" w:rsidRDefault="00410071" w:rsidP="00D91E32">
            <w:pPr>
              <w:pStyle w:val="TableText"/>
              <w:ind w:right="397"/>
              <w:jc w:val="right"/>
            </w:pPr>
            <w:r>
              <w:t>933</w:t>
            </w:r>
            <w:r w:rsidRPr="00C11FC0">
              <w:t xml:space="preserve"> people</w:t>
            </w:r>
          </w:p>
        </w:tc>
        <w:tc>
          <w:tcPr>
            <w:tcW w:w="1079" w:type="pct"/>
            <w:tcBorders>
              <w:top w:val="nil"/>
            </w:tcBorders>
          </w:tcPr>
          <w:p w14:paraId="527A3ED6" w14:textId="77777777" w:rsidR="00410071" w:rsidRPr="00C11FC0" w:rsidRDefault="00410071" w:rsidP="00D91E32">
            <w:pPr>
              <w:pStyle w:val="TableText"/>
              <w:ind w:right="170"/>
              <w:jc w:val="right"/>
            </w:pPr>
            <w:r>
              <w:t>934</w:t>
            </w:r>
            <w:r w:rsidRPr="00C11FC0">
              <w:t xml:space="preserve"> people</w:t>
            </w:r>
          </w:p>
        </w:tc>
      </w:tr>
      <w:tr w:rsidR="00410071" w:rsidRPr="00C11FC0" w14:paraId="732446EF" w14:textId="77777777" w:rsidTr="00D91E32">
        <w:trPr>
          <w:cantSplit/>
        </w:trPr>
        <w:tc>
          <w:tcPr>
            <w:tcW w:w="2751" w:type="pct"/>
          </w:tcPr>
          <w:p w14:paraId="6D082568" w14:textId="77777777" w:rsidR="00410071" w:rsidRPr="00C11FC0" w:rsidRDefault="00410071" w:rsidP="00D91E32">
            <w:pPr>
              <w:pStyle w:val="TableText"/>
            </w:pPr>
            <w:r w:rsidRPr="00C11FC0">
              <w:t>Number of hours of seclusion in adult services</w:t>
            </w:r>
          </w:p>
        </w:tc>
        <w:tc>
          <w:tcPr>
            <w:tcW w:w="1170" w:type="pct"/>
          </w:tcPr>
          <w:p w14:paraId="6C8FEB7C" w14:textId="77777777" w:rsidR="00410071" w:rsidRPr="00C11FC0" w:rsidRDefault="00410071" w:rsidP="00D91E32">
            <w:pPr>
              <w:pStyle w:val="TableText"/>
              <w:ind w:right="397"/>
              <w:jc w:val="right"/>
            </w:pPr>
            <w:r w:rsidRPr="00C11FC0">
              <w:t>4</w:t>
            </w:r>
            <w:r>
              <w:t>4,804</w:t>
            </w:r>
            <w:r w:rsidRPr="00C11FC0">
              <w:t xml:space="preserve"> hours</w:t>
            </w:r>
          </w:p>
        </w:tc>
        <w:tc>
          <w:tcPr>
            <w:tcW w:w="1079" w:type="pct"/>
          </w:tcPr>
          <w:p w14:paraId="6849D2AE" w14:textId="77777777" w:rsidR="00410071" w:rsidRPr="00C11FC0" w:rsidRDefault="00410071" w:rsidP="00D91E32">
            <w:pPr>
              <w:pStyle w:val="TableText"/>
              <w:ind w:right="170"/>
              <w:jc w:val="right"/>
            </w:pPr>
            <w:r w:rsidRPr="00C11FC0">
              <w:t>4</w:t>
            </w:r>
            <w:r>
              <w:t>7,195</w:t>
            </w:r>
            <w:r w:rsidRPr="00C11FC0">
              <w:t xml:space="preserve"> hours</w:t>
            </w:r>
          </w:p>
        </w:tc>
      </w:tr>
      <w:tr w:rsidR="00410071" w:rsidRPr="00C11FC0" w14:paraId="2CEAA952" w14:textId="77777777" w:rsidTr="00D91E32">
        <w:trPr>
          <w:cantSplit/>
        </w:trPr>
        <w:tc>
          <w:tcPr>
            <w:tcW w:w="2751" w:type="pct"/>
          </w:tcPr>
          <w:p w14:paraId="51C223FA" w14:textId="77777777" w:rsidR="00410071" w:rsidRPr="00C11FC0" w:rsidRDefault="00410071" w:rsidP="00D91E32">
            <w:pPr>
              <w:pStyle w:val="TableText"/>
            </w:pPr>
            <w:r w:rsidRPr="00C11FC0">
              <w:t>Number of seclusion events in adult services</w:t>
            </w:r>
          </w:p>
        </w:tc>
        <w:tc>
          <w:tcPr>
            <w:tcW w:w="1170" w:type="pct"/>
          </w:tcPr>
          <w:p w14:paraId="1FEB100E" w14:textId="77777777" w:rsidR="00410071" w:rsidRPr="00C11FC0" w:rsidRDefault="00410071" w:rsidP="00D91E32">
            <w:pPr>
              <w:pStyle w:val="TableText"/>
              <w:ind w:right="397"/>
              <w:jc w:val="right"/>
            </w:pPr>
            <w:r>
              <w:t>2,075</w:t>
            </w:r>
            <w:r w:rsidRPr="00C11FC0">
              <w:t xml:space="preserve"> events</w:t>
            </w:r>
          </w:p>
        </w:tc>
        <w:tc>
          <w:tcPr>
            <w:tcW w:w="1079" w:type="pct"/>
          </w:tcPr>
          <w:p w14:paraId="17D3A196" w14:textId="77777777" w:rsidR="00410071" w:rsidRPr="00C11FC0" w:rsidRDefault="00410071" w:rsidP="00D91E32">
            <w:pPr>
              <w:pStyle w:val="TableText"/>
              <w:ind w:right="170"/>
              <w:jc w:val="right"/>
            </w:pPr>
            <w:r w:rsidRPr="00C11FC0">
              <w:t>2</w:t>
            </w:r>
            <w:r>
              <w:t>,555</w:t>
            </w:r>
            <w:r w:rsidRPr="00C11FC0">
              <w:t xml:space="preserve"> events</w:t>
            </w:r>
          </w:p>
        </w:tc>
      </w:tr>
      <w:tr w:rsidR="00410071" w:rsidRPr="00C11FC0" w14:paraId="3FE1290D" w14:textId="77777777" w:rsidTr="00D91E32">
        <w:trPr>
          <w:cantSplit/>
        </w:trPr>
        <w:tc>
          <w:tcPr>
            <w:tcW w:w="2751" w:type="pct"/>
          </w:tcPr>
          <w:p w14:paraId="416E809C" w14:textId="77777777" w:rsidR="00410071" w:rsidRPr="00C11FC0" w:rsidRDefault="00410071" w:rsidP="00D91E32">
            <w:pPr>
              <w:pStyle w:val="TableText"/>
            </w:pPr>
            <w:r w:rsidRPr="00C11FC0">
              <w:t>Average number of seclusion events per person</w:t>
            </w:r>
          </w:p>
        </w:tc>
        <w:tc>
          <w:tcPr>
            <w:tcW w:w="1170" w:type="pct"/>
          </w:tcPr>
          <w:p w14:paraId="4748C7FF" w14:textId="77777777" w:rsidR="00410071" w:rsidRPr="00C11FC0" w:rsidRDefault="00410071" w:rsidP="00D91E32">
            <w:pPr>
              <w:pStyle w:val="TableText"/>
              <w:ind w:right="397"/>
              <w:jc w:val="right"/>
            </w:pPr>
            <w:r w:rsidRPr="00C11FC0">
              <w:t>2.</w:t>
            </w:r>
            <w:r>
              <w:t>2</w:t>
            </w:r>
            <w:r w:rsidRPr="00C11FC0">
              <w:t xml:space="preserve"> events</w:t>
            </w:r>
          </w:p>
        </w:tc>
        <w:tc>
          <w:tcPr>
            <w:tcW w:w="1079" w:type="pct"/>
          </w:tcPr>
          <w:p w14:paraId="4E2D6DFC" w14:textId="77777777" w:rsidR="00410071" w:rsidRPr="00C11FC0" w:rsidRDefault="00410071" w:rsidP="00D91E32">
            <w:pPr>
              <w:pStyle w:val="TableText"/>
              <w:ind w:right="170"/>
              <w:jc w:val="right"/>
            </w:pPr>
            <w:r>
              <w:t>2.7</w:t>
            </w:r>
            <w:r w:rsidRPr="00C11FC0">
              <w:t xml:space="preserve"> events</w:t>
            </w:r>
          </w:p>
        </w:tc>
      </w:tr>
      <w:tr w:rsidR="00410071" w:rsidRPr="00C11FC0" w14:paraId="0E1DCAD8" w14:textId="77777777" w:rsidTr="00D91E32">
        <w:trPr>
          <w:cantSplit/>
        </w:trPr>
        <w:tc>
          <w:tcPr>
            <w:tcW w:w="2751" w:type="pct"/>
          </w:tcPr>
          <w:p w14:paraId="3BF09CA8" w14:textId="77777777" w:rsidR="00410071" w:rsidRPr="00C11FC0" w:rsidRDefault="00410071" w:rsidP="00D91E32">
            <w:pPr>
              <w:pStyle w:val="TableText"/>
            </w:pPr>
            <w:r w:rsidRPr="00C11FC0">
              <w:t>Number of seclusion events per 1,000 bed nights</w:t>
            </w:r>
          </w:p>
        </w:tc>
        <w:tc>
          <w:tcPr>
            <w:tcW w:w="1170" w:type="pct"/>
          </w:tcPr>
          <w:p w14:paraId="18B6B712" w14:textId="77777777" w:rsidR="00410071" w:rsidRPr="00C11FC0" w:rsidRDefault="00410071" w:rsidP="00D91E32">
            <w:pPr>
              <w:pStyle w:val="TableText"/>
              <w:ind w:right="397"/>
              <w:jc w:val="right"/>
            </w:pPr>
            <w:r>
              <w:t xml:space="preserve">8.7 </w:t>
            </w:r>
            <w:r w:rsidRPr="00C11FC0">
              <w:t>events</w:t>
            </w:r>
          </w:p>
        </w:tc>
        <w:tc>
          <w:tcPr>
            <w:tcW w:w="1079" w:type="pct"/>
          </w:tcPr>
          <w:p w14:paraId="3499DF71" w14:textId="77777777" w:rsidR="00410071" w:rsidRPr="00C11FC0" w:rsidRDefault="00410071" w:rsidP="00D91E32">
            <w:pPr>
              <w:pStyle w:val="TableText"/>
              <w:ind w:right="170"/>
              <w:jc w:val="right"/>
            </w:pPr>
            <w:r>
              <w:t>10.7</w:t>
            </w:r>
            <w:r w:rsidRPr="00C11FC0">
              <w:t xml:space="preserve"> events</w:t>
            </w:r>
          </w:p>
        </w:tc>
      </w:tr>
      <w:tr w:rsidR="00410071" w:rsidRPr="00C11FC0" w14:paraId="1564B8D3" w14:textId="77777777" w:rsidTr="00D91E32">
        <w:trPr>
          <w:cantSplit/>
        </w:trPr>
        <w:tc>
          <w:tcPr>
            <w:tcW w:w="2751" w:type="pct"/>
          </w:tcPr>
          <w:p w14:paraId="27FB7D50" w14:textId="77777777" w:rsidR="00410071" w:rsidRPr="00C11FC0" w:rsidRDefault="00410071" w:rsidP="00D91E32">
            <w:pPr>
              <w:pStyle w:val="TableText"/>
            </w:pPr>
            <w:r w:rsidRPr="00C11FC0">
              <w:t>Number of people secluded per 100,000 population</w:t>
            </w:r>
          </w:p>
        </w:tc>
        <w:tc>
          <w:tcPr>
            <w:tcW w:w="1170" w:type="pct"/>
          </w:tcPr>
          <w:p w14:paraId="76032C6B" w14:textId="77777777" w:rsidR="00410071" w:rsidRPr="00C11FC0" w:rsidRDefault="00410071" w:rsidP="00D91E32">
            <w:pPr>
              <w:pStyle w:val="TableText"/>
              <w:ind w:right="397"/>
              <w:jc w:val="right"/>
            </w:pPr>
            <w:r>
              <w:t>31.0</w:t>
            </w:r>
            <w:r w:rsidRPr="00C11FC0">
              <w:t xml:space="preserve"> people</w:t>
            </w:r>
          </w:p>
        </w:tc>
        <w:tc>
          <w:tcPr>
            <w:tcW w:w="1079" w:type="pct"/>
          </w:tcPr>
          <w:p w14:paraId="72CBF436" w14:textId="77777777" w:rsidR="00410071" w:rsidRPr="00C11FC0" w:rsidRDefault="00410071" w:rsidP="00D91E32">
            <w:pPr>
              <w:pStyle w:val="TableText"/>
              <w:ind w:right="170"/>
              <w:jc w:val="right"/>
            </w:pPr>
            <w:r>
              <w:t>31.1</w:t>
            </w:r>
            <w:r w:rsidRPr="00C11FC0">
              <w:t xml:space="preserve"> people</w:t>
            </w:r>
          </w:p>
        </w:tc>
      </w:tr>
      <w:tr w:rsidR="00410071" w:rsidRPr="00C11FC0" w14:paraId="2C8DCC97" w14:textId="77777777" w:rsidTr="00D91E32">
        <w:trPr>
          <w:cantSplit/>
        </w:trPr>
        <w:tc>
          <w:tcPr>
            <w:tcW w:w="2751" w:type="pct"/>
          </w:tcPr>
          <w:p w14:paraId="54133E35" w14:textId="77777777" w:rsidR="00410071" w:rsidRPr="00C11FC0" w:rsidRDefault="00410071" w:rsidP="00D91E32">
            <w:pPr>
              <w:pStyle w:val="TableText"/>
            </w:pPr>
            <w:r w:rsidRPr="00C11FC0">
              <w:t>Number of seclusion events per 100,000 population</w:t>
            </w:r>
          </w:p>
        </w:tc>
        <w:tc>
          <w:tcPr>
            <w:tcW w:w="1170" w:type="pct"/>
          </w:tcPr>
          <w:p w14:paraId="01466301" w14:textId="77777777" w:rsidR="00410071" w:rsidRPr="00C11FC0" w:rsidRDefault="00410071" w:rsidP="00D91E32">
            <w:pPr>
              <w:pStyle w:val="TableText"/>
              <w:ind w:right="397"/>
              <w:jc w:val="right"/>
            </w:pPr>
            <w:r>
              <w:t>69.1</w:t>
            </w:r>
            <w:r w:rsidRPr="00C11FC0">
              <w:t xml:space="preserve"> events</w:t>
            </w:r>
          </w:p>
        </w:tc>
        <w:tc>
          <w:tcPr>
            <w:tcW w:w="1079" w:type="pct"/>
          </w:tcPr>
          <w:p w14:paraId="0450D87C" w14:textId="77777777" w:rsidR="00410071" w:rsidRPr="00C11FC0" w:rsidRDefault="00410071" w:rsidP="00D91E32">
            <w:pPr>
              <w:pStyle w:val="TableText"/>
              <w:ind w:right="170"/>
              <w:jc w:val="right"/>
            </w:pPr>
            <w:r>
              <w:t>85.0</w:t>
            </w:r>
            <w:r w:rsidRPr="00C11FC0">
              <w:t xml:space="preserve"> events</w:t>
            </w:r>
          </w:p>
        </w:tc>
      </w:tr>
      <w:tr w:rsidR="00410071" w:rsidRPr="00C11FC0" w14:paraId="54CA86D3" w14:textId="77777777" w:rsidTr="00D91E32">
        <w:trPr>
          <w:cantSplit/>
        </w:trPr>
        <w:tc>
          <w:tcPr>
            <w:tcW w:w="2751" w:type="pct"/>
          </w:tcPr>
          <w:p w14:paraId="56EE7D07" w14:textId="77777777" w:rsidR="00410071" w:rsidRPr="00C11FC0" w:rsidRDefault="00410071" w:rsidP="00D91E32">
            <w:pPr>
              <w:pStyle w:val="TableText"/>
            </w:pPr>
            <w:r w:rsidRPr="00C11FC0">
              <w:t>Average duration per seclusion event</w:t>
            </w:r>
          </w:p>
        </w:tc>
        <w:tc>
          <w:tcPr>
            <w:tcW w:w="1170" w:type="pct"/>
          </w:tcPr>
          <w:p w14:paraId="163F4AA0" w14:textId="77777777" w:rsidR="00410071" w:rsidRPr="00C11FC0" w:rsidRDefault="00410071" w:rsidP="00D91E32">
            <w:pPr>
              <w:pStyle w:val="TableText"/>
              <w:ind w:right="397"/>
              <w:jc w:val="right"/>
            </w:pPr>
            <w:r>
              <w:t>21.6</w:t>
            </w:r>
            <w:r w:rsidRPr="00C11FC0">
              <w:t xml:space="preserve"> hours</w:t>
            </w:r>
          </w:p>
        </w:tc>
        <w:tc>
          <w:tcPr>
            <w:tcW w:w="1079" w:type="pct"/>
          </w:tcPr>
          <w:p w14:paraId="151EAC73" w14:textId="77777777" w:rsidR="00410071" w:rsidRPr="00C11FC0" w:rsidRDefault="00410071" w:rsidP="00D91E32">
            <w:pPr>
              <w:pStyle w:val="TableText"/>
              <w:ind w:right="170"/>
              <w:jc w:val="right"/>
            </w:pPr>
            <w:r>
              <w:t>18.5</w:t>
            </w:r>
            <w:r w:rsidRPr="00C11FC0">
              <w:t xml:space="preserve"> hours</w:t>
            </w:r>
          </w:p>
        </w:tc>
      </w:tr>
      <w:tr w:rsidR="00410071" w:rsidRPr="00C11FC0" w14:paraId="72957D6C" w14:textId="77777777" w:rsidTr="00D91E32">
        <w:trPr>
          <w:cantSplit/>
        </w:trPr>
        <w:tc>
          <w:tcPr>
            <w:tcW w:w="2751" w:type="pct"/>
          </w:tcPr>
          <w:p w14:paraId="78A33EB1" w14:textId="77777777" w:rsidR="00410071" w:rsidRPr="00C11FC0" w:rsidRDefault="00410071" w:rsidP="00D91E32">
            <w:pPr>
              <w:pStyle w:val="TableText"/>
            </w:pPr>
            <w:r w:rsidRPr="00C11FC0">
              <w:t>Percentage of seclusion events lasting under 24 hours</w:t>
            </w:r>
          </w:p>
        </w:tc>
        <w:tc>
          <w:tcPr>
            <w:tcW w:w="1170" w:type="pct"/>
          </w:tcPr>
          <w:p w14:paraId="29A8F7AD" w14:textId="77777777" w:rsidR="00410071" w:rsidRPr="00C11FC0" w:rsidRDefault="00410071" w:rsidP="00D91E32">
            <w:pPr>
              <w:pStyle w:val="TableText"/>
              <w:ind w:right="397"/>
              <w:jc w:val="right"/>
            </w:pPr>
            <w:r>
              <w:t>75</w:t>
            </w:r>
            <w:r w:rsidRPr="00C11FC0">
              <w:t xml:space="preserve"> percent</w:t>
            </w:r>
          </w:p>
        </w:tc>
        <w:tc>
          <w:tcPr>
            <w:tcW w:w="1079" w:type="pct"/>
          </w:tcPr>
          <w:p w14:paraId="52326690" w14:textId="77777777" w:rsidR="00410071" w:rsidRPr="00C11FC0" w:rsidRDefault="00410071" w:rsidP="00D91E32">
            <w:pPr>
              <w:pStyle w:val="TableText"/>
              <w:ind w:right="170"/>
              <w:jc w:val="right"/>
            </w:pPr>
            <w:r>
              <w:t>78</w:t>
            </w:r>
            <w:r w:rsidRPr="00C11FC0">
              <w:t xml:space="preserve"> percent</w:t>
            </w:r>
          </w:p>
        </w:tc>
      </w:tr>
      <w:tr w:rsidR="00410071" w:rsidRPr="00C11FC0" w14:paraId="70A9F292" w14:textId="77777777" w:rsidTr="00D91E32">
        <w:trPr>
          <w:cantSplit/>
        </w:trPr>
        <w:tc>
          <w:tcPr>
            <w:tcW w:w="2751" w:type="pct"/>
          </w:tcPr>
          <w:p w14:paraId="6BF993A4" w14:textId="77777777" w:rsidR="00410071" w:rsidRPr="00C11FC0" w:rsidRDefault="00410071" w:rsidP="00D91E32">
            <w:pPr>
              <w:pStyle w:val="TableText"/>
            </w:pPr>
            <w:r w:rsidRPr="00C11FC0">
              <w:t>Percentage of seclusion events lasting over 48 hours</w:t>
            </w:r>
          </w:p>
        </w:tc>
        <w:tc>
          <w:tcPr>
            <w:tcW w:w="1170" w:type="pct"/>
          </w:tcPr>
          <w:p w14:paraId="60A1DAB6" w14:textId="77777777" w:rsidR="00410071" w:rsidRPr="00C11FC0" w:rsidRDefault="00410071" w:rsidP="00D91E32">
            <w:pPr>
              <w:pStyle w:val="TableText"/>
              <w:ind w:right="397"/>
              <w:jc w:val="right"/>
            </w:pPr>
            <w:r>
              <w:t>13</w:t>
            </w:r>
            <w:r w:rsidRPr="00C11FC0">
              <w:t xml:space="preserve"> percent</w:t>
            </w:r>
          </w:p>
        </w:tc>
        <w:tc>
          <w:tcPr>
            <w:tcW w:w="1079" w:type="pct"/>
          </w:tcPr>
          <w:p w14:paraId="3C5053C1" w14:textId="77777777" w:rsidR="00410071" w:rsidRPr="00C11FC0" w:rsidRDefault="00410071" w:rsidP="00D91E32">
            <w:pPr>
              <w:pStyle w:val="TableText"/>
              <w:ind w:right="170"/>
              <w:jc w:val="right"/>
            </w:pPr>
            <w:r>
              <w:t>11</w:t>
            </w:r>
            <w:r w:rsidRPr="00C11FC0">
              <w:t xml:space="preserve"> percent</w:t>
            </w:r>
          </w:p>
        </w:tc>
      </w:tr>
      <w:tr w:rsidR="00410071" w:rsidRPr="00C11FC0" w14:paraId="514A7077" w14:textId="77777777" w:rsidTr="00D91E32">
        <w:trPr>
          <w:cantSplit/>
        </w:trPr>
        <w:tc>
          <w:tcPr>
            <w:tcW w:w="2751" w:type="pct"/>
          </w:tcPr>
          <w:p w14:paraId="42CBB49D" w14:textId="77777777" w:rsidR="00410071" w:rsidRPr="00C11FC0" w:rsidRDefault="00410071" w:rsidP="00D91E32">
            <w:pPr>
              <w:pStyle w:val="TableText"/>
            </w:pPr>
            <w:r w:rsidRPr="00C11FC0">
              <w:t>Decrease in people secluded in adult services since 2009</w:t>
            </w:r>
          </w:p>
        </w:tc>
        <w:tc>
          <w:tcPr>
            <w:tcW w:w="1170" w:type="pct"/>
          </w:tcPr>
          <w:p w14:paraId="1BDCC254" w14:textId="77777777" w:rsidR="00410071" w:rsidRPr="00C11FC0" w:rsidRDefault="00410071" w:rsidP="00D91E32">
            <w:pPr>
              <w:pStyle w:val="TableText"/>
              <w:ind w:right="397"/>
              <w:jc w:val="right"/>
            </w:pPr>
            <w:r>
              <w:t>13</w:t>
            </w:r>
            <w:r w:rsidRPr="00C11FC0">
              <w:t xml:space="preserve"> percent</w:t>
            </w:r>
          </w:p>
        </w:tc>
        <w:tc>
          <w:tcPr>
            <w:tcW w:w="1079" w:type="pct"/>
          </w:tcPr>
          <w:p w14:paraId="7F17DB71" w14:textId="77777777" w:rsidR="00410071" w:rsidRPr="00C11FC0" w:rsidRDefault="00410071" w:rsidP="00D91E32">
            <w:pPr>
              <w:pStyle w:val="TableText"/>
              <w:ind w:right="170"/>
              <w:jc w:val="right"/>
            </w:pPr>
            <w:r>
              <w:t>13</w:t>
            </w:r>
            <w:r w:rsidRPr="00C11FC0">
              <w:t xml:space="preserve"> percent</w:t>
            </w:r>
          </w:p>
        </w:tc>
      </w:tr>
      <w:tr w:rsidR="00410071" w:rsidRPr="00C11FC0" w14:paraId="37430D13" w14:textId="77777777" w:rsidTr="00D91E32">
        <w:trPr>
          <w:cantSplit/>
        </w:trPr>
        <w:tc>
          <w:tcPr>
            <w:tcW w:w="2751" w:type="pct"/>
          </w:tcPr>
          <w:p w14:paraId="2FC96D28" w14:textId="77777777" w:rsidR="00410071" w:rsidRPr="00C11FC0" w:rsidRDefault="00410071" w:rsidP="00D91E32">
            <w:pPr>
              <w:pStyle w:val="TableText"/>
            </w:pPr>
            <w:r w:rsidRPr="00C11FC0">
              <w:t>Decrease in hours spent in seclusion since 2009</w:t>
            </w:r>
          </w:p>
        </w:tc>
        <w:tc>
          <w:tcPr>
            <w:tcW w:w="1170" w:type="pct"/>
          </w:tcPr>
          <w:p w14:paraId="5D6D6EE5" w14:textId="77777777" w:rsidR="00410071" w:rsidRPr="00C11FC0" w:rsidRDefault="00410071" w:rsidP="00D91E32">
            <w:pPr>
              <w:pStyle w:val="TableText"/>
              <w:ind w:right="397"/>
              <w:jc w:val="right"/>
            </w:pPr>
            <w:r>
              <w:t>51</w:t>
            </w:r>
            <w:r w:rsidRPr="00C11FC0">
              <w:t xml:space="preserve"> percent</w:t>
            </w:r>
          </w:p>
        </w:tc>
        <w:tc>
          <w:tcPr>
            <w:tcW w:w="1079" w:type="pct"/>
          </w:tcPr>
          <w:p w14:paraId="4A443F73" w14:textId="77777777" w:rsidR="00410071" w:rsidRPr="00C11FC0" w:rsidRDefault="00410071" w:rsidP="00D91E32">
            <w:pPr>
              <w:pStyle w:val="TableText"/>
              <w:ind w:right="170"/>
              <w:jc w:val="right"/>
            </w:pPr>
            <w:r>
              <w:t>48</w:t>
            </w:r>
            <w:r w:rsidRPr="00C11FC0">
              <w:t xml:space="preserve"> percent</w:t>
            </w:r>
          </w:p>
        </w:tc>
      </w:tr>
      <w:tr w:rsidR="00410071" w:rsidRPr="00C11FC0" w14:paraId="744E856C" w14:textId="77777777" w:rsidTr="00D91E32">
        <w:trPr>
          <w:cantSplit/>
        </w:trPr>
        <w:tc>
          <w:tcPr>
            <w:tcW w:w="2751" w:type="pct"/>
          </w:tcPr>
          <w:p w14:paraId="225953C4" w14:textId="77777777" w:rsidR="00410071" w:rsidRPr="00C11FC0" w:rsidRDefault="00410071" w:rsidP="00D91E32">
            <w:pPr>
              <w:pStyle w:val="TableText"/>
            </w:pPr>
            <w:r>
              <w:t>Decrease</w:t>
            </w:r>
            <w:r w:rsidRPr="00C11FC0">
              <w:t xml:space="preserve"> in hours spent in seclusion since 201</w:t>
            </w:r>
            <w:r>
              <w:t>9</w:t>
            </w:r>
          </w:p>
        </w:tc>
        <w:tc>
          <w:tcPr>
            <w:tcW w:w="1170" w:type="pct"/>
          </w:tcPr>
          <w:p w14:paraId="57EF5314" w14:textId="77777777" w:rsidR="00410071" w:rsidRPr="00C11FC0" w:rsidRDefault="00410071" w:rsidP="00D91E32">
            <w:pPr>
              <w:pStyle w:val="TableText"/>
              <w:ind w:right="397"/>
              <w:jc w:val="right"/>
            </w:pPr>
            <w:r>
              <w:t>7</w:t>
            </w:r>
            <w:r w:rsidRPr="00C11FC0">
              <w:t xml:space="preserve"> percent</w:t>
            </w:r>
          </w:p>
        </w:tc>
        <w:tc>
          <w:tcPr>
            <w:tcW w:w="1079" w:type="pct"/>
          </w:tcPr>
          <w:p w14:paraId="13530E0B" w14:textId="77777777" w:rsidR="00410071" w:rsidRPr="00C11FC0" w:rsidRDefault="00410071" w:rsidP="00D91E32">
            <w:pPr>
              <w:pStyle w:val="TableText"/>
              <w:ind w:right="170"/>
              <w:jc w:val="right"/>
            </w:pPr>
            <w:r>
              <w:t>15</w:t>
            </w:r>
            <w:r w:rsidRPr="00C11FC0">
              <w:t xml:space="preserve"> percent</w:t>
            </w:r>
          </w:p>
        </w:tc>
      </w:tr>
      <w:tr w:rsidR="00410071" w:rsidRPr="00C11FC0" w14:paraId="2B33E87E" w14:textId="77777777" w:rsidTr="00D91E32">
        <w:trPr>
          <w:cantSplit/>
        </w:trPr>
        <w:tc>
          <w:tcPr>
            <w:tcW w:w="2751" w:type="pct"/>
          </w:tcPr>
          <w:p w14:paraId="036180BE" w14:textId="77777777" w:rsidR="00410071" w:rsidRPr="00C11FC0" w:rsidRDefault="00410071" w:rsidP="00D91E32">
            <w:pPr>
              <w:pStyle w:val="TableText"/>
            </w:pPr>
            <w:r w:rsidRPr="00C11FC0">
              <w:t>Increase in seclusion events since 2017</w:t>
            </w:r>
          </w:p>
        </w:tc>
        <w:tc>
          <w:tcPr>
            <w:tcW w:w="1170" w:type="pct"/>
          </w:tcPr>
          <w:p w14:paraId="4E9499EB" w14:textId="77777777" w:rsidR="00410071" w:rsidRPr="00C11FC0" w:rsidRDefault="00410071" w:rsidP="00D91E32">
            <w:pPr>
              <w:pStyle w:val="TableText"/>
              <w:ind w:right="397"/>
              <w:jc w:val="right"/>
            </w:pPr>
            <w:r>
              <w:t>19</w:t>
            </w:r>
            <w:r w:rsidRPr="00C11FC0">
              <w:t xml:space="preserve"> percent</w:t>
            </w:r>
          </w:p>
        </w:tc>
        <w:tc>
          <w:tcPr>
            <w:tcW w:w="1079" w:type="pct"/>
          </w:tcPr>
          <w:p w14:paraId="35E19C3F" w14:textId="77777777" w:rsidR="00410071" w:rsidRPr="00C11FC0" w:rsidRDefault="00410071" w:rsidP="00D91E32">
            <w:pPr>
              <w:pStyle w:val="TableText"/>
              <w:ind w:right="170"/>
              <w:jc w:val="right"/>
            </w:pPr>
            <w:r>
              <w:t>minus 11</w:t>
            </w:r>
            <w:r w:rsidRPr="00C11FC0">
              <w:t xml:space="preserve"> percent</w:t>
            </w:r>
          </w:p>
        </w:tc>
      </w:tr>
    </w:tbl>
    <w:p w14:paraId="016AE7D1" w14:textId="77777777" w:rsidR="00410071" w:rsidRDefault="00410071" w:rsidP="00D91E32">
      <w:pPr>
        <w:pStyle w:val="Source"/>
      </w:pPr>
      <w:r w:rsidRPr="00200234">
        <w:t>Sources: PRIMHD data</w:t>
      </w:r>
      <w:r>
        <w:t xml:space="preserve"> (extracted</w:t>
      </w:r>
      <w:r w:rsidRPr="00200234">
        <w:t xml:space="preserve"> </w:t>
      </w:r>
      <w:r>
        <w:t>1 July 2021)</w:t>
      </w:r>
      <w:r w:rsidRPr="00200234">
        <w:t xml:space="preserve"> and manual data from </w:t>
      </w:r>
      <w:r>
        <w:t>Southern, Waitematā and Whanganui DHBs.</w:t>
      </w:r>
    </w:p>
    <w:p w14:paraId="7D4BFFAF" w14:textId="77777777" w:rsidR="00D91E32" w:rsidRPr="00D91E32" w:rsidRDefault="00D91E32" w:rsidP="00D91E32"/>
    <w:p w14:paraId="679CD6B5" w14:textId="77777777" w:rsidR="00410071" w:rsidRDefault="00410071" w:rsidP="00D86735">
      <w:pPr>
        <w:pStyle w:val="Heading2"/>
      </w:pPr>
      <w:bookmarkStart w:id="547" w:name="_Toc87429944"/>
      <w:bookmarkStart w:id="548" w:name="_Toc88826988"/>
      <w:bookmarkEnd w:id="546"/>
      <w:r>
        <w:lastRenderedPageBreak/>
        <w:t>Substance Addiction (Compulsory Assessment and Treatment) Act 2017 data covering 1 July 2020 to 30 June 2021</w:t>
      </w:r>
      <w:bookmarkEnd w:id="547"/>
      <w:bookmarkEnd w:id="548"/>
    </w:p>
    <w:p w14:paraId="06E5C5FC" w14:textId="77777777" w:rsidR="0039221C" w:rsidRDefault="00410071" w:rsidP="000F4AD6">
      <w:pPr>
        <w:keepNext/>
        <w:keepLines/>
      </w:pPr>
      <w:r w:rsidRPr="00C01D91">
        <w:t xml:space="preserve">The following data covers only activities that occurred from 1 July 2020 to 30 June 2021. There may be cases where a person started the early stages </w:t>
      </w:r>
      <w:r>
        <w:t>under</w:t>
      </w:r>
      <w:r w:rsidRPr="00C01D91">
        <w:t xml:space="preserve"> the Substance Addiction Act at the end of June 2020 and continued through 2021 or first came under the Act in June 2021. Due to this, there are discrepancies in reporting, where a higher number of people had compulsory treatment orders made or extended than were detained under the Substance Addiction Act.</w:t>
      </w:r>
    </w:p>
    <w:p w14:paraId="37E8FB10" w14:textId="77777777" w:rsidR="00410071" w:rsidRPr="00C01D91" w:rsidRDefault="00410071" w:rsidP="00D86735"/>
    <w:p w14:paraId="7FF45639" w14:textId="77777777" w:rsidR="00410071" w:rsidRPr="00DC40AE" w:rsidRDefault="00410071" w:rsidP="00D86735">
      <w:pPr>
        <w:pStyle w:val="Heading3"/>
      </w:pPr>
      <w:bookmarkStart w:id="549" w:name="_Toc87429945"/>
      <w:r w:rsidRPr="00DC40AE">
        <w:t>Severe substance addiction</w:t>
      </w:r>
      <w:bookmarkEnd w:id="549"/>
    </w:p>
    <w:p w14:paraId="5B9CB880" w14:textId="77777777" w:rsidR="00410071" w:rsidRPr="00C01D91" w:rsidRDefault="00410071" w:rsidP="00D86735">
      <w:r w:rsidRPr="00C01D91">
        <w:t>Section 8 of the Substance Addiction Act states the meaning of severe substance addiction. It is a continuous or intermittent condition that is of such severity that it poses a serious danger to the health and safety of the person and seriously diminishes their ability to care for themselves. It manifests itself in the compulsive use of a substance that is characterised by at least two of:</w:t>
      </w:r>
    </w:p>
    <w:p w14:paraId="265EE0A4" w14:textId="77777777" w:rsidR="00410071" w:rsidRPr="00C01D91" w:rsidRDefault="00410071" w:rsidP="00D86735">
      <w:pPr>
        <w:pStyle w:val="Bullet"/>
      </w:pPr>
      <w:r w:rsidRPr="00C01D91">
        <w:t>neuro-adaption to the substance</w:t>
      </w:r>
    </w:p>
    <w:p w14:paraId="20DCBAC3" w14:textId="77777777" w:rsidR="00410071" w:rsidRPr="00C01D91" w:rsidRDefault="00410071" w:rsidP="00D86735">
      <w:pPr>
        <w:pStyle w:val="Bullet"/>
      </w:pPr>
      <w:r w:rsidRPr="00C01D91">
        <w:t>craving for the substance</w:t>
      </w:r>
    </w:p>
    <w:p w14:paraId="4EF593BF" w14:textId="77777777" w:rsidR="00410071" w:rsidRPr="00C01D91" w:rsidRDefault="00410071" w:rsidP="00D86735">
      <w:pPr>
        <w:pStyle w:val="Bullet"/>
      </w:pPr>
      <w:r w:rsidRPr="00C01D91">
        <w:t>unsuccessful efforts to control the use of substance</w:t>
      </w:r>
    </w:p>
    <w:p w14:paraId="3E31D61C" w14:textId="77777777" w:rsidR="00410071" w:rsidRPr="00C01D91" w:rsidRDefault="00410071" w:rsidP="00D86735">
      <w:pPr>
        <w:pStyle w:val="Bullet"/>
      </w:pPr>
      <w:r w:rsidRPr="00C01D91">
        <w:t>use of the substances despite suffering harmful consequences.</w:t>
      </w:r>
    </w:p>
    <w:p w14:paraId="18EFD434" w14:textId="77777777" w:rsidR="00410071" w:rsidRPr="00C01D91" w:rsidRDefault="00410071" w:rsidP="00D86735"/>
    <w:p w14:paraId="43AC952C" w14:textId="77777777" w:rsidR="00410071" w:rsidRPr="00DC40AE" w:rsidRDefault="00410071" w:rsidP="00D86735">
      <w:pPr>
        <w:pStyle w:val="Heading3"/>
      </w:pPr>
      <w:bookmarkStart w:id="550" w:name="_Toc87429946"/>
      <w:r w:rsidRPr="00DC40AE">
        <w:t>Criteria for compulsory treatment</w:t>
      </w:r>
      <w:bookmarkEnd w:id="550"/>
    </w:p>
    <w:p w14:paraId="4EE3A15C" w14:textId="77777777" w:rsidR="00410071" w:rsidRPr="00C01D91" w:rsidRDefault="00410071" w:rsidP="00D86735">
      <w:r w:rsidRPr="00C01D91">
        <w:t>Section 7 of the Substance Addiction Act states the criteria for compulsory treatment, all of which must apply</w:t>
      </w:r>
      <w:r>
        <w:t>. The criteria are</w:t>
      </w:r>
      <w:r w:rsidRPr="00C01D91">
        <w:t>:</w:t>
      </w:r>
    </w:p>
    <w:p w14:paraId="0DB2213D" w14:textId="77777777" w:rsidR="00410071" w:rsidRPr="00C01D91" w:rsidRDefault="00410071" w:rsidP="00D86735">
      <w:pPr>
        <w:pStyle w:val="Bullet"/>
      </w:pPr>
      <w:r w:rsidRPr="00C01D91">
        <w:t>the person has a severe substance addiction</w:t>
      </w:r>
    </w:p>
    <w:p w14:paraId="05B1DA56" w14:textId="77777777" w:rsidR="00410071" w:rsidRPr="00C01D91" w:rsidRDefault="00410071" w:rsidP="00D86735">
      <w:pPr>
        <w:pStyle w:val="Bullet"/>
      </w:pPr>
      <w:r w:rsidRPr="00C01D91">
        <w:t>the person</w:t>
      </w:r>
      <w:r w:rsidR="0039221C">
        <w:t>’</w:t>
      </w:r>
      <w:r w:rsidRPr="00C01D91">
        <w:t>s capacity to make informed decisions about treatment for that addiction is severely impaired</w:t>
      </w:r>
    </w:p>
    <w:p w14:paraId="1311B910" w14:textId="77777777" w:rsidR="00410071" w:rsidRPr="00C01D91" w:rsidRDefault="00410071" w:rsidP="00D86735">
      <w:pPr>
        <w:pStyle w:val="Bullet"/>
      </w:pPr>
      <w:r w:rsidRPr="00C01D91">
        <w:t>compulsory treatment of the person is necessary</w:t>
      </w:r>
    </w:p>
    <w:p w14:paraId="29F5478C" w14:textId="77777777" w:rsidR="00410071" w:rsidRDefault="00410071" w:rsidP="00D86735">
      <w:pPr>
        <w:pStyle w:val="Bullet"/>
      </w:pPr>
      <w:r w:rsidRPr="00C01D91">
        <w:t>appropriate treatment for the person is available.</w:t>
      </w:r>
    </w:p>
    <w:p w14:paraId="41C68A32" w14:textId="77777777" w:rsidR="00410071" w:rsidRPr="00C01D91" w:rsidRDefault="00410071" w:rsidP="00D86735"/>
    <w:p w14:paraId="78B06CD0" w14:textId="77777777" w:rsidR="00410071" w:rsidRPr="00064088" w:rsidRDefault="00410071" w:rsidP="00393F47">
      <w:pPr>
        <w:pStyle w:val="Heading3"/>
      </w:pPr>
      <w:bookmarkStart w:id="551" w:name="_Toc87429947"/>
      <w:r w:rsidRPr="00064088">
        <w:lastRenderedPageBreak/>
        <w:t>Key stages of the treatment process under the Substance Addiction Act</w:t>
      </w:r>
      <w:bookmarkEnd w:id="551"/>
    </w:p>
    <w:tbl>
      <w:tblPr>
        <w:tblW w:w="8080" w:type="dxa"/>
        <w:tblInd w:w="57" w:type="dxa"/>
        <w:tblBorders>
          <w:top w:val="single" w:sz="6" w:space="0" w:color="A6A6A6"/>
          <w:bottom w:val="single" w:sz="6" w:space="0" w:color="A6A6A6"/>
          <w:insideH w:val="single" w:sz="6" w:space="0" w:color="A6A6A6"/>
        </w:tblBorders>
        <w:tblLayout w:type="fixed"/>
        <w:tblCellMar>
          <w:left w:w="57" w:type="dxa"/>
          <w:right w:w="57" w:type="dxa"/>
        </w:tblCellMar>
        <w:tblLook w:val="04A0" w:firstRow="1" w:lastRow="0" w:firstColumn="1" w:lastColumn="0" w:noHBand="0" w:noVBand="1"/>
      </w:tblPr>
      <w:tblGrid>
        <w:gridCol w:w="1418"/>
        <w:gridCol w:w="6662"/>
      </w:tblGrid>
      <w:tr w:rsidR="00410071" w14:paraId="5017135A" w14:textId="77777777" w:rsidTr="00393F47">
        <w:trPr>
          <w:cantSplit/>
        </w:trPr>
        <w:tc>
          <w:tcPr>
            <w:tcW w:w="1418" w:type="dxa"/>
            <w:tcBorders>
              <w:top w:val="single" w:sz="4" w:space="0" w:color="D9D9D9" w:themeColor="background1" w:themeShade="D9"/>
              <w:bottom w:val="single" w:sz="4" w:space="0" w:color="FFFFFF" w:themeColor="background1"/>
            </w:tcBorders>
            <w:shd w:val="clear" w:color="auto" w:fill="D9D9D9" w:themeFill="background1" w:themeFillShade="D9"/>
            <w:hideMark/>
          </w:tcPr>
          <w:p w14:paraId="234B60CC" w14:textId="77777777" w:rsidR="00410071" w:rsidRPr="00393F47" w:rsidRDefault="00410071" w:rsidP="00393F47">
            <w:pPr>
              <w:pStyle w:val="TableText"/>
              <w:ind w:right="113"/>
              <w:rPr>
                <w:b/>
              </w:rPr>
            </w:pPr>
            <w:r w:rsidRPr="00393F47">
              <w:rPr>
                <w:b/>
              </w:rPr>
              <w:t>Application</w:t>
            </w:r>
          </w:p>
        </w:tc>
        <w:tc>
          <w:tcPr>
            <w:tcW w:w="6662" w:type="dxa"/>
            <w:tcBorders>
              <w:top w:val="single" w:sz="4" w:space="0" w:color="A6A6A6"/>
              <w:bottom w:val="single" w:sz="4" w:space="0" w:color="A6A6A6"/>
            </w:tcBorders>
            <w:shd w:val="clear" w:color="auto" w:fill="auto"/>
            <w:hideMark/>
          </w:tcPr>
          <w:p w14:paraId="1DCD480E" w14:textId="77777777" w:rsidR="0039221C" w:rsidRPr="00393F47" w:rsidRDefault="00410071" w:rsidP="00393F47">
            <w:pPr>
              <w:pStyle w:val="TableText"/>
              <w:rPr>
                <w:b/>
                <w:szCs w:val="21"/>
              </w:rPr>
            </w:pPr>
            <w:r w:rsidRPr="00393F47">
              <w:rPr>
                <w:b/>
                <w:szCs w:val="21"/>
              </w:rPr>
              <w:t>Section 14</w:t>
            </w:r>
          </w:p>
          <w:p w14:paraId="675201AC" w14:textId="77777777" w:rsidR="00410071" w:rsidRPr="00064088" w:rsidRDefault="00410071" w:rsidP="00393F47">
            <w:pPr>
              <w:pStyle w:val="TableText"/>
              <w:rPr>
                <w:szCs w:val="21"/>
              </w:rPr>
            </w:pPr>
            <w:r w:rsidRPr="00064088">
              <w:rPr>
                <w:szCs w:val="21"/>
              </w:rPr>
              <w:t>An applicant who believes that a person has a severe substance addiction may apply to the Director of Area Addiction Services to have the person assessed.</w:t>
            </w:r>
          </w:p>
        </w:tc>
      </w:tr>
      <w:tr w:rsidR="00410071" w14:paraId="4B8E0514" w14:textId="77777777" w:rsidTr="00393F47">
        <w:trPr>
          <w:cantSplit/>
        </w:trPr>
        <w:tc>
          <w:tcPr>
            <w:tcW w:w="1418" w:type="dxa"/>
            <w:tcBorders>
              <w:top w:val="single" w:sz="4" w:space="0" w:color="FFFFFF" w:themeColor="background1"/>
              <w:bottom w:val="single" w:sz="4" w:space="0" w:color="FFFFFF" w:themeColor="background1"/>
            </w:tcBorders>
            <w:shd w:val="clear" w:color="auto" w:fill="D9D9D9" w:themeFill="background1" w:themeFillShade="D9"/>
            <w:hideMark/>
          </w:tcPr>
          <w:p w14:paraId="204E44CE" w14:textId="77777777" w:rsidR="00410071" w:rsidRPr="00393F47" w:rsidRDefault="00410071" w:rsidP="00393F47">
            <w:pPr>
              <w:pStyle w:val="TableText"/>
              <w:ind w:right="113"/>
              <w:rPr>
                <w:b/>
                <w:sz w:val="22"/>
              </w:rPr>
            </w:pPr>
            <w:r w:rsidRPr="00393F47">
              <w:rPr>
                <w:b/>
              </w:rPr>
              <w:t>Assessment</w:t>
            </w:r>
          </w:p>
        </w:tc>
        <w:tc>
          <w:tcPr>
            <w:tcW w:w="6662" w:type="dxa"/>
            <w:tcBorders>
              <w:top w:val="single" w:sz="4" w:space="0" w:color="A6A6A6"/>
              <w:bottom w:val="single" w:sz="4" w:space="0" w:color="A6A6A6"/>
            </w:tcBorders>
            <w:shd w:val="clear" w:color="auto" w:fill="auto"/>
            <w:hideMark/>
          </w:tcPr>
          <w:p w14:paraId="75B255E5" w14:textId="77777777" w:rsidR="00410071" w:rsidRPr="00393F47" w:rsidRDefault="00410071" w:rsidP="00393F47">
            <w:pPr>
              <w:pStyle w:val="TableText"/>
              <w:rPr>
                <w:b/>
                <w:szCs w:val="21"/>
              </w:rPr>
            </w:pPr>
            <w:r w:rsidRPr="00393F47">
              <w:rPr>
                <w:b/>
                <w:szCs w:val="21"/>
              </w:rPr>
              <w:t>Section 22</w:t>
            </w:r>
          </w:p>
          <w:p w14:paraId="559621D5" w14:textId="77777777" w:rsidR="0039221C" w:rsidRDefault="00410071" w:rsidP="00393F47">
            <w:pPr>
              <w:pStyle w:val="TableText"/>
              <w:rPr>
                <w:szCs w:val="21"/>
              </w:rPr>
            </w:pPr>
            <w:r w:rsidRPr="00064088">
              <w:rPr>
                <w:szCs w:val="21"/>
              </w:rPr>
              <w:t>An approved specialist assesses whether a person has a severe substance addiction.</w:t>
            </w:r>
          </w:p>
          <w:p w14:paraId="7B9CDB17" w14:textId="77777777" w:rsidR="00410071" w:rsidRPr="00064088" w:rsidRDefault="00410071" w:rsidP="00393F47">
            <w:pPr>
              <w:pStyle w:val="TableText"/>
            </w:pPr>
            <w:r w:rsidRPr="00064088">
              <w:rPr>
                <w:szCs w:val="21"/>
              </w:rPr>
              <w:t xml:space="preserve">If the approved specialist considers that the person has a severe substance addiction, </w:t>
            </w:r>
            <w:r>
              <w:rPr>
                <w:szCs w:val="21"/>
              </w:rPr>
              <w:t>the specialist</w:t>
            </w:r>
            <w:r w:rsidRPr="00064088">
              <w:rPr>
                <w:szCs w:val="21"/>
              </w:rPr>
              <w:t xml:space="preserve"> must then assess whether that person</w:t>
            </w:r>
            <w:r w:rsidR="0039221C">
              <w:rPr>
                <w:szCs w:val="21"/>
              </w:rPr>
              <w:t>’</w:t>
            </w:r>
            <w:r w:rsidRPr="00064088">
              <w:rPr>
                <w:szCs w:val="21"/>
              </w:rPr>
              <w:t>s capacity to make informed decisions about treatment has been severely impaired.</w:t>
            </w:r>
          </w:p>
        </w:tc>
      </w:tr>
      <w:tr w:rsidR="00410071" w14:paraId="11644832" w14:textId="77777777" w:rsidTr="00393F47">
        <w:trPr>
          <w:cantSplit/>
        </w:trPr>
        <w:tc>
          <w:tcPr>
            <w:tcW w:w="1418" w:type="dxa"/>
            <w:tcBorders>
              <w:top w:val="single" w:sz="4" w:space="0" w:color="FFFFFF" w:themeColor="background1"/>
              <w:bottom w:val="single" w:sz="4" w:space="0" w:color="FFFFFF" w:themeColor="background1"/>
            </w:tcBorders>
            <w:shd w:val="clear" w:color="auto" w:fill="D9D9D9" w:themeFill="background1" w:themeFillShade="D9"/>
            <w:hideMark/>
          </w:tcPr>
          <w:p w14:paraId="2265B6B2" w14:textId="77777777" w:rsidR="00410071" w:rsidRPr="00393F47" w:rsidRDefault="00410071" w:rsidP="00393F47">
            <w:pPr>
              <w:pStyle w:val="TableText"/>
              <w:ind w:right="113"/>
              <w:rPr>
                <w:b/>
                <w:sz w:val="22"/>
              </w:rPr>
            </w:pPr>
            <w:r w:rsidRPr="00393F47">
              <w:rPr>
                <w:b/>
              </w:rPr>
              <w:t>Certification</w:t>
            </w:r>
          </w:p>
        </w:tc>
        <w:tc>
          <w:tcPr>
            <w:tcW w:w="6662" w:type="dxa"/>
            <w:tcBorders>
              <w:top w:val="single" w:sz="4" w:space="0" w:color="A6A6A6"/>
              <w:bottom w:val="single" w:sz="4" w:space="0" w:color="A6A6A6"/>
            </w:tcBorders>
            <w:shd w:val="clear" w:color="auto" w:fill="auto"/>
            <w:hideMark/>
          </w:tcPr>
          <w:p w14:paraId="331E89C1" w14:textId="77777777" w:rsidR="0039221C" w:rsidRPr="00393F47" w:rsidRDefault="00410071" w:rsidP="00393F47">
            <w:pPr>
              <w:pStyle w:val="TableText"/>
              <w:rPr>
                <w:b/>
                <w:szCs w:val="21"/>
              </w:rPr>
            </w:pPr>
            <w:r w:rsidRPr="00393F47">
              <w:rPr>
                <w:b/>
                <w:szCs w:val="21"/>
              </w:rPr>
              <w:t>Section 23</w:t>
            </w:r>
          </w:p>
          <w:p w14:paraId="359788B5" w14:textId="77777777" w:rsidR="00410071" w:rsidRPr="00064088" w:rsidRDefault="00410071" w:rsidP="00393F47">
            <w:pPr>
              <w:pStyle w:val="TableText"/>
              <w:rPr>
                <w:szCs w:val="21"/>
              </w:rPr>
            </w:pPr>
            <w:r w:rsidRPr="00064088">
              <w:rPr>
                <w:szCs w:val="21"/>
              </w:rPr>
              <w:t xml:space="preserve">After assessment, if the approved specialist considers that the person meets the criteria for compulsory treatment, </w:t>
            </w:r>
            <w:r>
              <w:rPr>
                <w:szCs w:val="21"/>
              </w:rPr>
              <w:t>the specialist</w:t>
            </w:r>
            <w:r w:rsidRPr="00064088">
              <w:rPr>
                <w:szCs w:val="21"/>
              </w:rPr>
              <w:t xml:space="preserve"> sign</w:t>
            </w:r>
            <w:r>
              <w:rPr>
                <w:szCs w:val="21"/>
              </w:rPr>
              <w:t>s</w:t>
            </w:r>
            <w:r w:rsidRPr="00064088">
              <w:rPr>
                <w:szCs w:val="21"/>
              </w:rPr>
              <w:t xml:space="preserve"> a compulsory treatment certificate. The person is detained at a health care service for a period of stabilisation while arrangements are made to admit them to a treatment centre.</w:t>
            </w:r>
          </w:p>
        </w:tc>
      </w:tr>
      <w:tr w:rsidR="00410071" w14:paraId="2E8EF1B4" w14:textId="77777777" w:rsidTr="00393F47">
        <w:trPr>
          <w:cantSplit/>
        </w:trPr>
        <w:tc>
          <w:tcPr>
            <w:tcW w:w="1418" w:type="dxa"/>
            <w:tcBorders>
              <w:top w:val="single" w:sz="4" w:space="0" w:color="FFFFFF" w:themeColor="background1"/>
              <w:bottom w:val="single" w:sz="4" w:space="0" w:color="FFFFFF" w:themeColor="background1"/>
            </w:tcBorders>
            <w:shd w:val="clear" w:color="auto" w:fill="D9D9D9" w:themeFill="background1" w:themeFillShade="D9"/>
            <w:hideMark/>
          </w:tcPr>
          <w:p w14:paraId="4F3261BB" w14:textId="77777777" w:rsidR="00410071" w:rsidRPr="00393F47" w:rsidRDefault="00410071" w:rsidP="00393F47">
            <w:pPr>
              <w:pStyle w:val="TableText"/>
              <w:ind w:right="113"/>
              <w:rPr>
                <w:b/>
                <w:sz w:val="22"/>
              </w:rPr>
            </w:pPr>
            <w:r w:rsidRPr="00393F47">
              <w:rPr>
                <w:b/>
              </w:rPr>
              <w:t>Treatment plan</w:t>
            </w:r>
          </w:p>
        </w:tc>
        <w:tc>
          <w:tcPr>
            <w:tcW w:w="6662" w:type="dxa"/>
            <w:tcBorders>
              <w:top w:val="single" w:sz="4" w:space="0" w:color="A6A6A6"/>
              <w:bottom w:val="single" w:sz="4" w:space="0" w:color="A6A6A6"/>
            </w:tcBorders>
            <w:shd w:val="clear" w:color="auto" w:fill="auto"/>
            <w:hideMark/>
          </w:tcPr>
          <w:p w14:paraId="5ADC2C48" w14:textId="77777777" w:rsidR="00410071" w:rsidRPr="00393F47" w:rsidRDefault="00410071" w:rsidP="00393F47">
            <w:pPr>
              <w:pStyle w:val="TableText"/>
              <w:rPr>
                <w:b/>
                <w:szCs w:val="21"/>
              </w:rPr>
            </w:pPr>
            <w:r w:rsidRPr="00393F47">
              <w:rPr>
                <w:b/>
                <w:szCs w:val="21"/>
              </w:rPr>
              <w:t>Section 29</w:t>
            </w:r>
          </w:p>
          <w:p w14:paraId="4B9BAED5" w14:textId="77777777" w:rsidR="00410071" w:rsidRPr="00064088" w:rsidRDefault="00410071" w:rsidP="00393F47">
            <w:pPr>
              <w:pStyle w:val="TableText"/>
            </w:pPr>
            <w:r w:rsidRPr="00064088">
              <w:rPr>
                <w:szCs w:val="21"/>
              </w:rPr>
              <w:t>The responsible clinician must prepare a treatment plan for the patient, arrange for the patient to be admitted into a treatment centre and apply to the court for a review of the patient</w:t>
            </w:r>
            <w:r w:rsidR="0039221C">
              <w:rPr>
                <w:szCs w:val="21"/>
              </w:rPr>
              <w:t>’</w:t>
            </w:r>
            <w:r>
              <w:rPr>
                <w:szCs w:val="21"/>
              </w:rPr>
              <w:t>s</w:t>
            </w:r>
            <w:r w:rsidRPr="00064088">
              <w:rPr>
                <w:szCs w:val="21"/>
              </w:rPr>
              <w:t xml:space="preserve"> compulsory status.</w:t>
            </w:r>
          </w:p>
        </w:tc>
      </w:tr>
      <w:tr w:rsidR="00410071" w14:paraId="2358178E" w14:textId="77777777" w:rsidTr="00393F47">
        <w:trPr>
          <w:cantSplit/>
        </w:trPr>
        <w:tc>
          <w:tcPr>
            <w:tcW w:w="1418" w:type="dxa"/>
            <w:tcBorders>
              <w:top w:val="single" w:sz="4" w:space="0" w:color="FFFFFF" w:themeColor="background1"/>
              <w:bottom w:val="single" w:sz="4" w:space="0" w:color="FFFFFF" w:themeColor="background1"/>
            </w:tcBorders>
            <w:shd w:val="clear" w:color="auto" w:fill="D9D9D9" w:themeFill="background1" w:themeFillShade="D9"/>
            <w:hideMark/>
          </w:tcPr>
          <w:p w14:paraId="3CDB5571" w14:textId="77777777" w:rsidR="00410071" w:rsidRPr="00393F47" w:rsidRDefault="00410071" w:rsidP="00393F47">
            <w:pPr>
              <w:pStyle w:val="TableText"/>
              <w:ind w:right="113"/>
              <w:rPr>
                <w:b/>
                <w:sz w:val="22"/>
              </w:rPr>
            </w:pPr>
            <w:r w:rsidRPr="00393F47">
              <w:rPr>
                <w:b/>
              </w:rPr>
              <w:t>Detention</w:t>
            </w:r>
          </w:p>
        </w:tc>
        <w:tc>
          <w:tcPr>
            <w:tcW w:w="6662" w:type="dxa"/>
            <w:tcBorders>
              <w:top w:val="single" w:sz="4" w:space="0" w:color="A6A6A6"/>
              <w:bottom w:val="single" w:sz="4" w:space="0" w:color="A6A6A6"/>
            </w:tcBorders>
            <w:shd w:val="clear" w:color="auto" w:fill="auto"/>
            <w:hideMark/>
          </w:tcPr>
          <w:p w14:paraId="45699BBA" w14:textId="77777777" w:rsidR="00410071" w:rsidRPr="00393F47" w:rsidRDefault="00410071" w:rsidP="00393F47">
            <w:pPr>
              <w:pStyle w:val="TableText"/>
              <w:rPr>
                <w:b/>
                <w:szCs w:val="21"/>
              </w:rPr>
            </w:pPr>
            <w:r w:rsidRPr="00393F47">
              <w:rPr>
                <w:b/>
                <w:szCs w:val="21"/>
              </w:rPr>
              <w:t>Section 30</w:t>
            </w:r>
          </w:p>
          <w:p w14:paraId="7F8819F0" w14:textId="77777777" w:rsidR="00410071" w:rsidRPr="00064088" w:rsidRDefault="00410071" w:rsidP="00393F47">
            <w:pPr>
              <w:pStyle w:val="TableText"/>
            </w:pPr>
            <w:r w:rsidRPr="00064088">
              <w:rPr>
                <w:szCs w:val="21"/>
              </w:rPr>
              <w:t>The responsible clinician must direct that the patient be detained and treated in a treatment centre. The primary treatment centre is Nova Supported Treatment and Recovery (Nova STAR) in Christchurch.</w:t>
            </w:r>
          </w:p>
        </w:tc>
      </w:tr>
      <w:tr w:rsidR="00410071" w14:paraId="62500264" w14:textId="77777777" w:rsidTr="00393F47">
        <w:trPr>
          <w:cantSplit/>
        </w:trPr>
        <w:tc>
          <w:tcPr>
            <w:tcW w:w="1418" w:type="dxa"/>
            <w:tcBorders>
              <w:top w:val="single" w:sz="4" w:space="0" w:color="FFFFFF" w:themeColor="background1"/>
              <w:bottom w:val="single" w:sz="4" w:space="0" w:color="D9D9D9" w:themeColor="background1" w:themeShade="D9"/>
            </w:tcBorders>
            <w:shd w:val="clear" w:color="auto" w:fill="D9D9D9" w:themeFill="background1" w:themeFillShade="D9"/>
            <w:hideMark/>
          </w:tcPr>
          <w:p w14:paraId="058C76BC" w14:textId="77777777" w:rsidR="00410071" w:rsidRPr="00393F47" w:rsidRDefault="00410071" w:rsidP="00393F47">
            <w:pPr>
              <w:pStyle w:val="TableText"/>
              <w:ind w:right="113"/>
              <w:rPr>
                <w:b/>
                <w:sz w:val="22"/>
              </w:rPr>
            </w:pPr>
            <w:r w:rsidRPr="00393F47">
              <w:rPr>
                <w:b/>
              </w:rPr>
              <w:t>Review</w:t>
            </w:r>
          </w:p>
        </w:tc>
        <w:tc>
          <w:tcPr>
            <w:tcW w:w="6662" w:type="dxa"/>
            <w:tcBorders>
              <w:top w:val="single" w:sz="4" w:space="0" w:color="A6A6A6"/>
              <w:bottom w:val="single" w:sz="4" w:space="0" w:color="A6A6A6"/>
            </w:tcBorders>
            <w:shd w:val="clear" w:color="auto" w:fill="auto"/>
            <w:hideMark/>
          </w:tcPr>
          <w:p w14:paraId="78B3BD18" w14:textId="77777777" w:rsidR="00410071" w:rsidRPr="00393F47" w:rsidRDefault="00410071" w:rsidP="00393F47">
            <w:pPr>
              <w:pStyle w:val="TableText"/>
              <w:rPr>
                <w:b/>
                <w:szCs w:val="21"/>
              </w:rPr>
            </w:pPr>
            <w:r w:rsidRPr="00393F47">
              <w:rPr>
                <w:b/>
                <w:szCs w:val="21"/>
              </w:rPr>
              <w:t>Section 32</w:t>
            </w:r>
          </w:p>
          <w:p w14:paraId="226A47C5" w14:textId="77777777" w:rsidR="00410071" w:rsidRPr="00064088" w:rsidRDefault="00410071" w:rsidP="00393F47">
            <w:pPr>
              <w:pStyle w:val="TableText"/>
              <w:rPr>
                <w:szCs w:val="21"/>
              </w:rPr>
            </w:pPr>
            <w:r w:rsidRPr="00064088">
              <w:rPr>
                <w:szCs w:val="21"/>
              </w:rPr>
              <w:t xml:space="preserve">The court reviews the compulsory status of the patient. If the judge is satisfied </w:t>
            </w:r>
            <w:r>
              <w:rPr>
                <w:szCs w:val="21"/>
              </w:rPr>
              <w:t xml:space="preserve">that </w:t>
            </w:r>
            <w:r w:rsidRPr="00064088">
              <w:rPr>
                <w:szCs w:val="21"/>
              </w:rPr>
              <w:t xml:space="preserve">the patient meets the criteria for compulsory treatment, then </w:t>
            </w:r>
            <w:r>
              <w:rPr>
                <w:szCs w:val="21"/>
              </w:rPr>
              <w:t>that judge</w:t>
            </w:r>
            <w:r w:rsidRPr="00064088">
              <w:rPr>
                <w:szCs w:val="21"/>
              </w:rPr>
              <w:t xml:space="preserve"> can make a compulsory treatment order (CTO), which lasts 56 days. These orders may be extended for a further 56 days.</w:t>
            </w:r>
          </w:p>
        </w:tc>
      </w:tr>
    </w:tbl>
    <w:p w14:paraId="3278AE84" w14:textId="77777777" w:rsidR="00410071" w:rsidRDefault="00410071" w:rsidP="00393F47"/>
    <w:p w14:paraId="5ACBBEEA" w14:textId="77777777" w:rsidR="00410071" w:rsidRDefault="00410071" w:rsidP="00393F47">
      <w:r w:rsidRPr="00896308">
        <w:t>Statutory roles within this process ensure that health professionals: involve family and whānau</w:t>
      </w:r>
      <w:r>
        <w:t>,</w:t>
      </w:r>
      <w:r w:rsidRPr="00896308">
        <w:t xml:space="preserve"> help the person to engage in voluntary treatment and take a</w:t>
      </w:r>
      <w:r>
        <w:t>n approach that aims to enhance</w:t>
      </w:r>
      <w:r w:rsidRPr="00896308">
        <w:t xml:space="preserve"> mana. These roles include authorised offices, approved specialists, responsible clinicians, directors of area addiction services and district inspectors.</w:t>
      </w:r>
    </w:p>
    <w:p w14:paraId="5568035A" w14:textId="77777777" w:rsidR="00410071" w:rsidRPr="00896308" w:rsidRDefault="00410071" w:rsidP="00393F47"/>
    <w:p w14:paraId="12558690" w14:textId="77777777" w:rsidR="00410071" w:rsidRPr="00896308" w:rsidRDefault="00410071" w:rsidP="00393F47">
      <w:r w:rsidRPr="00896308">
        <w:t xml:space="preserve">For more information about the Substance Addiction Act and these roles, search </w:t>
      </w:r>
      <w:r w:rsidR="0039221C">
        <w:t>‘</w:t>
      </w:r>
      <w:r w:rsidRPr="00896308">
        <w:t>SACAT resources</w:t>
      </w:r>
      <w:r w:rsidR="0039221C">
        <w:t>’</w:t>
      </w:r>
      <w:r>
        <w:t xml:space="preserve"> on</w:t>
      </w:r>
      <w:r w:rsidRPr="00896308">
        <w:t xml:space="preserve"> the Ministry of Health website (</w:t>
      </w:r>
      <w:hyperlink r:id="rId72" w:history="1">
        <w:r w:rsidR="00393F47" w:rsidRPr="00393F47">
          <w:rPr>
            <w:rStyle w:val="Hyperlink"/>
          </w:rPr>
          <w:t>health.govt.nz</w:t>
        </w:r>
      </w:hyperlink>
      <w:r w:rsidRPr="00896308">
        <w:t>).</w:t>
      </w:r>
    </w:p>
    <w:p w14:paraId="7618073E" w14:textId="77777777" w:rsidR="00410071" w:rsidRPr="00896308" w:rsidRDefault="00410071" w:rsidP="00393F47"/>
    <w:p w14:paraId="12DAD9ED" w14:textId="77777777" w:rsidR="00410071" w:rsidRPr="00896308" w:rsidRDefault="00410071" w:rsidP="00393F47">
      <w:pPr>
        <w:pStyle w:val="Heading3"/>
      </w:pPr>
      <w:bookmarkStart w:id="552" w:name="_Toc87429948"/>
      <w:r w:rsidRPr="00896308">
        <w:lastRenderedPageBreak/>
        <w:t>Nova Trust</w:t>
      </w:r>
      <w:bookmarkEnd w:id="552"/>
    </w:p>
    <w:p w14:paraId="70E70B12" w14:textId="77777777" w:rsidR="00410071" w:rsidRPr="00896308" w:rsidRDefault="00410071" w:rsidP="00393F47">
      <w:pPr>
        <w:keepNext/>
      </w:pPr>
      <w:r w:rsidRPr="00896308">
        <w:t>Nova Trust is the primary approved provider of treatment for people detained under the Substance Addiction Act. Nova Trust operates a treatment centre, comprising a nine-bed inpatient unit in Christchurch (Nova STAR) that offers medical care, cognitive assessments, remediation interventions, occupational therapy and relapse prevention support. Health care services can be designated as approved providers if they meet certain criteria under section 92 of the Substance Addiction Act.</w:t>
      </w:r>
    </w:p>
    <w:p w14:paraId="6AA0B7A9" w14:textId="77777777" w:rsidR="00410071" w:rsidRPr="00896308" w:rsidRDefault="00410071" w:rsidP="00393F47"/>
    <w:p w14:paraId="32B2ADA1" w14:textId="77777777" w:rsidR="00410071" w:rsidRPr="00896308" w:rsidRDefault="00410071" w:rsidP="00393F47">
      <w:pPr>
        <w:pStyle w:val="Heading3"/>
      </w:pPr>
      <w:bookmarkStart w:id="553" w:name="_Toc87429949"/>
      <w:r w:rsidRPr="00896308">
        <w:t>Substance Addiction Act usage from 1 July 2020 to 30</w:t>
      </w:r>
      <w:r w:rsidR="00393F47">
        <w:t> </w:t>
      </w:r>
      <w:r w:rsidRPr="00896308">
        <w:t>June 2021</w:t>
      </w:r>
      <w:bookmarkEnd w:id="553"/>
    </w:p>
    <w:p w14:paraId="0BBBCE29" w14:textId="77777777" w:rsidR="0039221C" w:rsidRDefault="00410071" w:rsidP="00393F47">
      <w:r w:rsidRPr="00896308">
        <w:t xml:space="preserve">This report interprets </w:t>
      </w:r>
      <w:r w:rsidR="0039221C">
        <w:t>‘</w:t>
      </w:r>
      <w:r w:rsidRPr="00896308">
        <w:t>detained</w:t>
      </w:r>
      <w:r w:rsidR="0039221C">
        <w:t>’</w:t>
      </w:r>
      <w:r w:rsidRPr="00896308">
        <w:t xml:space="preserve"> to mean </w:t>
      </w:r>
      <w:r>
        <w:t xml:space="preserve">that </w:t>
      </w:r>
      <w:r w:rsidRPr="00896308">
        <w:t xml:space="preserve">an approved specialist has signed a compulsory treatment certificate for </w:t>
      </w:r>
      <w:r>
        <w:t>a</w:t>
      </w:r>
      <w:r w:rsidRPr="00896308">
        <w:t xml:space="preserve"> </w:t>
      </w:r>
      <w:r>
        <w:t>patient</w:t>
      </w:r>
      <w:r w:rsidRPr="00896308">
        <w:t>.</w:t>
      </w:r>
      <w:r w:rsidRPr="00393F47">
        <w:rPr>
          <w:rStyle w:val="FootnoteReference"/>
        </w:rPr>
        <w:footnoteReference w:id="30"/>
      </w:r>
      <w:r w:rsidRPr="00896308">
        <w:t xml:space="preserve"> After an approved specialist has signed a compulsory treatment certificate, most patients first need </w:t>
      </w:r>
      <w:r>
        <w:t xml:space="preserve">to be </w:t>
      </w:r>
      <w:r w:rsidRPr="00896308">
        <w:t>det</w:t>
      </w:r>
      <w:r>
        <w:t>ained</w:t>
      </w:r>
      <w:r w:rsidRPr="00896308">
        <w:t xml:space="preserve"> in a medical ward or a specialist withdrawal management facility for a period of stabilisation because of their co-occurring physical health needs. Following this, if it is found that the </w:t>
      </w:r>
      <w:r>
        <w:t>patient</w:t>
      </w:r>
      <w:r w:rsidRPr="00896308">
        <w:t xml:space="preserve"> still requires compulsory treatment, a </w:t>
      </w:r>
      <w:r>
        <w:t>judge may grant a CTO</w:t>
      </w:r>
      <w:r w:rsidRPr="00896308">
        <w:t>.</w:t>
      </w:r>
    </w:p>
    <w:p w14:paraId="3EE0B81D" w14:textId="77777777" w:rsidR="00410071" w:rsidRPr="00896308" w:rsidRDefault="00410071" w:rsidP="00393F47"/>
    <w:p w14:paraId="4E03F35F" w14:textId="46A935DF" w:rsidR="00410071" w:rsidRDefault="00410071" w:rsidP="00393F47">
      <w:r w:rsidRPr="00896308">
        <w:t xml:space="preserve">In </w:t>
      </w:r>
      <w:r>
        <w:t>the</w:t>
      </w:r>
      <w:r w:rsidRPr="00896308">
        <w:t xml:space="preserve"> period</w:t>
      </w:r>
      <w:r>
        <w:t xml:space="preserve"> 1 July 2020 to 30 June 2021</w:t>
      </w:r>
      <w:r w:rsidRPr="00896308">
        <w:t xml:space="preserve">, </w:t>
      </w:r>
      <w:r>
        <w:t xml:space="preserve">there were </w:t>
      </w:r>
      <w:r w:rsidRPr="00896308">
        <w:t>37 people detained under the Substance Addiction Act</w:t>
      </w:r>
      <w:r>
        <w:t>,</w:t>
      </w:r>
      <w:r w:rsidRPr="00393F47">
        <w:rPr>
          <w:rStyle w:val="FootnoteReference"/>
        </w:rPr>
        <w:footnoteReference w:id="31"/>
      </w:r>
      <w:r w:rsidRPr="00896308">
        <w:t xml:space="preserve"> </w:t>
      </w:r>
      <w:r>
        <w:t xml:space="preserve">and </w:t>
      </w:r>
      <w:r w:rsidRPr="00896308">
        <w:t xml:space="preserve">28 </w:t>
      </w:r>
      <w:r>
        <w:t>CTOs</w:t>
      </w:r>
      <w:r w:rsidRPr="00896308">
        <w:t xml:space="preserve"> were made. The courts extended 20</w:t>
      </w:r>
      <w:r w:rsidR="00393F47">
        <w:t> </w:t>
      </w:r>
      <w:r w:rsidRPr="00896308">
        <w:t>compulsory treatment orders.</w:t>
      </w:r>
      <w:r>
        <w:t xml:space="preserve"> </w:t>
      </w:r>
      <w:r w:rsidRPr="00896308">
        <w:t xml:space="preserve">Among those subject to compulsory treatment certificates, 21 were women and 16 were men. They tended to be in older age groups, with 51.4 percent over 50 years old. The most common ethnic group in this cohort was New Zealand European. </w:t>
      </w:r>
      <w:r>
        <w:fldChar w:fldCharType="begin"/>
      </w:r>
      <w:r>
        <w:instrText xml:space="preserve"> REF _Ref85549921 \h </w:instrText>
      </w:r>
      <w:r>
        <w:fldChar w:fldCharType="separate"/>
      </w:r>
      <w:r w:rsidR="00840F18">
        <w:t>Figure A</w:t>
      </w:r>
      <w:r w:rsidR="00840F18">
        <w:rPr>
          <w:noProof/>
        </w:rPr>
        <w:t>1</w:t>
      </w:r>
      <w:r>
        <w:fldChar w:fldCharType="end"/>
      </w:r>
      <w:r>
        <w:t xml:space="preserve"> </w:t>
      </w:r>
      <w:r w:rsidRPr="00896308">
        <w:t>demonstrates the ethnicity make-up of this group.</w:t>
      </w:r>
    </w:p>
    <w:p w14:paraId="089C5E41" w14:textId="77777777" w:rsidR="00410071" w:rsidRPr="00896308" w:rsidRDefault="00410071" w:rsidP="00393F47"/>
    <w:p w14:paraId="71D895D0" w14:textId="77777777" w:rsidR="00410071" w:rsidRDefault="00410071" w:rsidP="00393F47">
      <w:r w:rsidRPr="00896308">
        <w:t>Over half of all patients with compulsory treatment certificates were referred from DHBs in the Northern region.</w:t>
      </w:r>
      <w:r w:rsidRPr="00393F47">
        <w:rPr>
          <w:rStyle w:val="FootnoteReference"/>
        </w:rPr>
        <w:footnoteReference w:id="32"/>
      </w:r>
    </w:p>
    <w:p w14:paraId="1CF8413A" w14:textId="77777777" w:rsidR="00410071" w:rsidRPr="00896308" w:rsidRDefault="00410071" w:rsidP="00393F47"/>
    <w:p w14:paraId="7AEB20DD" w14:textId="18F4273E" w:rsidR="00410071" w:rsidRDefault="00410071" w:rsidP="00393F47">
      <w:pPr>
        <w:pStyle w:val="Figure"/>
      </w:pPr>
      <w:bookmarkStart w:id="554" w:name="_Ref85549921"/>
      <w:bookmarkStart w:id="555" w:name="_Toc87429996"/>
      <w:bookmarkStart w:id="556" w:name="_Toc88561428"/>
      <w:r>
        <w:lastRenderedPageBreak/>
        <w:t>Figure</w:t>
      </w:r>
      <w:r w:rsidR="00393F47">
        <w:t> </w:t>
      </w:r>
      <w:r>
        <w:t>A</w:t>
      </w:r>
      <w:r w:rsidR="00592799">
        <w:fldChar w:fldCharType="begin"/>
      </w:r>
      <w:r w:rsidR="00592799">
        <w:instrText xml:space="preserve"> SEQ Figure_A \* ARABIC </w:instrText>
      </w:r>
      <w:r w:rsidR="00592799">
        <w:fldChar w:fldCharType="separate"/>
      </w:r>
      <w:r w:rsidR="00840F18">
        <w:rPr>
          <w:noProof/>
        </w:rPr>
        <w:t>1</w:t>
      </w:r>
      <w:r w:rsidR="00592799">
        <w:rPr>
          <w:noProof/>
        </w:rPr>
        <w:fldChar w:fldCharType="end"/>
      </w:r>
      <w:bookmarkEnd w:id="554"/>
      <w:r w:rsidRPr="00DB609F">
        <w:t>: Percentage of patients subject to compulsory treatment certificates, by ethnicity, 1 July 2020 to 30 June 2021</w:t>
      </w:r>
      <w:bookmarkEnd w:id="555"/>
      <w:bookmarkEnd w:id="556"/>
    </w:p>
    <w:p w14:paraId="2958B37A" w14:textId="77777777" w:rsidR="00410071" w:rsidRPr="00393F47" w:rsidRDefault="00410071" w:rsidP="00393F47">
      <w:pPr>
        <w:keepNext/>
      </w:pPr>
      <w:r>
        <w:rPr>
          <w:noProof/>
          <w:color w:val="FF0000"/>
          <w:lang w:eastAsia="en-NZ"/>
        </w:rPr>
        <w:drawing>
          <wp:inline distT="0" distB="0" distL="0" distR="0" wp14:anchorId="4488E164" wp14:editId="0303619A">
            <wp:extent cx="3705225" cy="2368550"/>
            <wp:effectExtent l="0" t="0" r="0" b="0"/>
            <wp:docPr id="39" name="Chart 39" descr="This pie graph shows 60% of people were NZ European, 16% were Māori and 24% were of other ethnicities.">
              <a:extLst xmlns:a="http://schemas.openxmlformats.org/drawingml/2006/main">
                <a:ext uri="{FF2B5EF4-FFF2-40B4-BE49-F238E27FC236}">
                  <a16:creationId xmlns:a16="http://schemas.microsoft.com/office/drawing/2014/main" id="{112DE040-DF05-46F6-ADBD-41B0B50E62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4AEA0618" w14:textId="77777777" w:rsidR="0039221C" w:rsidRDefault="00410071" w:rsidP="00393F47">
      <w:pPr>
        <w:pStyle w:val="Source"/>
      </w:pPr>
      <w:r w:rsidRPr="005305A3">
        <w:t>Source: PRIMHD data, extracted 9 August 2021.</w:t>
      </w:r>
    </w:p>
    <w:p w14:paraId="0EF89818" w14:textId="77777777" w:rsidR="00410071" w:rsidRPr="005305A3" w:rsidRDefault="00410071" w:rsidP="00393F47"/>
    <w:p w14:paraId="71EF8E3B" w14:textId="16829878" w:rsidR="00410071" w:rsidRDefault="00410071" w:rsidP="00393F47">
      <w:pPr>
        <w:pStyle w:val="Figure"/>
      </w:pPr>
      <w:bookmarkStart w:id="557" w:name="_Toc87429997"/>
      <w:bookmarkStart w:id="558" w:name="_Toc88561429"/>
      <w:r>
        <w:t>Figure</w:t>
      </w:r>
      <w:r w:rsidR="00393F47">
        <w:t> </w:t>
      </w:r>
      <w:r>
        <w:t>A</w:t>
      </w:r>
      <w:r w:rsidR="00592799">
        <w:fldChar w:fldCharType="begin"/>
      </w:r>
      <w:r w:rsidR="00592799">
        <w:instrText xml:space="preserve"> SEQ Figure_A \* ARABIC </w:instrText>
      </w:r>
      <w:r w:rsidR="00592799">
        <w:fldChar w:fldCharType="separate"/>
      </w:r>
      <w:r w:rsidR="00840F18">
        <w:rPr>
          <w:noProof/>
        </w:rPr>
        <w:t>2</w:t>
      </w:r>
      <w:r w:rsidR="00592799">
        <w:rPr>
          <w:noProof/>
        </w:rPr>
        <w:fldChar w:fldCharType="end"/>
      </w:r>
      <w:r w:rsidRPr="00EB297F">
        <w:t>: Percentage of patients subject to compulsory treatment certificates, by referring region, 1 July 2020 to 30 June 2021</w:t>
      </w:r>
      <w:bookmarkEnd w:id="557"/>
      <w:bookmarkEnd w:id="558"/>
    </w:p>
    <w:p w14:paraId="0E307282" w14:textId="77777777" w:rsidR="00410071" w:rsidRPr="00AC74A8" w:rsidRDefault="00410071" w:rsidP="00410071">
      <w:r>
        <w:rPr>
          <w:noProof/>
          <w:color w:val="FF0000"/>
          <w:lang w:eastAsia="en-NZ"/>
        </w:rPr>
        <w:drawing>
          <wp:inline distT="0" distB="0" distL="0" distR="0" wp14:anchorId="4F9E4BEB" wp14:editId="65E900F9">
            <wp:extent cx="3142445" cy="2550017"/>
            <wp:effectExtent l="0" t="0" r="1270" b="3175"/>
            <wp:docPr id="47" name="Chart 47" descr="This pie graph shows that 60% of referrals came from the Northern region, 19% from Midland, 16% from Central and 5% from Southern.">
              <a:extLst xmlns:a="http://schemas.openxmlformats.org/drawingml/2006/main">
                <a:ext uri="{FF2B5EF4-FFF2-40B4-BE49-F238E27FC236}">
                  <a16:creationId xmlns:a16="http://schemas.microsoft.com/office/drawing/2014/main" id="{56C2F66A-F01A-44A6-8EAD-FCC06FBBD7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3A5AF7A" w14:textId="77777777" w:rsidR="00410071" w:rsidRPr="005305A3" w:rsidRDefault="00410071" w:rsidP="00410071">
      <w:pPr>
        <w:pStyle w:val="Note"/>
      </w:pPr>
      <w:r w:rsidRPr="005305A3">
        <w:t>Note</w:t>
      </w:r>
      <w:r>
        <w:t>s</w:t>
      </w:r>
      <w:r w:rsidRPr="005305A3">
        <w:t xml:space="preserve">: </w:t>
      </w:r>
      <w:r w:rsidR="0039221C">
        <w:t>‘</w:t>
      </w:r>
      <w:r w:rsidRPr="005305A3">
        <w:t>Northern</w:t>
      </w:r>
      <w:r w:rsidR="0039221C">
        <w:t>’</w:t>
      </w:r>
      <w:r w:rsidRPr="005305A3">
        <w:t xml:space="preserve"> includes Auckland, Counties Manukau, Northland and Waitematā DHBs; </w:t>
      </w:r>
      <w:r w:rsidR="0039221C">
        <w:t>‘</w:t>
      </w:r>
      <w:r w:rsidRPr="005305A3">
        <w:t>Midland</w:t>
      </w:r>
      <w:r w:rsidR="0039221C">
        <w:t>’</w:t>
      </w:r>
      <w:r w:rsidRPr="005305A3">
        <w:t xml:space="preserve"> includes Bay of Plenty, Lakes, Tairāwhiti, Taranaki and Waikato DHBs; </w:t>
      </w:r>
      <w:r w:rsidR="0039221C">
        <w:t>‘</w:t>
      </w:r>
      <w:r w:rsidRPr="005305A3">
        <w:t>Central</w:t>
      </w:r>
      <w:r w:rsidR="0039221C">
        <w:t>’</w:t>
      </w:r>
      <w:r w:rsidRPr="005305A3">
        <w:t xml:space="preserve"> includes Capital </w:t>
      </w:r>
      <w:r>
        <w:t>&amp;</w:t>
      </w:r>
      <w:r w:rsidRPr="005305A3">
        <w:t xml:space="preserve"> Coast, Hawke</w:t>
      </w:r>
      <w:r w:rsidR="0039221C">
        <w:t>’</w:t>
      </w:r>
      <w:r w:rsidRPr="005305A3">
        <w:t xml:space="preserve">s Bay, Hutt Valley, MidCentral, Wairarapa and Whanganui DHBs; </w:t>
      </w:r>
      <w:r w:rsidR="0039221C">
        <w:t>‘</w:t>
      </w:r>
      <w:r w:rsidRPr="005305A3">
        <w:t>Southern</w:t>
      </w:r>
      <w:r w:rsidR="0039221C">
        <w:t>’</w:t>
      </w:r>
      <w:r w:rsidRPr="005305A3">
        <w:t xml:space="preserve"> includes Canterbury, Nelson Marlborough, Southern, South Canterbury and West Coast DHBs.</w:t>
      </w:r>
    </w:p>
    <w:p w14:paraId="3649DBC0" w14:textId="77777777" w:rsidR="00410071" w:rsidRPr="005305A3" w:rsidRDefault="00410071" w:rsidP="00410071">
      <w:pPr>
        <w:pStyle w:val="Note"/>
      </w:pPr>
      <w:r w:rsidRPr="005305A3">
        <w:t>Source: PRIMHD data, extracted 9 August 2021.</w:t>
      </w:r>
    </w:p>
    <w:p w14:paraId="4A80151D" w14:textId="77777777" w:rsidR="00410071" w:rsidRDefault="00410071" w:rsidP="00AC74A8"/>
    <w:p w14:paraId="2EB6D480" w14:textId="7F2EA22B" w:rsidR="0039221C" w:rsidRDefault="00410071" w:rsidP="00AC74A8">
      <w:r>
        <w:t>The average length of detention for those who had CTOs made or extended was 12</w:t>
      </w:r>
      <w:r w:rsidR="00AC74A8">
        <w:t> </w:t>
      </w:r>
      <w:r>
        <w:t>weeks and four days (89 days). Among these patients, 33 percent were detained for up to eight weeks, which is within the first period of compulsory treatment set out in the Substance Addiction Act, while 67 percent were detained for a period of between 8</w:t>
      </w:r>
      <w:r w:rsidR="00AC74A8">
        <w:t> </w:t>
      </w:r>
      <w:r>
        <w:t xml:space="preserve">and 16 weeks, requiring a CTO extension (see </w:t>
      </w:r>
      <w:r>
        <w:fldChar w:fldCharType="begin"/>
      </w:r>
      <w:r>
        <w:instrText xml:space="preserve"> REF _Ref85549888 \h </w:instrText>
      </w:r>
      <w:r>
        <w:fldChar w:fldCharType="separate"/>
      </w:r>
      <w:r w:rsidR="00840F18">
        <w:t>Figure A</w:t>
      </w:r>
      <w:r w:rsidR="00840F18">
        <w:rPr>
          <w:noProof/>
        </w:rPr>
        <w:t>3</w:t>
      </w:r>
      <w:r>
        <w:fldChar w:fldCharType="end"/>
      </w:r>
      <w:r>
        <w:t>).</w:t>
      </w:r>
    </w:p>
    <w:p w14:paraId="3702F99C" w14:textId="77777777" w:rsidR="00410071" w:rsidRDefault="00410071" w:rsidP="00AC74A8"/>
    <w:p w14:paraId="082E979D" w14:textId="3B1D4427" w:rsidR="00410071" w:rsidRDefault="00410071" w:rsidP="00410071">
      <w:pPr>
        <w:pStyle w:val="Figure"/>
      </w:pPr>
      <w:bookmarkStart w:id="559" w:name="_Ref85549888"/>
      <w:bookmarkStart w:id="560" w:name="_Toc87429998"/>
      <w:bookmarkStart w:id="561" w:name="_Toc88561430"/>
      <w:r>
        <w:lastRenderedPageBreak/>
        <w:t>Figure</w:t>
      </w:r>
      <w:r w:rsidR="00AC74A8">
        <w:t> </w:t>
      </w:r>
      <w:r>
        <w:t>A</w:t>
      </w:r>
      <w:r w:rsidR="00592799">
        <w:fldChar w:fldCharType="begin"/>
      </w:r>
      <w:r w:rsidR="00592799">
        <w:instrText xml:space="preserve"> SEQ Figure_A \* ARABIC </w:instrText>
      </w:r>
      <w:r w:rsidR="00592799">
        <w:fldChar w:fldCharType="separate"/>
      </w:r>
      <w:r w:rsidR="00840F18">
        <w:rPr>
          <w:noProof/>
        </w:rPr>
        <w:t>3</w:t>
      </w:r>
      <w:r w:rsidR="00592799">
        <w:rPr>
          <w:noProof/>
        </w:rPr>
        <w:fldChar w:fldCharType="end"/>
      </w:r>
      <w:bookmarkEnd w:id="559"/>
      <w:r w:rsidRPr="00346A94">
        <w:t>: Percentage of patients subject to compulsory treatment orders, by number of weeks in detention, 1 July 2020 to 30 June 2021</w:t>
      </w:r>
      <w:bookmarkEnd w:id="560"/>
      <w:bookmarkEnd w:id="561"/>
    </w:p>
    <w:p w14:paraId="7E7B0F83" w14:textId="77777777" w:rsidR="00410071" w:rsidRPr="00AC74A8" w:rsidRDefault="00410071" w:rsidP="00410071">
      <w:r>
        <w:rPr>
          <w:noProof/>
          <w:color w:val="FF0000"/>
          <w:lang w:eastAsia="en-NZ"/>
        </w:rPr>
        <w:drawing>
          <wp:inline distT="0" distB="0" distL="0" distR="0" wp14:anchorId="73403EB8" wp14:editId="636AB293">
            <wp:extent cx="3000894" cy="2601884"/>
            <wp:effectExtent l="0" t="0" r="0" b="8255"/>
            <wp:docPr id="52" name="Chart 52" descr="This pie graph shows that 33% of people spent 8 weeks or less subject to a treatment order, with 67% spending between 8 and 16 weeks.">
              <a:extLst xmlns:a="http://schemas.openxmlformats.org/drawingml/2006/main">
                <a:ext uri="{FF2B5EF4-FFF2-40B4-BE49-F238E27FC236}">
                  <a16:creationId xmlns:a16="http://schemas.microsoft.com/office/drawing/2014/main" id="{8A70E5C2-7037-4E04-8E7F-7EED34B15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520F1E9B" w14:textId="77777777" w:rsidR="0039221C" w:rsidRDefault="00410071" w:rsidP="00AC74A8">
      <w:pPr>
        <w:pStyle w:val="Source"/>
      </w:pPr>
      <w:r w:rsidRPr="005305A3">
        <w:t>Source: PRIMHD data, extracted 9 August 2021.</w:t>
      </w:r>
    </w:p>
    <w:p w14:paraId="291610A1" w14:textId="77777777" w:rsidR="00410071" w:rsidRPr="005305A3" w:rsidRDefault="00410071" w:rsidP="00AC74A8"/>
    <w:p w14:paraId="4E88AEAE" w14:textId="77777777" w:rsidR="00410071" w:rsidRDefault="00410071" w:rsidP="00AC74A8">
      <w:r w:rsidRPr="005305A3">
        <w:t>Section 43 of the Substance Addiction Act describes the threshold for release from compulsory status. The responsible clinician must order the release of a patient if th</w:t>
      </w:r>
      <w:r>
        <w:t>at</w:t>
      </w:r>
      <w:r w:rsidRPr="005305A3">
        <w:t xml:space="preserve"> clinician is satisfied the patient no longer meets the criteria for compulsory treatment or that no useful purpose would be served by continuing with compulsory treatment of the patient. Section 43 does not use the term </w:t>
      </w:r>
      <w:r w:rsidR="0039221C">
        <w:t>‘</w:t>
      </w:r>
      <w:r w:rsidRPr="005305A3">
        <w:t>discharge</w:t>
      </w:r>
      <w:r w:rsidR="0039221C">
        <w:t>’</w:t>
      </w:r>
      <w:r w:rsidRPr="005305A3">
        <w:t xml:space="preserve">. However, we use it in this report to mean that a patient is no longer under a compulsory treatment certificate, </w:t>
      </w:r>
      <w:r>
        <w:t>CTO</w:t>
      </w:r>
      <w:r w:rsidRPr="005305A3">
        <w:t xml:space="preserve"> or </w:t>
      </w:r>
      <w:r>
        <w:t>CTO</w:t>
      </w:r>
      <w:r w:rsidRPr="005305A3">
        <w:t xml:space="preserve"> extension.</w:t>
      </w:r>
    </w:p>
    <w:p w14:paraId="6CA219E8" w14:textId="77777777" w:rsidR="00410071" w:rsidRPr="005305A3" w:rsidRDefault="00410071" w:rsidP="00AC74A8"/>
    <w:p w14:paraId="21C8CB2D" w14:textId="77777777" w:rsidR="00410071" w:rsidRDefault="00410071" w:rsidP="00AC74A8">
      <w:r>
        <w:t>PRIMHD records show that among service users who were discharged from the Substance Addiction Act during this period:</w:t>
      </w:r>
    </w:p>
    <w:p w14:paraId="2F27346C" w14:textId="77777777" w:rsidR="00410071" w:rsidRDefault="00410071" w:rsidP="00AC74A8">
      <w:pPr>
        <w:pStyle w:val="Bullet"/>
      </w:pPr>
      <w:r>
        <w:t>30.2 percent received additional inpatient care</w:t>
      </w:r>
      <w:r w:rsidRPr="00AC74A8">
        <w:rPr>
          <w:rStyle w:val="FootnoteReference"/>
        </w:rPr>
        <w:footnoteReference w:id="33"/>
      </w:r>
    </w:p>
    <w:p w14:paraId="0E12DA1F" w14:textId="77777777" w:rsidR="00410071" w:rsidRDefault="00410071" w:rsidP="00AC74A8">
      <w:pPr>
        <w:pStyle w:val="Bullet"/>
      </w:pPr>
      <w:r>
        <w:t>74.4 percent engaged with individual treatments in outpatient services</w:t>
      </w:r>
    </w:p>
    <w:p w14:paraId="0446844C" w14:textId="77777777" w:rsidR="00410071" w:rsidRDefault="00410071" w:rsidP="00AC74A8">
      <w:pPr>
        <w:pStyle w:val="Bullet"/>
      </w:pPr>
      <w:r>
        <w:t>46.5 percent had family meetings arranged</w:t>
      </w:r>
    </w:p>
    <w:p w14:paraId="204E1175" w14:textId="77777777" w:rsidR="00410071" w:rsidRDefault="00410071" w:rsidP="00AC74A8">
      <w:pPr>
        <w:pStyle w:val="Bullet"/>
      </w:pPr>
      <w:r>
        <w:t>67.4 percent had supplementary consumer records</w:t>
      </w:r>
      <w:r w:rsidRPr="00AC74A8">
        <w:rPr>
          <w:rStyle w:val="FootnoteReference"/>
        </w:rPr>
        <w:footnoteReference w:id="34"/>
      </w:r>
    </w:p>
    <w:p w14:paraId="6E0071AB" w14:textId="77777777" w:rsidR="00410071" w:rsidRDefault="00410071" w:rsidP="00AC74A8">
      <w:pPr>
        <w:pStyle w:val="Bullet"/>
      </w:pPr>
      <w:r>
        <w:t>62.8 percent had wellness plans.</w:t>
      </w:r>
      <w:r w:rsidRPr="00AC74A8">
        <w:rPr>
          <w:rStyle w:val="FootnoteReference"/>
        </w:rPr>
        <w:footnoteReference w:id="35"/>
      </w:r>
    </w:p>
    <w:p w14:paraId="2215A7DB" w14:textId="77777777" w:rsidR="00AC74A8" w:rsidRDefault="00AC74A8" w:rsidP="00AC74A8"/>
    <w:p w14:paraId="33D5446A" w14:textId="77777777" w:rsidR="00410071" w:rsidRDefault="00410071" w:rsidP="00AC74A8">
      <w:r>
        <w:t>If a service user was discharged in late June 2021, they are unlikely to have had enough time to engage with outpatient services during the reporting period. For this reason, it may be difficult to draw meaningful conclusions about a service user</w:t>
      </w:r>
      <w:r w:rsidR="0039221C">
        <w:t>’</w:t>
      </w:r>
      <w:r>
        <w:t>s recovery journey from the information above.</w:t>
      </w:r>
    </w:p>
    <w:p w14:paraId="17AE77C4" w14:textId="77777777" w:rsidR="00410071" w:rsidRDefault="00410071" w:rsidP="00AC74A8"/>
    <w:p w14:paraId="1B356B34" w14:textId="77777777" w:rsidR="002D23CE" w:rsidRDefault="00410071" w:rsidP="00AC74A8">
      <w:r w:rsidRPr="005305A3">
        <w:t>Data from PRIMHD is only able to measure mental health and addiction outcomes, so these results may not fully encompass other sources of support for people recovering from severe substance addiction</w:t>
      </w:r>
      <w:r>
        <w:t>,</w:t>
      </w:r>
      <w:r w:rsidRPr="005305A3">
        <w:t xml:space="preserve"> for example, support for access to housin</w:t>
      </w:r>
      <w:r>
        <w:t>g.</w:t>
      </w:r>
    </w:p>
    <w:sectPr w:rsidR="002D23CE" w:rsidSect="002B7BEC">
      <w:footerReference w:type="even" r:id="rId76"/>
      <w:footerReference w:type="default" r:id="rId7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7A7F" w14:textId="77777777" w:rsidR="00592799" w:rsidRDefault="00592799">
      <w:r>
        <w:separator/>
      </w:r>
    </w:p>
    <w:p w14:paraId="5A1C3194" w14:textId="77777777" w:rsidR="00592799" w:rsidRDefault="00592799"/>
  </w:endnote>
  <w:endnote w:type="continuationSeparator" w:id="0">
    <w:p w14:paraId="4911B1A9" w14:textId="77777777" w:rsidR="00592799" w:rsidRDefault="00592799">
      <w:r>
        <w:continuationSeparator/>
      </w:r>
    </w:p>
    <w:p w14:paraId="46D988FF" w14:textId="77777777" w:rsidR="00592799" w:rsidRDefault="00592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93F9" w14:textId="77777777" w:rsidR="0095293C" w:rsidRPr="00581136" w:rsidRDefault="0095293C"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3C8F75F3" w14:textId="77777777" w:rsidR="0095293C" w:rsidRPr="005A79E5" w:rsidRDefault="0095293C">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95293C" w14:paraId="07074BB3" w14:textId="77777777" w:rsidTr="006E2886">
      <w:trPr>
        <w:cantSplit/>
      </w:trPr>
      <w:tc>
        <w:tcPr>
          <w:tcW w:w="675" w:type="dxa"/>
          <w:vAlign w:val="center"/>
        </w:tcPr>
        <w:p w14:paraId="4D0F057F" w14:textId="77777777" w:rsidR="0095293C" w:rsidRPr="00931466" w:rsidRDefault="0095293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F4AD6">
            <w:rPr>
              <w:rStyle w:val="PageNumber"/>
              <w:noProof/>
            </w:rPr>
            <w:t>72</w:t>
          </w:r>
          <w:r w:rsidRPr="00931466">
            <w:rPr>
              <w:rStyle w:val="PageNumber"/>
            </w:rPr>
            <w:fldChar w:fldCharType="end"/>
          </w:r>
        </w:p>
      </w:tc>
      <w:tc>
        <w:tcPr>
          <w:tcW w:w="9072" w:type="dxa"/>
          <w:vAlign w:val="center"/>
        </w:tcPr>
        <w:p w14:paraId="5452C974" w14:textId="77777777" w:rsidR="0095293C" w:rsidRDefault="0095293C" w:rsidP="00DF71CC">
          <w:pPr>
            <w:pStyle w:val="RectoFooter"/>
            <w:ind w:left="-108"/>
            <w:jc w:val="left"/>
          </w:pPr>
          <w:r>
            <w:t>office of the director of mental health and addiction services 2020 regulatory report</w:t>
          </w:r>
        </w:p>
      </w:tc>
    </w:tr>
  </w:tbl>
  <w:p w14:paraId="3DEFBC5D" w14:textId="77777777" w:rsidR="0095293C" w:rsidRPr="00571223" w:rsidRDefault="0095293C"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5293C" w14:paraId="0984D100" w14:textId="77777777" w:rsidTr="006E2886">
      <w:trPr>
        <w:cantSplit/>
      </w:trPr>
      <w:tc>
        <w:tcPr>
          <w:tcW w:w="8080" w:type="dxa"/>
          <w:vAlign w:val="center"/>
        </w:tcPr>
        <w:p w14:paraId="4E97657F" w14:textId="77777777" w:rsidR="0095293C" w:rsidRDefault="0095293C" w:rsidP="00DF71CC">
          <w:pPr>
            <w:pStyle w:val="RectoFooter"/>
          </w:pPr>
          <w:r>
            <w:t>office of the director of mental health and addiction services 2020 regulatory report</w:t>
          </w:r>
        </w:p>
      </w:tc>
      <w:tc>
        <w:tcPr>
          <w:tcW w:w="709" w:type="dxa"/>
          <w:vAlign w:val="center"/>
        </w:tcPr>
        <w:p w14:paraId="211DA662" w14:textId="77777777" w:rsidR="0095293C" w:rsidRPr="00931466" w:rsidRDefault="0095293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F4AD6">
            <w:rPr>
              <w:rStyle w:val="PageNumber"/>
              <w:noProof/>
            </w:rPr>
            <w:t>71</w:t>
          </w:r>
          <w:r w:rsidRPr="00931466">
            <w:rPr>
              <w:rStyle w:val="PageNumber"/>
            </w:rPr>
            <w:fldChar w:fldCharType="end"/>
          </w:r>
        </w:p>
      </w:tc>
    </w:tr>
  </w:tbl>
  <w:p w14:paraId="4752A6D8" w14:textId="77777777" w:rsidR="0095293C" w:rsidRPr="00581EB8" w:rsidRDefault="0095293C"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C375" w14:textId="77777777" w:rsidR="0095293C" w:rsidRDefault="0095293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7010" w14:textId="77777777" w:rsidR="0095293C" w:rsidRDefault="009529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95293C" w14:paraId="5B749D78" w14:textId="77777777" w:rsidTr="006E2886">
      <w:trPr>
        <w:cantSplit/>
      </w:trPr>
      <w:tc>
        <w:tcPr>
          <w:tcW w:w="709" w:type="dxa"/>
          <w:vAlign w:val="center"/>
        </w:tcPr>
        <w:p w14:paraId="2F60DF82" w14:textId="77777777" w:rsidR="0095293C" w:rsidRPr="00931466" w:rsidRDefault="0095293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1D14">
            <w:rPr>
              <w:rStyle w:val="PageNumber"/>
              <w:noProof/>
            </w:rPr>
            <w:t>iv</w:t>
          </w:r>
          <w:r w:rsidRPr="00931466">
            <w:rPr>
              <w:rStyle w:val="PageNumber"/>
            </w:rPr>
            <w:fldChar w:fldCharType="end"/>
          </w:r>
        </w:p>
      </w:tc>
      <w:tc>
        <w:tcPr>
          <w:tcW w:w="8080" w:type="dxa"/>
          <w:vAlign w:val="center"/>
        </w:tcPr>
        <w:p w14:paraId="326B5A51" w14:textId="77777777" w:rsidR="0095293C" w:rsidRDefault="0095293C" w:rsidP="00DF71CC">
          <w:pPr>
            <w:pStyle w:val="RectoFooter"/>
            <w:jc w:val="left"/>
          </w:pPr>
          <w:r>
            <w:t>office of the director of mental health and addiction services 2020 regulatory report</w:t>
          </w:r>
        </w:p>
      </w:tc>
    </w:tr>
  </w:tbl>
  <w:p w14:paraId="23C9E418" w14:textId="77777777" w:rsidR="0095293C" w:rsidRPr="00571223" w:rsidRDefault="0095293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5293C" w14:paraId="34173CC8" w14:textId="77777777" w:rsidTr="006B62E6">
      <w:trPr>
        <w:cantSplit/>
      </w:trPr>
      <w:tc>
        <w:tcPr>
          <w:tcW w:w="8080" w:type="dxa"/>
          <w:vAlign w:val="center"/>
        </w:tcPr>
        <w:p w14:paraId="1E22CFB5" w14:textId="77777777" w:rsidR="0095293C" w:rsidRDefault="0095293C" w:rsidP="00DF71CC">
          <w:pPr>
            <w:pStyle w:val="RectoFooter"/>
          </w:pPr>
          <w:r>
            <w:t>office of the director of mental health and addiction services 2020 regulatory report</w:t>
          </w:r>
        </w:p>
      </w:tc>
      <w:tc>
        <w:tcPr>
          <w:tcW w:w="709" w:type="dxa"/>
          <w:vAlign w:val="center"/>
        </w:tcPr>
        <w:p w14:paraId="38872806" w14:textId="77777777" w:rsidR="0095293C" w:rsidRPr="00931466" w:rsidRDefault="0095293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1D14">
            <w:rPr>
              <w:rStyle w:val="PageNumber"/>
              <w:noProof/>
            </w:rPr>
            <w:t>v</w:t>
          </w:r>
          <w:r w:rsidRPr="00931466">
            <w:rPr>
              <w:rStyle w:val="PageNumber"/>
            </w:rPr>
            <w:fldChar w:fldCharType="end"/>
          </w:r>
        </w:p>
      </w:tc>
    </w:tr>
  </w:tbl>
  <w:p w14:paraId="7A838CE2" w14:textId="77777777" w:rsidR="0095293C" w:rsidRPr="00581EB8" w:rsidRDefault="0095293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8D5C" w14:textId="77777777" w:rsidR="0095293C" w:rsidRPr="00571223" w:rsidRDefault="0095293C"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4A0" w:firstRow="1" w:lastRow="0" w:firstColumn="1" w:lastColumn="0" w:noHBand="0" w:noVBand="1"/>
    </w:tblPr>
    <w:tblGrid>
      <w:gridCol w:w="8046"/>
      <w:gridCol w:w="567"/>
      <w:gridCol w:w="1276"/>
    </w:tblGrid>
    <w:tr w:rsidR="0095293C" w14:paraId="7C27E4DF" w14:textId="77777777" w:rsidTr="007920E2">
      <w:tc>
        <w:tcPr>
          <w:tcW w:w="8046" w:type="dxa"/>
          <w:vAlign w:val="center"/>
        </w:tcPr>
        <w:p w14:paraId="6A8E838E" w14:textId="77777777" w:rsidR="0095293C" w:rsidRDefault="0095293C" w:rsidP="00926083">
          <w:pPr>
            <w:pStyle w:val="RectoFooter"/>
          </w:pPr>
          <w:r>
            <w:t>[TITLE]</w:t>
          </w:r>
        </w:p>
      </w:tc>
      <w:tc>
        <w:tcPr>
          <w:tcW w:w="567" w:type="dxa"/>
          <w:vAlign w:val="center"/>
        </w:tcPr>
        <w:p w14:paraId="7859D9C4" w14:textId="77777777" w:rsidR="0095293C" w:rsidRPr="00931466" w:rsidRDefault="0095293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14:paraId="2A0425B9" w14:textId="77777777" w:rsidR="0095293C" w:rsidRPr="00931466" w:rsidRDefault="0095293C" w:rsidP="00931466">
          <w:pPr>
            <w:pStyle w:val="Footer"/>
            <w:jc w:val="right"/>
            <w:rPr>
              <w:sz w:val="15"/>
              <w:szCs w:val="15"/>
            </w:rPr>
          </w:pPr>
        </w:p>
      </w:tc>
    </w:tr>
  </w:tbl>
  <w:p w14:paraId="218447D5" w14:textId="77777777" w:rsidR="0095293C" w:rsidRPr="00581EB8" w:rsidRDefault="0095293C"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95293C" w14:paraId="428682B0" w14:textId="77777777" w:rsidTr="00D662F8">
      <w:trPr>
        <w:cantSplit/>
      </w:trPr>
      <w:tc>
        <w:tcPr>
          <w:tcW w:w="709" w:type="dxa"/>
          <w:vAlign w:val="center"/>
        </w:tcPr>
        <w:p w14:paraId="6BCBBC31" w14:textId="77777777" w:rsidR="0095293C" w:rsidRPr="00931466" w:rsidRDefault="0095293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1D14">
            <w:rPr>
              <w:rStyle w:val="PageNumber"/>
              <w:noProof/>
            </w:rPr>
            <w:t>xii</w:t>
          </w:r>
          <w:r w:rsidRPr="00931466">
            <w:rPr>
              <w:rStyle w:val="PageNumber"/>
            </w:rPr>
            <w:fldChar w:fldCharType="end"/>
          </w:r>
        </w:p>
      </w:tc>
      <w:tc>
        <w:tcPr>
          <w:tcW w:w="8080" w:type="dxa"/>
          <w:vAlign w:val="center"/>
        </w:tcPr>
        <w:p w14:paraId="01FF8463" w14:textId="77777777" w:rsidR="0095293C" w:rsidRDefault="0095293C" w:rsidP="008B117E">
          <w:pPr>
            <w:pStyle w:val="RectoFooter"/>
            <w:jc w:val="left"/>
          </w:pPr>
          <w:r>
            <w:t>office of the director of mental health and addiction services 2020 regulatory report</w:t>
          </w:r>
        </w:p>
      </w:tc>
    </w:tr>
  </w:tbl>
  <w:p w14:paraId="3D5060AC" w14:textId="77777777" w:rsidR="0095293C" w:rsidRPr="00571223" w:rsidRDefault="0095293C"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5293C" w14:paraId="6C458C51" w14:textId="77777777" w:rsidTr="006E2886">
      <w:trPr>
        <w:cantSplit/>
      </w:trPr>
      <w:tc>
        <w:tcPr>
          <w:tcW w:w="8080" w:type="dxa"/>
          <w:vAlign w:val="center"/>
        </w:tcPr>
        <w:p w14:paraId="4F415D4C" w14:textId="77777777" w:rsidR="0095293C" w:rsidRDefault="0095293C" w:rsidP="00DF71CC">
          <w:pPr>
            <w:pStyle w:val="RectoFooter"/>
          </w:pPr>
          <w:r>
            <w:t>office of the director of mental health and addiction services 2020 regulatory report</w:t>
          </w:r>
        </w:p>
      </w:tc>
      <w:tc>
        <w:tcPr>
          <w:tcW w:w="709" w:type="dxa"/>
          <w:vAlign w:val="center"/>
        </w:tcPr>
        <w:p w14:paraId="19A50F38" w14:textId="77777777" w:rsidR="0095293C" w:rsidRPr="00931466" w:rsidRDefault="0095293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1D14">
            <w:rPr>
              <w:rStyle w:val="PageNumber"/>
              <w:noProof/>
            </w:rPr>
            <w:t>xi</w:t>
          </w:r>
          <w:r w:rsidRPr="00931466">
            <w:rPr>
              <w:rStyle w:val="PageNumber"/>
            </w:rPr>
            <w:fldChar w:fldCharType="end"/>
          </w:r>
        </w:p>
      </w:tc>
    </w:tr>
  </w:tbl>
  <w:p w14:paraId="4324E960" w14:textId="77777777" w:rsidR="0095293C" w:rsidRPr="00581EB8" w:rsidRDefault="0095293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AC4D" w14:textId="77777777" w:rsidR="00592799" w:rsidRPr="00A26E6B" w:rsidRDefault="00592799" w:rsidP="00A26E6B"/>
  </w:footnote>
  <w:footnote w:type="continuationSeparator" w:id="0">
    <w:p w14:paraId="02C6D4C9" w14:textId="77777777" w:rsidR="00592799" w:rsidRDefault="00592799">
      <w:r>
        <w:continuationSeparator/>
      </w:r>
    </w:p>
    <w:p w14:paraId="20DDD274" w14:textId="77777777" w:rsidR="00592799" w:rsidRDefault="00592799"/>
  </w:footnote>
  <w:footnote w:id="1">
    <w:p w14:paraId="667167E0" w14:textId="77777777" w:rsidR="0095293C" w:rsidRPr="00261D1D" w:rsidRDefault="0095293C" w:rsidP="00EC625C">
      <w:pPr>
        <w:pStyle w:val="FootnoteText"/>
      </w:pPr>
      <w:r w:rsidRPr="00EC625C">
        <w:rPr>
          <w:rStyle w:val="FootnoteReference"/>
        </w:rPr>
        <w:footnoteRef/>
      </w:r>
      <w:r>
        <w:rPr>
          <w:lang w:val="mi-NZ"/>
        </w:rPr>
        <w:tab/>
      </w:r>
      <w:r w:rsidRPr="00261D1D">
        <w:rPr>
          <w:lang w:val="mi-NZ"/>
        </w:rPr>
        <w:t xml:space="preserve">See: Ministry of Health. 2020. Mental health and wellbeing year in review. URL: </w:t>
      </w:r>
      <w:hyperlink r:id="rId1" w:history="1">
        <w:r w:rsidRPr="00261D1D">
          <w:rPr>
            <w:rStyle w:val="Hyperlink"/>
            <w:rFonts w:eastAsiaTheme="majorEastAsia"/>
          </w:rPr>
          <w:t>www.health.govt.nz/publication/mental-health-and-wellbeing-year-review</w:t>
        </w:r>
      </w:hyperlink>
      <w:r w:rsidRPr="00EC625C">
        <w:rPr>
          <w:rFonts w:eastAsiaTheme="majorEastAsia"/>
        </w:rPr>
        <w:t>.</w:t>
      </w:r>
    </w:p>
  </w:footnote>
  <w:footnote w:id="2">
    <w:p w14:paraId="27AAEDF8" w14:textId="77777777" w:rsidR="0095293C" w:rsidRPr="00442459" w:rsidRDefault="0095293C" w:rsidP="00EC625C">
      <w:pPr>
        <w:pStyle w:val="FootnoteText"/>
        <w:rPr>
          <w:lang w:val="mi-NZ"/>
        </w:rPr>
      </w:pPr>
      <w:r w:rsidRPr="00EC625C">
        <w:rPr>
          <w:rStyle w:val="FootnoteReference"/>
        </w:rPr>
        <w:footnoteRef/>
      </w:r>
      <w:r>
        <w:tab/>
      </w:r>
      <w:r>
        <w:rPr>
          <w:lang w:val="mi-NZ"/>
        </w:rPr>
        <w:t xml:space="preserve">Government Inquiry into Mental Health and Addiction. 2018. </w:t>
      </w:r>
      <w:r>
        <w:rPr>
          <w:i/>
          <w:iCs/>
          <w:lang w:val="mi-NZ"/>
        </w:rPr>
        <w:t xml:space="preserve">He Ara Oranga: Report of the Government Inquiry into Mental Health and Addiction. </w:t>
      </w:r>
      <w:r>
        <w:rPr>
          <w:lang w:val="mi-NZ"/>
        </w:rPr>
        <w:t xml:space="preserve">Wellington: Government Inquiry into Mental Health and Addiction. URL: </w:t>
      </w:r>
      <w:hyperlink r:id="rId2" w:history="1">
        <w:r w:rsidRPr="005010BC">
          <w:rPr>
            <w:rStyle w:val="Hyperlink"/>
            <w:rFonts w:eastAsiaTheme="majorEastAsia"/>
            <w:lang w:val="mi-NZ"/>
          </w:rPr>
          <w:t>www.mentalhealth.inquiry.govt.nz/assets/Summary-reports/He-Ara-Oranga.pdf</w:t>
        </w:r>
      </w:hyperlink>
      <w:r>
        <w:rPr>
          <w:lang w:val="mi-NZ"/>
        </w:rPr>
        <w:t xml:space="preserve"> (accessed 26 October 2021).</w:t>
      </w:r>
    </w:p>
  </w:footnote>
  <w:footnote w:id="3">
    <w:p w14:paraId="637804A7" w14:textId="77777777" w:rsidR="0095293C" w:rsidRPr="00A670F3" w:rsidRDefault="0095293C" w:rsidP="00EC625C">
      <w:pPr>
        <w:pStyle w:val="FootnoteText"/>
        <w:rPr>
          <w:lang w:val="mi-NZ"/>
        </w:rPr>
      </w:pPr>
      <w:r w:rsidRPr="00EC625C">
        <w:rPr>
          <w:rStyle w:val="FootnoteReference"/>
        </w:rPr>
        <w:footnoteRef/>
      </w:r>
      <w:r>
        <w:tab/>
      </w:r>
      <w:r>
        <w:rPr>
          <w:shd w:val="clear" w:color="auto" w:fill="FFFFFF"/>
        </w:rPr>
        <w:t xml:space="preserve">Ministry of Health. 2021. </w:t>
      </w:r>
      <w:r w:rsidRPr="00A670F3">
        <w:rPr>
          <w:i/>
          <w:iCs/>
          <w:shd w:val="clear" w:color="auto" w:fill="FFFFFF"/>
        </w:rPr>
        <w:t>Kia Manawanui Aotearoa: Long-term pathway to mental wellbeing</w:t>
      </w:r>
      <w:r>
        <w:rPr>
          <w:shd w:val="clear" w:color="auto" w:fill="FFFFFF"/>
        </w:rPr>
        <w:t xml:space="preserve">. </w:t>
      </w:r>
      <w:r w:rsidRPr="00A670F3">
        <w:t>Wellington</w:t>
      </w:r>
      <w:r>
        <w:rPr>
          <w:shd w:val="clear" w:color="auto" w:fill="FFFFFF"/>
        </w:rPr>
        <w:t xml:space="preserve">: Ministry of Health. URL: </w:t>
      </w:r>
      <w:hyperlink r:id="rId3" w:history="1">
        <w:r w:rsidRPr="00A670F3">
          <w:rPr>
            <w:rStyle w:val="Hyperlink"/>
            <w:rFonts w:eastAsiaTheme="majorEastAsia"/>
            <w:shd w:val="clear" w:color="auto" w:fill="FFFFFF"/>
          </w:rPr>
          <w:t>www.health.govt.nz/publication/kia-manawanui-aotearoa-long-term-pathway-mental-wellbeing</w:t>
        </w:r>
      </w:hyperlink>
      <w:r>
        <w:rPr>
          <w:shd w:val="clear" w:color="auto" w:fill="FFFFFF"/>
        </w:rPr>
        <w:t xml:space="preserve"> (accessed 26 October 2021).</w:t>
      </w:r>
    </w:p>
  </w:footnote>
  <w:footnote w:id="4">
    <w:p w14:paraId="0E577867" w14:textId="77777777" w:rsidR="0095293C" w:rsidRPr="00CD30C4" w:rsidRDefault="0095293C" w:rsidP="00EC625C">
      <w:pPr>
        <w:pStyle w:val="FootnoteText"/>
        <w:rPr>
          <w:lang w:val="mi-NZ"/>
        </w:rPr>
      </w:pPr>
      <w:r w:rsidRPr="00EC625C">
        <w:rPr>
          <w:rStyle w:val="FootnoteReference"/>
        </w:rPr>
        <w:footnoteRef/>
      </w:r>
      <w:r>
        <w:tab/>
      </w:r>
      <w:r>
        <w:rPr>
          <w:lang w:val="mi-NZ"/>
        </w:rPr>
        <w:t xml:space="preserve">For more information on the programme, see the Mental Health &amp; Addiction Quality Improvement webpage on the HQSC website at: </w:t>
      </w:r>
      <w:hyperlink r:id="rId4" w:history="1">
        <w:r w:rsidRPr="00BA7321">
          <w:rPr>
            <w:rStyle w:val="Hyperlink"/>
            <w:rFonts w:eastAsiaTheme="majorEastAsia"/>
            <w:lang w:val="mi-NZ"/>
          </w:rPr>
          <w:t>www.hqsc.govt.nz/our-programmes/mental-health-and-addiction-quality-improvement/news-and-events/news/4143/</w:t>
        </w:r>
      </w:hyperlink>
      <w:r>
        <w:rPr>
          <w:lang w:val="mi-NZ"/>
        </w:rPr>
        <w:t>.</w:t>
      </w:r>
    </w:p>
  </w:footnote>
  <w:footnote w:id="5">
    <w:p w14:paraId="4CB2B2F3" w14:textId="77777777" w:rsidR="0095293C" w:rsidRPr="0039221C" w:rsidRDefault="0095293C" w:rsidP="00EC625C">
      <w:pPr>
        <w:pStyle w:val="FootnoteText"/>
      </w:pPr>
      <w:r w:rsidRPr="00EC625C">
        <w:rPr>
          <w:rStyle w:val="FootnoteReference"/>
        </w:rPr>
        <w:footnoteRef/>
      </w:r>
      <w:r w:rsidRPr="0039221C">
        <w:tab/>
      </w:r>
      <w:r w:rsidRPr="00F3441B">
        <w:rPr>
          <w:rStyle w:val="FootnoteTextChar"/>
          <w:rFonts w:eastAsiaTheme="majorEastAsia"/>
        </w:rPr>
        <w:t>Mental Health Act sections 11, 13, 14(4), 15(1), 15(2), 29, 30 and 31</w:t>
      </w:r>
      <w:r>
        <w:rPr>
          <w:rStyle w:val="FootnoteTextChar"/>
          <w:rFonts w:eastAsiaTheme="majorEastAsia"/>
        </w:rPr>
        <w:t>.</w:t>
      </w:r>
    </w:p>
  </w:footnote>
  <w:footnote w:id="6">
    <w:p w14:paraId="7E880291" w14:textId="77777777" w:rsidR="0095293C" w:rsidRDefault="0095293C" w:rsidP="00EC625C">
      <w:pPr>
        <w:pStyle w:val="FootnoteText"/>
      </w:pPr>
      <w:r w:rsidRPr="00EC625C">
        <w:rPr>
          <w:rStyle w:val="FootnoteReference"/>
        </w:rPr>
        <w:footnoteRef/>
      </w:r>
      <w:r>
        <w:tab/>
        <w:t>In this report, we are distinguishing data for Pacific peoples for the first time, when appropriate to do so without making it identifiable. This means that ‘other ethnicities’ encompasses all ethnicities except for Māori and Pacific peoples.</w:t>
      </w:r>
    </w:p>
  </w:footnote>
  <w:footnote w:id="7">
    <w:p w14:paraId="42D78344" w14:textId="77777777" w:rsidR="0095293C" w:rsidRDefault="0095293C" w:rsidP="00EC625C">
      <w:pPr>
        <w:pStyle w:val="FootnoteText"/>
      </w:pPr>
      <w:r w:rsidRPr="00EC625C">
        <w:rPr>
          <w:rStyle w:val="FootnoteReference"/>
        </w:rPr>
        <w:footnoteRef/>
      </w:r>
      <w:r>
        <w:tab/>
        <w:t>Source: Data from the Programme for the Integration of Mental Health Data (PRIMHD) (extracted 1 July 2021).</w:t>
      </w:r>
    </w:p>
  </w:footnote>
  <w:footnote w:id="8">
    <w:p w14:paraId="60D394A7" w14:textId="77777777" w:rsidR="0095293C" w:rsidRDefault="0095293C" w:rsidP="00EC625C">
      <w:pPr>
        <w:pStyle w:val="FootnoteText"/>
      </w:pPr>
      <w:r w:rsidRPr="00EC625C">
        <w:rPr>
          <w:rStyle w:val="FootnoteReference"/>
        </w:rPr>
        <w:footnoteRef/>
      </w:r>
      <w:r>
        <w:tab/>
        <w:t>Source</w:t>
      </w:r>
      <w:r w:rsidRPr="00095B67">
        <w:t>: Ministry of Justice</w:t>
      </w:r>
      <w:r>
        <w:t>’</w:t>
      </w:r>
      <w:r w:rsidRPr="00095B67">
        <w:t>s Case Management System data (extracted 1 February 2021).</w:t>
      </w:r>
    </w:p>
  </w:footnote>
  <w:footnote w:id="9">
    <w:p w14:paraId="2FFAB96A" w14:textId="77777777" w:rsidR="0095293C" w:rsidRDefault="0095293C" w:rsidP="00EC625C">
      <w:pPr>
        <w:pStyle w:val="FootnoteText"/>
      </w:pPr>
      <w:r w:rsidRPr="00EC625C">
        <w:rPr>
          <w:rStyle w:val="FootnoteReference"/>
        </w:rPr>
        <w:footnoteRef/>
      </w:r>
      <w:r>
        <w:tab/>
      </w:r>
      <w:r w:rsidRPr="00940BE5">
        <w:t>Source</w:t>
      </w:r>
      <w:r>
        <w:t>s</w:t>
      </w:r>
      <w:r w:rsidRPr="00940BE5">
        <w:t xml:space="preserve">: </w:t>
      </w:r>
      <w:r>
        <w:t>PRIMHD (extracted 1 July 2021) and manual data from Counties Manukau DHB for section 30 only.</w:t>
      </w:r>
    </w:p>
  </w:footnote>
  <w:footnote w:id="10">
    <w:p w14:paraId="40A7DCD1" w14:textId="77777777" w:rsidR="0095293C" w:rsidRDefault="0095293C" w:rsidP="008B6AFE">
      <w:pPr>
        <w:pStyle w:val="FootnoteText"/>
      </w:pPr>
      <w:r w:rsidRPr="008B6AFE">
        <w:rPr>
          <w:rStyle w:val="FootnoteReference"/>
        </w:rPr>
        <w:footnoteRef/>
      </w:r>
      <w:r>
        <w:tab/>
        <w:t>Source: Ministry of Justice’s Case Management System data (extracted 1 February 2021).</w:t>
      </w:r>
    </w:p>
  </w:footnote>
  <w:footnote w:id="11">
    <w:p w14:paraId="02CF1871" w14:textId="77777777" w:rsidR="0095293C" w:rsidRDefault="0095293C" w:rsidP="00B048AF">
      <w:pPr>
        <w:pStyle w:val="FootnoteText"/>
      </w:pPr>
      <w:r w:rsidRPr="00B048AF">
        <w:rPr>
          <w:rStyle w:val="FootnoteReference"/>
        </w:rPr>
        <w:footnoteRef/>
      </w:r>
      <w:r>
        <w:tab/>
        <w:t>These ratios are based on the age-standardised rates of the Māori, Pacific peoples and other populations. Source: PRIMHD data (extracted 1 July 2021). See the Appendix: Additional statistics for a time-series extraction and analysis of the rate ratio between Māori and non-Māori under section 29 of the Mental Health Act.</w:t>
      </w:r>
    </w:p>
  </w:footnote>
  <w:footnote w:id="12">
    <w:p w14:paraId="5DE96AB6" w14:textId="77777777" w:rsidR="0095293C" w:rsidRDefault="0095293C" w:rsidP="00B048AF">
      <w:pPr>
        <w:pStyle w:val="FootnoteText"/>
      </w:pPr>
      <w:r w:rsidRPr="00B048AF">
        <w:rPr>
          <w:rStyle w:val="FootnoteReference"/>
        </w:rPr>
        <w:footnoteRef/>
      </w:r>
      <w:r>
        <w:tab/>
      </w:r>
      <w:r w:rsidRPr="00940BE5">
        <w:t xml:space="preserve">Source: </w:t>
      </w:r>
      <w:r>
        <w:t>PRIMHD data (extracted 1 July 2021). Deprivation deciles are ranked 1–10, where 1 represents areas with the least deprived scores and 10 areas with the most deprived scores.</w:t>
      </w:r>
    </w:p>
  </w:footnote>
  <w:footnote w:id="13">
    <w:p w14:paraId="5EAFA2C8" w14:textId="77777777" w:rsidR="0095293C" w:rsidRDefault="0095293C" w:rsidP="0029060A">
      <w:pPr>
        <w:pStyle w:val="FootnoteText"/>
      </w:pPr>
      <w:r w:rsidRPr="0029060A">
        <w:rPr>
          <w:rStyle w:val="FootnoteReference"/>
        </w:rPr>
        <w:footnoteRef/>
      </w:r>
      <w:r>
        <w:tab/>
        <w:t xml:space="preserve">Sources: </w:t>
      </w:r>
      <w:r w:rsidRPr="0069579E">
        <w:t>PRIMHD data</w:t>
      </w:r>
      <w:r>
        <w:t xml:space="preserve"> (extracted</w:t>
      </w:r>
      <w:r w:rsidRPr="0069579E">
        <w:t xml:space="preserve"> </w:t>
      </w:r>
      <w:r>
        <w:t>1 July 2021)</w:t>
      </w:r>
      <w:r w:rsidRPr="0069579E">
        <w:t xml:space="preserve"> and manual data from </w:t>
      </w:r>
      <w:r>
        <w:t>Counties Manukau DHB for section 30 only.</w:t>
      </w:r>
    </w:p>
  </w:footnote>
  <w:footnote w:id="14">
    <w:p w14:paraId="1304BB42" w14:textId="77777777" w:rsidR="0095293C" w:rsidRDefault="0095293C" w:rsidP="00D90A5D">
      <w:pPr>
        <w:pStyle w:val="FootnoteText"/>
      </w:pPr>
      <w:r w:rsidRPr="00D90A5D">
        <w:rPr>
          <w:rStyle w:val="FootnoteReference"/>
        </w:rPr>
        <w:footnoteRef/>
      </w:r>
      <w:r>
        <w:tab/>
        <w:t xml:space="preserve">Standards New Zealand. 2021. </w:t>
      </w:r>
      <w:r w:rsidRPr="00DF0495">
        <w:rPr>
          <w:i/>
          <w:iCs/>
        </w:rPr>
        <w:t>Ng</w:t>
      </w:r>
      <w:r w:rsidRPr="00DF0495">
        <w:rPr>
          <w:i/>
          <w:iCs/>
          <w:lang w:val="mi-NZ"/>
        </w:rPr>
        <w:t>ā Paerewa</w:t>
      </w:r>
      <w:r>
        <w:rPr>
          <w:lang w:val="mi-NZ"/>
        </w:rPr>
        <w:t xml:space="preserve"> </w:t>
      </w:r>
      <w:r w:rsidRPr="00C236F9">
        <w:rPr>
          <w:i/>
          <w:iCs/>
        </w:rPr>
        <w:t>Health and Disability Services Standard</w:t>
      </w:r>
      <w:r>
        <w:t>. Wellington: Standards New Zealand.</w:t>
      </w:r>
    </w:p>
  </w:footnote>
  <w:footnote w:id="15">
    <w:p w14:paraId="37909C55" w14:textId="77777777" w:rsidR="0095293C" w:rsidRDefault="0095293C" w:rsidP="00D90A5D">
      <w:pPr>
        <w:pStyle w:val="FootnoteText"/>
      </w:pPr>
      <w:r w:rsidRPr="00D90A5D">
        <w:rPr>
          <w:rStyle w:val="FootnoteReference"/>
        </w:rPr>
        <w:footnoteRef/>
      </w:r>
      <w:r>
        <w:tab/>
        <w:t>We are comparing with 2009 because that is the year when seclusion reduction policies were introduced in Aotearoa New Zealand.</w:t>
      </w:r>
    </w:p>
  </w:footnote>
  <w:footnote w:id="16">
    <w:p w14:paraId="41CA3C0D" w14:textId="77777777" w:rsidR="0095293C" w:rsidRDefault="0095293C" w:rsidP="00D90A5D">
      <w:pPr>
        <w:pStyle w:val="FootnoteText"/>
      </w:pPr>
      <w:r w:rsidRPr="00D90A5D">
        <w:rPr>
          <w:rStyle w:val="FootnoteReference"/>
        </w:rPr>
        <w:footnoteRef/>
      </w:r>
      <w:r>
        <w:tab/>
        <w:t xml:space="preserve">Sources: PRIMHD data (extracted 1 July 2021) </w:t>
      </w:r>
      <w:r w:rsidRPr="00314226">
        <w:t xml:space="preserve">and manual data from </w:t>
      </w:r>
      <w:r>
        <w:t>Southern, Waitematā and Whanganui DHBs. Excludes outlier data.</w:t>
      </w:r>
    </w:p>
  </w:footnote>
  <w:footnote w:id="17">
    <w:p w14:paraId="066E8A08" w14:textId="77777777" w:rsidR="0095293C" w:rsidRDefault="0095293C" w:rsidP="00D23889">
      <w:pPr>
        <w:pStyle w:val="FootnoteText"/>
      </w:pPr>
      <w:r w:rsidRPr="00D23889">
        <w:rPr>
          <w:rStyle w:val="FootnoteReference"/>
        </w:rPr>
        <w:footnoteRef/>
      </w:r>
      <w:r>
        <w:tab/>
        <w:t>Notes: Excludes an outlier and forensic services. Bed nights are measured by team types that use seclusion. This figure cannot be compared with years before 2017, when bed nights were measured by acute and sub-acute bed nights. Sources: PRIMHD data (extracted 1 July 2021) and manual data from Southern, Waitematā and Whanganui DHBs.</w:t>
      </w:r>
    </w:p>
  </w:footnote>
  <w:footnote w:id="18">
    <w:p w14:paraId="59B1F713" w14:textId="77777777" w:rsidR="0095293C" w:rsidRDefault="0095293C" w:rsidP="00D23889">
      <w:pPr>
        <w:pStyle w:val="FootnoteText"/>
      </w:pPr>
      <w:r w:rsidRPr="00D23889">
        <w:rPr>
          <w:rStyle w:val="FootnoteReference"/>
        </w:rPr>
        <w:footnoteRef/>
      </w:r>
      <w:r>
        <w:tab/>
        <w:t>If a person in Wairarapa DHB requires admission to mental health inpatient services, they are transported to either Hutt Valley DHB or MidCentral DHB, and any seclusion statistics relating to these service users would appear on that DHB’s database.</w:t>
      </w:r>
    </w:p>
  </w:footnote>
  <w:footnote w:id="19">
    <w:p w14:paraId="1B606726" w14:textId="77777777" w:rsidR="0095293C" w:rsidRDefault="0095293C" w:rsidP="008C1BFB">
      <w:pPr>
        <w:pStyle w:val="FootnoteText"/>
      </w:pPr>
      <w:r w:rsidRPr="008C1BFB">
        <w:rPr>
          <w:rStyle w:val="FootnoteReference"/>
        </w:rPr>
        <w:footnoteRef/>
      </w:r>
      <w:r>
        <w:tab/>
        <w:t>Capital &amp; Coast DHB also operates a forensic service in Whanganui.</w:t>
      </w:r>
    </w:p>
  </w:footnote>
  <w:footnote w:id="20">
    <w:p w14:paraId="5C61EF13" w14:textId="77777777" w:rsidR="0095293C" w:rsidRPr="00FE388F" w:rsidRDefault="0095293C" w:rsidP="00872974">
      <w:pPr>
        <w:pStyle w:val="FootnoteText"/>
        <w:rPr>
          <w:lang w:val="mi-NZ"/>
        </w:rPr>
      </w:pPr>
      <w:r w:rsidRPr="00872974">
        <w:rPr>
          <w:rStyle w:val="FootnoteReference"/>
        </w:rPr>
        <w:footnoteRef/>
      </w:r>
      <w:r>
        <w:tab/>
      </w:r>
      <w:r>
        <w:rPr>
          <w:lang w:val="mi-NZ"/>
        </w:rPr>
        <w:t xml:space="preserve">Ministry of Health. 1995. </w:t>
      </w:r>
      <w:r>
        <w:rPr>
          <w:i/>
          <w:iCs/>
          <w:lang w:val="mi-NZ"/>
        </w:rPr>
        <w:t xml:space="preserve">Night Safety Procedures. </w:t>
      </w:r>
      <w:r>
        <w:rPr>
          <w:lang w:val="mi-NZ"/>
        </w:rPr>
        <w:t xml:space="preserve">Wellington: Ministry of Health. URL: </w:t>
      </w:r>
      <w:hyperlink r:id="rId5" w:history="1">
        <w:r w:rsidRPr="00F52816">
          <w:rPr>
            <w:rStyle w:val="Hyperlink"/>
            <w:lang w:val="mi-NZ"/>
          </w:rPr>
          <w:t>www.moh.govt.nz/notebook/nbbooks.nsf/0/FD5F690DFDAAD3EACC25737F007C2720/$file/nightsafety.pdf</w:t>
        </w:r>
      </w:hyperlink>
      <w:r>
        <w:rPr>
          <w:lang w:val="mi-NZ"/>
        </w:rPr>
        <w:t xml:space="preserve"> (accessed 27 October 2021).</w:t>
      </w:r>
    </w:p>
  </w:footnote>
  <w:footnote w:id="21">
    <w:p w14:paraId="341D96AD" w14:textId="77777777" w:rsidR="0095293C" w:rsidRPr="00FE388F" w:rsidRDefault="0095293C" w:rsidP="00872974">
      <w:pPr>
        <w:pStyle w:val="FootnoteText"/>
        <w:rPr>
          <w:lang w:val="mi-NZ"/>
        </w:rPr>
      </w:pPr>
      <w:r w:rsidRPr="00872974">
        <w:rPr>
          <w:rStyle w:val="FootnoteReference"/>
        </w:rPr>
        <w:footnoteRef/>
      </w:r>
      <w:r>
        <w:tab/>
      </w:r>
      <w:r>
        <w:rPr>
          <w:lang w:val="mi-NZ"/>
        </w:rPr>
        <w:t xml:space="preserve">Ministry of Health. 2018. </w:t>
      </w:r>
      <w:r>
        <w:rPr>
          <w:i/>
          <w:iCs/>
          <w:lang w:val="mi-NZ"/>
        </w:rPr>
        <w:t xml:space="preserve">Night Safety Procedures: Transitional guideline. </w:t>
      </w:r>
      <w:r>
        <w:rPr>
          <w:lang w:val="mi-NZ"/>
        </w:rPr>
        <w:t xml:space="preserve">Wellington: Ministry of Health. URL: </w:t>
      </w:r>
      <w:hyperlink r:id="rId6" w:history="1">
        <w:r w:rsidRPr="00F52816">
          <w:rPr>
            <w:rStyle w:val="Hyperlink"/>
            <w:lang w:val="mi-NZ"/>
          </w:rPr>
          <w:t>www.health.govt.nz/system/files/documents/publications/night-safety-procedures-transitional-guideline-feb18.pdf</w:t>
        </w:r>
      </w:hyperlink>
      <w:r>
        <w:rPr>
          <w:lang w:val="mi-NZ"/>
        </w:rPr>
        <w:t xml:space="preserve"> (accessed 27 October 2021).</w:t>
      </w:r>
    </w:p>
  </w:footnote>
  <w:footnote w:id="22">
    <w:p w14:paraId="6E2A3E77" w14:textId="77777777" w:rsidR="0095293C" w:rsidRDefault="0095293C" w:rsidP="008E5A9E">
      <w:pPr>
        <w:pStyle w:val="FootnoteText"/>
      </w:pPr>
      <w:r w:rsidRPr="008E5A9E">
        <w:rPr>
          <w:rStyle w:val="FootnoteReference"/>
        </w:rPr>
        <w:footnoteRef/>
      </w:r>
      <w:r>
        <w:tab/>
        <w:t>An adverse event is an event that results in harm or has the potential to result in harm to a consumer.</w:t>
      </w:r>
    </w:p>
  </w:footnote>
  <w:footnote w:id="23">
    <w:p w14:paraId="65AB5057" w14:textId="77777777" w:rsidR="0095293C" w:rsidRDefault="0095293C" w:rsidP="008E5A9E">
      <w:pPr>
        <w:pStyle w:val="FootnoteText"/>
      </w:pPr>
      <w:r w:rsidRPr="008E5A9E">
        <w:rPr>
          <w:rStyle w:val="FootnoteReference"/>
        </w:rPr>
        <w:footnoteRef/>
      </w:r>
      <w:r>
        <w:tab/>
        <w:t>SAC is a numerical rating of how severe an adverse event is and, as a consequence, identifies what level of reporting and investigation needs to be undertaken for that event.</w:t>
      </w:r>
    </w:p>
  </w:footnote>
  <w:footnote w:id="24">
    <w:p w14:paraId="78361635" w14:textId="77777777" w:rsidR="0095293C" w:rsidRDefault="0095293C" w:rsidP="008E5A9E">
      <w:pPr>
        <w:pStyle w:val="FootnoteText"/>
      </w:pPr>
      <w:r w:rsidRPr="008E5A9E">
        <w:rPr>
          <w:rStyle w:val="FootnoteReference"/>
        </w:rPr>
        <w:footnoteRef/>
      </w:r>
      <w:r>
        <w:tab/>
        <w:t xml:space="preserve">See the National Adverse Events Reporting Policy webpage on the HQSC website at: </w:t>
      </w:r>
      <w:hyperlink r:id="rId7" w:history="1">
        <w:r w:rsidRPr="00F52816">
          <w:rPr>
            <w:rStyle w:val="Hyperlink"/>
          </w:rPr>
          <w:t>www.hqsc.govt.nz/our-programmes/adverse-events/national-adverse-events-policy/</w:t>
        </w:r>
      </w:hyperlink>
      <w:r>
        <w:t>.</w:t>
      </w:r>
    </w:p>
  </w:footnote>
  <w:footnote w:id="25">
    <w:p w14:paraId="4DFEF214" w14:textId="77777777" w:rsidR="0095293C" w:rsidRPr="00FE388F" w:rsidRDefault="0095293C" w:rsidP="0048119A">
      <w:pPr>
        <w:pStyle w:val="FootnoteText"/>
        <w:rPr>
          <w:lang w:val="mi-NZ"/>
        </w:rPr>
      </w:pPr>
      <w:r w:rsidRPr="0048119A">
        <w:rPr>
          <w:rStyle w:val="FootnoteReference"/>
        </w:rPr>
        <w:footnoteRef/>
      </w:r>
      <w:r>
        <w:tab/>
      </w:r>
      <w:r>
        <w:rPr>
          <w:lang w:val="mi-NZ"/>
        </w:rPr>
        <w:t xml:space="preserve">The Mental Health Review Tribunal (MHRT) is an independent body appointed by the Minister of Health under the Mental Health Act. For more information on the MHRT, see the Mental Health Review Tribunal webpage on the Ministry of Health website at: </w:t>
      </w:r>
      <w:hyperlink r:id="rId8" w:history="1">
        <w:r w:rsidRPr="00C30187">
          <w:rPr>
            <w:rStyle w:val="Hyperlink"/>
            <w:lang w:val="mi-NZ"/>
          </w:rPr>
          <w:t>www.health.govt.nz/new-zealand-health-system/key-health-sector-organisations-and-people/mental-health-review-tribunal</w:t>
        </w:r>
      </w:hyperlink>
      <w:r>
        <w:rPr>
          <w:lang w:val="mi-NZ"/>
        </w:rPr>
        <w:t>.</w:t>
      </w:r>
    </w:p>
  </w:footnote>
  <w:footnote w:id="26">
    <w:p w14:paraId="4899C8CD" w14:textId="77777777" w:rsidR="0095293C" w:rsidRPr="0039221C" w:rsidRDefault="0095293C" w:rsidP="005561B0">
      <w:pPr>
        <w:pStyle w:val="FootnoteText"/>
      </w:pPr>
      <w:r w:rsidRPr="005561B0">
        <w:rPr>
          <w:rStyle w:val="FootnoteReference"/>
        </w:rPr>
        <w:footnoteRef/>
      </w:r>
      <w:r>
        <w:tab/>
        <w:t xml:space="preserve">For more information about the </w:t>
      </w:r>
      <w:r>
        <w:rPr>
          <w:i/>
          <w:iCs/>
        </w:rPr>
        <w:t>New Zealand Gazette</w:t>
      </w:r>
      <w:r w:rsidRPr="004D070B">
        <w:t>,</w:t>
      </w:r>
      <w:r>
        <w:rPr>
          <w:i/>
          <w:iCs/>
        </w:rPr>
        <w:t xml:space="preserve"> </w:t>
      </w:r>
      <w:r>
        <w:t xml:space="preserve">see the Gazette website at: </w:t>
      </w:r>
      <w:hyperlink r:id="rId9" w:history="1">
        <w:r w:rsidRPr="00B0114E">
          <w:rPr>
            <w:rStyle w:val="Hyperlink"/>
          </w:rPr>
          <w:t>https://gazette.govt.nz/</w:t>
        </w:r>
      </w:hyperlink>
      <w:r>
        <w:t>.</w:t>
      </w:r>
    </w:p>
  </w:footnote>
  <w:footnote w:id="27">
    <w:p w14:paraId="4EB92AA7" w14:textId="77777777" w:rsidR="0095293C" w:rsidRPr="0039221C" w:rsidRDefault="0095293C" w:rsidP="005561B0">
      <w:pPr>
        <w:pStyle w:val="FootnoteText"/>
      </w:pPr>
      <w:r w:rsidRPr="005561B0">
        <w:rPr>
          <w:rStyle w:val="FootnoteReference"/>
        </w:rPr>
        <w:footnoteRef/>
      </w:r>
      <w:r>
        <w:tab/>
      </w:r>
      <w:r w:rsidRPr="0039221C">
        <w:t xml:space="preserve">Ministry of Health. 2014. </w:t>
      </w:r>
      <w:r w:rsidRPr="00DB1FB1">
        <w:rPr>
          <w:i/>
          <w:iCs/>
        </w:rPr>
        <w:t>New Zealand Practice Guidelines for Opioid Substitution Treatment</w:t>
      </w:r>
      <w:r>
        <w:rPr>
          <w:i/>
          <w:iCs/>
        </w:rPr>
        <w:t xml:space="preserve">. </w:t>
      </w:r>
      <w:r>
        <w:t xml:space="preserve">Wellington: Ministry of Health. URL: </w:t>
      </w:r>
      <w:hyperlink r:id="rId10" w:history="1">
        <w:r w:rsidRPr="004D070B">
          <w:rPr>
            <w:rStyle w:val="Hyperlink"/>
          </w:rPr>
          <w:t>www.health.govt.nz/publication/new-zealand-practice-guidelines-opioid-substitution-treatment-2014</w:t>
        </w:r>
      </w:hyperlink>
      <w:r>
        <w:t xml:space="preserve"> (accessed 27 October 2021).</w:t>
      </w:r>
    </w:p>
  </w:footnote>
  <w:footnote w:id="28">
    <w:p w14:paraId="30A61BC4" w14:textId="77777777" w:rsidR="0095293C" w:rsidRPr="0039221C" w:rsidRDefault="0095293C" w:rsidP="005561B0">
      <w:pPr>
        <w:pStyle w:val="FootnoteText"/>
        <w:rPr>
          <w:i/>
          <w:iCs/>
        </w:rPr>
      </w:pPr>
      <w:r w:rsidRPr="005561B0">
        <w:rPr>
          <w:rStyle w:val="FootnoteReference"/>
        </w:rPr>
        <w:footnoteRef/>
      </w:r>
      <w:r>
        <w:tab/>
      </w:r>
      <w:r w:rsidRPr="0039221C">
        <w:t xml:space="preserve">For more information, see Ministry of Health. 2014. </w:t>
      </w:r>
      <w:r w:rsidRPr="004D070B">
        <w:rPr>
          <w:i/>
          <w:iCs/>
        </w:rPr>
        <w:t>Specialist Opioid Substitution Treatment (OST) Service Audit and Review Tool</w:t>
      </w:r>
      <w:r>
        <w:t xml:space="preserve">. Wellington: Ministry of Health. URL: </w:t>
      </w:r>
      <w:hyperlink r:id="rId11" w:history="1">
        <w:r w:rsidRPr="004D070B">
          <w:rPr>
            <w:rStyle w:val="Hyperlink"/>
          </w:rPr>
          <w:t>www.health.govt.nz/publication/specialist-opioid-substitution-treatment-ost-service-audit-and-review-tool</w:t>
        </w:r>
      </w:hyperlink>
      <w:r>
        <w:t xml:space="preserve"> (accessed 27 October 2021).</w:t>
      </w:r>
    </w:p>
  </w:footnote>
  <w:footnote w:id="29">
    <w:p w14:paraId="6F83F289" w14:textId="77777777" w:rsidR="0095293C" w:rsidRDefault="0095293C" w:rsidP="005561B0">
      <w:pPr>
        <w:pStyle w:val="FootnoteText"/>
      </w:pPr>
      <w:r w:rsidRPr="005561B0">
        <w:rPr>
          <w:rStyle w:val="FootnoteReference"/>
        </w:rPr>
        <w:footnoteRef/>
      </w:r>
      <w:r>
        <w:tab/>
        <w:t>Data provided by OST services in six-monthly reports. These six-monthly reports do not collect data by National Health Index (NHI) numbers. The Aotearoa New Zealand total is a sum of the DHB figures, so it can double count people who had services from more than one DHB.</w:t>
      </w:r>
    </w:p>
  </w:footnote>
  <w:footnote w:id="30">
    <w:p w14:paraId="33FC64C9" w14:textId="77777777" w:rsidR="0095293C" w:rsidRDefault="0095293C" w:rsidP="00393F47">
      <w:pPr>
        <w:pStyle w:val="FootnoteText"/>
      </w:pPr>
      <w:r w:rsidRPr="00393F47">
        <w:rPr>
          <w:rStyle w:val="FootnoteReference"/>
        </w:rPr>
        <w:footnoteRef/>
      </w:r>
      <w:r>
        <w:tab/>
        <w:t>Note that ‘detention’ may not solely refer to treatment at Nova STAR.</w:t>
      </w:r>
    </w:p>
  </w:footnote>
  <w:footnote w:id="31">
    <w:p w14:paraId="74B345F6" w14:textId="77777777" w:rsidR="0095293C" w:rsidRDefault="0095293C" w:rsidP="00410071">
      <w:pPr>
        <w:pStyle w:val="FootnoteText"/>
      </w:pPr>
      <w:r w:rsidRPr="00393F47">
        <w:rPr>
          <w:rStyle w:val="FootnoteReference"/>
        </w:rPr>
        <w:footnoteRef/>
      </w:r>
      <w:r>
        <w:tab/>
        <w:t>PRIMHD data, extracted 9 August 2021.</w:t>
      </w:r>
    </w:p>
  </w:footnote>
  <w:footnote w:id="32">
    <w:p w14:paraId="1C8FF17F" w14:textId="77777777" w:rsidR="0095293C" w:rsidRDefault="0095293C" w:rsidP="00393F47">
      <w:pPr>
        <w:pStyle w:val="FootnoteText"/>
      </w:pPr>
      <w:r w:rsidRPr="00393F47">
        <w:rPr>
          <w:rStyle w:val="FootnoteReference"/>
        </w:rPr>
        <w:footnoteRef/>
      </w:r>
      <w:r>
        <w:tab/>
        <w:t>The Northern region covers Auckland, Counties Manukau, Northland and Waitematā DHBs.</w:t>
      </w:r>
    </w:p>
  </w:footnote>
  <w:footnote w:id="33">
    <w:p w14:paraId="593043D1" w14:textId="77777777" w:rsidR="0095293C" w:rsidRDefault="0095293C" w:rsidP="00AC74A8">
      <w:pPr>
        <w:pStyle w:val="FootnoteText"/>
      </w:pPr>
      <w:r w:rsidRPr="00AC74A8">
        <w:rPr>
          <w:rStyle w:val="FootnoteReference"/>
        </w:rPr>
        <w:footnoteRef/>
      </w:r>
      <w:r>
        <w:tab/>
        <w:t>PRIMHD data, extracted 13 August 2021.</w:t>
      </w:r>
    </w:p>
  </w:footnote>
  <w:footnote w:id="34">
    <w:p w14:paraId="2BA688FC" w14:textId="77777777" w:rsidR="0095293C" w:rsidRDefault="0095293C" w:rsidP="00AC74A8">
      <w:pPr>
        <w:pStyle w:val="FootnoteText"/>
      </w:pPr>
      <w:r w:rsidRPr="00AC74A8">
        <w:rPr>
          <w:rStyle w:val="FootnoteReference"/>
        </w:rPr>
        <w:footnoteRef/>
      </w:r>
      <w:r>
        <w:tab/>
        <w:t>Supplementary consumer records identify social indicators that can impact on the recovery of tāngata whai ora.</w:t>
      </w:r>
    </w:p>
  </w:footnote>
  <w:footnote w:id="35">
    <w:p w14:paraId="2EE20024" w14:textId="77777777" w:rsidR="0095293C" w:rsidRDefault="0095293C" w:rsidP="00AC74A8">
      <w:pPr>
        <w:pStyle w:val="FootnoteText"/>
      </w:pPr>
      <w:r w:rsidRPr="00AC74A8">
        <w:rPr>
          <w:rStyle w:val="FootnoteReference"/>
        </w:rPr>
        <w:footnoteRef/>
      </w:r>
      <w:r>
        <w:tab/>
        <w:t>PRIMHD data, extracted 13 August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95293C" w14:paraId="19733614" w14:textId="77777777" w:rsidTr="005A79E5">
      <w:trPr>
        <w:cantSplit/>
      </w:trPr>
      <w:tc>
        <w:tcPr>
          <w:tcW w:w="5210" w:type="dxa"/>
        </w:tcPr>
        <w:p w14:paraId="12257DE3" w14:textId="77777777" w:rsidR="0095293C" w:rsidRDefault="0095293C" w:rsidP="008814E8">
          <w:pPr>
            <w:pStyle w:val="Header"/>
          </w:pPr>
          <w:r>
            <w:rPr>
              <w:noProof/>
              <w:lang w:eastAsia="en-NZ"/>
            </w:rPr>
            <w:drawing>
              <wp:inline distT="0" distB="0" distL="0" distR="0" wp14:anchorId="5D0E4F37" wp14:editId="44962A6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35B1CF8" w14:textId="77777777" w:rsidR="0095293C" w:rsidRDefault="0095293C" w:rsidP="008814E8">
          <w:pPr>
            <w:pStyle w:val="Header"/>
            <w:jc w:val="right"/>
          </w:pPr>
          <w:r>
            <w:rPr>
              <w:noProof/>
              <w:lang w:eastAsia="en-NZ"/>
            </w:rPr>
            <w:drawing>
              <wp:inline distT="0" distB="0" distL="0" distR="0" wp14:anchorId="29945500" wp14:editId="69ABF2DE">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3EE6AE3" w14:textId="77777777" w:rsidR="0095293C" w:rsidRDefault="0095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004A" w14:textId="77777777" w:rsidR="0095293C" w:rsidRDefault="0095293C"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A104" w14:textId="77777777" w:rsidR="0095293C" w:rsidRDefault="0095293C"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1B3A" w14:textId="77777777" w:rsidR="0095293C" w:rsidRDefault="0095293C"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6B70" w14:textId="77777777" w:rsidR="0095293C" w:rsidRDefault="0095293C"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6BED878"/>
    <w:lvl w:ilvl="0">
      <w:start w:val="1"/>
      <w:numFmt w:val="decimal"/>
      <w:lvlText w:val="%1."/>
      <w:lvlJc w:val="left"/>
      <w:pPr>
        <w:tabs>
          <w:tab w:val="num" w:pos="360"/>
        </w:tabs>
        <w:ind w:left="360" w:hanging="360"/>
      </w:pPr>
    </w:lvl>
  </w:abstractNum>
  <w:abstractNum w:abstractNumId="1"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8"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09A64DB5"/>
    <w:multiLevelType w:val="hybridMultilevel"/>
    <w:tmpl w:val="A09C20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FF38A8"/>
    <w:multiLevelType w:val="hybridMultilevel"/>
    <w:tmpl w:val="936C2D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4"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34F0435"/>
    <w:multiLevelType w:val="hybridMultilevel"/>
    <w:tmpl w:val="22C8A7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431A0D"/>
    <w:multiLevelType w:val="hybridMultilevel"/>
    <w:tmpl w:val="70EEF896"/>
    <w:lvl w:ilvl="0" w:tplc="08585B5C">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0"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5"/>
  </w:num>
  <w:num w:numId="2">
    <w:abstractNumId w:val="26"/>
  </w:num>
  <w:num w:numId="3">
    <w:abstractNumId w:val="27"/>
  </w:num>
  <w:num w:numId="4">
    <w:abstractNumId w:val="5"/>
  </w:num>
  <w:num w:numId="5">
    <w:abstractNumId w:val="2"/>
  </w:num>
  <w:num w:numId="6">
    <w:abstractNumId w:val="31"/>
  </w:num>
  <w:num w:numId="7">
    <w:abstractNumId w:val="39"/>
  </w:num>
  <w:num w:numId="8">
    <w:abstractNumId w:val="4"/>
  </w:num>
  <w:num w:numId="9">
    <w:abstractNumId w:val="40"/>
  </w:num>
  <w:num w:numId="10">
    <w:abstractNumId w:val="33"/>
  </w:num>
  <w:num w:numId="11">
    <w:abstractNumId w:val="20"/>
  </w:num>
  <w:num w:numId="12">
    <w:abstractNumId w:val="25"/>
  </w:num>
  <w:num w:numId="13">
    <w:abstractNumId w:val="1"/>
  </w:num>
  <w:num w:numId="14">
    <w:abstractNumId w:val="16"/>
  </w:num>
  <w:num w:numId="15">
    <w:abstractNumId w:val="23"/>
  </w:num>
  <w:num w:numId="16">
    <w:abstractNumId w:val="34"/>
  </w:num>
  <w:num w:numId="17">
    <w:abstractNumId w:val="9"/>
  </w:num>
  <w:num w:numId="18">
    <w:abstractNumId w:val="18"/>
  </w:num>
  <w:num w:numId="19">
    <w:abstractNumId w:val="11"/>
  </w:num>
  <w:num w:numId="20">
    <w:abstractNumId w:val="7"/>
  </w:num>
  <w:num w:numId="21">
    <w:abstractNumId w:val="43"/>
  </w:num>
  <w:num w:numId="22">
    <w:abstractNumId w:val="17"/>
  </w:num>
  <w:num w:numId="23">
    <w:abstractNumId w:val="41"/>
  </w:num>
  <w:num w:numId="24">
    <w:abstractNumId w:val="3"/>
  </w:num>
  <w:num w:numId="25">
    <w:abstractNumId w:val="8"/>
  </w:num>
  <w:num w:numId="26">
    <w:abstractNumId w:val="6"/>
  </w:num>
  <w:num w:numId="27">
    <w:abstractNumId w:val="36"/>
  </w:num>
  <w:num w:numId="28">
    <w:abstractNumId w:val="42"/>
  </w:num>
  <w:num w:numId="29">
    <w:abstractNumId w:val="22"/>
  </w:num>
  <w:num w:numId="30">
    <w:abstractNumId w:val="14"/>
  </w:num>
  <w:num w:numId="31">
    <w:abstractNumId w:val="32"/>
  </w:num>
  <w:num w:numId="32">
    <w:abstractNumId w:val="24"/>
  </w:num>
  <w:num w:numId="33">
    <w:abstractNumId w:val="46"/>
  </w:num>
  <w:num w:numId="34">
    <w:abstractNumId w:val="21"/>
  </w:num>
  <w:num w:numId="35">
    <w:abstractNumId w:val="38"/>
  </w:num>
  <w:num w:numId="36">
    <w:abstractNumId w:val="35"/>
  </w:num>
  <w:num w:numId="37">
    <w:abstractNumId w:val="44"/>
  </w:num>
  <w:num w:numId="38">
    <w:abstractNumId w:val="37"/>
  </w:num>
  <w:num w:numId="39">
    <w:abstractNumId w:val="28"/>
  </w:num>
  <w:num w:numId="40">
    <w:abstractNumId w:val="29"/>
  </w:num>
  <w:num w:numId="41">
    <w:abstractNumId w:val="13"/>
  </w:num>
  <w:num w:numId="42">
    <w:abstractNumId w:val="30"/>
  </w:num>
  <w:num w:numId="43">
    <w:abstractNumId w:val="0"/>
  </w:num>
  <w:num w:numId="44">
    <w:abstractNumId w:val="19"/>
  </w:num>
  <w:num w:numId="45">
    <w:abstractNumId w:val="0"/>
    <w:lvlOverride w:ilvl="0">
      <w:startOverride w:val="1"/>
    </w:lvlOverride>
  </w:num>
  <w:num w:numId="46">
    <w:abstractNumId w:val="15"/>
  </w:num>
  <w:num w:numId="47">
    <w:abstractNumId w:val="12"/>
  </w:num>
  <w:num w:numId="48">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1628"/>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247D"/>
    <w:rsid w:val="00094800"/>
    <w:rsid w:val="000A0158"/>
    <w:rsid w:val="000A373D"/>
    <w:rsid w:val="000A41ED"/>
    <w:rsid w:val="000B0730"/>
    <w:rsid w:val="000D19F4"/>
    <w:rsid w:val="000D58DD"/>
    <w:rsid w:val="000F1F42"/>
    <w:rsid w:val="000F2AE2"/>
    <w:rsid w:val="000F2BFF"/>
    <w:rsid w:val="000F4AD6"/>
    <w:rsid w:val="00102063"/>
    <w:rsid w:val="00103D96"/>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9BE"/>
    <w:rsid w:val="00150A6E"/>
    <w:rsid w:val="0016304B"/>
    <w:rsid w:val="0016318F"/>
    <w:rsid w:val="0016468A"/>
    <w:rsid w:val="0017070E"/>
    <w:rsid w:val="00174F02"/>
    <w:rsid w:val="0018376C"/>
    <w:rsid w:val="00185052"/>
    <w:rsid w:val="00185802"/>
    <w:rsid w:val="0018662D"/>
    <w:rsid w:val="00197427"/>
    <w:rsid w:val="001A21B4"/>
    <w:rsid w:val="001A5CF5"/>
    <w:rsid w:val="001A7726"/>
    <w:rsid w:val="001B39D2"/>
    <w:rsid w:val="001B4BF8"/>
    <w:rsid w:val="001B70A2"/>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0460"/>
    <w:rsid w:val="00232E9F"/>
    <w:rsid w:val="00245748"/>
    <w:rsid w:val="00245FD9"/>
    <w:rsid w:val="00246CE7"/>
    <w:rsid w:val="00246DB1"/>
    <w:rsid w:val="002476B5"/>
    <w:rsid w:val="002520CC"/>
    <w:rsid w:val="00253ECF"/>
    <w:rsid w:val="00254044"/>
    <w:rsid w:val="002546A1"/>
    <w:rsid w:val="002575E8"/>
    <w:rsid w:val="00257EF1"/>
    <w:rsid w:val="002628F4"/>
    <w:rsid w:val="0026728E"/>
    <w:rsid w:val="00275D08"/>
    <w:rsid w:val="002839AF"/>
    <w:rsid w:val="002858E3"/>
    <w:rsid w:val="0029060A"/>
    <w:rsid w:val="0029190A"/>
    <w:rsid w:val="00292C5A"/>
    <w:rsid w:val="00295241"/>
    <w:rsid w:val="002A249B"/>
    <w:rsid w:val="002A4DFC"/>
    <w:rsid w:val="002B047D"/>
    <w:rsid w:val="002B295C"/>
    <w:rsid w:val="002B732B"/>
    <w:rsid w:val="002B76A7"/>
    <w:rsid w:val="002B7BEC"/>
    <w:rsid w:val="002C2219"/>
    <w:rsid w:val="002C2552"/>
    <w:rsid w:val="002C380A"/>
    <w:rsid w:val="002D0DF2"/>
    <w:rsid w:val="002D23BD"/>
    <w:rsid w:val="002D23CE"/>
    <w:rsid w:val="002E0B47"/>
    <w:rsid w:val="002F3A0D"/>
    <w:rsid w:val="002F4685"/>
    <w:rsid w:val="002F7213"/>
    <w:rsid w:val="0030382F"/>
    <w:rsid w:val="0030408D"/>
    <w:rsid w:val="003060E4"/>
    <w:rsid w:val="003160E7"/>
    <w:rsid w:val="0031739E"/>
    <w:rsid w:val="00317DA3"/>
    <w:rsid w:val="003212F4"/>
    <w:rsid w:val="00321381"/>
    <w:rsid w:val="003235C6"/>
    <w:rsid w:val="00323991"/>
    <w:rsid w:val="003261DD"/>
    <w:rsid w:val="003309CA"/>
    <w:rsid w:val="00331D14"/>
    <w:rsid w:val="003325AB"/>
    <w:rsid w:val="003332D1"/>
    <w:rsid w:val="0033412B"/>
    <w:rsid w:val="0033448B"/>
    <w:rsid w:val="00337B51"/>
    <w:rsid w:val="00341161"/>
    <w:rsid w:val="00343365"/>
    <w:rsid w:val="003445F4"/>
    <w:rsid w:val="00353501"/>
    <w:rsid w:val="00353734"/>
    <w:rsid w:val="003538D4"/>
    <w:rsid w:val="003606F8"/>
    <w:rsid w:val="00363B3A"/>
    <w:rsid w:val="003648EF"/>
    <w:rsid w:val="003673E6"/>
    <w:rsid w:val="00370238"/>
    <w:rsid w:val="00377264"/>
    <w:rsid w:val="003779D2"/>
    <w:rsid w:val="00385E38"/>
    <w:rsid w:val="0039221C"/>
    <w:rsid w:val="00393F47"/>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7561"/>
    <w:rsid w:val="00410071"/>
    <w:rsid w:val="00413021"/>
    <w:rsid w:val="00414C35"/>
    <w:rsid w:val="004171B7"/>
    <w:rsid w:val="004301C6"/>
    <w:rsid w:val="0043478F"/>
    <w:rsid w:val="0043602B"/>
    <w:rsid w:val="004367D2"/>
    <w:rsid w:val="00440BE0"/>
    <w:rsid w:val="00442A06"/>
    <w:rsid w:val="00442C1C"/>
    <w:rsid w:val="0044584B"/>
    <w:rsid w:val="00447111"/>
    <w:rsid w:val="00447CB7"/>
    <w:rsid w:val="00455CC9"/>
    <w:rsid w:val="0045627D"/>
    <w:rsid w:val="00460826"/>
    <w:rsid w:val="00460B1E"/>
    <w:rsid w:val="00460EA7"/>
    <w:rsid w:val="0046195B"/>
    <w:rsid w:val="0046362D"/>
    <w:rsid w:val="0046596D"/>
    <w:rsid w:val="00476B21"/>
    <w:rsid w:val="0048119A"/>
    <w:rsid w:val="00483F59"/>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7791"/>
    <w:rsid w:val="005019AE"/>
    <w:rsid w:val="00503749"/>
    <w:rsid w:val="00503D59"/>
    <w:rsid w:val="00504CF4"/>
    <w:rsid w:val="0050635B"/>
    <w:rsid w:val="005075B3"/>
    <w:rsid w:val="005151C2"/>
    <w:rsid w:val="005275E8"/>
    <w:rsid w:val="005309FE"/>
    <w:rsid w:val="0053199F"/>
    <w:rsid w:val="00531E12"/>
    <w:rsid w:val="00533B90"/>
    <w:rsid w:val="005410F8"/>
    <w:rsid w:val="005448CF"/>
    <w:rsid w:val="005448EC"/>
    <w:rsid w:val="00545963"/>
    <w:rsid w:val="00550256"/>
    <w:rsid w:val="00553165"/>
    <w:rsid w:val="00553958"/>
    <w:rsid w:val="005561B0"/>
    <w:rsid w:val="00556BB7"/>
    <w:rsid w:val="0055763D"/>
    <w:rsid w:val="00561516"/>
    <w:rsid w:val="005621F2"/>
    <w:rsid w:val="00567B58"/>
    <w:rsid w:val="00571223"/>
    <w:rsid w:val="005739A3"/>
    <w:rsid w:val="005763E0"/>
    <w:rsid w:val="00581136"/>
    <w:rsid w:val="00581EB8"/>
    <w:rsid w:val="005839E7"/>
    <w:rsid w:val="0058437F"/>
    <w:rsid w:val="00592799"/>
    <w:rsid w:val="005A27CA"/>
    <w:rsid w:val="005A43BD"/>
    <w:rsid w:val="005A6100"/>
    <w:rsid w:val="005A79E5"/>
    <w:rsid w:val="005C3C1F"/>
    <w:rsid w:val="005C4994"/>
    <w:rsid w:val="005C5868"/>
    <w:rsid w:val="005D034C"/>
    <w:rsid w:val="005E226E"/>
    <w:rsid w:val="005E2636"/>
    <w:rsid w:val="006015D7"/>
    <w:rsid w:val="00601B21"/>
    <w:rsid w:val="006041F0"/>
    <w:rsid w:val="00605C6D"/>
    <w:rsid w:val="006120CA"/>
    <w:rsid w:val="0061443A"/>
    <w:rsid w:val="00624174"/>
    <w:rsid w:val="00625DE0"/>
    <w:rsid w:val="00626CF8"/>
    <w:rsid w:val="006314AF"/>
    <w:rsid w:val="00634003"/>
    <w:rsid w:val="00634ED8"/>
    <w:rsid w:val="00636D7D"/>
    <w:rsid w:val="00637408"/>
    <w:rsid w:val="006422E6"/>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00E"/>
    <w:rsid w:val="00686D80"/>
    <w:rsid w:val="00694895"/>
    <w:rsid w:val="00697E2E"/>
    <w:rsid w:val="006A1C87"/>
    <w:rsid w:val="006A25A2"/>
    <w:rsid w:val="006A3B87"/>
    <w:rsid w:val="006B0A88"/>
    <w:rsid w:val="006B0E73"/>
    <w:rsid w:val="006B1E3D"/>
    <w:rsid w:val="006B41EB"/>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293"/>
    <w:rsid w:val="0078171E"/>
    <w:rsid w:val="0078658E"/>
    <w:rsid w:val="00791956"/>
    <w:rsid w:val="007920E2"/>
    <w:rsid w:val="0079566E"/>
    <w:rsid w:val="00795B34"/>
    <w:rsid w:val="007A067F"/>
    <w:rsid w:val="007A122B"/>
    <w:rsid w:val="007B1770"/>
    <w:rsid w:val="007B4D3E"/>
    <w:rsid w:val="007B7C70"/>
    <w:rsid w:val="007B7DEB"/>
    <w:rsid w:val="007C0449"/>
    <w:rsid w:val="007C43B6"/>
    <w:rsid w:val="007D0BF4"/>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0F0C"/>
    <w:rsid w:val="00840F18"/>
    <w:rsid w:val="0084640C"/>
    <w:rsid w:val="00856088"/>
    <w:rsid w:val="00860826"/>
    <w:rsid w:val="00860E21"/>
    <w:rsid w:val="00863117"/>
    <w:rsid w:val="0086388B"/>
    <w:rsid w:val="008642E5"/>
    <w:rsid w:val="00864488"/>
    <w:rsid w:val="00870A36"/>
    <w:rsid w:val="00872974"/>
    <w:rsid w:val="00872D93"/>
    <w:rsid w:val="00880470"/>
    <w:rsid w:val="00880D94"/>
    <w:rsid w:val="008814E8"/>
    <w:rsid w:val="00886F64"/>
    <w:rsid w:val="00891169"/>
    <w:rsid w:val="008924DE"/>
    <w:rsid w:val="008A3755"/>
    <w:rsid w:val="008B117E"/>
    <w:rsid w:val="008B19DC"/>
    <w:rsid w:val="008B264F"/>
    <w:rsid w:val="008B6AFE"/>
    <w:rsid w:val="008B6F83"/>
    <w:rsid w:val="008B7FD8"/>
    <w:rsid w:val="008C1BFB"/>
    <w:rsid w:val="008C2973"/>
    <w:rsid w:val="008C6324"/>
    <w:rsid w:val="008C64C4"/>
    <w:rsid w:val="008D2CDD"/>
    <w:rsid w:val="008D74D5"/>
    <w:rsid w:val="008D7C9F"/>
    <w:rsid w:val="008E04BA"/>
    <w:rsid w:val="008E0ED1"/>
    <w:rsid w:val="008E2083"/>
    <w:rsid w:val="008E3A07"/>
    <w:rsid w:val="008E537B"/>
    <w:rsid w:val="008E5A9E"/>
    <w:rsid w:val="008F29BE"/>
    <w:rsid w:val="008F4AE5"/>
    <w:rsid w:val="008F51EB"/>
    <w:rsid w:val="00900197"/>
    <w:rsid w:val="00901E36"/>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2EEF"/>
    <w:rsid w:val="00944647"/>
    <w:rsid w:val="009469E2"/>
    <w:rsid w:val="0095293C"/>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390"/>
    <w:rsid w:val="00A9169D"/>
    <w:rsid w:val="00A93598"/>
    <w:rsid w:val="00A97A3A"/>
    <w:rsid w:val="00AA240C"/>
    <w:rsid w:val="00AB0332"/>
    <w:rsid w:val="00AC101C"/>
    <w:rsid w:val="00AC74A8"/>
    <w:rsid w:val="00AD4CF1"/>
    <w:rsid w:val="00AD5988"/>
    <w:rsid w:val="00AD6293"/>
    <w:rsid w:val="00AE1643"/>
    <w:rsid w:val="00AE16AF"/>
    <w:rsid w:val="00AE7C03"/>
    <w:rsid w:val="00AF372E"/>
    <w:rsid w:val="00AF7800"/>
    <w:rsid w:val="00B00CF5"/>
    <w:rsid w:val="00B048AF"/>
    <w:rsid w:val="00B072E0"/>
    <w:rsid w:val="00B1007E"/>
    <w:rsid w:val="00B13D41"/>
    <w:rsid w:val="00B17A35"/>
    <w:rsid w:val="00B253F6"/>
    <w:rsid w:val="00B26675"/>
    <w:rsid w:val="00B305DB"/>
    <w:rsid w:val="00B332F8"/>
    <w:rsid w:val="00B343B9"/>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B539E"/>
    <w:rsid w:val="00BC03EE"/>
    <w:rsid w:val="00BC59F1"/>
    <w:rsid w:val="00BD1FD2"/>
    <w:rsid w:val="00BD488E"/>
    <w:rsid w:val="00BF1816"/>
    <w:rsid w:val="00BF3DE1"/>
    <w:rsid w:val="00BF4843"/>
    <w:rsid w:val="00BF5027"/>
    <w:rsid w:val="00BF5205"/>
    <w:rsid w:val="00BF7C44"/>
    <w:rsid w:val="00C05132"/>
    <w:rsid w:val="00C12508"/>
    <w:rsid w:val="00C23728"/>
    <w:rsid w:val="00C3026C"/>
    <w:rsid w:val="00C313A9"/>
    <w:rsid w:val="00C347C8"/>
    <w:rsid w:val="00C358E4"/>
    <w:rsid w:val="00C418EE"/>
    <w:rsid w:val="00C441CF"/>
    <w:rsid w:val="00C45AA2"/>
    <w:rsid w:val="00C4792C"/>
    <w:rsid w:val="00C55BEF"/>
    <w:rsid w:val="00C562C1"/>
    <w:rsid w:val="00C568F2"/>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889"/>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73AC0"/>
    <w:rsid w:val="00D81462"/>
    <w:rsid w:val="00D82431"/>
    <w:rsid w:val="00D82F26"/>
    <w:rsid w:val="00D863D0"/>
    <w:rsid w:val="00D86735"/>
    <w:rsid w:val="00D86B00"/>
    <w:rsid w:val="00D86FB9"/>
    <w:rsid w:val="00D87C87"/>
    <w:rsid w:val="00D90A5D"/>
    <w:rsid w:val="00D90BB4"/>
    <w:rsid w:val="00D90E07"/>
    <w:rsid w:val="00D91E32"/>
    <w:rsid w:val="00D932C2"/>
    <w:rsid w:val="00DA0232"/>
    <w:rsid w:val="00DA7F9E"/>
    <w:rsid w:val="00DB39CF"/>
    <w:rsid w:val="00DB7256"/>
    <w:rsid w:val="00DC0401"/>
    <w:rsid w:val="00DC20BD"/>
    <w:rsid w:val="00DD0BCD"/>
    <w:rsid w:val="00DD447A"/>
    <w:rsid w:val="00DD4AB7"/>
    <w:rsid w:val="00DE3B20"/>
    <w:rsid w:val="00DE6C94"/>
    <w:rsid w:val="00DE6FD7"/>
    <w:rsid w:val="00DE70B4"/>
    <w:rsid w:val="00DF0C7C"/>
    <w:rsid w:val="00DF71CC"/>
    <w:rsid w:val="00E10B18"/>
    <w:rsid w:val="00E23271"/>
    <w:rsid w:val="00E24F80"/>
    <w:rsid w:val="00E259F3"/>
    <w:rsid w:val="00E30985"/>
    <w:rsid w:val="00E33238"/>
    <w:rsid w:val="00E33934"/>
    <w:rsid w:val="00E376B7"/>
    <w:rsid w:val="00E407B1"/>
    <w:rsid w:val="00E42F5D"/>
    <w:rsid w:val="00E4486C"/>
    <w:rsid w:val="00E460B6"/>
    <w:rsid w:val="00E500A8"/>
    <w:rsid w:val="00E511D5"/>
    <w:rsid w:val="00E53A9F"/>
    <w:rsid w:val="00E57349"/>
    <w:rsid w:val="00E60249"/>
    <w:rsid w:val="00E62238"/>
    <w:rsid w:val="00E63355"/>
    <w:rsid w:val="00E65269"/>
    <w:rsid w:val="00E7421B"/>
    <w:rsid w:val="00E76D66"/>
    <w:rsid w:val="00EA796A"/>
    <w:rsid w:val="00EB1856"/>
    <w:rsid w:val="00EC50CE"/>
    <w:rsid w:val="00EC5B34"/>
    <w:rsid w:val="00EC625C"/>
    <w:rsid w:val="00ED021E"/>
    <w:rsid w:val="00ED323C"/>
    <w:rsid w:val="00EE2D5C"/>
    <w:rsid w:val="00EE4ADE"/>
    <w:rsid w:val="00EE4DE8"/>
    <w:rsid w:val="00EE5CB7"/>
    <w:rsid w:val="00EF4C97"/>
    <w:rsid w:val="00F000BF"/>
    <w:rsid w:val="00F024FE"/>
    <w:rsid w:val="00F05AD4"/>
    <w:rsid w:val="00F103BE"/>
    <w:rsid w:val="00F10EB6"/>
    <w:rsid w:val="00F13F07"/>
    <w:rsid w:val="00F140B2"/>
    <w:rsid w:val="00F16595"/>
    <w:rsid w:val="00F25970"/>
    <w:rsid w:val="00F30C4F"/>
    <w:rsid w:val="00F311A9"/>
    <w:rsid w:val="00F31343"/>
    <w:rsid w:val="00F37381"/>
    <w:rsid w:val="00F5180D"/>
    <w:rsid w:val="00F54E74"/>
    <w:rsid w:val="00F63781"/>
    <w:rsid w:val="00F67496"/>
    <w:rsid w:val="00F7421E"/>
    <w:rsid w:val="00F801BA"/>
    <w:rsid w:val="00F807AD"/>
    <w:rsid w:val="00F9366A"/>
    <w:rsid w:val="00F93E6C"/>
    <w:rsid w:val="00F946C9"/>
    <w:rsid w:val="00F9677D"/>
    <w:rsid w:val="00FA0EA5"/>
    <w:rsid w:val="00FA68C7"/>
    <w:rsid w:val="00FA74EE"/>
    <w:rsid w:val="00FB0A5B"/>
    <w:rsid w:val="00FB1B8E"/>
    <w:rsid w:val="00FB2B93"/>
    <w:rsid w:val="00FC2E99"/>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6B6FF"/>
  <w15:docId w15:val="{C685C496-4819-431E-A627-2432C46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363B3A"/>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8E5A9E"/>
    <w:pPr>
      <w:numPr>
        <w:ilvl w:val="3"/>
        <w:numId w:val="5"/>
      </w:numPr>
      <w:spacing w:before="12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41007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17A35"/>
  </w:style>
  <w:style w:type="character" w:customStyle="1" w:styleId="eop">
    <w:name w:val="eop"/>
    <w:basedOn w:val="DefaultParagraphFont"/>
    <w:rsid w:val="00B1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footer" Target="footer7.xm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chart" Target="charts/chart30.xml"/><Relationship Id="rId63" Type="http://schemas.openxmlformats.org/officeDocument/2006/relationships/chart" Target="charts/chart38.xml"/><Relationship Id="rId68" Type="http://schemas.openxmlformats.org/officeDocument/2006/relationships/chart" Target="charts/chart43.xml"/><Relationship Id="rId7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chart" Target="charts/chart46.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chart" Target="charts/chart4.xml"/><Relationship Id="rId11" Type="http://schemas.openxmlformats.org/officeDocument/2006/relationships/hyperlink" Target="http://www.health.govt.nz" TargetMode="External"/><Relationship Id="rId24" Type="http://schemas.openxmlformats.org/officeDocument/2006/relationships/footer" Target="footer8.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chart" Target="charts/chart28.xml"/><Relationship Id="rId58" Type="http://schemas.openxmlformats.org/officeDocument/2006/relationships/chart" Target="charts/chart33.xml"/><Relationship Id="rId66" Type="http://schemas.openxmlformats.org/officeDocument/2006/relationships/chart" Target="charts/chart41.xml"/><Relationship Id="rId74" Type="http://schemas.openxmlformats.org/officeDocument/2006/relationships/chart" Target="charts/chart4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36.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chart" Target="charts/chart27.xml"/><Relationship Id="rId60" Type="http://schemas.openxmlformats.org/officeDocument/2006/relationships/chart" Target="charts/chart35.xml"/><Relationship Id="rId65" Type="http://schemas.openxmlformats.org/officeDocument/2006/relationships/chart" Target="charts/chart40.xml"/><Relationship Id="rId73" Type="http://schemas.openxmlformats.org/officeDocument/2006/relationships/chart" Target="charts/chart4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chart" Target="charts/chart31.xml"/><Relationship Id="rId64" Type="http://schemas.openxmlformats.org/officeDocument/2006/relationships/chart" Target="charts/chart39.xml"/><Relationship Id="rId69" Type="http://schemas.openxmlformats.org/officeDocument/2006/relationships/chart" Target="charts/chart44.xml"/><Relationship Id="rId77" Type="http://schemas.openxmlformats.org/officeDocument/2006/relationships/footer" Target="footer11.xml"/><Relationship Id="rId8" Type="http://schemas.openxmlformats.org/officeDocument/2006/relationships/header" Target="header1.xml"/><Relationship Id="rId51" Type="http://schemas.openxmlformats.org/officeDocument/2006/relationships/chart" Target="charts/chart26.xml"/><Relationship Id="rId72" Type="http://schemas.openxmlformats.org/officeDocument/2006/relationships/hyperlink" Target="http://www.health.govt.nz"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59" Type="http://schemas.openxmlformats.org/officeDocument/2006/relationships/chart" Target="charts/chart34.xml"/><Relationship Id="rId67" Type="http://schemas.openxmlformats.org/officeDocument/2006/relationships/chart" Target="charts/chart42.xml"/><Relationship Id="rId20" Type="http://schemas.openxmlformats.org/officeDocument/2006/relationships/footer" Target="footer6.xml"/><Relationship Id="rId41" Type="http://schemas.openxmlformats.org/officeDocument/2006/relationships/chart" Target="charts/chart16.xml"/><Relationship Id="rId54" Type="http://schemas.openxmlformats.org/officeDocument/2006/relationships/chart" Target="charts/chart29.xml"/><Relationship Id="rId62" Type="http://schemas.openxmlformats.org/officeDocument/2006/relationships/chart" Target="charts/chart37.xml"/><Relationship Id="rId70" Type="http://schemas.openxmlformats.org/officeDocument/2006/relationships/chart" Target="charts/chart45.xml"/><Relationship Id="rId75" Type="http://schemas.openxmlformats.org/officeDocument/2006/relationships/chart" Target="charts/chart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govt.nz/our-work/mental-health-and-addiction/mental-health-legislation/repealing-and-replacing-mental-health-act" TargetMode="External"/><Relationship Id="rId23" Type="http://schemas.openxmlformats.org/officeDocument/2006/relationships/header" Target="header5.xml"/><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chart" Target="charts/chart24.xml"/><Relationship Id="rId57" Type="http://schemas.openxmlformats.org/officeDocument/2006/relationships/chart" Target="charts/chart32.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t.nz/new-zealand-health-system/key-health-sector-organisations-and-people/mental-health-review-tribunal" TargetMode="External"/><Relationship Id="rId3" Type="http://schemas.openxmlformats.org/officeDocument/2006/relationships/hyperlink" Target="http://www.health.govt.nz/publication/kia-manawanui-aotearoa-long-term-pathway-mental-wellbeing" TargetMode="External"/><Relationship Id="rId7" Type="http://schemas.openxmlformats.org/officeDocument/2006/relationships/hyperlink" Target="http://www.hqsc.govt.nz/our-programmes/adverse-events/national-adverse-events-policy/" TargetMode="External"/><Relationship Id="rId2" Type="http://schemas.openxmlformats.org/officeDocument/2006/relationships/hyperlink" Target="http://www.mentalhealth.inquiry.govt.nz/assets/Summary-reports/He-Ara-Oranga.pdf" TargetMode="External"/><Relationship Id="rId1" Type="http://schemas.openxmlformats.org/officeDocument/2006/relationships/hyperlink" Target="http://www.health.govt.nz/publication/mental-health-and-wellbeing-year-review" TargetMode="External"/><Relationship Id="rId6" Type="http://schemas.openxmlformats.org/officeDocument/2006/relationships/hyperlink" Target="http://www.health.govt.nz/system/files/documents/publications/night-safety-procedures-transitional-guideline-feb18.pdf" TargetMode="External"/><Relationship Id="rId11" Type="http://schemas.openxmlformats.org/officeDocument/2006/relationships/hyperlink" Target="http://www.health.govt.nz/publication/specialist-opioid-substitution-treatment-ost-service-audit-and-review-tool" TargetMode="External"/><Relationship Id="rId5" Type="http://schemas.openxmlformats.org/officeDocument/2006/relationships/hyperlink" Target="http://www.moh.govt.nz/notebook/nbbooks.nsf/0/FD5F690DFDAAD3EACC25737F007C2720/$file/nightsafety.pdf" TargetMode="External"/><Relationship Id="rId10" Type="http://schemas.openxmlformats.org/officeDocument/2006/relationships/hyperlink" Target="http://www.health.govt.nz/publication/new-zealand-practice-guidelines-opioid-substitution-treatment-2014" TargetMode="External"/><Relationship Id="rId4" Type="http://schemas.openxmlformats.org/officeDocument/2006/relationships/hyperlink" Target="http://www.hqsc.govt.nz/our-programmes/mental-health-and-addiction-quality-improvement/news-and-events/news/4143/" TargetMode="External"/><Relationship Id="rId9" Type="http://schemas.openxmlformats.org/officeDocument/2006/relationships/hyperlink" Target="https://gazette.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ODMHAS%207a%20consultatio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ODMHAS%207a%20consultatio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ODMHAS%207a%20consultatio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OST%20collated%20data%20202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OST%20collated%20data%202020.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WMNTFP\Group\Mental%20Health%20Protection%20Team\SACAT%20data\SACAT-FINAL-PRIMHD-2020-21%20v2%20Demographics%20130821.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WMNTFP\Group\Mental%20Health%20Protection%20Team\SACAT%20data\SACAT-FINAL-PRIMHD-2020-21%20v2%20Demographics%20130821.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WMNTFP\Group\Mental%20Health%20Protection%20Team\SACAT%20data\SACAT-FINAL-PRIMHD-2020-21%20v2%20Demographics%201308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20\Data\Annual%20Report%20Data%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19596406531615E-2"/>
          <c:y val="9.5198675496688742E-2"/>
          <c:w val="0.73327151134692237"/>
          <c:h val="0.70736742430835753"/>
        </c:manualLayout>
      </c:layout>
      <c:lineChart>
        <c:grouping val="standard"/>
        <c:varyColors val="0"/>
        <c:ser>
          <c:idx val="0"/>
          <c:order val="0"/>
          <c:tx>
            <c:v>Total applications</c:v>
          </c:tx>
          <c:spPr>
            <a:ln w="28575" cap="rnd">
              <a:solidFill>
                <a:schemeClr val="accent1"/>
              </a:solidFill>
              <a:round/>
            </a:ln>
            <a:effectLst/>
          </c:spPr>
          <c:marker>
            <c:symbol val="none"/>
          </c:marker>
          <c:cat>
            <c:numRef>
              <c:f>Justice!$B$9:$B$25</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Justice!$C$9:$C$25</c:f>
              <c:numCache>
                <c:formatCode>General</c:formatCode>
                <c:ptCount val="17"/>
                <c:pt idx="0">
                  <c:v>4443</c:v>
                </c:pt>
                <c:pt idx="1">
                  <c:v>4298</c:v>
                </c:pt>
                <c:pt idx="2">
                  <c:v>4254</c:v>
                </c:pt>
                <c:pt idx="3">
                  <c:v>4535</c:v>
                </c:pt>
                <c:pt idx="4">
                  <c:v>4634</c:v>
                </c:pt>
                <c:pt idx="5">
                  <c:v>4564</c:v>
                </c:pt>
                <c:pt idx="6">
                  <c:v>4783</c:v>
                </c:pt>
                <c:pt idx="7">
                  <c:v>4781</c:v>
                </c:pt>
                <c:pt idx="8">
                  <c:v>4885</c:v>
                </c:pt>
                <c:pt idx="9">
                  <c:v>5062</c:v>
                </c:pt>
                <c:pt idx="10">
                  <c:v>5227</c:v>
                </c:pt>
                <c:pt idx="11">
                  <c:v>5368</c:v>
                </c:pt>
                <c:pt idx="12">
                  <c:v>5601</c:v>
                </c:pt>
                <c:pt idx="13">
                  <c:v>5566</c:v>
                </c:pt>
                <c:pt idx="14">
                  <c:v>5646</c:v>
                </c:pt>
                <c:pt idx="15">
                  <c:v>5617</c:v>
                </c:pt>
                <c:pt idx="16">
                  <c:v>5874</c:v>
                </c:pt>
              </c:numCache>
            </c:numRef>
          </c:val>
          <c:smooth val="0"/>
          <c:extLst>
            <c:ext xmlns:c16="http://schemas.microsoft.com/office/drawing/2014/chart" uri="{C3380CC4-5D6E-409C-BE32-E72D297353CC}">
              <c16:uniqueId val="{00000000-4CBC-4905-8654-5677841C0135}"/>
            </c:ext>
          </c:extLst>
        </c:ser>
        <c:ser>
          <c:idx val="1"/>
          <c:order val="1"/>
          <c:tx>
            <c:v>Granted applications</c:v>
          </c:tx>
          <c:spPr>
            <a:ln w="28575" cap="rnd">
              <a:solidFill>
                <a:schemeClr val="accent6"/>
              </a:solidFill>
              <a:round/>
            </a:ln>
            <a:effectLst/>
          </c:spPr>
          <c:marker>
            <c:symbol val="none"/>
          </c:marker>
          <c:cat>
            <c:numRef>
              <c:f>Justice!$B$9:$B$25</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Justice!$D$9:$D$25</c:f>
              <c:numCache>
                <c:formatCode>General</c:formatCode>
                <c:ptCount val="17"/>
                <c:pt idx="0">
                  <c:v>3863</c:v>
                </c:pt>
                <c:pt idx="1">
                  <c:v>3682</c:v>
                </c:pt>
                <c:pt idx="2">
                  <c:v>3643</c:v>
                </c:pt>
                <c:pt idx="3">
                  <c:v>3916</c:v>
                </c:pt>
                <c:pt idx="4">
                  <c:v>3969</c:v>
                </c:pt>
                <c:pt idx="5">
                  <c:v>4039</c:v>
                </c:pt>
                <c:pt idx="6">
                  <c:v>4156</c:v>
                </c:pt>
                <c:pt idx="7">
                  <c:v>4215</c:v>
                </c:pt>
                <c:pt idx="8">
                  <c:v>4343</c:v>
                </c:pt>
                <c:pt idx="9">
                  <c:v>4607</c:v>
                </c:pt>
                <c:pt idx="10">
                  <c:v>4632</c:v>
                </c:pt>
                <c:pt idx="11">
                  <c:v>4748</c:v>
                </c:pt>
                <c:pt idx="12">
                  <c:v>4927</c:v>
                </c:pt>
                <c:pt idx="13">
                  <c:v>4940</c:v>
                </c:pt>
                <c:pt idx="14">
                  <c:v>5006</c:v>
                </c:pt>
                <c:pt idx="15">
                  <c:v>4984</c:v>
                </c:pt>
                <c:pt idx="16">
                  <c:v>5137</c:v>
                </c:pt>
              </c:numCache>
            </c:numRef>
          </c:val>
          <c:smooth val="0"/>
          <c:extLst>
            <c:ext xmlns:c16="http://schemas.microsoft.com/office/drawing/2014/chart" uri="{C3380CC4-5D6E-409C-BE32-E72D297353CC}">
              <c16:uniqueId val="{00000001-4CBC-4905-8654-5677841C0135}"/>
            </c:ext>
          </c:extLst>
        </c:ser>
        <c:ser>
          <c:idx val="2"/>
          <c:order val="2"/>
          <c:tx>
            <c:v>Dismissed applications</c:v>
          </c:tx>
          <c:spPr>
            <a:ln w="28575" cap="rnd">
              <a:solidFill>
                <a:srgbClr val="C00000"/>
              </a:solidFill>
              <a:round/>
            </a:ln>
            <a:effectLst/>
          </c:spPr>
          <c:marker>
            <c:symbol val="none"/>
          </c:marker>
          <c:cat>
            <c:numRef>
              <c:f>Justice!$B$9:$B$25</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Justice!$E$9:$E$25</c:f>
              <c:numCache>
                <c:formatCode>General</c:formatCode>
                <c:ptCount val="17"/>
                <c:pt idx="0">
                  <c:v>100</c:v>
                </c:pt>
                <c:pt idx="1">
                  <c:v>100</c:v>
                </c:pt>
                <c:pt idx="2">
                  <c:v>109</c:v>
                </c:pt>
                <c:pt idx="3">
                  <c:v>99</c:v>
                </c:pt>
                <c:pt idx="4">
                  <c:v>103</c:v>
                </c:pt>
                <c:pt idx="5">
                  <c:v>54</c:v>
                </c:pt>
                <c:pt idx="6">
                  <c:v>74</c:v>
                </c:pt>
                <c:pt idx="7">
                  <c:v>70</c:v>
                </c:pt>
                <c:pt idx="8">
                  <c:v>71</c:v>
                </c:pt>
                <c:pt idx="9">
                  <c:v>68</c:v>
                </c:pt>
                <c:pt idx="10">
                  <c:v>47</c:v>
                </c:pt>
                <c:pt idx="11">
                  <c:v>52</c:v>
                </c:pt>
                <c:pt idx="12">
                  <c:v>70</c:v>
                </c:pt>
                <c:pt idx="13">
                  <c:v>69</c:v>
                </c:pt>
                <c:pt idx="14">
                  <c:v>77</c:v>
                </c:pt>
                <c:pt idx="15">
                  <c:v>48</c:v>
                </c:pt>
                <c:pt idx="16">
                  <c:v>62</c:v>
                </c:pt>
              </c:numCache>
            </c:numRef>
          </c:val>
          <c:smooth val="0"/>
          <c:extLst>
            <c:ext xmlns:c16="http://schemas.microsoft.com/office/drawing/2014/chart" uri="{C3380CC4-5D6E-409C-BE32-E72D297353CC}">
              <c16:uniqueId val="{00000002-4CBC-4905-8654-5677841C0135}"/>
            </c:ext>
          </c:extLst>
        </c:ser>
        <c:ser>
          <c:idx val="3"/>
          <c:order val="3"/>
          <c:tx>
            <c:v>Withdrawn applications</c:v>
          </c:tx>
          <c:spPr>
            <a:ln w="28575" cap="rnd">
              <a:solidFill>
                <a:schemeClr val="accent4"/>
              </a:solidFill>
              <a:round/>
            </a:ln>
            <a:effectLst/>
          </c:spPr>
          <c:marker>
            <c:symbol val="none"/>
          </c:marker>
          <c:cat>
            <c:numRef>
              <c:f>Justice!$B$9:$B$25</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Justice!$F$9:$F$25</c:f>
              <c:numCache>
                <c:formatCode>General</c:formatCode>
                <c:ptCount val="17"/>
                <c:pt idx="0">
                  <c:v>460</c:v>
                </c:pt>
                <c:pt idx="1">
                  <c:v>520</c:v>
                </c:pt>
                <c:pt idx="2">
                  <c:v>515</c:v>
                </c:pt>
                <c:pt idx="3">
                  <c:v>542</c:v>
                </c:pt>
                <c:pt idx="4">
                  <c:v>486</c:v>
                </c:pt>
                <c:pt idx="5">
                  <c:v>494</c:v>
                </c:pt>
                <c:pt idx="6">
                  <c:v>523</c:v>
                </c:pt>
                <c:pt idx="7">
                  <c:v>516</c:v>
                </c:pt>
                <c:pt idx="8">
                  <c:v>443</c:v>
                </c:pt>
                <c:pt idx="9">
                  <c:v>411</c:v>
                </c:pt>
                <c:pt idx="10">
                  <c:v>577</c:v>
                </c:pt>
                <c:pt idx="11">
                  <c:v>550</c:v>
                </c:pt>
                <c:pt idx="12">
                  <c:v>549</c:v>
                </c:pt>
                <c:pt idx="13">
                  <c:v>587</c:v>
                </c:pt>
                <c:pt idx="14">
                  <c:v>556</c:v>
                </c:pt>
                <c:pt idx="15">
                  <c:v>618</c:v>
                </c:pt>
                <c:pt idx="16">
                  <c:v>599</c:v>
                </c:pt>
              </c:numCache>
            </c:numRef>
          </c:val>
          <c:smooth val="0"/>
          <c:extLst>
            <c:ext xmlns:c16="http://schemas.microsoft.com/office/drawing/2014/chart" uri="{C3380CC4-5D6E-409C-BE32-E72D297353CC}">
              <c16:uniqueId val="{00000003-4CBC-4905-8654-5677841C0135}"/>
            </c:ext>
          </c:extLst>
        </c:ser>
        <c:dLbls>
          <c:showLegendKey val="0"/>
          <c:showVal val="0"/>
          <c:showCatName val="0"/>
          <c:showSerName val="0"/>
          <c:showPercent val="0"/>
          <c:showBubbleSize val="0"/>
        </c:dLbls>
        <c:smooth val="0"/>
        <c:axId val="242078080"/>
        <c:axId val="242080000"/>
      </c:lineChart>
      <c:catAx>
        <c:axId val="2420780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NZ" sz="900">
                    <a:latin typeface="Segoe UI" panose="020B0502040204020203" pitchFamily="34" charset="0"/>
                    <a:cs typeface="Segoe UI" panose="020B0502040204020203" pitchFamily="34" charset="0"/>
                  </a:rPr>
                  <a:t>Year</a:t>
                </a:r>
              </a:p>
            </c:rich>
          </c:tx>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n-US"/>
          </a:p>
        </c:txPr>
        <c:crossAx val="242080000"/>
        <c:crosses val="autoZero"/>
        <c:auto val="1"/>
        <c:lblAlgn val="ctr"/>
        <c:lblOffset val="100"/>
        <c:noMultiLvlLbl val="0"/>
      </c:catAx>
      <c:valAx>
        <c:axId val="242080000"/>
        <c:scaling>
          <c:orientation val="minMax"/>
        </c:scaling>
        <c:delete val="0"/>
        <c:axPos val="l"/>
        <c:title>
          <c:tx>
            <c:rich>
              <a:bodyPr rot="0" spcFirstLastPara="1" vertOverflow="ellipsis"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r>
                  <a:rPr lang="en-NZ" sz="900">
                    <a:solidFill>
                      <a:schemeClr val="tx1"/>
                    </a:solidFill>
                    <a:latin typeface="Segoe UI" panose="020B0502040204020203" pitchFamily="34" charset="0"/>
                    <a:cs typeface="Segoe UI" panose="020B0502040204020203" pitchFamily="34" charset="0"/>
                  </a:rPr>
                  <a:t>Number</a:t>
                </a:r>
              </a:p>
            </c:rich>
          </c:tx>
          <c:layout>
            <c:manualLayout>
              <c:xMode val="edge"/>
              <c:yMode val="edge"/>
              <c:x val="0"/>
              <c:y val="1.0689888929446536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n-US"/>
          </a:p>
        </c:txPr>
        <c:crossAx val="242078080"/>
        <c:crosses val="autoZero"/>
        <c:crossBetween val="between"/>
      </c:valAx>
      <c:spPr>
        <a:noFill/>
        <a:ln>
          <a:noFill/>
        </a:ln>
        <a:effectLst/>
      </c:spPr>
    </c:plotArea>
    <c:legend>
      <c:legendPos val="r"/>
      <c:layout>
        <c:manualLayout>
          <c:xMode val="edge"/>
          <c:yMode val="edge"/>
          <c:x val="0.60733392587096235"/>
          <c:y val="0.36476353739915346"/>
          <c:w val="0.29561005738452867"/>
          <c:h val="0.28953860697849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528573158140585E-2"/>
          <c:y val="0.15010118800939357"/>
          <c:w val="0.8120570866141732"/>
          <c:h val="0.72107818759497166"/>
        </c:manualLayout>
      </c:layout>
      <c:barChart>
        <c:barDir val="col"/>
        <c:grouping val="clustered"/>
        <c:varyColors val="0"/>
        <c:ser>
          <c:idx val="0"/>
          <c:order val="0"/>
          <c:tx>
            <c:strRef>
              <c:f>'Māori &amp; the MHA'!$C$302</c:f>
              <c:strCache>
                <c:ptCount val="1"/>
                <c:pt idx="0">
                  <c:v>Māori</c:v>
                </c:pt>
              </c:strCache>
            </c:strRef>
          </c:tx>
          <c:spPr>
            <a:solidFill>
              <a:schemeClr val="accent6"/>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'Māori &amp; the MHA'!$B$303:$B$305</c:f>
              <c:strCache>
                <c:ptCount val="3"/>
                <c:pt idx="0">
                  <c:v>Less than 1 year</c:v>
                </c:pt>
                <c:pt idx="1">
                  <c:v>1–2 years</c:v>
                </c:pt>
                <c:pt idx="2">
                  <c:v>2+ years</c:v>
                </c:pt>
              </c:strCache>
            </c:strRef>
          </c:cat>
          <c:val>
            <c:numRef>
              <c:f>'Māori &amp; the MHA'!$C$303:$C$305</c:f>
              <c:numCache>
                <c:formatCode>0%</c:formatCode>
                <c:ptCount val="3"/>
                <c:pt idx="0">
                  <c:v>0.66772151898734178</c:v>
                </c:pt>
                <c:pt idx="1">
                  <c:v>0.11087669948429442</c:v>
                </c:pt>
                <c:pt idx="2">
                  <c:v>0.22140178152836382</c:v>
                </c:pt>
              </c:numCache>
            </c:numRef>
          </c:val>
          <c:extLst>
            <c:ext xmlns:c16="http://schemas.microsoft.com/office/drawing/2014/chart" uri="{C3380CC4-5D6E-409C-BE32-E72D297353CC}">
              <c16:uniqueId val="{00000000-7A49-49C4-8594-2FB9EF15F49B}"/>
            </c:ext>
          </c:extLst>
        </c:ser>
        <c:ser>
          <c:idx val="1"/>
          <c:order val="1"/>
          <c:tx>
            <c:strRef>
              <c:f>'Māori &amp; the MHA'!$D$302</c:f>
              <c:strCache>
                <c:ptCount val="1"/>
                <c:pt idx="0">
                  <c:v>Pacific peoples</c:v>
                </c:pt>
              </c:strCache>
            </c:strRef>
          </c:tx>
          <c:spPr>
            <a:solidFill>
              <a:schemeClr val="accent5"/>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'Māori &amp; the MHA'!$B$303:$B$305</c:f>
              <c:strCache>
                <c:ptCount val="3"/>
                <c:pt idx="0">
                  <c:v>Less than 1 year</c:v>
                </c:pt>
                <c:pt idx="1">
                  <c:v>1–2 years</c:v>
                </c:pt>
                <c:pt idx="2">
                  <c:v>2+ years</c:v>
                </c:pt>
              </c:strCache>
            </c:strRef>
          </c:cat>
          <c:val>
            <c:numRef>
              <c:f>'Māori &amp; the MHA'!$D$303:$D$305</c:f>
              <c:numCache>
                <c:formatCode>0%</c:formatCode>
                <c:ptCount val="3"/>
                <c:pt idx="0">
                  <c:v>0.68440036068530208</c:v>
                </c:pt>
                <c:pt idx="1">
                  <c:v>8.8367899008115425E-2</c:v>
                </c:pt>
                <c:pt idx="2">
                  <c:v>0.2272317403065825</c:v>
                </c:pt>
              </c:numCache>
            </c:numRef>
          </c:val>
          <c:extLst>
            <c:ext xmlns:c16="http://schemas.microsoft.com/office/drawing/2014/chart" uri="{C3380CC4-5D6E-409C-BE32-E72D297353CC}">
              <c16:uniqueId val="{00000001-7A49-49C4-8594-2FB9EF15F49B}"/>
            </c:ext>
          </c:extLst>
        </c:ser>
        <c:ser>
          <c:idx val="2"/>
          <c:order val="2"/>
          <c:tx>
            <c:strRef>
              <c:f>'Māori &amp; the MHA'!$E$302</c:f>
              <c:strCache>
                <c:ptCount val="1"/>
                <c:pt idx="0">
                  <c:v>Other</c:v>
                </c:pt>
              </c:strCache>
            </c:strRef>
          </c:tx>
          <c:spPr>
            <a:solidFill>
              <a:schemeClr val="accent4"/>
            </a:solidFill>
            <a:ln>
              <a:noFill/>
            </a:ln>
            <a:effectLst/>
          </c:spPr>
          <c:invertIfNegative val="0"/>
          <c:dLbls>
            <c:dLbl>
              <c:idx val="1"/>
              <c:layout>
                <c:manualLayout>
                  <c:x val="0"/>
                  <c:y val="7.23419627147118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02-487F-B3C9-10FFD02473DB}"/>
                </c:ext>
              </c:extLst>
            </c:dLbl>
            <c:numFmt formatCode="0%" sourceLinked="0"/>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'Māori &amp; the MHA'!$B$303:$B$305</c:f>
              <c:strCache>
                <c:ptCount val="3"/>
                <c:pt idx="0">
                  <c:v>Less than 1 year</c:v>
                </c:pt>
                <c:pt idx="1">
                  <c:v>1–2 years</c:v>
                </c:pt>
                <c:pt idx="2">
                  <c:v>2+ years</c:v>
                </c:pt>
              </c:strCache>
            </c:strRef>
          </c:cat>
          <c:val>
            <c:numRef>
              <c:f>'Māori &amp; the MHA'!$E$303:$E$305</c:f>
              <c:numCache>
                <c:formatCode>0%</c:formatCode>
                <c:ptCount val="3"/>
                <c:pt idx="0">
                  <c:v>0.70173790511977452</c:v>
                </c:pt>
                <c:pt idx="1">
                  <c:v>8.8147800219195244E-2</c:v>
                </c:pt>
                <c:pt idx="2">
                  <c:v>0.21011429466103021</c:v>
                </c:pt>
              </c:numCache>
            </c:numRef>
          </c:val>
          <c:extLst>
            <c:ext xmlns:c16="http://schemas.microsoft.com/office/drawing/2014/chart" uri="{C3380CC4-5D6E-409C-BE32-E72D297353CC}">
              <c16:uniqueId val="{00000002-7A49-49C4-8594-2FB9EF15F49B}"/>
            </c:ext>
          </c:extLst>
        </c:ser>
        <c:dLbls>
          <c:dLblPos val="inEnd"/>
          <c:showLegendKey val="0"/>
          <c:showVal val="1"/>
          <c:showCatName val="0"/>
          <c:showSerName val="0"/>
          <c:showPercent val="0"/>
          <c:showBubbleSize val="0"/>
        </c:dLbls>
        <c:gapWidth val="66"/>
        <c:axId val="288090368"/>
        <c:axId val="293081088"/>
      </c:barChart>
      <c:catAx>
        <c:axId val="2880903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3081088"/>
        <c:crosses val="autoZero"/>
        <c:auto val="1"/>
        <c:lblAlgn val="ctr"/>
        <c:lblOffset val="100"/>
        <c:noMultiLvlLbl val="0"/>
      </c:catAx>
      <c:valAx>
        <c:axId val="293081088"/>
        <c:scaling>
          <c:orientation val="minMax"/>
          <c:max val="1"/>
        </c:scaling>
        <c:delete val="0"/>
        <c:axPos val="l"/>
        <c:majorGridlines>
          <c:spPr>
            <a:ln w="6350" cap="flat" cmpd="sng" algn="ctr">
              <a:noFill/>
              <a:prstDash val="solid"/>
              <a:round/>
            </a:ln>
            <a:effectLst/>
          </c:spPr>
        </c:majorGridlines>
        <c:title>
          <c:tx>
            <c:rich>
              <a:bodyPr rot="0"/>
              <a:lstStyle/>
              <a:p>
                <a:pPr algn="l">
                  <a:defRPr b="0"/>
                </a:pPr>
                <a:r>
                  <a:rPr lang="en-NZ" b="0"/>
                  <a:t>Percent subject to order</a:t>
                </a:r>
              </a:p>
            </c:rich>
          </c:tx>
          <c:layout>
            <c:manualLayout>
              <c:xMode val="edge"/>
              <c:yMode val="edge"/>
              <c:x val="0"/>
              <c:y val="6.552642318767819E-4"/>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88090368"/>
        <c:crosses val="autoZero"/>
        <c:crossBetween val="between"/>
      </c:valAx>
      <c:spPr>
        <a:solidFill>
          <a:schemeClr val="bg1"/>
        </a:solidFill>
        <a:ln>
          <a:noFill/>
        </a:ln>
        <a:effectLst/>
      </c:spPr>
    </c:plotArea>
    <c:legend>
      <c:legendPos val="r"/>
      <c:layout>
        <c:manualLayout>
          <c:xMode val="edge"/>
          <c:yMode val="edge"/>
          <c:x val="0.67090610638041925"/>
          <c:y val="2.1932587373946679E-2"/>
          <c:w val="0.18931333950903195"/>
          <c:h val="0.22393700787401574"/>
        </c:manualLayout>
      </c:layout>
      <c:overlay val="0"/>
      <c:spPr>
        <a:noFill/>
        <a:ln>
          <a:noFill/>
        </a:ln>
        <a:effectLst/>
      </c:spPr>
      <c:txPr>
        <a:bodyPr rot="0" vert="horz"/>
        <a:lstStyle/>
        <a:p>
          <a:pPr>
            <a:defRPr/>
          </a:pPr>
          <a:endParaRPr lang="en-US"/>
        </a:p>
      </c:txPr>
    </c:legend>
    <c:plotVisOnly val="1"/>
    <c:dispBlanksAs val="gap"/>
    <c:showDLblsOverMax val="0"/>
  </c:chart>
  <c:spPr>
    <a:no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88950221428505E-2"/>
          <c:y val="0.1709399482959367"/>
          <c:w val="0.78848643919510064"/>
          <c:h val="0.70348785349199772"/>
        </c:manualLayout>
      </c:layout>
      <c:barChart>
        <c:barDir val="col"/>
        <c:grouping val="clustered"/>
        <c:varyColors val="0"/>
        <c:ser>
          <c:idx val="0"/>
          <c:order val="0"/>
          <c:tx>
            <c:strRef>
              <c:f>'Māori &amp; the MHA'!$C$623</c:f>
              <c:strCache>
                <c:ptCount val="1"/>
                <c:pt idx="0">
                  <c:v>Māori</c:v>
                </c:pt>
              </c:strCache>
            </c:strRef>
          </c:tx>
          <c:spPr>
            <a:solidFill>
              <a:schemeClr val="accent6"/>
            </a:solidFill>
            <a:ln>
              <a:noFill/>
            </a:ln>
            <a:effectLst/>
          </c:spPr>
          <c:invertIfNegative val="0"/>
          <c:dLbls>
            <c:dLbl>
              <c:idx val="1"/>
              <c:spPr>
                <a:noFill/>
                <a:ln>
                  <a:noFill/>
                </a:ln>
                <a:effectLst/>
              </c:spPr>
              <c:txPr>
                <a:bodyPr rot="0" vert="horz"/>
                <a:lstStyle/>
                <a:p>
                  <a:pPr>
                    <a:defRPr>
                      <a:solidFill>
                        <a:sysClr val="windowText" lastClr="000000"/>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67D5-42B5-A765-A0B1DD0EF57E}"/>
                </c:ext>
              </c:extLst>
            </c:dLbl>
            <c:dLbl>
              <c:idx val="2"/>
              <c:layout>
                <c:manualLayout>
                  <c:x val="-8.4000556918894792E-17"/>
                  <c:y val="2.7552562996763213E-2"/>
                </c:manualLayout>
              </c:layout>
              <c:spPr>
                <a:noFill/>
                <a:ln>
                  <a:noFill/>
                </a:ln>
                <a:effectLst/>
              </c:spPr>
              <c:txPr>
                <a:bodyPr rot="0" vert="horz"/>
                <a:lstStyle/>
                <a:p>
                  <a:pPr>
                    <a:defRPr>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16-4EC1-9F32-246EF6A0D977}"/>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'Māori &amp; the MHA'!$B$624:$B$626</c:f>
              <c:strCache>
                <c:ptCount val="3"/>
                <c:pt idx="0">
                  <c:v>Less than 1 year</c:v>
                </c:pt>
                <c:pt idx="1">
                  <c:v>1-2 years</c:v>
                </c:pt>
                <c:pt idx="2">
                  <c:v>2+ years</c:v>
                </c:pt>
              </c:strCache>
            </c:strRef>
          </c:cat>
          <c:val>
            <c:numRef>
              <c:f>'Māori &amp; the MHA'!$C$624:$C$626</c:f>
              <c:numCache>
                <c:formatCode>0%</c:formatCode>
                <c:ptCount val="3"/>
                <c:pt idx="0">
                  <c:v>0.9212765957446809</c:v>
                </c:pt>
                <c:pt idx="1">
                  <c:v>3.2860520094562647E-2</c:v>
                </c:pt>
                <c:pt idx="2">
                  <c:v>4.5862884160756498E-2</c:v>
                </c:pt>
              </c:numCache>
            </c:numRef>
          </c:val>
          <c:extLst>
            <c:ext xmlns:c16="http://schemas.microsoft.com/office/drawing/2014/chart" uri="{C3380CC4-5D6E-409C-BE32-E72D297353CC}">
              <c16:uniqueId val="{00000000-4EC4-4A79-ABE4-EDC4CA6D2024}"/>
            </c:ext>
          </c:extLst>
        </c:ser>
        <c:ser>
          <c:idx val="1"/>
          <c:order val="1"/>
          <c:tx>
            <c:strRef>
              <c:f>'Māori &amp; the MHA'!$D$623</c:f>
              <c:strCache>
                <c:ptCount val="1"/>
                <c:pt idx="0">
                  <c:v>Pacific peoples</c:v>
                </c:pt>
              </c:strCache>
            </c:strRef>
          </c:tx>
          <c:spPr>
            <a:solidFill>
              <a:schemeClr val="accent5"/>
            </a:solidFill>
            <a:ln>
              <a:noFill/>
            </a:ln>
            <a:effectLst/>
          </c:spPr>
          <c:invertIfNegative val="0"/>
          <c:dLbls>
            <c:dLbl>
              <c:idx val="1"/>
              <c:spPr>
                <a:noFill/>
                <a:ln>
                  <a:noFill/>
                </a:ln>
                <a:effectLst/>
              </c:spPr>
              <c:txPr>
                <a:bodyPr rot="0" vert="horz"/>
                <a:lstStyle/>
                <a:p>
                  <a:pPr>
                    <a:defRPr>
                      <a:solidFill>
                        <a:sysClr val="windowText" lastClr="000000"/>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67D5-42B5-A765-A0B1DD0EF57E}"/>
                </c:ext>
              </c:extLst>
            </c:dLbl>
            <c:dLbl>
              <c:idx val="2"/>
              <c:spPr>
                <a:noFill/>
                <a:ln>
                  <a:noFill/>
                </a:ln>
                <a:effectLst/>
              </c:spPr>
              <c:txPr>
                <a:bodyPr rot="0" vert="horz"/>
                <a:lstStyle/>
                <a:p>
                  <a:pPr>
                    <a:defRPr>
                      <a:solidFill>
                        <a:sysClr val="windowText" lastClr="000000"/>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67D5-42B5-A765-A0B1DD0EF57E}"/>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'Māori &amp; the MHA'!$B$624:$B$626</c:f>
              <c:strCache>
                <c:ptCount val="3"/>
                <c:pt idx="0">
                  <c:v>Less than 1 year</c:v>
                </c:pt>
                <c:pt idx="1">
                  <c:v>1-2 years</c:v>
                </c:pt>
                <c:pt idx="2">
                  <c:v>2+ years</c:v>
                </c:pt>
              </c:strCache>
            </c:strRef>
          </c:cat>
          <c:val>
            <c:numRef>
              <c:f>'Māori &amp; the MHA'!$D$624:$D$626</c:f>
              <c:numCache>
                <c:formatCode>0%</c:formatCode>
                <c:ptCount val="3"/>
                <c:pt idx="0">
                  <c:v>0.93063063063063067</c:v>
                </c:pt>
                <c:pt idx="1">
                  <c:v>2.9729729729729731E-2</c:v>
                </c:pt>
                <c:pt idx="2">
                  <c:v>3.9639639639639637E-2</c:v>
                </c:pt>
              </c:numCache>
            </c:numRef>
          </c:val>
          <c:extLst>
            <c:ext xmlns:c16="http://schemas.microsoft.com/office/drawing/2014/chart" uri="{C3380CC4-5D6E-409C-BE32-E72D297353CC}">
              <c16:uniqueId val="{00000001-4EC4-4A79-ABE4-EDC4CA6D2024}"/>
            </c:ext>
          </c:extLst>
        </c:ser>
        <c:ser>
          <c:idx val="2"/>
          <c:order val="2"/>
          <c:tx>
            <c:strRef>
              <c:f>'Māori &amp; the MHA'!$E$623</c:f>
              <c:strCache>
                <c:ptCount val="1"/>
                <c:pt idx="0">
                  <c:v>Other</c:v>
                </c:pt>
              </c:strCache>
            </c:strRef>
          </c:tx>
          <c:spPr>
            <a:solidFill>
              <a:schemeClr val="accent4"/>
            </a:solidFill>
            <a:ln>
              <a:noFill/>
            </a:ln>
            <a:effectLst/>
          </c:spPr>
          <c:invertIfNegative val="0"/>
          <c:dLbls>
            <c:dLbl>
              <c:idx val="1"/>
              <c:spPr>
                <a:noFill/>
                <a:ln>
                  <a:noFill/>
                </a:ln>
                <a:effectLst/>
              </c:spPr>
              <c:txPr>
                <a:bodyPr rot="0" vert="horz"/>
                <a:lstStyle/>
                <a:p>
                  <a:pPr>
                    <a:defRPr>
                      <a:solidFill>
                        <a:sysClr val="windowText" lastClr="000000"/>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67D5-42B5-A765-A0B1DD0EF57E}"/>
                </c:ext>
              </c:extLst>
            </c:dLbl>
            <c:dLbl>
              <c:idx val="2"/>
              <c:spPr>
                <a:noFill/>
                <a:ln>
                  <a:noFill/>
                </a:ln>
                <a:effectLst/>
              </c:spPr>
              <c:txPr>
                <a:bodyPr rot="0" vert="horz"/>
                <a:lstStyle/>
                <a:p>
                  <a:pPr>
                    <a:defRPr>
                      <a:solidFill>
                        <a:sysClr val="windowText" lastClr="000000"/>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4-67D5-42B5-A765-A0B1DD0EF57E}"/>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'Māori &amp; the MHA'!$B$624:$B$626</c:f>
              <c:strCache>
                <c:ptCount val="3"/>
                <c:pt idx="0">
                  <c:v>Less than 1 year</c:v>
                </c:pt>
                <c:pt idx="1">
                  <c:v>1-2 years</c:v>
                </c:pt>
                <c:pt idx="2">
                  <c:v>2+ years</c:v>
                </c:pt>
              </c:strCache>
            </c:strRef>
          </c:cat>
          <c:val>
            <c:numRef>
              <c:f>'Māori &amp; the MHA'!$E$624:$E$626</c:f>
              <c:numCache>
                <c:formatCode>0%</c:formatCode>
                <c:ptCount val="3"/>
                <c:pt idx="0">
                  <c:v>0.93851174934725845</c:v>
                </c:pt>
                <c:pt idx="1">
                  <c:v>2.3498694516971279E-2</c:v>
                </c:pt>
                <c:pt idx="2">
                  <c:v>3.7989556135770236E-2</c:v>
                </c:pt>
              </c:numCache>
            </c:numRef>
          </c:val>
          <c:extLst>
            <c:ext xmlns:c16="http://schemas.microsoft.com/office/drawing/2014/chart" uri="{C3380CC4-5D6E-409C-BE32-E72D297353CC}">
              <c16:uniqueId val="{00000002-4EC4-4A79-ABE4-EDC4CA6D2024}"/>
            </c:ext>
          </c:extLst>
        </c:ser>
        <c:dLbls>
          <c:dLblPos val="inEnd"/>
          <c:showLegendKey val="0"/>
          <c:showVal val="1"/>
          <c:showCatName val="0"/>
          <c:showSerName val="0"/>
          <c:showPercent val="0"/>
          <c:showBubbleSize val="0"/>
        </c:dLbls>
        <c:gapWidth val="66"/>
        <c:axId val="293120640"/>
        <c:axId val="293147008"/>
      </c:barChart>
      <c:catAx>
        <c:axId val="29312064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3147008"/>
        <c:crosses val="autoZero"/>
        <c:auto val="1"/>
        <c:lblAlgn val="ctr"/>
        <c:lblOffset val="100"/>
        <c:noMultiLvlLbl val="0"/>
      </c:catAx>
      <c:valAx>
        <c:axId val="293147008"/>
        <c:scaling>
          <c:orientation val="minMax"/>
        </c:scaling>
        <c:delete val="0"/>
        <c:axPos val="l"/>
        <c:majorGridlines>
          <c:spPr>
            <a:ln w="6350" cap="flat" cmpd="sng" algn="ctr">
              <a:noFill/>
              <a:prstDash val="solid"/>
              <a:round/>
            </a:ln>
            <a:effectLst/>
          </c:spPr>
        </c:majorGridlines>
        <c:title>
          <c:tx>
            <c:rich>
              <a:bodyPr rot="0"/>
              <a:lstStyle/>
              <a:p>
                <a:pPr algn="l">
                  <a:defRPr b="0"/>
                </a:pPr>
                <a:r>
                  <a:rPr lang="en-NZ" b="0"/>
                  <a:t>Percent subject to order</a:t>
                </a:r>
              </a:p>
            </c:rich>
          </c:tx>
          <c:layout>
            <c:manualLayout>
              <c:xMode val="edge"/>
              <c:yMode val="edge"/>
              <c:x val="0"/>
              <c:y val="3.5285063051331347E-4"/>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3120640"/>
        <c:crosses val="autoZero"/>
        <c:crossBetween val="between"/>
      </c:valAx>
      <c:spPr>
        <a:solidFill>
          <a:schemeClr val="bg1"/>
        </a:solidFill>
        <a:ln>
          <a:noFill/>
        </a:ln>
        <a:effectLst/>
      </c:spPr>
    </c:plotArea>
    <c:legend>
      <c:legendPos val="r"/>
      <c:layout>
        <c:manualLayout>
          <c:xMode val="edge"/>
          <c:yMode val="edge"/>
          <c:x val="0.69477809807002822"/>
          <c:y val="3.1332832512543708E-3"/>
          <c:w val="0.17695267473009174"/>
          <c:h val="0.2719235095613048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2483219954253E-2"/>
          <c:y val="0.11943724776338444"/>
          <c:w val="0.94236335625341316"/>
          <c:h val="0.54590940648547959"/>
        </c:manualLayout>
      </c:layout>
      <c:lineChart>
        <c:grouping val="standard"/>
        <c:varyColors val="0"/>
        <c:ser>
          <c:idx val="0"/>
          <c:order val="0"/>
          <c:tx>
            <c:v>Māori to non-Māori rate ratio</c:v>
          </c:tx>
          <c:spPr>
            <a:ln w="19050" cap="rnd" cmpd="sng" algn="ctr">
              <a:noFill/>
              <a:prstDash val="solid"/>
              <a:round/>
            </a:ln>
            <a:effectLst/>
          </c:spPr>
          <c:marker>
            <c:spPr>
              <a:solidFill>
                <a:schemeClr val="accent1"/>
              </a:solidFill>
              <a:ln w="6350" cap="flat" cmpd="sng" algn="ctr">
                <a:solidFill>
                  <a:schemeClr val="accent1"/>
                </a:solidFill>
                <a:prstDash val="solid"/>
                <a:round/>
              </a:ln>
              <a:effectLst/>
            </c:spPr>
          </c:marker>
          <c:errBars>
            <c:errDir val="y"/>
            <c:errBarType val="both"/>
            <c:errValType val="cust"/>
            <c:noEndCap val="0"/>
            <c:plus>
              <c:numRef>
                <c:f>'Error bars'!$O$458:$O$477</c:f>
                <c:numCache>
                  <c:formatCode>General</c:formatCode>
                  <c:ptCount val="20"/>
                  <c:pt idx="0">
                    <c:v>0.97101872052587268</c:v>
                  </c:pt>
                  <c:pt idx="1">
                    <c:v>1.5808182725686213</c:v>
                  </c:pt>
                  <c:pt idx="2">
                    <c:v>0.93463137193442325</c:v>
                  </c:pt>
                  <c:pt idx="3">
                    <c:v>0.89777306363373777</c:v>
                  </c:pt>
                  <c:pt idx="4">
                    <c:v>0.85590612857294968</c:v>
                  </c:pt>
                  <c:pt idx="5">
                    <c:v>1.2478754559108998</c:v>
                  </c:pt>
                  <c:pt idx="6">
                    <c:v>1.360691927586914</c:v>
                  </c:pt>
                  <c:pt idx="7">
                    <c:v>1.668635464529149</c:v>
                  </c:pt>
                  <c:pt idx="8">
                    <c:v>1.3238394100009119</c:v>
                  </c:pt>
                  <c:pt idx="9">
                    <c:v>1.5136332342575889</c:v>
                  </c:pt>
                  <c:pt idx="10">
                    <c:v>0.88876353884504811</c:v>
                  </c:pt>
                  <c:pt idx="11">
                    <c:v>2.9177472946466616</c:v>
                  </c:pt>
                  <c:pt idx="12">
                    <c:v>1.2864815527351081</c:v>
                  </c:pt>
                  <c:pt idx="13">
                    <c:v>3.2064121436873783</c:v>
                  </c:pt>
                  <c:pt idx="14">
                    <c:v>1.7631624882355181</c:v>
                  </c:pt>
                  <c:pt idx="15">
                    <c:v>0.84717117764203742</c:v>
                  </c:pt>
                  <c:pt idx="16">
                    <c:v>4.2463435889356589</c:v>
                  </c:pt>
                  <c:pt idx="17">
                    <c:v>0.90586685182975391</c:v>
                  </c:pt>
                  <c:pt idx="18">
                    <c:v>4.9929713627357142</c:v>
                  </c:pt>
                  <c:pt idx="19">
                    <c:v>1.4198934147302928</c:v>
                  </c:pt>
                </c:numCache>
              </c:numRef>
            </c:plus>
            <c:minus>
              <c:numRef>
                <c:f>'Error bars'!$N$458:$N$477</c:f>
                <c:numCache>
                  <c:formatCode>General</c:formatCode>
                  <c:ptCount val="20"/>
                  <c:pt idx="0">
                    <c:v>0.7912595758368659</c:v>
                  </c:pt>
                  <c:pt idx="1">
                    <c:v>1.1225160741519997</c:v>
                  </c:pt>
                  <c:pt idx="2">
                    <c:v>0.73443453141430215</c:v>
                  </c:pt>
                  <c:pt idx="3">
                    <c:v>0.72521285156907078</c:v>
                  </c:pt>
                  <c:pt idx="4">
                    <c:v>0.70908628255198058</c:v>
                  </c:pt>
                  <c:pt idx="5">
                    <c:v>0.94724006812534389</c:v>
                  </c:pt>
                  <c:pt idx="6">
                    <c:v>0.97420211839573723</c:v>
                  </c:pt>
                  <c:pt idx="7">
                    <c:v>1.0973580760783701</c:v>
                  </c:pt>
                  <c:pt idx="8">
                    <c:v>0.9774485332847056</c:v>
                  </c:pt>
                  <c:pt idx="9">
                    <c:v>0.96627277932088984</c:v>
                  </c:pt>
                  <c:pt idx="10">
                    <c:v>0.70315410180442317</c:v>
                  </c:pt>
                  <c:pt idx="11">
                    <c:v>1.2461308433884561</c:v>
                  </c:pt>
                  <c:pt idx="12">
                    <c:v>0.93290866505318482</c:v>
                  </c:pt>
                  <c:pt idx="13">
                    <c:v>1.5020772524492121</c:v>
                  </c:pt>
                  <c:pt idx="14">
                    <c:v>1.173242678930499</c:v>
                  </c:pt>
                  <c:pt idx="15">
                    <c:v>0.71121163022576406</c:v>
                  </c:pt>
                  <c:pt idx="16">
                    <c:v>2.1711849977254873</c:v>
                  </c:pt>
                  <c:pt idx="17">
                    <c:v>0.74483939967579804</c:v>
                  </c:pt>
                  <c:pt idx="18">
                    <c:v>1.9241753139150166</c:v>
                  </c:pt>
                  <c:pt idx="19">
                    <c:v>0.91674006241988981</c:v>
                  </c:pt>
                </c:numCache>
              </c:numRef>
            </c:minus>
            <c:spPr>
              <a:solidFill>
                <a:schemeClr val="tx1"/>
              </a:solidFill>
              <a:ln w="6350" cap="flat" cmpd="sng" algn="ctr">
                <a:solidFill>
                  <a:schemeClr val="tx1"/>
                </a:solidFill>
                <a:prstDash val="solid"/>
                <a:round/>
              </a:ln>
              <a:effectLst/>
            </c:spPr>
          </c:errBars>
          <c:cat>
            <c:strRef>
              <c:f>'Error bars'!$B$603:$B$622</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bars'!$K$603:$K$622</c:f>
              <c:numCache>
                <c:formatCode>_-* #,##0.0_-;\-* #,##0.0_-;_-* "-"??_-;_-@_-</c:formatCode>
                <c:ptCount val="20"/>
                <c:pt idx="0">
                  <c:v>3.3446352085807867</c:v>
                </c:pt>
                <c:pt idx="1">
                  <c:v>4.4631543714017949</c:v>
                </c:pt>
                <c:pt idx="2">
                  <c:v>2.5815918434864722</c:v>
                </c:pt>
                <c:pt idx="3">
                  <c:v>2.6813519736479714</c:v>
                </c:pt>
                <c:pt idx="4">
                  <c:v>3.5284921266043558</c:v>
                </c:pt>
                <c:pt idx="5">
                  <c:v>4.5721581715210355</c:v>
                </c:pt>
                <c:pt idx="6">
                  <c:v>3.1547671353251316</c:v>
                </c:pt>
                <c:pt idx="7">
                  <c:v>2.9279011215381092</c:v>
                </c:pt>
                <c:pt idx="8">
                  <c:v>2.9934586559283041</c:v>
                </c:pt>
                <c:pt idx="9">
                  <c:v>2.39397458909654</c:v>
                </c:pt>
                <c:pt idx="10">
                  <c:v>3.2336673408101979</c:v>
                </c:pt>
                <c:pt idx="11">
                  <c:v>2.3222416812609459</c:v>
                </c:pt>
                <c:pt idx="12">
                  <c:v>2.4081314849608151</c:v>
                </c:pt>
                <c:pt idx="13">
                  <c:v>1.5036525810227226</c:v>
                </c:pt>
                <c:pt idx="14">
                  <c:v>2.9056331953071082</c:v>
                </c:pt>
                <c:pt idx="15">
                  <c:v>4.2919172225876165</c:v>
                </c:pt>
                <c:pt idx="16">
                  <c:v>3.7784168956043955</c:v>
                </c:pt>
                <c:pt idx="17">
                  <c:v>3.2857620697085776</c:v>
                </c:pt>
                <c:pt idx="18">
                  <c:v>1.5635511441963057</c:v>
                </c:pt>
                <c:pt idx="19">
                  <c:v>1.9967013888888887</c:v>
                </c:pt>
              </c:numCache>
            </c:numRef>
          </c:val>
          <c:smooth val="0"/>
          <c:extLst>
            <c:ext xmlns:c16="http://schemas.microsoft.com/office/drawing/2014/chart" uri="{C3380CC4-5D6E-409C-BE32-E72D297353CC}">
              <c16:uniqueId val="{00000000-6B3D-4ABE-9108-A0F912BF0C9E}"/>
            </c:ext>
          </c:extLst>
        </c:ser>
        <c:ser>
          <c:idx val="1"/>
          <c:order val="1"/>
          <c:tx>
            <c:v>National average</c:v>
          </c:tx>
          <c:spPr>
            <a:ln w="19050" cap="rnd" cmpd="sng" algn="ctr">
              <a:solidFill>
                <a:schemeClr val="accent6"/>
              </a:solidFill>
              <a:prstDash val="solid"/>
              <a:round/>
            </a:ln>
            <a:effectLst/>
          </c:spPr>
          <c:marker>
            <c:symbol val="none"/>
          </c:marker>
          <c:cat>
            <c:strRef>
              <c:f>'Error bars'!$B$603:$B$622</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bars'!$P$603:$P$622</c:f>
              <c:numCache>
                <c:formatCode>0.0</c:formatCode>
                <c:ptCount val="20"/>
                <c:pt idx="0">
                  <c:v>2.9066308809696464</c:v>
                </c:pt>
                <c:pt idx="1">
                  <c:v>2.9066308809696464</c:v>
                </c:pt>
                <c:pt idx="2">
                  <c:v>2.9066308809696464</c:v>
                </c:pt>
                <c:pt idx="3">
                  <c:v>2.9066308809696464</c:v>
                </c:pt>
                <c:pt idx="4">
                  <c:v>2.9066308809696464</c:v>
                </c:pt>
                <c:pt idx="5">
                  <c:v>2.9066308809696464</c:v>
                </c:pt>
                <c:pt idx="6">
                  <c:v>2.9066308809696464</c:v>
                </c:pt>
                <c:pt idx="7">
                  <c:v>2.9066308809696464</c:v>
                </c:pt>
                <c:pt idx="8">
                  <c:v>2.9066308809696464</c:v>
                </c:pt>
                <c:pt idx="9">
                  <c:v>2.9066308809696464</c:v>
                </c:pt>
                <c:pt idx="10">
                  <c:v>2.9066308809696464</c:v>
                </c:pt>
                <c:pt idx="11">
                  <c:v>2.9066308809696464</c:v>
                </c:pt>
                <c:pt idx="12">
                  <c:v>2.9066308809696464</c:v>
                </c:pt>
                <c:pt idx="13">
                  <c:v>2.9066308809696464</c:v>
                </c:pt>
                <c:pt idx="14">
                  <c:v>2.9066308809696464</c:v>
                </c:pt>
                <c:pt idx="15">
                  <c:v>2.9066308809696464</c:v>
                </c:pt>
                <c:pt idx="16">
                  <c:v>2.9066308809696464</c:v>
                </c:pt>
                <c:pt idx="17">
                  <c:v>2.9066308809696464</c:v>
                </c:pt>
                <c:pt idx="18">
                  <c:v>2.9066308809696464</c:v>
                </c:pt>
                <c:pt idx="19">
                  <c:v>2.9066308809696464</c:v>
                </c:pt>
              </c:numCache>
            </c:numRef>
          </c:val>
          <c:smooth val="0"/>
          <c:extLst>
            <c:ext xmlns:c16="http://schemas.microsoft.com/office/drawing/2014/chart" uri="{C3380CC4-5D6E-409C-BE32-E72D297353CC}">
              <c16:uniqueId val="{00000001-6B3D-4ABE-9108-A0F912BF0C9E}"/>
            </c:ext>
          </c:extLst>
        </c:ser>
        <c:ser>
          <c:idx val="2"/>
          <c:order val="2"/>
          <c:tx>
            <c:v>No difference (1:1)</c:v>
          </c:tx>
          <c:spPr>
            <a:ln w="19050" cap="rnd" cmpd="sng" algn="ctr">
              <a:solidFill>
                <a:schemeClr val="accent4"/>
              </a:solidFill>
              <a:prstDash val="solid"/>
              <a:round/>
            </a:ln>
            <a:effectLst/>
          </c:spPr>
          <c:marker>
            <c:symbol val="none"/>
          </c:marker>
          <c:cat>
            <c:strRef>
              <c:f>'Error bars'!$B$603:$B$622</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bars'!$Q$603:$Q$622</c:f>
              <c:numCache>
                <c:formatCode>0.0</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smooth val="0"/>
          <c:extLst>
            <c:ext xmlns:c16="http://schemas.microsoft.com/office/drawing/2014/chart" uri="{C3380CC4-5D6E-409C-BE32-E72D297353CC}">
              <c16:uniqueId val="{00000002-6B3D-4ABE-9108-A0F912BF0C9E}"/>
            </c:ext>
          </c:extLst>
        </c:ser>
        <c:dLbls>
          <c:showLegendKey val="0"/>
          <c:showVal val="0"/>
          <c:showCatName val="0"/>
          <c:showSerName val="0"/>
          <c:showPercent val="0"/>
          <c:showBubbleSize val="0"/>
        </c:dLbls>
        <c:marker val="1"/>
        <c:smooth val="0"/>
        <c:axId val="293179392"/>
        <c:axId val="293181312"/>
      </c:lineChart>
      <c:catAx>
        <c:axId val="293179392"/>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0"/>
        <c:majorTickMark val="out"/>
        <c:minorTickMark val="none"/>
        <c:tickLblPos val="low"/>
        <c:spPr>
          <a:noFill/>
          <a:ln w="6350" cap="flat" cmpd="sng" algn="ctr">
            <a:solidFill>
              <a:schemeClr val="tx1">
                <a:tint val="75000"/>
              </a:schemeClr>
            </a:solidFill>
            <a:prstDash val="solid"/>
            <a:round/>
          </a:ln>
          <a:effectLst/>
        </c:spPr>
        <c:txPr>
          <a:bodyPr rot="-5400000"/>
          <a:lstStyle/>
          <a:p>
            <a:pPr>
              <a:defRPr/>
            </a:pPr>
            <a:endParaRPr lang="en-US"/>
          </a:p>
        </c:txPr>
        <c:crossAx val="293181312"/>
        <c:crosses val="autoZero"/>
        <c:auto val="1"/>
        <c:lblAlgn val="ctr"/>
        <c:lblOffset val="100"/>
        <c:noMultiLvlLbl val="0"/>
      </c:catAx>
      <c:valAx>
        <c:axId val="293181312"/>
        <c:scaling>
          <c:orientation val="minMax"/>
          <c:max val="10"/>
          <c:min val="-1"/>
        </c:scaling>
        <c:delete val="0"/>
        <c:axPos val="l"/>
        <c:title>
          <c:tx>
            <c:rich>
              <a:bodyPr rot="0"/>
              <a:lstStyle/>
              <a:p>
                <a:pPr algn="l">
                  <a:defRPr b="0"/>
                </a:pPr>
                <a:r>
                  <a:rPr lang="en-NZ" b="0"/>
                  <a:t>Rate ratio of Māori to non-Māori</a:t>
                </a:r>
              </a:p>
            </c:rich>
          </c:tx>
          <c:layout>
            <c:manualLayout>
              <c:xMode val="edge"/>
              <c:yMode val="edge"/>
              <c:x val="0"/>
              <c:y val="2.4099003753563007E-3"/>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3179392"/>
        <c:crossesAt val="0"/>
        <c:crossBetween val="between"/>
        <c:majorUnit val="1"/>
      </c:valAx>
      <c:spPr>
        <a:solidFill>
          <a:schemeClr val="bg1"/>
        </a:solidFill>
        <a:ln>
          <a:noFill/>
        </a:ln>
        <a:effectLst/>
      </c:spPr>
    </c:plotArea>
    <c:legend>
      <c:legendPos val="tr"/>
      <c:layout>
        <c:manualLayout>
          <c:xMode val="edge"/>
          <c:yMode val="edge"/>
          <c:x val="0.51241155957461426"/>
          <c:y val="2.2979713742678716E-2"/>
          <c:w val="0.470553046844709"/>
          <c:h val="0.1420319873808877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015878887064664E-2"/>
          <c:y val="0.12008289947363139"/>
          <c:w val="0.94036266184652906"/>
          <c:h val="0.59972433773647138"/>
        </c:manualLayout>
      </c:layout>
      <c:lineChart>
        <c:grouping val="standard"/>
        <c:varyColors val="0"/>
        <c:ser>
          <c:idx val="0"/>
          <c:order val="0"/>
          <c:tx>
            <c:v>Māori to non-Māori rate ratio</c:v>
          </c:tx>
          <c:spPr>
            <a:ln w="19050" cap="rnd" cmpd="sng" algn="ctr">
              <a:noFill/>
              <a:prstDash val="solid"/>
              <a:round/>
            </a:ln>
            <a:effectLst/>
          </c:spPr>
          <c:marker>
            <c:spPr>
              <a:solidFill>
                <a:schemeClr val="accent1"/>
              </a:solidFill>
              <a:ln w="6350" cap="flat" cmpd="sng" algn="ctr">
                <a:solidFill>
                  <a:schemeClr val="accent1"/>
                </a:solidFill>
                <a:prstDash val="solid"/>
                <a:round/>
              </a:ln>
              <a:effectLst/>
            </c:spPr>
          </c:marker>
          <c:errBars>
            <c:errDir val="y"/>
            <c:errBarType val="both"/>
            <c:errValType val="cust"/>
            <c:noEndCap val="0"/>
            <c:plus>
              <c:numRef>
                <c:f>'Error bars'!$O$458:$O$477</c:f>
                <c:numCache>
                  <c:formatCode>General</c:formatCode>
                  <c:ptCount val="12"/>
                  <c:pt idx="0">
                    <c:v>0.97101872052587268</c:v>
                  </c:pt>
                  <c:pt idx="1">
                    <c:v>1.5808182725686213</c:v>
                  </c:pt>
                  <c:pt idx="2">
                    <c:v>0.93463137193442325</c:v>
                  </c:pt>
                  <c:pt idx="3">
                    <c:v>0.89777306363373777</c:v>
                  </c:pt>
                  <c:pt idx="4">
                    <c:v>0.85590612857294968</c:v>
                  </c:pt>
                  <c:pt idx="5">
                    <c:v>1.2478754559108998</c:v>
                  </c:pt>
                  <c:pt idx="6">
                    <c:v>1.360691927586914</c:v>
                  </c:pt>
                  <c:pt idx="7">
                    <c:v>1.3238394100009119</c:v>
                  </c:pt>
                  <c:pt idx="8">
                    <c:v>1.2864815527351081</c:v>
                  </c:pt>
                  <c:pt idx="9">
                    <c:v>0.84717117764203742</c:v>
                  </c:pt>
                  <c:pt idx="10">
                    <c:v>0.90586685182975391</c:v>
                  </c:pt>
                  <c:pt idx="11">
                    <c:v>1.4198934147302928</c:v>
                  </c:pt>
                </c:numCache>
              </c:numRef>
            </c:plus>
            <c:minus>
              <c:numRef>
                <c:f>'Error bars'!$N$458:$N$477</c:f>
                <c:numCache>
                  <c:formatCode>General</c:formatCode>
                  <c:ptCount val="12"/>
                  <c:pt idx="0">
                    <c:v>0.7912595758368659</c:v>
                  </c:pt>
                  <c:pt idx="1">
                    <c:v>1.1225160741519997</c:v>
                  </c:pt>
                  <c:pt idx="2">
                    <c:v>0.73443453141430215</c:v>
                  </c:pt>
                  <c:pt idx="3">
                    <c:v>0.72521285156907078</c:v>
                  </c:pt>
                  <c:pt idx="4">
                    <c:v>0.70908628255198058</c:v>
                  </c:pt>
                  <c:pt idx="5">
                    <c:v>0.94724006812534389</c:v>
                  </c:pt>
                  <c:pt idx="6">
                    <c:v>0.97420211839573723</c:v>
                  </c:pt>
                  <c:pt idx="7">
                    <c:v>0.9774485332847056</c:v>
                  </c:pt>
                  <c:pt idx="8">
                    <c:v>0.93290866505318482</c:v>
                  </c:pt>
                  <c:pt idx="9">
                    <c:v>0.71121163022576406</c:v>
                  </c:pt>
                  <c:pt idx="10">
                    <c:v>0.74483939967579804</c:v>
                  </c:pt>
                  <c:pt idx="11">
                    <c:v>0.91674006241988981</c:v>
                  </c:pt>
                </c:numCache>
              </c:numRef>
            </c:minus>
            <c:spPr>
              <a:solidFill>
                <a:schemeClr val="tx1"/>
              </a:solidFill>
              <a:ln w="6350" cap="flat" cmpd="sng" algn="ctr">
                <a:solidFill>
                  <a:schemeClr val="tx1"/>
                </a:solidFill>
                <a:prstDash val="solid"/>
                <a:round/>
              </a:ln>
              <a:effectLst/>
            </c:spPr>
          </c:errBars>
          <c:cat>
            <c:strRef>
              <c:f>'Error bars'!$B$640:$B$659</c:f>
              <c:strCache>
                <c:ptCount val="12"/>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strCache>
            </c:strRef>
          </c:cat>
          <c:val>
            <c:numRef>
              <c:f>'Error bars'!$K$640:$K$659</c:f>
              <c:numCache>
                <c:formatCode>_-* #,##0.0_-;\-* #,##0.0_-;_-* "-"??_-;_-@_-</c:formatCode>
                <c:ptCount val="12"/>
                <c:pt idx="0">
                  <c:v>2.8220359572400389</c:v>
                </c:pt>
                <c:pt idx="1">
                  <c:v>11.551693667157586</c:v>
                </c:pt>
                <c:pt idx="2">
                  <c:v>2.1526586269732393</c:v>
                </c:pt>
                <c:pt idx="3">
                  <c:v>6.0292259749010366</c:v>
                </c:pt>
                <c:pt idx="4">
                  <c:v>1.7258928880130002</c:v>
                </c:pt>
                <c:pt idx="5">
                  <c:v>2.6126618122977345</c:v>
                </c:pt>
                <c:pt idx="6">
                  <c:v>2.2943760984182777</c:v>
                </c:pt>
                <c:pt idx="7">
                  <c:v>2.476070740088844</c:v>
                </c:pt>
                <c:pt idx="8">
                  <c:v>0.63704791628419311</c:v>
                </c:pt>
                <c:pt idx="9">
                  <c:v>8.3237182498668929</c:v>
                </c:pt>
                <c:pt idx="10">
                  <c:v>2.977239809642044</c:v>
                </c:pt>
                <c:pt idx="11">
                  <c:v>1.5403125</c:v>
                </c:pt>
              </c:numCache>
            </c:numRef>
          </c:val>
          <c:smooth val="0"/>
          <c:extLst>
            <c:ext xmlns:c16="http://schemas.microsoft.com/office/drawing/2014/chart" uri="{C3380CC4-5D6E-409C-BE32-E72D297353CC}">
              <c16:uniqueId val="{00000000-607F-462A-A050-EAA4923BD626}"/>
            </c:ext>
          </c:extLst>
        </c:ser>
        <c:ser>
          <c:idx val="1"/>
          <c:order val="1"/>
          <c:tx>
            <c:v>National average</c:v>
          </c:tx>
          <c:spPr>
            <a:ln w="19050" cap="rnd" cmpd="sng" algn="ctr">
              <a:solidFill>
                <a:schemeClr val="accent6"/>
              </a:solidFill>
              <a:prstDash val="solid"/>
              <a:round/>
            </a:ln>
            <a:effectLst/>
          </c:spPr>
          <c:marker>
            <c:symbol val="none"/>
          </c:marker>
          <c:cat>
            <c:strRef>
              <c:f>'Error bars'!$B$640:$B$659</c:f>
              <c:strCache>
                <c:ptCount val="12"/>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strCache>
            </c:strRef>
          </c:cat>
          <c:val>
            <c:numRef>
              <c:f>'Error bars'!$P$640:$P$659</c:f>
              <c:numCache>
                <c:formatCode>0.0</c:formatCode>
                <c:ptCount val="12"/>
                <c:pt idx="0">
                  <c:v>2.900842894258846</c:v>
                </c:pt>
                <c:pt idx="1">
                  <c:v>2.900842894258846</c:v>
                </c:pt>
                <c:pt idx="2">
                  <c:v>2.900842894258846</c:v>
                </c:pt>
                <c:pt idx="3">
                  <c:v>2.900842894258846</c:v>
                </c:pt>
                <c:pt idx="4">
                  <c:v>2.900842894258846</c:v>
                </c:pt>
                <c:pt idx="5">
                  <c:v>2.900842894258846</c:v>
                </c:pt>
                <c:pt idx="6">
                  <c:v>2.900842894258846</c:v>
                </c:pt>
                <c:pt idx="7">
                  <c:v>2.900842894258846</c:v>
                </c:pt>
                <c:pt idx="8">
                  <c:v>2.900842894258846</c:v>
                </c:pt>
                <c:pt idx="9">
                  <c:v>2.900842894258846</c:v>
                </c:pt>
                <c:pt idx="10">
                  <c:v>2.900842894258846</c:v>
                </c:pt>
                <c:pt idx="11">
                  <c:v>2.900842894258846</c:v>
                </c:pt>
              </c:numCache>
            </c:numRef>
          </c:val>
          <c:smooth val="0"/>
          <c:extLst>
            <c:ext xmlns:c16="http://schemas.microsoft.com/office/drawing/2014/chart" uri="{C3380CC4-5D6E-409C-BE32-E72D297353CC}">
              <c16:uniqueId val="{00000001-607F-462A-A050-EAA4923BD626}"/>
            </c:ext>
          </c:extLst>
        </c:ser>
        <c:ser>
          <c:idx val="2"/>
          <c:order val="2"/>
          <c:tx>
            <c:v>No difference (1:1)</c:v>
          </c:tx>
          <c:spPr>
            <a:ln w="19050" cap="rnd" cmpd="sng" algn="ctr">
              <a:solidFill>
                <a:schemeClr val="accent4"/>
              </a:solidFill>
              <a:prstDash val="solid"/>
              <a:round/>
            </a:ln>
            <a:effectLst/>
          </c:spPr>
          <c:marker>
            <c:symbol val="none"/>
          </c:marker>
          <c:cat>
            <c:strRef>
              <c:f>'Error bars'!$B$640:$B$659</c:f>
              <c:strCache>
                <c:ptCount val="12"/>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strCache>
            </c:strRef>
          </c:cat>
          <c:val>
            <c:numRef>
              <c:f>'Error bars'!$Q$640:$Q$659</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extLst>
            <c:ext xmlns:c16="http://schemas.microsoft.com/office/drawing/2014/chart" uri="{C3380CC4-5D6E-409C-BE32-E72D297353CC}">
              <c16:uniqueId val="{00000002-607F-462A-A050-EAA4923BD626}"/>
            </c:ext>
          </c:extLst>
        </c:ser>
        <c:dLbls>
          <c:showLegendKey val="0"/>
          <c:showVal val="0"/>
          <c:showCatName val="0"/>
          <c:showSerName val="0"/>
          <c:showPercent val="0"/>
          <c:showBubbleSize val="0"/>
        </c:dLbls>
        <c:marker val="1"/>
        <c:smooth val="0"/>
        <c:axId val="293356672"/>
        <c:axId val="293358592"/>
      </c:lineChart>
      <c:catAx>
        <c:axId val="293356672"/>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0"/>
        <c:majorTickMark val="out"/>
        <c:minorTickMark val="none"/>
        <c:tickLblPos val="low"/>
        <c:spPr>
          <a:noFill/>
          <a:ln w="6350" cap="flat" cmpd="sng" algn="ctr">
            <a:solidFill>
              <a:schemeClr val="tx1">
                <a:tint val="75000"/>
              </a:schemeClr>
            </a:solidFill>
            <a:prstDash val="solid"/>
            <a:round/>
          </a:ln>
          <a:effectLst/>
        </c:spPr>
        <c:txPr>
          <a:bodyPr rot="-5400000"/>
          <a:lstStyle/>
          <a:p>
            <a:pPr>
              <a:defRPr/>
            </a:pPr>
            <a:endParaRPr lang="en-US"/>
          </a:p>
        </c:txPr>
        <c:crossAx val="293358592"/>
        <c:crosses val="autoZero"/>
        <c:auto val="1"/>
        <c:lblAlgn val="ctr"/>
        <c:lblOffset val="100"/>
        <c:noMultiLvlLbl val="0"/>
      </c:catAx>
      <c:valAx>
        <c:axId val="293358592"/>
        <c:scaling>
          <c:orientation val="minMax"/>
          <c:min val="-2"/>
        </c:scaling>
        <c:delete val="0"/>
        <c:axPos val="l"/>
        <c:title>
          <c:tx>
            <c:rich>
              <a:bodyPr rot="0"/>
              <a:lstStyle/>
              <a:p>
                <a:pPr algn="l">
                  <a:defRPr b="0"/>
                </a:pPr>
                <a:r>
                  <a:rPr lang="en-NZ" b="0"/>
                  <a:t>Rate ratio of Māori to non-Māori</a:t>
                </a:r>
              </a:p>
            </c:rich>
          </c:tx>
          <c:layout>
            <c:manualLayout>
              <c:xMode val="edge"/>
              <c:yMode val="edge"/>
              <c:x val="0"/>
              <c:y val="1.7273813535953798E-3"/>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3356672"/>
        <c:crosses val="autoZero"/>
        <c:crossBetween val="between"/>
      </c:valAx>
      <c:spPr>
        <a:solidFill>
          <a:schemeClr val="bg1"/>
        </a:solidFill>
        <a:ln>
          <a:noFill/>
        </a:ln>
        <a:effectLst/>
      </c:spPr>
    </c:plotArea>
    <c:legend>
      <c:legendPos val="tr"/>
      <c:layout>
        <c:manualLayout>
          <c:xMode val="edge"/>
          <c:yMode val="edge"/>
          <c:x val="0.541542650516325"/>
          <c:y val="2.3346303501945526E-2"/>
          <c:w val="0.44516257356242489"/>
          <c:h val="0.1643919850485615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08863315162521E-2"/>
          <c:y val="0.11072664359861592"/>
          <c:w val="0.89660152804786042"/>
          <c:h val="0.73516351978494032"/>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'2020'!$K$69:$K$72</c:f>
              <c:strCache>
                <c:ptCount val="4"/>
                <c:pt idx="0">
                  <c:v>Section 10</c:v>
                </c:pt>
                <c:pt idx="1">
                  <c:v>Section 12</c:v>
                </c:pt>
                <c:pt idx="2">
                  <c:v>Section 14</c:v>
                </c:pt>
                <c:pt idx="3">
                  <c:v>Section 76</c:v>
                </c:pt>
              </c:strCache>
            </c:strRef>
          </c:cat>
          <c:val>
            <c:numRef>
              <c:f>'2020'!$L$69:$L$72</c:f>
              <c:numCache>
                <c:formatCode>0%</c:formatCode>
                <c:ptCount val="4"/>
                <c:pt idx="0">
                  <c:v>0.7</c:v>
                </c:pt>
                <c:pt idx="1">
                  <c:v>0.68</c:v>
                </c:pt>
                <c:pt idx="2">
                  <c:v>0.73</c:v>
                </c:pt>
                <c:pt idx="3">
                  <c:v>0.59</c:v>
                </c:pt>
              </c:numCache>
            </c:numRef>
          </c:val>
          <c:extLst>
            <c:ext xmlns:c16="http://schemas.microsoft.com/office/drawing/2014/chart" uri="{C3380CC4-5D6E-409C-BE32-E72D297353CC}">
              <c16:uniqueId val="{00000000-86F8-46AE-B6A3-5BA0CFE4FCAA}"/>
            </c:ext>
          </c:extLst>
        </c:ser>
        <c:dLbls>
          <c:showLegendKey val="0"/>
          <c:showVal val="0"/>
          <c:showCatName val="0"/>
          <c:showSerName val="0"/>
          <c:showPercent val="0"/>
          <c:showBubbleSize val="0"/>
        </c:dLbls>
        <c:gapWidth val="101"/>
        <c:overlap val="-27"/>
        <c:axId val="298991616"/>
        <c:axId val="298993536"/>
      </c:barChart>
      <c:catAx>
        <c:axId val="298991616"/>
        <c:scaling>
          <c:orientation val="minMax"/>
        </c:scaling>
        <c:delete val="0"/>
        <c:axPos val="b"/>
        <c:title>
          <c:tx>
            <c:rich>
              <a:bodyPr rot="0" vert="horz"/>
              <a:lstStyle/>
              <a:p>
                <a:pPr>
                  <a:defRPr b="0"/>
                </a:pPr>
                <a:r>
                  <a:rPr lang="en-NZ" b="0"/>
                  <a:t>Assessment or treatment phase</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98993536"/>
        <c:crosses val="autoZero"/>
        <c:auto val="1"/>
        <c:lblAlgn val="ctr"/>
        <c:lblOffset val="100"/>
        <c:noMultiLvlLbl val="0"/>
      </c:catAx>
      <c:valAx>
        <c:axId val="298993536"/>
        <c:scaling>
          <c:orientation val="minMax"/>
        </c:scaling>
        <c:delete val="0"/>
        <c:axPos val="l"/>
        <c:title>
          <c:tx>
            <c:rich>
              <a:bodyPr rot="0"/>
              <a:lstStyle/>
              <a:p>
                <a:pPr>
                  <a:defRPr b="0"/>
                </a:pPr>
                <a:r>
                  <a:rPr lang="en-NZ" b="0"/>
                  <a:t>Percentage</a:t>
                </a:r>
              </a:p>
            </c:rich>
          </c:tx>
          <c:layout>
            <c:manualLayout>
              <c:xMode val="edge"/>
              <c:yMode val="edge"/>
              <c:x val="6.7625150095104735E-4"/>
              <c:y val="5.3437956933583876E-4"/>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298991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399216711375952E-2"/>
          <c:y val="7.3370018342504589E-2"/>
          <c:w val="0.93660085592749187"/>
          <c:h val="0.58998265536967964"/>
        </c:manualLayout>
      </c:layout>
      <c:barChart>
        <c:barDir val="col"/>
        <c:grouping val="clustered"/>
        <c:varyColors val="0"/>
        <c:ser>
          <c:idx val="0"/>
          <c:order val="0"/>
          <c:tx>
            <c:strRef>
              <c:f>'2020'!$L$26</c:f>
              <c:strCache>
                <c:ptCount val="1"/>
                <c:pt idx="0">
                  <c:v>Consultation</c:v>
                </c:pt>
              </c:strCache>
            </c:strRef>
          </c:tx>
          <c:spPr>
            <a:solidFill>
              <a:schemeClr val="accent5"/>
            </a:solidFill>
            <a:ln>
              <a:noFill/>
            </a:ln>
            <a:effectLst/>
          </c:spPr>
          <c:invertIfNegative val="0"/>
          <c:dLbls>
            <c:spPr>
              <a:noFill/>
              <a:ln>
                <a:noFill/>
              </a:ln>
              <a:effectLst/>
            </c:spPr>
            <c:txPr>
              <a:bodyPr rot="0" vert="horz"/>
              <a:lstStyle/>
              <a:p>
                <a:pPr>
                  <a:defRPr sz="75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'2020'!$K$27:$K$45</c:f>
              <c:strCache>
                <c:ptCount val="19"/>
                <c:pt idx="0">
                  <c:v>Auckland</c:v>
                </c:pt>
                <c:pt idx="1">
                  <c:v>Bay of Plenty</c:v>
                </c:pt>
                <c:pt idx="2">
                  <c:v>Canterbury</c:v>
                </c:pt>
                <c:pt idx="3">
                  <c:v>Capital &amp; Coast</c:v>
                </c:pt>
                <c:pt idx="4">
                  <c:v>Counties Manukau</c:v>
                </c:pt>
                <c:pt idx="5">
                  <c:v>Hawke's Bay</c:v>
                </c:pt>
                <c:pt idx="6">
                  <c:v>Hutt Valley</c:v>
                </c:pt>
                <c:pt idx="7">
                  <c:v>Lakes</c:v>
                </c:pt>
                <c:pt idx="8">
                  <c:v>Nelson Marlborough</c:v>
                </c:pt>
                <c:pt idx="9">
                  <c:v>Northland</c:v>
                </c:pt>
                <c:pt idx="10">
                  <c:v>Tairāwhiti</c:v>
                </c:pt>
                <c:pt idx="11">
                  <c:v>Taranaki</c:v>
                </c:pt>
                <c:pt idx="12">
                  <c:v>South Canterbury</c:v>
                </c:pt>
                <c:pt idx="13">
                  <c:v>Southern</c:v>
                </c:pt>
                <c:pt idx="14">
                  <c:v>Waikato</c:v>
                </c:pt>
                <c:pt idx="15">
                  <c:v>Wairarapa</c:v>
                </c:pt>
                <c:pt idx="16">
                  <c:v>Waitematā</c:v>
                </c:pt>
                <c:pt idx="17">
                  <c:v>West Coast</c:v>
                </c:pt>
                <c:pt idx="18">
                  <c:v>Whanganui</c:v>
                </c:pt>
              </c:strCache>
            </c:strRef>
          </c:cat>
          <c:val>
            <c:numRef>
              <c:f>'2020'!$L$27:$L$45</c:f>
              <c:numCache>
                <c:formatCode>0%</c:formatCode>
                <c:ptCount val="19"/>
                <c:pt idx="0">
                  <c:v>0.66</c:v>
                </c:pt>
                <c:pt idx="1">
                  <c:v>0.69</c:v>
                </c:pt>
                <c:pt idx="2">
                  <c:v>0.7</c:v>
                </c:pt>
                <c:pt idx="3">
                  <c:v>0.66</c:v>
                </c:pt>
                <c:pt idx="4">
                  <c:v>0.77</c:v>
                </c:pt>
                <c:pt idx="5">
                  <c:v>0.78</c:v>
                </c:pt>
                <c:pt idx="6">
                  <c:v>0.69</c:v>
                </c:pt>
                <c:pt idx="7">
                  <c:v>0.62</c:v>
                </c:pt>
                <c:pt idx="8">
                  <c:v>0.77</c:v>
                </c:pt>
                <c:pt idx="9">
                  <c:v>0.49</c:v>
                </c:pt>
                <c:pt idx="10">
                  <c:v>0.85</c:v>
                </c:pt>
                <c:pt idx="11">
                  <c:v>0.73</c:v>
                </c:pt>
                <c:pt idx="12">
                  <c:v>0.78</c:v>
                </c:pt>
                <c:pt idx="13">
                  <c:v>0.72</c:v>
                </c:pt>
                <c:pt idx="14">
                  <c:v>0.56999999999999995</c:v>
                </c:pt>
                <c:pt idx="15">
                  <c:v>0.63</c:v>
                </c:pt>
                <c:pt idx="16">
                  <c:v>0.73</c:v>
                </c:pt>
                <c:pt idx="17">
                  <c:v>0.6</c:v>
                </c:pt>
                <c:pt idx="18">
                  <c:v>0.66</c:v>
                </c:pt>
              </c:numCache>
            </c:numRef>
          </c:val>
          <c:extLst>
            <c:ext xmlns:c16="http://schemas.microsoft.com/office/drawing/2014/chart" uri="{C3380CC4-5D6E-409C-BE32-E72D297353CC}">
              <c16:uniqueId val="{00000000-0893-4A32-8E79-0EBD72AC47D4}"/>
            </c:ext>
          </c:extLst>
        </c:ser>
        <c:dLbls>
          <c:dLblPos val="inEnd"/>
          <c:showLegendKey val="0"/>
          <c:showVal val="1"/>
          <c:showCatName val="0"/>
          <c:showSerName val="0"/>
          <c:showPercent val="0"/>
          <c:showBubbleSize val="0"/>
        </c:dLbls>
        <c:gapWidth val="42"/>
        <c:overlap val="-27"/>
        <c:axId val="299016960"/>
        <c:axId val="299018880"/>
      </c:barChart>
      <c:lineChart>
        <c:grouping val="standard"/>
        <c:varyColors val="0"/>
        <c:ser>
          <c:idx val="1"/>
          <c:order val="1"/>
          <c:tx>
            <c:strRef>
              <c:f>'2020'!$M$26</c:f>
              <c:strCache>
                <c:ptCount val="1"/>
                <c:pt idx="0">
                  <c:v>Average</c:v>
                </c:pt>
              </c:strCache>
            </c:strRef>
          </c:tx>
          <c:spPr>
            <a:ln w="31750" cap="rnd">
              <a:solidFill>
                <a:schemeClr val="accent6"/>
              </a:solidFill>
              <a:round/>
            </a:ln>
            <a:effectLst/>
          </c:spPr>
          <c:marker>
            <c:symbol val="none"/>
          </c:marker>
          <c:dLbls>
            <c:delete val="1"/>
          </c:dLbls>
          <c:cat>
            <c:strRef>
              <c:f>'2020'!$K$27:$K$45</c:f>
              <c:strCache>
                <c:ptCount val="19"/>
                <c:pt idx="0">
                  <c:v>Auckland</c:v>
                </c:pt>
                <c:pt idx="1">
                  <c:v>Bay of Plenty</c:v>
                </c:pt>
                <c:pt idx="2">
                  <c:v>Canterbury</c:v>
                </c:pt>
                <c:pt idx="3">
                  <c:v>Capital &amp; Coast</c:v>
                </c:pt>
                <c:pt idx="4">
                  <c:v>Counties Manukau</c:v>
                </c:pt>
                <c:pt idx="5">
                  <c:v>Hawke's Bay</c:v>
                </c:pt>
                <c:pt idx="6">
                  <c:v>Hutt Valley</c:v>
                </c:pt>
                <c:pt idx="7">
                  <c:v>Lakes</c:v>
                </c:pt>
                <c:pt idx="8">
                  <c:v>Nelson Marlborough</c:v>
                </c:pt>
                <c:pt idx="9">
                  <c:v>Northland</c:v>
                </c:pt>
                <c:pt idx="10">
                  <c:v>Tairāwhiti</c:v>
                </c:pt>
                <c:pt idx="11">
                  <c:v>Taranaki</c:v>
                </c:pt>
                <c:pt idx="12">
                  <c:v>South Canterbury</c:v>
                </c:pt>
                <c:pt idx="13">
                  <c:v>Southern</c:v>
                </c:pt>
                <c:pt idx="14">
                  <c:v>Waikato</c:v>
                </c:pt>
                <c:pt idx="15">
                  <c:v>Wairarapa</c:v>
                </c:pt>
                <c:pt idx="16">
                  <c:v>Waitematā</c:v>
                </c:pt>
                <c:pt idx="17">
                  <c:v>West Coast</c:v>
                </c:pt>
                <c:pt idx="18">
                  <c:v>Whanganui</c:v>
                </c:pt>
              </c:strCache>
            </c:strRef>
          </c:cat>
          <c:val>
            <c:numRef>
              <c:f>'2020'!$M$27:$M$45</c:f>
              <c:numCache>
                <c:formatCode>0%</c:formatCode>
                <c:ptCount val="19"/>
                <c:pt idx="0">
                  <c:v>0.69</c:v>
                </c:pt>
                <c:pt idx="1">
                  <c:v>0.69</c:v>
                </c:pt>
                <c:pt idx="2">
                  <c:v>0.69</c:v>
                </c:pt>
                <c:pt idx="3">
                  <c:v>0.69</c:v>
                </c:pt>
                <c:pt idx="4">
                  <c:v>0.69</c:v>
                </c:pt>
                <c:pt idx="5">
                  <c:v>0.69</c:v>
                </c:pt>
                <c:pt idx="6">
                  <c:v>0.69</c:v>
                </c:pt>
                <c:pt idx="7">
                  <c:v>0.69</c:v>
                </c:pt>
                <c:pt idx="8">
                  <c:v>0.69</c:v>
                </c:pt>
                <c:pt idx="9">
                  <c:v>0.69</c:v>
                </c:pt>
                <c:pt idx="10">
                  <c:v>0.69</c:v>
                </c:pt>
                <c:pt idx="11">
                  <c:v>0.69</c:v>
                </c:pt>
                <c:pt idx="12">
                  <c:v>0.69</c:v>
                </c:pt>
                <c:pt idx="13">
                  <c:v>0.69</c:v>
                </c:pt>
                <c:pt idx="14">
                  <c:v>0.69</c:v>
                </c:pt>
                <c:pt idx="15">
                  <c:v>0.69</c:v>
                </c:pt>
                <c:pt idx="16">
                  <c:v>0.69</c:v>
                </c:pt>
                <c:pt idx="17">
                  <c:v>0.69</c:v>
                </c:pt>
                <c:pt idx="18">
                  <c:v>0.69</c:v>
                </c:pt>
              </c:numCache>
            </c:numRef>
          </c:val>
          <c:smooth val="0"/>
          <c:extLst>
            <c:ext xmlns:c16="http://schemas.microsoft.com/office/drawing/2014/chart" uri="{C3380CC4-5D6E-409C-BE32-E72D297353CC}">
              <c16:uniqueId val="{00000001-0893-4A32-8E79-0EBD72AC47D4}"/>
            </c:ext>
          </c:extLst>
        </c:ser>
        <c:dLbls>
          <c:showLegendKey val="0"/>
          <c:showVal val="1"/>
          <c:showCatName val="0"/>
          <c:showSerName val="0"/>
          <c:showPercent val="0"/>
          <c:showBubbleSize val="0"/>
        </c:dLbls>
        <c:marker val="1"/>
        <c:smooth val="0"/>
        <c:axId val="299016960"/>
        <c:axId val="299018880"/>
      </c:lineChart>
      <c:catAx>
        <c:axId val="299016960"/>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a:lstStyle/>
          <a:p>
            <a:pPr>
              <a:defRPr/>
            </a:pPr>
            <a:endParaRPr lang="en-US"/>
          </a:p>
        </c:txPr>
        <c:crossAx val="299018880"/>
        <c:crosses val="autoZero"/>
        <c:auto val="1"/>
        <c:lblAlgn val="ctr"/>
        <c:lblOffset val="100"/>
        <c:noMultiLvlLbl val="0"/>
      </c:catAx>
      <c:valAx>
        <c:axId val="299018880"/>
        <c:scaling>
          <c:orientation val="minMax"/>
        </c:scaling>
        <c:delete val="0"/>
        <c:axPos val="l"/>
        <c:title>
          <c:tx>
            <c:rich>
              <a:bodyPr rot="0"/>
              <a:lstStyle/>
              <a:p>
                <a:pPr>
                  <a:defRPr b="0"/>
                </a:pPr>
                <a:r>
                  <a:rPr lang="en-NZ" b="0"/>
                  <a:t>Percentage</a:t>
                </a:r>
              </a:p>
            </c:rich>
          </c:tx>
          <c:layout>
            <c:manualLayout>
              <c:xMode val="edge"/>
              <c:yMode val="edge"/>
              <c:x val="0"/>
              <c:y val="2.8368514966144332E-3"/>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299016960"/>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40900206623087E-2"/>
          <c:y val="0.10811987621917631"/>
          <c:w val="0.86415200759479538"/>
          <c:h val="0.72056830733996102"/>
        </c:manualLayout>
      </c:layout>
      <c:barChart>
        <c:barDir val="col"/>
        <c:grouping val="clustered"/>
        <c:varyColors val="0"/>
        <c:ser>
          <c:idx val="0"/>
          <c:order val="0"/>
          <c:spPr>
            <a:solidFill>
              <a:schemeClr val="accent6"/>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0B4F-440F-9C22-594F33629302}"/>
              </c:ext>
            </c:extLst>
          </c:dPt>
          <c:dPt>
            <c:idx val="1"/>
            <c:invertIfNegative val="0"/>
            <c:bubble3D val="0"/>
            <c:extLst>
              <c:ext xmlns:c16="http://schemas.microsoft.com/office/drawing/2014/chart" uri="{C3380CC4-5D6E-409C-BE32-E72D297353CC}">
                <c16:uniqueId val="{00000003-0B4F-440F-9C22-594F33629302}"/>
              </c:ext>
            </c:extLst>
          </c:dPt>
          <c:dPt>
            <c:idx val="2"/>
            <c:invertIfNegative val="0"/>
            <c:bubble3D val="0"/>
            <c:extLst>
              <c:ext xmlns:c16="http://schemas.microsoft.com/office/drawing/2014/chart" uri="{C3380CC4-5D6E-409C-BE32-E72D297353CC}">
                <c16:uniqueId val="{00000005-0B4F-440F-9C22-594F33629302}"/>
              </c:ext>
            </c:extLst>
          </c:dPt>
          <c:dLbls>
            <c:dLbl>
              <c:idx val="0"/>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0B4F-440F-9C22-594F33629302}"/>
                </c:ext>
              </c:extLst>
            </c:dLbl>
            <c:dLbl>
              <c:idx val="1"/>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0B4F-440F-9C22-594F33629302}"/>
                </c:ext>
              </c:extLst>
            </c:dLbl>
            <c:dLbl>
              <c:idx val="2"/>
              <c:layout>
                <c:manualLayout>
                  <c:x val="0"/>
                  <c:y val="2.9990575502386527E-2"/>
                </c:manualLayout>
              </c:layout>
              <c:tx>
                <c:rich>
                  <a:bodyPr/>
                  <a:lstStyle/>
                  <a:p>
                    <a:r>
                      <a:rPr lang="en-US">
                        <a:solidFill>
                          <a:sysClr val="windowText" lastClr="000000"/>
                        </a:solidFill>
                      </a:rPr>
                      <a:t>5%</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B4F-440F-9C22-594F33629302}"/>
                </c:ext>
              </c:extLst>
            </c:dLbl>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'2020'!$K$78:$K$80</c:f>
              <c:strCache>
                <c:ptCount val="3"/>
                <c:pt idx="0">
                  <c:v>Not practicable</c:v>
                </c:pt>
                <c:pt idx="1">
                  <c:v>Not in best interests</c:v>
                </c:pt>
                <c:pt idx="2">
                  <c:v>Not recorded </c:v>
                </c:pt>
              </c:strCache>
            </c:strRef>
          </c:cat>
          <c:val>
            <c:numRef>
              <c:f>'2020'!$L$78:$L$80</c:f>
              <c:numCache>
                <c:formatCode>0%</c:formatCode>
                <c:ptCount val="3"/>
                <c:pt idx="0">
                  <c:v>0.83</c:v>
                </c:pt>
                <c:pt idx="1">
                  <c:v>0.12</c:v>
                </c:pt>
                <c:pt idx="2">
                  <c:v>0.05</c:v>
                </c:pt>
              </c:numCache>
            </c:numRef>
          </c:val>
          <c:extLst>
            <c:ext xmlns:c16="http://schemas.microsoft.com/office/drawing/2014/chart" uri="{C3380CC4-5D6E-409C-BE32-E72D297353CC}">
              <c16:uniqueId val="{00000006-0B4F-440F-9C22-594F33629302}"/>
            </c:ext>
          </c:extLst>
        </c:ser>
        <c:dLbls>
          <c:showLegendKey val="0"/>
          <c:showVal val="0"/>
          <c:showCatName val="0"/>
          <c:showSerName val="0"/>
          <c:showPercent val="0"/>
          <c:showBubbleSize val="0"/>
        </c:dLbls>
        <c:gapWidth val="100"/>
        <c:axId val="299136896"/>
        <c:axId val="299151360"/>
      </c:barChart>
      <c:catAx>
        <c:axId val="299136896"/>
        <c:scaling>
          <c:orientation val="minMax"/>
        </c:scaling>
        <c:delete val="0"/>
        <c:axPos val="b"/>
        <c:title>
          <c:tx>
            <c:rich>
              <a:bodyPr rot="0" vert="horz"/>
              <a:lstStyle/>
              <a:p>
                <a:pPr>
                  <a:defRPr b="0"/>
                </a:pPr>
                <a:r>
                  <a:rPr lang="en-NZ" b="0"/>
                  <a:t>Reason</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99151360"/>
        <c:crosses val="autoZero"/>
        <c:auto val="1"/>
        <c:lblAlgn val="ctr"/>
        <c:lblOffset val="100"/>
        <c:noMultiLvlLbl val="0"/>
      </c:catAx>
      <c:valAx>
        <c:axId val="299151360"/>
        <c:scaling>
          <c:orientation val="minMax"/>
        </c:scaling>
        <c:delete val="0"/>
        <c:axPos val="l"/>
        <c:title>
          <c:tx>
            <c:rich>
              <a:bodyPr rot="0"/>
              <a:lstStyle/>
              <a:p>
                <a:pPr>
                  <a:defRPr b="0"/>
                </a:pPr>
                <a:r>
                  <a:rPr lang="en-NZ" b="0"/>
                  <a:t>Percentage</a:t>
                </a:r>
              </a:p>
            </c:rich>
          </c:tx>
          <c:layout>
            <c:manualLayout>
              <c:xMode val="edge"/>
              <c:yMode val="edge"/>
              <c:x val="0"/>
              <c:y val="1.6899238946483177E-3"/>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2991368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76202121396502E-2"/>
          <c:y val="0.12891344383057091"/>
          <c:w val="0.90941692115942374"/>
          <c:h val="0.52973334450215004"/>
        </c:manualLayout>
      </c:layout>
      <c:barChart>
        <c:barDir val="col"/>
        <c:grouping val="clustered"/>
        <c:varyColors val="0"/>
        <c:ser>
          <c:idx val="0"/>
          <c:order val="0"/>
          <c:tx>
            <c:strRef>
              <c:f>'Indefinite orders'!$D$75</c:f>
              <c:strCache>
                <c:ptCount val="1"/>
                <c:pt idx="0">
                  <c:v>Rate per 100,000 population</c:v>
                </c:pt>
              </c:strCache>
            </c:strRef>
          </c:tx>
          <c:spPr>
            <a:solidFill>
              <a:schemeClr val="accent5"/>
            </a:solidFill>
            <a:ln>
              <a:noFill/>
            </a:ln>
            <a:effectLst/>
          </c:spPr>
          <c:invertIfNegative val="0"/>
          <c:dPt>
            <c:idx val="20"/>
            <c:invertIfNegative val="0"/>
            <c:bubble3D val="0"/>
            <c:spPr>
              <a:solidFill>
                <a:schemeClr val="accent6"/>
              </a:solidFill>
              <a:ln>
                <a:noFill/>
              </a:ln>
              <a:effectLst/>
            </c:spPr>
            <c:extLst>
              <c:ext xmlns:c16="http://schemas.microsoft.com/office/drawing/2014/chart" uri="{C3380CC4-5D6E-409C-BE32-E72D297353CC}">
                <c16:uniqueId val="{00000001-91CF-4812-A2F9-3CCEAE2A7047}"/>
              </c:ext>
            </c:extLst>
          </c:dPt>
          <c:dLbls>
            <c:dLbl>
              <c:idx val="5"/>
              <c:layout>
                <c:manualLayout>
                  <c:x val="-4.0537582194690522E-17"/>
                  <c:y val="2.2960519987357601E-2"/>
                </c:manualLayout>
              </c:layout>
              <c:spPr>
                <a:noFill/>
                <a:ln>
                  <a:noFill/>
                </a:ln>
                <a:effectLst/>
              </c:spPr>
              <c:txPr>
                <a:bodyPr rot="-5400000"/>
                <a:lstStyle/>
                <a:p>
                  <a:pPr>
                    <a:defRPr>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CF-4812-A2F9-3CCEAE2A7047}"/>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'Indefinite orders'!$A$76:$A$96</c:f>
              <c:strCache>
                <c:ptCount val="21"/>
                <c:pt idx="0">
                  <c:v>Auckland</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total</c:v>
                </c:pt>
              </c:strCache>
            </c:strRef>
          </c:cat>
          <c:val>
            <c:numRef>
              <c:f>'Indefinite orders'!$D$76:$D$96</c:f>
              <c:numCache>
                <c:formatCode>_-* #,##0.0_-;\-* #,##0.0_-;_-* "-"??_-;_-@_-</c:formatCode>
                <c:ptCount val="21"/>
                <c:pt idx="0">
                  <c:v>62.280042706315001</c:v>
                </c:pt>
                <c:pt idx="1">
                  <c:v>31.819387097996135</c:v>
                </c:pt>
                <c:pt idx="2">
                  <c:v>44.413958672725713</c:v>
                </c:pt>
                <c:pt idx="3">
                  <c:v>99.186791522917687</c:v>
                </c:pt>
                <c:pt idx="4">
                  <c:v>38.113467318121529</c:v>
                </c:pt>
                <c:pt idx="5">
                  <c:v>12.317339454677789</c:v>
                </c:pt>
                <c:pt idx="6">
                  <c:v>50.943396226415089</c:v>
                </c:pt>
                <c:pt idx="7">
                  <c:v>34.896586943569666</c:v>
                </c:pt>
                <c:pt idx="8">
                  <c:v>64.540217623213138</c:v>
                </c:pt>
                <c:pt idx="9">
                  <c:v>50.855867030513515</c:v>
                </c:pt>
                <c:pt idx="10">
                  <c:v>107.85270402136511</c:v>
                </c:pt>
                <c:pt idx="11">
                  <c:v>67.670990091033602</c:v>
                </c:pt>
                <c:pt idx="12">
                  <c:v>51.998514328162052</c:v>
                </c:pt>
                <c:pt idx="13">
                  <c:v>49.198071435599722</c:v>
                </c:pt>
                <c:pt idx="14">
                  <c:v>63.288604045663931</c:v>
                </c:pt>
                <c:pt idx="15">
                  <c:v>73.636695239832207</c:v>
                </c:pt>
                <c:pt idx="16">
                  <c:v>49.009597712885444</c:v>
                </c:pt>
                <c:pt idx="17">
                  <c:v>41.25</c:v>
                </c:pt>
                <c:pt idx="18">
                  <c:v>67.932684884977618</c:v>
                </c:pt>
                <c:pt idx="19">
                  <c:v>93.444298437728136</c:v>
                </c:pt>
                <c:pt idx="20">
                  <c:v>53.322798493675165</c:v>
                </c:pt>
              </c:numCache>
            </c:numRef>
          </c:val>
          <c:extLst>
            <c:ext xmlns:c16="http://schemas.microsoft.com/office/drawing/2014/chart" uri="{C3380CC4-5D6E-409C-BE32-E72D297353CC}">
              <c16:uniqueId val="{00000003-91CF-4812-A2F9-3CCEAE2A7047}"/>
            </c:ext>
          </c:extLst>
        </c:ser>
        <c:dLbls>
          <c:showLegendKey val="0"/>
          <c:showVal val="0"/>
          <c:showCatName val="0"/>
          <c:showSerName val="0"/>
          <c:showPercent val="0"/>
          <c:showBubbleSize val="0"/>
        </c:dLbls>
        <c:gapWidth val="37"/>
        <c:overlap val="-27"/>
        <c:axId val="299195008"/>
        <c:axId val="299205376"/>
      </c:barChart>
      <c:catAx>
        <c:axId val="299195008"/>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a:lstStyle/>
          <a:p>
            <a:pPr>
              <a:defRPr/>
            </a:pPr>
            <a:endParaRPr lang="en-US"/>
          </a:p>
        </c:txPr>
        <c:crossAx val="299205376"/>
        <c:crosses val="autoZero"/>
        <c:auto val="1"/>
        <c:lblAlgn val="ctr"/>
        <c:lblOffset val="100"/>
        <c:noMultiLvlLbl val="0"/>
      </c:catAx>
      <c:valAx>
        <c:axId val="299205376"/>
        <c:scaling>
          <c:orientation val="minMax"/>
        </c:scaling>
        <c:delete val="0"/>
        <c:axPos val="l"/>
        <c:title>
          <c:tx>
            <c:rich>
              <a:bodyPr rot="0"/>
              <a:lstStyle/>
              <a:p>
                <a:pPr algn="l">
                  <a:defRPr b="0"/>
                </a:pPr>
                <a:r>
                  <a:rPr lang="en-NZ" b="0"/>
                  <a:t>Rate per 100,000 population</a:t>
                </a:r>
              </a:p>
            </c:rich>
          </c:tx>
          <c:layout>
            <c:manualLayout>
              <c:xMode val="edge"/>
              <c:yMode val="edge"/>
              <c:x val="0"/>
              <c:y val="2.9823532696710837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299195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65432113241993E-2"/>
          <c:y val="0.12935883014623173"/>
          <c:w val="0.92205799360404184"/>
          <c:h val="0.5268748586583335"/>
        </c:manualLayout>
      </c:layout>
      <c:barChart>
        <c:barDir val="col"/>
        <c:grouping val="clustered"/>
        <c:varyColors val="0"/>
        <c:ser>
          <c:idx val="0"/>
          <c:order val="0"/>
          <c:tx>
            <c:strRef>
              <c:f>'Indefinite orders'!$H$130</c:f>
              <c:strCache>
                <c:ptCount val="1"/>
                <c:pt idx="0">
                  <c:v>Rate Ratio Maori: Non-Maori</c:v>
                </c:pt>
              </c:strCache>
            </c:strRef>
          </c:tx>
          <c:spPr>
            <a:solidFill>
              <a:schemeClr val="accent5"/>
            </a:solidFill>
            <a:ln>
              <a:noFill/>
            </a:ln>
            <a:effectLst/>
          </c:spPr>
          <c:invertIfNegative val="0"/>
          <c:dPt>
            <c:idx val="20"/>
            <c:invertIfNegative val="0"/>
            <c:bubble3D val="0"/>
            <c:spPr>
              <a:solidFill>
                <a:schemeClr val="accent6"/>
              </a:solidFill>
              <a:ln>
                <a:noFill/>
              </a:ln>
              <a:effectLst/>
            </c:spPr>
            <c:extLst>
              <c:ext xmlns:c16="http://schemas.microsoft.com/office/drawing/2014/chart" uri="{C3380CC4-5D6E-409C-BE32-E72D297353CC}">
                <c16:uniqueId val="{00000001-3D2A-422F-BD11-1FE1A436B2FA}"/>
              </c:ext>
            </c:extLst>
          </c:dPt>
          <c:dLbls>
            <c:spPr>
              <a:noFill/>
              <a:ln>
                <a:noFill/>
              </a:ln>
              <a:effectLst/>
            </c:spPr>
            <c:txPr>
              <a:bodyPr rot="0" vert="horz"/>
              <a:lstStyle/>
              <a:p>
                <a:pPr>
                  <a:defRPr sz="80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'Indefinite orders'!$A$131:$A$151</c:f>
              <c:strCache>
                <c:ptCount val="21"/>
                <c:pt idx="0">
                  <c:v>Auckland</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total</c:v>
                </c:pt>
              </c:strCache>
            </c:strRef>
          </c:cat>
          <c:val>
            <c:numRef>
              <c:f>'Indefinite orders'!$H$131:$H$151</c:f>
              <c:numCache>
                <c:formatCode>_-* #,##0.0_-;\-* #,##0.0_-;_-* "-"??_-;_-@_-</c:formatCode>
                <c:ptCount val="21"/>
                <c:pt idx="0">
                  <c:v>3.3446352085807867</c:v>
                </c:pt>
                <c:pt idx="1">
                  <c:v>4.4631543714017949</c:v>
                </c:pt>
                <c:pt idx="2">
                  <c:v>2.5815918434864722</c:v>
                </c:pt>
                <c:pt idx="3">
                  <c:v>2.6813519736479714</c:v>
                </c:pt>
                <c:pt idx="4">
                  <c:v>3.5284921266043558</c:v>
                </c:pt>
                <c:pt idx="5">
                  <c:v>4.5721581715210355</c:v>
                </c:pt>
                <c:pt idx="6">
                  <c:v>3.1547671353251316</c:v>
                </c:pt>
                <c:pt idx="7">
                  <c:v>2.9279011215381092</c:v>
                </c:pt>
                <c:pt idx="8">
                  <c:v>2.9934586559283041</c:v>
                </c:pt>
                <c:pt idx="9">
                  <c:v>2.39397458909654</c:v>
                </c:pt>
                <c:pt idx="10">
                  <c:v>3.2336673408101979</c:v>
                </c:pt>
                <c:pt idx="11">
                  <c:v>2.3222416812609459</c:v>
                </c:pt>
                <c:pt idx="12">
                  <c:v>2.4081314849608151</c:v>
                </c:pt>
                <c:pt idx="13">
                  <c:v>1.5036525810227226</c:v>
                </c:pt>
                <c:pt idx="14">
                  <c:v>2.9056331953071082</c:v>
                </c:pt>
                <c:pt idx="15">
                  <c:v>4.2919172225876165</c:v>
                </c:pt>
                <c:pt idx="16">
                  <c:v>3.7784168956043955</c:v>
                </c:pt>
                <c:pt idx="17">
                  <c:v>3.2857620697085776</c:v>
                </c:pt>
                <c:pt idx="18">
                  <c:v>1.5635511441963057</c:v>
                </c:pt>
                <c:pt idx="19">
                  <c:v>1.9967013888888887</c:v>
                </c:pt>
                <c:pt idx="20">
                  <c:v>2.9066308809696464</c:v>
                </c:pt>
              </c:numCache>
            </c:numRef>
          </c:val>
          <c:extLst>
            <c:ext xmlns:c16="http://schemas.microsoft.com/office/drawing/2014/chart" uri="{C3380CC4-5D6E-409C-BE32-E72D297353CC}">
              <c16:uniqueId val="{00000002-3D2A-422F-BD11-1FE1A436B2FA}"/>
            </c:ext>
          </c:extLst>
        </c:ser>
        <c:dLbls>
          <c:showLegendKey val="0"/>
          <c:showVal val="0"/>
          <c:showCatName val="0"/>
          <c:showSerName val="0"/>
          <c:showPercent val="0"/>
          <c:showBubbleSize val="0"/>
        </c:dLbls>
        <c:gapWidth val="33"/>
        <c:overlap val="-27"/>
        <c:axId val="299440384"/>
        <c:axId val="299446656"/>
      </c:barChart>
      <c:catAx>
        <c:axId val="299440384"/>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a:lstStyle/>
          <a:p>
            <a:pPr>
              <a:defRPr/>
            </a:pPr>
            <a:endParaRPr lang="en-US"/>
          </a:p>
        </c:txPr>
        <c:crossAx val="299446656"/>
        <c:crosses val="autoZero"/>
        <c:auto val="1"/>
        <c:lblAlgn val="ctr"/>
        <c:lblOffset val="100"/>
        <c:noMultiLvlLbl val="0"/>
      </c:catAx>
      <c:valAx>
        <c:axId val="299446656"/>
        <c:scaling>
          <c:orientation val="minMax"/>
        </c:scaling>
        <c:delete val="0"/>
        <c:axPos val="l"/>
        <c:title>
          <c:tx>
            <c:rich>
              <a:bodyPr rot="0"/>
              <a:lstStyle/>
              <a:p>
                <a:pPr algn="l">
                  <a:defRPr b="0"/>
                </a:pPr>
                <a:r>
                  <a:rPr lang="en-NZ" b="0"/>
                  <a:t>Rate ratio of Māori : Non-Māori</a:t>
                </a:r>
              </a:p>
            </c:rich>
          </c:tx>
          <c:layout>
            <c:manualLayout>
              <c:xMode val="edge"/>
              <c:yMode val="edge"/>
              <c:x val="0"/>
              <c:y val="1.3742090288249567E-3"/>
            </c:manualLayout>
          </c:layout>
          <c:overlay val="0"/>
          <c:spPr>
            <a:noFill/>
            <a:ln>
              <a:noFill/>
            </a:ln>
            <a:effectLst/>
          </c:spPr>
        </c:title>
        <c:numFmt formatCode="_-* #,##0.0_-;\-* #,##0.0_-;_-* &quot;-&quot;??_-;_-@_-" sourceLinked="1"/>
        <c:majorTickMark val="out"/>
        <c:minorTickMark val="none"/>
        <c:tickLblPos val="nextTo"/>
        <c:spPr>
          <a:noFill/>
          <a:ln>
            <a:solidFill>
              <a:schemeClr val="tx1"/>
            </a:solidFill>
          </a:ln>
          <a:effectLst/>
        </c:spPr>
        <c:txPr>
          <a:bodyPr rot="-60000000" vert="horz"/>
          <a:lstStyle/>
          <a:p>
            <a:pPr>
              <a:defRPr/>
            </a:pPr>
            <a:endParaRPr lang="en-US"/>
          </a:p>
        </c:txPr>
        <c:crossAx val="299440384"/>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22350748501714"/>
          <c:y val="0.11932004593175853"/>
          <c:w val="0.80100233399163867"/>
          <c:h val="0.73113721342618276"/>
        </c:manualLayout>
      </c:layout>
      <c:barChart>
        <c:barDir val="col"/>
        <c:grouping val="clustered"/>
        <c:varyColors val="0"/>
        <c:ser>
          <c:idx val="0"/>
          <c:order val="0"/>
          <c:spPr>
            <a:solidFill>
              <a:schemeClr val="accent6"/>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D019-43C0-9018-1DB966038E80}"/>
              </c:ext>
            </c:extLst>
          </c:dPt>
          <c:dPt>
            <c:idx val="1"/>
            <c:invertIfNegative val="0"/>
            <c:bubble3D val="0"/>
            <c:extLst>
              <c:ext xmlns:c16="http://schemas.microsoft.com/office/drawing/2014/chart" uri="{C3380CC4-5D6E-409C-BE32-E72D297353CC}">
                <c16:uniqueId val="{00000003-D019-43C0-9018-1DB966038E80}"/>
              </c:ext>
            </c:extLst>
          </c:dPt>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Female</c:v>
              </c:pt>
              <c:pt idx="1">
                <c:v> Male</c:v>
              </c:pt>
            </c:strLit>
          </c:cat>
          <c:val>
            <c:numRef>
              <c:f>'Indefinite orders'!$E$198:$E$199</c:f>
              <c:numCache>
                <c:formatCode>_-* #,##0_-;\-* #,##0_-;_-* "-"??_-;_-@_-</c:formatCode>
                <c:ptCount val="2"/>
                <c:pt idx="0">
                  <c:v>878</c:v>
                </c:pt>
                <c:pt idx="1">
                  <c:v>1912</c:v>
                </c:pt>
              </c:numCache>
            </c:numRef>
          </c:val>
          <c:extLst>
            <c:ext xmlns:c16="http://schemas.microsoft.com/office/drawing/2014/chart" uri="{C3380CC4-5D6E-409C-BE32-E72D297353CC}">
              <c16:uniqueId val="{00000004-D019-43C0-9018-1DB966038E80}"/>
            </c:ext>
          </c:extLst>
        </c:ser>
        <c:dLbls>
          <c:showLegendKey val="0"/>
          <c:showVal val="0"/>
          <c:showCatName val="0"/>
          <c:showSerName val="0"/>
          <c:showPercent val="0"/>
          <c:showBubbleSize val="0"/>
        </c:dLbls>
        <c:gapWidth val="100"/>
        <c:axId val="299467904"/>
        <c:axId val="299469824"/>
      </c:barChart>
      <c:catAx>
        <c:axId val="299467904"/>
        <c:scaling>
          <c:orientation val="minMax"/>
        </c:scaling>
        <c:delete val="0"/>
        <c:axPos val="b"/>
        <c:title>
          <c:tx>
            <c:rich>
              <a:bodyPr rot="0" vert="horz"/>
              <a:lstStyle/>
              <a:p>
                <a:pPr>
                  <a:defRPr b="0"/>
                </a:pPr>
                <a:r>
                  <a:rPr lang="en-NZ" b="0"/>
                  <a:t>Sex</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99469824"/>
        <c:crosses val="autoZero"/>
        <c:auto val="1"/>
        <c:lblAlgn val="ctr"/>
        <c:lblOffset val="100"/>
        <c:noMultiLvlLbl val="0"/>
      </c:catAx>
      <c:valAx>
        <c:axId val="299469824"/>
        <c:scaling>
          <c:orientation val="minMax"/>
        </c:scaling>
        <c:delete val="0"/>
        <c:axPos val="l"/>
        <c:title>
          <c:tx>
            <c:rich>
              <a:bodyPr rot="0"/>
              <a:lstStyle/>
              <a:p>
                <a:pPr>
                  <a:defRPr b="0"/>
                </a:pPr>
                <a:r>
                  <a:rPr lang="en-NZ" b="0"/>
                  <a:t>Number</a:t>
                </a:r>
              </a:p>
            </c:rich>
          </c:tx>
          <c:layout>
            <c:manualLayout>
              <c:xMode val="edge"/>
              <c:yMode val="edge"/>
              <c:x val="0"/>
              <c:y val="4.5036345765421381E-3"/>
            </c:manualLayout>
          </c:layout>
          <c:overlay val="0"/>
          <c:spPr>
            <a:noFill/>
            <a:ln>
              <a:noFill/>
            </a:ln>
            <a:effectLst/>
          </c:spPr>
        </c:title>
        <c:numFmt formatCode="_-* #,##0_-;\-* #,##0_-;_-* &quot;-&quot;??_-;_-@_-" sourceLinked="1"/>
        <c:majorTickMark val="out"/>
        <c:minorTickMark val="out"/>
        <c:tickLblPos val="nextTo"/>
        <c:spPr>
          <a:noFill/>
          <a:ln>
            <a:solidFill>
              <a:schemeClr val="tx1"/>
            </a:solidFill>
          </a:ln>
          <a:effectLst/>
        </c:spPr>
        <c:txPr>
          <a:bodyPr rot="-60000000" vert="horz"/>
          <a:lstStyle/>
          <a:p>
            <a:pPr>
              <a:defRPr/>
            </a:pPr>
            <a:endParaRPr lang="en-US"/>
          </a:p>
        </c:txPr>
        <c:crossAx val="299467904"/>
        <c:crosses val="autoZero"/>
        <c:crossBetween val="between"/>
        <c:min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25848244644497E-2"/>
          <c:y val="0.17491524496937882"/>
          <c:w val="0.73860868373377009"/>
          <c:h val="0.60414951848491061"/>
        </c:manualLayout>
      </c:layout>
      <c:lineChart>
        <c:grouping val="standard"/>
        <c:varyColors val="0"/>
        <c:ser>
          <c:idx val="0"/>
          <c:order val="0"/>
          <c:tx>
            <c:v>Community CTO</c:v>
          </c:tx>
          <c:spPr>
            <a:ln w="28575" cap="rnd">
              <a:solidFill>
                <a:schemeClr val="accent1"/>
              </a:solidFill>
              <a:round/>
            </a:ln>
            <a:effectLst/>
          </c:spPr>
          <c:marker>
            <c:symbol val="none"/>
          </c:marker>
          <c:cat>
            <c:numRef>
              <c:f>Justice!$B$36:$B$52</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Justice!$D$36:$D$52</c:f>
              <c:numCache>
                <c:formatCode>General</c:formatCode>
                <c:ptCount val="17"/>
                <c:pt idx="0">
                  <c:v>1832</c:v>
                </c:pt>
                <c:pt idx="1">
                  <c:v>1575</c:v>
                </c:pt>
                <c:pt idx="2">
                  <c:v>1614</c:v>
                </c:pt>
                <c:pt idx="3">
                  <c:v>1714</c:v>
                </c:pt>
                <c:pt idx="4">
                  <c:v>1841</c:v>
                </c:pt>
                <c:pt idx="5">
                  <c:v>2085</c:v>
                </c:pt>
                <c:pt idx="6">
                  <c:v>2252</c:v>
                </c:pt>
                <c:pt idx="7">
                  <c:v>2255</c:v>
                </c:pt>
                <c:pt idx="8">
                  <c:v>2436</c:v>
                </c:pt>
                <c:pt idx="9">
                  <c:v>2639</c:v>
                </c:pt>
                <c:pt idx="10">
                  <c:v>2658</c:v>
                </c:pt>
                <c:pt idx="11">
                  <c:v>2801</c:v>
                </c:pt>
                <c:pt idx="12">
                  <c:v>2894</c:v>
                </c:pt>
                <c:pt idx="13">
                  <c:v>2612</c:v>
                </c:pt>
                <c:pt idx="14">
                  <c:v>2634</c:v>
                </c:pt>
                <c:pt idx="15">
                  <c:v>2780</c:v>
                </c:pt>
                <c:pt idx="16">
                  <c:v>3021</c:v>
                </c:pt>
              </c:numCache>
            </c:numRef>
          </c:val>
          <c:smooth val="0"/>
          <c:extLst>
            <c:ext xmlns:c16="http://schemas.microsoft.com/office/drawing/2014/chart" uri="{C3380CC4-5D6E-409C-BE32-E72D297353CC}">
              <c16:uniqueId val="{00000000-91EF-4D51-A8EA-3D0073991521}"/>
            </c:ext>
          </c:extLst>
        </c:ser>
        <c:ser>
          <c:idx val="1"/>
          <c:order val="1"/>
          <c:tx>
            <c:v>Inpatient CTO</c:v>
          </c:tx>
          <c:spPr>
            <a:ln w="28575" cap="rnd">
              <a:solidFill>
                <a:schemeClr val="accent6"/>
              </a:solidFill>
              <a:round/>
            </a:ln>
            <a:effectLst/>
          </c:spPr>
          <c:marker>
            <c:symbol val="none"/>
          </c:marker>
          <c:cat>
            <c:numRef>
              <c:f>Justice!$B$36:$B$52</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Justice!$E$36:$E$52</c:f>
              <c:numCache>
                <c:formatCode>General</c:formatCode>
                <c:ptCount val="17"/>
                <c:pt idx="0">
                  <c:v>1533</c:v>
                </c:pt>
                <c:pt idx="1">
                  <c:v>1438</c:v>
                </c:pt>
                <c:pt idx="2">
                  <c:v>1384</c:v>
                </c:pt>
                <c:pt idx="3">
                  <c:v>1336</c:v>
                </c:pt>
                <c:pt idx="4">
                  <c:v>1431</c:v>
                </c:pt>
                <c:pt idx="5">
                  <c:v>1565</c:v>
                </c:pt>
                <c:pt idx="6">
                  <c:v>1625</c:v>
                </c:pt>
                <c:pt idx="7">
                  <c:v>1677</c:v>
                </c:pt>
                <c:pt idx="8">
                  <c:v>1684</c:v>
                </c:pt>
                <c:pt idx="9">
                  <c:v>1765</c:v>
                </c:pt>
                <c:pt idx="10">
                  <c:v>1784</c:v>
                </c:pt>
                <c:pt idx="11">
                  <c:v>1787</c:v>
                </c:pt>
                <c:pt idx="12">
                  <c:v>1721</c:v>
                </c:pt>
                <c:pt idx="13">
                  <c:v>1690</c:v>
                </c:pt>
                <c:pt idx="14">
                  <c:v>1752</c:v>
                </c:pt>
                <c:pt idx="15">
                  <c:v>1796</c:v>
                </c:pt>
                <c:pt idx="16">
                  <c:v>1826</c:v>
                </c:pt>
              </c:numCache>
            </c:numRef>
          </c:val>
          <c:smooth val="0"/>
          <c:extLst>
            <c:ext xmlns:c16="http://schemas.microsoft.com/office/drawing/2014/chart" uri="{C3380CC4-5D6E-409C-BE32-E72D297353CC}">
              <c16:uniqueId val="{00000001-91EF-4D51-A8EA-3D0073991521}"/>
            </c:ext>
          </c:extLst>
        </c:ser>
        <c:dLbls>
          <c:showLegendKey val="0"/>
          <c:showVal val="0"/>
          <c:showCatName val="0"/>
          <c:showSerName val="0"/>
          <c:showPercent val="0"/>
          <c:showBubbleSize val="0"/>
        </c:dLbls>
        <c:smooth val="0"/>
        <c:axId val="283324416"/>
        <c:axId val="283326336"/>
      </c:lineChart>
      <c:catAx>
        <c:axId val="283324416"/>
        <c:scaling>
          <c:orientation val="minMax"/>
        </c:scaling>
        <c:delete val="0"/>
        <c:axPos val="b"/>
        <c:title>
          <c:tx>
            <c:rich>
              <a:bodyPr rot="0" vert="horz"/>
              <a:lstStyle/>
              <a:p>
                <a:pPr>
                  <a:defRPr b="0"/>
                </a:pPr>
                <a:r>
                  <a:rPr lang="en-NZ" b="0"/>
                  <a:t>Year</a:t>
                </a:r>
              </a:p>
            </c:rich>
          </c:tx>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5400000"/>
          <a:lstStyle/>
          <a:p>
            <a:pPr>
              <a:defRPr/>
            </a:pPr>
            <a:endParaRPr lang="en-US"/>
          </a:p>
        </c:txPr>
        <c:crossAx val="283326336"/>
        <c:crosses val="autoZero"/>
        <c:auto val="1"/>
        <c:lblAlgn val="ctr"/>
        <c:lblOffset val="100"/>
        <c:noMultiLvlLbl val="0"/>
      </c:catAx>
      <c:valAx>
        <c:axId val="283326336"/>
        <c:scaling>
          <c:orientation val="minMax"/>
        </c:scaling>
        <c:delete val="0"/>
        <c:axPos val="l"/>
        <c:title>
          <c:tx>
            <c:rich>
              <a:bodyPr rot="0"/>
              <a:lstStyle/>
              <a:p>
                <a:pPr algn="l">
                  <a:defRPr b="0"/>
                </a:pPr>
                <a:r>
                  <a:rPr lang="en-NZ" b="0"/>
                  <a:t>Number of granted applications</a:t>
                </a:r>
              </a:p>
            </c:rich>
          </c:tx>
          <c:layout>
            <c:manualLayout>
              <c:xMode val="edge"/>
              <c:yMode val="edge"/>
              <c:x val="0"/>
              <c:y val="4.5376350428103656E-4"/>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283324416"/>
        <c:crosses val="autoZero"/>
        <c:crossBetween val="between"/>
      </c:valAx>
      <c:spPr>
        <a:noFill/>
        <a:ln>
          <a:noFill/>
        </a:ln>
        <a:effectLst/>
      </c:spPr>
    </c:plotArea>
    <c:legend>
      <c:legendPos val="r"/>
      <c:layout>
        <c:manualLayout>
          <c:xMode val="edge"/>
          <c:yMode val="edge"/>
          <c:x val="0.5808725260094918"/>
          <c:y val="2.4550146845027269E-2"/>
          <c:w val="0.22686573201627533"/>
          <c:h val="0.17220347456567928"/>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73351408718322E-2"/>
          <c:y val="0.1141804788213628"/>
          <c:w val="0.92081977187210184"/>
          <c:h val="0.53565899566421604"/>
        </c:manualLayout>
      </c:layout>
      <c:barChart>
        <c:barDir val="col"/>
        <c:grouping val="clustered"/>
        <c:varyColors val="0"/>
        <c:ser>
          <c:idx val="0"/>
          <c:order val="0"/>
          <c:tx>
            <c:strRef>
              <c:f>'Indefinite orders'!$D$75</c:f>
              <c:strCache>
                <c:ptCount val="1"/>
                <c:pt idx="0">
                  <c:v>Rate per 100,000 population</c:v>
                </c:pt>
              </c:strCache>
            </c:strRef>
          </c:tx>
          <c:spPr>
            <a:solidFill>
              <a:schemeClr val="accent5"/>
            </a:solidFill>
            <a:ln>
              <a:noFill/>
            </a:ln>
            <a:effectLst/>
          </c:spPr>
          <c:invertIfNegative val="0"/>
          <c:dPt>
            <c:idx val="11"/>
            <c:invertIfNegative val="0"/>
            <c:bubble3D val="0"/>
            <c:extLst>
              <c:ext xmlns:c16="http://schemas.microsoft.com/office/drawing/2014/chart" uri="{C3380CC4-5D6E-409C-BE32-E72D297353CC}">
                <c16:uniqueId val="{00000001-9376-4D66-9141-67D1C9F61747}"/>
              </c:ext>
            </c:extLst>
          </c:dPt>
          <c:dPt>
            <c:idx val="15"/>
            <c:invertIfNegative val="0"/>
            <c:bubble3D val="0"/>
            <c:spPr>
              <a:solidFill>
                <a:schemeClr val="accent6"/>
              </a:solidFill>
              <a:ln>
                <a:noFill/>
              </a:ln>
              <a:effectLst/>
            </c:spPr>
            <c:extLst>
              <c:ext xmlns:c16="http://schemas.microsoft.com/office/drawing/2014/chart" uri="{C3380CC4-5D6E-409C-BE32-E72D297353CC}">
                <c16:uniqueId val="{00000003-18B0-4572-B0FE-4FF190F158C7}"/>
              </c:ext>
            </c:extLst>
          </c:dPt>
          <c:dLbls>
            <c:dLbl>
              <c:idx val="0"/>
              <c:layout>
                <c:manualLayout>
                  <c:x val="0"/>
                  <c:y val="1.6124047638375168E-2"/>
                </c:manualLayout>
              </c:layout>
              <c:spPr>
                <a:noFill/>
                <a:ln>
                  <a:noFill/>
                </a:ln>
                <a:effectLst/>
              </c:spPr>
              <c:txPr>
                <a:bodyPr rot="0" vert="horz"/>
                <a:lstStyle/>
                <a:p>
                  <a:pPr>
                    <a:defRPr sz="80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9376-4D66-9141-67D1C9F61747}"/>
                </c:ext>
              </c:extLst>
            </c:dLbl>
            <c:dLbl>
              <c:idx val="1"/>
              <c:layout>
                <c:manualLayout>
                  <c:x val="0"/>
                  <c:y val="1.3898971391462598E-2"/>
                </c:manualLayout>
              </c:layout>
              <c:spPr>
                <a:noFill/>
                <a:ln>
                  <a:noFill/>
                </a:ln>
                <a:effectLst/>
              </c:spPr>
              <c:txPr>
                <a:bodyPr rot="0" vert="horz"/>
                <a:lstStyle/>
                <a:p>
                  <a:pPr>
                    <a:defRPr sz="80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9376-4D66-9141-67D1C9F61747}"/>
                </c:ext>
              </c:extLst>
            </c:dLbl>
            <c:dLbl>
              <c:idx val="4"/>
              <c:layout>
                <c:manualLayout>
                  <c:x val="0"/>
                  <c:y val="1.756027274941141E-2"/>
                </c:manualLayout>
              </c:layout>
              <c:spPr>
                <a:noFill/>
                <a:ln>
                  <a:noFill/>
                </a:ln>
                <a:effectLst/>
              </c:spPr>
              <c:txPr>
                <a:bodyPr rot="0" vert="horz"/>
                <a:lstStyle/>
                <a:p>
                  <a:pPr>
                    <a:defRPr sz="80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9376-4D66-9141-67D1C9F61747}"/>
                </c:ext>
              </c:extLst>
            </c:dLbl>
            <c:dLbl>
              <c:idx val="5"/>
              <c:layout>
                <c:manualLayout>
                  <c:x val="-4.2217896482553343E-17"/>
                  <c:y val="1.8940560606719604E-2"/>
                </c:manualLayout>
              </c:layout>
              <c:spPr>
                <a:noFill/>
                <a:ln>
                  <a:noFill/>
                </a:ln>
                <a:effectLst/>
              </c:spPr>
              <c:txPr>
                <a:bodyPr rot="0" vert="horz"/>
                <a:lstStyle/>
                <a:p>
                  <a:pPr>
                    <a:defRPr sz="80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9376-4D66-9141-67D1C9F61747}"/>
                </c:ext>
              </c:extLst>
            </c:dLbl>
            <c:dLbl>
              <c:idx val="6"/>
              <c:layout>
                <c:manualLayout>
                  <c:x val="0"/>
                  <c:y val="1.3705310032122206E-2"/>
                </c:manualLayout>
              </c:layout>
              <c:spPr>
                <a:noFill/>
                <a:ln>
                  <a:noFill/>
                </a:ln>
                <a:effectLst/>
              </c:spPr>
              <c:txPr>
                <a:bodyPr rot="0" vert="horz"/>
                <a:lstStyle/>
                <a:p>
                  <a:pPr>
                    <a:defRPr sz="800">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9376-4D66-9141-67D1C9F61747}"/>
                </c:ext>
              </c:extLst>
            </c:dLbl>
            <c:dLbl>
              <c:idx val="10"/>
              <c:spPr>
                <a:noFill/>
                <a:ln>
                  <a:noFill/>
                </a:ln>
                <a:effectLst/>
              </c:spPr>
              <c:txPr>
                <a:bodyPr rot="0" vert="horz"/>
                <a:lstStyle/>
                <a:p>
                  <a:pPr>
                    <a:defRPr sz="800">
                      <a:solidFill>
                        <a:schemeClr val="tx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DAE7-4740-9A4A-0AA49F5EDCFF}"/>
                </c:ext>
              </c:extLst>
            </c:dLbl>
            <c:spPr>
              <a:noFill/>
              <a:ln>
                <a:noFill/>
              </a:ln>
              <a:effectLst/>
            </c:spPr>
            <c:txPr>
              <a:bodyPr rot="0" vert="horz"/>
              <a:lstStyle/>
              <a:p>
                <a:pPr>
                  <a:defRPr sz="80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'Indefinite orders'!$A$103:$A$123</c:f>
              <c:strCache>
                <c:ptCount val="16"/>
                <c:pt idx="0">
                  <c:v>Auckland</c:v>
                </c:pt>
                <c:pt idx="1">
                  <c:v>Bay of Plenty</c:v>
                </c:pt>
                <c:pt idx="2">
                  <c:v>Canterbury</c:v>
                </c:pt>
                <c:pt idx="3">
                  <c:v>Capital &amp; Coast </c:v>
                </c:pt>
                <c:pt idx="4">
                  <c:v>Counties Manukau</c:v>
                </c:pt>
                <c:pt idx="5">
                  <c:v>Hawke's Bay</c:v>
                </c:pt>
                <c:pt idx="6">
                  <c:v>Hutt Valley</c:v>
                </c:pt>
                <c:pt idx="7">
                  <c:v>MidCentral</c:v>
                </c:pt>
                <c:pt idx="8">
                  <c:v>Nelson Marlborough</c:v>
                </c:pt>
                <c:pt idx="9">
                  <c:v>Southern</c:v>
                </c:pt>
                <c:pt idx="10">
                  <c:v>Taranaki</c:v>
                </c:pt>
                <c:pt idx="11">
                  <c:v>Waikato</c:v>
                </c:pt>
                <c:pt idx="12">
                  <c:v>Waitematā</c:v>
                </c:pt>
                <c:pt idx="13">
                  <c:v>West Coast</c:v>
                </c:pt>
                <c:pt idx="14">
                  <c:v>Whanganui</c:v>
                </c:pt>
                <c:pt idx="15">
                  <c:v>National total</c:v>
                </c:pt>
              </c:strCache>
            </c:strRef>
          </c:cat>
          <c:val>
            <c:numRef>
              <c:f>'Indefinite orders'!$D$103:$D$123</c:f>
              <c:numCache>
                <c:formatCode>_-* #,##0.0_-;\-* #,##0.0_-;_-* "-"??_-;_-@_-</c:formatCode>
                <c:ptCount val="16"/>
                <c:pt idx="0">
                  <c:v>1.977144212898889</c:v>
                </c:pt>
                <c:pt idx="1">
                  <c:v>1.8940111367854842</c:v>
                </c:pt>
                <c:pt idx="2">
                  <c:v>3.6011317842750579</c:v>
                </c:pt>
                <c:pt idx="3">
                  <c:v>17.249876786594381</c:v>
                </c:pt>
                <c:pt idx="4">
                  <c:v>1.3432058966738865</c:v>
                </c:pt>
                <c:pt idx="5">
                  <c:v>1.1197581322434353</c:v>
                </c:pt>
                <c:pt idx="6">
                  <c:v>1.8867924528301887</c:v>
                </c:pt>
                <c:pt idx="7">
                  <c:v>2.6669511414550886</c:v>
                </c:pt>
                <c:pt idx="8">
                  <c:v>3.1009675018605805</c:v>
                </c:pt>
                <c:pt idx="9">
                  <c:v>3.999885717550927</c:v>
                </c:pt>
                <c:pt idx="10">
                  <c:v>0.80112157019827757</c:v>
                </c:pt>
                <c:pt idx="11">
                  <c:v>5.0155024621557542</c:v>
                </c:pt>
                <c:pt idx="12">
                  <c:v>3.75</c:v>
                </c:pt>
                <c:pt idx="13">
                  <c:v>3.0878493129535278</c:v>
                </c:pt>
                <c:pt idx="14">
                  <c:v>11.680537304716017</c:v>
                </c:pt>
                <c:pt idx="15">
                  <c:v>3.5771283913928791</c:v>
                </c:pt>
              </c:numCache>
            </c:numRef>
          </c:val>
          <c:extLst>
            <c:ext xmlns:c16="http://schemas.microsoft.com/office/drawing/2014/chart" uri="{C3380CC4-5D6E-409C-BE32-E72D297353CC}">
              <c16:uniqueId val="{00000008-9376-4D66-9141-67D1C9F61747}"/>
            </c:ext>
          </c:extLst>
        </c:ser>
        <c:dLbls>
          <c:showLegendKey val="0"/>
          <c:showVal val="0"/>
          <c:showCatName val="0"/>
          <c:showSerName val="0"/>
          <c:showPercent val="0"/>
          <c:showBubbleSize val="0"/>
        </c:dLbls>
        <c:gapWidth val="31"/>
        <c:overlap val="-27"/>
        <c:axId val="299629568"/>
        <c:axId val="299644032"/>
      </c:barChart>
      <c:catAx>
        <c:axId val="299629568"/>
        <c:scaling>
          <c:orientation val="minMax"/>
        </c:scaling>
        <c:delete val="0"/>
        <c:axPos val="b"/>
        <c:title>
          <c:tx>
            <c:rich>
              <a:bodyPr rot="0" vert="horz"/>
              <a:lstStyle/>
              <a:p>
                <a:pPr>
                  <a:defRPr b="0"/>
                </a:pPr>
                <a:r>
                  <a:rPr lang="en-NZ" b="0"/>
                  <a:t>DHB</a:t>
                </a:r>
              </a:p>
            </c:rich>
          </c:tx>
          <c:layout>
            <c:manualLayout>
              <c:xMode val="edge"/>
              <c:yMode val="edge"/>
              <c:x val="0.47083083912756518"/>
              <c:y val="0.9448821796759940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a:lstStyle/>
          <a:p>
            <a:pPr>
              <a:defRPr/>
            </a:pPr>
            <a:endParaRPr lang="en-US"/>
          </a:p>
        </c:txPr>
        <c:crossAx val="299644032"/>
        <c:crosses val="autoZero"/>
        <c:auto val="1"/>
        <c:lblAlgn val="ctr"/>
        <c:lblOffset val="100"/>
        <c:noMultiLvlLbl val="0"/>
      </c:catAx>
      <c:valAx>
        <c:axId val="299644032"/>
        <c:scaling>
          <c:orientation val="minMax"/>
        </c:scaling>
        <c:delete val="0"/>
        <c:axPos val="l"/>
        <c:title>
          <c:tx>
            <c:rich>
              <a:bodyPr rot="0"/>
              <a:lstStyle/>
              <a:p>
                <a:pPr algn="l">
                  <a:defRPr b="0"/>
                </a:pPr>
                <a:r>
                  <a:rPr lang="en-NZ" b="0"/>
                  <a:t>Rate per 100,000 population</a:t>
                </a:r>
              </a:p>
            </c:rich>
          </c:tx>
          <c:layout>
            <c:manualLayout>
              <c:xMode val="edge"/>
              <c:yMode val="edge"/>
              <c:x val="0"/>
              <c:y val="3.9442583489228416E-5"/>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29962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93139194632389E-2"/>
          <c:y val="0.1461794019933555"/>
          <c:w val="0.88968998311316028"/>
          <c:h val="0.50646164512454817"/>
        </c:manualLayout>
      </c:layout>
      <c:barChart>
        <c:barDir val="col"/>
        <c:grouping val="clustered"/>
        <c:varyColors val="0"/>
        <c:ser>
          <c:idx val="0"/>
          <c:order val="0"/>
          <c:tx>
            <c:strRef>
              <c:f>'Indefinite orders'!$R$130</c:f>
              <c:strCache>
                <c:ptCount val="1"/>
                <c:pt idx="0">
                  <c:v>Rate Ratio Maori: Non-Maori</c:v>
                </c:pt>
              </c:strCache>
            </c:strRef>
          </c:tx>
          <c:spPr>
            <a:solidFill>
              <a:schemeClr val="accent5"/>
            </a:solidFill>
            <a:ln>
              <a:noFill/>
            </a:ln>
            <a:effectLst/>
          </c:spPr>
          <c:invertIfNegative val="0"/>
          <c:dPt>
            <c:idx val="8"/>
            <c:invertIfNegative val="0"/>
            <c:bubble3D val="0"/>
            <c:extLst>
              <c:ext xmlns:c16="http://schemas.microsoft.com/office/drawing/2014/chart" uri="{C3380CC4-5D6E-409C-BE32-E72D297353CC}">
                <c16:uniqueId val="{00000001-735C-4DDF-A7F0-D1426D8DB6F9}"/>
              </c:ext>
            </c:extLst>
          </c:dPt>
          <c:dPt>
            <c:idx val="12"/>
            <c:invertIfNegative val="0"/>
            <c:bubble3D val="0"/>
            <c:spPr>
              <a:solidFill>
                <a:schemeClr val="accent6"/>
              </a:solidFill>
              <a:ln>
                <a:noFill/>
              </a:ln>
              <a:effectLst/>
            </c:spPr>
            <c:extLst>
              <c:ext xmlns:c16="http://schemas.microsoft.com/office/drawing/2014/chart" uri="{C3380CC4-5D6E-409C-BE32-E72D297353CC}">
                <c16:uniqueId val="{00000003-71B6-4A2B-A20F-965CF1518A6E}"/>
              </c:ext>
            </c:extLst>
          </c:dPt>
          <c:dLbls>
            <c:dLbl>
              <c:idx val="4"/>
              <c:layout>
                <c:manualLayout>
                  <c:x val="2.3216681347346343E-3"/>
                  <c:y val="7.0868772621877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5C-4DDF-A7F0-D1426D8DB6F9}"/>
                </c:ext>
              </c:extLst>
            </c:dLbl>
            <c:dLbl>
              <c:idx val="8"/>
              <c:spPr>
                <a:noFill/>
                <a:ln>
                  <a:noFill/>
                </a:ln>
                <a:effectLst/>
              </c:spPr>
              <c:txPr>
                <a:bodyPr rot="0" vert="horz"/>
                <a:lstStyle/>
                <a:p>
                  <a:pPr>
                    <a:defRPr sz="800">
                      <a:solidFill>
                        <a:sysClr val="windowText" lastClr="000000"/>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735C-4DDF-A7F0-D1426D8DB6F9}"/>
                </c:ext>
              </c:extLst>
            </c:dLbl>
            <c:dLbl>
              <c:idx val="11"/>
              <c:layout>
                <c:manualLayout>
                  <c:x val="0"/>
                  <c:y val="6.83438472459806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B6-4A2B-A20F-965CF1518A6E}"/>
                </c:ext>
              </c:extLst>
            </c:dLbl>
            <c:spPr>
              <a:noFill/>
              <a:ln>
                <a:noFill/>
              </a:ln>
              <a:effectLst/>
            </c:spPr>
            <c:txPr>
              <a:bodyPr rot="0" vert="horz"/>
              <a:lstStyle/>
              <a:p>
                <a:pPr>
                  <a:defRPr sz="80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'Indefinite orders'!$K$131:$K$151</c:f>
              <c:strCache>
                <c:ptCount val="13"/>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pt idx="12">
                  <c:v>National total</c:v>
                </c:pt>
              </c:strCache>
            </c:strRef>
          </c:cat>
          <c:val>
            <c:numRef>
              <c:f>'Indefinite orders'!$R$131:$R$151</c:f>
              <c:numCache>
                <c:formatCode>_-* #,##0.0_-;\-* #,##0.0_-;_-* "-"??_-;_-@_-</c:formatCode>
                <c:ptCount val="13"/>
                <c:pt idx="0">
                  <c:v>2.8220359572400389</c:v>
                </c:pt>
                <c:pt idx="1">
                  <c:v>11.551693667157586</c:v>
                </c:pt>
                <c:pt idx="2">
                  <c:v>2.1526586269732393</c:v>
                </c:pt>
                <c:pt idx="3">
                  <c:v>6.0292259749010366</c:v>
                </c:pt>
                <c:pt idx="4">
                  <c:v>1.7258928880130002</c:v>
                </c:pt>
                <c:pt idx="5">
                  <c:v>2.6126618122977345</c:v>
                </c:pt>
                <c:pt idx="6">
                  <c:v>2.2943760984182777</c:v>
                </c:pt>
                <c:pt idx="7">
                  <c:v>2.476070740088844</c:v>
                </c:pt>
                <c:pt idx="8">
                  <c:v>0.63704791628419311</c:v>
                </c:pt>
                <c:pt idx="9">
                  <c:v>8.3237182498668929</c:v>
                </c:pt>
                <c:pt idx="10">
                  <c:v>2.977239809642044</c:v>
                </c:pt>
                <c:pt idx="11">
                  <c:v>1.5403125</c:v>
                </c:pt>
                <c:pt idx="12">
                  <c:v>2.900842894258846</c:v>
                </c:pt>
              </c:numCache>
            </c:numRef>
          </c:val>
          <c:extLst>
            <c:ext xmlns:c16="http://schemas.microsoft.com/office/drawing/2014/chart" uri="{C3380CC4-5D6E-409C-BE32-E72D297353CC}">
              <c16:uniqueId val="{00000005-735C-4DDF-A7F0-D1426D8DB6F9}"/>
            </c:ext>
          </c:extLst>
        </c:ser>
        <c:dLbls>
          <c:showLegendKey val="0"/>
          <c:showVal val="0"/>
          <c:showCatName val="0"/>
          <c:showSerName val="0"/>
          <c:showPercent val="0"/>
          <c:showBubbleSize val="0"/>
        </c:dLbls>
        <c:gapWidth val="43"/>
        <c:overlap val="-27"/>
        <c:axId val="299680128"/>
        <c:axId val="299682048"/>
      </c:barChart>
      <c:catAx>
        <c:axId val="299680128"/>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a:lstStyle/>
          <a:p>
            <a:pPr>
              <a:defRPr/>
            </a:pPr>
            <a:endParaRPr lang="en-US"/>
          </a:p>
        </c:txPr>
        <c:crossAx val="299682048"/>
        <c:crosses val="autoZero"/>
        <c:auto val="1"/>
        <c:lblAlgn val="ctr"/>
        <c:lblOffset val="100"/>
        <c:noMultiLvlLbl val="0"/>
      </c:catAx>
      <c:valAx>
        <c:axId val="299682048"/>
        <c:scaling>
          <c:orientation val="minMax"/>
        </c:scaling>
        <c:delete val="0"/>
        <c:axPos val="l"/>
        <c:title>
          <c:tx>
            <c:rich>
              <a:bodyPr rot="0"/>
              <a:lstStyle/>
              <a:p>
                <a:pPr algn="l">
                  <a:defRPr b="0"/>
                </a:pPr>
                <a:r>
                  <a:rPr lang="en-NZ" b="0"/>
                  <a:t>Rate ratio of Māori : non-Māori</a:t>
                </a:r>
              </a:p>
            </c:rich>
          </c:tx>
          <c:layout>
            <c:manualLayout>
              <c:xMode val="edge"/>
              <c:yMode val="edge"/>
              <c:x val="0"/>
              <c:y val="0"/>
            </c:manualLayout>
          </c:layout>
          <c:overlay val="0"/>
          <c:spPr>
            <a:noFill/>
            <a:ln>
              <a:noFill/>
            </a:ln>
            <a:effectLst/>
          </c:spPr>
        </c:title>
        <c:numFmt formatCode="_-* #,##0.0_-;\-* #,##0.0_-;_-* &quot;-&quot;??_-;_-@_-" sourceLinked="1"/>
        <c:majorTickMark val="out"/>
        <c:minorTickMark val="none"/>
        <c:tickLblPos val="nextTo"/>
        <c:spPr>
          <a:noFill/>
          <a:ln>
            <a:solidFill>
              <a:schemeClr val="tx1"/>
            </a:solidFill>
          </a:ln>
          <a:effectLst/>
        </c:spPr>
        <c:txPr>
          <a:bodyPr rot="-60000000" vert="horz"/>
          <a:lstStyle/>
          <a:p>
            <a:pPr>
              <a:defRPr/>
            </a:pPr>
            <a:endParaRPr lang="en-US"/>
          </a:p>
        </c:txPr>
        <c:crossAx val="29968012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6954893022271"/>
          <c:y val="0.11219117465912429"/>
          <c:w val="0.83482281433087113"/>
          <c:h val="0.76266371035750491"/>
        </c:manualLayout>
      </c:layout>
      <c:barChart>
        <c:barDir val="col"/>
        <c:grouping val="clustered"/>
        <c:varyColors val="0"/>
        <c:ser>
          <c:idx val="0"/>
          <c:order val="0"/>
          <c:spPr>
            <a:solidFill>
              <a:schemeClr val="accent6"/>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B140-4C02-B8F2-15BCBD41F7F8}"/>
              </c:ext>
            </c:extLst>
          </c:dPt>
          <c:dPt>
            <c:idx val="1"/>
            <c:invertIfNegative val="0"/>
            <c:bubble3D val="0"/>
            <c:extLst>
              <c:ext xmlns:c16="http://schemas.microsoft.com/office/drawing/2014/chart" uri="{C3380CC4-5D6E-409C-BE32-E72D297353CC}">
                <c16:uniqueId val="{00000003-B140-4C02-B8F2-15BCBD41F7F8}"/>
              </c:ext>
            </c:extLst>
          </c:dPt>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Female</c:v>
              </c:pt>
              <c:pt idx="1">
                <c:v> Male</c:v>
              </c:pt>
            </c:strLit>
          </c:cat>
          <c:val>
            <c:numRef>
              <c:f>'Indefinite orders'!$E$200:$E$201</c:f>
              <c:numCache>
                <c:formatCode>_-* #,##0_-;\-* #,##0_-;_-* "-"??_-;_-@_-</c:formatCode>
                <c:ptCount val="2"/>
                <c:pt idx="0">
                  <c:v>43</c:v>
                </c:pt>
                <c:pt idx="1">
                  <c:v>142</c:v>
                </c:pt>
              </c:numCache>
            </c:numRef>
          </c:val>
          <c:extLst>
            <c:ext xmlns:c16="http://schemas.microsoft.com/office/drawing/2014/chart" uri="{C3380CC4-5D6E-409C-BE32-E72D297353CC}">
              <c16:uniqueId val="{00000004-B140-4C02-B8F2-15BCBD41F7F8}"/>
            </c:ext>
          </c:extLst>
        </c:ser>
        <c:dLbls>
          <c:showLegendKey val="0"/>
          <c:showVal val="0"/>
          <c:showCatName val="0"/>
          <c:showSerName val="0"/>
          <c:showPercent val="0"/>
          <c:showBubbleSize val="0"/>
        </c:dLbls>
        <c:gapWidth val="100"/>
        <c:axId val="299715968"/>
        <c:axId val="299726336"/>
      </c:barChart>
      <c:catAx>
        <c:axId val="299715968"/>
        <c:scaling>
          <c:orientation val="minMax"/>
        </c:scaling>
        <c:delete val="0"/>
        <c:axPos val="b"/>
        <c:title>
          <c:tx>
            <c:rich>
              <a:bodyPr rot="0" vert="horz"/>
              <a:lstStyle/>
              <a:p>
                <a:pPr>
                  <a:defRPr b="0"/>
                </a:pPr>
                <a:r>
                  <a:rPr lang="en-NZ" b="0"/>
                  <a:t>Sex</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99726336"/>
        <c:crosses val="autoZero"/>
        <c:auto val="1"/>
        <c:lblAlgn val="ctr"/>
        <c:lblOffset val="100"/>
        <c:noMultiLvlLbl val="0"/>
      </c:catAx>
      <c:valAx>
        <c:axId val="299726336"/>
        <c:scaling>
          <c:orientation val="minMax"/>
        </c:scaling>
        <c:delete val="0"/>
        <c:axPos val="l"/>
        <c:title>
          <c:tx>
            <c:rich>
              <a:bodyPr rot="0"/>
              <a:lstStyle/>
              <a:p>
                <a:pPr>
                  <a:defRPr b="0"/>
                </a:pPr>
                <a:r>
                  <a:rPr lang="en-NZ" b="0"/>
                  <a:t>Number</a:t>
                </a:r>
              </a:p>
            </c:rich>
          </c:tx>
          <c:layout>
            <c:manualLayout>
              <c:xMode val="edge"/>
              <c:yMode val="edge"/>
              <c:x val="0"/>
              <c:y val="1.0042398546335546E-3"/>
            </c:manualLayout>
          </c:layout>
          <c:overlay val="0"/>
          <c:spPr>
            <a:noFill/>
            <a:ln>
              <a:noFill/>
            </a:ln>
            <a:effectLst/>
          </c:spPr>
        </c:title>
        <c:numFmt formatCode="_-* #,##0_-;\-* #,##0_-;_-* &quot;-&quot;??_-;_-@_-" sourceLinked="1"/>
        <c:majorTickMark val="out"/>
        <c:minorTickMark val="none"/>
        <c:tickLblPos val="nextTo"/>
        <c:spPr>
          <a:noFill/>
          <a:ln>
            <a:solidFill>
              <a:schemeClr val="tx1"/>
            </a:solidFill>
          </a:ln>
          <a:effectLst/>
        </c:spPr>
        <c:txPr>
          <a:bodyPr rot="-60000000" vert="horz"/>
          <a:lstStyle/>
          <a:p>
            <a:pPr>
              <a:defRPr/>
            </a:pPr>
            <a:endParaRPr lang="en-US"/>
          </a:p>
        </c:txPr>
        <c:crossAx val="299715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78220644722435E-2"/>
          <c:y val="0.13284792046652172"/>
          <c:w val="0.87993560804899384"/>
          <c:h val="0.71828134100835628"/>
        </c:manualLayout>
      </c:layout>
      <c:lineChart>
        <c:grouping val="standard"/>
        <c:varyColors val="0"/>
        <c:ser>
          <c:idx val="1"/>
          <c:order val="0"/>
          <c:tx>
            <c:strRef>
              <c:f>Seclusion!$F$8</c:f>
              <c:strCache>
                <c:ptCount val="1"/>
                <c:pt idx="0">
                  <c:v>number of people (excluding outlier)</c:v>
                </c:pt>
              </c:strCache>
            </c:strRef>
          </c:tx>
          <c:spPr>
            <a:ln w="19050" cap="rnd" cmpd="sng" algn="ctr">
              <a:solidFill>
                <a:schemeClr val="accent1"/>
              </a:solidFill>
              <a:prstDash val="solid"/>
              <a:round/>
            </a:ln>
            <a:effectLst/>
          </c:spPr>
          <c:marker>
            <c:symbol val="none"/>
          </c:marker>
          <c:cat>
            <c:numRef>
              <c:f>Seclusion!$C$9:$C$22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Seclusion!$F$9:$F$22</c:f>
              <c:numCache>
                <c:formatCode>General</c:formatCode>
                <c:ptCount val="14"/>
                <c:pt idx="0">
                  <c:v>1143</c:v>
                </c:pt>
                <c:pt idx="1">
                  <c:v>1023</c:v>
                </c:pt>
                <c:pt idx="2">
                  <c:v>1075</c:v>
                </c:pt>
                <c:pt idx="3">
                  <c:v>1065</c:v>
                </c:pt>
                <c:pt idx="4">
                  <c:v>967</c:v>
                </c:pt>
                <c:pt idx="5">
                  <c:v>882</c:v>
                </c:pt>
                <c:pt idx="6">
                  <c:v>768</c:v>
                </c:pt>
                <c:pt idx="7">
                  <c:v>736</c:v>
                </c:pt>
                <c:pt idx="8">
                  <c:v>754</c:v>
                </c:pt>
                <c:pt idx="9">
                  <c:v>802</c:v>
                </c:pt>
                <c:pt idx="10">
                  <c:v>775</c:v>
                </c:pt>
                <c:pt idx="11">
                  <c:v>852</c:v>
                </c:pt>
                <c:pt idx="12">
                  <c:v>929</c:v>
                </c:pt>
                <c:pt idx="13">
                  <c:v>933</c:v>
                </c:pt>
              </c:numCache>
            </c:numRef>
          </c:val>
          <c:smooth val="0"/>
          <c:extLst>
            <c:ext xmlns:c16="http://schemas.microsoft.com/office/drawing/2014/chart" uri="{C3380CC4-5D6E-409C-BE32-E72D297353CC}">
              <c16:uniqueId val="{00000000-59DE-43F5-A82C-91EF782E210B}"/>
            </c:ext>
          </c:extLst>
        </c:ser>
        <c:dLbls>
          <c:showLegendKey val="0"/>
          <c:showVal val="0"/>
          <c:showCatName val="0"/>
          <c:showSerName val="0"/>
          <c:showPercent val="0"/>
          <c:showBubbleSize val="0"/>
        </c:dLbls>
        <c:smooth val="0"/>
        <c:axId val="299829120"/>
        <c:axId val="299835392"/>
      </c:lineChart>
      <c:catAx>
        <c:axId val="299829120"/>
        <c:scaling>
          <c:orientation val="minMax"/>
        </c:scaling>
        <c:delete val="0"/>
        <c:axPos val="b"/>
        <c:title>
          <c:tx>
            <c:rich>
              <a:bodyPr rot="0" vert="horz"/>
              <a:lstStyle/>
              <a:p>
                <a:pPr>
                  <a:defRPr b="0"/>
                </a:pPr>
                <a:r>
                  <a:rPr lang="en-NZ" b="0"/>
                  <a:t>Year</a:t>
                </a:r>
              </a:p>
            </c:rich>
          </c:tx>
          <c:layout>
            <c:manualLayout>
              <c:xMode val="edge"/>
              <c:yMode val="edge"/>
              <c:x val="0.50106589143414149"/>
              <c:y val="0.92836286997052875"/>
            </c:manualLayout>
          </c:layout>
          <c:overlay val="0"/>
          <c:spPr>
            <a:noFill/>
            <a:ln>
              <a:noFill/>
            </a:ln>
            <a:effectLst/>
          </c:spPr>
        </c:title>
        <c:numFmt formatCode="General" sourceLinked="1"/>
        <c:majorTickMark val="none"/>
        <c:minorTickMark val="out"/>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9835392"/>
        <c:crosses val="autoZero"/>
        <c:auto val="1"/>
        <c:lblAlgn val="ctr"/>
        <c:lblOffset val="100"/>
        <c:noMultiLvlLbl val="0"/>
      </c:catAx>
      <c:valAx>
        <c:axId val="299835392"/>
        <c:scaling>
          <c:orientation val="minMax"/>
        </c:scaling>
        <c:delete val="0"/>
        <c:axPos val="l"/>
        <c:title>
          <c:tx>
            <c:rich>
              <a:bodyPr rot="0"/>
              <a:lstStyle/>
              <a:p>
                <a:pPr algn="l">
                  <a:defRPr b="0"/>
                </a:pPr>
                <a:r>
                  <a:rPr lang="en-NZ" b="0"/>
                  <a:t>Number of people</a:t>
                </a:r>
              </a:p>
            </c:rich>
          </c:tx>
          <c:layout>
            <c:manualLayout>
              <c:xMode val="edge"/>
              <c:yMode val="edge"/>
              <c:x val="1.1111211098612673E-2"/>
              <c:y val="1.4902675073750891E-4"/>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982912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7613487358806"/>
          <c:y val="0.14997017418277259"/>
          <c:w val="0.86183983580999746"/>
          <c:h val="0.71605921418913543"/>
        </c:manualLayout>
      </c:layout>
      <c:lineChart>
        <c:grouping val="standard"/>
        <c:varyColors val="0"/>
        <c:ser>
          <c:idx val="1"/>
          <c:order val="0"/>
          <c:tx>
            <c:strRef>
              <c:f>Seclusion!$E$8</c:f>
              <c:strCache>
                <c:ptCount val="1"/>
                <c:pt idx="0">
                  <c:v>Excluding outliers</c:v>
                </c:pt>
              </c:strCache>
            </c:strRef>
          </c:tx>
          <c:spPr>
            <a:ln w="19050" cap="rnd" cmpd="sng" algn="ctr">
              <a:solidFill>
                <a:schemeClr val="accent1"/>
              </a:solidFill>
              <a:prstDash val="solid"/>
              <a:round/>
            </a:ln>
            <a:effectLst/>
          </c:spPr>
          <c:marker>
            <c:symbol val="none"/>
          </c:marker>
          <c:cat>
            <c:numRef>
              <c:f>Seclusion!$C$42:$C$55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Seclusion!$E$42:$E$55</c:f>
              <c:numCache>
                <c:formatCode>0</c:formatCode>
                <c:ptCount val="14"/>
                <c:pt idx="0">
                  <c:v>77816</c:v>
                </c:pt>
                <c:pt idx="1">
                  <c:v>87109</c:v>
                </c:pt>
                <c:pt idx="2">
                  <c:v>91313</c:v>
                </c:pt>
                <c:pt idx="3">
                  <c:v>79898</c:v>
                </c:pt>
                <c:pt idx="4">
                  <c:v>62028</c:v>
                </c:pt>
                <c:pt idx="5">
                  <c:v>58046</c:v>
                </c:pt>
                <c:pt idx="6">
                  <c:v>45658.400000000009</c:v>
                </c:pt>
                <c:pt idx="7">
                  <c:v>41476.667777771763</c:v>
                </c:pt>
                <c:pt idx="8">
                  <c:v>38781.500000000087</c:v>
                </c:pt>
                <c:pt idx="9">
                  <c:v>34446.866666665941</c:v>
                </c:pt>
                <c:pt idx="10">
                  <c:v>37120.6</c:v>
                </c:pt>
                <c:pt idx="11">
                  <c:v>40648.799999999923</c:v>
                </c:pt>
                <c:pt idx="12">
                  <c:v>48417.599999999999</c:v>
                </c:pt>
                <c:pt idx="13">
                  <c:v>44797.561388889968</c:v>
                </c:pt>
              </c:numCache>
            </c:numRef>
          </c:val>
          <c:smooth val="0"/>
          <c:extLst>
            <c:ext xmlns:c16="http://schemas.microsoft.com/office/drawing/2014/chart" uri="{C3380CC4-5D6E-409C-BE32-E72D297353CC}">
              <c16:uniqueId val="{00000000-5ED4-4068-A4ED-4CC0E5E87BAF}"/>
            </c:ext>
          </c:extLst>
        </c:ser>
        <c:dLbls>
          <c:showLegendKey val="0"/>
          <c:showVal val="0"/>
          <c:showCatName val="0"/>
          <c:showSerName val="0"/>
          <c:showPercent val="0"/>
          <c:showBubbleSize val="0"/>
        </c:dLbls>
        <c:smooth val="0"/>
        <c:axId val="299849216"/>
        <c:axId val="299851136"/>
      </c:lineChart>
      <c:catAx>
        <c:axId val="299849216"/>
        <c:scaling>
          <c:orientation val="minMax"/>
        </c:scaling>
        <c:delete val="0"/>
        <c:axPos val="b"/>
        <c:title>
          <c:tx>
            <c:rich>
              <a:bodyPr rot="0" vert="horz"/>
              <a:lstStyle/>
              <a:p>
                <a:pPr>
                  <a:defRPr b="0"/>
                </a:pPr>
                <a:r>
                  <a:rPr lang="en-NZ" b="0"/>
                  <a:t>Year</a:t>
                </a:r>
              </a:p>
            </c:rich>
          </c:tx>
          <c:overlay val="0"/>
          <c:spPr>
            <a:noFill/>
            <a:ln>
              <a:noFill/>
            </a:ln>
            <a:effectLst/>
          </c:spPr>
        </c:title>
        <c:numFmt formatCode="General" sourceLinked="1"/>
        <c:majorTickMark val="none"/>
        <c:minorTickMark val="out"/>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9851136"/>
        <c:crosses val="autoZero"/>
        <c:auto val="1"/>
        <c:lblAlgn val="ctr"/>
        <c:lblOffset val="100"/>
        <c:noMultiLvlLbl val="0"/>
      </c:catAx>
      <c:valAx>
        <c:axId val="299851136"/>
        <c:scaling>
          <c:orientation val="minMax"/>
        </c:scaling>
        <c:delete val="0"/>
        <c:axPos val="l"/>
        <c:title>
          <c:tx>
            <c:rich>
              <a:bodyPr rot="0"/>
              <a:lstStyle/>
              <a:p>
                <a:pPr algn="l">
                  <a:defRPr b="0"/>
                </a:pPr>
                <a:r>
                  <a:rPr lang="en-NZ" b="0"/>
                  <a:t>Number of </a:t>
                </a:r>
              </a:p>
              <a:p>
                <a:pPr algn="l">
                  <a:defRPr b="0"/>
                </a:pPr>
                <a:r>
                  <a:rPr lang="en-NZ" b="0"/>
                  <a:t>hours</a:t>
                </a:r>
              </a:p>
            </c:rich>
          </c:tx>
          <c:layout>
            <c:manualLayout>
              <c:xMode val="edge"/>
              <c:yMode val="edge"/>
              <c:x val="0"/>
              <c:y val="3.3030435589490709E-3"/>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99849216"/>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263149270335903E-2"/>
          <c:y val="0.13837113134295714"/>
          <c:w val="0.89847882761386244"/>
          <c:h val="0.65572882491251083"/>
        </c:manualLayout>
      </c:layout>
      <c:barChart>
        <c:barDir val="col"/>
        <c:grouping val="clustered"/>
        <c:varyColors val="0"/>
        <c:ser>
          <c:idx val="0"/>
          <c:order val="0"/>
          <c:tx>
            <c:strRef>
              <c:f>Seclusion!$D$73</c:f>
              <c:strCache>
                <c:ptCount val="1"/>
                <c:pt idx="0">
                  <c:v>Number of clients - excluding outlier</c:v>
                </c:pt>
              </c:strCache>
            </c:strRef>
          </c:tx>
          <c:spPr>
            <a:solidFill>
              <a:schemeClr val="accent6"/>
            </a:solidFill>
            <a:ln>
              <a:noFill/>
            </a:ln>
            <a:effectLst/>
          </c:spPr>
          <c:invertIfNegative val="0"/>
          <c:dLbls>
            <c:dLbl>
              <c:idx val="10"/>
              <c:layout>
                <c:manualLayout>
                  <c:x val="0"/>
                  <c:y val="6.39244313210848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56-4328-9FC6-91E6D81FEBE2}"/>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Seclusion!$C$74:$C$84</c:f>
              <c:strCache>
                <c:ptCount val="11"/>
                <c:pt idx="0">
                  <c:v>0–19</c:v>
                </c:pt>
                <c:pt idx="1">
                  <c:v>20–24</c:v>
                </c:pt>
                <c:pt idx="2">
                  <c:v>25–29</c:v>
                </c:pt>
                <c:pt idx="3">
                  <c:v>30–34</c:v>
                </c:pt>
                <c:pt idx="4">
                  <c:v>35–39</c:v>
                </c:pt>
                <c:pt idx="5">
                  <c:v>40–44</c:v>
                </c:pt>
                <c:pt idx="6">
                  <c:v>45–49</c:v>
                </c:pt>
                <c:pt idx="7">
                  <c:v>50–54</c:v>
                </c:pt>
                <c:pt idx="8">
                  <c:v>55–59</c:v>
                </c:pt>
                <c:pt idx="9">
                  <c:v>60–64</c:v>
                </c:pt>
                <c:pt idx="10">
                  <c:v>65+</c:v>
                </c:pt>
              </c:strCache>
            </c:strRef>
          </c:cat>
          <c:val>
            <c:numRef>
              <c:f>Seclusion!$D$74:$D$84</c:f>
              <c:numCache>
                <c:formatCode>General</c:formatCode>
                <c:ptCount val="11"/>
                <c:pt idx="0">
                  <c:v>103</c:v>
                </c:pt>
                <c:pt idx="1">
                  <c:v>220</c:v>
                </c:pt>
                <c:pt idx="2">
                  <c:v>201</c:v>
                </c:pt>
                <c:pt idx="3">
                  <c:v>175</c:v>
                </c:pt>
                <c:pt idx="4">
                  <c:v>92</c:v>
                </c:pt>
                <c:pt idx="5">
                  <c:v>97</c:v>
                </c:pt>
                <c:pt idx="6">
                  <c:v>112</c:v>
                </c:pt>
                <c:pt idx="7">
                  <c:v>75</c:v>
                </c:pt>
                <c:pt idx="8">
                  <c:v>53</c:v>
                </c:pt>
                <c:pt idx="9">
                  <c:v>33</c:v>
                </c:pt>
                <c:pt idx="10">
                  <c:v>18</c:v>
                </c:pt>
              </c:numCache>
            </c:numRef>
          </c:val>
          <c:extLst>
            <c:ext xmlns:c16="http://schemas.microsoft.com/office/drawing/2014/chart" uri="{C3380CC4-5D6E-409C-BE32-E72D297353CC}">
              <c16:uniqueId val="{00000000-FF6C-41F3-B303-1DACE9B7723C}"/>
            </c:ext>
          </c:extLst>
        </c:ser>
        <c:dLbls>
          <c:showLegendKey val="0"/>
          <c:showVal val="0"/>
          <c:showCatName val="0"/>
          <c:showSerName val="0"/>
          <c:showPercent val="0"/>
          <c:showBubbleSize val="0"/>
        </c:dLbls>
        <c:gapWidth val="35"/>
        <c:axId val="302281856"/>
        <c:axId val="302283776"/>
      </c:barChart>
      <c:catAx>
        <c:axId val="302281856"/>
        <c:scaling>
          <c:orientation val="minMax"/>
        </c:scaling>
        <c:delete val="0"/>
        <c:axPos val="b"/>
        <c:title>
          <c:tx>
            <c:rich>
              <a:bodyPr rot="0" vert="horz"/>
              <a:lstStyle/>
              <a:p>
                <a:pPr>
                  <a:defRPr b="0"/>
                </a:pPr>
                <a:r>
                  <a:rPr lang="en-NZ" b="0"/>
                  <a:t>Age group (years)</a:t>
                </a:r>
              </a:p>
            </c:rich>
          </c:tx>
          <c:layout>
            <c:manualLayout>
              <c:xMode val="edge"/>
              <c:yMode val="edge"/>
              <c:x val="0.41912745591149259"/>
              <c:y val="0.93448092573334007"/>
            </c:manualLayout>
          </c:layout>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a:lstStyle/>
          <a:p>
            <a:pPr>
              <a:defRPr/>
            </a:pPr>
            <a:endParaRPr lang="en-US"/>
          </a:p>
        </c:txPr>
        <c:crossAx val="302283776"/>
        <c:crosses val="autoZero"/>
        <c:auto val="1"/>
        <c:lblAlgn val="ctr"/>
        <c:lblOffset val="100"/>
        <c:noMultiLvlLbl val="0"/>
      </c:catAx>
      <c:valAx>
        <c:axId val="302283776"/>
        <c:scaling>
          <c:orientation val="minMax"/>
        </c:scaling>
        <c:delete val="0"/>
        <c:axPos val="l"/>
        <c:title>
          <c:tx>
            <c:rich>
              <a:bodyPr rot="0"/>
              <a:lstStyle/>
              <a:p>
                <a:pPr algn="l">
                  <a:defRPr b="0">
                    <a:solidFill>
                      <a:sysClr val="windowText" lastClr="000000"/>
                    </a:solidFill>
                  </a:defRPr>
                </a:pPr>
                <a:r>
                  <a:rPr lang="en-NZ" b="0">
                    <a:solidFill>
                      <a:sysClr val="windowText" lastClr="000000"/>
                    </a:solidFill>
                  </a:rPr>
                  <a:t>Number of people secluded</a:t>
                </a:r>
              </a:p>
            </c:rich>
          </c:tx>
          <c:layout>
            <c:manualLayout>
              <c:xMode val="edge"/>
              <c:yMode val="edge"/>
              <c:x val="1.4371475885275264E-3"/>
              <c:y val="9.1988501437318819E-5"/>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302281856"/>
        <c:crosses val="autoZero"/>
        <c:crossBetween val="between"/>
        <c:majorUnit val="20"/>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834032694968654E-2"/>
          <c:y val="0.13420307755648192"/>
          <c:w val="0.91986766966092604"/>
          <c:h val="0.65526060161597444"/>
        </c:manualLayout>
      </c:layout>
      <c:barChart>
        <c:barDir val="col"/>
        <c:grouping val="clustered"/>
        <c:varyColors val="0"/>
        <c:ser>
          <c:idx val="0"/>
          <c:order val="0"/>
          <c:tx>
            <c:strRef>
              <c:f>Seclusion!$D$102</c:f>
              <c:strCache>
                <c:ptCount val="1"/>
                <c:pt idx="0">
                  <c:v>Number of events (excl outlier)</c:v>
                </c:pt>
              </c:strCache>
            </c:strRef>
          </c:tx>
          <c:spPr>
            <a:solidFill>
              <a:schemeClr val="accent6"/>
            </a:solidFill>
            <a:ln>
              <a:noFill/>
            </a:ln>
            <a:effectLst/>
          </c:spPr>
          <c:invertIfNegative val="0"/>
          <c:dLbls>
            <c:dLbl>
              <c:idx val="23"/>
              <c:layout>
                <c:manualLayout>
                  <c:x val="-2.2446689113355782E-3"/>
                  <c:y val="1.66030626539779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0F-4512-BB1D-5C5A7FF5EC1E}"/>
                </c:ext>
              </c:extLst>
            </c:dLbl>
            <c:spPr>
              <a:noFill/>
              <a:ln>
                <a:noFill/>
              </a:ln>
              <a:effectLst/>
            </c:spPr>
            <c:txPr>
              <a:bodyPr rot="-5400000"/>
              <a:lstStyle/>
              <a:p>
                <a:pPr>
                  <a:defRPr sz="80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6350" cap="flat" cmpd="sng" algn="ctr">
                      <a:solidFill>
                        <a:schemeClr val="tx1"/>
                      </a:solidFill>
                      <a:prstDash val="solid"/>
                      <a:round/>
                    </a:ln>
                    <a:effectLst/>
                  </c:spPr>
                </c15:leaderLines>
              </c:ext>
            </c:extLst>
          </c:dLbls>
          <c:cat>
            <c:strRef>
              <c:f>Seclusion!$C$103:$C$129</c:f>
              <c:strCache>
                <c:ptCount val="27"/>
                <c:pt idx="0">
                  <c:v> 0–1</c:v>
                </c:pt>
                <c:pt idx="1">
                  <c:v> 1–2</c:v>
                </c:pt>
                <c:pt idx="2">
                  <c:v> 2–3</c:v>
                </c:pt>
                <c:pt idx="3">
                  <c:v> 3–4</c:v>
                </c:pt>
                <c:pt idx="4">
                  <c:v> 4–5</c:v>
                </c:pt>
                <c:pt idx="5">
                  <c:v> 5–6</c:v>
                </c:pt>
                <c:pt idx="6">
                  <c:v> 6–7</c:v>
                </c:pt>
                <c:pt idx="7">
                  <c:v> 7–8</c:v>
                </c:pt>
                <c:pt idx="8">
                  <c:v> 8–9</c:v>
                </c:pt>
                <c:pt idx="9">
                  <c:v> 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pt idx="24">
                  <c:v>24–35</c:v>
                </c:pt>
                <c:pt idx="25">
                  <c:v>36–47</c:v>
                </c:pt>
                <c:pt idx="26">
                  <c:v>48+</c:v>
                </c:pt>
              </c:strCache>
            </c:strRef>
          </c:cat>
          <c:val>
            <c:numRef>
              <c:f>Seclusion!$D$103:$D$129</c:f>
              <c:numCache>
                <c:formatCode>General</c:formatCode>
                <c:ptCount val="27"/>
                <c:pt idx="0">
                  <c:v>147</c:v>
                </c:pt>
                <c:pt idx="1">
                  <c:v>180</c:v>
                </c:pt>
                <c:pt idx="2">
                  <c:v>181</c:v>
                </c:pt>
                <c:pt idx="3">
                  <c:v>166</c:v>
                </c:pt>
                <c:pt idx="4">
                  <c:v>102</c:v>
                </c:pt>
                <c:pt idx="5">
                  <c:v>98</c:v>
                </c:pt>
                <c:pt idx="6">
                  <c:v>90</c:v>
                </c:pt>
                <c:pt idx="7">
                  <c:v>71</c:v>
                </c:pt>
                <c:pt idx="8">
                  <c:v>89</c:v>
                </c:pt>
                <c:pt idx="9">
                  <c:v>93</c:v>
                </c:pt>
                <c:pt idx="10">
                  <c:v>113</c:v>
                </c:pt>
                <c:pt idx="11">
                  <c:v>98</c:v>
                </c:pt>
                <c:pt idx="12">
                  <c:v>101</c:v>
                </c:pt>
                <c:pt idx="13">
                  <c:v>78</c:v>
                </c:pt>
                <c:pt idx="14">
                  <c:v>67</c:v>
                </c:pt>
                <c:pt idx="15">
                  <c:v>86</c:v>
                </c:pt>
                <c:pt idx="16">
                  <c:v>66</c:v>
                </c:pt>
                <c:pt idx="17">
                  <c:v>58</c:v>
                </c:pt>
                <c:pt idx="18">
                  <c:v>61</c:v>
                </c:pt>
                <c:pt idx="19">
                  <c:v>55</c:v>
                </c:pt>
                <c:pt idx="20">
                  <c:v>49</c:v>
                </c:pt>
                <c:pt idx="21">
                  <c:v>58</c:v>
                </c:pt>
                <c:pt idx="22">
                  <c:v>45</c:v>
                </c:pt>
                <c:pt idx="23">
                  <c:v>36</c:v>
                </c:pt>
                <c:pt idx="24">
                  <c:v>196</c:v>
                </c:pt>
                <c:pt idx="25">
                  <c:v>176</c:v>
                </c:pt>
                <c:pt idx="26">
                  <c:v>374</c:v>
                </c:pt>
              </c:numCache>
            </c:numRef>
          </c:val>
          <c:extLst>
            <c:ext xmlns:c16="http://schemas.microsoft.com/office/drawing/2014/chart" uri="{C3380CC4-5D6E-409C-BE32-E72D297353CC}">
              <c16:uniqueId val="{00000000-60FB-41AB-9549-FF185876B56C}"/>
            </c:ext>
          </c:extLst>
        </c:ser>
        <c:dLbls>
          <c:dLblPos val="inEnd"/>
          <c:showLegendKey val="0"/>
          <c:showVal val="1"/>
          <c:showCatName val="0"/>
          <c:showSerName val="0"/>
          <c:showPercent val="0"/>
          <c:showBubbleSize val="0"/>
        </c:dLbls>
        <c:gapWidth val="44"/>
        <c:axId val="305339392"/>
        <c:axId val="305342720"/>
      </c:barChart>
      <c:catAx>
        <c:axId val="305339392"/>
        <c:scaling>
          <c:orientation val="minMax"/>
        </c:scaling>
        <c:delete val="0"/>
        <c:axPos val="b"/>
        <c:title>
          <c:tx>
            <c:rich>
              <a:bodyPr rot="0" vert="horz"/>
              <a:lstStyle/>
              <a:p>
                <a:pPr>
                  <a:defRPr b="0"/>
                </a:pPr>
                <a:r>
                  <a:rPr lang="en-NZ" b="0"/>
                  <a:t>Hours</a:t>
                </a:r>
              </a:p>
            </c:rich>
          </c:tx>
          <c:layout>
            <c:manualLayout>
              <c:xMode val="edge"/>
              <c:yMode val="edge"/>
              <c:x val="0.48588960152161859"/>
              <c:y val="0.93670708339371689"/>
            </c:manualLayout>
          </c:layout>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305342720"/>
        <c:crosses val="autoZero"/>
        <c:auto val="1"/>
        <c:lblAlgn val="ctr"/>
        <c:lblOffset val="100"/>
        <c:noMultiLvlLbl val="0"/>
      </c:catAx>
      <c:valAx>
        <c:axId val="305342720"/>
        <c:scaling>
          <c:orientation val="minMax"/>
        </c:scaling>
        <c:delete val="0"/>
        <c:axPos val="l"/>
        <c:title>
          <c:tx>
            <c:rich>
              <a:bodyPr rot="0"/>
              <a:lstStyle/>
              <a:p>
                <a:pPr algn="l">
                  <a:defRPr b="0"/>
                </a:pPr>
                <a:r>
                  <a:rPr lang="en-NZ" b="0"/>
                  <a:t>Number of seclusion events</a:t>
                </a:r>
              </a:p>
            </c:rich>
          </c:tx>
          <c:layout>
            <c:manualLayout>
              <c:xMode val="edge"/>
              <c:yMode val="edge"/>
              <c:x val="1.4329707274393234E-3"/>
              <c:y val="3.6835579601629553E-3"/>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305339392"/>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069124501092354E-2"/>
          <c:y val="0.10907606501110437"/>
          <c:w val="0.7820850002878823"/>
          <c:h val="0.53957038952220515"/>
        </c:manualLayout>
      </c:layout>
      <c:lineChart>
        <c:grouping val="standard"/>
        <c:varyColors val="0"/>
        <c:ser>
          <c:idx val="0"/>
          <c:order val="0"/>
          <c:tx>
            <c:strRef>
              <c:f>'Error bars'!$B$250</c:f>
              <c:strCache>
                <c:ptCount val="1"/>
                <c:pt idx="0">
                  <c:v>People secluded</c:v>
                </c:pt>
              </c:strCache>
            </c:strRef>
          </c:tx>
          <c:spPr>
            <a:ln w="19050" cap="rnd" cmpd="sng" algn="ctr">
              <a:noFill/>
              <a:prstDash val="solid"/>
              <a:round/>
            </a:ln>
            <a:effectLst/>
          </c:spPr>
          <c:marker>
            <c:spPr>
              <a:solidFill>
                <a:schemeClr val="accent1"/>
              </a:solidFill>
              <a:ln w="6350" cap="flat" cmpd="sng" algn="ctr">
                <a:solidFill>
                  <a:schemeClr val="accent1"/>
                </a:solidFill>
                <a:prstDash val="solid"/>
                <a:round/>
              </a:ln>
              <a:effectLst/>
            </c:spPr>
          </c:marker>
          <c:errBars>
            <c:errDir val="y"/>
            <c:errBarType val="both"/>
            <c:errValType val="cust"/>
            <c:noEndCap val="0"/>
            <c:plus>
              <c:numRef>
                <c:f>'Error bars'!$F$252:$F$271</c:f>
                <c:numCache>
                  <c:formatCode>General</c:formatCode>
                  <c:ptCount val="19"/>
                  <c:pt idx="0">
                    <c:v>3.8346122259426112</c:v>
                  </c:pt>
                  <c:pt idx="1">
                    <c:v>21.814297868278302</c:v>
                  </c:pt>
                  <c:pt idx="2">
                    <c:v>7.5968142060643977</c:v>
                  </c:pt>
                  <c:pt idx="3">
                    <c:v>13.30610351590542</c:v>
                  </c:pt>
                  <c:pt idx="4">
                    <c:v>8.1375605127189061</c:v>
                  </c:pt>
                  <c:pt idx="5">
                    <c:v>21.014978247680062</c:v>
                  </c:pt>
                  <c:pt idx="6">
                    <c:v>24.590212004999145</c:v>
                  </c:pt>
                  <c:pt idx="7">
                    <c:v>27.708778102550646</c:v>
                  </c:pt>
                  <c:pt idx="8">
                    <c:v>19.392255383294966</c:v>
                  </c:pt>
                  <c:pt idx="9">
                    <c:v>22.064372611532235</c:v>
                  </c:pt>
                  <c:pt idx="10">
                    <c:v>19.128024648182382</c:v>
                  </c:pt>
                  <c:pt idx="11">
                    <c:v>30.790935026352415</c:v>
                  </c:pt>
                  <c:pt idx="12">
                    <c:v>12.12797562822594</c:v>
                  </c:pt>
                  <c:pt idx="13">
                    <c:v>56.235278249581569</c:v>
                  </c:pt>
                  <c:pt idx="14">
                    <c:v>23.796433581587983</c:v>
                  </c:pt>
                  <c:pt idx="15">
                    <c:v>11.532172436668915</c:v>
                  </c:pt>
                  <c:pt idx="16">
                    <c:v>4.4730440261520421</c:v>
                  </c:pt>
                  <c:pt idx="17">
                    <c:v>49.794609039581047</c:v>
                  </c:pt>
                  <c:pt idx="18">
                    <c:v>27.380689729568633</c:v>
                  </c:pt>
                </c:numCache>
              </c:numRef>
            </c:plus>
            <c:minus>
              <c:numRef>
                <c:f>'Error bars'!$E$252:$E$271</c:f>
                <c:numCache>
                  <c:formatCode>General</c:formatCode>
                  <c:ptCount val="19"/>
                  <c:pt idx="0">
                    <c:v>2.3210049668395536</c:v>
                  </c:pt>
                  <c:pt idx="1">
                    <c:v>18.42283668167147</c:v>
                  </c:pt>
                  <c:pt idx="2">
                    <c:v>6.2082977064351468</c:v>
                  </c:pt>
                  <c:pt idx="3">
                    <c:v>10.912133001150281</c:v>
                  </c:pt>
                  <c:pt idx="4">
                    <c:v>6.7565017560226437</c:v>
                  </c:pt>
                  <c:pt idx="5">
                    <c:v>15.961425422037291</c:v>
                  </c:pt>
                  <c:pt idx="6">
                    <c:v>19.445790715983485</c:v>
                  </c:pt>
                  <c:pt idx="7">
                    <c:v>20.20627586131598</c:v>
                  </c:pt>
                  <c:pt idx="8">
                    <c:v>14.683809621660501</c:v>
                  </c:pt>
                  <c:pt idx="9">
                    <c:v>16.543286516816075</c:v>
                  </c:pt>
                  <c:pt idx="10">
                    <c:v>14.390538068509105</c:v>
                  </c:pt>
                  <c:pt idx="11">
                    <c:v>15.80234981364622</c:v>
                  </c:pt>
                  <c:pt idx="12">
                    <c:v>9.7676914043373699</c:v>
                  </c:pt>
                  <c:pt idx="13">
                    <c:v>38.058227071739715</c:v>
                  </c:pt>
                  <c:pt idx="14">
                    <c:v>16.602053528987479</c:v>
                  </c:pt>
                  <c:pt idx="15">
                    <c:v>9.5659730913379732</c:v>
                  </c:pt>
                  <c:pt idx="16">
                    <c:v>3.1974228117448247</c:v>
                  </c:pt>
                  <c:pt idx="17">
                    <c:v>21.344608214137018</c:v>
                  </c:pt>
                  <c:pt idx="18">
                    <c:v>13.408977360984398</c:v>
                  </c:pt>
                </c:numCache>
              </c:numRef>
            </c:minus>
            <c:spPr>
              <a:solidFill>
                <a:schemeClr val="tx1"/>
              </a:solidFill>
              <a:ln w="6350" cap="flat" cmpd="sng" algn="ctr">
                <a:solidFill>
                  <a:schemeClr val="tx1"/>
                </a:solidFill>
                <a:prstDash val="solid"/>
                <a:round/>
              </a:ln>
              <a:effectLst/>
            </c:spPr>
          </c:errBars>
          <c:cat>
            <c:strRef>
              <c:f>'Error bars'!$B$252:$B$271</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strRef>
          </c:cat>
          <c:val>
            <c:numRef>
              <c:f>'Error bars'!$C$252:$C$271</c:f>
              <c:numCache>
                <c:formatCode>0.0</c:formatCode>
                <c:ptCount val="19"/>
                <c:pt idx="0">
                  <c:v>4.1823504809703058</c:v>
                </c:pt>
                <c:pt idx="1">
                  <c:v>84.261838440111418</c:v>
                </c:pt>
                <c:pt idx="2">
                  <c:v>24.129904048146255</c:v>
                </c:pt>
                <c:pt idx="3">
                  <c:v>43.090784448144163</c:v>
                </c:pt>
                <c:pt idx="4">
                  <c:v>28.294145941204768</c:v>
                </c:pt>
                <c:pt idx="5">
                  <c:v>47.087726481727913</c:v>
                </c:pt>
                <c:pt idx="6">
                  <c:v>65.982404692082113</c:v>
                </c:pt>
                <c:pt idx="7">
                  <c:v>52.92605474066233</c:v>
                </c:pt>
                <c:pt idx="8">
                  <c:v>42.90208790161121</c:v>
                </c:pt>
                <c:pt idx="9">
                  <c:v>46.895935685573917</c:v>
                </c:pt>
                <c:pt idx="10">
                  <c:v>41.215374293108404</c:v>
                </c:pt>
                <c:pt idx="11">
                  <c:v>23.286275651288022</c:v>
                </c:pt>
                <c:pt idx="12">
                  <c:v>35.642038339273675</c:v>
                </c:pt>
                <c:pt idx="13">
                  <c:v>83.53005266025059</c:v>
                </c:pt>
                <c:pt idx="14">
                  <c:v>38.946988820771729</c:v>
                </c:pt>
                <c:pt idx="15">
                  <c:v>39.874335427742871</c:v>
                </c:pt>
                <c:pt idx="16">
                  <c:v>7.9513684048529001</c:v>
                </c:pt>
                <c:pt idx="17">
                  <c:v>27.210884353741495</c:v>
                </c:pt>
                <c:pt idx="18">
                  <c:v>18.913807079167793</c:v>
                </c:pt>
              </c:numCache>
            </c:numRef>
          </c:val>
          <c:smooth val="0"/>
          <c:extLst>
            <c:ext xmlns:c16="http://schemas.microsoft.com/office/drawing/2014/chart" uri="{C3380CC4-5D6E-409C-BE32-E72D297353CC}">
              <c16:uniqueId val="{00000000-95BE-4145-AF8E-D153486F9546}"/>
            </c:ext>
          </c:extLst>
        </c:ser>
        <c:ser>
          <c:idx val="1"/>
          <c:order val="1"/>
          <c:tx>
            <c:v>National Average</c:v>
          </c:tx>
          <c:spPr>
            <a:ln w="19050" cap="rnd" cmpd="sng" algn="ctr">
              <a:solidFill>
                <a:schemeClr val="accent6"/>
              </a:solidFill>
              <a:prstDash val="solid"/>
              <a:round/>
            </a:ln>
            <a:effectLst/>
          </c:spPr>
          <c:marker>
            <c:symbol val="none"/>
          </c:marker>
          <c:cat>
            <c:strRef>
              <c:f>'Error bars'!$B$252:$B$271</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strRef>
          </c:cat>
          <c:val>
            <c:numRef>
              <c:f>'Error bars'!$D$252:$D$271</c:f>
              <c:numCache>
                <c:formatCode>0</c:formatCode>
                <c:ptCount val="19"/>
                <c:pt idx="0">
                  <c:v>31.049131173427536</c:v>
                </c:pt>
                <c:pt idx="1">
                  <c:v>31.049131173427536</c:v>
                </c:pt>
                <c:pt idx="2">
                  <c:v>31.049131173427536</c:v>
                </c:pt>
                <c:pt idx="3">
                  <c:v>31.049131173427536</c:v>
                </c:pt>
                <c:pt idx="4">
                  <c:v>31.049131173427536</c:v>
                </c:pt>
                <c:pt idx="5">
                  <c:v>31.049131173427536</c:v>
                </c:pt>
                <c:pt idx="6">
                  <c:v>31.049131173427536</c:v>
                </c:pt>
                <c:pt idx="7">
                  <c:v>31.049131173427536</c:v>
                </c:pt>
                <c:pt idx="8">
                  <c:v>31.049131173427536</c:v>
                </c:pt>
                <c:pt idx="9">
                  <c:v>31.049131173427536</c:v>
                </c:pt>
                <c:pt idx="10">
                  <c:v>31.049131173427536</c:v>
                </c:pt>
                <c:pt idx="11">
                  <c:v>31.049131173427536</c:v>
                </c:pt>
                <c:pt idx="12">
                  <c:v>31.049131173427536</c:v>
                </c:pt>
                <c:pt idx="13">
                  <c:v>31.049131173427536</c:v>
                </c:pt>
                <c:pt idx="14">
                  <c:v>31.049131173427536</c:v>
                </c:pt>
                <c:pt idx="15">
                  <c:v>31.049131173427536</c:v>
                </c:pt>
                <c:pt idx="16">
                  <c:v>31.049131173427536</c:v>
                </c:pt>
                <c:pt idx="17">
                  <c:v>31.049131173427536</c:v>
                </c:pt>
                <c:pt idx="18">
                  <c:v>31.049131173427536</c:v>
                </c:pt>
              </c:numCache>
            </c:numRef>
          </c:val>
          <c:smooth val="0"/>
          <c:extLst>
            <c:ext xmlns:c16="http://schemas.microsoft.com/office/drawing/2014/chart" uri="{C3380CC4-5D6E-409C-BE32-E72D297353CC}">
              <c16:uniqueId val="{00000001-95BE-4145-AF8E-D153486F9546}"/>
            </c:ext>
          </c:extLst>
        </c:ser>
        <c:dLbls>
          <c:showLegendKey val="0"/>
          <c:showVal val="0"/>
          <c:showCatName val="0"/>
          <c:showSerName val="0"/>
          <c:showPercent val="0"/>
          <c:showBubbleSize val="0"/>
        </c:dLbls>
        <c:marker val="1"/>
        <c:smooth val="0"/>
        <c:axId val="305368448"/>
        <c:axId val="305395200"/>
      </c:lineChart>
      <c:catAx>
        <c:axId val="305368448"/>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a:lstStyle/>
          <a:p>
            <a:pPr>
              <a:defRPr/>
            </a:pPr>
            <a:endParaRPr lang="en-US"/>
          </a:p>
        </c:txPr>
        <c:crossAx val="305395200"/>
        <c:crosses val="autoZero"/>
        <c:auto val="1"/>
        <c:lblAlgn val="ctr"/>
        <c:lblOffset val="100"/>
        <c:noMultiLvlLbl val="0"/>
      </c:catAx>
      <c:valAx>
        <c:axId val="305395200"/>
        <c:scaling>
          <c:orientation val="minMax"/>
        </c:scaling>
        <c:delete val="0"/>
        <c:axPos val="l"/>
        <c:title>
          <c:tx>
            <c:rich>
              <a:bodyPr rot="0"/>
              <a:lstStyle/>
              <a:p>
                <a:pPr algn="l">
                  <a:defRPr b="0"/>
                </a:pPr>
                <a:r>
                  <a:rPr lang="en-NZ" b="0"/>
                  <a:t>Number per 100,000 population</a:t>
                </a:r>
              </a:p>
            </c:rich>
          </c:tx>
          <c:layout>
            <c:manualLayout>
              <c:xMode val="edge"/>
              <c:yMode val="edge"/>
              <c:x val="0"/>
              <c:y val="7.5329566854991667E-4"/>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30536844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818870382451775E-2"/>
          <c:y val="0.11592185155452403"/>
          <c:w val="0.81503443246195151"/>
          <c:h val="0.51570248375441619"/>
        </c:manualLayout>
      </c:layout>
      <c:lineChart>
        <c:grouping val="standard"/>
        <c:varyColors val="0"/>
        <c:ser>
          <c:idx val="0"/>
          <c:order val="0"/>
          <c:tx>
            <c:strRef>
              <c:f>'Error bars'!$B$287</c:f>
              <c:strCache>
                <c:ptCount val="1"/>
                <c:pt idx="0">
                  <c:v>Number of events</c:v>
                </c:pt>
              </c:strCache>
            </c:strRef>
          </c:tx>
          <c:spPr>
            <a:ln w="19050" cap="rnd" cmpd="sng" algn="ctr">
              <a:noFill/>
              <a:prstDash val="solid"/>
              <a:round/>
            </a:ln>
            <a:effectLst/>
          </c:spPr>
          <c:marker>
            <c:spPr>
              <a:solidFill>
                <a:schemeClr val="accent1"/>
              </a:solidFill>
              <a:ln w="6350" cap="flat" cmpd="sng" algn="ctr">
                <a:solidFill>
                  <a:schemeClr val="accent1"/>
                </a:solidFill>
                <a:prstDash val="solid"/>
                <a:round/>
              </a:ln>
              <a:effectLst/>
            </c:spPr>
          </c:marker>
          <c:errBars>
            <c:errDir val="y"/>
            <c:errBarType val="both"/>
            <c:errValType val="cust"/>
            <c:noEndCap val="0"/>
            <c:plus>
              <c:numRef>
                <c:f>'Error bars'!$F$289:$F$308</c:f>
                <c:numCache>
                  <c:formatCode>General</c:formatCode>
                  <c:ptCount val="19"/>
                  <c:pt idx="0">
                    <c:v>4.9282659916460165</c:v>
                  </c:pt>
                  <c:pt idx="1">
                    <c:v>34.240643418560353</c:v>
                  </c:pt>
                  <c:pt idx="2">
                    <c:v>10.036617742574521</c:v>
                  </c:pt>
                  <c:pt idx="3">
                    <c:v>17.110849623280188</c:v>
                  </c:pt>
                  <c:pt idx="4">
                    <c:v>10.912244650431361</c:v>
                  </c:pt>
                  <c:pt idx="5">
                    <c:v>26.078083876518903</c:v>
                  </c:pt>
                  <c:pt idx="6">
                    <c:v>29.716306586430377</c:v>
                  </c:pt>
                  <c:pt idx="7">
                    <c:v>31.326968653671557</c:v>
                  </c:pt>
                  <c:pt idx="8">
                    <c:v>25.38012253542793</c:v>
                  </c:pt>
                  <c:pt idx="9">
                    <c:v>38.668906651747875</c:v>
                  </c:pt>
                  <c:pt idx="10">
                    <c:v>23.112429146227257</c:v>
                  </c:pt>
                  <c:pt idx="11">
                    <c:v>45.071703874318956</c:v>
                  </c:pt>
                  <c:pt idx="12">
                    <c:v>24.957682577883276</c:v>
                  </c:pt>
                  <c:pt idx="13">
                    <c:v>71.048287528642675</c:v>
                  </c:pt>
                  <c:pt idx="14">
                    <c:v>27.638699247723892</c:v>
                  </c:pt>
                  <c:pt idx="15">
                    <c:v>14.565077936404265</c:v>
                  </c:pt>
                  <c:pt idx="16">
                    <c:v>5.6362996559139624</c:v>
                  </c:pt>
                  <c:pt idx="17">
                    <c:v>49.794609039581047</c:v>
                  </c:pt>
                  <c:pt idx="18">
                    <c:v>33.765706928532104</c:v>
                  </c:pt>
                </c:numCache>
              </c:numRef>
            </c:plus>
            <c:minus>
              <c:numRef>
                <c:f>'Error bars'!$E$289:$E$308</c:f>
                <c:numCache>
                  <c:formatCode>General</c:formatCode>
                  <c:ptCount val="19"/>
                  <c:pt idx="0">
                    <c:v>3.4383024463674987</c:v>
                  </c:pt>
                  <c:pt idx="1">
                    <c:v>30.879172938665334</c:v>
                  </c:pt>
                  <c:pt idx="2">
                    <c:v>8.6579863637180594</c:v>
                  </c:pt>
                  <c:pt idx="3">
                    <c:v>14.73222992975851</c:v>
                  </c:pt>
                  <c:pt idx="4">
                    <c:v>9.5406654435468283</c:v>
                  </c:pt>
                  <c:pt idx="5">
                    <c:v>21.06365050469882</c:v>
                  </c:pt>
                  <c:pt idx="6">
                    <c:v>24.602236213049352</c:v>
                  </c:pt>
                  <c:pt idx="7">
                    <c:v>23.864394658465017</c:v>
                  </c:pt>
                  <c:pt idx="8">
                    <c:v>20.716232473788246</c:v>
                  </c:pt>
                  <c:pt idx="9">
                    <c:v>33.243955157477018</c:v>
                  </c:pt>
                  <c:pt idx="10">
                    <c:v>18.408693275657996</c:v>
                  </c:pt>
                  <c:pt idx="11">
                    <c:v>30.503079098249266</c:v>
                  </c:pt>
                  <c:pt idx="12">
                    <c:v>22.634535670976163</c:v>
                  </c:pt>
                  <c:pt idx="13">
                    <c:v>53.082712464060549</c:v>
                  </c:pt>
                  <c:pt idx="14">
                    <c:v>20.496505979355064</c:v>
                  </c:pt>
                  <c:pt idx="15">
                    <c:v>12.610026922583856</c:v>
                  </c:pt>
                  <c:pt idx="16">
                    <c:v>4.3733967448644897</c:v>
                  </c:pt>
                  <c:pt idx="17">
                    <c:v>21.344608214137018</c:v>
                  </c:pt>
                  <c:pt idx="18">
                    <c:v>20.04831477146157</c:v>
                  </c:pt>
                </c:numCache>
              </c:numRef>
            </c:minus>
            <c:spPr>
              <a:solidFill>
                <a:schemeClr val="tx1"/>
              </a:solidFill>
              <a:ln w="6350" cap="flat" cmpd="sng" algn="ctr">
                <a:solidFill>
                  <a:schemeClr val="tx1"/>
                </a:solidFill>
                <a:prstDash val="solid"/>
                <a:round/>
              </a:ln>
              <a:effectLst/>
            </c:spPr>
          </c:errBars>
          <c:cat>
            <c:strRef>
              <c:f>'Error bars'!$B$289:$B$308</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strRef>
          </c:cat>
          <c:val>
            <c:numRef>
              <c:f>'Error bars'!$C$289:$C$308</c:f>
              <c:numCache>
                <c:formatCode>0.0</c:formatCode>
                <c:ptCount val="19"/>
                <c:pt idx="0">
                  <c:v>8.0659616418713025</c:v>
                </c:pt>
                <c:pt idx="1">
                  <c:v>224.23398328690809</c:v>
                </c:pt>
                <c:pt idx="2">
                  <c:v>44.853233407142454</c:v>
                </c:pt>
                <c:pt idx="3">
                  <c:v>75.408872784252281</c:v>
                </c:pt>
                <c:pt idx="4">
                  <c:v>54.0418187477011</c:v>
                </c:pt>
                <c:pt idx="5">
                  <c:v>77.797113317637425</c:v>
                </c:pt>
                <c:pt idx="6">
                  <c:v>101.59195643066612</c:v>
                </c:pt>
                <c:pt idx="7">
                  <c:v>71.072130651746562</c:v>
                </c:pt>
                <c:pt idx="8">
                  <c:v>80.083897416340918</c:v>
                </c:pt>
                <c:pt idx="9">
                  <c:v>168.60205448861097</c:v>
                </c:pt>
                <c:pt idx="10">
                  <c:v>64.219304131122399</c:v>
                </c:pt>
                <c:pt idx="11">
                  <c:v>66.948042497453073</c:v>
                </c:pt>
                <c:pt idx="12">
                  <c:v>173.39370002889896</c:v>
                </c:pt>
                <c:pt idx="13">
                  <c:v>148.90139822044671</c:v>
                </c:pt>
                <c:pt idx="14">
                  <c:v>56.256761630003609</c:v>
                </c:pt>
                <c:pt idx="15">
                  <c:v>66.859996777831483</c:v>
                </c:pt>
                <c:pt idx="16">
                  <c:v>13.850770769743761</c:v>
                </c:pt>
                <c:pt idx="17">
                  <c:v>27.210884353741495</c:v>
                </c:pt>
                <c:pt idx="18">
                  <c:v>35.125641718454467</c:v>
                </c:pt>
              </c:numCache>
            </c:numRef>
          </c:val>
          <c:smooth val="0"/>
          <c:extLst>
            <c:ext xmlns:c16="http://schemas.microsoft.com/office/drawing/2014/chart" uri="{C3380CC4-5D6E-409C-BE32-E72D297353CC}">
              <c16:uniqueId val="{00000000-443E-4DD7-94E8-2706E73BC1A0}"/>
            </c:ext>
          </c:extLst>
        </c:ser>
        <c:ser>
          <c:idx val="1"/>
          <c:order val="1"/>
          <c:tx>
            <c:v>National Average</c:v>
          </c:tx>
          <c:spPr>
            <a:ln w="19050" cap="rnd" cmpd="sng" algn="ctr">
              <a:solidFill>
                <a:schemeClr val="accent6"/>
              </a:solidFill>
              <a:prstDash val="solid"/>
              <a:round/>
            </a:ln>
            <a:effectLst/>
          </c:spPr>
          <c:marker>
            <c:symbol val="none"/>
          </c:marker>
          <c:cat>
            <c:strRef>
              <c:f>'Error bars'!$B$289:$B$308</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strRef>
          </c:cat>
          <c:val>
            <c:numRef>
              <c:f>'Error bars'!$D$289:$D$308</c:f>
              <c:numCache>
                <c:formatCode>0</c:formatCode>
                <c:ptCount val="19"/>
                <c:pt idx="0">
                  <c:v>69.053533960195224</c:v>
                </c:pt>
                <c:pt idx="1">
                  <c:v>69.053533960195224</c:v>
                </c:pt>
                <c:pt idx="2">
                  <c:v>69.053533960195224</c:v>
                </c:pt>
                <c:pt idx="3">
                  <c:v>69.053533960195224</c:v>
                </c:pt>
                <c:pt idx="4">
                  <c:v>69.053533960195224</c:v>
                </c:pt>
                <c:pt idx="5">
                  <c:v>69.053533960195224</c:v>
                </c:pt>
                <c:pt idx="6">
                  <c:v>69.053533960195224</c:v>
                </c:pt>
                <c:pt idx="7">
                  <c:v>69.053533960195224</c:v>
                </c:pt>
                <c:pt idx="8">
                  <c:v>69.053533960195224</c:v>
                </c:pt>
                <c:pt idx="9">
                  <c:v>69.053533960195224</c:v>
                </c:pt>
                <c:pt idx="10">
                  <c:v>69.053533960195224</c:v>
                </c:pt>
                <c:pt idx="11">
                  <c:v>69.053533960195224</c:v>
                </c:pt>
                <c:pt idx="12">
                  <c:v>69.053533960195224</c:v>
                </c:pt>
                <c:pt idx="13">
                  <c:v>69.053533960195224</c:v>
                </c:pt>
                <c:pt idx="14">
                  <c:v>69.053533960195224</c:v>
                </c:pt>
                <c:pt idx="15">
                  <c:v>69.053533960195224</c:v>
                </c:pt>
                <c:pt idx="16">
                  <c:v>69.053533960195224</c:v>
                </c:pt>
                <c:pt idx="17">
                  <c:v>69.053533960195224</c:v>
                </c:pt>
                <c:pt idx="18">
                  <c:v>69.053533960195224</c:v>
                </c:pt>
              </c:numCache>
            </c:numRef>
          </c:val>
          <c:smooth val="0"/>
          <c:extLst>
            <c:ext xmlns:c16="http://schemas.microsoft.com/office/drawing/2014/chart" uri="{C3380CC4-5D6E-409C-BE32-E72D297353CC}">
              <c16:uniqueId val="{00000001-443E-4DD7-94E8-2706E73BC1A0}"/>
            </c:ext>
          </c:extLst>
        </c:ser>
        <c:dLbls>
          <c:showLegendKey val="0"/>
          <c:showVal val="0"/>
          <c:showCatName val="0"/>
          <c:showSerName val="0"/>
          <c:showPercent val="0"/>
          <c:showBubbleSize val="0"/>
        </c:dLbls>
        <c:marker val="1"/>
        <c:smooth val="0"/>
        <c:axId val="305450368"/>
        <c:axId val="305452544"/>
      </c:lineChart>
      <c:catAx>
        <c:axId val="305450368"/>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a:lstStyle/>
          <a:p>
            <a:pPr>
              <a:defRPr/>
            </a:pPr>
            <a:endParaRPr lang="en-US"/>
          </a:p>
        </c:txPr>
        <c:crossAx val="305452544"/>
        <c:crosses val="autoZero"/>
        <c:auto val="1"/>
        <c:lblAlgn val="ctr"/>
        <c:lblOffset val="100"/>
        <c:noMultiLvlLbl val="0"/>
      </c:catAx>
      <c:valAx>
        <c:axId val="305452544"/>
        <c:scaling>
          <c:orientation val="minMax"/>
        </c:scaling>
        <c:delete val="0"/>
        <c:axPos val="l"/>
        <c:title>
          <c:tx>
            <c:rich>
              <a:bodyPr rot="0"/>
              <a:lstStyle/>
              <a:p>
                <a:pPr algn="l">
                  <a:defRPr b="0"/>
                </a:pPr>
                <a:r>
                  <a:rPr lang="en-NZ" b="0"/>
                  <a:t>Number per 100,000 population</a:t>
                </a:r>
              </a:p>
            </c:rich>
          </c:tx>
          <c:layout>
            <c:manualLayout>
              <c:xMode val="edge"/>
              <c:yMode val="edge"/>
              <c:x val="0"/>
              <c:y val="4.0625543229824533E-4"/>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30545036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20034995625552E-2"/>
          <c:y val="0.15186091837530211"/>
          <c:w val="0.88722440944881875"/>
          <c:h val="0.69463507916059397"/>
        </c:manualLayout>
      </c:layout>
      <c:barChart>
        <c:barDir val="col"/>
        <c:grouping val="clustered"/>
        <c:varyColors val="0"/>
        <c:ser>
          <c:idx val="0"/>
          <c:order val="0"/>
          <c:spPr>
            <a:solidFill>
              <a:schemeClr val="accent6"/>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EB41-4B82-86CD-2E82F7F1A2C7}"/>
              </c:ext>
            </c:extLst>
          </c:dPt>
          <c:dPt>
            <c:idx val="1"/>
            <c:invertIfNegative val="0"/>
            <c:bubble3D val="0"/>
            <c:extLst>
              <c:ext xmlns:c16="http://schemas.microsoft.com/office/drawing/2014/chart" uri="{C3380CC4-5D6E-409C-BE32-E72D297353CC}">
                <c16:uniqueId val="{00000003-EB41-4B82-86CD-2E82F7F1A2C7}"/>
              </c:ext>
            </c:extLst>
          </c:dPt>
          <c:dPt>
            <c:idx val="2"/>
            <c:invertIfNegative val="0"/>
            <c:bubble3D val="0"/>
            <c:extLst>
              <c:ext xmlns:c16="http://schemas.microsoft.com/office/drawing/2014/chart" uri="{C3380CC4-5D6E-409C-BE32-E72D297353CC}">
                <c16:uniqueId val="{00000005-EB41-4B82-86CD-2E82F7F1A2C7}"/>
              </c:ext>
            </c:extLst>
          </c:dPt>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Seclusion!$C$506:$C$508</c:f>
              <c:strCache>
                <c:ptCount val="3"/>
                <c:pt idx="0">
                  <c:v>Māori</c:v>
                </c:pt>
                <c:pt idx="1">
                  <c:v>Pacific peoples</c:v>
                </c:pt>
                <c:pt idx="2">
                  <c:v>Other</c:v>
                </c:pt>
              </c:strCache>
            </c:strRef>
          </c:cat>
          <c:val>
            <c:numRef>
              <c:f>Seclusion!$D$506:$D$508</c:f>
              <c:numCache>
                <c:formatCode>_-* #,##0_-;\-* #,##0_-;_-* "-"??_-;_-@_-</c:formatCode>
                <c:ptCount val="3"/>
                <c:pt idx="0">
                  <c:v>446</c:v>
                </c:pt>
                <c:pt idx="1">
                  <c:v>64</c:v>
                </c:pt>
                <c:pt idx="2">
                  <c:v>423</c:v>
                </c:pt>
              </c:numCache>
            </c:numRef>
          </c:val>
          <c:extLst>
            <c:ext xmlns:c16="http://schemas.microsoft.com/office/drawing/2014/chart" uri="{C3380CC4-5D6E-409C-BE32-E72D297353CC}">
              <c16:uniqueId val="{00000006-EB41-4B82-86CD-2E82F7F1A2C7}"/>
            </c:ext>
          </c:extLst>
        </c:ser>
        <c:dLbls>
          <c:showLegendKey val="0"/>
          <c:showVal val="0"/>
          <c:showCatName val="0"/>
          <c:showSerName val="0"/>
          <c:showPercent val="0"/>
          <c:showBubbleSize val="0"/>
        </c:dLbls>
        <c:gapWidth val="100"/>
        <c:axId val="305483136"/>
        <c:axId val="305493504"/>
      </c:barChart>
      <c:catAx>
        <c:axId val="305483136"/>
        <c:scaling>
          <c:orientation val="minMax"/>
        </c:scaling>
        <c:delete val="0"/>
        <c:axPos val="b"/>
        <c:title>
          <c:tx>
            <c:rich>
              <a:bodyPr rot="0" vert="horz"/>
              <a:lstStyle/>
              <a:p>
                <a:pPr>
                  <a:defRPr b="0"/>
                </a:pPr>
                <a:r>
                  <a:rPr lang="en-NZ" b="0"/>
                  <a:t>Ethnicity</a:t>
                </a:r>
              </a:p>
            </c:rich>
          </c:tx>
          <c:layout>
            <c:manualLayout>
              <c:xMode val="edge"/>
              <c:yMode val="edge"/>
              <c:x val="0.46827668416447943"/>
              <c:y val="0.93309113588524206"/>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05493504"/>
        <c:crossesAt val="0"/>
        <c:auto val="1"/>
        <c:lblAlgn val="ctr"/>
        <c:lblOffset val="100"/>
        <c:noMultiLvlLbl val="0"/>
      </c:catAx>
      <c:valAx>
        <c:axId val="305493504"/>
        <c:scaling>
          <c:orientation val="minMax"/>
        </c:scaling>
        <c:delete val="0"/>
        <c:axPos val="l"/>
        <c:title>
          <c:tx>
            <c:rich>
              <a:bodyPr rot="0"/>
              <a:lstStyle/>
              <a:p>
                <a:pPr algn="l">
                  <a:defRPr b="0"/>
                </a:pPr>
                <a:r>
                  <a:rPr lang="en-NZ" b="0"/>
                  <a:t>Number of people</a:t>
                </a:r>
              </a:p>
            </c:rich>
          </c:tx>
          <c:layout>
            <c:manualLayout>
              <c:xMode val="edge"/>
              <c:yMode val="edge"/>
              <c:x val="0"/>
              <c:y val="2.7467920676582168E-3"/>
            </c:manualLayout>
          </c:layout>
          <c:overlay val="0"/>
          <c:spPr>
            <a:noFill/>
            <a:ln>
              <a:noFill/>
            </a:ln>
            <a:effectLst/>
          </c:spPr>
        </c:title>
        <c:numFmt formatCode="_-* #,##0_-;\-* #,##0_-;_-* &quot;-&quot;??_-;_-@_-" sourceLinked="1"/>
        <c:majorTickMark val="out"/>
        <c:minorTickMark val="none"/>
        <c:tickLblPos val="nextTo"/>
        <c:spPr>
          <a:noFill/>
          <a:ln>
            <a:solidFill>
              <a:schemeClr val="tx1"/>
            </a:solidFill>
          </a:ln>
          <a:effectLst/>
        </c:spPr>
        <c:txPr>
          <a:bodyPr rot="-60000000" vert="horz"/>
          <a:lstStyle/>
          <a:p>
            <a:pPr>
              <a:defRPr/>
            </a:pPr>
            <a:endParaRPr lang="en-US"/>
          </a:p>
        </c:txPr>
        <c:crossAx val="305483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94712792373806E-2"/>
          <c:y val="0.12140777857313291"/>
          <c:w val="0.91552756459356299"/>
          <c:h val="0.50893874643874648"/>
        </c:manualLayout>
      </c:layout>
      <c:lineChart>
        <c:grouping val="standard"/>
        <c:varyColors val="0"/>
        <c:ser>
          <c:idx val="0"/>
          <c:order val="0"/>
          <c:tx>
            <c:strRef>
              <c:f>'Error bars'!$B$155</c:f>
              <c:strCache>
                <c:ptCount val="1"/>
                <c:pt idx="0">
                  <c:v>Section 29</c:v>
                </c:pt>
              </c:strCache>
            </c:strRef>
          </c:tx>
          <c:spPr>
            <a:ln>
              <a:noFill/>
            </a:ln>
          </c:spPr>
          <c:errBars>
            <c:errDir val="y"/>
            <c:errBarType val="both"/>
            <c:errValType val="cust"/>
            <c:noEndCap val="0"/>
            <c:plus>
              <c:numRef>
                <c:f>'Error bars'!$F$157:$F$176</c:f>
                <c:numCache>
                  <c:formatCode>General</c:formatCode>
                  <c:ptCount val="20"/>
                  <c:pt idx="0">
                    <c:v>12.088263069087944</c:v>
                  </c:pt>
                  <c:pt idx="1">
                    <c:v>12.07483590227055</c:v>
                  </c:pt>
                  <c:pt idx="2">
                    <c:v>9.1342274274003188</c:v>
                  </c:pt>
                  <c:pt idx="3">
                    <c:v>18.840860656608498</c:v>
                  </c:pt>
                  <c:pt idx="4">
                    <c:v>9.5297466642156792</c:v>
                  </c:pt>
                  <c:pt idx="5">
                    <c:v>26.911702892666796</c:v>
                  </c:pt>
                  <c:pt idx="6">
                    <c:v>20.262018359084649</c:v>
                  </c:pt>
                  <c:pt idx="7">
                    <c:v>22.32620707019899</c:v>
                  </c:pt>
                  <c:pt idx="8">
                    <c:v>20.448001057689865</c:v>
                  </c:pt>
                  <c:pt idx="9">
                    <c:v>19.017721444238646</c:v>
                  </c:pt>
                  <c:pt idx="10">
                    <c:v>26.20399315809891</c:v>
                  </c:pt>
                  <c:pt idx="11">
                    <c:v>33.995684860685458</c:v>
                  </c:pt>
                  <c:pt idx="12">
                    <c:v>12.422768690481746</c:v>
                  </c:pt>
                  <c:pt idx="13">
                    <c:v>35.823783034161409</c:v>
                  </c:pt>
                  <c:pt idx="14">
                    <c:v>23.347687147351934</c:v>
                  </c:pt>
                  <c:pt idx="15">
                    <c:v>14.457282694447557</c:v>
                  </c:pt>
                  <c:pt idx="16">
                    <c:v>39.3345128380452</c:v>
                  </c:pt>
                  <c:pt idx="17">
                    <c:v>9.5345069084673213</c:v>
                  </c:pt>
                  <c:pt idx="18">
                    <c:v>47.727845639462544</c:v>
                  </c:pt>
                  <c:pt idx="19">
                    <c:v>39.879881039628032</c:v>
                  </c:pt>
                </c:numCache>
              </c:numRef>
            </c:plus>
            <c:minus>
              <c:numRef>
                <c:f>'Error bars'!$E$157:$E$176</c:f>
                <c:numCache>
                  <c:formatCode>General</c:formatCode>
                  <c:ptCount val="20"/>
                  <c:pt idx="0">
                    <c:v>11.268579013663583</c:v>
                  </c:pt>
                  <c:pt idx="1">
                    <c:v>10.294065153001959</c:v>
                  </c:pt>
                  <c:pt idx="2">
                    <c:v>8.3932324462473034</c:v>
                  </c:pt>
                  <c:pt idx="3">
                    <c:v>17.461096909181748</c:v>
                  </c:pt>
                  <c:pt idx="4">
                    <c:v>8.8329165831139136</c:v>
                  </c:pt>
                  <c:pt idx="5">
                    <c:v>24.675108769481255</c:v>
                  </c:pt>
                  <c:pt idx="6">
                    <c:v>17.306167220110083</c:v>
                  </c:pt>
                  <c:pt idx="7">
                    <c:v>18.587392081585321</c:v>
                  </c:pt>
                  <c:pt idx="8">
                    <c:v>18.307090834223288</c:v>
                  </c:pt>
                  <c:pt idx="9">
                    <c:v>16.306384075799116</c:v>
                  </c:pt>
                  <c:pt idx="10">
                    <c:v>23.983224951742926</c:v>
                  </c:pt>
                  <c:pt idx="11">
                    <c:v>26.589680196450651</c:v>
                  </c:pt>
                  <c:pt idx="12">
                    <c:v>11.040875675807811</c:v>
                  </c:pt>
                  <c:pt idx="13">
                    <c:v>27.377320748264601</c:v>
                  </c:pt>
                  <c:pt idx="14">
                    <c:v>19.840229337379313</c:v>
                  </c:pt>
                  <c:pt idx="15">
                    <c:v>13.550617441421693</c:v>
                  </c:pt>
                  <c:pt idx="16">
                    <c:v>29.225938240115823</c:v>
                  </c:pt>
                  <c:pt idx="17">
                    <c:v>8.808546345135909</c:v>
                  </c:pt>
                  <c:pt idx="18">
                    <c:v>34.867970146308018</c:v>
                  </c:pt>
                  <c:pt idx="19">
                    <c:v>33.718626261853331</c:v>
                  </c:pt>
                </c:numCache>
              </c:numRef>
            </c:minus>
          </c:errBars>
          <c:cat>
            <c:strRef>
              <c:f>'Error bars'!$B$47:$B$67</c:f>
              <c:strCache>
                <c:ptCount val="21"/>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average</c:v>
                </c:pt>
              </c:strCache>
            </c:strRef>
          </c:cat>
          <c:val>
            <c:numRef>
              <c:f>'Error bars'!$C$157:$C$176</c:f>
              <c:numCache>
                <c:formatCode>0</c:formatCode>
                <c:ptCount val="20"/>
                <c:pt idx="0">
                  <c:v>102.18540340332423</c:v>
                </c:pt>
                <c:pt idx="1">
                  <c:v>47.950048612952507</c:v>
                </c:pt>
                <c:pt idx="2">
                  <c:v>66.149361227814467</c:v>
                </c:pt>
                <c:pt idx="3">
                  <c:v>158.38056513882043</c:v>
                </c:pt>
                <c:pt idx="4">
                  <c:v>74.268092703593638</c:v>
                </c:pt>
                <c:pt idx="5">
                  <c:v>175.19549110725418</c:v>
                </c:pt>
                <c:pt idx="6">
                  <c:v>81.498951781970646</c:v>
                </c:pt>
                <c:pt idx="7">
                  <c:v>70.857094220784745</c:v>
                </c:pt>
                <c:pt idx="8">
                  <c:v>103.16655998862102</c:v>
                </c:pt>
                <c:pt idx="9">
                  <c:v>73.027784668816679</c:v>
                </c:pt>
                <c:pt idx="10">
                  <c:v>180.91007138821837</c:v>
                </c:pt>
                <c:pt idx="11">
                  <c:v>80.829238164290132</c:v>
                </c:pt>
                <c:pt idx="12">
                  <c:v>70.712265363846754</c:v>
                </c:pt>
                <c:pt idx="13">
                  <c:v>71.501197153071601</c:v>
                </c:pt>
                <c:pt idx="14">
                  <c:v>84.318045263368717</c:v>
                </c:pt>
                <c:pt idx="15">
                  <c:v>127.53434859261959</c:v>
                </c:pt>
                <c:pt idx="16">
                  <c:v>80.661629569123946</c:v>
                </c:pt>
                <c:pt idx="17">
                  <c:v>79.700520833333329</c:v>
                </c:pt>
                <c:pt idx="18">
                  <c:v>76.938912047758748</c:v>
                </c:pt>
                <c:pt idx="19">
                  <c:v>134.08283447705261</c:v>
                </c:pt>
              </c:numCache>
            </c:numRef>
          </c:val>
          <c:smooth val="0"/>
          <c:extLst>
            <c:ext xmlns:c16="http://schemas.microsoft.com/office/drawing/2014/chart" uri="{C3380CC4-5D6E-409C-BE32-E72D297353CC}">
              <c16:uniqueId val="{00000000-13DB-45BD-AB84-047A3D1CB1FC}"/>
            </c:ext>
          </c:extLst>
        </c:ser>
        <c:ser>
          <c:idx val="1"/>
          <c:order val="1"/>
          <c:tx>
            <c:v>National average</c:v>
          </c:tx>
          <c:spPr>
            <a:ln>
              <a:solidFill>
                <a:schemeClr val="accent6"/>
              </a:solidFill>
            </a:ln>
          </c:spPr>
          <c:marker>
            <c:symbol val="none"/>
          </c:marker>
          <c:val>
            <c:numRef>
              <c:f>'Error bars'!$D$157:$D$176</c:f>
              <c:numCache>
                <c:formatCode>0</c:formatCode>
                <c:ptCount val="20"/>
                <c:pt idx="0">
                  <c:v>90.938334499503384</c:v>
                </c:pt>
                <c:pt idx="1">
                  <c:v>90.938334499503384</c:v>
                </c:pt>
                <c:pt idx="2">
                  <c:v>90.938334499503384</c:v>
                </c:pt>
                <c:pt idx="3">
                  <c:v>90.938334499503384</c:v>
                </c:pt>
                <c:pt idx="4">
                  <c:v>90.938334499503384</c:v>
                </c:pt>
                <c:pt idx="5">
                  <c:v>90.938334499503384</c:v>
                </c:pt>
                <c:pt idx="6">
                  <c:v>90.938334499503384</c:v>
                </c:pt>
                <c:pt idx="7">
                  <c:v>90.938334499503384</c:v>
                </c:pt>
                <c:pt idx="8">
                  <c:v>90.938334499503384</c:v>
                </c:pt>
                <c:pt idx="9">
                  <c:v>90.938334499503384</c:v>
                </c:pt>
                <c:pt idx="10">
                  <c:v>90.938334499503384</c:v>
                </c:pt>
                <c:pt idx="11">
                  <c:v>90.938334499503384</c:v>
                </c:pt>
                <c:pt idx="12">
                  <c:v>90.938334499503384</c:v>
                </c:pt>
                <c:pt idx="13">
                  <c:v>90.938334499503384</c:v>
                </c:pt>
                <c:pt idx="14">
                  <c:v>90.938334499503384</c:v>
                </c:pt>
                <c:pt idx="15">
                  <c:v>90.938334499503384</c:v>
                </c:pt>
                <c:pt idx="16">
                  <c:v>90.938334499503384</c:v>
                </c:pt>
                <c:pt idx="17">
                  <c:v>90.938334499503384</c:v>
                </c:pt>
                <c:pt idx="18">
                  <c:v>90.938334499503384</c:v>
                </c:pt>
                <c:pt idx="19">
                  <c:v>90.938334499503384</c:v>
                </c:pt>
              </c:numCache>
            </c:numRef>
          </c:val>
          <c:smooth val="0"/>
          <c:extLst>
            <c:ext xmlns:c16="http://schemas.microsoft.com/office/drawing/2014/chart" uri="{C3380CC4-5D6E-409C-BE32-E72D297353CC}">
              <c16:uniqueId val="{00000001-13DB-45BD-AB84-047A3D1CB1FC}"/>
            </c:ext>
          </c:extLst>
        </c:ser>
        <c:dLbls>
          <c:showLegendKey val="0"/>
          <c:showVal val="0"/>
          <c:showCatName val="0"/>
          <c:showSerName val="0"/>
          <c:showPercent val="0"/>
          <c:showBubbleSize val="0"/>
        </c:dLbls>
        <c:marker val="1"/>
        <c:smooth val="0"/>
        <c:axId val="283340800"/>
        <c:axId val="283342720"/>
      </c:lineChart>
      <c:catAx>
        <c:axId val="283340800"/>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txPr>
          <a:bodyPr rot="-5400000" vert="horz"/>
          <a:lstStyle/>
          <a:p>
            <a:pPr>
              <a:defRPr/>
            </a:pPr>
            <a:endParaRPr lang="en-US"/>
          </a:p>
        </c:txPr>
        <c:crossAx val="283342720"/>
        <c:crosses val="autoZero"/>
        <c:auto val="1"/>
        <c:lblAlgn val="ctr"/>
        <c:lblOffset val="100"/>
        <c:noMultiLvlLbl val="0"/>
      </c:catAx>
      <c:valAx>
        <c:axId val="283342720"/>
        <c:scaling>
          <c:orientation val="minMax"/>
        </c:scaling>
        <c:delete val="0"/>
        <c:axPos val="l"/>
        <c:title>
          <c:tx>
            <c:rich>
              <a:bodyPr rot="0" vert="horz"/>
              <a:lstStyle/>
              <a:p>
                <a:pPr algn="l">
                  <a:defRPr b="0"/>
                </a:pPr>
                <a:r>
                  <a:rPr lang="en-NZ" b="0"/>
                  <a:t>Average number per 100,000</a:t>
                </a:r>
              </a:p>
            </c:rich>
          </c:tx>
          <c:layout>
            <c:manualLayout>
              <c:xMode val="edge"/>
              <c:yMode val="edge"/>
              <c:x val="0"/>
              <c:y val="1.0230336357411932E-3"/>
            </c:manualLayout>
          </c:layout>
          <c:overlay val="0"/>
        </c:title>
        <c:numFmt formatCode="0" sourceLinked="1"/>
        <c:majorTickMark val="out"/>
        <c:minorTickMark val="none"/>
        <c:tickLblPos val="nextTo"/>
        <c:crossAx val="283340800"/>
        <c:crosses val="autoZero"/>
        <c:crossBetween val="between"/>
      </c:valAx>
    </c:plotArea>
    <c:legend>
      <c:legendPos val="r"/>
      <c:layout>
        <c:manualLayout>
          <c:xMode val="edge"/>
          <c:yMode val="edge"/>
          <c:x val="0.71019701789295975"/>
          <c:y val="3.9771268401228821E-4"/>
          <c:w val="0.28966020799623809"/>
          <c:h val="0.12284587897980144"/>
        </c:manualLayout>
      </c:layout>
      <c:overlay val="0"/>
    </c:legend>
    <c:plotVisOnly val="1"/>
    <c:dispBlanksAs val="gap"/>
    <c:showDLblsOverMax val="0"/>
  </c:chart>
  <c:spPr>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18035697676531E-2"/>
          <c:y val="9.7222222222222224E-2"/>
          <c:w val="0.92885156907568722"/>
          <c:h val="0.76051925672547804"/>
        </c:manualLayout>
      </c:layout>
      <c:barChart>
        <c:barDir val="col"/>
        <c:grouping val="clustered"/>
        <c:varyColors val="0"/>
        <c:ser>
          <c:idx val="0"/>
          <c:order val="0"/>
          <c:tx>
            <c:strRef>
              <c:f>Seclusion!$W$412</c:f>
              <c:strCache>
                <c:ptCount val="1"/>
                <c:pt idx="0">
                  <c:v>Māori</c:v>
                </c:pt>
              </c:strCache>
            </c:strRef>
          </c:tx>
          <c:spPr>
            <a:solidFill>
              <a:schemeClr val="accent6"/>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Seclusion!$X$411:$Z$411</c:f>
              <c:strCache>
                <c:ptCount val="3"/>
                <c:pt idx="0">
                  <c:v>People secluded per 100,000 population</c:v>
                </c:pt>
                <c:pt idx="1">
                  <c:v>Seclusion events per 100,000 population</c:v>
                </c:pt>
                <c:pt idx="2">
                  <c:v>Average duration per event (hours)</c:v>
                </c:pt>
              </c:strCache>
            </c:strRef>
          </c:cat>
          <c:val>
            <c:numRef>
              <c:f>Seclusion!$X$412:$Z$412</c:f>
              <c:numCache>
                <c:formatCode>0.0</c:formatCode>
                <c:ptCount val="3"/>
                <c:pt idx="0">
                  <c:v>97.882146384286187</c:v>
                </c:pt>
                <c:pt idx="1">
                  <c:v>201.68989355865247</c:v>
                </c:pt>
                <c:pt idx="2" formatCode="_-* #,##0.0_-;\-* #,##0.0_-;_-* &quot;-&quot;??_-;_-@_-">
                  <c:v>22.422235521703559</c:v>
                </c:pt>
              </c:numCache>
            </c:numRef>
          </c:val>
          <c:extLst>
            <c:ext xmlns:c16="http://schemas.microsoft.com/office/drawing/2014/chart" uri="{C3380CC4-5D6E-409C-BE32-E72D297353CC}">
              <c16:uniqueId val="{00000000-E8FE-48F5-9EB3-A360E96A3515}"/>
            </c:ext>
          </c:extLst>
        </c:ser>
        <c:ser>
          <c:idx val="1"/>
          <c:order val="1"/>
          <c:tx>
            <c:strRef>
              <c:f>Seclusion!$W$413</c:f>
              <c:strCache>
                <c:ptCount val="1"/>
                <c:pt idx="0">
                  <c:v>Pacific peoples</c:v>
                </c:pt>
              </c:strCache>
            </c:strRef>
          </c:tx>
          <c:spPr>
            <a:solidFill>
              <a:schemeClr val="accent5"/>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Seclusion!$X$411:$Z$411</c:f>
              <c:strCache>
                <c:ptCount val="3"/>
                <c:pt idx="0">
                  <c:v>People secluded per 100,000 population</c:v>
                </c:pt>
                <c:pt idx="1">
                  <c:v>Seclusion events per 100,000 population</c:v>
                </c:pt>
                <c:pt idx="2">
                  <c:v>Average duration per event (hours)</c:v>
                </c:pt>
              </c:strCache>
            </c:strRef>
          </c:cat>
          <c:val>
            <c:numRef>
              <c:f>Seclusion!$X$413:$Z$413</c:f>
              <c:numCache>
                <c:formatCode>0.0</c:formatCode>
                <c:ptCount val="3"/>
                <c:pt idx="0">
                  <c:v>32.763386915122354</c:v>
                </c:pt>
                <c:pt idx="1">
                  <c:v>71.157980956281364</c:v>
                </c:pt>
                <c:pt idx="2" formatCode="_-* #,##0.0_-;\-* #,##0.0_-;_-* &quot;-&quot;??_-;_-@_-">
                  <c:v>29.368159472421414</c:v>
                </c:pt>
              </c:numCache>
            </c:numRef>
          </c:val>
          <c:extLst>
            <c:ext xmlns:c16="http://schemas.microsoft.com/office/drawing/2014/chart" uri="{C3380CC4-5D6E-409C-BE32-E72D297353CC}">
              <c16:uniqueId val="{00000001-E8FE-48F5-9EB3-A360E96A3515}"/>
            </c:ext>
          </c:extLst>
        </c:ser>
        <c:ser>
          <c:idx val="2"/>
          <c:order val="2"/>
          <c:tx>
            <c:strRef>
              <c:f>Seclusion!$W$414</c:f>
              <c:strCache>
                <c:ptCount val="1"/>
                <c:pt idx="0">
                  <c:v>Other</c:v>
                </c:pt>
              </c:strCache>
            </c:strRef>
          </c:tx>
          <c:spPr>
            <a:solidFill>
              <a:schemeClr val="accent4"/>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Seclusion!$X$411:$Z$411</c:f>
              <c:strCache>
                <c:ptCount val="3"/>
                <c:pt idx="0">
                  <c:v>People secluded per 100,000 population</c:v>
                </c:pt>
                <c:pt idx="1">
                  <c:v>Seclusion events per 100,000 population</c:v>
                </c:pt>
                <c:pt idx="2">
                  <c:v>Average duration per event (hours)</c:v>
                </c:pt>
              </c:strCache>
            </c:strRef>
          </c:cat>
          <c:val>
            <c:numRef>
              <c:f>Seclusion!$X$414:$Z$414</c:f>
              <c:numCache>
                <c:formatCode>0.0</c:formatCode>
                <c:ptCount val="3"/>
                <c:pt idx="0">
                  <c:v>17.969986299478531</c:v>
                </c:pt>
                <c:pt idx="1">
                  <c:v>43.204435145554768</c:v>
                </c:pt>
                <c:pt idx="2" formatCode="_-* #,##0.0_-;\-* #,##0.0_-;_-* &quot;-&quot;??_-;_-@_-">
                  <c:v>19.773208237736306</c:v>
                </c:pt>
              </c:numCache>
            </c:numRef>
          </c:val>
          <c:extLst>
            <c:ext xmlns:c16="http://schemas.microsoft.com/office/drawing/2014/chart" uri="{C3380CC4-5D6E-409C-BE32-E72D297353CC}">
              <c16:uniqueId val="{00000002-E8FE-48F5-9EB3-A360E96A3515}"/>
            </c:ext>
          </c:extLst>
        </c:ser>
        <c:ser>
          <c:idx val="3"/>
          <c:order val="3"/>
          <c:tx>
            <c:strRef>
              <c:f>Seclusion!$W$415</c:f>
              <c:strCache>
                <c:ptCount val="1"/>
                <c:pt idx="0">
                  <c:v>National total</c:v>
                </c:pt>
              </c:strCache>
            </c:strRef>
          </c:tx>
          <c:spPr>
            <a:solidFill>
              <a:schemeClr val="accent6">
                <a:lumMod val="50000"/>
              </a:schemeClr>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Seclusion!$X$411:$Z$411</c:f>
              <c:strCache>
                <c:ptCount val="3"/>
                <c:pt idx="0">
                  <c:v>People secluded per 100,000 population</c:v>
                </c:pt>
                <c:pt idx="1">
                  <c:v>Seclusion events per 100,000 population</c:v>
                </c:pt>
                <c:pt idx="2">
                  <c:v>Average duration per event (hours)</c:v>
                </c:pt>
              </c:strCache>
            </c:strRef>
          </c:cat>
          <c:val>
            <c:numRef>
              <c:f>Seclusion!$X$415:$Z$415</c:f>
              <c:numCache>
                <c:formatCode>0.0</c:formatCode>
                <c:ptCount val="3"/>
                <c:pt idx="0">
                  <c:v>31.049131173427536</c:v>
                </c:pt>
                <c:pt idx="1">
                  <c:v>69.05353396019521</c:v>
                </c:pt>
                <c:pt idx="2" formatCode="_-* #,##0.0_-;\-* #,##0.0_-;_-* &quot;-&quot;??_-;_-@_-">
                  <c:v>21.589186211513237</c:v>
                </c:pt>
              </c:numCache>
            </c:numRef>
          </c:val>
          <c:extLst>
            <c:ext xmlns:c16="http://schemas.microsoft.com/office/drawing/2014/chart" uri="{C3380CC4-5D6E-409C-BE32-E72D297353CC}">
              <c16:uniqueId val="{00000003-E8FE-48F5-9EB3-A360E96A3515}"/>
            </c:ext>
          </c:extLst>
        </c:ser>
        <c:dLbls>
          <c:dLblPos val="inEnd"/>
          <c:showLegendKey val="0"/>
          <c:showVal val="1"/>
          <c:showCatName val="0"/>
          <c:showSerName val="0"/>
          <c:showPercent val="0"/>
          <c:showBubbleSize val="0"/>
        </c:dLbls>
        <c:gapWidth val="41"/>
        <c:overlap val="-14"/>
        <c:axId val="305609344"/>
        <c:axId val="305635712"/>
      </c:barChart>
      <c:catAx>
        <c:axId val="30560934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05635712"/>
        <c:crosses val="autoZero"/>
        <c:auto val="1"/>
        <c:lblAlgn val="ctr"/>
        <c:lblOffset val="100"/>
        <c:noMultiLvlLbl val="0"/>
      </c:catAx>
      <c:valAx>
        <c:axId val="305635712"/>
        <c:scaling>
          <c:orientation val="minMax"/>
          <c:max val="220"/>
        </c:scaling>
        <c:delete val="0"/>
        <c:axPos val="l"/>
        <c:title>
          <c:tx>
            <c:rich>
              <a:bodyPr rot="0"/>
              <a:lstStyle/>
              <a:p>
                <a:pPr>
                  <a:defRPr b="0"/>
                </a:pPr>
                <a:r>
                  <a:rPr lang="en-NZ" b="0"/>
                  <a:t>Rate</a:t>
                </a:r>
              </a:p>
            </c:rich>
          </c:tx>
          <c:layout>
            <c:manualLayout>
              <c:xMode val="edge"/>
              <c:yMode val="edge"/>
              <c:x val="0"/>
              <c:y val="3.7306794983960304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05609344"/>
        <c:crosses val="autoZero"/>
        <c:crossBetween val="between"/>
        <c:majorUnit val="20"/>
      </c:valAx>
      <c:spPr>
        <a:noFill/>
        <a:ln>
          <a:noFill/>
        </a:ln>
        <a:effectLst/>
      </c:spPr>
    </c:plotArea>
    <c:legend>
      <c:legendPos val="tr"/>
      <c:overlay val="1"/>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92390443604416E-2"/>
          <c:y val="3.9588603568639046E-2"/>
          <c:w val="0.92307609556395587"/>
          <c:h val="0.85769924931842823"/>
        </c:manualLayout>
      </c:layout>
      <c:barChart>
        <c:barDir val="col"/>
        <c:grouping val="clustered"/>
        <c:varyColors val="0"/>
        <c:ser>
          <c:idx val="0"/>
          <c:order val="0"/>
          <c:tx>
            <c:strRef>
              <c:f>Seclusion!$C$498</c:f>
              <c:strCache>
                <c:ptCount val="1"/>
                <c:pt idx="0">
                  <c:v>Māori</c:v>
                </c:pt>
              </c:strCache>
            </c:strRef>
          </c:tx>
          <c:spPr>
            <a:solidFill>
              <a:schemeClr val="accent6"/>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Seclusion!$D$497:$E$497</c:f>
              <c:strCache>
                <c:ptCount val="2"/>
                <c:pt idx="0">
                  <c:v>Males</c:v>
                </c:pt>
                <c:pt idx="1">
                  <c:v>Females</c:v>
                </c:pt>
              </c:strCache>
            </c:strRef>
          </c:cat>
          <c:val>
            <c:numRef>
              <c:f>Seclusion!$D$498:$E$498</c:f>
              <c:numCache>
                <c:formatCode>0%</c:formatCode>
                <c:ptCount val="2"/>
                <c:pt idx="0">
                  <c:v>0.1879502292075966</c:v>
                </c:pt>
                <c:pt idx="1">
                  <c:v>0.11923076923076924</c:v>
                </c:pt>
              </c:numCache>
            </c:numRef>
          </c:val>
          <c:extLst>
            <c:ext xmlns:c16="http://schemas.microsoft.com/office/drawing/2014/chart" uri="{C3380CC4-5D6E-409C-BE32-E72D297353CC}">
              <c16:uniqueId val="{00000000-4C23-4C0F-AEA9-D7037D0F1F65}"/>
            </c:ext>
          </c:extLst>
        </c:ser>
        <c:ser>
          <c:idx val="1"/>
          <c:order val="1"/>
          <c:tx>
            <c:strRef>
              <c:f>Seclusion!$C$499</c:f>
              <c:strCache>
                <c:ptCount val="1"/>
                <c:pt idx="0">
                  <c:v>Pacific peoples</c:v>
                </c:pt>
              </c:strCache>
            </c:strRef>
          </c:tx>
          <c:spPr>
            <a:solidFill>
              <a:schemeClr val="accent5"/>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Seclusion!$D$497:$E$497</c:f>
              <c:strCache>
                <c:ptCount val="2"/>
                <c:pt idx="0">
                  <c:v>Males</c:v>
                </c:pt>
                <c:pt idx="1">
                  <c:v>Females</c:v>
                </c:pt>
              </c:strCache>
            </c:strRef>
          </c:cat>
          <c:val>
            <c:numRef>
              <c:f>Seclusion!$D$499:$E$499</c:f>
              <c:numCache>
                <c:formatCode>0%</c:formatCode>
                <c:ptCount val="2"/>
                <c:pt idx="0">
                  <c:v>0.14563106796116504</c:v>
                </c:pt>
                <c:pt idx="1">
                  <c:v>8.9947089947089942E-2</c:v>
                </c:pt>
              </c:numCache>
            </c:numRef>
          </c:val>
          <c:extLst>
            <c:ext xmlns:c16="http://schemas.microsoft.com/office/drawing/2014/chart" uri="{C3380CC4-5D6E-409C-BE32-E72D297353CC}">
              <c16:uniqueId val="{00000001-4C23-4C0F-AEA9-D7037D0F1F65}"/>
            </c:ext>
          </c:extLst>
        </c:ser>
        <c:ser>
          <c:idx val="2"/>
          <c:order val="2"/>
          <c:tx>
            <c:strRef>
              <c:f>Seclusion!$C$500</c:f>
              <c:strCache>
                <c:ptCount val="1"/>
                <c:pt idx="0">
                  <c:v>Other</c:v>
                </c:pt>
              </c:strCache>
            </c:strRef>
          </c:tx>
          <c:spPr>
            <a:solidFill>
              <a:schemeClr val="accent4"/>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Seclusion!$D$497:$E$497</c:f>
              <c:strCache>
                <c:ptCount val="2"/>
                <c:pt idx="0">
                  <c:v>Males</c:v>
                </c:pt>
                <c:pt idx="1">
                  <c:v>Females</c:v>
                </c:pt>
              </c:strCache>
            </c:strRef>
          </c:cat>
          <c:val>
            <c:numRef>
              <c:f>Seclusion!$D$500:$E$500</c:f>
              <c:numCache>
                <c:formatCode>0%</c:formatCode>
                <c:ptCount val="2"/>
                <c:pt idx="0">
                  <c:v>9.7256857855361589E-2</c:v>
                </c:pt>
                <c:pt idx="1">
                  <c:v>5.4538371640046747E-2</c:v>
                </c:pt>
              </c:numCache>
            </c:numRef>
          </c:val>
          <c:extLst>
            <c:ext xmlns:c16="http://schemas.microsoft.com/office/drawing/2014/chart" uri="{C3380CC4-5D6E-409C-BE32-E72D297353CC}">
              <c16:uniqueId val="{00000002-4C23-4C0F-AEA9-D7037D0F1F65}"/>
            </c:ext>
          </c:extLst>
        </c:ser>
        <c:ser>
          <c:idx val="3"/>
          <c:order val="3"/>
          <c:tx>
            <c:strRef>
              <c:f>Seclusion!$C$501</c:f>
              <c:strCache>
                <c:ptCount val="1"/>
                <c:pt idx="0">
                  <c:v>National total</c:v>
                </c:pt>
              </c:strCache>
            </c:strRef>
          </c:tx>
          <c:spPr>
            <a:solidFill>
              <a:schemeClr val="accent6">
                <a:lumMod val="50000"/>
              </a:schemeClr>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Seclusion!$D$497:$E$497</c:f>
              <c:strCache>
                <c:ptCount val="2"/>
                <c:pt idx="0">
                  <c:v>Males</c:v>
                </c:pt>
                <c:pt idx="1">
                  <c:v>Females</c:v>
                </c:pt>
              </c:strCache>
            </c:strRef>
          </c:cat>
          <c:val>
            <c:numRef>
              <c:f>Seclusion!$D$501:$E$501</c:f>
              <c:numCache>
                <c:formatCode>0%</c:formatCode>
                <c:ptCount val="2"/>
                <c:pt idx="0">
                  <c:v>0.13109425785482123</c:v>
                </c:pt>
                <c:pt idx="1">
                  <c:v>7.7400148846440087E-2</c:v>
                </c:pt>
              </c:numCache>
            </c:numRef>
          </c:val>
          <c:extLst>
            <c:ext xmlns:c16="http://schemas.microsoft.com/office/drawing/2014/chart" uri="{C3380CC4-5D6E-409C-BE32-E72D297353CC}">
              <c16:uniqueId val="{00000003-4C23-4C0F-AEA9-D7037D0F1F65}"/>
            </c:ext>
          </c:extLst>
        </c:ser>
        <c:dLbls>
          <c:dLblPos val="inEnd"/>
          <c:showLegendKey val="0"/>
          <c:showVal val="1"/>
          <c:showCatName val="0"/>
          <c:showSerName val="0"/>
          <c:showPercent val="0"/>
          <c:showBubbleSize val="0"/>
        </c:dLbls>
        <c:gapWidth val="86"/>
        <c:overlap val="-27"/>
        <c:axId val="305678208"/>
        <c:axId val="305679744"/>
      </c:barChart>
      <c:catAx>
        <c:axId val="30567820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05679744"/>
        <c:crosses val="autoZero"/>
        <c:auto val="1"/>
        <c:lblAlgn val="ctr"/>
        <c:lblOffset val="100"/>
        <c:noMultiLvlLbl val="0"/>
      </c:catAx>
      <c:valAx>
        <c:axId val="305679744"/>
        <c:scaling>
          <c:orientation val="minMax"/>
        </c:scaling>
        <c:delete val="0"/>
        <c:axPos val="l"/>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305678208"/>
        <c:crosses val="autoZero"/>
        <c:crossBetween val="between"/>
      </c:valAx>
      <c:spPr>
        <a:noFill/>
        <a:ln>
          <a:noFill/>
        </a:ln>
        <a:effectLst/>
      </c:spPr>
    </c:plotArea>
    <c:legend>
      <c:legendPos val="tr"/>
      <c:overlay val="1"/>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220673086150071E-2"/>
          <c:y val="8.567333215463202E-2"/>
          <c:w val="0.9170042449546455"/>
          <c:h val="0.77878798483522893"/>
        </c:manualLayout>
      </c:layout>
      <c:barChart>
        <c:barDir val="col"/>
        <c:grouping val="stacked"/>
        <c:varyColors val="0"/>
        <c:ser>
          <c:idx val="0"/>
          <c:order val="0"/>
          <c:tx>
            <c:strRef>
              <c:f>Seclusion!$C$470</c:f>
              <c:strCache>
                <c:ptCount val="1"/>
                <c:pt idx="0">
                  <c:v>Māori</c:v>
                </c:pt>
              </c:strCache>
            </c:strRef>
          </c:tx>
          <c:spPr>
            <a:solidFill>
              <a:schemeClr val="accent6"/>
            </a:solidFill>
            <a:ln>
              <a:noFill/>
            </a:ln>
            <a:effectLst/>
          </c:spPr>
          <c:invertIfNegative val="0"/>
          <c:dLbls>
            <c:spPr>
              <a:noFill/>
              <a:ln>
                <a:noFill/>
              </a:ln>
              <a:effectLst/>
            </c:spPr>
            <c:txPr>
              <a:bodyPr rot="0" vert="horz"/>
              <a:lstStyle/>
              <a:p>
                <a:pPr>
                  <a:defRPr sz="80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Seclusion!$D$469:$Q$469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Seclusion!$D$470:$Q$470</c:f>
              <c:numCache>
                <c:formatCode>General</c:formatCode>
                <c:ptCount val="14"/>
                <c:pt idx="0">
                  <c:v>387</c:v>
                </c:pt>
                <c:pt idx="1">
                  <c:v>387</c:v>
                </c:pt>
                <c:pt idx="2">
                  <c:v>270</c:v>
                </c:pt>
                <c:pt idx="3">
                  <c:v>400</c:v>
                </c:pt>
                <c:pt idx="4" formatCode="0">
                  <c:v>367.46</c:v>
                </c:pt>
                <c:pt idx="5" formatCode="0">
                  <c:v>286</c:v>
                </c:pt>
                <c:pt idx="6" formatCode="0">
                  <c:v>277</c:v>
                </c:pt>
                <c:pt idx="7" formatCode="0">
                  <c:v>264</c:v>
                </c:pt>
                <c:pt idx="8" formatCode="0">
                  <c:v>329</c:v>
                </c:pt>
                <c:pt idx="9" formatCode="0">
                  <c:v>352</c:v>
                </c:pt>
                <c:pt idx="10" formatCode="0">
                  <c:v>321</c:v>
                </c:pt>
                <c:pt idx="11" formatCode="0">
                  <c:v>376</c:v>
                </c:pt>
                <c:pt idx="12" formatCode="0">
                  <c:v>434</c:v>
                </c:pt>
                <c:pt idx="13" formatCode="0">
                  <c:v>446</c:v>
                </c:pt>
              </c:numCache>
            </c:numRef>
          </c:val>
          <c:extLst>
            <c:ext xmlns:c16="http://schemas.microsoft.com/office/drawing/2014/chart" uri="{C3380CC4-5D6E-409C-BE32-E72D297353CC}">
              <c16:uniqueId val="{00000000-8FD2-42D6-86AA-93B7224E4F4F}"/>
            </c:ext>
          </c:extLst>
        </c:ser>
        <c:ser>
          <c:idx val="1"/>
          <c:order val="1"/>
          <c:tx>
            <c:strRef>
              <c:f>Seclusion!$C$471</c:f>
              <c:strCache>
                <c:ptCount val="1"/>
                <c:pt idx="0">
                  <c:v>Non-Māori</c:v>
                </c:pt>
              </c:strCache>
            </c:strRef>
          </c:tx>
          <c:spPr>
            <a:solidFill>
              <a:schemeClr val="accent5"/>
            </a:solidFill>
            <a:ln>
              <a:noFill/>
            </a:ln>
            <a:effectLst/>
          </c:spPr>
          <c:invertIfNegative val="0"/>
          <c:dLbls>
            <c:spPr>
              <a:noFill/>
              <a:ln>
                <a:noFill/>
              </a:ln>
              <a:effectLst/>
            </c:spPr>
            <c:txPr>
              <a:bodyPr rot="0" vert="horz"/>
              <a:lstStyle/>
              <a:p>
                <a:pPr>
                  <a:defRPr sz="80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Seclusion!$D$469:$Q$469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Seclusion!$D$471:$Q$471</c:f>
              <c:numCache>
                <c:formatCode>General</c:formatCode>
                <c:ptCount val="14"/>
                <c:pt idx="0">
                  <c:v>756</c:v>
                </c:pt>
                <c:pt idx="1">
                  <c:v>636</c:v>
                </c:pt>
                <c:pt idx="2">
                  <c:v>805</c:v>
                </c:pt>
                <c:pt idx="3">
                  <c:v>665</c:v>
                </c:pt>
                <c:pt idx="4" formatCode="0">
                  <c:v>599.54</c:v>
                </c:pt>
                <c:pt idx="5">
                  <c:v>555</c:v>
                </c:pt>
                <c:pt idx="6">
                  <c:v>491</c:v>
                </c:pt>
                <c:pt idx="7" formatCode="0">
                  <c:v>427</c:v>
                </c:pt>
                <c:pt idx="8" formatCode="0">
                  <c:v>425</c:v>
                </c:pt>
                <c:pt idx="9" formatCode="0">
                  <c:v>450</c:v>
                </c:pt>
                <c:pt idx="10" formatCode="0">
                  <c:v>454</c:v>
                </c:pt>
                <c:pt idx="11" formatCode="0">
                  <c:v>476</c:v>
                </c:pt>
                <c:pt idx="12" formatCode="0">
                  <c:v>495</c:v>
                </c:pt>
                <c:pt idx="13" formatCode="0">
                  <c:v>487</c:v>
                </c:pt>
              </c:numCache>
            </c:numRef>
          </c:val>
          <c:extLst>
            <c:ext xmlns:c16="http://schemas.microsoft.com/office/drawing/2014/chart" uri="{C3380CC4-5D6E-409C-BE32-E72D297353CC}">
              <c16:uniqueId val="{00000001-8FD2-42D6-86AA-93B7224E4F4F}"/>
            </c:ext>
          </c:extLst>
        </c:ser>
        <c:dLbls>
          <c:showLegendKey val="0"/>
          <c:showVal val="0"/>
          <c:showCatName val="0"/>
          <c:showSerName val="0"/>
          <c:showPercent val="0"/>
          <c:showBubbleSize val="0"/>
        </c:dLbls>
        <c:gapWidth val="50"/>
        <c:overlap val="100"/>
        <c:axId val="305735168"/>
        <c:axId val="305737088"/>
      </c:barChart>
      <c:catAx>
        <c:axId val="305735168"/>
        <c:scaling>
          <c:orientation val="minMax"/>
        </c:scaling>
        <c:delete val="0"/>
        <c:axPos val="b"/>
        <c:title>
          <c:tx>
            <c:rich>
              <a:bodyPr rot="0" vert="horz"/>
              <a:lstStyle/>
              <a:p>
                <a:pPr algn="ctr">
                  <a:defRPr b="0"/>
                </a:pPr>
                <a:r>
                  <a:rPr lang="en-NZ" b="0"/>
                  <a:t>Year</a:t>
                </a:r>
              </a:p>
            </c:rich>
          </c:tx>
          <c:layout>
            <c:manualLayout>
              <c:xMode val="edge"/>
              <c:yMode val="edge"/>
              <c:x val="0.49345338313987075"/>
              <c:y val="0.94362146398366875"/>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305737088"/>
        <c:crosses val="autoZero"/>
        <c:auto val="1"/>
        <c:lblAlgn val="ctr"/>
        <c:lblOffset val="100"/>
        <c:noMultiLvlLbl val="0"/>
      </c:catAx>
      <c:valAx>
        <c:axId val="305737088"/>
        <c:scaling>
          <c:orientation val="minMax"/>
          <c:max val="1200"/>
        </c:scaling>
        <c:delete val="0"/>
        <c:axPos val="l"/>
        <c:title>
          <c:tx>
            <c:rich>
              <a:bodyPr rot="0"/>
              <a:lstStyle/>
              <a:p>
                <a:pPr>
                  <a:defRPr b="0"/>
                </a:pPr>
                <a:r>
                  <a:rPr lang="en-NZ" b="0"/>
                  <a:t>Number</a:t>
                </a:r>
              </a:p>
            </c:rich>
          </c:tx>
          <c:layout>
            <c:manualLayout>
              <c:xMode val="edge"/>
              <c:yMode val="edge"/>
              <c:x val="5.4226547628809794E-4"/>
              <c:y val="1.4435695538058145E-4"/>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305735168"/>
        <c:crosses val="autoZero"/>
        <c:crossBetween val="between"/>
      </c:valAx>
      <c:spPr>
        <a:solidFill>
          <a:schemeClr val="bg1"/>
        </a:solidFill>
        <a:ln>
          <a:noFill/>
        </a:ln>
        <a:effectLst/>
      </c:spPr>
    </c:plotArea>
    <c:legend>
      <c:legendPos val="tr"/>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99135510159132"/>
          <c:y val="7.7264825188333011E-2"/>
          <c:w val="0.76110654699631075"/>
          <c:h val="0.75119448682011136"/>
        </c:manualLayout>
      </c:layout>
      <c:barChart>
        <c:barDir val="bar"/>
        <c:grouping val="clustered"/>
        <c:varyColors val="0"/>
        <c:ser>
          <c:idx val="0"/>
          <c:order val="0"/>
          <c:tx>
            <c:strRef>
              <c:f>'Special patient data'!$N$86</c:f>
              <c:strCache>
                <c:ptCount val="1"/>
                <c:pt idx="0">
                  <c:v>Number of special patients</c:v>
                </c:pt>
              </c:strCache>
            </c:strRef>
          </c:tx>
          <c:spPr>
            <a:solidFill>
              <a:schemeClr val="accent5"/>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data'!$M$87:$M$91</c:f>
              <c:strCache>
                <c:ptCount val="5"/>
                <c:pt idx="0">
                  <c:v>Waitematā</c:v>
                </c:pt>
                <c:pt idx="1">
                  <c:v>Waikato</c:v>
                </c:pt>
                <c:pt idx="2">
                  <c:v>Southern</c:v>
                </c:pt>
                <c:pt idx="3">
                  <c:v>Capital &amp; Coast</c:v>
                </c:pt>
                <c:pt idx="4">
                  <c:v>Canterbury</c:v>
                </c:pt>
              </c:strCache>
            </c:strRef>
          </c:cat>
          <c:val>
            <c:numRef>
              <c:f>'Special patient data'!$N$87:$N$91</c:f>
              <c:numCache>
                <c:formatCode>General</c:formatCode>
                <c:ptCount val="5"/>
                <c:pt idx="0">
                  <c:v>142</c:v>
                </c:pt>
                <c:pt idx="1">
                  <c:v>109</c:v>
                </c:pt>
                <c:pt idx="2">
                  <c:v>22</c:v>
                </c:pt>
                <c:pt idx="3">
                  <c:v>119</c:v>
                </c:pt>
                <c:pt idx="4">
                  <c:v>51</c:v>
                </c:pt>
              </c:numCache>
            </c:numRef>
          </c:val>
          <c:extLst>
            <c:ext xmlns:c16="http://schemas.microsoft.com/office/drawing/2014/chart" uri="{C3380CC4-5D6E-409C-BE32-E72D297353CC}">
              <c16:uniqueId val="{00000000-BCBD-4F2C-B507-2CDD3D7B87C5}"/>
            </c:ext>
          </c:extLst>
        </c:ser>
        <c:dLbls>
          <c:showLegendKey val="0"/>
          <c:showVal val="0"/>
          <c:showCatName val="0"/>
          <c:showSerName val="0"/>
          <c:showPercent val="0"/>
          <c:showBubbleSize val="0"/>
        </c:dLbls>
        <c:gapWidth val="43"/>
        <c:axId val="316346752"/>
        <c:axId val="316348672"/>
      </c:barChart>
      <c:catAx>
        <c:axId val="316346752"/>
        <c:scaling>
          <c:orientation val="minMax"/>
        </c:scaling>
        <c:delete val="0"/>
        <c:axPos val="l"/>
        <c:title>
          <c:tx>
            <c:rich>
              <a:bodyPr rot="0"/>
              <a:lstStyle/>
              <a:p>
                <a:pPr>
                  <a:defRPr b="0"/>
                </a:pPr>
                <a:r>
                  <a:rPr lang="en-NZ" b="0"/>
                  <a:t>DHB</a:t>
                </a:r>
              </a:p>
            </c:rich>
          </c:tx>
          <c:layout>
            <c:manualLayout>
              <c:xMode val="edge"/>
              <c:yMode val="edge"/>
              <c:x val="0.11278219128858892"/>
              <c:y val="4.6653827089489838E-4"/>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16348672"/>
        <c:crosses val="autoZero"/>
        <c:auto val="1"/>
        <c:lblAlgn val="ctr"/>
        <c:lblOffset val="100"/>
        <c:noMultiLvlLbl val="0"/>
      </c:catAx>
      <c:valAx>
        <c:axId val="316348672"/>
        <c:scaling>
          <c:orientation val="minMax"/>
        </c:scaling>
        <c:delete val="0"/>
        <c:axPos val="b"/>
        <c:title>
          <c:tx>
            <c:rich>
              <a:bodyPr rot="0" vert="horz"/>
              <a:lstStyle/>
              <a:p>
                <a:pPr>
                  <a:defRPr b="0"/>
                </a:pPr>
                <a:r>
                  <a:rPr lang="en-NZ" b="0"/>
                  <a:t>Number of special patients</a:t>
                </a: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316346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00322625228968"/>
          <c:y val="9.8761345740873294E-2"/>
          <c:w val="0.80615630776246039"/>
          <c:h val="0.73839546847163828"/>
        </c:manualLayout>
      </c:layout>
      <c:barChart>
        <c:barDir val="bar"/>
        <c:grouping val="percentStacked"/>
        <c:varyColors val="0"/>
        <c:ser>
          <c:idx val="1"/>
          <c:order val="0"/>
          <c:tx>
            <c:strRef>
              <c:f>'Special patient data'!$S$118</c:f>
              <c:strCache>
                <c:ptCount val="1"/>
                <c:pt idx="0">
                  <c:v>% EFC special patients</c:v>
                </c:pt>
              </c:strCache>
            </c:strRef>
          </c:tx>
          <c:spPr>
            <a:solidFill>
              <a:schemeClr val="accent5"/>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data'!$R$119:$R$123</c:f>
              <c:strCache>
                <c:ptCount val="5"/>
                <c:pt idx="0">
                  <c:v>Waitematā</c:v>
                </c:pt>
                <c:pt idx="1">
                  <c:v>Waikato</c:v>
                </c:pt>
                <c:pt idx="2">
                  <c:v>Southern</c:v>
                </c:pt>
                <c:pt idx="3">
                  <c:v>Capital &amp; Coast</c:v>
                </c:pt>
                <c:pt idx="4">
                  <c:v>Canterbury</c:v>
                </c:pt>
              </c:strCache>
            </c:strRef>
          </c:cat>
          <c:val>
            <c:numRef>
              <c:f>'Special patient data'!$S$119:$S$123</c:f>
              <c:numCache>
                <c:formatCode>0.0%</c:formatCode>
                <c:ptCount val="5"/>
                <c:pt idx="0">
                  <c:v>0.16118421052631579</c:v>
                </c:pt>
                <c:pt idx="1">
                  <c:v>0.18303571428571427</c:v>
                </c:pt>
                <c:pt idx="2">
                  <c:v>0.23255813953488372</c:v>
                </c:pt>
                <c:pt idx="3">
                  <c:v>0.29533678756476683</c:v>
                </c:pt>
                <c:pt idx="4">
                  <c:v>0.14814814814814814</c:v>
                </c:pt>
              </c:numCache>
            </c:numRef>
          </c:val>
          <c:extLst>
            <c:ext xmlns:c16="http://schemas.microsoft.com/office/drawing/2014/chart" uri="{C3380CC4-5D6E-409C-BE32-E72D297353CC}">
              <c16:uniqueId val="{00000000-C4A9-48DC-9FE7-B082F5DAF7DC}"/>
            </c:ext>
          </c:extLst>
        </c:ser>
        <c:ser>
          <c:idx val="2"/>
          <c:order val="1"/>
          <c:tx>
            <c:strRef>
              <c:f>'Special patient data'!$T$118</c:f>
              <c:strCache>
                <c:ptCount val="1"/>
                <c:pt idx="0">
                  <c:v>% SFC special patients</c:v>
                </c:pt>
              </c:strCache>
            </c:strRef>
          </c:tx>
          <c:spPr>
            <a:solidFill>
              <a:schemeClr val="accent6"/>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data'!$R$119:$R$123</c:f>
              <c:strCache>
                <c:ptCount val="5"/>
                <c:pt idx="0">
                  <c:v>Waitematā</c:v>
                </c:pt>
                <c:pt idx="1">
                  <c:v>Waikato</c:v>
                </c:pt>
                <c:pt idx="2">
                  <c:v>Southern</c:v>
                </c:pt>
                <c:pt idx="3">
                  <c:v>Capital &amp; Coast</c:v>
                </c:pt>
                <c:pt idx="4">
                  <c:v>Canterbury</c:v>
                </c:pt>
              </c:strCache>
            </c:strRef>
          </c:cat>
          <c:val>
            <c:numRef>
              <c:f>'Special patient data'!$T$119:$T$123</c:f>
              <c:numCache>
                <c:formatCode>0.0%</c:formatCode>
                <c:ptCount val="5"/>
                <c:pt idx="0">
                  <c:v>0.83881578947368418</c:v>
                </c:pt>
                <c:pt idx="1">
                  <c:v>0.8169642857142857</c:v>
                </c:pt>
                <c:pt idx="2">
                  <c:v>0.76744186046511631</c:v>
                </c:pt>
                <c:pt idx="3">
                  <c:v>0.70466321243523311</c:v>
                </c:pt>
                <c:pt idx="4">
                  <c:v>0.85185185185185186</c:v>
                </c:pt>
              </c:numCache>
            </c:numRef>
          </c:val>
          <c:extLst>
            <c:ext xmlns:c16="http://schemas.microsoft.com/office/drawing/2014/chart" uri="{C3380CC4-5D6E-409C-BE32-E72D297353CC}">
              <c16:uniqueId val="{00000001-C4A9-48DC-9FE7-B082F5DAF7DC}"/>
            </c:ext>
          </c:extLst>
        </c:ser>
        <c:dLbls>
          <c:showLegendKey val="0"/>
          <c:showVal val="0"/>
          <c:showCatName val="0"/>
          <c:showSerName val="0"/>
          <c:showPercent val="0"/>
          <c:showBubbleSize val="0"/>
        </c:dLbls>
        <c:gapWidth val="80"/>
        <c:overlap val="100"/>
        <c:axId val="316391808"/>
        <c:axId val="316393728"/>
      </c:barChart>
      <c:catAx>
        <c:axId val="316391808"/>
        <c:scaling>
          <c:orientation val="minMax"/>
        </c:scaling>
        <c:delete val="0"/>
        <c:axPos val="l"/>
        <c:title>
          <c:tx>
            <c:rich>
              <a:bodyPr rot="0"/>
              <a:lstStyle/>
              <a:p>
                <a:pPr>
                  <a:defRPr b="0"/>
                </a:pPr>
                <a:r>
                  <a:rPr lang="en-NZ" b="0"/>
                  <a:t>DHB</a:t>
                </a:r>
              </a:p>
            </c:rich>
          </c:tx>
          <c:layout>
            <c:manualLayout>
              <c:xMode val="edge"/>
              <c:yMode val="edge"/>
              <c:x val="6.5184137586124138E-2"/>
              <c:y val="2.5176682899181652E-2"/>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16393728"/>
        <c:crosses val="autoZero"/>
        <c:auto val="1"/>
        <c:lblAlgn val="ctr"/>
        <c:lblOffset val="100"/>
        <c:noMultiLvlLbl val="0"/>
      </c:catAx>
      <c:valAx>
        <c:axId val="316393728"/>
        <c:scaling>
          <c:orientation val="minMax"/>
        </c:scaling>
        <c:delete val="0"/>
        <c:axPos val="b"/>
        <c:title>
          <c:tx>
            <c:rich>
              <a:bodyPr rot="0" vert="horz"/>
              <a:lstStyle/>
              <a:p>
                <a:pPr>
                  <a:defRPr b="0"/>
                </a:pPr>
                <a:r>
                  <a:rPr lang="en-NZ" b="0"/>
                  <a:t>Percentage of court orders</a:t>
                </a:r>
              </a:p>
            </c:rich>
          </c:tx>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316391808"/>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47579939604326E-2"/>
          <c:y val="0.11444921316165951"/>
          <c:w val="0.86399525361584217"/>
          <c:h val="0.74590382210807338"/>
        </c:manualLayout>
      </c:layout>
      <c:barChart>
        <c:barDir val="col"/>
        <c:grouping val="clustered"/>
        <c:varyColors val="0"/>
        <c:ser>
          <c:idx val="0"/>
          <c:order val="0"/>
          <c:spPr>
            <a:solidFill>
              <a:schemeClr val="accent6"/>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0BD6-42C0-A96E-50A9701879AB}"/>
              </c:ext>
            </c:extLst>
          </c:dPt>
          <c:dPt>
            <c:idx val="1"/>
            <c:invertIfNegative val="0"/>
            <c:bubble3D val="0"/>
            <c:extLst>
              <c:ext xmlns:c16="http://schemas.microsoft.com/office/drawing/2014/chart" uri="{C3380CC4-5D6E-409C-BE32-E72D297353CC}">
                <c16:uniqueId val="{00000003-0BD6-42C0-A96E-50A9701879AB}"/>
              </c:ext>
            </c:extLst>
          </c:dPt>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data'!$B$181:$B$182</c:f>
              <c:strCache>
                <c:ptCount val="2"/>
                <c:pt idx="0">
                  <c:v>Female</c:v>
                </c:pt>
                <c:pt idx="1">
                  <c:v>Male</c:v>
                </c:pt>
              </c:strCache>
            </c:strRef>
          </c:cat>
          <c:val>
            <c:numRef>
              <c:f>'Special patient data'!$C$181:$C$182</c:f>
              <c:numCache>
                <c:formatCode>General</c:formatCode>
                <c:ptCount val="2"/>
                <c:pt idx="0">
                  <c:v>63</c:v>
                </c:pt>
                <c:pt idx="1">
                  <c:v>375</c:v>
                </c:pt>
              </c:numCache>
            </c:numRef>
          </c:val>
          <c:extLst>
            <c:ext xmlns:c16="http://schemas.microsoft.com/office/drawing/2014/chart" uri="{C3380CC4-5D6E-409C-BE32-E72D297353CC}">
              <c16:uniqueId val="{00000004-0BD6-42C0-A96E-50A9701879AB}"/>
            </c:ext>
          </c:extLst>
        </c:ser>
        <c:dLbls>
          <c:showLegendKey val="0"/>
          <c:showVal val="0"/>
          <c:showCatName val="0"/>
          <c:showSerName val="0"/>
          <c:showPercent val="0"/>
          <c:showBubbleSize val="0"/>
        </c:dLbls>
        <c:gapWidth val="100"/>
        <c:axId val="324648960"/>
        <c:axId val="324650880"/>
      </c:barChart>
      <c:catAx>
        <c:axId val="324648960"/>
        <c:scaling>
          <c:orientation val="minMax"/>
        </c:scaling>
        <c:delete val="0"/>
        <c:axPos val="b"/>
        <c:title>
          <c:tx>
            <c:rich>
              <a:bodyPr rot="0" vert="horz"/>
              <a:lstStyle/>
              <a:p>
                <a:pPr>
                  <a:defRPr b="0"/>
                </a:pPr>
                <a:r>
                  <a:rPr lang="en-NZ" b="0"/>
                  <a:t>Sex</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24650880"/>
        <c:crosses val="autoZero"/>
        <c:auto val="1"/>
        <c:lblAlgn val="ctr"/>
        <c:lblOffset val="100"/>
        <c:noMultiLvlLbl val="0"/>
      </c:catAx>
      <c:valAx>
        <c:axId val="324650880"/>
        <c:scaling>
          <c:orientation val="minMax"/>
        </c:scaling>
        <c:delete val="0"/>
        <c:axPos val="l"/>
        <c:title>
          <c:tx>
            <c:rich>
              <a:bodyPr rot="0"/>
              <a:lstStyle/>
              <a:p>
                <a:pPr>
                  <a:defRPr b="0"/>
                </a:pPr>
                <a:r>
                  <a:rPr lang="en-NZ" b="0"/>
                  <a:t>Number</a:t>
                </a:r>
              </a:p>
            </c:rich>
          </c:tx>
          <c:layout>
            <c:manualLayout>
              <c:xMode val="edge"/>
              <c:yMode val="edge"/>
              <c:x val="0"/>
              <c:y val="4.0507812059974066E-4"/>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324648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37444037196845E-2"/>
          <c:y val="9.3487121449268379E-2"/>
          <c:w val="0.91508128587667381"/>
          <c:h val="0.75141991092855842"/>
        </c:manualLayout>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'Special patient data'!$B$165:$B$175</c:f>
              <c:strCache>
                <c:ptCount val="11"/>
                <c:pt idx="0">
                  <c:v>0–19</c:v>
                </c:pt>
                <c:pt idx="1">
                  <c:v>20–24</c:v>
                </c:pt>
                <c:pt idx="2">
                  <c:v>25–29</c:v>
                </c:pt>
                <c:pt idx="3">
                  <c:v>30–34</c:v>
                </c:pt>
                <c:pt idx="4">
                  <c:v>35–39</c:v>
                </c:pt>
                <c:pt idx="5">
                  <c:v>40–44</c:v>
                </c:pt>
                <c:pt idx="6">
                  <c:v>45–49</c:v>
                </c:pt>
                <c:pt idx="7">
                  <c:v>50–54</c:v>
                </c:pt>
                <c:pt idx="8">
                  <c:v>55–59</c:v>
                </c:pt>
                <c:pt idx="9">
                  <c:v>60–64</c:v>
                </c:pt>
                <c:pt idx="10">
                  <c:v>65+</c:v>
                </c:pt>
              </c:strCache>
            </c:strRef>
          </c:cat>
          <c:val>
            <c:numRef>
              <c:f>'Special patient data'!$C$165:$C$175</c:f>
              <c:numCache>
                <c:formatCode>General</c:formatCode>
                <c:ptCount val="11"/>
                <c:pt idx="0">
                  <c:v>26</c:v>
                </c:pt>
                <c:pt idx="1">
                  <c:v>54</c:v>
                </c:pt>
                <c:pt idx="2">
                  <c:v>64</c:v>
                </c:pt>
                <c:pt idx="3">
                  <c:v>70</c:v>
                </c:pt>
                <c:pt idx="4">
                  <c:v>46</c:v>
                </c:pt>
                <c:pt idx="5">
                  <c:v>47</c:v>
                </c:pt>
                <c:pt idx="6">
                  <c:v>39</c:v>
                </c:pt>
                <c:pt idx="7">
                  <c:v>46</c:v>
                </c:pt>
                <c:pt idx="8">
                  <c:v>20</c:v>
                </c:pt>
                <c:pt idx="9">
                  <c:v>14</c:v>
                </c:pt>
                <c:pt idx="10">
                  <c:v>12</c:v>
                </c:pt>
              </c:numCache>
            </c:numRef>
          </c:val>
          <c:extLst>
            <c:ext xmlns:c16="http://schemas.microsoft.com/office/drawing/2014/chart" uri="{C3380CC4-5D6E-409C-BE32-E72D297353CC}">
              <c16:uniqueId val="{00000000-1F5B-4DF8-A77F-4C27B5C88B35}"/>
            </c:ext>
          </c:extLst>
        </c:ser>
        <c:dLbls>
          <c:showLegendKey val="0"/>
          <c:showVal val="0"/>
          <c:showCatName val="0"/>
          <c:showSerName val="0"/>
          <c:showPercent val="0"/>
          <c:showBubbleSize val="0"/>
        </c:dLbls>
        <c:gapWidth val="50"/>
        <c:axId val="342513920"/>
        <c:axId val="342540672"/>
      </c:barChart>
      <c:catAx>
        <c:axId val="342513920"/>
        <c:scaling>
          <c:orientation val="minMax"/>
        </c:scaling>
        <c:delete val="0"/>
        <c:axPos val="b"/>
        <c:title>
          <c:tx>
            <c:rich>
              <a:bodyPr rot="0" vert="horz"/>
              <a:lstStyle/>
              <a:p>
                <a:pPr>
                  <a:defRPr b="0"/>
                </a:pPr>
                <a:r>
                  <a:rPr lang="en-NZ" b="0"/>
                  <a:t>Age group (years)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42540672"/>
        <c:crosses val="autoZero"/>
        <c:auto val="1"/>
        <c:lblAlgn val="ctr"/>
        <c:lblOffset val="100"/>
        <c:noMultiLvlLbl val="0"/>
      </c:catAx>
      <c:valAx>
        <c:axId val="342540672"/>
        <c:scaling>
          <c:orientation val="minMax"/>
        </c:scaling>
        <c:delete val="0"/>
        <c:axPos val="l"/>
        <c:title>
          <c:tx>
            <c:rich>
              <a:bodyPr rot="0" vert="horz"/>
              <a:lstStyle/>
              <a:p>
                <a:pPr>
                  <a:defRPr b="0"/>
                </a:pPr>
                <a:r>
                  <a:rPr lang="en-NZ" b="0"/>
                  <a:t>Total number</a:t>
                </a:r>
              </a:p>
            </c:rich>
          </c:tx>
          <c:layout>
            <c:manualLayout>
              <c:xMode val="edge"/>
              <c:yMode val="edge"/>
              <c:x val="0"/>
              <c:y val="3.5085522566559914E-3"/>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3425139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214408543759606E-2"/>
          <c:y val="0.16356877323420074"/>
          <c:w val="0.88463041310428558"/>
          <c:h val="0.69957764189143268"/>
        </c:manualLayout>
      </c:layout>
      <c:barChart>
        <c:barDir val="col"/>
        <c:grouping val="clustered"/>
        <c:varyColors val="0"/>
        <c:ser>
          <c:idx val="0"/>
          <c:order val="0"/>
          <c:spPr>
            <a:solidFill>
              <a:schemeClr val="accent5"/>
            </a:solidFill>
            <a:ln w="19050">
              <a:solidFill>
                <a:schemeClr val="lt1"/>
              </a:solidFill>
            </a:ln>
            <a:effectLst/>
          </c:spPr>
          <c:invertIfNegative val="0"/>
          <c:dLbls>
            <c:dLbl>
              <c:idx val="0"/>
              <c:layout>
                <c:manualLayout>
                  <c:x val="-2.6340691878662054E-17"/>
                  <c:y val="8.8078651185550961E-3"/>
                </c:manualLayout>
              </c:layout>
              <c:spPr>
                <a:noFill/>
                <a:ln>
                  <a:noFill/>
                </a:ln>
                <a:effectLst/>
              </c:spPr>
              <c:txPr>
                <a:bodyPr rot="0" vert="horz"/>
                <a:lstStyle/>
                <a:p>
                  <a:pPr>
                    <a:defRPr>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1D-4203-AF1B-DBA4DB7A5AA1}"/>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Asian</c:v>
              </c:pt>
              <c:pt idx="1">
                <c:v> Māori</c:v>
              </c:pt>
              <c:pt idx="2">
                <c:v> Other</c:v>
              </c:pt>
              <c:pt idx="3">
                <c:v> Pacific peoples</c:v>
              </c:pt>
            </c:strLit>
          </c:cat>
          <c:val>
            <c:numRef>
              <c:f>'Special patient data'!$F$152:$F$155</c:f>
              <c:numCache>
                <c:formatCode>0%</c:formatCode>
                <c:ptCount val="4"/>
                <c:pt idx="0">
                  <c:v>3.4246575342465752E-2</c:v>
                </c:pt>
                <c:pt idx="1">
                  <c:v>0.54337899543378998</c:v>
                </c:pt>
                <c:pt idx="2">
                  <c:v>0.31050228310502281</c:v>
                </c:pt>
                <c:pt idx="3">
                  <c:v>0.11187214611872145</c:v>
                </c:pt>
              </c:numCache>
            </c:numRef>
          </c:val>
          <c:extLst>
            <c:ext xmlns:c16="http://schemas.microsoft.com/office/drawing/2014/chart" uri="{C3380CC4-5D6E-409C-BE32-E72D297353CC}">
              <c16:uniqueId val="{00000008-0C58-419B-921C-618BE7121734}"/>
            </c:ext>
          </c:extLst>
        </c:ser>
        <c:dLbls>
          <c:showLegendKey val="0"/>
          <c:showVal val="0"/>
          <c:showCatName val="0"/>
          <c:showSerName val="0"/>
          <c:showPercent val="0"/>
          <c:showBubbleSize val="0"/>
        </c:dLbls>
        <c:gapWidth val="100"/>
        <c:axId val="342894080"/>
        <c:axId val="342896000"/>
      </c:barChart>
      <c:catAx>
        <c:axId val="342894080"/>
        <c:scaling>
          <c:orientation val="minMax"/>
        </c:scaling>
        <c:delete val="0"/>
        <c:axPos val="b"/>
        <c:title>
          <c:tx>
            <c:rich>
              <a:bodyPr rot="0" vert="horz"/>
              <a:lstStyle/>
              <a:p>
                <a:pPr>
                  <a:defRPr b="0"/>
                </a:pPr>
                <a:r>
                  <a:rPr lang="en-NZ" b="0"/>
                  <a:t>Ethnicity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42896000"/>
        <c:crosses val="autoZero"/>
        <c:auto val="1"/>
        <c:lblAlgn val="ctr"/>
        <c:lblOffset val="100"/>
        <c:noMultiLvlLbl val="0"/>
      </c:catAx>
      <c:valAx>
        <c:axId val="342896000"/>
        <c:scaling>
          <c:orientation val="minMax"/>
        </c:scaling>
        <c:delete val="0"/>
        <c:axPos val="l"/>
        <c:title>
          <c:tx>
            <c:rich>
              <a:bodyPr rot="0"/>
              <a:lstStyle/>
              <a:p>
                <a:pPr algn="l">
                  <a:defRPr b="0"/>
                </a:pPr>
                <a:r>
                  <a:rPr lang="en-NZ" b="0"/>
                  <a:t>Percentage of special patients</a:t>
                </a:r>
              </a:p>
            </c:rich>
          </c:tx>
          <c:layout>
            <c:manualLayout>
              <c:xMode val="edge"/>
              <c:yMode val="edge"/>
              <c:x val="0"/>
              <c:y val="3.8200987588415856E-3"/>
            </c:manualLayout>
          </c:layout>
          <c:overlay val="0"/>
          <c:spPr>
            <a:noFill/>
            <a:ln w="0">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342894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9.619167510017361E-2"/>
          <c:w val="0.88001132211414768"/>
          <c:h val="0.76535992562058275"/>
        </c:manualLayout>
      </c:layout>
      <c:barChart>
        <c:barDir val="col"/>
        <c:grouping val="clustered"/>
        <c:varyColors val="0"/>
        <c:ser>
          <c:idx val="0"/>
          <c:order val="0"/>
          <c:tx>
            <c:v>Total special patients</c:v>
          </c:tx>
          <c:spPr>
            <a:solidFill>
              <a:schemeClr val="accent6"/>
            </a:solidFill>
            <a:ln>
              <a:noFill/>
            </a:ln>
            <a:effectLst/>
          </c:spPr>
          <c:invertIfNegative val="0"/>
          <c:dLbls>
            <c:dLbl>
              <c:idx val="2"/>
              <c:layout>
                <c:manualLayout>
                  <c:x val="-8.8758758400139388E-17"/>
                  <c:y val="1.2483894058697209E-2"/>
                </c:manualLayout>
              </c:layout>
              <c:spPr>
                <a:noFill/>
                <a:ln>
                  <a:noFill/>
                </a:ln>
                <a:effectLst/>
              </c:spPr>
              <c:txPr>
                <a:bodyPr rot="0" vert="horz"/>
                <a:lstStyle/>
                <a:p>
                  <a:pPr>
                    <a:defRPr>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A0-4F8B-8DA7-A44E76A6F9A7}"/>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data'!$Y$152:$Y$155</c:f>
              <c:strCache>
                <c:ptCount val="4"/>
                <c:pt idx="0">
                  <c:v>Māori</c:v>
                </c:pt>
                <c:pt idx="1">
                  <c:v>Pacific peoples</c:v>
                </c:pt>
                <c:pt idx="2">
                  <c:v>Asian</c:v>
                </c:pt>
                <c:pt idx="3">
                  <c:v>Other</c:v>
                </c:pt>
              </c:strCache>
            </c:strRef>
          </c:cat>
          <c:val>
            <c:numRef>
              <c:f>'Special patient data'!$Z$152:$Z$155</c:f>
              <c:numCache>
                <c:formatCode>General</c:formatCode>
                <c:ptCount val="4"/>
                <c:pt idx="0">
                  <c:v>238</c:v>
                </c:pt>
                <c:pt idx="1">
                  <c:v>49</c:v>
                </c:pt>
                <c:pt idx="2">
                  <c:v>15</c:v>
                </c:pt>
                <c:pt idx="3">
                  <c:v>136</c:v>
                </c:pt>
              </c:numCache>
            </c:numRef>
          </c:val>
          <c:extLst>
            <c:ext xmlns:c16="http://schemas.microsoft.com/office/drawing/2014/chart" uri="{C3380CC4-5D6E-409C-BE32-E72D297353CC}">
              <c16:uniqueId val="{00000000-AD27-4447-AF5E-402D9DBD8B60}"/>
            </c:ext>
          </c:extLst>
        </c:ser>
        <c:ser>
          <c:idx val="1"/>
          <c:order val="1"/>
          <c:tx>
            <c:v>EFC special patients</c:v>
          </c:tx>
          <c:spPr>
            <a:solidFill>
              <a:schemeClr val="accent5"/>
            </a:solidFill>
            <a:ln>
              <a:noFill/>
            </a:ln>
            <a:effectLst/>
          </c:spPr>
          <c:invertIfNegative val="0"/>
          <c:dLbls>
            <c:dLbl>
              <c:idx val="2"/>
              <c:spPr>
                <a:noFill/>
                <a:ln>
                  <a:noFill/>
                </a:ln>
                <a:effectLst/>
              </c:spPr>
              <c:txPr>
                <a:bodyPr rot="0" vert="horz"/>
                <a:lstStyle/>
                <a:p>
                  <a:pPr>
                    <a:defRPr>
                      <a:solidFill>
                        <a:sysClr val="windowText" lastClr="000000"/>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4A05-45A8-B297-065593847372}"/>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data'!$Y$152:$Y$155</c:f>
              <c:strCache>
                <c:ptCount val="4"/>
                <c:pt idx="0">
                  <c:v>Māori</c:v>
                </c:pt>
                <c:pt idx="1">
                  <c:v>Pacific peoples</c:v>
                </c:pt>
                <c:pt idx="2">
                  <c:v>Asian</c:v>
                </c:pt>
                <c:pt idx="3">
                  <c:v>Other</c:v>
                </c:pt>
              </c:strCache>
            </c:strRef>
          </c:cat>
          <c:val>
            <c:numRef>
              <c:f>'Special patient data'!$AA$152:$AA$155</c:f>
              <c:numCache>
                <c:formatCode>General</c:formatCode>
                <c:ptCount val="4"/>
                <c:pt idx="0">
                  <c:v>72</c:v>
                </c:pt>
                <c:pt idx="1">
                  <c:v>23</c:v>
                </c:pt>
                <c:pt idx="2">
                  <c:v>7</c:v>
                </c:pt>
                <c:pt idx="3">
                  <c:v>65</c:v>
                </c:pt>
              </c:numCache>
            </c:numRef>
          </c:val>
          <c:extLst>
            <c:ext xmlns:c16="http://schemas.microsoft.com/office/drawing/2014/chart" uri="{C3380CC4-5D6E-409C-BE32-E72D297353CC}">
              <c16:uniqueId val="{00000001-AD27-4447-AF5E-402D9DBD8B60}"/>
            </c:ext>
          </c:extLst>
        </c:ser>
        <c:ser>
          <c:idx val="2"/>
          <c:order val="2"/>
          <c:tx>
            <c:v>SFC special patients</c:v>
          </c:tx>
          <c:spPr>
            <a:solidFill>
              <a:schemeClr val="accent4"/>
            </a:solidFill>
            <a:ln>
              <a:noFill/>
            </a:ln>
            <a:effectLst/>
          </c:spPr>
          <c:invertIfNegative val="0"/>
          <c:dLbls>
            <c:dLbl>
              <c:idx val="2"/>
              <c:layout>
                <c:manualLayout>
                  <c:x val="8.8776356741661491E-17"/>
                  <c:y val="1.9204537909808451E-2"/>
                </c:manualLayout>
              </c:layout>
              <c:spPr>
                <a:noFill/>
                <a:ln>
                  <a:noFill/>
                </a:ln>
                <a:effectLst/>
              </c:spPr>
              <c:txPr>
                <a:bodyPr rot="0" vert="horz"/>
                <a:lstStyle/>
                <a:p>
                  <a:pPr>
                    <a:defRPr>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F7-4797-9878-9564A59EBFDD}"/>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data'!$Y$152:$Y$155</c:f>
              <c:strCache>
                <c:ptCount val="4"/>
                <c:pt idx="0">
                  <c:v>Māori</c:v>
                </c:pt>
                <c:pt idx="1">
                  <c:v>Pacific peoples</c:v>
                </c:pt>
                <c:pt idx="2">
                  <c:v>Asian</c:v>
                </c:pt>
                <c:pt idx="3">
                  <c:v>Other</c:v>
                </c:pt>
              </c:strCache>
            </c:strRef>
          </c:cat>
          <c:val>
            <c:numRef>
              <c:f>'Special patient data'!$AB$152:$AB$155</c:f>
              <c:numCache>
                <c:formatCode>General</c:formatCode>
                <c:ptCount val="4"/>
                <c:pt idx="0">
                  <c:v>170</c:v>
                </c:pt>
                <c:pt idx="1">
                  <c:v>27</c:v>
                </c:pt>
                <c:pt idx="2">
                  <c:v>9</c:v>
                </c:pt>
                <c:pt idx="3">
                  <c:v>75</c:v>
                </c:pt>
              </c:numCache>
            </c:numRef>
          </c:val>
          <c:extLst>
            <c:ext xmlns:c16="http://schemas.microsoft.com/office/drawing/2014/chart" uri="{C3380CC4-5D6E-409C-BE32-E72D297353CC}">
              <c16:uniqueId val="{00000002-AD27-4447-AF5E-402D9DBD8B60}"/>
            </c:ext>
          </c:extLst>
        </c:ser>
        <c:dLbls>
          <c:dLblPos val="inEnd"/>
          <c:showLegendKey val="0"/>
          <c:showVal val="1"/>
          <c:showCatName val="0"/>
          <c:showSerName val="0"/>
          <c:showPercent val="0"/>
          <c:showBubbleSize val="0"/>
        </c:dLbls>
        <c:gapWidth val="61"/>
        <c:overlap val="-27"/>
        <c:axId val="342975616"/>
        <c:axId val="342977536"/>
      </c:barChart>
      <c:catAx>
        <c:axId val="342975616"/>
        <c:scaling>
          <c:orientation val="minMax"/>
        </c:scaling>
        <c:delete val="0"/>
        <c:axPos val="b"/>
        <c:title>
          <c:tx>
            <c:rich>
              <a:bodyPr rot="0" vert="horz"/>
              <a:lstStyle/>
              <a:p>
                <a:pPr>
                  <a:defRPr b="0"/>
                </a:pPr>
                <a:r>
                  <a:rPr lang="en-NZ" b="0"/>
                  <a:t>Ethnicity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42977536"/>
        <c:crosses val="autoZero"/>
        <c:auto val="1"/>
        <c:lblAlgn val="ctr"/>
        <c:lblOffset val="100"/>
        <c:noMultiLvlLbl val="0"/>
      </c:catAx>
      <c:valAx>
        <c:axId val="342977536"/>
        <c:scaling>
          <c:orientation val="minMax"/>
          <c:max val="250"/>
        </c:scaling>
        <c:delete val="0"/>
        <c:axPos val="l"/>
        <c:title>
          <c:tx>
            <c:rich>
              <a:bodyPr rot="0"/>
              <a:lstStyle/>
              <a:p>
                <a:pPr>
                  <a:defRPr b="0"/>
                </a:pPr>
                <a:r>
                  <a:rPr lang="en-NZ" b="0"/>
                  <a:t>Number</a:t>
                </a:r>
              </a:p>
            </c:rich>
          </c:tx>
          <c:layout>
            <c:manualLayout>
              <c:xMode val="edge"/>
              <c:yMode val="edge"/>
              <c:x val="0"/>
              <c:y val="8.1071335731595093E-4"/>
            </c:manualLayout>
          </c:layout>
          <c:overlay val="0"/>
          <c:spPr>
            <a:noFill/>
            <a:ln>
              <a:noFill/>
            </a:ln>
            <a:effectLst/>
          </c:spPr>
        </c:title>
        <c:numFmt formatCode="General" sourceLinked="1"/>
        <c:majorTickMark val="out"/>
        <c:minorTickMark val="out"/>
        <c:tickLblPos val="nextTo"/>
        <c:spPr>
          <a:noFill/>
          <a:ln>
            <a:solidFill>
              <a:schemeClr val="tx1"/>
            </a:solidFill>
          </a:ln>
          <a:effectLst/>
        </c:spPr>
        <c:txPr>
          <a:bodyPr rot="-60000000" vert="horz"/>
          <a:lstStyle/>
          <a:p>
            <a:pPr>
              <a:defRPr/>
            </a:pPr>
            <a:endParaRPr lang="en-US"/>
          </a:p>
        </c:txPr>
        <c:crossAx val="342975616"/>
        <c:crosses val="autoZero"/>
        <c:crossBetween val="between"/>
        <c:minorUnit val="25"/>
      </c:valAx>
      <c:spPr>
        <a:noFill/>
        <a:ln>
          <a:noFill/>
        </a:ln>
        <a:effectLst/>
      </c:spPr>
    </c:plotArea>
    <c:legend>
      <c:legendPos val="r"/>
      <c:layout>
        <c:manualLayout>
          <c:xMode val="edge"/>
          <c:yMode val="edge"/>
          <c:x val="0.69606507121572903"/>
          <c:y val="2.0145303153720207E-2"/>
          <c:w val="0.25973025158347579"/>
          <c:h val="0.23361325851221076"/>
        </c:manualLayout>
      </c:layout>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915641503693705E-2"/>
          <c:y val="0.14803149606299212"/>
          <c:w val="0.91813304158897946"/>
          <c:h val="0.66768543580489936"/>
        </c:manualLayout>
      </c:layout>
      <c:lineChart>
        <c:grouping val="standard"/>
        <c:varyColors val="0"/>
        <c:ser>
          <c:idx val="2"/>
          <c:order val="0"/>
          <c:tx>
            <c:strRef>
              <c:f>ECT!$F$7</c:f>
              <c:strCache>
                <c:ptCount val="1"/>
                <c:pt idx="0">
                  <c:v>Rate per 100,000 population</c:v>
                </c:pt>
              </c:strCache>
            </c:strRef>
          </c:tx>
          <c:spPr>
            <a:ln>
              <a:solidFill>
                <a:schemeClr val="accent1"/>
              </a:solidFill>
            </a:ln>
          </c:spPr>
          <c:marker>
            <c:symbol val="none"/>
          </c:marker>
          <c:cat>
            <c:numRef>
              <c:f>ECT!$C$8:$C$23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ECT!$F$8:$F$23</c:f>
              <c:numCache>
                <c:formatCode>_-* #,##0.0_-;\-* #,##0.0_-;_-* "-"??_-;_-@_-</c:formatCode>
                <c:ptCount val="16"/>
                <c:pt idx="0">
                  <c:v>7.4915140911231664</c:v>
                </c:pt>
                <c:pt idx="1">
                  <c:v>5.3535749452692567</c:v>
                </c:pt>
                <c:pt idx="2">
                  <c:v>5.2745173402714132</c:v>
                </c:pt>
                <c:pt idx="3">
                  <c:v>4.7558080012369786</c:v>
                </c:pt>
                <c:pt idx="4">
                  <c:v>5.0443062103080516</c:v>
                </c:pt>
                <c:pt idx="5">
                  <c:v>5.4023236888445458</c:v>
                </c:pt>
                <c:pt idx="6">
                  <c:v>6.5065657163137347</c:v>
                </c:pt>
                <c:pt idx="7">
                  <c:v>5.9892013569496205</c:v>
                </c:pt>
                <c:pt idx="8">
                  <c:v>5.6529617721253125</c:v>
                </c:pt>
                <c:pt idx="9">
                  <c:v>5.4250779168579353</c:v>
                </c:pt>
                <c:pt idx="10">
                  <c:v>4.8504446240905414</c:v>
                </c:pt>
                <c:pt idx="11">
                  <c:v>5.3228092981632074</c:v>
                </c:pt>
                <c:pt idx="12">
                  <c:v>5.4774700289375771</c:v>
                </c:pt>
                <c:pt idx="13">
                  <c:v>5.3804976249671332</c:v>
                </c:pt>
                <c:pt idx="14">
                  <c:v>4.6655921666525284</c:v>
                </c:pt>
                <c:pt idx="15">
                  <c:v>4.5598559714458675</c:v>
                </c:pt>
              </c:numCache>
            </c:numRef>
          </c:val>
          <c:smooth val="0"/>
          <c:extLst>
            <c:ext xmlns:c16="http://schemas.microsoft.com/office/drawing/2014/chart" uri="{C3380CC4-5D6E-409C-BE32-E72D297353CC}">
              <c16:uniqueId val="{00000000-D9F6-4522-8025-1BF8CB582BE1}"/>
            </c:ext>
          </c:extLst>
        </c:ser>
        <c:dLbls>
          <c:showLegendKey val="0"/>
          <c:showVal val="0"/>
          <c:showCatName val="0"/>
          <c:showSerName val="0"/>
          <c:showPercent val="0"/>
          <c:showBubbleSize val="0"/>
        </c:dLbls>
        <c:smooth val="0"/>
        <c:axId val="343014784"/>
        <c:axId val="343021056"/>
      </c:lineChart>
      <c:catAx>
        <c:axId val="343014784"/>
        <c:scaling>
          <c:orientation val="minMax"/>
        </c:scaling>
        <c:delete val="0"/>
        <c:axPos val="b"/>
        <c:title>
          <c:tx>
            <c:rich>
              <a:bodyPr/>
              <a:lstStyle/>
              <a:p>
                <a:pPr>
                  <a:defRPr b="0"/>
                </a:pPr>
                <a:r>
                  <a:rPr lang="en-NZ" b="0"/>
                  <a:t>Year</a:t>
                </a:r>
              </a:p>
            </c:rich>
          </c:tx>
          <c:overlay val="0"/>
        </c:title>
        <c:numFmt formatCode="General" sourceLinked="1"/>
        <c:majorTickMark val="none"/>
        <c:minorTickMark val="out"/>
        <c:tickLblPos val="nextTo"/>
        <c:spPr>
          <a:ln/>
        </c:spPr>
        <c:txPr>
          <a:bodyPr rot="-5400000" vert="horz"/>
          <a:lstStyle/>
          <a:p>
            <a:pPr>
              <a:defRPr/>
            </a:pPr>
            <a:endParaRPr lang="en-US"/>
          </a:p>
        </c:txPr>
        <c:crossAx val="343021056"/>
        <c:crosses val="autoZero"/>
        <c:auto val="1"/>
        <c:lblAlgn val="ctr"/>
        <c:lblOffset val="100"/>
        <c:noMultiLvlLbl val="0"/>
      </c:catAx>
      <c:valAx>
        <c:axId val="343021056"/>
        <c:scaling>
          <c:orientation val="minMax"/>
        </c:scaling>
        <c:delete val="0"/>
        <c:axPos val="l"/>
        <c:majorGridlines>
          <c:spPr>
            <a:ln>
              <a:noFill/>
            </a:ln>
          </c:spPr>
        </c:majorGridlines>
        <c:title>
          <c:tx>
            <c:rich>
              <a:bodyPr rot="0" vert="horz"/>
              <a:lstStyle/>
              <a:p>
                <a:pPr algn="l">
                  <a:defRPr b="0"/>
                </a:pPr>
                <a:r>
                  <a:rPr lang="en-NZ" b="0"/>
                  <a:t>Rate per 100,000 population</a:t>
                </a:r>
              </a:p>
            </c:rich>
          </c:tx>
          <c:layout>
            <c:manualLayout>
              <c:xMode val="edge"/>
              <c:yMode val="edge"/>
              <c:x val="0"/>
              <c:y val="4.4193858483739037E-3"/>
            </c:manualLayout>
          </c:layout>
          <c:overlay val="0"/>
        </c:title>
        <c:numFmt formatCode="#,##0" sourceLinked="0"/>
        <c:majorTickMark val="out"/>
        <c:minorTickMark val="none"/>
        <c:tickLblPos val="nextTo"/>
        <c:crossAx val="343014784"/>
        <c:crosses val="autoZero"/>
        <c:crossBetween val="between"/>
      </c:valAx>
    </c:plotArea>
    <c:plotVisOnly val="1"/>
    <c:dispBlanksAs val="gap"/>
    <c:showDLblsOverMax val="0"/>
  </c:chart>
  <c:spPr>
    <a:noFill/>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85417170954898E-2"/>
          <c:y val="0.13021586022063864"/>
          <c:w val="0.91099258162349961"/>
          <c:h val="0.49604875539259657"/>
        </c:manualLayout>
      </c:layout>
      <c:lineChart>
        <c:grouping val="standard"/>
        <c:varyColors val="0"/>
        <c:ser>
          <c:idx val="0"/>
          <c:order val="0"/>
          <c:tx>
            <c:strRef>
              <c:f>'Error bars'!$B$184</c:f>
              <c:strCache>
                <c:ptCount val="1"/>
                <c:pt idx="0">
                  <c:v>Section 30</c:v>
                </c:pt>
              </c:strCache>
            </c:strRef>
          </c:tx>
          <c:spPr>
            <a:ln>
              <a:noFill/>
            </a:ln>
          </c:spPr>
          <c:errBars>
            <c:errDir val="y"/>
            <c:errBarType val="both"/>
            <c:errValType val="cust"/>
            <c:noEndCap val="0"/>
            <c:plus>
              <c:numRef>
                <c:f>'Error bars'!$F$186:$F$205</c:f>
                <c:numCache>
                  <c:formatCode>General</c:formatCode>
                  <c:ptCount val="20"/>
                  <c:pt idx="0">
                    <c:v>4.3468126544518739</c:v>
                  </c:pt>
                  <c:pt idx="1">
                    <c:v>5.4167383548879231</c:v>
                  </c:pt>
                  <c:pt idx="2">
                    <c:v>4.9756819495649083</c:v>
                  </c:pt>
                  <c:pt idx="3">
                    <c:v>9.5043567955308959</c:v>
                  </c:pt>
                  <c:pt idx="4">
                    <c:v>2.4149130973323873</c:v>
                  </c:pt>
                  <c:pt idx="5">
                    <c:v>10.644482916292894</c:v>
                  </c:pt>
                  <c:pt idx="6">
                    <c:v>7.3148501551616611</c:v>
                  </c:pt>
                  <c:pt idx="7">
                    <c:v>8.4624786474045735</c:v>
                  </c:pt>
                  <c:pt idx="8">
                    <c:v>6.9347940793748375</c:v>
                  </c:pt>
                  <c:pt idx="9">
                    <c:v>7.6469991736436747</c:v>
                  </c:pt>
                  <c:pt idx="10">
                    <c:v>6.954234275270208</c:v>
                  </c:pt>
                  <c:pt idx="11">
                    <c:v>12.182084634920002</c:v>
                  </c:pt>
                  <c:pt idx="12">
                    <c:v>5.4702663650595991</c:v>
                  </c:pt>
                  <c:pt idx="13">
                    <c:v>14.117469426853383</c:v>
                  </c:pt>
                  <c:pt idx="14">
                    <c:v>7.4047731981822391</c:v>
                  </c:pt>
                  <c:pt idx="15">
                    <c:v>5.4245366951182454</c:v>
                  </c:pt>
                  <c:pt idx="16">
                    <c:v>13.130752502103576</c:v>
                  </c:pt>
                  <c:pt idx="17">
                    <c:v>3.8967074560331323</c:v>
                  </c:pt>
                  <c:pt idx="18">
                    <c:v>26.022612688957601</c:v>
                  </c:pt>
                  <c:pt idx="19">
                    <c:v>19.454259932733645</c:v>
                  </c:pt>
                </c:numCache>
              </c:numRef>
            </c:plus>
            <c:minus>
              <c:numRef>
                <c:f>'Error bars'!$E$186:$E$205</c:f>
                <c:numCache>
                  <c:formatCode>General</c:formatCode>
                  <c:ptCount val="20"/>
                  <c:pt idx="0">
                    <c:v>3.5057039657794595</c:v>
                  </c:pt>
                  <c:pt idx="1">
                    <c:v>3.5754678411636194</c:v>
                  </c:pt>
                  <c:pt idx="2">
                    <c:v>4.1388656155604089</c:v>
                  </c:pt>
                  <c:pt idx="3">
                    <c:v>8.003618168314329</c:v>
                  </c:pt>
                  <c:pt idx="4">
                    <c:v>1.5708027704552636</c:v>
                  </c:pt>
                  <c:pt idx="5">
                    <c:v>8.1529264633473595</c:v>
                  </c:pt>
                  <c:pt idx="6">
                    <c:v>4.5302647455528025</c:v>
                  </c:pt>
                  <c:pt idx="7">
                    <c:v>4.7801590610290221</c:v>
                  </c:pt>
                  <c:pt idx="8">
                    <c:v>4.234812009824946</c:v>
                  </c:pt>
                  <c:pt idx="9">
                    <c:v>4.705127737276479</c:v>
                  </c:pt>
                  <c:pt idx="10">
                    <c:v>4.6219319820388343</c:v>
                  </c:pt>
                  <c:pt idx="11">
                    <c:v>4.9606110979439819</c:v>
                  </c:pt>
                  <c:pt idx="12">
                    <c:v>4.2950177262494602</c:v>
                  </c:pt>
                  <c:pt idx="13">
                    <c:v>3.9289687164260725</c:v>
                  </c:pt>
                  <c:pt idx="14">
                    <c:v>3.9092768657095935</c:v>
                  </c:pt>
                  <c:pt idx="15">
                    <c:v>4.3433820706740587</c:v>
                  </c:pt>
                  <c:pt idx="16">
                    <c:v>2.0318306272747719</c:v>
                  </c:pt>
                  <c:pt idx="17">
                    <c:v>3.1830269080894187</c:v>
                  </c:pt>
                  <c:pt idx="18">
                    <c:v>10.790366290440819</c:v>
                  </c:pt>
                  <c:pt idx="19">
                    <c:v>12.07638532218645</c:v>
                  </c:pt>
                </c:numCache>
              </c:numRef>
            </c:minus>
          </c:errBars>
          <c:cat>
            <c:strRef>
              <c:f>'Error bars'!$B$47:$B$67</c:f>
              <c:strCache>
                <c:ptCount val="21"/>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average</c:v>
                </c:pt>
              </c:strCache>
            </c:strRef>
          </c:cat>
          <c:val>
            <c:numRef>
              <c:f>'Error bars'!$C$186:$C$205</c:f>
              <c:numCache>
                <c:formatCode>0</c:formatCode>
                <c:ptCount val="20"/>
                <c:pt idx="0">
                  <c:v>11.137912399330407</c:v>
                </c:pt>
                <c:pt idx="1">
                  <c:v>7.2288091720645982</c:v>
                </c:pt>
                <c:pt idx="2">
                  <c:v>17.491211523621711</c:v>
                </c:pt>
                <c:pt idx="3">
                  <c:v>36.039921143420401</c:v>
                </c:pt>
                <c:pt idx="4">
                  <c:v>3.1901140046004799</c:v>
                </c:pt>
                <c:pt idx="5">
                  <c:v>22.255192878338278</c:v>
                </c:pt>
                <c:pt idx="6">
                  <c:v>7.4423480083857445</c:v>
                </c:pt>
                <c:pt idx="7">
                  <c:v>6.7381621130876388</c:v>
                </c:pt>
                <c:pt idx="8">
                  <c:v>7.7341583102197564</c:v>
                </c:pt>
                <c:pt idx="9">
                  <c:v>8.1658810882328616</c:v>
                </c:pt>
                <c:pt idx="10">
                  <c:v>8.8593292588978496</c:v>
                </c:pt>
                <c:pt idx="11">
                  <c:v>5.50498133677059</c:v>
                </c:pt>
                <c:pt idx="12">
                  <c:v>11.832995247754825</c:v>
                </c:pt>
                <c:pt idx="13">
                  <c:v>4.1326380005903767</c:v>
                </c:pt>
                <c:pt idx="14">
                  <c:v>5.1405300754389476</c:v>
                </c:pt>
                <c:pt idx="15">
                  <c:v>14.951516809532492</c:v>
                </c:pt>
                <c:pt idx="16">
                  <c:v>2.0420665713702268</c:v>
                </c:pt>
                <c:pt idx="17">
                  <c:v>11.510416666666668</c:v>
                </c:pt>
                <c:pt idx="18">
                  <c:v>12.866038803973034</c:v>
                </c:pt>
                <c:pt idx="19">
                  <c:v>22.631041027887282</c:v>
                </c:pt>
              </c:numCache>
            </c:numRef>
          </c:val>
          <c:smooth val="0"/>
          <c:extLst>
            <c:ext xmlns:c16="http://schemas.microsoft.com/office/drawing/2014/chart" uri="{C3380CC4-5D6E-409C-BE32-E72D297353CC}">
              <c16:uniqueId val="{00000000-F35C-4C20-ACED-EB739983466B}"/>
            </c:ext>
          </c:extLst>
        </c:ser>
        <c:ser>
          <c:idx val="1"/>
          <c:order val="1"/>
          <c:tx>
            <c:v>National average</c:v>
          </c:tx>
          <c:spPr>
            <a:ln>
              <a:solidFill>
                <a:schemeClr val="accent6"/>
              </a:solidFill>
            </a:ln>
          </c:spPr>
          <c:marker>
            <c:symbol val="none"/>
          </c:marker>
          <c:val>
            <c:numRef>
              <c:f>'Error bars'!$D$186:$D$205</c:f>
              <c:numCache>
                <c:formatCode>0</c:formatCode>
                <c:ptCount val="20"/>
                <c:pt idx="0">
                  <c:v>11.969621925045402</c:v>
                </c:pt>
                <c:pt idx="1">
                  <c:v>11.969621925045402</c:v>
                </c:pt>
                <c:pt idx="2">
                  <c:v>11.969621925045402</c:v>
                </c:pt>
                <c:pt idx="3">
                  <c:v>11.969621925045402</c:v>
                </c:pt>
                <c:pt idx="4">
                  <c:v>11.969621925045402</c:v>
                </c:pt>
                <c:pt idx="5">
                  <c:v>11.969621925045402</c:v>
                </c:pt>
                <c:pt idx="6">
                  <c:v>11.969621925045402</c:v>
                </c:pt>
                <c:pt idx="7">
                  <c:v>11.969621925045402</c:v>
                </c:pt>
                <c:pt idx="8">
                  <c:v>11.969621925045402</c:v>
                </c:pt>
                <c:pt idx="9">
                  <c:v>11.969621925045402</c:v>
                </c:pt>
                <c:pt idx="10">
                  <c:v>11.969621925045402</c:v>
                </c:pt>
                <c:pt idx="11">
                  <c:v>11.969621925045402</c:v>
                </c:pt>
                <c:pt idx="12">
                  <c:v>11.969621925045402</c:v>
                </c:pt>
                <c:pt idx="13">
                  <c:v>11.969621925045402</c:v>
                </c:pt>
                <c:pt idx="14">
                  <c:v>11.969621925045402</c:v>
                </c:pt>
                <c:pt idx="15">
                  <c:v>11.969621925045402</c:v>
                </c:pt>
                <c:pt idx="16">
                  <c:v>11.969621925045402</c:v>
                </c:pt>
                <c:pt idx="17">
                  <c:v>11.969621925045402</c:v>
                </c:pt>
                <c:pt idx="18">
                  <c:v>11.969621925045402</c:v>
                </c:pt>
                <c:pt idx="19">
                  <c:v>11.969621925045402</c:v>
                </c:pt>
              </c:numCache>
            </c:numRef>
          </c:val>
          <c:smooth val="0"/>
          <c:extLst>
            <c:ext xmlns:c16="http://schemas.microsoft.com/office/drawing/2014/chart" uri="{C3380CC4-5D6E-409C-BE32-E72D297353CC}">
              <c16:uniqueId val="{00000001-F35C-4C20-ACED-EB739983466B}"/>
            </c:ext>
          </c:extLst>
        </c:ser>
        <c:dLbls>
          <c:showLegendKey val="0"/>
          <c:showVal val="0"/>
          <c:showCatName val="0"/>
          <c:showSerName val="0"/>
          <c:showPercent val="0"/>
          <c:showBubbleSize val="0"/>
        </c:dLbls>
        <c:marker val="1"/>
        <c:smooth val="0"/>
        <c:axId val="283365376"/>
        <c:axId val="283367296"/>
      </c:lineChart>
      <c:catAx>
        <c:axId val="283365376"/>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txPr>
          <a:bodyPr rot="-5400000" vert="horz"/>
          <a:lstStyle/>
          <a:p>
            <a:pPr>
              <a:defRPr/>
            </a:pPr>
            <a:endParaRPr lang="en-US"/>
          </a:p>
        </c:txPr>
        <c:crossAx val="283367296"/>
        <c:crosses val="autoZero"/>
        <c:auto val="1"/>
        <c:lblAlgn val="ctr"/>
        <c:lblOffset val="100"/>
        <c:noMultiLvlLbl val="0"/>
      </c:catAx>
      <c:valAx>
        <c:axId val="283367296"/>
        <c:scaling>
          <c:orientation val="minMax"/>
        </c:scaling>
        <c:delete val="0"/>
        <c:axPos val="l"/>
        <c:title>
          <c:tx>
            <c:rich>
              <a:bodyPr rot="0" vert="horz"/>
              <a:lstStyle/>
              <a:p>
                <a:pPr algn="l">
                  <a:defRPr b="0"/>
                </a:pPr>
                <a:r>
                  <a:rPr lang="en-NZ" b="0"/>
                  <a:t>Average number per 100,000</a:t>
                </a:r>
              </a:p>
            </c:rich>
          </c:tx>
          <c:layout>
            <c:manualLayout>
              <c:xMode val="edge"/>
              <c:yMode val="edge"/>
              <c:x val="0"/>
              <c:y val="2.7143236308944762E-3"/>
            </c:manualLayout>
          </c:layout>
          <c:overlay val="0"/>
        </c:title>
        <c:numFmt formatCode="0" sourceLinked="1"/>
        <c:majorTickMark val="out"/>
        <c:minorTickMark val="none"/>
        <c:tickLblPos val="nextTo"/>
        <c:crossAx val="283365376"/>
        <c:crosses val="autoZero"/>
        <c:crossBetween val="between"/>
      </c:valAx>
    </c:plotArea>
    <c:legend>
      <c:legendPos val="r"/>
      <c:layout>
        <c:manualLayout>
          <c:xMode val="edge"/>
          <c:yMode val="edge"/>
          <c:x val="0.72515482606295811"/>
          <c:y val="3.096958921190579E-3"/>
          <c:w val="0.27484520131186135"/>
          <c:h val="0.11667189618718062"/>
        </c:manualLayout>
      </c:layout>
      <c:overlay val="0"/>
    </c:legend>
    <c:plotVisOnly val="1"/>
    <c:dispBlanksAs val="gap"/>
    <c:showDLblsOverMax val="0"/>
  </c:chart>
  <c:spPr>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04136431760574E-2"/>
          <c:y val="7.4961911768829478E-2"/>
          <c:w val="0.92642183298991021"/>
          <c:h val="0.57875284243022285"/>
        </c:manualLayout>
      </c:layout>
      <c:lineChart>
        <c:grouping val="standard"/>
        <c:varyColors val="0"/>
        <c:ser>
          <c:idx val="0"/>
          <c:order val="0"/>
          <c:tx>
            <c:strRef>
              <c:f>'Error bars'!$B$327</c:f>
              <c:strCache>
                <c:ptCount val="1"/>
                <c:pt idx="0">
                  <c:v>Number of people</c:v>
                </c:pt>
              </c:strCache>
            </c:strRef>
          </c:tx>
          <c:spPr>
            <a:ln>
              <a:noFill/>
            </a:ln>
          </c:spPr>
          <c:errBars>
            <c:errDir val="y"/>
            <c:errBarType val="both"/>
            <c:errValType val="cust"/>
            <c:noEndCap val="0"/>
            <c:plus>
              <c:numRef>
                <c:f>'Error bars'!$F$329:$F$348</c:f>
                <c:numCache>
                  <c:formatCode>General</c:formatCode>
                  <c:ptCount val="20"/>
                  <c:pt idx="0">
                    <c:v>3.0088709885821592</c:v>
                  </c:pt>
                  <c:pt idx="1">
                    <c:v>5.3375908855271454</c:v>
                  </c:pt>
                  <c:pt idx="2">
                    <c:v>2.7437902514597745</c:v>
                  </c:pt>
                  <c:pt idx="3">
                    <c:v>2.6472676768067975</c:v>
                  </c:pt>
                  <c:pt idx="4">
                    <c:v>2.6435952976736425</c:v>
                  </c:pt>
                  <c:pt idx="5">
                    <c:v>4.4664226500922481</c:v>
                  </c:pt>
                  <c:pt idx="6">
                    <c:v>7.1684449683360176</c:v>
                  </c:pt>
                  <c:pt idx="7">
                    <c:v>9.7011043490120592</c:v>
                  </c:pt>
                  <c:pt idx="8">
                    <c:v>6.0794898120622296</c:v>
                  </c:pt>
                  <c:pt idx="9">
                    <c:v>5.6746213166850765</c:v>
                  </c:pt>
                  <c:pt idx="10">
                    <c:v>5.6486175114114952</c:v>
                  </c:pt>
                  <c:pt idx="12">
                    <c:v>4.8501040198322514</c:v>
                  </c:pt>
                  <c:pt idx="14">
                    <c:v>8.4744448053702168</c:v>
                  </c:pt>
                  <c:pt idx="15">
                    <c:v>4.177415411092638</c:v>
                  </c:pt>
                  <c:pt idx="17">
                    <c:v>2.5776371219431047</c:v>
                  </c:pt>
                </c:numCache>
              </c:numRef>
            </c:plus>
            <c:minus>
              <c:numRef>
                <c:f>'Error bars'!$E$329:$E$348</c:f>
                <c:numCache>
                  <c:formatCode>General</c:formatCode>
                  <c:ptCount val="20"/>
                  <c:pt idx="0">
                    <c:v>2.0182991406118562</c:v>
                  </c:pt>
                  <c:pt idx="1">
                    <c:v>3.4306741726390739</c:v>
                  </c:pt>
                  <c:pt idx="2">
                    <c:v>1.8871003286998804</c:v>
                  </c:pt>
                  <c:pt idx="3">
                    <c:v>1.0250719124237901</c:v>
                  </c:pt>
                  <c:pt idx="4">
                    <c:v>1.8040438048206493</c:v>
                  </c:pt>
                  <c:pt idx="5">
                    <c:v>1.4904745598075504</c:v>
                  </c:pt>
                  <c:pt idx="6">
                    <c:v>3.9516213009640762</c:v>
                  </c:pt>
                  <c:pt idx="7">
                    <c:v>5.3477554417677098</c:v>
                  </c:pt>
                  <c:pt idx="8">
                    <c:v>3.3513323386669951</c:v>
                  </c:pt>
                  <c:pt idx="9">
                    <c:v>2.4324434131404598</c:v>
                  </c:pt>
                  <c:pt idx="10">
                    <c:v>3.0135060642734128</c:v>
                  </c:pt>
                  <c:pt idx="12">
                    <c:v>3.4272764754258978</c:v>
                  </c:pt>
                  <c:pt idx="14">
                    <c:v>4.349206712179579</c:v>
                  </c:pt>
                  <c:pt idx="15">
                    <c:v>3.0463273361043832</c:v>
                  </c:pt>
                  <c:pt idx="17">
                    <c:v>1.7983396264016513</c:v>
                  </c:pt>
                </c:numCache>
              </c:numRef>
            </c:minus>
          </c:errBars>
          <c:cat>
            <c:strRef>
              <c:f>'Error bars'!$B$47:$B$67</c:f>
              <c:strCache>
                <c:ptCount val="21"/>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average</c:v>
                </c:pt>
              </c:strCache>
            </c:strRef>
          </c:cat>
          <c:val>
            <c:numRef>
              <c:f>'Error bars'!$C$329:$C$348</c:f>
              <c:numCache>
                <c:formatCode>0</c:formatCode>
                <c:ptCount val="20"/>
                <c:pt idx="0">
                  <c:v>4.3497172683775558</c:v>
                </c:pt>
                <c:pt idx="1">
                  <c:v>6.8184400924277426</c:v>
                </c:pt>
                <c:pt idx="2">
                  <c:v>4.2870616479464978</c:v>
                </c:pt>
                <c:pt idx="3">
                  <c:v>1.2321340561853129</c:v>
                </c:pt>
                <c:pt idx="4">
                  <c:v>4.0296176900216594</c:v>
                </c:pt>
                <c:pt idx="5">
                  <c:v>1.679637198365153</c:v>
                </c:pt>
                <c:pt idx="6">
                  <c:v>6.2893081761006284</c:v>
                </c:pt>
                <c:pt idx="7">
                  <c:v>8.5113626691633328</c:v>
                </c:pt>
                <c:pt idx="8">
                  <c:v>5.3339022829101772</c:v>
                </c:pt>
                <c:pt idx="9">
                  <c:v>3.1009675018605805</c:v>
                </c:pt>
                <c:pt idx="10">
                  <c:v>4.6222587437727904</c:v>
                </c:pt>
                <c:pt idx="11">
                  <c:v>0</c:v>
                </c:pt>
                <c:pt idx="12">
                  <c:v>8.2854775577840627</c:v>
                </c:pt>
                <c:pt idx="13">
                  <c:v>0</c:v>
                </c:pt>
                <c:pt idx="14">
                  <c:v>6.4089725615862214</c:v>
                </c:pt>
                <c:pt idx="15">
                  <c:v>7.9792084625205186</c:v>
                </c:pt>
                <c:pt idx="16">
                  <c:v>0</c:v>
                </c:pt>
                <c:pt idx="17">
                  <c:v>4.21875</c:v>
                </c:pt>
                <c:pt idx="18">
                  <c:v>0</c:v>
                </c:pt>
                <c:pt idx="19">
                  <c:v>0</c:v>
                </c:pt>
              </c:numCache>
            </c:numRef>
          </c:val>
          <c:smooth val="0"/>
          <c:extLst>
            <c:ext xmlns:c16="http://schemas.microsoft.com/office/drawing/2014/chart" uri="{C3380CC4-5D6E-409C-BE32-E72D297353CC}">
              <c16:uniqueId val="{00000000-0462-4E04-86A1-107058F0B95C}"/>
            </c:ext>
          </c:extLst>
        </c:ser>
        <c:ser>
          <c:idx val="1"/>
          <c:order val="1"/>
          <c:tx>
            <c:v>National average</c:v>
          </c:tx>
          <c:spPr>
            <a:ln>
              <a:solidFill>
                <a:schemeClr val="accent6"/>
              </a:solidFill>
            </a:ln>
          </c:spPr>
          <c:marker>
            <c:symbol val="none"/>
          </c:marker>
          <c:val>
            <c:numRef>
              <c:f>'Error bars'!$D$329:$D$348</c:f>
              <c:numCache>
                <c:formatCode>0</c:formatCode>
                <c:ptCount val="20"/>
                <c:pt idx="0">
                  <c:v>4.6777832810522257</c:v>
                </c:pt>
                <c:pt idx="1">
                  <c:v>4.6777832810522257</c:v>
                </c:pt>
                <c:pt idx="2">
                  <c:v>4.6777832810522257</c:v>
                </c:pt>
                <c:pt idx="3">
                  <c:v>4.6777832810522257</c:v>
                </c:pt>
                <c:pt idx="4">
                  <c:v>4.6777832810522257</c:v>
                </c:pt>
                <c:pt idx="5">
                  <c:v>4.6777832810522257</c:v>
                </c:pt>
                <c:pt idx="6">
                  <c:v>4.6777832810522257</c:v>
                </c:pt>
                <c:pt idx="7">
                  <c:v>4.6777832810522257</c:v>
                </c:pt>
                <c:pt idx="8">
                  <c:v>4.6777832810522257</c:v>
                </c:pt>
                <c:pt idx="9">
                  <c:v>4.6777832810522257</c:v>
                </c:pt>
                <c:pt idx="10">
                  <c:v>4.6777832810522257</c:v>
                </c:pt>
                <c:pt idx="11">
                  <c:v>4.6777832810522257</c:v>
                </c:pt>
                <c:pt idx="12">
                  <c:v>4.6777832810522257</c:v>
                </c:pt>
                <c:pt idx="13">
                  <c:v>4.6777832810522257</c:v>
                </c:pt>
                <c:pt idx="14">
                  <c:v>4.6777832810522257</c:v>
                </c:pt>
                <c:pt idx="15">
                  <c:v>4.6777832810522257</c:v>
                </c:pt>
                <c:pt idx="16">
                  <c:v>4.6777832810522257</c:v>
                </c:pt>
                <c:pt idx="17">
                  <c:v>4.6777832810522257</c:v>
                </c:pt>
                <c:pt idx="18">
                  <c:v>4.6777832810522257</c:v>
                </c:pt>
                <c:pt idx="19">
                  <c:v>4.6777832810522257</c:v>
                </c:pt>
              </c:numCache>
            </c:numRef>
          </c:val>
          <c:smooth val="0"/>
          <c:extLst>
            <c:ext xmlns:c16="http://schemas.microsoft.com/office/drawing/2014/chart" uri="{C3380CC4-5D6E-409C-BE32-E72D297353CC}">
              <c16:uniqueId val="{00000001-0462-4E04-86A1-107058F0B95C}"/>
            </c:ext>
          </c:extLst>
        </c:ser>
        <c:dLbls>
          <c:showLegendKey val="0"/>
          <c:showVal val="0"/>
          <c:showCatName val="0"/>
          <c:showSerName val="0"/>
          <c:showPercent val="0"/>
          <c:showBubbleSize val="0"/>
        </c:dLbls>
        <c:marker val="1"/>
        <c:smooth val="0"/>
        <c:axId val="343034880"/>
        <c:axId val="343078016"/>
      </c:lineChart>
      <c:catAx>
        <c:axId val="343034880"/>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txPr>
          <a:bodyPr rot="-5400000" vert="horz"/>
          <a:lstStyle/>
          <a:p>
            <a:pPr>
              <a:defRPr/>
            </a:pPr>
            <a:endParaRPr lang="en-US"/>
          </a:p>
        </c:txPr>
        <c:crossAx val="343078016"/>
        <c:crosses val="autoZero"/>
        <c:auto val="1"/>
        <c:lblAlgn val="ctr"/>
        <c:lblOffset val="100"/>
        <c:noMultiLvlLbl val="0"/>
      </c:catAx>
      <c:valAx>
        <c:axId val="343078016"/>
        <c:scaling>
          <c:orientation val="minMax"/>
        </c:scaling>
        <c:delete val="0"/>
        <c:axPos val="l"/>
        <c:title>
          <c:tx>
            <c:rich>
              <a:bodyPr rot="0" vert="horz"/>
              <a:lstStyle/>
              <a:p>
                <a:pPr>
                  <a:defRPr b="0"/>
                </a:pPr>
                <a:r>
                  <a:rPr lang="en-NZ" b="0"/>
                  <a:t>Number of people</a:t>
                </a:r>
              </a:p>
            </c:rich>
          </c:tx>
          <c:layout>
            <c:manualLayout>
              <c:xMode val="edge"/>
              <c:yMode val="edge"/>
              <c:x val="0"/>
              <c:y val="1.0941103109948927E-3"/>
            </c:manualLayout>
          </c:layout>
          <c:overlay val="0"/>
        </c:title>
        <c:numFmt formatCode="0" sourceLinked="1"/>
        <c:majorTickMark val="out"/>
        <c:minorTickMark val="none"/>
        <c:tickLblPos val="nextTo"/>
        <c:crossAx val="343034880"/>
        <c:crosses val="autoZero"/>
        <c:crossBetween val="between"/>
      </c:valAx>
    </c:plotArea>
    <c:legend>
      <c:legendPos val="r"/>
      <c:layout>
        <c:manualLayout>
          <c:xMode val="edge"/>
          <c:yMode val="edge"/>
          <c:x val="0.69805750951788437"/>
          <c:y val="1.3911412438205576E-4"/>
          <c:w val="0.30194242006033312"/>
          <c:h val="0.11965534084914324"/>
        </c:manualLayout>
      </c:layout>
      <c:overlay val="0"/>
    </c:legend>
    <c:plotVisOnly val="1"/>
    <c:dispBlanksAs val="gap"/>
    <c:showDLblsOverMax val="0"/>
  </c:chart>
  <c:spPr>
    <a:noFill/>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09545864888171E-2"/>
          <c:y val="8.9968837668342641E-2"/>
          <c:w val="0.81835816390445104"/>
          <c:h val="0.71600158531562541"/>
        </c:manualLayout>
      </c:layout>
      <c:barChart>
        <c:barDir val="col"/>
        <c:grouping val="stacked"/>
        <c:varyColors val="0"/>
        <c:ser>
          <c:idx val="0"/>
          <c:order val="0"/>
          <c:tx>
            <c:strRef>
              <c:f>ECT!$C$196</c:f>
              <c:strCache>
                <c:ptCount val="1"/>
                <c:pt idx="0">
                  <c:v>Female</c:v>
                </c:pt>
              </c:strCache>
            </c:strRef>
          </c:tx>
          <c:spPr>
            <a:solidFill>
              <a:schemeClr val="accent6"/>
            </a:solidFill>
          </c:spPr>
          <c:invertIfNegative val="0"/>
          <c:dLbls>
            <c:dLbl>
              <c:idx val="3"/>
              <c:layout>
                <c:manualLayout>
                  <c:x val="0"/>
                  <c:y val="-3.885135659817670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9A-4EE0-866F-5A88D193D05A}"/>
                </c:ext>
              </c:extLst>
            </c:dLbl>
            <c:dLbl>
              <c:idx val="16"/>
              <c:layout>
                <c:manualLayout>
                  <c:x val="-2.2158209616662972E-3"/>
                  <c:y val="-4.727764059078414E-2"/>
                </c:manualLayout>
              </c:layout>
              <c:spPr>
                <a:noFill/>
                <a:ln>
                  <a:noFill/>
                </a:ln>
                <a:effectLst/>
              </c:spPr>
              <c:txPr>
                <a:bodyPr/>
                <a:lstStyle/>
                <a:p>
                  <a:pPr>
                    <a:defRPr>
                      <a:solidFill>
                        <a:sysClr val="windowText" lastClr="00000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FA9A-4EE0-866F-5A88D193D05A}"/>
                </c:ext>
              </c:extLst>
            </c:dLbl>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ECT!$B$197:$B$214</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90–94</c:v>
                </c:pt>
                <c:pt idx="17">
                  <c:v>95+</c:v>
                </c:pt>
              </c:strCache>
            </c:strRef>
          </c:cat>
          <c:val>
            <c:numRef>
              <c:f>ECT!$C$197:$C$214</c:f>
              <c:numCache>
                <c:formatCode>_-* #,##0_-;\-* #,##0_-;_-* "-"??_-;_-@_-</c:formatCode>
                <c:ptCount val="18"/>
                <c:pt idx="1">
                  <c:v>0</c:v>
                </c:pt>
                <c:pt idx="2">
                  <c:v>5</c:v>
                </c:pt>
                <c:pt idx="3">
                  <c:v>2</c:v>
                </c:pt>
                <c:pt idx="4">
                  <c:v>15</c:v>
                </c:pt>
                <c:pt idx="5">
                  <c:v>6</c:v>
                </c:pt>
                <c:pt idx="6">
                  <c:v>9</c:v>
                </c:pt>
                <c:pt idx="7">
                  <c:v>12</c:v>
                </c:pt>
                <c:pt idx="8">
                  <c:v>11</c:v>
                </c:pt>
                <c:pt idx="9">
                  <c:v>13</c:v>
                </c:pt>
                <c:pt idx="10">
                  <c:v>14</c:v>
                </c:pt>
                <c:pt idx="11">
                  <c:v>13</c:v>
                </c:pt>
                <c:pt idx="12">
                  <c:v>18</c:v>
                </c:pt>
                <c:pt idx="13">
                  <c:v>13</c:v>
                </c:pt>
                <c:pt idx="14">
                  <c:v>7</c:v>
                </c:pt>
                <c:pt idx="15">
                  <c:v>3</c:v>
                </c:pt>
                <c:pt idx="16">
                  <c:v>2</c:v>
                </c:pt>
              </c:numCache>
            </c:numRef>
          </c:val>
          <c:extLst>
            <c:ext xmlns:c16="http://schemas.microsoft.com/office/drawing/2014/chart" uri="{C3380CC4-5D6E-409C-BE32-E72D297353CC}">
              <c16:uniqueId val="{00000000-E391-4FFB-BBB3-F1C0551A2E30}"/>
            </c:ext>
          </c:extLst>
        </c:ser>
        <c:ser>
          <c:idx val="1"/>
          <c:order val="1"/>
          <c:tx>
            <c:strRef>
              <c:f>ECT!$D$196</c:f>
              <c:strCache>
                <c:ptCount val="1"/>
                <c:pt idx="0">
                  <c:v>Male</c:v>
                </c:pt>
              </c:strCache>
            </c:strRef>
          </c:tx>
          <c:spPr>
            <a:solidFill>
              <a:schemeClr val="accent5"/>
            </a:solidFill>
          </c:spPr>
          <c:invertIfNegative val="0"/>
          <c:dLbls>
            <c:dLbl>
              <c:idx val="1"/>
              <c:layout>
                <c:manualLayout>
                  <c:x val="-2.2158209616663176E-3"/>
                  <c:y val="-3.6257124664150708E-2"/>
                </c:manualLayout>
              </c:layout>
              <c:spPr>
                <a:noFill/>
                <a:ln>
                  <a:noFill/>
                </a:ln>
                <a:effectLst/>
              </c:spPr>
              <c:txPr>
                <a:bodyPr/>
                <a:lstStyle/>
                <a:p>
                  <a:pPr algn="ctr">
                    <a:defRPr>
                      <a:solidFill>
                        <a:sysClr val="windowText" lastClr="00000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FA9A-4EE0-866F-5A88D193D05A}"/>
                </c:ext>
              </c:extLst>
            </c:dLbl>
            <c:dLbl>
              <c:idx val="16"/>
              <c:delete val="1"/>
              <c:extLst>
                <c:ext xmlns:c15="http://schemas.microsoft.com/office/drawing/2012/chart" uri="{CE6537A1-D6FC-4f65-9D91-7224C49458BB}"/>
                <c:ext xmlns:c16="http://schemas.microsoft.com/office/drawing/2014/chart" uri="{C3380CC4-5D6E-409C-BE32-E72D297353CC}">
                  <c16:uniqueId val="{00000002-FA9A-4EE0-866F-5A88D193D05A}"/>
                </c:ext>
              </c:extLst>
            </c:dLbl>
            <c:spPr>
              <a:noFill/>
              <a:ln>
                <a:noFill/>
              </a:ln>
              <a:effectLst/>
            </c:spPr>
            <c:txPr>
              <a:bodyPr/>
              <a:lstStyle/>
              <a:p>
                <a:pPr algn="ct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ECT!$B$197:$B$214</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90–94</c:v>
                </c:pt>
                <c:pt idx="17">
                  <c:v>95+</c:v>
                </c:pt>
              </c:strCache>
            </c:strRef>
          </c:cat>
          <c:val>
            <c:numRef>
              <c:f>ECT!$D$197:$D$214</c:f>
              <c:numCache>
                <c:formatCode>_-* #,##0_-;\-* #,##0_-;_-* "-"??_-;_-@_-</c:formatCode>
                <c:ptCount val="18"/>
                <c:pt idx="1">
                  <c:v>1</c:v>
                </c:pt>
                <c:pt idx="2">
                  <c:v>4</c:v>
                </c:pt>
                <c:pt idx="3">
                  <c:v>6</c:v>
                </c:pt>
                <c:pt idx="4">
                  <c:v>6</c:v>
                </c:pt>
                <c:pt idx="5">
                  <c:v>3</c:v>
                </c:pt>
                <c:pt idx="6">
                  <c:v>6</c:v>
                </c:pt>
                <c:pt idx="7">
                  <c:v>5</c:v>
                </c:pt>
                <c:pt idx="8">
                  <c:v>9</c:v>
                </c:pt>
                <c:pt idx="9">
                  <c:v>10</c:v>
                </c:pt>
                <c:pt idx="10">
                  <c:v>7</c:v>
                </c:pt>
                <c:pt idx="11">
                  <c:v>10</c:v>
                </c:pt>
                <c:pt idx="12">
                  <c:v>10</c:v>
                </c:pt>
                <c:pt idx="13">
                  <c:v>5</c:v>
                </c:pt>
                <c:pt idx="14">
                  <c:v>4</c:v>
                </c:pt>
                <c:pt idx="15">
                  <c:v>3</c:v>
                </c:pt>
                <c:pt idx="16">
                  <c:v>0</c:v>
                </c:pt>
              </c:numCache>
            </c:numRef>
          </c:val>
          <c:extLst>
            <c:ext xmlns:c16="http://schemas.microsoft.com/office/drawing/2014/chart" uri="{C3380CC4-5D6E-409C-BE32-E72D297353CC}">
              <c16:uniqueId val="{00000001-E391-4FFB-BBB3-F1C0551A2E30}"/>
            </c:ext>
          </c:extLst>
        </c:ser>
        <c:dLbls>
          <c:dLblPos val="inEnd"/>
          <c:showLegendKey val="0"/>
          <c:showVal val="1"/>
          <c:showCatName val="0"/>
          <c:showSerName val="0"/>
          <c:showPercent val="0"/>
          <c:showBubbleSize val="0"/>
        </c:dLbls>
        <c:gapWidth val="43"/>
        <c:overlap val="100"/>
        <c:axId val="343120512"/>
        <c:axId val="343139072"/>
      </c:barChart>
      <c:catAx>
        <c:axId val="343120512"/>
        <c:scaling>
          <c:orientation val="minMax"/>
        </c:scaling>
        <c:delete val="0"/>
        <c:axPos val="b"/>
        <c:title>
          <c:tx>
            <c:rich>
              <a:bodyPr/>
              <a:lstStyle/>
              <a:p>
                <a:pPr>
                  <a:defRPr b="0"/>
                </a:pPr>
                <a:r>
                  <a:rPr lang="en-NZ" b="0"/>
                  <a:t>Age group (years)</a:t>
                </a:r>
              </a:p>
            </c:rich>
          </c:tx>
          <c:layout>
            <c:manualLayout>
              <c:xMode val="edge"/>
              <c:yMode val="edge"/>
              <c:x val="0.38562553458272997"/>
              <c:y val="0.9388140831508488"/>
            </c:manualLayout>
          </c:layout>
          <c:overlay val="0"/>
        </c:title>
        <c:numFmt formatCode="General" sourceLinked="0"/>
        <c:majorTickMark val="out"/>
        <c:minorTickMark val="none"/>
        <c:tickLblPos val="nextTo"/>
        <c:txPr>
          <a:bodyPr rot="-5400000" vert="horz"/>
          <a:lstStyle/>
          <a:p>
            <a:pPr>
              <a:defRPr/>
            </a:pPr>
            <a:endParaRPr lang="en-US"/>
          </a:p>
        </c:txPr>
        <c:crossAx val="343139072"/>
        <c:crosses val="autoZero"/>
        <c:auto val="1"/>
        <c:lblAlgn val="ctr"/>
        <c:lblOffset val="100"/>
        <c:noMultiLvlLbl val="0"/>
      </c:catAx>
      <c:valAx>
        <c:axId val="343139072"/>
        <c:scaling>
          <c:orientation val="minMax"/>
        </c:scaling>
        <c:delete val="0"/>
        <c:axPos val="l"/>
        <c:majorGridlines>
          <c:spPr>
            <a:ln>
              <a:noFill/>
            </a:ln>
          </c:spPr>
        </c:majorGridlines>
        <c:title>
          <c:tx>
            <c:rich>
              <a:bodyPr rot="0" vert="horz"/>
              <a:lstStyle/>
              <a:p>
                <a:pPr>
                  <a:defRPr b="0"/>
                </a:pPr>
                <a:r>
                  <a:rPr lang="en-NZ" b="0"/>
                  <a:t>Number of people</a:t>
                </a:r>
              </a:p>
            </c:rich>
          </c:tx>
          <c:layout>
            <c:manualLayout>
              <c:xMode val="edge"/>
              <c:yMode val="edge"/>
              <c:x val="1.8030671319098251E-3"/>
              <c:y val="1.1390144279302358E-3"/>
            </c:manualLayout>
          </c:layout>
          <c:overlay val="0"/>
        </c:title>
        <c:numFmt formatCode="_-* #,##0_-;\-* #,##0_-;_-* &quot;-&quot;??_-;_-@_-" sourceLinked="1"/>
        <c:majorTickMark val="out"/>
        <c:minorTickMark val="none"/>
        <c:tickLblPos val="nextTo"/>
        <c:crossAx val="343120512"/>
        <c:crosses val="autoZero"/>
        <c:crossBetween val="between"/>
      </c:valAx>
    </c:plotArea>
    <c:legend>
      <c:legendPos val="r"/>
      <c:layout>
        <c:manualLayout>
          <c:xMode val="edge"/>
          <c:yMode val="edge"/>
          <c:x val="0.72746192236734231"/>
          <c:y val="3.0786003820528339E-2"/>
          <c:w val="9.9832769097570301E-2"/>
          <c:h val="0.14093642418072599"/>
        </c:manualLayout>
      </c:layout>
      <c:overlay val="0"/>
    </c:legend>
    <c:plotVisOnly val="1"/>
    <c:dispBlanksAs val="gap"/>
    <c:showDLblsOverMax val="0"/>
  </c:chart>
  <c:spPr>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56734842408609E-2"/>
          <c:y val="9.4492376487127161E-2"/>
          <c:w val="0.88848012845828639"/>
          <c:h val="0.55140124578444794"/>
        </c:manualLayout>
      </c:layout>
      <c:barChart>
        <c:barDir val="col"/>
        <c:grouping val="percentStacked"/>
        <c:varyColors val="0"/>
        <c:ser>
          <c:idx val="0"/>
          <c:order val="0"/>
          <c:tx>
            <c:strRef>
              <c:f>OST!$C$50</c:f>
              <c:strCache>
                <c:ptCount val="1"/>
                <c:pt idx="0">
                  <c:v>Specialist service</c:v>
                </c:pt>
              </c:strCache>
            </c:strRef>
          </c:tx>
          <c:spPr>
            <a:solidFill>
              <a:schemeClr val="accent6"/>
            </a:solidFill>
            <a:ln>
              <a:noFill/>
            </a:ln>
            <a:effectLst/>
          </c:spPr>
          <c:invertIfNegative val="0"/>
          <c:cat>
            <c:strRef>
              <c:f>OST!$B$51:$B$67</c:f>
              <c:strCache>
                <c:ptCount val="17"/>
                <c:pt idx="0">
                  <c:v>Auckland</c:v>
                </c:pt>
                <c:pt idx="1">
                  <c:v>Bay of Plenty</c:v>
                </c:pt>
                <c:pt idx="2">
                  <c:v>Canterbury</c:v>
                </c:pt>
                <c:pt idx="3">
                  <c:v>Capital &amp; Coast</c:v>
                </c:pt>
                <c:pt idx="4">
                  <c:v>Hawke's Bay</c:v>
                </c:pt>
                <c:pt idx="5">
                  <c:v>Lakes</c:v>
                </c:pt>
                <c:pt idx="6">
                  <c:v>MidCentral</c:v>
                </c:pt>
                <c:pt idx="7">
                  <c:v>Nelson Marborough</c:v>
                </c:pt>
                <c:pt idx="8">
                  <c:v>Northland</c:v>
                </c:pt>
                <c:pt idx="9">
                  <c:v>Southern</c:v>
                </c:pt>
                <c:pt idx="10">
                  <c:v>South Canterbury</c:v>
                </c:pt>
                <c:pt idx="11">
                  <c:v>Tairāwhiti</c:v>
                </c:pt>
                <c:pt idx="12">
                  <c:v>Taranaki</c:v>
                </c:pt>
                <c:pt idx="13">
                  <c:v>Waikato</c:v>
                </c:pt>
                <c:pt idx="14">
                  <c:v>Wairarapa</c:v>
                </c:pt>
                <c:pt idx="15">
                  <c:v>West Coast</c:v>
                </c:pt>
                <c:pt idx="16">
                  <c:v>Whanganui </c:v>
                </c:pt>
              </c:strCache>
            </c:strRef>
          </c:cat>
          <c:val>
            <c:numRef>
              <c:f>OST!$C$51:$C$67</c:f>
              <c:numCache>
                <c:formatCode>General</c:formatCode>
                <c:ptCount val="17"/>
                <c:pt idx="0">
                  <c:v>700</c:v>
                </c:pt>
                <c:pt idx="1">
                  <c:v>140</c:v>
                </c:pt>
                <c:pt idx="2">
                  <c:v>498</c:v>
                </c:pt>
                <c:pt idx="3">
                  <c:v>291</c:v>
                </c:pt>
                <c:pt idx="4">
                  <c:v>144</c:v>
                </c:pt>
                <c:pt idx="5">
                  <c:v>78</c:v>
                </c:pt>
                <c:pt idx="6">
                  <c:v>298</c:v>
                </c:pt>
                <c:pt idx="7">
                  <c:v>246</c:v>
                </c:pt>
                <c:pt idx="8">
                  <c:v>151</c:v>
                </c:pt>
                <c:pt idx="9">
                  <c:v>475</c:v>
                </c:pt>
                <c:pt idx="10">
                  <c:v>81</c:v>
                </c:pt>
                <c:pt idx="11">
                  <c:v>39</c:v>
                </c:pt>
                <c:pt idx="12">
                  <c:v>213</c:v>
                </c:pt>
                <c:pt idx="13">
                  <c:v>294</c:v>
                </c:pt>
                <c:pt idx="14">
                  <c:v>99</c:v>
                </c:pt>
                <c:pt idx="15">
                  <c:v>98</c:v>
                </c:pt>
                <c:pt idx="16">
                  <c:v>139</c:v>
                </c:pt>
              </c:numCache>
            </c:numRef>
          </c:val>
          <c:extLst>
            <c:ext xmlns:c16="http://schemas.microsoft.com/office/drawing/2014/chart" uri="{C3380CC4-5D6E-409C-BE32-E72D297353CC}">
              <c16:uniqueId val="{00000000-2F00-4F49-AA8F-91F531FDF33C}"/>
            </c:ext>
          </c:extLst>
        </c:ser>
        <c:ser>
          <c:idx val="1"/>
          <c:order val="1"/>
          <c:tx>
            <c:strRef>
              <c:f>OST!$D$50</c:f>
              <c:strCache>
                <c:ptCount val="1"/>
                <c:pt idx="0">
                  <c:v>GP</c:v>
                </c:pt>
              </c:strCache>
            </c:strRef>
          </c:tx>
          <c:spPr>
            <a:solidFill>
              <a:schemeClr val="accent5"/>
            </a:solidFill>
            <a:ln>
              <a:noFill/>
            </a:ln>
            <a:effectLst/>
          </c:spPr>
          <c:invertIfNegative val="0"/>
          <c:cat>
            <c:strRef>
              <c:f>OST!$B$51:$B$67</c:f>
              <c:strCache>
                <c:ptCount val="17"/>
                <c:pt idx="0">
                  <c:v>Auckland</c:v>
                </c:pt>
                <c:pt idx="1">
                  <c:v>Bay of Plenty</c:v>
                </c:pt>
                <c:pt idx="2">
                  <c:v>Canterbury</c:v>
                </c:pt>
                <c:pt idx="3">
                  <c:v>Capital &amp; Coast</c:v>
                </c:pt>
                <c:pt idx="4">
                  <c:v>Hawke's Bay</c:v>
                </c:pt>
                <c:pt idx="5">
                  <c:v>Lakes</c:v>
                </c:pt>
                <c:pt idx="6">
                  <c:v>MidCentral</c:v>
                </c:pt>
                <c:pt idx="7">
                  <c:v>Nelson Marborough</c:v>
                </c:pt>
                <c:pt idx="8">
                  <c:v>Northland</c:v>
                </c:pt>
                <c:pt idx="9">
                  <c:v>Southern</c:v>
                </c:pt>
                <c:pt idx="10">
                  <c:v>South Canterbury</c:v>
                </c:pt>
                <c:pt idx="11">
                  <c:v>Tairāwhiti</c:v>
                </c:pt>
                <c:pt idx="12">
                  <c:v>Taranaki</c:v>
                </c:pt>
                <c:pt idx="13">
                  <c:v>Waikato</c:v>
                </c:pt>
                <c:pt idx="14">
                  <c:v>Wairarapa</c:v>
                </c:pt>
                <c:pt idx="15">
                  <c:v>West Coast</c:v>
                </c:pt>
                <c:pt idx="16">
                  <c:v>Whanganui </c:v>
                </c:pt>
              </c:strCache>
            </c:strRef>
          </c:cat>
          <c:val>
            <c:numRef>
              <c:f>OST!$D$51:$D$67</c:f>
              <c:numCache>
                <c:formatCode>General</c:formatCode>
                <c:ptCount val="17"/>
                <c:pt idx="0">
                  <c:v>486</c:v>
                </c:pt>
                <c:pt idx="1">
                  <c:v>37</c:v>
                </c:pt>
                <c:pt idx="2">
                  <c:v>206</c:v>
                </c:pt>
                <c:pt idx="3">
                  <c:v>153</c:v>
                </c:pt>
                <c:pt idx="4">
                  <c:v>19</c:v>
                </c:pt>
                <c:pt idx="5">
                  <c:v>21</c:v>
                </c:pt>
                <c:pt idx="6">
                  <c:v>84</c:v>
                </c:pt>
                <c:pt idx="7">
                  <c:v>118</c:v>
                </c:pt>
                <c:pt idx="8">
                  <c:v>59</c:v>
                </c:pt>
                <c:pt idx="9">
                  <c:v>48</c:v>
                </c:pt>
                <c:pt idx="10">
                  <c:v>18</c:v>
                </c:pt>
                <c:pt idx="11">
                  <c:v>1</c:v>
                </c:pt>
                <c:pt idx="12">
                  <c:v>31</c:v>
                </c:pt>
                <c:pt idx="13">
                  <c:v>69</c:v>
                </c:pt>
                <c:pt idx="14">
                  <c:v>10</c:v>
                </c:pt>
                <c:pt idx="15">
                  <c:v>5</c:v>
                </c:pt>
                <c:pt idx="16">
                  <c:v>25</c:v>
                </c:pt>
              </c:numCache>
            </c:numRef>
          </c:val>
          <c:extLst>
            <c:ext xmlns:c16="http://schemas.microsoft.com/office/drawing/2014/chart" uri="{C3380CC4-5D6E-409C-BE32-E72D297353CC}">
              <c16:uniqueId val="{00000001-2F00-4F49-AA8F-91F531FDF33C}"/>
            </c:ext>
          </c:extLst>
        </c:ser>
        <c:dLbls>
          <c:showLegendKey val="0"/>
          <c:showVal val="0"/>
          <c:showCatName val="0"/>
          <c:showSerName val="0"/>
          <c:showPercent val="0"/>
          <c:showBubbleSize val="0"/>
        </c:dLbls>
        <c:gapWidth val="64"/>
        <c:overlap val="100"/>
        <c:axId val="343489152"/>
        <c:axId val="343499520"/>
      </c:barChart>
      <c:catAx>
        <c:axId val="343489152"/>
        <c:scaling>
          <c:orientation val="minMax"/>
        </c:scaling>
        <c:delete val="0"/>
        <c:axPos val="b"/>
        <c:title>
          <c:tx>
            <c:rich>
              <a:bodyPr rot="0" vert="horz"/>
              <a:lstStyle/>
              <a:p>
                <a:pPr>
                  <a:defRPr b="0"/>
                </a:pPr>
                <a:r>
                  <a:rPr lang="en-US" b="0"/>
                  <a:t>DHB</a:t>
                </a:r>
              </a:p>
            </c:rich>
          </c:tx>
          <c:layout>
            <c:manualLayout>
              <c:xMode val="edge"/>
              <c:yMode val="edge"/>
              <c:x val="0.49271540410896913"/>
              <c:y val="0.94266789300910037"/>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a:lstStyle/>
          <a:p>
            <a:pPr>
              <a:defRPr/>
            </a:pPr>
            <a:endParaRPr lang="en-US"/>
          </a:p>
        </c:txPr>
        <c:crossAx val="343499520"/>
        <c:crosses val="autoZero"/>
        <c:auto val="1"/>
        <c:lblAlgn val="ctr"/>
        <c:lblOffset val="100"/>
        <c:noMultiLvlLbl val="0"/>
      </c:catAx>
      <c:valAx>
        <c:axId val="343499520"/>
        <c:scaling>
          <c:orientation val="minMax"/>
        </c:scaling>
        <c:delete val="0"/>
        <c:axPos val="l"/>
        <c:majorGridlines>
          <c:spPr>
            <a:ln w="9525" cap="flat" cmpd="sng" algn="ctr">
              <a:noFill/>
              <a:round/>
            </a:ln>
            <a:effectLst/>
          </c:spPr>
        </c:majorGridlines>
        <c:title>
          <c:tx>
            <c:rich>
              <a:bodyPr rot="0"/>
              <a:lstStyle/>
              <a:p>
                <a:pPr>
                  <a:defRPr b="0"/>
                </a:pPr>
                <a:r>
                  <a:rPr lang="en-NZ" b="0"/>
                  <a:t>Percentage</a:t>
                </a:r>
              </a:p>
            </c:rich>
          </c:tx>
          <c:layout>
            <c:manualLayout>
              <c:xMode val="edge"/>
              <c:yMode val="edge"/>
              <c:x val="0"/>
              <c:y val="1.3325257419745645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43489152"/>
        <c:crosses val="autoZero"/>
        <c:crossBetween val="between"/>
      </c:valAx>
      <c:spPr>
        <a:noFill/>
        <a:ln>
          <a:noFill/>
        </a:ln>
        <a:effectLst/>
      </c:spPr>
    </c:plotArea>
    <c:legend>
      <c:legendPos val="t"/>
      <c:layout>
        <c:manualLayout>
          <c:xMode val="edge"/>
          <c:yMode val="edge"/>
          <c:x val="0.37521216490667569"/>
          <c:y val="0"/>
          <c:w val="0.26393813879189698"/>
          <c:h val="6.410301276443009E-2"/>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39151356080487E-2"/>
          <c:y val="7.4207677165354313E-2"/>
          <c:w val="0.84907195975503058"/>
          <c:h val="0.8018424650043745"/>
        </c:manualLayout>
      </c:layout>
      <c:barChart>
        <c:barDir val="bar"/>
        <c:grouping val="stacked"/>
        <c:varyColors val="0"/>
        <c:ser>
          <c:idx val="1"/>
          <c:order val="0"/>
          <c:tx>
            <c:strRef>
              <c:f>OST!$C$27</c:f>
              <c:strCache>
                <c:ptCount val="1"/>
                <c:pt idx="0">
                  <c:v>Specialist service</c:v>
                </c:pt>
              </c:strCache>
            </c:strRef>
          </c:tx>
          <c:spPr>
            <a:solidFill>
              <a:schemeClr val="accent6"/>
            </a:solidFill>
            <a:ln>
              <a:noFill/>
            </a:ln>
            <a:effectLst/>
          </c:spPr>
          <c:invertIfNegative val="0"/>
          <c:dLbls>
            <c:numFmt formatCode="#,##0" sourceLinked="0"/>
            <c:spPr>
              <a:noFill/>
              <a:ln>
                <a:noFill/>
              </a:ln>
              <a:effectLst/>
            </c:spPr>
            <c:txPr>
              <a:bodyPr rot="0" vert="horz"/>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OST!$B$28:$B$40</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OST!$C$28:$C$40</c:f>
              <c:numCache>
                <c:formatCode>General</c:formatCode>
                <c:ptCount val="13"/>
                <c:pt idx="0">
                  <c:v>3422</c:v>
                </c:pt>
                <c:pt idx="1">
                  <c:v>3487</c:v>
                </c:pt>
                <c:pt idx="2">
                  <c:v>3628</c:v>
                </c:pt>
                <c:pt idx="3">
                  <c:v>3544</c:v>
                </c:pt>
                <c:pt idx="4">
                  <c:v>3520</c:v>
                </c:pt>
                <c:pt idx="5">
                  <c:v>3745</c:v>
                </c:pt>
                <c:pt idx="6">
                  <c:v>3696</c:v>
                </c:pt>
                <c:pt idx="7">
                  <c:v>3785</c:v>
                </c:pt>
                <c:pt idx="8">
                  <c:v>3760</c:v>
                </c:pt>
                <c:pt idx="9">
                  <c:v>3909</c:v>
                </c:pt>
                <c:pt idx="10">
                  <c:v>3981</c:v>
                </c:pt>
                <c:pt idx="11">
                  <c:v>3976</c:v>
                </c:pt>
                <c:pt idx="12">
                  <c:v>3984</c:v>
                </c:pt>
              </c:numCache>
            </c:numRef>
          </c:val>
          <c:extLst>
            <c:ext xmlns:c16="http://schemas.microsoft.com/office/drawing/2014/chart" uri="{C3380CC4-5D6E-409C-BE32-E72D297353CC}">
              <c16:uniqueId val="{00000000-502D-4E7C-B47B-A73719AF13F8}"/>
            </c:ext>
          </c:extLst>
        </c:ser>
        <c:ser>
          <c:idx val="2"/>
          <c:order val="1"/>
          <c:tx>
            <c:strRef>
              <c:f>OST!$D$27</c:f>
              <c:strCache>
                <c:ptCount val="1"/>
                <c:pt idx="0">
                  <c:v>General practice</c:v>
                </c:pt>
              </c:strCache>
            </c:strRef>
          </c:tx>
          <c:spPr>
            <a:solidFill>
              <a:schemeClr val="accent5"/>
            </a:solidFill>
            <a:ln>
              <a:noFill/>
            </a:ln>
            <a:effectLst/>
          </c:spPr>
          <c:invertIfNegative val="0"/>
          <c:dLbls>
            <c:numFmt formatCode="#,##0" sourceLinked="0"/>
            <c:spPr>
              <a:noFill/>
              <a:ln>
                <a:noFill/>
              </a:ln>
              <a:effectLst/>
            </c:spPr>
            <c:txPr>
              <a:bodyPr rot="0" vert="horz"/>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OST!$B$28:$B$40</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OST!$D$28:$D$40</c:f>
              <c:numCache>
                <c:formatCode>General</c:formatCode>
                <c:ptCount val="13"/>
                <c:pt idx="0">
                  <c:v>1137</c:v>
                </c:pt>
                <c:pt idx="1">
                  <c:v>1058</c:v>
                </c:pt>
                <c:pt idx="2">
                  <c:v>1385</c:v>
                </c:pt>
                <c:pt idx="3">
                  <c:v>1474</c:v>
                </c:pt>
                <c:pt idx="4">
                  <c:v>1476</c:v>
                </c:pt>
                <c:pt idx="5">
                  <c:v>1362</c:v>
                </c:pt>
                <c:pt idx="6">
                  <c:v>1458</c:v>
                </c:pt>
                <c:pt idx="7">
                  <c:v>1532</c:v>
                </c:pt>
                <c:pt idx="8">
                  <c:v>1490</c:v>
                </c:pt>
                <c:pt idx="9">
                  <c:v>1552</c:v>
                </c:pt>
                <c:pt idx="10">
                  <c:v>1521</c:v>
                </c:pt>
                <c:pt idx="11">
                  <c:v>1505</c:v>
                </c:pt>
                <c:pt idx="12">
                  <c:v>1503</c:v>
                </c:pt>
              </c:numCache>
            </c:numRef>
          </c:val>
          <c:extLst>
            <c:ext xmlns:c16="http://schemas.microsoft.com/office/drawing/2014/chart" uri="{C3380CC4-5D6E-409C-BE32-E72D297353CC}">
              <c16:uniqueId val="{00000001-502D-4E7C-B47B-A73719AF13F8}"/>
            </c:ext>
          </c:extLst>
        </c:ser>
        <c:ser>
          <c:idx val="3"/>
          <c:order val="2"/>
          <c:tx>
            <c:strRef>
              <c:f>OST!$E$27</c:f>
              <c:strCache>
                <c:ptCount val="1"/>
                <c:pt idx="0">
                  <c:v>Prison service</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FEE-49E9-A0ED-D331A158EC1D}"/>
                </c:ext>
              </c:extLst>
            </c:dLbl>
            <c:dLbl>
              <c:idx val="1"/>
              <c:delete val="1"/>
              <c:extLst>
                <c:ext xmlns:c15="http://schemas.microsoft.com/office/drawing/2012/chart" uri="{CE6537A1-D6FC-4f65-9D91-7224C49458BB}"/>
                <c:ext xmlns:c16="http://schemas.microsoft.com/office/drawing/2014/chart" uri="{C3380CC4-5D6E-409C-BE32-E72D297353CC}">
                  <c16:uniqueId val="{0000000B-1FEE-49E9-A0ED-D331A158EC1D}"/>
                </c:ext>
              </c:extLst>
            </c:dLbl>
            <c:dLbl>
              <c:idx val="2"/>
              <c:delete val="1"/>
              <c:extLst>
                <c:ext xmlns:c15="http://schemas.microsoft.com/office/drawing/2012/chart" uri="{CE6537A1-D6FC-4f65-9D91-7224C49458BB}"/>
                <c:ext xmlns:c16="http://schemas.microsoft.com/office/drawing/2014/chart" uri="{C3380CC4-5D6E-409C-BE32-E72D297353CC}">
                  <c16:uniqueId val="{0000000A-1FEE-49E9-A0ED-D331A158EC1D}"/>
                </c:ext>
              </c:extLst>
            </c:dLbl>
            <c:dLbl>
              <c:idx val="3"/>
              <c:delete val="1"/>
              <c:extLst>
                <c:ext xmlns:c15="http://schemas.microsoft.com/office/drawing/2012/chart" uri="{CE6537A1-D6FC-4f65-9D91-7224C49458BB}"/>
                <c:ext xmlns:c16="http://schemas.microsoft.com/office/drawing/2014/chart" uri="{C3380CC4-5D6E-409C-BE32-E72D297353CC}">
                  <c16:uniqueId val="{00000009-1FEE-49E9-A0ED-D331A158EC1D}"/>
                </c:ext>
              </c:extLst>
            </c:dLbl>
            <c:dLbl>
              <c:idx val="4"/>
              <c:delete val="1"/>
              <c:extLst>
                <c:ext xmlns:c15="http://schemas.microsoft.com/office/drawing/2012/chart" uri="{CE6537A1-D6FC-4f65-9D91-7224C49458BB}"/>
                <c:ext xmlns:c16="http://schemas.microsoft.com/office/drawing/2014/chart" uri="{C3380CC4-5D6E-409C-BE32-E72D297353CC}">
                  <c16:uniqueId val="{00000008-1FEE-49E9-A0ED-D331A158EC1D}"/>
                </c:ext>
              </c:extLst>
            </c:dLbl>
            <c:dLbl>
              <c:idx val="5"/>
              <c:layout>
                <c:manualLayout>
                  <c:x val="2.18579234972677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EE-49E9-A0ED-D331A158EC1D}"/>
                </c:ext>
              </c:extLst>
            </c:dLbl>
            <c:dLbl>
              <c:idx val="6"/>
              <c:layout>
                <c:manualLayout>
                  <c:x val="1.942926533090467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EE-49E9-A0ED-D331A158EC1D}"/>
                </c:ext>
              </c:extLst>
            </c:dLbl>
            <c:dLbl>
              <c:idx val="7"/>
              <c:layout>
                <c:manualLayout>
                  <c:x val="2.185792349726758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EE-49E9-A0ED-D331A158EC1D}"/>
                </c:ext>
              </c:extLst>
            </c:dLbl>
            <c:dLbl>
              <c:idx val="8"/>
              <c:layout>
                <c:manualLayout>
                  <c:x val="1.9429265330904496E-2"/>
                  <c:y val="-2.96296296296301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EE-49E9-A0ED-D331A158EC1D}"/>
                </c:ext>
              </c:extLst>
            </c:dLbl>
            <c:dLbl>
              <c:idx val="9"/>
              <c:layout>
                <c:manualLayout>
                  <c:x val="2.18579234972677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EE-49E9-A0ED-D331A158EC1D}"/>
                </c:ext>
              </c:extLst>
            </c:dLbl>
            <c:dLbl>
              <c:idx val="10"/>
              <c:layout>
                <c:manualLayout>
                  <c:x val="2.4286581663630666E-2"/>
                  <c:y val="-5.432036014088530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EE-49E9-A0ED-D331A158EC1D}"/>
                </c:ext>
              </c:extLst>
            </c:dLbl>
            <c:dLbl>
              <c:idx val="11"/>
              <c:layout>
                <c:manualLayout>
                  <c:x val="2.185792349726776E-2"/>
                  <c:y val="-2.716018007044265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EE-49E9-A0ED-D331A158EC1D}"/>
                </c:ext>
              </c:extLst>
            </c:dLbl>
            <c:dLbl>
              <c:idx val="12"/>
              <c:layout>
                <c:manualLayout>
                  <c:x val="2.18579234972677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EE-49E9-A0ED-D331A158EC1D}"/>
                </c:ext>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OST!$B$28:$B$40</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OST!$E$28:$E$40</c:f>
              <c:numCache>
                <c:formatCode>General</c:formatCode>
                <c:ptCount val="13"/>
                <c:pt idx="0">
                  <c:v>0</c:v>
                </c:pt>
                <c:pt idx="1">
                  <c:v>0</c:v>
                </c:pt>
                <c:pt idx="2">
                  <c:v>0</c:v>
                </c:pt>
                <c:pt idx="3">
                  <c:v>0</c:v>
                </c:pt>
                <c:pt idx="4">
                  <c:v>0</c:v>
                </c:pt>
                <c:pt idx="5">
                  <c:v>51</c:v>
                </c:pt>
                <c:pt idx="6">
                  <c:v>60</c:v>
                </c:pt>
                <c:pt idx="7">
                  <c:v>59</c:v>
                </c:pt>
                <c:pt idx="8">
                  <c:v>67</c:v>
                </c:pt>
                <c:pt idx="9">
                  <c:v>78</c:v>
                </c:pt>
                <c:pt idx="10">
                  <c:v>71</c:v>
                </c:pt>
                <c:pt idx="11">
                  <c:v>65</c:v>
                </c:pt>
                <c:pt idx="12">
                  <c:v>55</c:v>
                </c:pt>
              </c:numCache>
            </c:numRef>
          </c:val>
          <c:extLst>
            <c:ext xmlns:c16="http://schemas.microsoft.com/office/drawing/2014/chart" uri="{C3380CC4-5D6E-409C-BE32-E72D297353CC}">
              <c16:uniqueId val="{00000002-502D-4E7C-B47B-A73719AF13F8}"/>
            </c:ext>
          </c:extLst>
        </c:ser>
        <c:dLbls>
          <c:dLblPos val="ctr"/>
          <c:showLegendKey val="0"/>
          <c:showVal val="1"/>
          <c:showCatName val="0"/>
          <c:showSerName val="0"/>
          <c:showPercent val="0"/>
          <c:showBubbleSize val="0"/>
        </c:dLbls>
        <c:gapWidth val="39"/>
        <c:overlap val="100"/>
        <c:axId val="343562112"/>
        <c:axId val="343748608"/>
      </c:barChart>
      <c:catAx>
        <c:axId val="343562112"/>
        <c:scaling>
          <c:orientation val="minMax"/>
        </c:scaling>
        <c:delete val="0"/>
        <c:axPos val="l"/>
        <c:title>
          <c:tx>
            <c:rich>
              <a:bodyPr rot="0"/>
              <a:lstStyle/>
              <a:p>
                <a:pPr>
                  <a:defRPr b="0"/>
                </a:pPr>
                <a:r>
                  <a:rPr lang="en-US" b="0"/>
                  <a:t>Year</a:t>
                </a:r>
              </a:p>
            </c:rich>
          </c:tx>
          <c:layout>
            <c:manualLayout>
              <c:xMode val="edge"/>
              <c:yMode val="edge"/>
              <c:x val="2.1873293674055046E-2"/>
              <c:y val="1.9072615923009608E-3"/>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43748608"/>
        <c:crosses val="autoZero"/>
        <c:auto val="1"/>
        <c:lblAlgn val="ctr"/>
        <c:lblOffset val="100"/>
        <c:noMultiLvlLbl val="0"/>
      </c:catAx>
      <c:valAx>
        <c:axId val="343748608"/>
        <c:scaling>
          <c:orientation val="minMax"/>
          <c:max val="6000"/>
        </c:scaling>
        <c:delete val="0"/>
        <c:axPos val="b"/>
        <c:title>
          <c:tx>
            <c:rich>
              <a:bodyPr rot="0" vert="horz"/>
              <a:lstStyle/>
              <a:p>
                <a:pPr>
                  <a:defRPr b="0"/>
                </a:pPr>
                <a:r>
                  <a:rPr lang="en-NZ" b="0"/>
                  <a:t>Number of people</a:t>
                </a:r>
              </a:p>
            </c:rich>
          </c:tx>
          <c:layout>
            <c:manualLayout>
              <c:xMode val="edge"/>
              <c:yMode val="edge"/>
              <c:x val="0.41964784456587734"/>
              <c:y val="0.94618301618547684"/>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43562112"/>
        <c:crosses val="autoZero"/>
        <c:crossBetween val="between"/>
      </c:valAx>
      <c:spPr>
        <a:noFill/>
        <a:ln>
          <a:noFill/>
        </a:ln>
        <a:effectLst/>
      </c:spPr>
    </c:plotArea>
    <c:legend>
      <c:legendPos val="t"/>
      <c:layout>
        <c:manualLayout>
          <c:xMode val="edge"/>
          <c:yMode val="edge"/>
          <c:x val="0.18375754608454675"/>
          <c:y val="0"/>
          <c:w val="0.63248471657896166"/>
          <c:h val="6.1979986876640421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712402416460882E-2"/>
          <c:y val="0.10648148148148148"/>
          <c:w val="0.89264828909373339"/>
          <c:h val="0.7435032079323417"/>
        </c:manualLayout>
      </c:layout>
      <c:lineChart>
        <c:grouping val="standard"/>
        <c:varyColors val="0"/>
        <c:ser>
          <c:idx val="0"/>
          <c:order val="0"/>
          <c:spPr>
            <a:ln w="28575" cap="rnd">
              <a:solidFill>
                <a:schemeClr val="accent1"/>
              </a:solidFill>
              <a:round/>
            </a:ln>
            <a:effectLst/>
          </c:spPr>
          <c:marker>
            <c:symbol val="none"/>
          </c:marker>
          <c:cat>
            <c:numRef>
              <c:f>'[OST collated data 2020.xlsx]Total OST Data'!$A$3,'[OST collated data 2020.xlsx]Total OST Data'!$A$5,'[OST collated data 2020.xlsx]Total OST Data'!$A$7,'[OST collated data 2020.xlsx]Total OST Data'!$A$9,'[OST collated data 2020.xlsx]Total OST Data'!$A$11,'[OST collated data 2020.xlsx]Total OST Data'!$A$13,'[OST collated data 2020.xlsx]Total OST Data'!$A$15,'[OST collated data 2020.xlsx]Total OST Data'!$A$17,'[OST collated data 2020.xlsx]Total OST Data'!$A$19,'[OST collated data 2020.xlsx]Total OST Data'!$A$21,'[OST collated data 2020.xlsx]Total OST Data'!$A$23,'[OST collated data 2020.xlsx]Total OST Data'!$A$25,'[OST collated data 2020.xlsx]Total OST Data'!$A$27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 collated data 2020.xlsx]Total OST Data'!$T$3,'[OST collated data 2020.xlsx]Total OST Data'!$T$5,'[OST collated data 2020.xlsx]Total OST Data'!$T$7,'[OST collated data 2020.xlsx]Total OST Data'!$T$9,'[OST collated data 2020.xlsx]Total OST Data'!$T$11,'[OST collated data 2020.xlsx]Total OST Data'!$T$13,'[OST collated data 2020.xlsx]Total OST Data'!$T$15,'[OST collated data 2020.xlsx]Total OST Data'!$T$17,'[OST collated data 2020.xlsx]Total OST Data'!$T$19,'[OST collated data 2020.xlsx]Total OST Data'!$T$21,'[OST collated data 2020.xlsx]Total OST Data'!$T$23,'[OST collated data 2020.xlsx]Total OST Data'!$T$25,'[OST collated data 2020.xlsx]Total OST Data'!$T$27</c:f>
              <c:numCache>
                <c:formatCode>General</c:formatCode>
                <c:ptCount val="13"/>
                <c:pt idx="0">
                  <c:v>27</c:v>
                </c:pt>
                <c:pt idx="1">
                  <c:v>56</c:v>
                </c:pt>
                <c:pt idx="2">
                  <c:v>60</c:v>
                </c:pt>
                <c:pt idx="3">
                  <c:v>74</c:v>
                </c:pt>
                <c:pt idx="4">
                  <c:v>201</c:v>
                </c:pt>
                <c:pt idx="5">
                  <c:v>360</c:v>
                </c:pt>
                <c:pt idx="6">
                  <c:v>400</c:v>
                </c:pt>
                <c:pt idx="7">
                  <c:v>599</c:v>
                </c:pt>
                <c:pt idx="8">
                  <c:v>744</c:v>
                </c:pt>
                <c:pt idx="9">
                  <c:v>888</c:v>
                </c:pt>
                <c:pt idx="10">
                  <c:v>984</c:v>
                </c:pt>
                <c:pt idx="11">
                  <c:v>1112</c:v>
                </c:pt>
                <c:pt idx="12">
                  <c:v>1104</c:v>
                </c:pt>
              </c:numCache>
            </c:numRef>
          </c:val>
          <c:smooth val="0"/>
          <c:extLst>
            <c:ext xmlns:c16="http://schemas.microsoft.com/office/drawing/2014/chart" uri="{C3380CC4-5D6E-409C-BE32-E72D297353CC}">
              <c16:uniqueId val="{00000000-9D5C-4964-932F-6A8A742E4E12}"/>
            </c:ext>
          </c:extLst>
        </c:ser>
        <c:dLbls>
          <c:showLegendKey val="0"/>
          <c:showVal val="0"/>
          <c:showCatName val="0"/>
          <c:showSerName val="0"/>
          <c:showPercent val="0"/>
          <c:showBubbleSize val="0"/>
        </c:dLbls>
        <c:smooth val="0"/>
        <c:axId val="373244672"/>
        <c:axId val="373246592"/>
      </c:lineChart>
      <c:catAx>
        <c:axId val="373244672"/>
        <c:scaling>
          <c:orientation val="minMax"/>
        </c:scaling>
        <c:delete val="0"/>
        <c:axPos val="b"/>
        <c:title>
          <c:tx>
            <c:rich>
              <a:bodyPr rot="0" vert="horz"/>
              <a:lstStyle/>
              <a:p>
                <a:pPr>
                  <a:defRPr b="0"/>
                </a:pPr>
                <a:r>
                  <a:rPr lang="en-NZ" b="0"/>
                  <a:t>Year</a:t>
                </a:r>
              </a:p>
            </c:rich>
          </c:tx>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60000000" vert="horz"/>
          <a:lstStyle/>
          <a:p>
            <a:pPr>
              <a:defRPr/>
            </a:pPr>
            <a:endParaRPr lang="en-US"/>
          </a:p>
        </c:txPr>
        <c:crossAx val="373246592"/>
        <c:crosses val="autoZero"/>
        <c:auto val="1"/>
        <c:lblAlgn val="ctr"/>
        <c:lblOffset val="100"/>
        <c:noMultiLvlLbl val="0"/>
      </c:catAx>
      <c:valAx>
        <c:axId val="373246592"/>
        <c:scaling>
          <c:orientation val="minMax"/>
        </c:scaling>
        <c:delete val="0"/>
        <c:axPos val="l"/>
        <c:title>
          <c:tx>
            <c:rich>
              <a:bodyPr rot="0"/>
              <a:lstStyle/>
              <a:p>
                <a:pPr>
                  <a:defRPr b="0"/>
                </a:pPr>
                <a:r>
                  <a:rPr lang="en-NZ" b="0"/>
                  <a:t>Number of people</a:t>
                </a:r>
              </a:p>
            </c:rich>
          </c:tx>
          <c:layout>
            <c:manualLayout>
              <c:xMode val="edge"/>
              <c:yMode val="edge"/>
              <c:x val="0"/>
              <c:y val="3.2214202391367738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73244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52972936393977E-2"/>
          <c:y val="9.7222222222222224E-2"/>
          <c:w val="0.89533659121339115"/>
          <c:h val="0.75137957790296139"/>
        </c:manualLayout>
      </c:layout>
      <c:lineChart>
        <c:grouping val="standard"/>
        <c:varyColors val="0"/>
        <c:ser>
          <c:idx val="0"/>
          <c:order val="0"/>
          <c:tx>
            <c:strRef>
              <c:f>'[OST collated data 2020.xlsx]Sheet1'!$B$1</c:f>
              <c:strCache>
                <c:ptCount val="1"/>
                <c:pt idx="0">
                  <c:v>19–29 years</c:v>
                </c:pt>
              </c:strCache>
            </c:strRef>
          </c:tx>
          <c:spPr>
            <a:ln w="28575" cap="rnd">
              <a:solidFill>
                <a:schemeClr val="accent1"/>
              </a:solidFill>
              <a:round/>
            </a:ln>
            <a:effectLst/>
          </c:spPr>
          <c:marker>
            <c:symbol val="none"/>
          </c:marker>
          <c:cat>
            <c:numRef>
              <c:f>'[OST collated data 2020.xlsx]Sheet1'!$A$2:$A$14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 collated data 2020.xlsx]Sheet1'!$B$2:$B$14</c:f>
              <c:numCache>
                <c:formatCode>General</c:formatCode>
                <c:ptCount val="13"/>
                <c:pt idx="0">
                  <c:v>396</c:v>
                </c:pt>
                <c:pt idx="1">
                  <c:v>413</c:v>
                </c:pt>
                <c:pt idx="2">
                  <c:v>406</c:v>
                </c:pt>
                <c:pt idx="3">
                  <c:v>378</c:v>
                </c:pt>
                <c:pt idx="4">
                  <c:v>352</c:v>
                </c:pt>
                <c:pt idx="5">
                  <c:v>364</c:v>
                </c:pt>
                <c:pt idx="6">
                  <c:v>349</c:v>
                </c:pt>
                <c:pt idx="7">
                  <c:v>342</c:v>
                </c:pt>
                <c:pt idx="8">
                  <c:v>363</c:v>
                </c:pt>
                <c:pt idx="9">
                  <c:v>346</c:v>
                </c:pt>
                <c:pt idx="10">
                  <c:v>339</c:v>
                </c:pt>
                <c:pt idx="11">
                  <c:v>312</c:v>
                </c:pt>
                <c:pt idx="12">
                  <c:v>305</c:v>
                </c:pt>
              </c:numCache>
            </c:numRef>
          </c:val>
          <c:smooth val="0"/>
          <c:extLst>
            <c:ext xmlns:c16="http://schemas.microsoft.com/office/drawing/2014/chart" uri="{C3380CC4-5D6E-409C-BE32-E72D297353CC}">
              <c16:uniqueId val="{00000000-1D1C-48EC-9917-6C3231F2C33B}"/>
            </c:ext>
          </c:extLst>
        </c:ser>
        <c:ser>
          <c:idx val="1"/>
          <c:order val="1"/>
          <c:tx>
            <c:strRef>
              <c:f>'[OST collated data 2020.xlsx]Sheet1'!$C$1</c:f>
              <c:strCache>
                <c:ptCount val="1"/>
                <c:pt idx="0">
                  <c:v>30–44 years</c:v>
                </c:pt>
              </c:strCache>
            </c:strRef>
          </c:tx>
          <c:spPr>
            <a:ln w="28575" cap="rnd">
              <a:solidFill>
                <a:schemeClr val="accent3">
                  <a:lumMod val="75000"/>
                </a:schemeClr>
              </a:solidFill>
              <a:round/>
            </a:ln>
            <a:effectLst/>
          </c:spPr>
          <c:marker>
            <c:symbol val="none"/>
          </c:marker>
          <c:cat>
            <c:numRef>
              <c:f>'[OST collated data 2020.xlsx]Sheet1'!$A$2:$A$14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 collated data 2020.xlsx]Sheet1'!$C$2:$C$14</c:f>
              <c:numCache>
                <c:formatCode>General</c:formatCode>
                <c:ptCount val="13"/>
                <c:pt idx="0">
                  <c:v>2510</c:v>
                </c:pt>
                <c:pt idx="1">
                  <c:v>2544</c:v>
                </c:pt>
                <c:pt idx="2">
                  <c:v>2615</c:v>
                </c:pt>
                <c:pt idx="3">
                  <c:v>2517</c:v>
                </c:pt>
                <c:pt idx="4">
                  <c:v>2297</c:v>
                </c:pt>
                <c:pt idx="5">
                  <c:v>2185</c:v>
                </c:pt>
                <c:pt idx="6">
                  <c:v>2151</c:v>
                </c:pt>
                <c:pt idx="7">
                  <c:v>2049</c:v>
                </c:pt>
                <c:pt idx="8">
                  <c:v>1855</c:v>
                </c:pt>
                <c:pt idx="9">
                  <c:v>1811</c:v>
                </c:pt>
                <c:pt idx="10">
                  <c:v>1794</c:v>
                </c:pt>
                <c:pt idx="11">
                  <c:v>1627</c:v>
                </c:pt>
                <c:pt idx="12">
                  <c:v>1616</c:v>
                </c:pt>
              </c:numCache>
            </c:numRef>
          </c:val>
          <c:smooth val="0"/>
          <c:extLst>
            <c:ext xmlns:c16="http://schemas.microsoft.com/office/drawing/2014/chart" uri="{C3380CC4-5D6E-409C-BE32-E72D297353CC}">
              <c16:uniqueId val="{00000001-1D1C-48EC-9917-6C3231F2C33B}"/>
            </c:ext>
          </c:extLst>
        </c:ser>
        <c:ser>
          <c:idx val="2"/>
          <c:order val="2"/>
          <c:tx>
            <c:strRef>
              <c:f>'[OST collated data 2020.xlsx]Sheet1'!$D$1</c:f>
              <c:strCache>
                <c:ptCount val="1"/>
                <c:pt idx="0">
                  <c:v>45–59 years</c:v>
                </c:pt>
              </c:strCache>
            </c:strRef>
          </c:tx>
          <c:spPr>
            <a:ln w="28575" cap="rnd">
              <a:solidFill>
                <a:srgbClr val="C00000"/>
              </a:solidFill>
              <a:round/>
            </a:ln>
            <a:effectLst/>
          </c:spPr>
          <c:marker>
            <c:symbol val="none"/>
          </c:marker>
          <c:cat>
            <c:numRef>
              <c:f>'[OST collated data 2020.xlsx]Sheet1'!$A$2:$A$14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 collated data 2020.xlsx]Sheet1'!$D$2:$D$14</c:f>
              <c:numCache>
                <c:formatCode>General</c:formatCode>
                <c:ptCount val="13"/>
                <c:pt idx="0">
                  <c:v>1573</c:v>
                </c:pt>
                <c:pt idx="1">
                  <c:v>1753</c:v>
                </c:pt>
                <c:pt idx="2">
                  <c:v>1893</c:v>
                </c:pt>
                <c:pt idx="3">
                  <c:v>2022</c:v>
                </c:pt>
                <c:pt idx="4">
                  <c:v>2053</c:v>
                </c:pt>
                <c:pt idx="5">
                  <c:v>2269</c:v>
                </c:pt>
                <c:pt idx="6">
                  <c:v>2472</c:v>
                </c:pt>
                <c:pt idx="7">
                  <c:v>2668</c:v>
                </c:pt>
                <c:pt idx="8">
                  <c:v>2617</c:v>
                </c:pt>
                <c:pt idx="9">
                  <c:v>2851</c:v>
                </c:pt>
                <c:pt idx="10">
                  <c:v>2826</c:v>
                </c:pt>
                <c:pt idx="11">
                  <c:v>2888</c:v>
                </c:pt>
                <c:pt idx="12">
                  <c:v>2810</c:v>
                </c:pt>
              </c:numCache>
            </c:numRef>
          </c:val>
          <c:smooth val="0"/>
          <c:extLst>
            <c:ext xmlns:c16="http://schemas.microsoft.com/office/drawing/2014/chart" uri="{C3380CC4-5D6E-409C-BE32-E72D297353CC}">
              <c16:uniqueId val="{00000002-1D1C-48EC-9917-6C3231F2C33B}"/>
            </c:ext>
          </c:extLst>
        </c:ser>
        <c:ser>
          <c:idx val="3"/>
          <c:order val="3"/>
          <c:tx>
            <c:strRef>
              <c:f>'[OST collated data 2020.xlsx]Sheet1'!$E$1</c:f>
              <c:strCache>
                <c:ptCount val="1"/>
                <c:pt idx="0">
                  <c:v>60+ years</c:v>
                </c:pt>
              </c:strCache>
            </c:strRef>
          </c:tx>
          <c:spPr>
            <a:ln w="28575" cap="rnd">
              <a:solidFill>
                <a:schemeClr val="accent6">
                  <a:lumMod val="75000"/>
                </a:schemeClr>
              </a:solidFill>
              <a:round/>
            </a:ln>
            <a:effectLst/>
          </c:spPr>
          <c:marker>
            <c:symbol val="none"/>
          </c:marker>
          <c:cat>
            <c:numRef>
              <c:f>'[OST collated data 2020.xlsx]Sheet1'!$A$2:$A$14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 collated data 2020.xlsx]Sheet1'!$E$2:$E$14</c:f>
              <c:numCache>
                <c:formatCode>General</c:formatCode>
                <c:ptCount val="13"/>
                <c:pt idx="0">
                  <c:v>42</c:v>
                </c:pt>
                <c:pt idx="1">
                  <c:v>64</c:v>
                </c:pt>
                <c:pt idx="2">
                  <c:v>84</c:v>
                </c:pt>
                <c:pt idx="3">
                  <c:v>122</c:v>
                </c:pt>
                <c:pt idx="4">
                  <c:v>151</c:v>
                </c:pt>
                <c:pt idx="5">
                  <c:v>192</c:v>
                </c:pt>
                <c:pt idx="6">
                  <c:v>257</c:v>
                </c:pt>
                <c:pt idx="7">
                  <c:v>326</c:v>
                </c:pt>
                <c:pt idx="8">
                  <c:v>425</c:v>
                </c:pt>
                <c:pt idx="9">
                  <c:v>530</c:v>
                </c:pt>
                <c:pt idx="10">
                  <c:v>613</c:v>
                </c:pt>
                <c:pt idx="11">
                  <c:v>717</c:v>
                </c:pt>
                <c:pt idx="12">
                  <c:v>807</c:v>
                </c:pt>
              </c:numCache>
            </c:numRef>
          </c:val>
          <c:smooth val="0"/>
          <c:extLst>
            <c:ext xmlns:c16="http://schemas.microsoft.com/office/drawing/2014/chart" uri="{C3380CC4-5D6E-409C-BE32-E72D297353CC}">
              <c16:uniqueId val="{00000003-1D1C-48EC-9917-6C3231F2C33B}"/>
            </c:ext>
          </c:extLst>
        </c:ser>
        <c:dLbls>
          <c:showLegendKey val="0"/>
          <c:showVal val="0"/>
          <c:showCatName val="0"/>
          <c:showSerName val="0"/>
          <c:showPercent val="0"/>
          <c:showBubbleSize val="0"/>
        </c:dLbls>
        <c:smooth val="0"/>
        <c:axId val="373274880"/>
        <c:axId val="373424512"/>
      </c:lineChart>
      <c:catAx>
        <c:axId val="373274880"/>
        <c:scaling>
          <c:orientation val="minMax"/>
        </c:scaling>
        <c:delete val="0"/>
        <c:axPos val="b"/>
        <c:title>
          <c:tx>
            <c:rich>
              <a:bodyPr rot="0" vert="horz"/>
              <a:lstStyle/>
              <a:p>
                <a:pPr>
                  <a:defRPr b="0"/>
                </a:pPr>
                <a:r>
                  <a:rPr lang="en-NZ" b="0"/>
                  <a:t>Year</a:t>
                </a:r>
              </a:p>
            </c:rich>
          </c:tx>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60000000" vert="horz"/>
          <a:lstStyle/>
          <a:p>
            <a:pPr>
              <a:defRPr/>
            </a:pPr>
            <a:endParaRPr lang="en-US"/>
          </a:p>
        </c:txPr>
        <c:crossAx val="373424512"/>
        <c:crosses val="autoZero"/>
        <c:auto val="1"/>
        <c:lblAlgn val="ctr"/>
        <c:lblOffset val="100"/>
        <c:noMultiLvlLbl val="0"/>
      </c:catAx>
      <c:valAx>
        <c:axId val="373424512"/>
        <c:scaling>
          <c:orientation val="minMax"/>
        </c:scaling>
        <c:delete val="0"/>
        <c:axPos val="l"/>
        <c:title>
          <c:tx>
            <c:rich>
              <a:bodyPr rot="0"/>
              <a:lstStyle/>
              <a:p>
                <a:pPr>
                  <a:defRPr b="0"/>
                </a:pPr>
                <a:r>
                  <a:rPr lang="en-NZ" b="0"/>
                  <a:t>Number of people</a:t>
                </a:r>
              </a:p>
            </c:rich>
          </c:tx>
          <c:layout>
            <c:manualLayout>
              <c:xMode val="edge"/>
              <c:yMode val="edge"/>
              <c:x val="0"/>
              <c:y val="1.1956838728492054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73274880"/>
        <c:crosses val="autoZero"/>
        <c:crossBetween val="between"/>
      </c:valAx>
      <c:spPr>
        <a:noFill/>
        <a:ln>
          <a:noFill/>
        </a:ln>
        <a:effectLst/>
      </c:spPr>
    </c:plotArea>
    <c:legend>
      <c:legendPos val="b"/>
      <c:layout>
        <c:manualLayout>
          <c:xMode val="edge"/>
          <c:yMode val="edge"/>
          <c:x val="0.11568477884992523"/>
          <c:y val="8.4017586973602773E-2"/>
          <c:w val="0.81284247065476634"/>
          <c:h val="7.575331269118106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5184303110655E-2"/>
          <c:y val="7.9583727034120741E-2"/>
          <c:w val="0.90011741082507957"/>
          <c:h val="0.79575544424686717"/>
        </c:manualLayout>
      </c:layout>
      <c:barChart>
        <c:barDir val="col"/>
        <c:grouping val="percentStacked"/>
        <c:varyColors val="0"/>
        <c:ser>
          <c:idx val="1"/>
          <c:order val="0"/>
          <c:tx>
            <c:strRef>
              <c:f>OST!$C$75</c:f>
              <c:strCache>
                <c:ptCount val="1"/>
                <c:pt idx="0">
                  <c:v>Voluntary</c:v>
                </c:pt>
              </c:strCache>
            </c:strRef>
          </c:tx>
          <c:spPr>
            <a:solidFill>
              <a:schemeClr val="accent6"/>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OST!$B$77:$B$89</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OST!$D$77:$D$89</c:f>
              <c:numCache>
                <c:formatCode>0%</c:formatCode>
                <c:ptCount val="13"/>
                <c:pt idx="0">
                  <c:v>0.73</c:v>
                </c:pt>
                <c:pt idx="1">
                  <c:v>0.68939393939393945</c:v>
                </c:pt>
                <c:pt idx="2">
                  <c:v>0.66666666666666663</c:v>
                </c:pt>
                <c:pt idx="3">
                  <c:v>0.68852459016393441</c:v>
                </c:pt>
                <c:pt idx="4">
                  <c:v>0.73493975903614461</c:v>
                </c:pt>
                <c:pt idx="5">
                  <c:v>0.83762886597938147</c:v>
                </c:pt>
                <c:pt idx="6">
                  <c:v>0.82579185520361986</c:v>
                </c:pt>
                <c:pt idx="7">
                  <c:v>0.8571428571428571</c:v>
                </c:pt>
                <c:pt idx="8">
                  <c:v>0.783561643835616</c:v>
                </c:pt>
                <c:pt idx="9">
                  <c:v>0.81</c:v>
                </c:pt>
                <c:pt idx="10">
                  <c:v>0.89</c:v>
                </c:pt>
                <c:pt idx="11">
                  <c:v>0.89</c:v>
                </c:pt>
                <c:pt idx="12">
                  <c:v>0.79944289693593318</c:v>
                </c:pt>
              </c:numCache>
            </c:numRef>
          </c:val>
          <c:extLst>
            <c:ext xmlns:c16="http://schemas.microsoft.com/office/drawing/2014/chart" uri="{C3380CC4-5D6E-409C-BE32-E72D297353CC}">
              <c16:uniqueId val="{00000000-9F54-48F1-BB4F-69FAF0E76536}"/>
            </c:ext>
          </c:extLst>
        </c:ser>
        <c:ser>
          <c:idx val="2"/>
          <c:order val="1"/>
          <c:tx>
            <c:strRef>
              <c:f>OST!$E$75</c:f>
              <c:strCache>
                <c:ptCount val="1"/>
                <c:pt idx="0">
                  <c:v>Involuntary</c:v>
                </c:pt>
              </c:strCache>
            </c:strRef>
          </c:tx>
          <c:spPr>
            <a:solidFill>
              <a:schemeClr val="accent5"/>
            </a:solidFill>
            <a:ln>
              <a:noFill/>
            </a:ln>
            <a:effectLst/>
          </c:spPr>
          <c:invertIfNegative val="0"/>
          <c:dLbls>
            <c:dLbl>
              <c:idx val="5"/>
              <c:layout>
                <c:manualLayout>
                  <c:x val="0"/>
                  <c:y val="4.0955380577427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76-4DA1-8AFA-7140837CFF3D}"/>
                </c:ext>
              </c:extLst>
            </c:dLbl>
            <c:dLbl>
              <c:idx val="6"/>
              <c:delete val="1"/>
              <c:extLst>
                <c:ext xmlns:c15="http://schemas.microsoft.com/office/drawing/2012/chart" uri="{CE6537A1-D6FC-4f65-9D91-7224C49458BB}"/>
                <c:ext xmlns:c16="http://schemas.microsoft.com/office/drawing/2014/chart" uri="{C3380CC4-5D6E-409C-BE32-E72D297353CC}">
                  <c16:uniqueId val="{00000000-C676-4DA1-8AFA-7140837CFF3D}"/>
                </c:ext>
              </c:extLst>
            </c:dLbl>
            <c:dLbl>
              <c:idx val="7"/>
              <c:delete val="1"/>
              <c:extLst>
                <c:ext xmlns:c15="http://schemas.microsoft.com/office/drawing/2012/chart" uri="{CE6537A1-D6FC-4f65-9D91-7224C49458BB}"/>
                <c:ext xmlns:c16="http://schemas.microsoft.com/office/drawing/2014/chart" uri="{C3380CC4-5D6E-409C-BE32-E72D297353CC}">
                  <c16:uniqueId val="{00000001-C676-4DA1-8AFA-7140837CFF3D}"/>
                </c:ext>
              </c:extLst>
            </c:dLbl>
            <c:dLbl>
              <c:idx val="8"/>
              <c:layout>
                <c:manualLayout>
                  <c:x val="0"/>
                  <c:y val="4.262729658792651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76-4DA1-8AFA-7140837CFF3D}"/>
                </c:ext>
              </c:extLst>
            </c:dLbl>
            <c:dLbl>
              <c:idx val="9"/>
              <c:layout>
                <c:manualLayout>
                  <c:x val="0"/>
                  <c:y val="-3.9238845144360008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76-4DA1-8AFA-7140837CFF3D}"/>
                </c:ext>
              </c:extLst>
            </c:dLbl>
            <c:dLbl>
              <c:idx val="10"/>
              <c:delete val="1"/>
              <c:extLst>
                <c:ext xmlns:c15="http://schemas.microsoft.com/office/drawing/2012/chart" uri="{CE6537A1-D6FC-4f65-9D91-7224C49458BB}"/>
                <c:ext xmlns:c16="http://schemas.microsoft.com/office/drawing/2014/chart" uri="{C3380CC4-5D6E-409C-BE32-E72D297353CC}">
                  <c16:uniqueId val="{00000004-C676-4DA1-8AFA-7140837CFF3D}"/>
                </c:ext>
              </c:extLst>
            </c:dLbl>
            <c:dLbl>
              <c:idx val="11"/>
              <c:delete val="1"/>
              <c:extLst>
                <c:ext xmlns:c15="http://schemas.microsoft.com/office/drawing/2012/chart" uri="{CE6537A1-D6FC-4f65-9D91-7224C49458BB}"/>
                <c:ext xmlns:c16="http://schemas.microsoft.com/office/drawing/2014/chart" uri="{C3380CC4-5D6E-409C-BE32-E72D297353CC}">
                  <c16:uniqueId val="{00000005-C676-4DA1-8AFA-7140837CFF3D}"/>
                </c:ext>
              </c:extLst>
            </c:dLbl>
            <c:dLbl>
              <c:idx val="12"/>
              <c:delete val="1"/>
              <c:extLst>
                <c:ext xmlns:c15="http://schemas.microsoft.com/office/drawing/2012/chart" uri="{CE6537A1-D6FC-4f65-9D91-7224C49458BB}"/>
                <c:ext xmlns:c16="http://schemas.microsoft.com/office/drawing/2014/chart" uri="{C3380CC4-5D6E-409C-BE32-E72D297353CC}">
                  <c16:uniqueId val="{00000006-C676-4DA1-8AFA-7140837CFF3D}"/>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OST!$B$77:$B$89</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OST!$F$77:$F$89</c:f>
              <c:numCache>
                <c:formatCode>0%</c:formatCode>
                <c:ptCount val="13"/>
                <c:pt idx="0">
                  <c:v>0.13</c:v>
                </c:pt>
                <c:pt idx="1">
                  <c:v>0.11363636363636363</c:v>
                </c:pt>
                <c:pt idx="2">
                  <c:v>0.18604651162790697</c:v>
                </c:pt>
                <c:pt idx="3">
                  <c:v>0.20655737704918034</c:v>
                </c:pt>
                <c:pt idx="4">
                  <c:v>0.16566265060240964</c:v>
                </c:pt>
                <c:pt idx="5">
                  <c:v>0.06</c:v>
                </c:pt>
                <c:pt idx="6">
                  <c:v>3.1674208144796379E-2</c:v>
                </c:pt>
                <c:pt idx="7">
                  <c:v>2.8011204481792718E-2</c:v>
                </c:pt>
                <c:pt idx="8">
                  <c:v>4.9315068493150697E-2</c:v>
                </c:pt>
                <c:pt idx="9">
                  <c:v>7.0000000000000007E-2</c:v>
                </c:pt>
                <c:pt idx="10">
                  <c:v>1.4999999999999999E-2</c:v>
                </c:pt>
                <c:pt idx="11">
                  <c:v>0.02</c:v>
                </c:pt>
                <c:pt idx="12">
                  <c:v>3.0640668523676879E-2</c:v>
                </c:pt>
              </c:numCache>
            </c:numRef>
          </c:val>
          <c:extLst>
            <c:ext xmlns:c16="http://schemas.microsoft.com/office/drawing/2014/chart" uri="{C3380CC4-5D6E-409C-BE32-E72D297353CC}">
              <c16:uniqueId val="{00000001-9F54-48F1-BB4F-69FAF0E76536}"/>
            </c:ext>
          </c:extLst>
        </c:ser>
        <c:ser>
          <c:idx val="3"/>
          <c:order val="2"/>
          <c:tx>
            <c:strRef>
              <c:f>OST!$G$75</c:f>
              <c:strCache>
                <c:ptCount val="1"/>
                <c:pt idx="0">
                  <c:v>Client deaths</c:v>
                </c:pt>
              </c:strCache>
            </c:strRef>
          </c:tx>
          <c:spPr>
            <a:solidFill>
              <a:schemeClr val="accent4"/>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OST!$B$77:$B$89</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OST!$H$77:$H$89</c:f>
              <c:numCache>
                <c:formatCode>0%</c:formatCode>
                <c:ptCount val="13"/>
                <c:pt idx="0">
                  <c:v>0.14000000000000001</c:v>
                </c:pt>
                <c:pt idx="1">
                  <c:v>0.19696969696969696</c:v>
                </c:pt>
                <c:pt idx="2">
                  <c:v>0.14728682170542637</c:v>
                </c:pt>
                <c:pt idx="3">
                  <c:v>0.10491803278688525</c:v>
                </c:pt>
                <c:pt idx="4">
                  <c:v>9.9397590361445784E-2</c:v>
                </c:pt>
                <c:pt idx="5">
                  <c:v>9.5360824742268036E-2</c:v>
                </c:pt>
                <c:pt idx="6">
                  <c:v>0.1425339366515837</c:v>
                </c:pt>
                <c:pt idx="7">
                  <c:v>0.11484593837535013</c:v>
                </c:pt>
                <c:pt idx="8">
                  <c:v>0.16712328767123288</c:v>
                </c:pt>
                <c:pt idx="9">
                  <c:v>0.12</c:v>
                </c:pt>
                <c:pt idx="10">
                  <c:v>0.09</c:v>
                </c:pt>
                <c:pt idx="11">
                  <c:v>0.09</c:v>
                </c:pt>
                <c:pt idx="12">
                  <c:v>0.16991643454038996</c:v>
                </c:pt>
              </c:numCache>
            </c:numRef>
          </c:val>
          <c:extLst>
            <c:ext xmlns:c16="http://schemas.microsoft.com/office/drawing/2014/chart" uri="{C3380CC4-5D6E-409C-BE32-E72D297353CC}">
              <c16:uniqueId val="{00000002-9F54-48F1-BB4F-69FAF0E76536}"/>
            </c:ext>
          </c:extLst>
        </c:ser>
        <c:dLbls>
          <c:dLblPos val="inEnd"/>
          <c:showLegendKey val="0"/>
          <c:showVal val="1"/>
          <c:showCatName val="0"/>
          <c:showSerName val="0"/>
          <c:showPercent val="0"/>
          <c:showBubbleSize val="0"/>
        </c:dLbls>
        <c:gapWidth val="50"/>
        <c:overlap val="100"/>
        <c:axId val="373472640"/>
        <c:axId val="373483008"/>
      </c:barChart>
      <c:catAx>
        <c:axId val="373472640"/>
        <c:scaling>
          <c:orientation val="minMax"/>
        </c:scaling>
        <c:delete val="0"/>
        <c:axPos val="b"/>
        <c:title>
          <c:tx>
            <c:rich>
              <a:bodyPr rot="0" vert="horz"/>
              <a:lstStyle/>
              <a:p>
                <a:pPr>
                  <a:defRPr b="0"/>
                </a:pPr>
                <a:r>
                  <a:rPr lang="en-US" b="0"/>
                  <a:t>Year</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373483008"/>
        <c:crosses val="autoZero"/>
        <c:auto val="1"/>
        <c:lblAlgn val="ctr"/>
        <c:lblOffset val="100"/>
        <c:noMultiLvlLbl val="0"/>
      </c:catAx>
      <c:valAx>
        <c:axId val="373483008"/>
        <c:scaling>
          <c:orientation val="minMax"/>
        </c:scaling>
        <c:delete val="0"/>
        <c:axPos val="l"/>
        <c:title>
          <c:tx>
            <c:rich>
              <a:bodyPr rot="0"/>
              <a:lstStyle/>
              <a:p>
                <a:pPr>
                  <a:defRPr b="0"/>
                </a:pPr>
                <a:r>
                  <a:rPr lang="en-US" b="0"/>
                  <a:t>Percentage</a:t>
                </a:r>
              </a:p>
            </c:rich>
          </c:tx>
          <c:layout>
            <c:manualLayout>
              <c:xMode val="edge"/>
              <c:yMode val="edge"/>
              <c:x val="0"/>
              <c:y val="4.4461942257218118E-4"/>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373472640"/>
        <c:crosses val="autoZero"/>
        <c:crossBetween val="between"/>
      </c:valAx>
      <c:spPr>
        <a:noFill/>
        <a:ln>
          <a:noFill/>
        </a:ln>
        <a:effectLst/>
      </c:spPr>
    </c:plotArea>
    <c:legend>
      <c:legendPos val="t"/>
      <c:layout>
        <c:manualLayout>
          <c:xMode val="edge"/>
          <c:yMode val="edge"/>
          <c:x val="0.28623459603366197"/>
          <c:y val="0"/>
          <c:w val="0.42753062743947839"/>
          <c:h val="5.6250393700787403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01961916922548"/>
          <c:y val="5.5800418605261221E-2"/>
          <c:w val="0.62534374596618048"/>
          <c:h val="0.90780505720935289"/>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9C7-4475-BECB-059166D3F89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9C7-4475-BECB-059166D3F895}"/>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9C7-4475-BECB-059166D3F895}"/>
              </c:ext>
            </c:extLst>
          </c:dPt>
          <c:dLbls>
            <c:dLbl>
              <c:idx val="0"/>
              <c:layout>
                <c:manualLayout>
                  <c:x val="-3.988374659360935E-3"/>
                  <c:y val="8.7902922300609976E-2"/>
                </c:manualLayout>
              </c:layout>
              <c:showLegendKey val="0"/>
              <c:showVal val="0"/>
              <c:showCatName val="1"/>
              <c:showSerName val="0"/>
              <c:showPercent val="1"/>
              <c:showBubbleSize val="0"/>
              <c:extLst>
                <c:ext xmlns:c15="http://schemas.microsoft.com/office/drawing/2012/chart" uri="{CE6537A1-D6FC-4f65-9D91-7224C49458BB}">
                  <c15:layout>
                    <c:manualLayout>
                      <c:w val="0.19899533391659377"/>
                      <c:h val="0.17154121836869629"/>
                    </c:manualLayout>
                  </c15:layout>
                </c:ext>
                <c:ext xmlns:c16="http://schemas.microsoft.com/office/drawing/2014/chart" uri="{C3380CC4-5D6E-409C-BE32-E72D297353CC}">
                  <c16:uniqueId val="{00000001-D9C7-4475-BECB-059166D3F895}"/>
                </c:ext>
              </c:extLst>
            </c:dLbl>
            <c:dLbl>
              <c:idx val="1"/>
              <c:layout>
                <c:manualLayout>
                  <c:x val="1.814274726233239E-4"/>
                  <c:y val="5.48838984343248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C7-4475-BECB-059166D3F895}"/>
                </c:ext>
              </c:extLst>
            </c:dLbl>
            <c:dLbl>
              <c:idx val="2"/>
              <c:layout>
                <c:manualLayout>
                  <c:x val="-2.4169184290030211E-2"/>
                  <c:y val="-3.3392957353925529E-2"/>
                </c:manualLayout>
              </c:layout>
              <c:spPr>
                <a:solidFill>
                  <a:sysClr val="window" lastClr="FFFFFF"/>
                </a:solidFill>
                <a:ln>
                  <a:noFill/>
                </a:ln>
                <a:effectLst/>
              </c:spPr>
              <c:txPr>
                <a:bodyPr rot="0" vert="horz"/>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5-D9C7-4475-BECB-059166D3F895}"/>
                </c:ext>
              </c:extLst>
            </c:dLbl>
            <c:spPr>
              <a:noFill/>
              <a:ln>
                <a:noFill/>
              </a:ln>
              <a:effectLst/>
            </c:spPr>
            <c:txPr>
              <a:bodyPr rot="0" vert="horz"/>
              <a:lstStyle/>
              <a:p>
                <a:pPr>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for figures'!$E$24:$E$26</c:f>
              <c:strCache>
                <c:ptCount val="3"/>
                <c:pt idx="0">
                  <c:v>NZ European</c:v>
                </c:pt>
                <c:pt idx="1">
                  <c:v>Māori</c:v>
                </c:pt>
                <c:pt idx="2">
                  <c:v>Other</c:v>
                </c:pt>
              </c:strCache>
            </c:strRef>
          </c:cat>
          <c:val>
            <c:numRef>
              <c:f>'Data for figures'!$G$24:$G$26</c:f>
              <c:numCache>
                <c:formatCode>0.00%</c:formatCode>
                <c:ptCount val="3"/>
                <c:pt idx="0">
                  <c:v>0.59459459459459463</c:v>
                </c:pt>
                <c:pt idx="1">
                  <c:v>0.16216216216216217</c:v>
                </c:pt>
                <c:pt idx="2">
                  <c:v>0.24324324324324326</c:v>
                </c:pt>
              </c:numCache>
            </c:numRef>
          </c:val>
          <c:extLst>
            <c:ext xmlns:c16="http://schemas.microsoft.com/office/drawing/2014/chart" uri="{C3380CC4-5D6E-409C-BE32-E72D297353CC}">
              <c16:uniqueId val="{00000006-D9C7-4475-BECB-059166D3F895}"/>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D9C7-4475-BECB-059166D3F8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D9C7-4475-BECB-059166D3F8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D9C7-4475-BECB-059166D3F895}"/>
              </c:ext>
            </c:extLst>
          </c:dPt>
          <c:cat>
            <c:strRef>
              <c:f>'Data for figures'!$E$24:$E$26</c:f>
              <c:strCache>
                <c:ptCount val="3"/>
                <c:pt idx="0">
                  <c:v>NZ European</c:v>
                </c:pt>
                <c:pt idx="1">
                  <c:v>Māori</c:v>
                </c:pt>
                <c:pt idx="2">
                  <c:v>Other</c:v>
                </c:pt>
              </c:strCache>
            </c:strRef>
          </c:cat>
          <c:val>
            <c:numRef>
              <c:f>'Data for figures'!$G$24:$G$26</c:f>
              <c:numCache>
                <c:formatCode>0.00%</c:formatCode>
                <c:ptCount val="3"/>
                <c:pt idx="0">
                  <c:v>0.59459459459459463</c:v>
                </c:pt>
                <c:pt idx="1">
                  <c:v>0.16216216216216217</c:v>
                </c:pt>
                <c:pt idx="2">
                  <c:v>0.24324324324324326</c:v>
                </c:pt>
              </c:numCache>
            </c:numRef>
          </c:val>
          <c:extLst>
            <c:ext xmlns:c16="http://schemas.microsoft.com/office/drawing/2014/chart" uri="{C3380CC4-5D6E-409C-BE32-E72D297353CC}">
              <c16:uniqueId val="{0000000D-D9C7-4475-BECB-059166D3F89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64303896080367"/>
          <c:y val="0.12251956230615454"/>
          <c:w val="0.72290451624581409"/>
          <c:h val="0.85918979389871353"/>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13E-4F3D-A9EB-5789E774467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13E-4F3D-A9EB-5789E774467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13E-4F3D-A9EB-5789E7744679}"/>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313E-4F3D-A9EB-5789E7744679}"/>
              </c:ext>
            </c:extLst>
          </c:dPt>
          <c:dLbls>
            <c:dLbl>
              <c:idx val="0"/>
              <c:layout>
                <c:manualLayout>
                  <c:x val="0"/>
                  <c:y val="0.117315263987766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13E-4F3D-A9EB-5789E7744679}"/>
                </c:ext>
              </c:extLst>
            </c:dLbl>
            <c:dLbl>
              <c:idx val="1"/>
              <c:layout>
                <c:manualLayout>
                  <c:x val="0"/>
                  <c:y val="3.6097004303928169E-2"/>
                </c:manualLayout>
              </c:layout>
              <c:tx>
                <c:rich>
                  <a:bodyPr/>
                  <a:lstStyle/>
                  <a:p>
                    <a:r>
                      <a:rPr lang="en-US" baseline="0">
                        <a:solidFill>
                          <a:sysClr val="windowText" lastClr="000000"/>
                        </a:solidFill>
                        <a:latin typeface="Segoe UI" panose="020B0502040204020203" pitchFamily="34" charset="0"/>
                        <a:cs typeface="Segoe UI" panose="020B0502040204020203" pitchFamily="34" charset="0"/>
                      </a:rPr>
                      <a:t>Midland
19%</a:t>
                    </a:r>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13E-4F3D-A9EB-5789E7744679}"/>
                </c:ext>
              </c:extLst>
            </c:dLbl>
            <c:dLbl>
              <c:idx val="2"/>
              <c:layout>
                <c:manualLayout>
                  <c:x val="-2.6402640264026403E-2"/>
                  <c:y val="-9.024251075982082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13E-4F3D-A9EB-5789E7744679}"/>
                </c:ext>
              </c:extLst>
            </c:dLbl>
            <c:dLbl>
              <c:idx val="3"/>
              <c:layout>
                <c:manualLayout>
                  <c:x val="0.40924092409240931"/>
                  <c:y val="9.024251075982063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13E-4F3D-A9EB-5789E7744679}"/>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c15:spPr>
              </c:ext>
            </c:extLst>
          </c:dLbls>
          <c:cat>
            <c:strRef>
              <c:f>'Data for figures'!$E$50:$E$53</c:f>
              <c:strCache>
                <c:ptCount val="4"/>
                <c:pt idx="0">
                  <c:v>Northern</c:v>
                </c:pt>
                <c:pt idx="1">
                  <c:v>Midlands</c:v>
                </c:pt>
                <c:pt idx="2">
                  <c:v>Central</c:v>
                </c:pt>
                <c:pt idx="3">
                  <c:v>Southern</c:v>
                </c:pt>
              </c:strCache>
            </c:strRef>
          </c:cat>
          <c:val>
            <c:numRef>
              <c:f>'Data for figures'!$F$50:$F$53</c:f>
              <c:numCache>
                <c:formatCode>0%</c:formatCode>
                <c:ptCount val="4"/>
                <c:pt idx="0">
                  <c:v>0.59459459459459463</c:v>
                </c:pt>
                <c:pt idx="1">
                  <c:v>0.1891891891891892</c:v>
                </c:pt>
                <c:pt idx="2">
                  <c:v>0.16216216216216217</c:v>
                </c:pt>
                <c:pt idx="3">
                  <c:v>5.4054054054054057E-2</c:v>
                </c:pt>
              </c:numCache>
            </c:numRef>
          </c:val>
          <c:extLst>
            <c:ext xmlns:c16="http://schemas.microsoft.com/office/drawing/2014/chart" uri="{C3380CC4-5D6E-409C-BE32-E72D297353CC}">
              <c16:uniqueId val="{00000008-313E-4F3D-A9EB-5789E774467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32615292636302E-2"/>
          <c:y val="4.17558851655171E-2"/>
          <c:w val="0.80110489637071225"/>
          <c:h val="0.90046674398258353"/>
        </c:manualLayout>
      </c:layout>
      <c:pieChart>
        <c:varyColors val="1"/>
        <c:ser>
          <c:idx val="0"/>
          <c:order val="0"/>
          <c:dPt>
            <c:idx val="0"/>
            <c:bubble3D val="0"/>
            <c:spPr>
              <a:solidFill>
                <a:schemeClr val="accent5"/>
              </a:solidFill>
              <a:ln w="19050">
                <a:solidFill>
                  <a:schemeClr val="lt1"/>
                </a:solidFill>
              </a:ln>
              <a:effectLst/>
            </c:spPr>
            <c:extLst>
              <c:ext xmlns:c16="http://schemas.microsoft.com/office/drawing/2014/chart" uri="{C3380CC4-5D6E-409C-BE32-E72D297353CC}">
                <c16:uniqueId val="{00000001-AC97-4DB5-A3E6-9BD9736ED8D6}"/>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AC97-4DB5-A3E6-9BD9736ED8D6}"/>
              </c:ext>
            </c:extLst>
          </c:dPt>
          <c:dLbls>
            <c:dLbl>
              <c:idx val="0"/>
              <c:layout>
                <c:manualLayout>
                  <c:x val="-8.714596949891228E-3"/>
                  <c:y val="-7.5681678443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97-4DB5-A3E6-9BD9736ED8D6}"/>
                </c:ext>
              </c:extLst>
            </c:dLbl>
            <c:dLbl>
              <c:idx val="1"/>
              <c:layout>
                <c:manualLayout>
                  <c:x val="-1.3071895424836612E-2"/>
                  <c:y val="6.67779515679322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97-4DB5-A3E6-9BD9736ED8D6}"/>
                </c:ext>
              </c:extLst>
            </c:dLbl>
            <c:spPr>
              <a:noFill/>
              <a:ln>
                <a:noFill/>
              </a:ln>
              <a:effectLst/>
            </c:spPr>
            <c:txPr>
              <a:bodyPr rot="0" vert="horz"/>
              <a:lstStyle/>
              <a:p>
                <a:pPr>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c15:spPr>
              </c:ext>
            </c:extLst>
          </c:dLbls>
          <c:cat>
            <c:strRef>
              <c:f>'Data for figures'!$C$67:$C$68</c:f>
              <c:strCache>
                <c:ptCount val="2"/>
                <c:pt idx="0">
                  <c:v>0≤8 weeks</c:v>
                </c:pt>
                <c:pt idx="1">
                  <c:v>8–16 weeks</c:v>
                </c:pt>
              </c:strCache>
            </c:strRef>
          </c:cat>
          <c:val>
            <c:numRef>
              <c:f>'Data for figures'!$D$67:$D$68</c:f>
              <c:numCache>
                <c:formatCode>0.0%</c:formatCode>
                <c:ptCount val="2"/>
                <c:pt idx="0">
                  <c:v>0.33333333333333331</c:v>
                </c:pt>
                <c:pt idx="1">
                  <c:v>0.66666666666666663</c:v>
                </c:pt>
              </c:numCache>
            </c:numRef>
          </c:val>
          <c:extLst>
            <c:ext xmlns:c16="http://schemas.microsoft.com/office/drawing/2014/chart" uri="{C3380CC4-5D6E-409C-BE32-E72D297353CC}">
              <c16:uniqueId val="{00000004-AC97-4DB5-A3E6-9BD9736ED8D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10742703734969E-2"/>
          <c:y val="9.7419361041408289E-2"/>
          <c:w val="0.7423700593627407"/>
          <c:h val="0.65170007595204438"/>
        </c:manualLayout>
      </c:layout>
      <c:lineChart>
        <c:grouping val="standard"/>
        <c:varyColors val="0"/>
        <c:ser>
          <c:idx val="0"/>
          <c:order val="0"/>
          <c:tx>
            <c:strRef>
              <c:f>Justice!$B$95</c:f>
              <c:strCache>
                <c:ptCount val="1"/>
                <c:pt idx="0">
                  <c:v>0–14</c:v>
                </c:pt>
              </c:strCache>
            </c:strRef>
          </c:tx>
          <c:spPr>
            <a:ln w="28575" cap="rnd">
              <a:solidFill>
                <a:srgbClr val="9475BD"/>
              </a:solidFill>
              <a:round/>
            </a:ln>
            <a:effectLst/>
          </c:spPr>
          <c:marker>
            <c:symbol val="none"/>
          </c:marker>
          <c:cat>
            <c:numRef>
              <c:f>Justice!$C$93:$S$93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Justice!$C$95:$S$95</c:f>
              <c:numCache>
                <c:formatCode>_-* #,##0.0_-;\-* #,##0.0_-;_-* "-"??_-;_-@_-</c:formatCode>
                <c:ptCount val="17"/>
                <c:pt idx="0">
                  <c:v>3.4087471291957772</c:v>
                </c:pt>
                <c:pt idx="1">
                  <c:v>1.8159634537354936</c:v>
                </c:pt>
                <c:pt idx="2">
                  <c:v>2.0265021447147697</c:v>
                </c:pt>
                <c:pt idx="3">
                  <c:v>2.3657307009885375</c:v>
                </c:pt>
                <c:pt idx="4">
                  <c:v>2.589448560041431</c:v>
                </c:pt>
                <c:pt idx="5">
                  <c:v>1.9096403136303384</c:v>
                </c:pt>
                <c:pt idx="6">
                  <c:v>1.7900595754202444</c:v>
                </c:pt>
                <c:pt idx="7">
                  <c:v>1.2297647795367141</c:v>
                </c:pt>
                <c:pt idx="8">
                  <c:v>1.3434239398146075</c:v>
                </c:pt>
                <c:pt idx="9">
                  <c:v>1.3206187098655719</c:v>
                </c:pt>
                <c:pt idx="10">
                  <c:v>0.76972559282615749</c:v>
                </c:pt>
                <c:pt idx="11">
                  <c:v>1.9628369536770478</c:v>
                </c:pt>
                <c:pt idx="12">
                  <c:v>2.0471711327321116</c:v>
                </c:pt>
                <c:pt idx="13">
                  <c:v>2.0257699258461588</c:v>
                </c:pt>
                <c:pt idx="14">
                  <c:v>1.792067466069311</c:v>
                </c:pt>
                <c:pt idx="15">
                  <c:v>1.352891284778412</c:v>
                </c:pt>
                <c:pt idx="16">
                  <c:v>1.9655002974112294</c:v>
                </c:pt>
              </c:numCache>
            </c:numRef>
          </c:val>
          <c:smooth val="0"/>
          <c:extLst>
            <c:ext xmlns:c16="http://schemas.microsoft.com/office/drawing/2014/chart" uri="{C3380CC4-5D6E-409C-BE32-E72D297353CC}">
              <c16:uniqueId val="{00000000-AD8F-4966-BF64-54978AC6829F}"/>
            </c:ext>
          </c:extLst>
        </c:ser>
        <c:ser>
          <c:idx val="1"/>
          <c:order val="1"/>
          <c:tx>
            <c:strRef>
              <c:f>Justice!$B$96</c:f>
              <c:strCache>
                <c:ptCount val="1"/>
                <c:pt idx="0">
                  <c:v>15–24</c:v>
                </c:pt>
              </c:strCache>
            </c:strRef>
          </c:tx>
          <c:spPr>
            <a:ln w="28575" cap="rnd">
              <a:solidFill>
                <a:schemeClr val="accent2">
                  <a:lumMod val="40000"/>
                  <a:lumOff val="60000"/>
                </a:schemeClr>
              </a:solidFill>
              <a:round/>
            </a:ln>
            <a:effectLst/>
          </c:spPr>
          <c:marker>
            <c:symbol val="none"/>
          </c:marker>
          <c:cat>
            <c:numRef>
              <c:f>Justice!$C$93:$S$93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Justice!$C$96:$S$96</c:f>
              <c:numCache>
                <c:formatCode>_-* #,##0.0_-;\-* #,##0.0_-;_-* "-"??_-;_-@_-</c:formatCode>
                <c:ptCount val="17"/>
                <c:pt idx="0">
                  <c:v>117.38684418974077</c:v>
                </c:pt>
                <c:pt idx="1">
                  <c:v>112.25807540704103</c:v>
                </c:pt>
                <c:pt idx="2">
                  <c:v>97.736030031917181</c:v>
                </c:pt>
                <c:pt idx="3">
                  <c:v>105.49500564861549</c:v>
                </c:pt>
                <c:pt idx="4">
                  <c:v>110.64984703341176</c:v>
                </c:pt>
                <c:pt idx="5">
                  <c:v>108.41700067462995</c:v>
                </c:pt>
                <c:pt idx="6">
                  <c:v>119.1269250362475</c:v>
                </c:pt>
                <c:pt idx="7">
                  <c:v>120.49693308839556</c:v>
                </c:pt>
                <c:pt idx="8">
                  <c:v>115.20701503443772</c:v>
                </c:pt>
                <c:pt idx="9">
                  <c:v>113.96510914350837</c:v>
                </c:pt>
                <c:pt idx="10">
                  <c:v>126.75539022998836</c:v>
                </c:pt>
                <c:pt idx="11">
                  <c:v>131.4034100110274</c:v>
                </c:pt>
                <c:pt idx="12">
                  <c:v>133.06893093125282</c:v>
                </c:pt>
                <c:pt idx="13">
                  <c:v>128.63642426308223</c:v>
                </c:pt>
                <c:pt idx="14">
                  <c:v>135.82140676426349</c:v>
                </c:pt>
                <c:pt idx="15">
                  <c:v>137.66233766233765</c:v>
                </c:pt>
                <c:pt idx="16">
                  <c:v>150.44274902717774</c:v>
                </c:pt>
              </c:numCache>
            </c:numRef>
          </c:val>
          <c:smooth val="0"/>
          <c:extLst>
            <c:ext xmlns:c16="http://schemas.microsoft.com/office/drawing/2014/chart" uri="{C3380CC4-5D6E-409C-BE32-E72D297353CC}">
              <c16:uniqueId val="{00000001-AD8F-4966-BF64-54978AC6829F}"/>
            </c:ext>
          </c:extLst>
        </c:ser>
        <c:ser>
          <c:idx val="2"/>
          <c:order val="2"/>
          <c:tx>
            <c:strRef>
              <c:f>Justice!$B$97</c:f>
              <c:strCache>
                <c:ptCount val="1"/>
                <c:pt idx="0">
                  <c:v>25–34</c:v>
                </c:pt>
              </c:strCache>
            </c:strRef>
          </c:tx>
          <c:spPr>
            <a:ln w="28575" cap="rnd">
              <a:solidFill>
                <a:srgbClr val="C00000"/>
              </a:solidFill>
              <a:round/>
            </a:ln>
            <a:effectLst/>
          </c:spPr>
          <c:marker>
            <c:symbol val="none"/>
          </c:marker>
          <c:cat>
            <c:numRef>
              <c:f>Justice!$C$93:$S$93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Justice!$C$97:$S$97</c:f>
              <c:numCache>
                <c:formatCode>_-* #,##0.0_-;\-* #,##0.0_-;_-* "-"??_-;_-@_-</c:formatCode>
                <c:ptCount val="17"/>
                <c:pt idx="0">
                  <c:v>182.84977730720098</c:v>
                </c:pt>
                <c:pt idx="1">
                  <c:v>178.50708207445186</c:v>
                </c:pt>
                <c:pt idx="2">
                  <c:v>160.70284616088588</c:v>
                </c:pt>
                <c:pt idx="3">
                  <c:v>167.25084867386084</c:v>
                </c:pt>
                <c:pt idx="4">
                  <c:v>167.41163621010895</c:v>
                </c:pt>
                <c:pt idx="5">
                  <c:v>160.82669286467998</c:v>
                </c:pt>
                <c:pt idx="6">
                  <c:v>168.14715118887395</c:v>
                </c:pt>
                <c:pt idx="7">
                  <c:v>166.57540054053098</c:v>
                </c:pt>
                <c:pt idx="8">
                  <c:v>168.96947760414852</c:v>
                </c:pt>
                <c:pt idx="9">
                  <c:v>191.59951872242681</c:v>
                </c:pt>
                <c:pt idx="10">
                  <c:v>197.6690140227486</c:v>
                </c:pt>
                <c:pt idx="11">
                  <c:v>180.68849706129302</c:v>
                </c:pt>
                <c:pt idx="12">
                  <c:v>180.53940300160602</c:v>
                </c:pt>
                <c:pt idx="13">
                  <c:v>159.98259482195951</c:v>
                </c:pt>
                <c:pt idx="14">
                  <c:v>151.98742173061538</c:v>
                </c:pt>
                <c:pt idx="15">
                  <c:v>163.57278137568539</c:v>
                </c:pt>
                <c:pt idx="16">
                  <c:v>185.19934651882235</c:v>
                </c:pt>
              </c:numCache>
            </c:numRef>
          </c:val>
          <c:smooth val="0"/>
          <c:extLst>
            <c:ext xmlns:c16="http://schemas.microsoft.com/office/drawing/2014/chart" uri="{C3380CC4-5D6E-409C-BE32-E72D297353CC}">
              <c16:uniqueId val="{00000002-AD8F-4966-BF64-54978AC6829F}"/>
            </c:ext>
          </c:extLst>
        </c:ser>
        <c:ser>
          <c:idx val="3"/>
          <c:order val="3"/>
          <c:tx>
            <c:strRef>
              <c:f>Justice!$B$98</c:f>
              <c:strCache>
                <c:ptCount val="1"/>
                <c:pt idx="0">
                  <c:v>35–44</c:v>
                </c:pt>
              </c:strCache>
            </c:strRef>
          </c:tx>
          <c:spPr>
            <a:ln w="28575" cap="rnd">
              <a:solidFill>
                <a:schemeClr val="accent4"/>
              </a:solidFill>
              <a:round/>
            </a:ln>
            <a:effectLst/>
          </c:spPr>
          <c:marker>
            <c:symbol val="none"/>
          </c:marker>
          <c:cat>
            <c:numRef>
              <c:f>Justice!$C$93:$S$93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Justice!$C$98:$S$98</c:f>
              <c:numCache>
                <c:formatCode>_-* #,##0.0_-;\-* #,##0.0_-;_-* "-"??_-;_-@_-</c:formatCode>
                <c:ptCount val="17"/>
                <c:pt idx="0">
                  <c:v>136.93752023308514</c:v>
                </c:pt>
                <c:pt idx="1">
                  <c:v>129.14210450230496</c:v>
                </c:pt>
                <c:pt idx="2">
                  <c:v>122.20087556297439</c:v>
                </c:pt>
                <c:pt idx="3">
                  <c:v>134.35670200981167</c:v>
                </c:pt>
                <c:pt idx="4">
                  <c:v>144.79536654827047</c:v>
                </c:pt>
                <c:pt idx="5">
                  <c:v>140.90773051194319</c:v>
                </c:pt>
                <c:pt idx="6">
                  <c:v>154.19923390422986</c:v>
                </c:pt>
                <c:pt idx="7">
                  <c:v>156.70732212889797</c:v>
                </c:pt>
                <c:pt idx="8">
                  <c:v>150.69913272143418</c:v>
                </c:pt>
                <c:pt idx="9">
                  <c:v>147.06874451865343</c:v>
                </c:pt>
                <c:pt idx="10">
                  <c:v>147.08266147952872</c:v>
                </c:pt>
                <c:pt idx="11">
                  <c:v>150.75119216504007</c:v>
                </c:pt>
                <c:pt idx="12">
                  <c:v>151.69144580909287</c:v>
                </c:pt>
                <c:pt idx="13">
                  <c:v>143.25739206429446</c:v>
                </c:pt>
                <c:pt idx="14">
                  <c:v>146.62533679062813</c:v>
                </c:pt>
                <c:pt idx="15">
                  <c:v>141.88590008867868</c:v>
                </c:pt>
                <c:pt idx="16">
                  <c:v>136.71827821928068</c:v>
                </c:pt>
              </c:numCache>
            </c:numRef>
          </c:val>
          <c:smooth val="0"/>
          <c:extLst>
            <c:ext xmlns:c16="http://schemas.microsoft.com/office/drawing/2014/chart" uri="{C3380CC4-5D6E-409C-BE32-E72D297353CC}">
              <c16:uniqueId val="{00000003-AD8F-4966-BF64-54978AC6829F}"/>
            </c:ext>
          </c:extLst>
        </c:ser>
        <c:ser>
          <c:idx val="4"/>
          <c:order val="4"/>
          <c:tx>
            <c:strRef>
              <c:f>Justice!$B$99</c:f>
              <c:strCache>
                <c:ptCount val="1"/>
                <c:pt idx="0">
                  <c:v>45–54</c:v>
                </c:pt>
              </c:strCache>
            </c:strRef>
          </c:tx>
          <c:spPr>
            <a:ln w="28575" cap="rnd">
              <a:solidFill>
                <a:schemeClr val="accent5"/>
              </a:solidFill>
              <a:round/>
            </a:ln>
            <a:effectLst/>
          </c:spPr>
          <c:marker>
            <c:symbol val="none"/>
          </c:marker>
          <c:cat>
            <c:numRef>
              <c:f>Justice!$C$93:$S$93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Justice!$C$99:$S$99</c:f>
              <c:numCache>
                <c:formatCode>_-* #,##0.0_-;\-* #,##0.0_-;_-* "-"??_-;_-@_-</c:formatCode>
                <c:ptCount val="17"/>
                <c:pt idx="0">
                  <c:v>88.552167411965243</c:v>
                </c:pt>
                <c:pt idx="1">
                  <c:v>94.195821429549383</c:v>
                </c:pt>
                <c:pt idx="2">
                  <c:v>95.483439865654972</c:v>
                </c:pt>
                <c:pt idx="3">
                  <c:v>106.21777217231646</c:v>
                </c:pt>
                <c:pt idx="4">
                  <c:v>112.68409827531194</c:v>
                </c:pt>
                <c:pt idx="5">
                  <c:v>109.1814688371019</c:v>
                </c:pt>
                <c:pt idx="6">
                  <c:v>106.66188995098437</c:v>
                </c:pt>
                <c:pt idx="7">
                  <c:v>100.28189093736836</c:v>
                </c:pt>
                <c:pt idx="8">
                  <c:v>109.49288781426642</c:v>
                </c:pt>
                <c:pt idx="9">
                  <c:v>117.49472472664493</c:v>
                </c:pt>
                <c:pt idx="10">
                  <c:v>121.69320586036301</c:v>
                </c:pt>
                <c:pt idx="11">
                  <c:v>120.42297979797979</c:v>
                </c:pt>
                <c:pt idx="12">
                  <c:v>127.40348872698247</c:v>
                </c:pt>
                <c:pt idx="13">
                  <c:v>131.5861701209997</c:v>
                </c:pt>
                <c:pt idx="14">
                  <c:v>127.66057674944453</c:v>
                </c:pt>
                <c:pt idx="15">
                  <c:v>120.86249735466323</c:v>
                </c:pt>
                <c:pt idx="16">
                  <c:v>118.88848700246898</c:v>
                </c:pt>
              </c:numCache>
            </c:numRef>
          </c:val>
          <c:smooth val="0"/>
          <c:extLst>
            <c:ext xmlns:c16="http://schemas.microsoft.com/office/drawing/2014/chart" uri="{C3380CC4-5D6E-409C-BE32-E72D297353CC}">
              <c16:uniqueId val="{00000004-AD8F-4966-BF64-54978AC6829F}"/>
            </c:ext>
          </c:extLst>
        </c:ser>
        <c:ser>
          <c:idx val="5"/>
          <c:order val="5"/>
          <c:tx>
            <c:strRef>
              <c:f>Justice!$B$100</c:f>
              <c:strCache>
                <c:ptCount val="1"/>
                <c:pt idx="0">
                  <c:v>55–64</c:v>
                </c:pt>
              </c:strCache>
            </c:strRef>
          </c:tx>
          <c:spPr>
            <a:ln w="28575" cap="rnd">
              <a:solidFill>
                <a:schemeClr val="accent6"/>
              </a:solidFill>
              <a:round/>
            </a:ln>
            <a:effectLst/>
          </c:spPr>
          <c:marker>
            <c:symbol val="none"/>
          </c:marker>
          <c:cat>
            <c:numRef>
              <c:f>Justice!$C$93:$S$93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Justice!$C$100:$S$100</c:f>
              <c:numCache>
                <c:formatCode>_-* #,##0.0_-;\-* #,##0.0_-;_-* "-"??_-;_-@_-</c:formatCode>
                <c:ptCount val="17"/>
                <c:pt idx="0">
                  <c:v>72.551542347883384</c:v>
                </c:pt>
                <c:pt idx="1">
                  <c:v>61.295655006817334</c:v>
                </c:pt>
                <c:pt idx="2">
                  <c:v>64.239081101839901</c:v>
                </c:pt>
                <c:pt idx="3">
                  <c:v>67.990858754107308</c:v>
                </c:pt>
                <c:pt idx="4">
                  <c:v>64.065871163753243</c:v>
                </c:pt>
                <c:pt idx="5">
                  <c:v>69.256666488537377</c:v>
                </c:pt>
                <c:pt idx="6">
                  <c:v>75.77172987897282</c:v>
                </c:pt>
                <c:pt idx="7">
                  <c:v>74.438173837409224</c:v>
                </c:pt>
                <c:pt idx="8">
                  <c:v>78.577212608343572</c:v>
                </c:pt>
                <c:pt idx="9">
                  <c:v>85.822678642831377</c:v>
                </c:pt>
                <c:pt idx="10">
                  <c:v>83.833476231304175</c:v>
                </c:pt>
                <c:pt idx="11">
                  <c:v>88.857558921465866</c:v>
                </c:pt>
                <c:pt idx="12">
                  <c:v>91.449636239576776</c:v>
                </c:pt>
                <c:pt idx="13">
                  <c:v>89.119170984455948</c:v>
                </c:pt>
                <c:pt idx="14">
                  <c:v>90.549048811861084</c:v>
                </c:pt>
                <c:pt idx="15">
                  <c:v>90.912118285657201</c:v>
                </c:pt>
                <c:pt idx="16">
                  <c:v>89.325371366530121</c:v>
                </c:pt>
              </c:numCache>
            </c:numRef>
          </c:val>
          <c:smooth val="0"/>
          <c:extLst>
            <c:ext xmlns:c16="http://schemas.microsoft.com/office/drawing/2014/chart" uri="{C3380CC4-5D6E-409C-BE32-E72D297353CC}">
              <c16:uniqueId val="{00000005-AD8F-4966-BF64-54978AC6829F}"/>
            </c:ext>
          </c:extLst>
        </c:ser>
        <c:ser>
          <c:idx val="6"/>
          <c:order val="6"/>
          <c:tx>
            <c:strRef>
              <c:f>Justice!$B$101</c:f>
              <c:strCache>
                <c:ptCount val="1"/>
                <c:pt idx="0">
                  <c:v>65+</c:v>
                </c:pt>
              </c:strCache>
            </c:strRef>
          </c:tx>
          <c:spPr>
            <a:ln w="28575" cap="rnd">
              <a:solidFill>
                <a:schemeClr val="accent1">
                  <a:lumMod val="60000"/>
                </a:schemeClr>
              </a:solidFill>
              <a:round/>
            </a:ln>
            <a:effectLst/>
          </c:spPr>
          <c:marker>
            <c:symbol val="none"/>
          </c:marker>
          <c:cat>
            <c:numRef>
              <c:f>Justice!$C$93:$S$93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Justice!$C$101:$S$101</c:f>
              <c:numCache>
                <c:formatCode>_-* #,##0.0_-;\-* #,##0.0_-;_-* "-"??_-;_-@_-</c:formatCode>
                <c:ptCount val="17"/>
                <c:pt idx="0">
                  <c:v>45.802736406785556</c:v>
                </c:pt>
                <c:pt idx="1">
                  <c:v>40.713590918663066</c:v>
                </c:pt>
                <c:pt idx="2">
                  <c:v>43.401759530791786</c:v>
                </c:pt>
                <c:pt idx="3">
                  <c:v>54.640143430376511</c:v>
                </c:pt>
                <c:pt idx="4">
                  <c:v>51.869341315138783</c:v>
                </c:pt>
                <c:pt idx="5">
                  <c:v>51.514247756418946</c:v>
                </c:pt>
                <c:pt idx="6">
                  <c:v>49.110744729364718</c:v>
                </c:pt>
                <c:pt idx="7">
                  <c:v>51.28685710391126</c:v>
                </c:pt>
                <c:pt idx="8">
                  <c:v>49.013179463641727</c:v>
                </c:pt>
                <c:pt idx="9">
                  <c:v>51.124744376278116</c:v>
                </c:pt>
                <c:pt idx="10">
                  <c:v>52.790753153208613</c:v>
                </c:pt>
                <c:pt idx="11">
                  <c:v>54.75287415693856</c:v>
                </c:pt>
                <c:pt idx="12">
                  <c:v>52.425186338858609</c:v>
                </c:pt>
                <c:pt idx="13">
                  <c:v>55.049986747225411</c:v>
                </c:pt>
                <c:pt idx="14">
                  <c:v>55.630811315543752</c:v>
                </c:pt>
                <c:pt idx="15">
                  <c:v>54.377309599637485</c:v>
                </c:pt>
                <c:pt idx="16">
                  <c:v>54.189502789710168</c:v>
                </c:pt>
              </c:numCache>
            </c:numRef>
          </c:val>
          <c:smooth val="0"/>
          <c:extLst>
            <c:ext xmlns:c16="http://schemas.microsoft.com/office/drawing/2014/chart" uri="{C3380CC4-5D6E-409C-BE32-E72D297353CC}">
              <c16:uniqueId val="{00000006-AD8F-4966-BF64-54978AC6829F}"/>
            </c:ext>
          </c:extLst>
        </c:ser>
        <c:dLbls>
          <c:showLegendKey val="0"/>
          <c:showVal val="0"/>
          <c:showCatName val="0"/>
          <c:showSerName val="0"/>
          <c:showPercent val="0"/>
          <c:showBubbleSize val="0"/>
        </c:dLbls>
        <c:smooth val="0"/>
        <c:axId val="284457216"/>
        <c:axId val="284463488"/>
      </c:lineChart>
      <c:catAx>
        <c:axId val="284457216"/>
        <c:scaling>
          <c:orientation val="minMax"/>
        </c:scaling>
        <c:delete val="0"/>
        <c:axPos val="b"/>
        <c:title>
          <c:tx>
            <c:rich>
              <a:bodyPr rot="0" vert="horz"/>
              <a:lstStyle/>
              <a:p>
                <a:pPr>
                  <a:defRPr b="0"/>
                </a:pPr>
                <a:r>
                  <a:rPr lang="en-NZ" b="0"/>
                  <a:t>Year</a:t>
                </a:r>
              </a:p>
            </c:rich>
          </c:tx>
          <c:layout>
            <c:manualLayout>
              <c:xMode val="edge"/>
              <c:yMode val="edge"/>
              <c:x val="0.42057193696265133"/>
              <c:y val="0.90767961697095556"/>
            </c:manualLayout>
          </c:layout>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5400000"/>
          <a:lstStyle/>
          <a:p>
            <a:pPr>
              <a:defRPr/>
            </a:pPr>
            <a:endParaRPr lang="en-US"/>
          </a:p>
        </c:txPr>
        <c:crossAx val="284463488"/>
        <c:crosses val="autoZero"/>
        <c:auto val="1"/>
        <c:lblAlgn val="ctr"/>
        <c:lblOffset val="100"/>
        <c:noMultiLvlLbl val="0"/>
      </c:catAx>
      <c:valAx>
        <c:axId val="284463488"/>
        <c:scaling>
          <c:orientation val="minMax"/>
        </c:scaling>
        <c:delete val="0"/>
        <c:axPos val="l"/>
        <c:title>
          <c:tx>
            <c:rich>
              <a:bodyPr rot="0"/>
              <a:lstStyle/>
              <a:p>
                <a:pPr>
                  <a:defRPr b="0"/>
                </a:pPr>
                <a:r>
                  <a:rPr lang="en-NZ" b="0"/>
                  <a:t>Rate per 100,000</a:t>
                </a:r>
              </a:p>
            </c:rich>
          </c:tx>
          <c:layout>
            <c:manualLayout>
              <c:xMode val="edge"/>
              <c:yMode val="edge"/>
              <c:x val="0"/>
              <c:y val="2.2328995418498371E-4"/>
            </c:manualLayout>
          </c:layout>
          <c:overlay val="0"/>
          <c:spPr>
            <a:noFill/>
            <a:ln>
              <a:noFill/>
            </a:ln>
            <a:effectLst/>
          </c:spPr>
        </c:title>
        <c:numFmt formatCode="General" sourceLinked="0"/>
        <c:majorTickMark val="out"/>
        <c:minorTickMark val="none"/>
        <c:tickLblPos val="nextTo"/>
        <c:spPr>
          <a:noFill/>
          <a:ln>
            <a:solidFill>
              <a:schemeClr val="tx1"/>
            </a:solidFill>
          </a:ln>
          <a:effectLst/>
        </c:spPr>
        <c:txPr>
          <a:bodyPr rot="-60000000" vert="horz"/>
          <a:lstStyle/>
          <a:p>
            <a:pPr>
              <a:defRPr/>
            </a:pPr>
            <a:endParaRPr lang="en-US"/>
          </a:p>
        </c:txPr>
        <c:crossAx val="284457216"/>
        <c:crosses val="autoZero"/>
        <c:crossBetween val="between"/>
      </c:valAx>
      <c:spPr>
        <a:noFill/>
        <a:ln>
          <a:noFill/>
        </a:ln>
        <a:effectLst/>
      </c:spPr>
    </c:plotArea>
    <c:legend>
      <c:legendPos val="r"/>
      <c:layout>
        <c:manualLayout>
          <c:xMode val="edge"/>
          <c:yMode val="edge"/>
          <c:x val="0.79637439671373889"/>
          <c:y val="0.18539951736802129"/>
          <c:w val="0.12629942482312398"/>
          <c:h val="0.50251510059633708"/>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10817568145235E-2"/>
          <c:y val="0.11660329531051965"/>
          <c:w val="0.75647462295492451"/>
          <c:h val="0.67217743595359325"/>
        </c:manualLayout>
      </c:layout>
      <c:lineChart>
        <c:grouping val="standard"/>
        <c:varyColors val="0"/>
        <c:ser>
          <c:idx val="0"/>
          <c:order val="0"/>
          <c:tx>
            <c:strRef>
              <c:f>Justice!$B$133</c:f>
              <c:strCache>
                <c:ptCount val="1"/>
                <c:pt idx="0">
                  <c:v>Female</c:v>
                </c:pt>
              </c:strCache>
            </c:strRef>
          </c:tx>
          <c:spPr>
            <a:ln w="28575" cap="rnd">
              <a:solidFill>
                <a:schemeClr val="accent1"/>
              </a:solidFill>
              <a:round/>
            </a:ln>
            <a:effectLst/>
          </c:spPr>
          <c:marker>
            <c:symbol val="none"/>
          </c:marker>
          <c:cat>
            <c:numRef>
              <c:f>Justice!$C$132:$S$132</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Justice!$C$133:$S$133</c:f>
              <c:numCache>
                <c:formatCode>_-* #,##0_-;\-* #,##0_-;_-* "-"??_-;_-@_-</c:formatCode>
                <c:ptCount val="17"/>
                <c:pt idx="0">
                  <c:v>68.338944138993142</c:v>
                </c:pt>
                <c:pt idx="1">
                  <c:v>68.485913801880727</c:v>
                </c:pt>
                <c:pt idx="2">
                  <c:v>65.258353326701382</c:v>
                </c:pt>
                <c:pt idx="3">
                  <c:v>69.003415390822269</c:v>
                </c:pt>
                <c:pt idx="4">
                  <c:v>69.55666247549081</c:v>
                </c:pt>
                <c:pt idx="5">
                  <c:v>67.84257428670881</c:v>
                </c:pt>
                <c:pt idx="6">
                  <c:v>68.65971820719848</c:v>
                </c:pt>
                <c:pt idx="7">
                  <c:v>70.833035778047559</c:v>
                </c:pt>
                <c:pt idx="8">
                  <c:v>67.981327322103695</c:v>
                </c:pt>
                <c:pt idx="9">
                  <c:v>68.904597531506013</c:v>
                </c:pt>
                <c:pt idx="10">
                  <c:v>72.360848698069361</c:v>
                </c:pt>
                <c:pt idx="11">
                  <c:v>73.701155903992074</c:v>
                </c:pt>
                <c:pt idx="12">
                  <c:v>73.152127247187494</c:v>
                </c:pt>
                <c:pt idx="13">
                  <c:v>73.985769722938926</c:v>
                </c:pt>
                <c:pt idx="14">
                  <c:v>74.618790951169174</c:v>
                </c:pt>
                <c:pt idx="15">
                  <c:v>75.630218703674998</c:v>
                </c:pt>
                <c:pt idx="16">
                  <c:v>79.566173973971232</c:v>
                </c:pt>
              </c:numCache>
            </c:numRef>
          </c:val>
          <c:smooth val="0"/>
          <c:extLst>
            <c:ext xmlns:c16="http://schemas.microsoft.com/office/drawing/2014/chart" uri="{C3380CC4-5D6E-409C-BE32-E72D297353CC}">
              <c16:uniqueId val="{00000000-3CBF-4F0D-ACDD-DF29D5D23DD9}"/>
            </c:ext>
          </c:extLst>
        </c:ser>
        <c:ser>
          <c:idx val="1"/>
          <c:order val="1"/>
          <c:tx>
            <c:strRef>
              <c:f>Justice!$B$134</c:f>
              <c:strCache>
                <c:ptCount val="1"/>
                <c:pt idx="0">
                  <c:v>Male</c:v>
                </c:pt>
              </c:strCache>
            </c:strRef>
          </c:tx>
          <c:spPr>
            <a:ln w="28575" cap="rnd">
              <a:solidFill>
                <a:schemeClr val="accent6"/>
              </a:solidFill>
              <a:round/>
            </a:ln>
            <a:effectLst/>
          </c:spPr>
          <c:marker>
            <c:symbol val="none"/>
          </c:marker>
          <c:cat>
            <c:numRef>
              <c:f>Justice!$C$132:$S$132</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Justice!$C$134:$S$134</c:f>
              <c:numCache>
                <c:formatCode>_-* #,##0_-;\-* #,##0_-;_-* "-"??_-;_-@_-</c:formatCode>
                <c:ptCount val="17"/>
                <c:pt idx="0">
                  <c:v>102.38819843939757</c:v>
                </c:pt>
                <c:pt idx="1">
                  <c:v>97.778042355602523</c:v>
                </c:pt>
                <c:pt idx="2">
                  <c:v>91.992412090849825</c:v>
                </c:pt>
                <c:pt idx="3">
                  <c:v>101.03960240699215</c:v>
                </c:pt>
                <c:pt idx="4">
                  <c:v>103.24571859927904</c:v>
                </c:pt>
                <c:pt idx="5">
                  <c:v>100.86628841808511</c:v>
                </c:pt>
                <c:pt idx="6">
                  <c:v>106.77832539878673</c:v>
                </c:pt>
                <c:pt idx="7">
                  <c:v>104.15848355599095</c:v>
                </c:pt>
                <c:pt idx="8">
                  <c:v>101.50257771577901</c:v>
                </c:pt>
                <c:pt idx="9">
                  <c:v>106.68225998793666</c:v>
                </c:pt>
                <c:pt idx="10">
                  <c:v>112.1785065981358</c:v>
                </c:pt>
                <c:pt idx="11">
                  <c:v>113.6908035983605</c:v>
                </c:pt>
                <c:pt idx="12">
                  <c:v>115.34916650298194</c:v>
                </c:pt>
                <c:pt idx="13">
                  <c:v>110.45745857306382</c:v>
                </c:pt>
                <c:pt idx="14">
                  <c:v>108.64890558862808</c:v>
                </c:pt>
                <c:pt idx="15">
                  <c:v>107.80508840017248</c:v>
                </c:pt>
                <c:pt idx="16">
                  <c:v>108.31481451442846</c:v>
                </c:pt>
              </c:numCache>
            </c:numRef>
          </c:val>
          <c:smooth val="0"/>
          <c:extLst>
            <c:ext xmlns:c16="http://schemas.microsoft.com/office/drawing/2014/chart" uri="{C3380CC4-5D6E-409C-BE32-E72D297353CC}">
              <c16:uniqueId val="{00000001-3CBF-4F0D-ACDD-DF29D5D23DD9}"/>
            </c:ext>
          </c:extLst>
        </c:ser>
        <c:ser>
          <c:idx val="2"/>
          <c:order val="2"/>
          <c:tx>
            <c:strRef>
              <c:f>Justice!$B$136</c:f>
              <c:strCache>
                <c:ptCount val="1"/>
                <c:pt idx="0">
                  <c:v>National total</c:v>
                </c:pt>
              </c:strCache>
            </c:strRef>
          </c:tx>
          <c:spPr>
            <a:ln w="28575" cap="rnd">
              <a:solidFill>
                <a:schemeClr val="accent4"/>
              </a:solidFill>
              <a:round/>
            </a:ln>
            <a:effectLst/>
          </c:spPr>
          <c:marker>
            <c:symbol val="none"/>
          </c:marker>
          <c:cat>
            <c:numRef>
              <c:f>Justice!$C$132:$S$132</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Justice!$C$136:$S$136</c:f>
              <c:numCache>
                <c:formatCode>_-* #,##0_-;\-* #,##0_-;_-* "-"??_-;_-@_-</c:formatCode>
                <c:ptCount val="17"/>
                <c:pt idx="0">
                  <c:v>92.247671395493342</c:v>
                </c:pt>
                <c:pt idx="1">
                  <c:v>88.75125977008129</c:v>
                </c:pt>
                <c:pt idx="2">
                  <c:v>83.673508407980648</c:v>
                </c:pt>
                <c:pt idx="3">
                  <c:v>89.784951323121746</c:v>
                </c:pt>
                <c:pt idx="4">
                  <c:v>91.184484580403776</c:v>
                </c:pt>
                <c:pt idx="5">
                  <c:v>88.93750043449144</c:v>
                </c:pt>
                <c:pt idx="6">
                  <c:v>92.920267861334011</c:v>
                </c:pt>
                <c:pt idx="7">
                  <c:v>92.155959032714335</c:v>
                </c:pt>
                <c:pt idx="8">
                  <c:v>91.905482182315296</c:v>
                </c:pt>
                <c:pt idx="9">
                  <c:v>95.25685692897386</c:v>
                </c:pt>
                <c:pt idx="10">
                  <c:v>98.055850358920793</c:v>
                </c:pt>
                <c:pt idx="11">
                  <c:v>98.123470220288283</c:v>
                </c:pt>
                <c:pt idx="12">
                  <c:v>99.733753503034109</c:v>
                </c:pt>
                <c:pt idx="13">
                  <c:v>95</c:v>
                </c:pt>
                <c:pt idx="14">
                  <c:v>96.361666898467973</c:v>
                </c:pt>
                <c:pt idx="15">
                  <c:v>95.917303893648736</c:v>
                </c:pt>
                <c:pt idx="16">
                  <c:v>99.790067866421325</c:v>
                </c:pt>
              </c:numCache>
            </c:numRef>
          </c:val>
          <c:smooth val="0"/>
          <c:extLst>
            <c:ext xmlns:c16="http://schemas.microsoft.com/office/drawing/2014/chart" uri="{C3380CC4-5D6E-409C-BE32-E72D297353CC}">
              <c16:uniqueId val="{00000002-3CBF-4F0D-ACDD-DF29D5D23DD9}"/>
            </c:ext>
          </c:extLst>
        </c:ser>
        <c:dLbls>
          <c:showLegendKey val="0"/>
          <c:showVal val="0"/>
          <c:showCatName val="0"/>
          <c:showSerName val="0"/>
          <c:showPercent val="0"/>
          <c:showBubbleSize val="0"/>
        </c:dLbls>
        <c:smooth val="0"/>
        <c:axId val="284474368"/>
        <c:axId val="284476544"/>
      </c:lineChart>
      <c:catAx>
        <c:axId val="284474368"/>
        <c:scaling>
          <c:orientation val="minMax"/>
        </c:scaling>
        <c:delete val="0"/>
        <c:axPos val="b"/>
        <c:title>
          <c:tx>
            <c:rich>
              <a:bodyPr rot="0" vert="horz"/>
              <a:lstStyle/>
              <a:p>
                <a:pPr>
                  <a:defRPr b="0"/>
                </a:pPr>
                <a:r>
                  <a:rPr lang="en-NZ" b="0"/>
                  <a:t>Year</a:t>
                </a:r>
              </a:p>
            </c:rich>
          </c:tx>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5400000"/>
          <a:lstStyle/>
          <a:p>
            <a:pPr>
              <a:defRPr/>
            </a:pPr>
            <a:endParaRPr lang="en-US"/>
          </a:p>
        </c:txPr>
        <c:crossAx val="284476544"/>
        <c:crosses val="autoZero"/>
        <c:auto val="1"/>
        <c:lblAlgn val="ctr"/>
        <c:lblOffset val="100"/>
        <c:noMultiLvlLbl val="0"/>
      </c:catAx>
      <c:valAx>
        <c:axId val="284476544"/>
        <c:scaling>
          <c:orientation val="minMax"/>
        </c:scaling>
        <c:delete val="0"/>
        <c:axPos val="l"/>
        <c:title>
          <c:tx>
            <c:rich>
              <a:bodyPr rot="0"/>
              <a:lstStyle/>
              <a:p>
                <a:pPr>
                  <a:defRPr b="0"/>
                </a:pPr>
                <a:r>
                  <a:rPr lang="en-NZ" b="0"/>
                  <a:t>Rate per 100,000</a:t>
                </a:r>
              </a:p>
            </c:rich>
          </c:tx>
          <c:layout>
            <c:manualLayout>
              <c:xMode val="edge"/>
              <c:yMode val="edge"/>
              <c:x val="0"/>
              <c:y val="3.5148648244064337E-3"/>
            </c:manualLayout>
          </c:layout>
          <c:overlay val="0"/>
          <c:spPr>
            <a:noFill/>
            <a:ln>
              <a:noFill/>
            </a:ln>
            <a:effectLst/>
          </c:spPr>
        </c:title>
        <c:numFmt formatCode="_-* #,##0_-;\-* #,##0_-;_-* &quot;-&quot;??_-;_-@_-" sourceLinked="1"/>
        <c:majorTickMark val="out"/>
        <c:minorTickMark val="none"/>
        <c:tickLblPos val="nextTo"/>
        <c:spPr>
          <a:noFill/>
          <a:ln>
            <a:solidFill>
              <a:schemeClr val="tx1"/>
            </a:solidFill>
          </a:ln>
          <a:effectLst/>
        </c:spPr>
        <c:txPr>
          <a:bodyPr rot="-60000000" vert="horz"/>
          <a:lstStyle/>
          <a:p>
            <a:pPr>
              <a:defRPr/>
            </a:pPr>
            <a:endParaRPr lang="en-US"/>
          </a:p>
        </c:txPr>
        <c:crossAx val="284474368"/>
        <c:crosses val="autoZero"/>
        <c:crossBetween val="between"/>
      </c:valAx>
      <c:spPr>
        <a:noFill/>
        <a:ln>
          <a:noFill/>
        </a:ln>
        <a:effectLst/>
      </c:spPr>
    </c:plotArea>
    <c:legend>
      <c:legendPos val="r"/>
      <c:layout>
        <c:manualLayout>
          <c:xMode val="edge"/>
          <c:yMode val="edge"/>
          <c:x val="0.68932793394900127"/>
          <c:y val="1.5831861321517439E-3"/>
          <c:w val="0.25618964458621157"/>
          <c:h val="0.2263030992382093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345727391211039E-2"/>
          <c:y val="0.1557895123249454"/>
          <c:w val="0.85532173293894365"/>
          <c:h val="0.49484695531939621"/>
        </c:manualLayout>
      </c:layout>
      <c:lineChart>
        <c:grouping val="standard"/>
        <c:varyColors val="0"/>
        <c:ser>
          <c:idx val="0"/>
          <c:order val="0"/>
          <c:tx>
            <c:v>Māori to non-Māori rate ratio</c:v>
          </c:tx>
          <c:spPr>
            <a:ln w="19050" cap="rnd" cmpd="sng" algn="ctr">
              <a:noFill/>
              <a:prstDash val="solid"/>
              <a:round/>
            </a:ln>
            <a:effectLst/>
          </c:spPr>
          <c:marker>
            <c:spPr>
              <a:solidFill>
                <a:schemeClr val="accent1"/>
              </a:solidFill>
              <a:ln w="6350" cap="flat" cmpd="sng" algn="ctr">
                <a:solidFill>
                  <a:schemeClr val="accent1"/>
                </a:solidFill>
                <a:prstDash val="solid"/>
                <a:round/>
              </a:ln>
              <a:effectLst/>
            </c:spPr>
          </c:marker>
          <c:errBars>
            <c:errDir val="y"/>
            <c:errBarType val="both"/>
            <c:errValType val="cust"/>
            <c:noEndCap val="0"/>
            <c:plus>
              <c:numRef>
                <c:f>'Error bars'!$O$458:$O$477</c:f>
                <c:numCache>
                  <c:formatCode>General</c:formatCode>
                  <c:ptCount val="20"/>
                  <c:pt idx="0">
                    <c:v>0.97101872052587268</c:v>
                  </c:pt>
                  <c:pt idx="1">
                    <c:v>1.5808182725686213</c:v>
                  </c:pt>
                  <c:pt idx="2">
                    <c:v>0.93463137193442325</c:v>
                  </c:pt>
                  <c:pt idx="3">
                    <c:v>0.89777306363373777</c:v>
                  </c:pt>
                  <c:pt idx="4">
                    <c:v>0.85590612857294968</c:v>
                  </c:pt>
                  <c:pt idx="5">
                    <c:v>1.2478754559108998</c:v>
                  </c:pt>
                  <c:pt idx="6">
                    <c:v>1.360691927586914</c:v>
                  </c:pt>
                  <c:pt idx="7">
                    <c:v>1.668635464529149</c:v>
                  </c:pt>
                  <c:pt idx="8">
                    <c:v>1.3238394100009119</c:v>
                  </c:pt>
                  <c:pt idx="9">
                    <c:v>1.5136332342575889</c:v>
                  </c:pt>
                  <c:pt idx="10">
                    <c:v>0.88876353884504811</c:v>
                  </c:pt>
                  <c:pt idx="11">
                    <c:v>2.9177472946466616</c:v>
                  </c:pt>
                  <c:pt idx="12">
                    <c:v>1.2864815527351081</c:v>
                  </c:pt>
                  <c:pt idx="13">
                    <c:v>3.2064121436873783</c:v>
                  </c:pt>
                  <c:pt idx="14">
                    <c:v>1.7631624882355181</c:v>
                  </c:pt>
                  <c:pt idx="15">
                    <c:v>0.84717117764203742</c:v>
                  </c:pt>
                  <c:pt idx="16">
                    <c:v>4.2463435889356589</c:v>
                  </c:pt>
                  <c:pt idx="17">
                    <c:v>0.90586685182975391</c:v>
                  </c:pt>
                  <c:pt idx="18">
                    <c:v>4.9929713627357142</c:v>
                  </c:pt>
                  <c:pt idx="19">
                    <c:v>1.4198934147302928</c:v>
                  </c:pt>
                </c:numCache>
              </c:numRef>
            </c:plus>
            <c:minus>
              <c:numRef>
                <c:f>'Error bars'!$N$458:$N$477</c:f>
                <c:numCache>
                  <c:formatCode>General</c:formatCode>
                  <c:ptCount val="20"/>
                  <c:pt idx="0">
                    <c:v>0.7912595758368659</c:v>
                  </c:pt>
                  <c:pt idx="1">
                    <c:v>1.1225160741519997</c:v>
                  </c:pt>
                  <c:pt idx="2">
                    <c:v>0.73443453141430215</c:v>
                  </c:pt>
                  <c:pt idx="3">
                    <c:v>0.72521285156907078</c:v>
                  </c:pt>
                  <c:pt idx="4">
                    <c:v>0.70908628255198058</c:v>
                  </c:pt>
                  <c:pt idx="5">
                    <c:v>0.94724006812534389</c:v>
                  </c:pt>
                  <c:pt idx="6">
                    <c:v>0.97420211839573723</c:v>
                  </c:pt>
                  <c:pt idx="7">
                    <c:v>1.0973580760783701</c:v>
                  </c:pt>
                  <c:pt idx="8">
                    <c:v>0.9774485332847056</c:v>
                  </c:pt>
                  <c:pt idx="9">
                    <c:v>0.96627277932088984</c:v>
                  </c:pt>
                  <c:pt idx="10">
                    <c:v>0.70315410180442317</c:v>
                  </c:pt>
                  <c:pt idx="11">
                    <c:v>1.2461308433884561</c:v>
                  </c:pt>
                  <c:pt idx="12">
                    <c:v>0.93290866505318482</c:v>
                  </c:pt>
                  <c:pt idx="13">
                    <c:v>1.5020772524492121</c:v>
                  </c:pt>
                  <c:pt idx="14">
                    <c:v>1.173242678930499</c:v>
                  </c:pt>
                  <c:pt idx="15">
                    <c:v>0.71121163022576406</c:v>
                  </c:pt>
                  <c:pt idx="16">
                    <c:v>2.1711849977254873</c:v>
                  </c:pt>
                  <c:pt idx="17">
                    <c:v>0.74483939967579804</c:v>
                  </c:pt>
                  <c:pt idx="18">
                    <c:v>1.9241753139150166</c:v>
                  </c:pt>
                  <c:pt idx="19">
                    <c:v>0.91674006241988981</c:v>
                  </c:pt>
                </c:numCache>
              </c:numRef>
            </c:minus>
            <c:spPr>
              <a:solidFill>
                <a:schemeClr val="tx1"/>
              </a:solidFill>
              <a:ln w="6350" cap="flat" cmpd="sng" algn="ctr">
                <a:solidFill>
                  <a:schemeClr val="tx1"/>
                </a:solidFill>
                <a:prstDash val="solid"/>
                <a:round/>
              </a:ln>
              <a:effectLst/>
            </c:spPr>
          </c:errBars>
          <c:cat>
            <c:strRef>
              <c:f>'Error bars'!$B$458:$B$477</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bars'!$K$458:$K$477</c:f>
              <c:numCache>
                <c:formatCode>_-* #,##0.0_-;\-* #,##0.0_-;_-* "-"??_-;_-@_-</c:formatCode>
                <c:ptCount val="20"/>
                <c:pt idx="0">
                  <c:v>4.2742073693230509</c:v>
                </c:pt>
                <c:pt idx="1">
                  <c:v>3.8718861209964408</c:v>
                </c:pt>
                <c:pt idx="2">
                  <c:v>3.4287531806615776</c:v>
                </c:pt>
                <c:pt idx="3">
                  <c:v>3.7730398899587345</c:v>
                </c:pt>
                <c:pt idx="4">
                  <c:v>4.1337142857142855</c:v>
                </c:pt>
                <c:pt idx="5">
                  <c:v>3.9317980513728958</c:v>
                </c:pt>
                <c:pt idx="6">
                  <c:v>3.4298160696999034</c:v>
                </c:pt>
                <c:pt idx="7">
                  <c:v>3.205256570713392</c:v>
                </c:pt>
                <c:pt idx="8">
                  <c:v>3.7356205852674069</c:v>
                </c:pt>
                <c:pt idx="9">
                  <c:v>2.6720647773279351</c:v>
                </c:pt>
                <c:pt idx="10">
                  <c:v>3.3669501822600245</c:v>
                </c:pt>
                <c:pt idx="11">
                  <c:v>2.1750772399588052</c:v>
                </c:pt>
                <c:pt idx="12">
                  <c:v>3.3944055944055944</c:v>
                </c:pt>
                <c:pt idx="13">
                  <c:v>2.8258992805755399</c:v>
                </c:pt>
                <c:pt idx="14">
                  <c:v>3.5066079295154182</c:v>
                </c:pt>
                <c:pt idx="15">
                  <c:v>4.4315975286849074</c:v>
                </c:pt>
                <c:pt idx="16">
                  <c:v>4.4428399518652224</c:v>
                </c:pt>
                <c:pt idx="17">
                  <c:v>4.1901260504201678</c:v>
                </c:pt>
                <c:pt idx="18">
                  <c:v>3.130658436213992</c:v>
                </c:pt>
                <c:pt idx="19">
                  <c:v>2.5870307167235493</c:v>
                </c:pt>
              </c:numCache>
            </c:numRef>
          </c:val>
          <c:smooth val="0"/>
          <c:extLst>
            <c:ext xmlns:c16="http://schemas.microsoft.com/office/drawing/2014/chart" uri="{C3380CC4-5D6E-409C-BE32-E72D297353CC}">
              <c16:uniqueId val="{00000000-98A7-4433-91B9-9813D65A3085}"/>
            </c:ext>
          </c:extLst>
        </c:ser>
        <c:ser>
          <c:idx val="1"/>
          <c:order val="1"/>
          <c:tx>
            <c:v>National average</c:v>
          </c:tx>
          <c:spPr>
            <a:ln w="19050" cap="rnd" cmpd="sng" algn="ctr">
              <a:solidFill>
                <a:schemeClr val="accent6"/>
              </a:solidFill>
              <a:prstDash val="solid"/>
              <a:round/>
            </a:ln>
            <a:effectLst/>
          </c:spPr>
          <c:marker>
            <c:symbol val="none"/>
          </c:marker>
          <c:cat>
            <c:strRef>
              <c:f>'Error bars'!$B$458:$B$477</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bars'!$P$458:$P$477</c:f>
              <c:numCache>
                <c:formatCode>0.0</c:formatCode>
                <c:ptCount val="20"/>
                <c:pt idx="0">
                  <c:v>3.7279909706546279</c:v>
                </c:pt>
                <c:pt idx="1">
                  <c:v>3.7279909706546279</c:v>
                </c:pt>
                <c:pt idx="2">
                  <c:v>3.7279909706546279</c:v>
                </c:pt>
                <c:pt idx="3">
                  <c:v>3.7279909706546279</c:v>
                </c:pt>
                <c:pt idx="4">
                  <c:v>3.7279909706546279</c:v>
                </c:pt>
                <c:pt idx="5">
                  <c:v>3.7279909706546279</c:v>
                </c:pt>
                <c:pt idx="6">
                  <c:v>3.7279909706546279</c:v>
                </c:pt>
                <c:pt idx="7">
                  <c:v>3.7279909706546279</c:v>
                </c:pt>
                <c:pt idx="8">
                  <c:v>3.7279909706546279</c:v>
                </c:pt>
                <c:pt idx="9">
                  <c:v>3.7279909706546279</c:v>
                </c:pt>
                <c:pt idx="10">
                  <c:v>3.7279909706546279</c:v>
                </c:pt>
                <c:pt idx="11">
                  <c:v>3.7279909706546279</c:v>
                </c:pt>
                <c:pt idx="12">
                  <c:v>3.7279909706546279</c:v>
                </c:pt>
                <c:pt idx="13">
                  <c:v>3.7279909706546279</c:v>
                </c:pt>
                <c:pt idx="14">
                  <c:v>3.7279909706546279</c:v>
                </c:pt>
                <c:pt idx="15">
                  <c:v>3.7279909706546279</c:v>
                </c:pt>
                <c:pt idx="16">
                  <c:v>3.7279909706546279</c:v>
                </c:pt>
                <c:pt idx="17">
                  <c:v>3.7279909706546279</c:v>
                </c:pt>
                <c:pt idx="18">
                  <c:v>3.7279909706546279</c:v>
                </c:pt>
                <c:pt idx="19">
                  <c:v>3.7279909706546279</c:v>
                </c:pt>
              </c:numCache>
            </c:numRef>
          </c:val>
          <c:smooth val="0"/>
          <c:extLst>
            <c:ext xmlns:c16="http://schemas.microsoft.com/office/drawing/2014/chart" uri="{C3380CC4-5D6E-409C-BE32-E72D297353CC}">
              <c16:uniqueId val="{00000001-98A7-4433-91B9-9813D65A3085}"/>
            </c:ext>
          </c:extLst>
        </c:ser>
        <c:ser>
          <c:idx val="2"/>
          <c:order val="2"/>
          <c:tx>
            <c:strRef>
              <c:f>'Error bars'!$Q$392:$Q$393</c:f>
              <c:strCache>
                <c:ptCount val="2"/>
                <c:pt idx="0">
                  <c:v>No difference (1:1)</c:v>
                </c:pt>
              </c:strCache>
            </c:strRef>
          </c:tx>
          <c:spPr>
            <a:ln w="19050" cap="rnd" cmpd="sng" algn="ctr">
              <a:solidFill>
                <a:schemeClr val="accent4"/>
              </a:solidFill>
              <a:prstDash val="solid"/>
              <a:round/>
            </a:ln>
            <a:effectLst/>
          </c:spPr>
          <c:marker>
            <c:symbol val="none"/>
          </c:marker>
          <c:cat>
            <c:strRef>
              <c:f>'Error bars'!$B$458:$B$477</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bars'!$Q$458:$Q$477</c:f>
              <c:numCache>
                <c:formatCode>0.0</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smooth val="0"/>
          <c:extLst>
            <c:ext xmlns:c16="http://schemas.microsoft.com/office/drawing/2014/chart" uri="{C3380CC4-5D6E-409C-BE32-E72D297353CC}">
              <c16:uniqueId val="{00000002-98A7-4433-91B9-9813D65A3085}"/>
            </c:ext>
          </c:extLst>
        </c:ser>
        <c:dLbls>
          <c:showLegendKey val="0"/>
          <c:showVal val="0"/>
          <c:showCatName val="0"/>
          <c:showSerName val="0"/>
          <c:showPercent val="0"/>
          <c:showBubbleSize val="0"/>
        </c:dLbls>
        <c:marker val="1"/>
        <c:smooth val="0"/>
        <c:axId val="287977856"/>
        <c:axId val="287979776"/>
      </c:lineChart>
      <c:catAx>
        <c:axId val="287977856"/>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a:lstStyle/>
          <a:p>
            <a:pPr>
              <a:defRPr/>
            </a:pPr>
            <a:endParaRPr lang="en-US"/>
          </a:p>
        </c:txPr>
        <c:crossAx val="287979776"/>
        <c:crosses val="autoZero"/>
        <c:auto val="1"/>
        <c:lblAlgn val="ctr"/>
        <c:lblOffset val="100"/>
        <c:noMultiLvlLbl val="0"/>
      </c:catAx>
      <c:valAx>
        <c:axId val="287979776"/>
        <c:scaling>
          <c:orientation val="minMax"/>
          <c:max val="9"/>
        </c:scaling>
        <c:delete val="0"/>
        <c:axPos val="l"/>
        <c:title>
          <c:tx>
            <c:rich>
              <a:bodyPr rot="0"/>
              <a:lstStyle/>
              <a:p>
                <a:pPr>
                  <a:defRPr b="0"/>
                </a:pPr>
                <a:r>
                  <a:rPr lang="en-NZ" b="0"/>
                  <a:t>Rate ratio per 100,000 population</a:t>
                </a:r>
              </a:p>
            </c:rich>
          </c:tx>
          <c:layout>
            <c:manualLayout>
              <c:xMode val="edge"/>
              <c:yMode val="edge"/>
              <c:x val="0"/>
              <c:y val="4.7911213895465862E-2"/>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87977856"/>
        <c:crosses val="autoZero"/>
        <c:crossBetween val="between"/>
      </c:valAx>
      <c:spPr>
        <a:solidFill>
          <a:schemeClr val="bg1"/>
        </a:solidFill>
        <a:ln>
          <a:noFill/>
        </a:ln>
        <a:effectLst/>
      </c:spPr>
    </c:plotArea>
    <c:legend>
      <c:legendPos val="tr"/>
      <c:layout>
        <c:manualLayout>
          <c:xMode val="edge"/>
          <c:yMode val="edge"/>
          <c:x val="0.49912653584114597"/>
          <c:y val="1.8664659924502443E-2"/>
          <c:w val="0.38158251490444928"/>
          <c:h val="0.12818745473563656"/>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678795728377064E-2"/>
          <c:y val="0.12287994744993447"/>
          <c:w val="0.85542544249858909"/>
          <c:h val="0.4946752831419422"/>
        </c:manualLayout>
      </c:layout>
      <c:lineChart>
        <c:grouping val="standard"/>
        <c:varyColors val="0"/>
        <c:ser>
          <c:idx val="0"/>
          <c:order val="0"/>
          <c:tx>
            <c:v>Māori to non-Māori rate ratio</c:v>
          </c:tx>
          <c:spPr>
            <a:ln w="19050" cap="rnd" cmpd="sng" algn="ctr">
              <a:noFill/>
              <a:prstDash val="solid"/>
              <a:round/>
            </a:ln>
            <a:effectLst/>
          </c:spPr>
          <c:marker>
            <c:spPr>
              <a:solidFill>
                <a:schemeClr val="accent1"/>
              </a:solidFill>
              <a:ln w="6350" cap="flat" cmpd="sng" algn="ctr">
                <a:solidFill>
                  <a:schemeClr val="accent1"/>
                </a:solidFill>
                <a:prstDash val="solid"/>
                <a:round/>
              </a:ln>
              <a:effectLst/>
            </c:spPr>
          </c:marker>
          <c:errBars>
            <c:errDir val="y"/>
            <c:errBarType val="both"/>
            <c:errValType val="cust"/>
            <c:noEndCap val="0"/>
            <c:plus>
              <c:numRef>
                <c:f>'Error bars'!$O$493:$O$512</c:f>
                <c:numCache>
                  <c:formatCode>General</c:formatCode>
                  <c:ptCount val="16"/>
                  <c:pt idx="0">
                    <c:v>1.6246152627441357</c:v>
                  </c:pt>
                  <c:pt idx="1">
                    <c:v>2.1181663719276869</c:v>
                  </c:pt>
                  <c:pt idx="2">
                    <c:v>1.2428908202538715</c:v>
                  </c:pt>
                  <c:pt idx="3">
                    <c:v>2.3682639760853297</c:v>
                  </c:pt>
                  <c:pt idx="4">
                    <c:v>2.3231813885544983</c:v>
                  </c:pt>
                  <c:pt idx="5">
                    <c:v>1.7044337496104203</c:v>
                  </c:pt>
                  <c:pt idx="6">
                    <c:v>2.7042300022999575</c:v>
                  </c:pt>
                  <c:pt idx="7">
                    <c:v>2.9063977537086965</c:v>
                  </c:pt>
                  <c:pt idx="8">
                    <c:v>3.8581869721468776</c:v>
                  </c:pt>
                  <c:pt idx="9">
                    <c:v>1.7441387257898775</c:v>
                  </c:pt>
                  <c:pt idx="10">
                    <c:v>1.9191070740604772</c:v>
                  </c:pt>
                  <c:pt idx="11">
                    <c:v>4.0886539509616302</c:v>
                  </c:pt>
                  <c:pt idx="12">
                    <c:v>1.3786371840163749</c:v>
                  </c:pt>
                  <c:pt idx="13">
                    <c:v>0</c:v>
                  </c:pt>
                  <c:pt idx="14">
                    <c:v>1.513245322421735</c:v>
                  </c:pt>
                  <c:pt idx="15">
                    <c:v>4.6964447619458438</c:v>
                  </c:pt>
                </c:numCache>
              </c:numRef>
            </c:plus>
            <c:minus>
              <c:numRef>
                <c:f>'Error bars'!$N$493:$N$512</c:f>
                <c:numCache>
                  <c:formatCode>General</c:formatCode>
                  <c:ptCount val="16"/>
                  <c:pt idx="0">
                    <c:v>1.1274964869611086</c:v>
                  </c:pt>
                  <c:pt idx="1">
                    <c:v>1.2151686567032056</c:v>
                  </c:pt>
                  <c:pt idx="2">
                    <c:v>0.87261692039995475</c:v>
                  </c:pt>
                  <c:pt idx="3">
                    <c:v>1.6936250561695765</c:v>
                  </c:pt>
                  <c:pt idx="4">
                    <c:v>1.253812361671607</c:v>
                  </c:pt>
                  <c:pt idx="5">
                    <c:v>0.89289445517520272</c:v>
                  </c:pt>
                  <c:pt idx="6">
                    <c:v>1.2569668828319631</c:v>
                  </c:pt>
                  <c:pt idx="7">
                    <c:v>1.6082690623544884</c:v>
                  </c:pt>
                  <c:pt idx="8">
                    <c:v>1.544536118662396</c:v>
                  </c:pt>
                  <c:pt idx="9">
                    <c:v>1.0690581085265591</c:v>
                  </c:pt>
                  <c:pt idx="10">
                    <c:v>1.04137935781762</c:v>
                  </c:pt>
                  <c:pt idx="11">
                    <c:v>1.5962480913442816</c:v>
                  </c:pt>
                  <c:pt idx="12">
                    <c:v>1.0005831481122494</c:v>
                  </c:pt>
                  <c:pt idx="13">
                    <c:v>0</c:v>
                  </c:pt>
                  <c:pt idx="14">
                    <c:v>1.0672919158806664</c:v>
                  </c:pt>
                  <c:pt idx="15">
                    <c:v>2.2545452916308291</c:v>
                  </c:pt>
                </c:numCache>
              </c:numRef>
            </c:minus>
            <c:spPr>
              <a:solidFill>
                <a:schemeClr val="tx1"/>
              </a:solidFill>
              <a:ln w="6350" cap="flat" cmpd="sng" algn="ctr">
                <a:solidFill>
                  <a:schemeClr val="tx1"/>
                </a:solidFill>
                <a:prstDash val="solid"/>
                <a:round/>
              </a:ln>
              <a:effectLst/>
            </c:spPr>
          </c:errBars>
          <c:cat>
            <c:strRef>
              <c:f>'Error bars'!$B$493:$B$512</c:f>
              <c:strCache>
                <c:ptCount val="16"/>
                <c:pt idx="0">
                  <c:v>Auckland</c:v>
                </c:pt>
                <c:pt idx="1">
                  <c:v>Bay of Plenty</c:v>
                </c:pt>
                <c:pt idx="2">
                  <c:v>Canterbury</c:v>
                </c:pt>
                <c:pt idx="3">
                  <c:v>Capital &amp; Coast</c:v>
                </c:pt>
                <c:pt idx="4">
                  <c:v>Hawke's Bay</c:v>
                </c:pt>
                <c:pt idx="5">
                  <c:v>Hutt Valley</c:v>
                </c:pt>
                <c:pt idx="6">
                  <c:v>Lakes</c:v>
                </c:pt>
                <c:pt idx="7">
                  <c:v>MidCentral</c:v>
                </c:pt>
                <c:pt idx="8">
                  <c:v>Nelson Marlborough</c:v>
                </c:pt>
                <c:pt idx="9">
                  <c:v>Northland</c:v>
                </c:pt>
                <c:pt idx="10">
                  <c:v>Southern</c:v>
                </c:pt>
                <c:pt idx="11">
                  <c:v>Taranaki</c:v>
                </c:pt>
                <c:pt idx="12">
                  <c:v>Waikato</c:v>
                </c:pt>
                <c:pt idx="13">
                  <c:v>Wairarapa</c:v>
                </c:pt>
                <c:pt idx="14">
                  <c:v>Waitematā</c:v>
                </c:pt>
                <c:pt idx="15">
                  <c:v>Whanganui</c:v>
                </c:pt>
              </c:strCache>
            </c:strRef>
          </c:cat>
          <c:val>
            <c:numRef>
              <c:f>'Error bars'!$K$493:$K$512</c:f>
              <c:numCache>
                <c:formatCode>0.00</c:formatCode>
                <c:ptCount val="16"/>
                <c:pt idx="0">
                  <c:v>3.6847290640394088</c:v>
                </c:pt>
                <c:pt idx="1">
                  <c:v>2.8504273504273505</c:v>
                </c:pt>
                <c:pt idx="2">
                  <c:v>2.9290953545232274</c:v>
                </c:pt>
                <c:pt idx="3">
                  <c:v>5.9453302961275627</c:v>
                </c:pt>
                <c:pt idx="4">
                  <c:v>2.7238805970149254</c:v>
                </c:pt>
                <c:pt idx="5">
                  <c:v>1.8752997601918464</c:v>
                </c:pt>
                <c:pt idx="6">
                  <c:v>2.3486590038314175</c:v>
                </c:pt>
                <c:pt idx="7">
                  <c:v>3.6007751937984498</c:v>
                </c:pt>
                <c:pt idx="8">
                  <c:v>2.5756302521008401</c:v>
                </c:pt>
                <c:pt idx="9">
                  <c:v>2.7620192307692308</c:v>
                </c:pt>
                <c:pt idx="10">
                  <c:v>2.2769230769230768</c:v>
                </c:pt>
                <c:pt idx="11">
                  <c:v>2.6185567010309279</c:v>
                </c:pt>
                <c:pt idx="12">
                  <c:v>3.6487935656836461</c:v>
                </c:pt>
                <c:pt idx="13">
                  <c:v>0</c:v>
                </c:pt>
                <c:pt idx="14">
                  <c:v>3.6216216216216219</c:v>
                </c:pt>
                <c:pt idx="15">
                  <c:v>4.3361111111111112</c:v>
                </c:pt>
              </c:numCache>
            </c:numRef>
          </c:val>
          <c:smooth val="0"/>
          <c:extLst>
            <c:ext xmlns:c16="http://schemas.microsoft.com/office/drawing/2014/chart" uri="{C3380CC4-5D6E-409C-BE32-E72D297353CC}">
              <c16:uniqueId val="{00000000-6083-4A07-9E0E-906CAB5DA222}"/>
            </c:ext>
          </c:extLst>
        </c:ser>
        <c:ser>
          <c:idx val="1"/>
          <c:order val="1"/>
          <c:tx>
            <c:v>National average</c:v>
          </c:tx>
          <c:spPr>
            <a:ln w="19050" cap="rnd" cmpd="sng" algn="ctr">
              <a:solidFill>
                <a:schemeClr val="accent6"/>
              </a:solidFill>
              <a:prstDash val="solid"/>
              <a:round/>
            </a:ln>
            <a:effectLst/>
          </c:spPr>
          <c:marker>
            <c:symbol val="none"/>
          </c:marker>
          <c:cat>
            <c:strRef>
              <c:f>'Error bars'!$B$493:$B$512</c:f>
              <c:strCache>
                <c:ptCount val="16"/>
                <c:pt idx="0">
                  <c:v>Auckland</c:v>
                </c:pt>
                <c:pt idx="1">
                  <c:v>Bay of Plenty</c:v>
                </c:pt>
                <c:pt idx="2">
                  <c:v>Canterbury</c:v>
                </c:pt>
                <c:pt idx="3">
                  <c:v>Capital &amp; Coast</c:v>
                </c:pt>
                <c:pt idx="4">
                  <c:v>Hawke's Bay</c:v>
                </c:pt>
                <c:pt idx="5">
                  <c:v>Hutt Valley</c:v>
                </c:pt>
                <c:pt idx="6">
                  <c:v>Lakes</c:v>
                </c:pt>
                <c:pt idx="7">
                  <c:v>MidCentral</c:v>
                </c:pt>
                <c:pt idx="8">
                  <c:v>Nelson Marlborough</c:v>
                </c:pt>
                <c:pt idx="9">
                  <c:v>Northland</c:v>
                </c:pt>
                <c:pt idx="10">
                  <c:v>Southern</c:v>
                </c:pt>
                <c:pt idx="11">
                  <c:v>Taranaki</c:v>
                </c:pt>
                <c:pt idx="12">
                  <c:v>Waikato</c:v>
                </c:pt>
                <c:pt idx="13">
                  <c:v>Wairarapa</c:v>
                </c:pt>
                <c:pt idx="14">
                  <c:v>Waitematā</c:v>
                </c:pt>
                <c:pt idx="15">
                  <c:v>Whanganui</c:v>
                </c:pt>
              </c:strCache>
            </c:strRef>
          </c:cat>
          <c:val>
            <c:numRef>
              <c:f>'Error bars'!$P$493:$P$512</c:f>
              <c:numCache>
                <c:formatCode>0.0</c:formatCode>
                <c:ptCount val="16"/>
                <c:pt idx="0">
                  <c:v>2.7075764746063351</c:v>
                </c:pt>
                <c:pt idx="1">
                  <c:v>2.7075764746063351</c:v>
                </c:pt>
                <c:pt idx="2">
                  <c:v>2.7075764746063351</c:v>
                </c:pt>
                <c:pt idx="3">
                  <c:v>2.7075764746063351</c:v>
                </c:pt>
                <c:pt idx="4">
                  <c:v>2.7075764746063351</c:v>
                </c:pt>
                <c:pt idx="5">
                  <c:v>2.7075764746063351</c:v>
                </c:pt>
                <c:pt idx="6">
                  <c:v>2.7075764746063351</c:v>
                </c:pt>
                <c:pt idx="7">
                  <c:v>2.7075764746063351</c:v>
                </c:pt>
                <c:pt idx="8">
                  <c:v>2.7075764746063351</c:v>
                </c:pt>
                <c:pt idx="9">
                  <c:v>2.7075764746063351</c:v>
                </c:pt>
                <c:pt idx="10">
                  <c:v>2.7075764746063351</c:v>
                </c:pt>
                <c:pt idx="11">
                  <c:v>2.7075764746063351</c:v>
                </c:pt>
                <c:pt idx="12">
                  <c:v>2.7075764746063351</c:v>
                </c:pt>
                <c:pt idx="13">
                  <c:v>2.7075764746063351</c:v>
                </c:pt>
                <c:pt idx="14">
                  <c:v>2.7075764746063351</c:v>
                </c:pt>
                <c:pt idx="15">
                  <c:v>2.7075764746063351</c:v>
                </c:pt>
              </c:numCache>
            </c:numRef>
          </c:val>
          <c:smooth val="0"/>
          <c:extLst>
            <c:ext xmlns:c16="http://schemas.microsoft.com/office/drawing/2014/chart" uri="{C3380CC4-5D6E-409C-BE32-E72D297353CC}">
              <c16:uniqueId val="{00000001-6083-4A07-9E0E-906CAB5DA222}"/>
            </c:ext>
          </c:extLst>
        </c:ser>
        <c:ser>
          <c:idx val="2"/>
          <c:order val="2"/>
          <c:tx>
            <c:strRef>
              <c:f>'Error bars'!$Q$425:$Q$426</c:f>
              <c:strCache>
                <c:ptCount val="2"/>
                <c:pt idx="0">
                  <c:v>No difference (1:1)</c:v>
                </c:pt>
              </c:strCache>
            </c:strRef>
          </c:tx>
          <c:spPr>
            <a:ln w="19050" cap="rnd" cmpd="sng" algn="ctr">
              <a:solidFill>
                <a:schemeClr val="accent4"/>
              </a:solidFill>
              <a:prstDash val="solid"/>
              <a:round/>
            </a:ln>
            <a:effectLst/>
          </c:spPr>
          <c:marker>
            <c:symbol val="none"/>
          </c:marker>
          <c:cat>
            <c:strRef>
              <c:f>'Error bars'!$B$493:$B$512</c:f>
              <c:strCache>
                <c:ptCount val="16"/>
                <c:pt idx="0">
                  <c:v>Auckland</c:v>
                </c:pt>
                <c:pt idx="1">
                  <c:v>Bay of Plenty</c:v>
                </c:pt>
                <c:pt idx="2">
                  <c:v>Canterbury</c:v>
                </c:pt>
                <c:pt idx="3">
                  <c:v>Capital &amp; Coast</c:v>
                </c:pt>
                <c:pt idx="4">
                  <c:v>Hawke's Bay</c:v>
                </c:pt>
                <c:pt idx="5">
                  <c:v>Hutt Valley</c:v>
                </c:pt>
                <c:pt idx="6">
                  <c:v>Lakes</c:v>
                </c:pt>
                <c:pt idx="7">
                  <c:v>MidCentral</c:v>
                </c:pt>
                <c:pt idx="8">
                  <c:v>Nelson Marlborough</c:v>
                </c:pt>
                <c:pt idx="9">
                  <c:v>Northland</c:v>
                </c:pt>
                <c:pt idx="10">
                  <c:v>Southern</c:v>
                </c:pt>
                <c:pt idx="11">
                  <c:v>Taranaki</c:v>
                </c:pt>
                <c:pt idx="12">
                  <c:v>Waikato</c:v>
                </c:pt>
                <c:pt idx="13">
                  <c:v>Wairarapa</c:v>
                </c:pt>
                <c:pt idx="14">
                  <c:v>Waitematā</c:v>
                </c:pt>
                <c:pt idx="15">
                  <c:v>Whanganui</c:v>
                </c:pt>
              </c:strCache>
            </c:strRef>
          </c:cat>
          <c:val>
            <c:numRef>
              <c:f>'Error bars'!$Q$493:$Q$512</c:f>
              <c:numCache>
                <c:formatCode>0.0</c:formatCode>
                <c:ptCount val="1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numCache>
            </c:numRef>
          </c:val>
          <c:smooth val="0"/>
          <c:extLst>
            <c:ext xmlns:c16="http://schemas.microsoft.com/office/drawing/2014/chart" uri="{C3380CC4-5D6E-409C-BE32-E72D297353CC}">
              <c16:uniqueId val="{00000002-6083-4A07-9E0E-906CAB5DA222}"/>
            </c:ext>
          </c:extLst>
        </c:ser>
        <c:dLbls>
          <c:showLegendKey val="0"/>
          <c:showVal val="0"/>
          <c:showCatName val="0"/>
          <c:showSerName val="0"/>
          <c:showPercent val="0"/>
          <c:showBubbleSize val="0"/>
        </c:dLbls>
        <c:marker val="1"/>
        <c:smooth val="0"/>
        <c:axId val="288003584"/>
        <c:axId val="288005504"/>
      </c:lineChart>
      <c:catAx>
        <c:axId val="288003584"/>
        <c:scaling>
          <c:orientation val="minMax"/>
        </c:scaling>
        <c:delete val="0"/>
        <c:axPos val="b"/>
        <c:title>
          <c:tx>
            <c:rich>
              <a:bodyPr rot="0" vert="horz"/>
              <a:lstStyle/>
              <a:p>
                <a:pPr>
                  <a:defRPr b="0"/>
                </a:pPr>
                <a:r>
                  <a:rPr lang="en-NZ" b="0"/>
                  <a:t>DHB</a:t>
                </a:r>
              </a:p>
            </c:rich>
          </c:tx>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a:lstStyle/>
          <a:p>
            <a:pPr>
              <a:defRPr/>
            </a:pPr>
            <a:endParaRPr lang="en-US"/>
          </a:p>
        </c:txPr>
        <c:crossAx val="288005504"/>
        <c:crosses val="autoZero"/>
        <c:auto val="1"/>
        <c:lblAlgn val="ctr"/>
        <c:lblOffset val="100"/>
        <c:noMultiLvlLbl val="0"/>
      </c:catAx>
      <c:valAx>
        <c:axId val="288005504"/>
        <c:scaling>
          <c:orientation val="minMax"/>
          <c:max val="10"/>
        </c:scaling>
        <c:delete val="0"/>
        <c:axPos val="l"/>
        <c:title>
          <c:tx>
            <c:rich>
              <a:bodyPr rot="0"/>
              <a:lstStyle/>
              <a:p>
                <a:pPr algn="l">
                  <a:defRPr b="0"/>
                </a:pPr>
                <a:r>
                  <a:rPr lang="en-NZ" b="0"/>
                  <a:t>Rate ratio per 100,000 population</a:t>
                </a:r>
              </a:p>
            </c:rich>
          </c:tx>
          <c:layout>
            <c:manualLayout>
              <c:xMode val="edge"/>
              <c:yMode val="edge"/>
              <c:x val="0"/>
              <c:y val="2.9202660347068085E-3"/>
            </c:manualLayout>
          </c:layout>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88003584"/>
        <c:crosses val="autoZero"/>
        <c:crossBetween val="between"/>
      </c:valAx>
      <c:spPr>
        <a:solidFill>
          <a:schemeClr val="bg1"/>
        </a:solidFill>
        <a:ln>
          <a:noFill/>
        </a:ln>
        <a:effectLst/>
      </c:spPr>
    </c:plotArea>
    <c:legend>
      <c:legendPos val="tr"/>
      <c:layout>
        <c:manualLayout>
          <c:xMode val="edge"/>
          <c:yMode val="edge"/>
          <c:x val="0.46812805440096128"/>
          <c:y val="1.816299816742856E-2"/>
          <c:w val="0.39930908259777964"/>
          <c:h val="0.1602818482222547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298327058680248E-2"/>
          <c:y val="0.13298107781070795"/>
          <c:w val="0.84316302417313849"/>
          <c:h val="0.66515195622818868"/>
        </c:manualLayout>
      </c:layout>
      <c:barChart>
        <c:barDir val="col"/>
        <c:grouping val="clustered"/>
        <c:varyColors val="0"/>
        <c:ser>
          <c:idx val="0"/>
          <c:order val="0"/>
          <c:tx>
            <c:strRef>
              <c:f>'Māori &amp; the MHA'!$Q$758</c:f>
              <c:strCache>
                <c:ptCount val="1"/>
                <c:pt idx="0">
                  <c:v>Māori</c:v>
                </c:pt>
              </c:strCache>
            </c:strRef>
          </c:tx>
          <c:spPr>
            <a:solidFill>
              <a:schemeClr val="accent6"/>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multiLvlStrRef>
              <c:f>'Māori &amp; the MHA'!$R$756:$U$757</c:f>
              <c:multiLvlStrCache>
                <c:ptCount val="4"/>
                <c:lvl>
                  <c:pt idx="0">
                    <c:v>Males</c:v>
                  </c:pt>
                  <c:pt idx="1">
                    <c:v>Females</c:v>
                  </c:pt>
                  <c:pt idx="2">
                    <c:v>Males</c:v>
                  </c:pt>
                  <c:pt idx="3">
                    <c:v>Females</c:v>
                  </c:pt>
                </c:lvl>
                <c:lvl>
                  <c:pt idx="0">
                    <c:v>s29</c:v>
                  </c:pt>
                  <c:pt idx="2">
                    <c:v>s30</c:v>
                  </c:pt>
                </c:lvl>
              </c:multiLvlStrCache>
            </c:multiLvlStrRef>
          </c:cat>
          <c:val>
            <c:numRef>
              <c:f>'Māori &amp; the MHA'!$R$758:$U$758</c:f>
              <c:numCache>
                <c:formatCode>0.0</c:formatCode>
                <c:ptCount val="4"/>
                <c:pt idx="0">
                  <c:v>428.2</c:v>
                </c:pt>
                <c:pt idx="1">
                  <c:v>235.7</c:v>
                </c:pt>
                <c:pt idx="2">
                  <c:v>122.4</c:v>
                </c:pt>
                <c:pt idx="3">
                  <c:v>72.400000000000006</c:v>
                </c:pt>
              </c:numCache>
            </c:numRef>
          </c:val>
          <c:extLst>
            <c:ext xmlns:c16="http://schemas.microsoft.com/office/drawing/2014/chart" uri="{C3380CC4-5D6E-409C-BE32-E72D297353CC}">
              <c16:uniqueId val="{00000000-7D08-4F1B-825E-BB3566A64151}"/>
            </c:ext>
          </c:extLst>
        </c:ser>
        <c:ser>
          <c:idx val="1"/>
          <c:order val="1"/>
          <c:tx>
            <c:strRef>
              <c:f>'Māori &amp; the MHA'!$Q$759</c:f>
              <c:strCache>
                <c:ptCount val="1"/>
                <c:pt idx="0">
                  <c:v>Pacific peoples</c:v>
                </c:pt>
              </c:strCache>
            </c:strRef>
          </c:tx>
          <c:spPr>
            <a:solidFill>
              <a:schemeClr val="accent5"/>
            </a:solidFill>
            <a:ln>
              <a:noFill/>
            </a:ln>
            <a:effectLst/>
          </c:spPr>
          <c:invertIfNegative val="0"/>
          <c:dLbls>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multiLvlStrRef>
              <c:f>'Māori &amp; the MHA'!$R$756:$U$757</c:f>
              <c:multiLvlStrCache>
                <c:ptCount val="4"/>
                <c:lvl>
                  <c:pt idx="0">
                    <c:v>Males</c:v>
                  </c:pt>
                  <c:pt idx="1">
                    <c:v>Females</c:v>
                  </c:pt>
                  <c:pt idx="2">
                    <c:v>Males</c:v>
                  </c:pt>
                  <c:pt idx="3">
                    <c:v>Females</c:v>
                  </c:pt>
                </c:lvl>
                <c:lvl>
                  <c:pt idx="0">
                    <c:v>s29</c:v>
                  </c:pt>
                  <c:pt idx="2">
                    <c:v>s30</c:v>
                  </c:pt>
                </c:lvl>
              </c:multiLvlStrCache>
            </c:multiLvlStrRef>
          </c:cat>
          <c:val>
            <c:numRef>
              <c:f>'Māori &amp; the MHA'!$R$759:$U$759</c:f>
              <c:numCache>
                <c:formatCode>0.0</c:formatCode>
                <c:ptCount val="4"/>
                <c:pt idx="0">
                  <c:v>244.7</c:v>
                </c:pt>
                <c:pt idx="1">
                  <c:v>122</c:v>
                </c:pt>
                <c:pt idx="2">
                  <c:v>68.7</c:v>
                </c:pt>
                <c:pt idx="3">
                  <c:v>40.6</c:v>
                </c:pt>
              </c:numCache>
            </c:numRef>
          </c:val>
          <c:extLst>
            <c:ext xmlns:c16="http://schemas.microsoft.com/office/drawing/2014/chart" uri="{C3380CC4-5D6E-409C-BE32-E72D297353CC}">
              <c16:uniqueId val="{00000001-7D08-4F1B-825E-BB3566A64151}"/>
            </c:ext>
          </c:extLst>
        </c:ser>
        <c:ser>
          <c:idx val="2"/>
          <c:order val="2"/>
          <c:tx>
            <c:strRef>
              <c:f>'Māori &amp; the MHA'!$Q$760</c:f>
              <c:strCache>
                <c:ptCount val="1"/>
                <c:pt idx="0">
                  <c:v>Other</c:v>
                </c:pt>
              </c:strCache>
            </c:strRef>
          </c:tx>
          <c:spPr>
            <a:solidFill>
              <a:schemeClr val="accent4"/>
            </a:solidFill>
            <a:ln>
              <a:noFill/>
            </a:ln>
            <a:effectLst/>
          </c:spPr>
          <c:invertIfNegative val="0"/>
          <c:dLbls>
            <c:dLbl>
              <c:idx val="2"/>
              <c:layout>
                <c:manualLayout>
                  <c:x val="8.2989437759562129E-17"/>
                  <c:y val="5.88788154341010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0A-4728-A159-BA27A8228343}"/>
                </c:ext>
              </c:extLst>
            </c:dLbl>
            <c:dLbl>
              <c:idx val="3"/>
              <c:layout>
                <c:manualLayout>
                  <c:x val="0"/>
                  <c:y val="5.85231668210998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0A-4728-A159-BA27A8228343}"/>
                </c:ext>
              </c:extLst>
            </c:dLbl>
            <c:spPr>
              <a:noFill/>
              <a:ln>
                <a:noFill/>
              </a:ln>
              <a:effectLst/>
            </c:spPr>
            <c:txPr>
              <a:bodyPr rot="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multiLvlStrRef>
              <c:f>'Māori &amp; the MHA'!$R$756:$U$757</c:f>
              <c:multiLvlStrCache>
                <c:ptCount val="4"/>
                <c:lvl>
                  <c:pt idx="0">
                    <c:v>Males</c:v>
                  </c:pt>
                  <c:pt idx="1">
                    <c:v>Females</c:v>
                  </c:pt>
                  <c:pt idx="2">
                    <c:v>Males</c:v>
                  </c:pt>
                  <c:pt idx="3">
                    <c:v>Females</c:v>
                  </c:pt>
                </c:lvl>
                <c:lvl>
                  <c:pt idx="0">
                    <c:v>s29</c:v>
                  </c:pt>
                  <c:pt idx="2">
                    <c:v>s30</c:v>
                  </c:pt>
                </c:lvl>
              </c:multiLvlStrCache>
            </c:multiLvlStrRef>
          </c:cat>
          <c:val>
            <c:numRef>
              <c:f>'Māori &amp; the MHA'!$R$760:$U$760</c:f>
              <c:numCache>
                <c:formatCode>0.0</c:formatCode>
                <c:ptCount val="4"/>
                <c:pt idx="0">
                  <c:v>100.8</c:v>
                </c:pt>
                <c:pt idx="1">
                  <c:v>58.7</c:v>
                </c:pt>
                <c:pt idx="2">
                  <c:v>31.9</c:v>
                </c:pt>
                <c:pt idx="3">
                  <c:v>23.7</c:v>
                </c:pt>
              </c:numCache>
            </c:numRef>
          </c:val>
          <c:extLst>
            <c:ext xmlns:c16="http://schemas.microsoft.com/office/drawing/2014/chart" uri="{C3380CC4-5D6E-409C-BE32-E72D297353CC}">
              <c16:uniqueId val="{00000002-7D08-4F1B-825E-BB3566A64151}"/>
            </c:ext>
          </c:extLst>
        </c:ser>
        <c:dLbls>
          <c:dLblPos val="inEnd"/>
          <c:showLegendKey val="0"/>
          <c:showVal val="1"/>
          <c:showCatName val="0"/>
          <c:showSerName val="0"/>
          <c:showPercent val="0"/>
          <c:showBubbleSize val="0"/>
        </c:dLbls>
        <c:gapWidth val="47"/>
        <c:axId val="288047488"/>
        <c:axId val="288049024"/>
      </c:barChart>
      <c:catAx>
        <c:axId val="28804748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88049024"/>
        <c:crosses val="autoZero"/>
        <c:auto val="1"/>
        <c:lblAlgn val="ctr"/>
        <c:lblOffset val="100"/>
        <c:noMultiLvlLbl val="0"/>
      </c:catAx>
      <c:valAx>
        <c:axId val="288049024"/>
        <c:scaling>
          <c:orientation val="minMax"/>
        </c:scaling>
        <c:delete val="0"/>
        <c:axPos val="l"/>
        <c:title>
          <c:tx>
            <c:rich>
              <a:bodyPr rot="0"/>
              <a:lstStyle/>
              <a:p>
                <a:pPr algn="l">
                  <a:defRPr b="0"/>
                </a:pPr>
                <a:r>
                  <a:rPr lang="en-NZ" b="0"/>
                  <a:t>Age-standardised rate</a:t>
                </a:r>
              </a:p>
            </c:rich>
          </c:tx>
          <c:layout>
            <c:manualLayout>
              <c:xMode val="edge"/>
              <c:yMode val="edge"/>
              <c:x val="1.4518059719522524E-3"/>
              <c:y val="1.659681181277729E-3"/>
            </c:manualLayout>
          </c:layout>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en-US"/>
          </a:p>
        </c:txPr>
        <c:crossAx val="288047488"/>
        <c:crosses val="autoZero"/>
        <c:crossBetween val="between"/>
      </c:valAx>
      <c:spPr>
        <a:solidFill>
          <a:schemeClr val="bg1"/>
        </a:solidFill>
        <a:ln>
          <a:noFill/>
        </a:ln>
        <a:effectLst/>
      </c:spPr>
    </c:plotArea>
    <c:legend>
      <c:legendPos val="r"/>
      <c:layout>
        <c:manualLayout>
          <c:xMode val="edge"/>
          <c:yMode val="edge"/>
          <c:x val="0.68856680456617081"/>
          <c:y val="0.21083927744326078"/>
          <c:w val="0.19787819157729467"/>
          <c:h val="0.1970817843866171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0.2471</cdr:x>
      <cdr:y>0.12799</cdr:y>
    </cdr:from>
    <cdr:to>
      <cdr:x>0.2471</cdr:x>
      <cdr:y>0.84761</cdr:y>
    </cdr:to>
    <cdr:cxnSp macro="">
      <cdr:nvCxnSpPr>
        <cdr:cNvPr id="3" name="Straight Connector 2">
          <a:extLst xmlns:a="http://schemas.openxmlformats.org/drawingml/2006/main">
            <a:ext uri="{FF2B5EF4-FFF2-40B4-BE49-F238E27FC236}">
              <a16:creationId xmlns:a16="http://schemas.microsoft.com/office/drawing/2014/main" id="{3513DE9E-2F27-4885-9FFE-D2618CC63EF8}"/>
            </a:ext>
          </a:extLst>
        </cdr:cNvPr>
        <cdr:cNvCxnSpPr/>
      </cdr:nvCxnSpPr>
      <cdr:spPr>
        <a:xfrm xmlns:a="http://schemas.openxmlformats.org/drawingml/2006/main">
          <a:off x="1235655" y="440574"/>
          <a:ext cx="0" cy="2477193"/>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0.1875</cdr:x>
      <cdr:y>0.01449</cdr:y>
    </cdr:from>
    <cdr:to>
      <cdr:x>0.64831</cdr:x>
      <cdr:y>0.08342</cdr:y>
    </cdr:to>
    <cdr:sp macro="" textlink="">
      <cdr:nvSpPr>
        <cdr:cNvPr id="4" name="TextBox 3"/>
        <cdr:cNvSpPr txBox="1"/>
      </cdr:nvSpPr>
      <cdr:spPr>
        <a:xfrm xmlns:a="http://schemas.openxmlformats.org/drawingml/2006/main">
          <a:off x="937617" y="49875"/>
          <a:ext cx="2304346" cy="2372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Seclusion reduction</a:t>
          </a:r>
          <a:r>
            <a:rPr lang="en-NZ" sz="900" baseline="0">
              <a:latin typeface="Segoe UI" panose="020B0502040204020203" pitchFamily="34" charset="0"/>
              <a:cs typeface="Segoe UI" panose="020B0502040204020203" pitchFamily="34" charset="0"/>
            </a:rPr>
            <a:t> policy introduced</a:t>
          </a:r>
          <a:endParaRPr lang="en-NZ" sz="900">
            <a:latin typeface="Segoe UI" panose="020B0502040204020203" pitchFamily="34" charset="0"/>
            <a:cs typeface="Segoe UI" panose="020B0502040204020203" pitchFamily="34" charset="0"/>
          </a:endParaRPr>
        </a:p>
      </cdr:txBody>
    </cdr:sp>
  </cdr:relSizeAnchor>
  <cdr:relSizeAnchor xmlns:cdr="http://schemas.openxmlformats.org/drawingml/2006/chartDrawing">
    <cdr:from>
      <cdr:x>0.20779</cdr:x>
      <cdr:y>0.06279</cdr:y>
    </cdr:from>
    <cdr:to>
      <cdr:x>0.27429</cdr:x>
      <cdr:y>0.13799</cdr:y>
    </cdr:to>
    <cdr:sp macro="" textlink="">
      <cdr:nvSpPr>
        <cdr:cNvPr id="5" name="TextBox 1"/>
        <cdr:cNvSpPr txBox="1"/>
      </cdr:nvSpPr>
      <cdr:spPr>
        <a:xfrm xmlns:a="http://schemas.openxmlformats.org/drawingml/2006/main">
          <a:off x="1039091" y="216130"/>
          <a:ext cx="332509" cy="2588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NZ" sz="900">
              <a:latin typeface="Segoe UI" panose="020B0502040204020203" pitchFamily="34" charset="0"/>
              <a:cs typeface="Segoe UI" panose="020B0502040204020203" pitchFamily="34" charset="0"/>
              <a:sym typeface="Wingdings"/>
            </a:rPr>
            <a:t> </a:t>
          </a:r>
          <a:endParaRPr lang="en-NZ" sz="900">
            <a:latin typeface="Segoe UI" panose="020B0502040204020203" pitchFamily="34" charset="0"/>
            <a:cs typeface="Segoe UI" panose="020B0502040204020203"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0.2618</cdr:x>
      <cdr:y>0.14001</cdr:y>
    </cdr:from>
    <cdr:to>
      <cdr:x>0.2618</cdr:x>
      <cdr:y>0.85876</cdr:y>
    </cdr:to>
    <cdr:cxnSp macro="">
      <cdr:nvCxnSpPr>
        <cdr:cNvPr id="3" name="Straight Connector 2">
          <a:extLst xmlns:a="http://schemas.openxmlformats.org/drawingml/2006/main">
            <a:ext uri="{FF2B5EF4-FFF2-40B4-BE49-F238E27FC236}">
              <a16:creationId xmlns:a16="http://schemas.microsoft.com/office/drawing/2014/main" id="{FF07865E-FDC3-4A1B-9461-9BFFBF8BA7C4}"/>
            </a:ext>
          </a:extLst>
        </cdr:cNvPr>
        <cdr:cNvCxnSpPr/>
      </cdr:nvCxnSpPr>
      <cdr:spPr>
        <a:xfrm xmlns:a="http://schemas.openxmlformats.org/drawingml/2006/main">
          <a:off x="1326595" y="449409"/>
          <a:ext cx="0" cy="230713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0.18586</cdr:x>
      <cdr:y>0.01557</cdr:y>
    </cdr:from>
    <cdr:to>
      <cdr:x>0.65011</cdr:x>
      <cdr:y>0.09915</cdr:y>
    </cdr:to>
    <cdr:sp macro="" textlink="">
      <cdr:nvSpPr>
        <cdr:cNvPr id="4" name="TextBox 3"/>
        <cdr:cNvSpPr txBox="1"/>
      </cdr:nvSpPr>
      <cdr:spPr>
        <a:xfrm xmlns:a="http://schemas.openxmlformats.org/drawingml/2006/main">
          <a:off x="941806" y="49974"/>
          <a:ext cx="2352494" cy="2682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Seclusion reduction</a:t>
          </a:r>
          <a:r>
            <a:rPr lang="en-NZ" sz="900" baseline="0">
              <a:latin typeface="Segoe UI" panose="020B0502040204020203" pitchFamily="34" charset="0"/>
              <a:cs typeface="Segoe UI" panose="020B0502040204020203" pitchFamily="34" charset="0"/>
            </a:rPr>
            <a:t> policy introduced</a:t>
          </a:r>
          <a:endParaRPr lang="en-NZ" sz="900">
            <a:latin typeface="Segoe UI" panose="020B0502040204020203" pitchFamily="34" charset="0"/>
            <a:cs typeface="Segoe UI" panose="020B0502040204020203"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0.82214</cdr:x>
      <cdr:y>0.49573</cdr:y>
    </cdr:from>
    <cdr:to>
      <cdr:x>0.99125</cdr:x>
      <cdr:y>0.63221</cdr:y>
    </cdr:to>
    <cdr:sp macro="" textlink="">
      <cdr:nvSpPr>
        <cdr:cNvPr id="2" name="TextBox 1"/>
        <cdr:cNvSpPr txBox="1"/>
      </cdr:nvSpPr>
      <cdr:spPr>
        <a:xfrm xmlns:a="http://schemas.openxmlformats.org/drawingml/2006/main">
          <a:off x="4712093" y="1964262"/>
          <a:ext cx="969256" cy="5408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National</a:t>
          </a:r>
          <a:r>
            <a:rPr lang="en-NZ" sz="900" baseline="0">
              <a:latin typeface="Segoe UI" panose="020B0502040204020203" pitchFamily="34" charset="0"/>
              <a:cs typeface="Segoe UI" panose="020B0502040204020203" pitchFamily="34" charset="0"/>
            </a:rPr>
            <a:t> average</a:t>
          </a:r>
          <a:endParaRPr lang="en-NZ" sz="900">
            <a:latin typeface="Segoe UI" panose="020B0502040204020203" pitchFamily="34" charset="0"/>
            <a:cs typeface="Segoe UI" panose="020B0502040204020203"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0.85408</cdr:x>
      <cdr:y>0.46056</cdr:y>
    </cdr:from>
    <cdr:to>
      <cdr:x>0.988</cdr:x>
      <cdr:y>0.58023</cdr:y>
    </cdr:to>
    <cdr:sp macro="" textlink="">
      <cdr:nvSpPr>
        <cdr:cNvPr id="2" name="TextBox 1"/>
        <cdr:cNvSpPr txBox="1"/>
      </cdr:nvSpPr>
      <cdr:spPr>
        <a:xfrm xmlns:a="http://schemas.openxmlformats.org/drawingml/2006/main">
          <a:off x="4895157" y="1724041"/>
          <a:ext cx="767564" cy="447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National average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8040-01EC-4777-8687-9DF6CDDE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84</Pages>
  <Words>17122</Words>
  <Characters>97599</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Director of Mental Health and Addiction Services 2020 Regulatory Report</dc:title>
  <dc:creator>Ministry of Health</dc:creator>
  <cp:lastModifiedBy>Ministry of Health</cp:lastModifiedBy>
  <cp:revision>3</cp:revision>
  <cp:lastPrinted>2021-11-26T00:55:00Z</cp:lastPrinted>
  <dcterms:created xsi:type="dcterms:W3CDTF">2021-11-26T00:54:00Z</dcterms:created>
  <dcterms:modified xsi:type="dcterms:W3CDTF">2021-11-26T00:55:00Z</dcterms:modified>
</cp:coreProperties>
</file>