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642432" w:rsidRDefault="00094ED1" w:rsidP="00D54D50">
      <w:pPr>
        <w:pStyle w:val="Title"/>
      </w:pPr>
      <w:r w:rsidRPr="00642432">
        <w:t>Office of the Director of Mental Health Annual Report</w:t>
      </w:r>
    </w:p>
    <w:p w:rsidR="00343365" w:rsidRPr="00642432" w:rsidRDefault="00094ED1" w:rsidP="00343365">
      <w:pPr>
        <w:pStyle w:val="Year"/>
      </w:pPr>
      <w:r w:rsidRPr="00642432">
        <w:t>2013</w:t>
      </w:r>
    </w:p>
    <w:p w:rsidR="00C86248" w:rsidRPr="00642432" w:rsidRDefault="00C86248" w:rsidP="00343365">
      <w:pPr>
        <w:pStyle w:val="Subhead"/>
      </w:pPr>
    </w:p>
    <w:p w:rsidR="00142954" w:rsidRPr="00642432" w:rsidRDefault="00142954" w:rsidP="00142954">
      <w:pPr>
        <w:sectPr w:rsidR="00142954" w:rsidRPr="00642432" w:rsidSect="000F2AE2">
          <w:headerReference w:type="default" r:id="rId8"/>
          <w:footerReference w:type="default" r:id="rId9"/>
          <w:pgSz w:w="11907" w:h="16834" w:code="9"/>
          <w:pgMar w:top="3969" w:right="851" w:bottom="851" w:left="2552" w:header="851" w:footer="851" w:gutter="0"/>
          <w:cols w:space="720"/>
        </w:sectPr>
      </w:pPr>
    </w:p>
    <w:p w:rsidR="004659AD" w:rsidRPr="00642432" w:rsidRDefault="004659AD" w:rsidP="00EC4E31">
      <w:pPr>
        <w:pStyle w:val="Heading3"/>
        <w:spacing w:before="0"/>
      </w:pPr>
      <w:r w:rsidRPr="00642432">
        <w:lastRenderedPageBreak/>
        <w:t>Disclaimer</w:t>
      </w:r>
    </w:p>
    <w:p w:rsidR="004659AD" w:rsidRPr="006A1D2C" w:rsidRDefault="004659AD" w:rsidP="00EC4E31">
      <w:pPr>
        <w:rPr>
          <w:sz w:val="20"/>
        </w:rPr>
      </w:pPr>
      <w:r w:rsidRPr="006A1D2C">
        <w:rPr>
          <w:sz w:val="20"/>
        </w:rPr>
        <w:t>The purpose of this publication is to inform discussion about mental health services and outcomes in</w:t>
      </w:r>
      <w:r w:rsidR="00EC4E31" w:rsidRPr="006A1D2C">
        <w:rPr>
          <w:sz w:val="20"/>
        </w:rPr>
        <w:t xml:space="preserve"> </w:t>
      </w:r>
      <w:r w:rsidRPr="006A1D2C">
        <w:rPr>
          <w:sz w:val="20"/>
        </w:rPr>
        <w:t>New Zealand, and to assist in policy development.</w:t>
      </w:r>
    </w:p>
    <w:p w:rsidR="004659AD" w:rsidRPr="006A1D2C" w:rsidRDefault="004659AD" w:rsidP="00EC4E31">
      <w:pPr>
        <w:rPr>
          <w:sz w:val="20"/>
        </w:rPr>
      </w:pPr>
    </w:p>
    <w:p w:rsidR="004659AD" w:rsidRPr="006A1D2C" w:rsidRDefault="004659AD" w:rsidP="00EC4E31">
      <w:pPr>
        <w:rPr>
          <w:sz w:val="20"/>
        </w:rPr>
      </w:pPr>
      <w:r w:rsidRPr="006A1D2C">
        <w:rPr>
          <w:sz w:val="20"/>
        </w:rPr>
        <w:t>This</w:t>
      </w:r>
      <w:r w:rsidR="00D32DDD" w:rsidRPr="006A1D2C">
        <w:rPr>
          <w:sz w:val="20"/>
        </w:rPr>
        <w:t xml:space="preserve"> </w:t>
      </w:r>
      <w:r w:rsidRPr="006A1D2C">
        <w:rPr>
          <w:sz w:val="20"/>
        </w:rPr>
        <w:t>publication reports information provided to the Programme for the Integration of Mental Health Data (PRIMHD)(see Appendix 2) by district health boards and non-governmental organisations. It is important to note that, because PRIMHD is a dynamic collection, it was necessary to wait</w:t>
      </w:r>
      <w:r w:rsidR="00D32DDD" w:rsidRPr="006A1D2C">
        <w:rPr>
          <w:sz w:val="20"/>
        </w:rPr>
        <w:t xml:space="preserve"> </w:t>
      </w:r>
      <w:r w:rsidRPr="006A1D2C">
        <w:rPr>
          <w:sz w:val="20"/>
        </w:rPr>
        <w:t>a certain period before publishing a record of the information in it, so that it is less likely that the information will need to be amended after publication.</w:t>
      </w:r>
    </w:p>
    <w:p w:rsidR="004659AD" w:rsidRPr="006A1D2C" w:rsidRDefault="004659AD" w:rsidP="00EC4E31">
      <w:pPr>
        <w:rPr>
          <w:sz w:val="20"/>
        </w:rPr>
      </w:pPr>
    </w:p>
    <w:p w:rsidR="004659AD" w:rsidRPr="006A1D2C" w:rsidRDefault="004659AD" w:rsidP="00EC4E31">
      <w:pPr>
        <w:rPr>
          <w:sz w:val="20"/>
        </w:rPr>
      </w:pPr>
      <w:r w:rsidRPr="006A1D2C">
        <w:rPr>
          <w:sz w:val="20"/>
        </w:rPr>
        <w:t>Although every care has</w:t>
      </w:r>
      <w:r w:rsidR="00D32DDD" w:rsidRPr="006A1D2C">
        <w:rPr>
          <w:sz w:val="20"/>
        </w:rPr>
        <w:t xml:space="preserve"> </w:t>
      </w:r>
      <w:r w:rsidRPr="006A1D2C">
        <w:rPr>
          <w:sz w:val="20"/>
        </w:rPr>
        <w:t>been taken in the preparation of the information in this document, the Ministry of Health cannot accept any</w:t>
      </w:r>
      <w:r w:rsidR="00D32DDD" w:rsidRPr="006A1D2C">
        <w:rPr>
          <w:sz w:val="20"/>
        </w:rPr>
        <w:t xml:space="preserve"> </w:t>
      </w:r>
      <w:r w:rsidRPr="006A1D2C">
        <w:rPr>
          <w:sz w:val="20"/>
        </w:rPr>
        <w:t>legal liability for any</w:t>
      </w:r>
      <w:r w:rsidR="00D32DDD" w:rsidRPr="006A1D2C">
        <w:rPr>
          <w:sz w:val="20"/>
        </w:rPr>
        <w:t xml:space="preserve"> </w:t>
      </w:r>
      <w:r w:rsidRPr="006A1D2C">
        <w:rPr>
          <w:sz w:val="20"/>
        </w:rPr>
        <w:t>errors or omissions or damages resulting from reliance on the information it contains.</w:t>
      </w:r>
    </w:p>
    <w:p w:rsidR="004659AD" w:rsidRPr="00642432" w:rsidRDefault="004659AD" w:rsidP="00EC4E31"/>
    <w:p w:rsidR="004659AD" w:rsidRPr="00642432" w:rsidRDefault="004659AD" w:rsidP="004659AD">
      <w:pPr>
        <w:pStyle w:val="Heading3"/>
      </w:pPr>
      <w:r w:rsidRPr="00642432">
        <w:t>A note on the cover</w:t>
      </w:r>
    </w:p>
    <w:p w:rsidR="004659AD" w:rsidRPr="006A1D2C" w:rsidRDefault="004659AD" w:rsidP="00EC4E31">
      <w:pPr>
        <w:rPr>
          <w:sz w:val="20"/>
        </w:rPr>
      </w:pPr>
      <w:r w:rsidRPr="006A1D2C">
        <w:rPr>
          <w:sz w:val="20"/>
        </w:rPr>
        <w:t>‘Strange natural life’ by Fraidoon Aziz</w:t>
      </w:r>
    </w:p>
    <w:p w:rsidR="004659AD" w:rsidRPr="006A1D2C" w:rsidRDefault="004659AD" w:rsidP="00EC4E31">
      <w:pPr>
        <w:rPr>
          <w:sz w:val="20"/>
        </w:rPr>
      </w:pPr>
    </w:p>
    <w:p w:rsidR="004659AD" w:rsidRPr="006A1D2C" w:rsidRDefault="004659AD" w:rsidP="00EC4E31">
      <w:pPr>
        <w:rPr>
          <w:sz w:val="20"/>
        </w:rPr>
      </w:pPr>
      <w:r w:rsidRPr="006A1D2C">
        <w:rPr>
          <w:sz w:val="20"/>
        </w:rPr>
        <w:t>Fraidoon Aziz was born in Baghdad, Iraq. He moved to New Zealand in January 2001 and has</w:t>
      </w:r>
      <w:r w:rsidR="00D32DDD" w:rsidRPr="006A1D2C">
        <w:rPr>
          <w:sz w:val="20"/>
        </w:rPr>
        <w:t xml:space="preserve"> </w:t>
      </w:r>
      <w:r w:rsidRPr="006A1D2C">
        <w:rPr>
          <w:sz w:val="20"/>
        </w:rPr>
        <w:t>been a regular visitor to Vincents Art Workshop. His paintings have developed and often have a focus on previous memories of his home country or have themes of peace and harmony. He says,</w:t>
      </w:r>
      <w:r w:rsidR="00D32DDD" w:rsidRPr="006A1D2C">
        <w:rPr>
          <w:sz w:val="20"/>
        </w:rPr>
        <w:t xml:space="preserve"> </w:t>
      </w:r>
      <w:r w:rsidRPr="006A1D2C">
        <w:rPr>
          <w:sz w:val="20"/>
        </w:rPr>
        <w:t>‘I like it in New Zealand, it makes me happy. New Zealand is very nice; all green, everywhere!’</w:t>
      </w:r>
    </w:p>
    <w:p w:rsidR="004659AD" w:rsidRPr="006A1D2C" w:rsidRDefault="004659AD" w:rsidP="00EC4E31">
      <w:pPr>
        <w:rPr>
          <w:sz w:val="20"/>
        </w:rPr>
      </w:pPr>
    </w:p>
    <w:p w:rsidR="004659AD" w:rsidRPr="006A1D2C" w:rsidRDefault="004659AD" w:rsidP="00EC4E31">
      <w:pPr>
        <w:rPr>
          <w:sz w:val="20"/>
        </w:rPr>
      </w:pPr>
      <w:r w:rsidRPr="006A1D2C">
        <w:rPr>
          <w:sz w:val="20"/>
        </w:rPr>
        <w:t>The artwork is titled, ‘Strange Natural Life’. It depicts a New Zealand landscape with a river running through it, seagulls and a sunset.</w:t>
      </w:r>
    </w:p>
    <w:p w:rsidR="004659AD" w:rsidRPr="006A1D2C" w:rsidRDefault="004659AD" w:rsidP="00EC4E31">
      <w:pPr>
        <w:rPr>
          <w:sz w:val="20"/>
        </w:rPr>
      </w:pPr>
    </w:p>
    <w:p w:rsidR="004659AD" w:rsidRPr="006A1D2C" w:rsidRDefault="004659AD" w:rsidP="00EC4E31">
      <w:pPr>
        <w:rPr>
          <w:sz w:val="20"/>
        </w:rPr>
      </w:pPr>
      <w:r w:rsidRPr="006A1D2C">
        <w:rPr>
          <w:sz w:val="20"/>
        </w:rPr>
        <w:t>Vincents Art Workshop is a community art space in Wellington established in 1985. Although a number of people who</w:t>
      </w:r>
      <w:r w:rsidR="00D32DDD" w:rsidRPr="006A1D2C">
        <w:rPr>
          <w:sz w:val="20"/>
        </w:rPr>
        <w:t xml:space="preserve"> </w:t>
      </w:r>
      <w:r w:rsidRPr="006A1D2C">
        <w:rPr>
          <w:sz w:val="20"/>
        </w:rPr>
        <w:t xml:space="preserve">attend have had experience of mental health services or have a disability, all people are welcome. Vincents models the philosophy of inclusion and celebrates the development of creative potential and growth. Website: </w:t>
      </w:r>
      <w:hyperlink r:id="rId10">
        <w:r w:rsidRPr="006A1D2C">
          <w:rPr>
            <w:sz w:val="20"/>
          </w:rPr>
          <w:t>www.vincents.co.nz</w:t>
        </w:r>
      </w:hyperlink>
    </w:p>
    <w:p w:rsidR="004659AD" w:rsidRPr="00642432" w:rsidRDefault="004659AD" w:rsidP="00EC4E31"/>
    <w:p w:rsidR="00A80363" w:rsidRPr="00642432" w:rsidRDefault="00A80363" w:rsidP="00EC4E31">
      <w:pPr>
        <w:pStyle w:val="Imprint"/>
        <w:spacing w:before="720"/>
      </w:pPr>
      <w:r w:rsidRPr="00642432">
        <w:t xml:space="preserve">Citation: </w:t>
      </w:r>
      <w:r w:rsidR="00442C1C" w:rsidRPr="00642432">
        <w:t xml:space="preserve">Ministry of Health. </w:t>
      </w:r>
      <w:r w:rsidR="004659AD" w:rsidRPr="00642432">
        <w:t>2014</w:t>
      </w:r>
      <w:r w:rsidR="00442C1C" w:rsidRPr="00642432">
        <w:t xml:space="preserve">. </w:t>
      </w:r>
      <w:r w:rsidR="004659AD" w:rsidRPr="00642432">
        <w:rPr>
          <w:i/>
        </w:rPr>
        <w:t>Office of the Director of Mental Health</w:t>
      </w:r>
      <w:r w:rsidR="004659AD" w:rsidRPr="00642432">
        <w:rPr>
          <w:i/>
        </w:rPr>
        <w:br/>
        <w:t>Annual Report 2013</w:t>
      </w:r>
      <w:r w:rsidR="00442C1C" w:rsidRPr="00642432">
        <w:t>. Wellington: Ministry of Health.</w:t>
      </w:r>
    </w:p>
    <w:p w:rsidR="00C86248" w:rsidRPr="00642432" w:rsidRDefault="00C86248">
      <w:pPr>
        <w:pStyle w:val="Imprint"/>
      </w:pPr>
      <w:r w:rsidRPr="00642432">
        <w:t xml:space="preserve">Published in </w:t>
      </w:r>
      <w:r w:rsidR="00587041">
        <w:t>December</w:t>
      </w:r>
      <w:r w:rsidR="004659AD" w:rsidRPr="00642432">
        <w:t xml:space="preserve"> 2014</w:t>
      </w:r>
      <w:r w:rsidR="005019AE" w:rsidRPr="00642432">
        <w:br/>
      </w:r>
      <w:r w:rsidRPr="00642432">
        <w:t>by the</w:t>
      </w:r>
      <w:r w:rsidR="00442C1C" w:rsidRPr="00642432">
        <w:t xml:space="preserve"> </w:t>
      </w:r>
      <w:r w:rsidRPr="00642432">
        <w:t>Ministry of Health</w:t>
      </w:r>
      <w:r w:rsidRPr="00642432">
        <w:br/>
        <w:t>PO Box 5013, Wellington</w:t>
      </w:r>
      <w:r w:rsidR="00A80363" w:rsidRPr="00642432">
        <w:t xml:space="preserve"> 6145</w:t>
      </w:r>
      <w:r w:rsidRPr="00642432">
        <w:t>, New Zealand</w:t>
      </w:r>
    </w:p>
    <w:p w:rsidR="00082CD6" w:rsidRPr="00642432" w:rsidRDefault="00D863D0" w:rsidP="00082CD6">
      <w:pPr>
        <w:pStyle w:val="Imprint"/>
      </w:pPr>
      <w:r w:rsidRPr="00642432">
        <w:t>ISBN</w:t>
      </w:r>
      <w:r w:rsidR="00442C1C" w:rsidRPr="00642432">
        <w:t xml:space="preserve"> </w:t>
      </w:r>
      <w:r w:rsidR="004659AD" w:rsidRPr="00642432">
        <w:t>978-0-478-44448-3 (print)</w:t>
      </w:r>
      <w:r w:rsidR="004659AD" w:rsidRPr="00642432">
        <w:br/>
        <w:t>ISBN 978-0-478-44449-0 (</w:t>
      </w:r>
      <w:r w:rsidR="00442C1C" w:rsidRPr="00642432">
        <w:t>online</w:t>
      </w:r>
      <w:r w:rsidRPr="00642432">
        <w:t>)</w:t>
      </w:r>
      <w:r w:rsidR="00082CD6" w:rsidRPr="00642432">
        <w:br/>
        <w:t xml:space="preserve">HP </w:t>
      </w:r>
      <w:r w:rsidR="004659AD" w:rsidRPr="00642432">
        <w:t>6074</w:t>
      </w:r>
    </w:p>
    <w:p w:rsidR="00C86248" w:rsidRPr="00642432" w:rsidRDefault="00C86248">
      <w:pPr>
        <w:pStyle w:val="Imprint"/>
      </w:pPr>
      <w:r w:rsidRPr="00642432">
        <w:t xml:space="preserve">This document is available </w:t>
      </w:r>
      <w:r w:rsidR="0071741C" w:rsidRPr="00642432">
        <w:t>at w</w:t>
      </w:r>
      <w:r w:rsidRPr="00642432">
        <w:t>ww.h</w:t>
      </w:r>
      <w:r w:rsidR="00A80363" w:rsidRPr="00642432">
        <w:t>ealth</w:t>
      </w:r>
      <w:r w:rsidRPr="00642432">
        <w:t>.govt.nz</w:t>
      </w:r>
      <w:bookmarkStart w:id="0" w:name="_GoBack"/>
      <w:bookmarkEnd w:id="0"/>
    </w:p>
    <w:p w:rsidR="00C86248" w:rsidRPr="00642432" w:rsidRDefault="008C64C4">
      <w:pPr>
        <w:jc w:val="center"/>
      </w:pPr>
      <w:r w:rsidRPr="00642432">
        <w:rPr>
          <w:noProof/>
          <w:lang w:eastAsia="en-NZ"/>
        </w:rPr>
        <w:drawing>
          <wp:inline distT="0" distB="0" distL="0" distR="0" wp14:anchorId="246B2236" wp14:editId="3D0C44DD">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6A1D2C" w:rsidRPr="00D535D0" w:rsidRDefault="006A1D2C" w:rsidP="006A1D2C">
      <w:pPr>
        <w:pStyle w:val="Heading3"/>
        <w:shd w:val="clear" w:color="auto" w:fill="FFFFFF"/>
        <w:ind w:right="-851"/>
        <w:rPr>
          <w:b w:val="0"/>
          <w:sz w:val="22"/>
          <w:szCs w:val="22"/>
        </w:rPr>
      </w:pPr>
      <w:r>
        <w:rPr>
          <w:rStyle w:val="A4"/>
          <w:b w:val="0"/>
          <w:noProof/>
          <w:sz w:val="22"/>
          <w:szCs w:val="22"/>
          <w:lang w:eastAsia="en-NZ"/>
        </w:rPr>
        <w:drawing>
          <wp:inline distT="0" distB="0" distL="0" distR="0">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rsidR="00C86248" w:rsidRPr="00642432" w:rsidRDefault="00C86248">
      <w:pPr>
        <w:jc w:val="center"/>
        <w:sectPr w:rsidR="00C86248" w:rsidRPr="00642432" w:rsidSect="00EC4E31">
          <w:footerReference w:type="even" r:id="rId13"/>
          <w:footerReference w:type="default" r:id="rId14"/>
          <w:pgSz w:w="11907" w:h="16834" w:code="9"/>
          <w:pgMar w:top="1134" w:right="1134" w:bottom="1134" w:left="1985" w:header="0" w:footer="0" w:gutter="0"/>
          <w:cols w:space="720"/>
        </w:sectPr>
      </w:pPr>
    </w:p>
    <w:p w:rsidR="00DE3B20" w:rsidRPr="00642432" w:rsidRDefault="005F08D6" w:rsidP="0021763B">
      <w:pPr>
        <w:pStyle w:val="Heading1"/>
      </w:pPr>
      <w:bookmarkStart w:id="1" w:name="_Toc405113647"/>
      <w:bookmarkStart w:id="2" w:name="_Toc405792991"/>
      <w:bookmarkStart w:id="3" w:name="_Toc405793224"/>
      <w:r>
        <w:rPr>
          <w:noProof/>
          <w:lang w:eastAsia="en-NZ"/>
        </w:rPr>
        <w:lastRenderedPageBreak/>
        <w:drawing>
          <wp:anchor distT="0" distB="0" distL="114300" distR="0" simplePos="0" relativeHeight="251978752" behindDoc="0" locked="0" layoutInCell="1" allowOverlap="1">
            <wp:simplePos x="0" y="0"/>
            <wp:positionH relativeFrom="column">
              <wp:posOffset>4368800</wp:posOffset>
            </wp:positionH>
            <wp:positionV relativeFrom="paragraph">
              <wp:posOffset>-66675</wp:posOffset>
            </wp:positionV>
            <wp:extent cx="1630680" cy="2195830"/>
            <wp:effectExtent l="0" t="0" r="7620" b="0"/>
            <wp:wrapSquare wrapText="left"/>
            <wp:docPr id="5531" name="Picture 5531" descr="Photo of Director of Mental Health John Crawshaw" title="John Craws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63068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B20" w:rsidRPr="00642432">
        <w:t>Foreword</w:t>
      </w:r>
      <w:bookmarkEnd w:id="1"/>
    </w:p>
    <w:p w:rsidR="004659AD" w:rsidRPr="00642432" w:rsidRDefault="004659AD" w:rsidP="00EC4E31">
      <w:r w:rsidRPr="00642432">
        <w:t>Tēnā koutou.</w:t>
      </w:r>
    </w:p>
    <w:p w:rsidR="004659AD" w:rsidRPr="00642432" w:rsidRDefault="004659AD" w:rsidP="0082421B">
      <w:pPr>
        <w:spacing w:before="200"/>
      </w:pPr>
      <w:r w:rsidRPr="00642432">
        <w:t>Nau mai ki tēnei te tuaiwa o ngā Rīpoata ā Tau a te Āpiha Kaitohu Tari Hauora Hinengaro mō te Manatū Hauora. Kei tēnei tūnga te mana whakaruruhau kia tika ai te tiaki i te hunga e whai nei i te oranga hinengaro. Ia tau ka pānuitia tēnei ripoata kia mārama ai te kaitiakitanga me te takohanga o te apiha nei ki te katoa.</w:t>
      </w:r>
    </w:p>
    <w:p w:rsidR="004659AD" w:rsidRPr="00642432" w:rsidRDefault="004659AD" w:rsidP="0082421B">
      <w:pPr>
        <w:spacing w:before="200"/>
      </w:pPr>
      <w:r w:rsidRPr="00642432">
        <w:t>Welcome to the ninth Annual Report of the Office of the Director of Mental Health. The main purpose of the report is to present a range of information and statistics that serve as barometers of quality</w:t>
      </w:r>
      <w:r w:rsidR="00EC4E31">
        <w:t xml:space="preserve"> </w:t>
      </w:r>
      <w:r w:rsidRPr="00642432">
        <w:t>for our</w:t>
      </w:r>
      <w:r w:rsidR="00D32DDD" w:rsidRPr="00642432">
        <w:t xml:space="preserve"> </w:t>
      </w:r>
      <w:r w:rsidRPr="00642432">
        <w:t>mental health services. Active monitoring of services is vital to ensuring New Zealanders are receiving quality mental health care.</w:t>
      </w:r>
    </w:p>
    <w:p w:rsidR="004659AD" w:rsidRPr="00642432" w:rsidRDefault="004659AD" w:rsidP="0082421B">
      <w:pPr>
        <w:spacing w:before="200"/>
      </w:pPr>
      <w:r w:rsidRPr="00642432">
        <w:t>In this year’s report there is a focus on people; those who</w:t>
      </w:r>
      <w:r w:rsidR="00D32DDD" w:rsidRPr="00642432">
        <w:t xml:space="preserve"> </w:t>
      </w:r>
      <w:r w:rsidRPr="00642432">
        <w:t>seek</w:t>
      </w:r>
      <w:r w:rsidR="00D32DDD" w:rsidRPr="00642432">
        <w:t xml:space="preserve"> </w:t>
      </w:r>
      <w:r w:rsidRPr="00642432">
        <w:t>mental health assistance, and the dedicated individuals who</w:t>
      </w:r>
      <w:r w:rsidR="00D32DDD" w:rsidRPr="00642432">
        <w:t xml:space="preserve"> </w:t>
      </w:r>
      <w:r w:rsidRPr="00642432">
        <w:t>provide it. Ultimately, it is ‘the people’ who</w:t>
      </w:r>
      <w:r w:rsidR="00D32DDD" w:rsidRPr="00642432">
        <w:t xml:space="preserve"> </w:t>
      </w:r>
      <w:r w:rsidRPr="00642432">
        <w:t>make the sector, and who</w:t>
      </w:r>
      <w:r w:rsidR="00D32DDD" w:rsidRPr="00642432">
        <w:t xml:space="preserve"> </w:t>
      </w:r>
      <w:r w:rsidRPr="00642432">
        <w:t>the sector is there to serve. This</w:t>
      </w:r>
      <w:r w:rsidR="00D32DDD" w:rsidRPr="00642432">
        <w:t xml:space="preserve"> </w:t>
      </w:r>
      <w:r w:rsidRPr="00642432">
        <w:t>focus is emphasised by the new</w:t>
      </w:r>
      <w:r w:rsidR="00D32DDD" w:rsidRPr="00642432">
        <w:t xml:space="preserve"> </w:t>
      </w:r>
      <w:r w:rsidRPr="00642432">
        <w:t>addition of ‘voices’ through the report, profiling individuals from different vantage points in mental health.</w:t>
      </w:r>
    </w:p>
    <w:p w:rsidR="004659AD" w:rsidRPr="00642432" w:rsidRDefault="004659AD" w:rsidP="0082421B">
      <w:pPr>
        <w:spacing w:before="200"/>
      </w:pPr>
      <w:r w:rsidRPr="00642432">
        <w:t>Consistent with the focus on people, the word ‘patients’ in this report has</w:t>
      </w:r>
      <w:r w:rsidR="00D32DDD" w:rsidRPr="00642432">
        <w:t xml:space="preserve"> </w:t>
      </w:r>
      <w:r w:rsidRPr="00642432">
        <w:t>been replaced with the</w:t>
      </w:r>
      <w:r w:rsidR="00EC4E31">
        <w:t xml:space="preserve"> </w:t>
      </w:r>
      <w:r w:rsidRPr="00642432">
        <w:t>more inclusive term ‘people’. Promotion of mental health is about changing attitudes, and part of this process is about changing the language that is used to speak about people who</w:t>
      </w:r>
      <w:r w:rsidR="00D32DDD" w:rsidRPr="00642432">
        <w:t xml:space="preserve"> </w:t>
      </w:r>
      <w:r w:rsidRPr="00642432">
        <w:t>experience mental health issues.</w:t>
      </w:r>
    </w:p>
    <w:p w:rsidR="004659AD" w:rsidRPr="00642432" w:rsidRDefault="004659AD" w:rsidP="0082421B">
      <w:pPr>
        <w:spacing w:before="200"/>
      </w:pPr>
      <w:r w:rsidRPr="00642432">
        <w:t>Another new</w:t>
      </w:r>
      <w:r w:rsidR="00D32DDD" w:rsidRPr="00642432">
        <w:t xml:space="preserve"> </w:t>
      </w:r>
      <w:r w:rsidRPr="00642432">
        <w:t>feature of the report is the inclusion of statistics on Māori and the use of section 29 of the Mental Health Act (Compulsory Assessment and Treatment) Act 1992 (the Mental Health Act). It is my hope that the publication of this information will further emphasise the need for the sector to engage in meaningful action to address the disparity of mental health outcomes for Māori in New Zealand.</w:t>
      </w:r>
    </w:p>
    <w:p w:rsidR="004659AD" w:rsidRPr="00642432" w:rsidRDefault="004659AD" w:rsidP="0082421B">
      <w:pPr>
        <w:spacing w:before="200"/>
      </w:pPr>
      <w:r w:rsidRPr="00642432">
        <w:t>While</w:t>
      </w:r>
      <w:r w:rsidR="00D32DDD" w:rsidRPr="00642432">
        <w:t xml:space="preserve"> </w:t>
      </w:r>
      <w:r w:rsidRPr="00642432">
        <w:t>the sector currently faces some significant challenges (for example, addressing the high rates of Māori under the Mental Health Act), this report also presents some important success stories. For example, in 2013 waiting times decreased, approximately 80 percent of people surveyed were</w:t>
      </w:r>
      <w:r w:rsidR="00D32DDD" w:rsidRPr="00642432">
        <w:t xml:space="preserve"> </w:t>
      </w:r>
      <w:r w:rsidRPr="00642432">
        <w:t>satisfied with the treatment they received, and 91 percent of long-term service users had a relapse prevention plan. In addition, in 2013 the use of seclusion in inpatient units continued to decline – providing evidence that district health boards are changing their cultures and practices in regard to assisting individuals in acute distress.</w:t>
      </w:r>
    </w:p>
    <w:p w:rsidR="004659AD" w:rsidRPr="00642432" w:rsidRDefault="004659AD" w:rsidP="0082421B">
      <w:pPr>
        <w:spacing w:before="200"/>
      </w:pPr>
      <w:r w:rsidRPr="00642432">
        <w:t>Since taking up the position of Director of Mental Health in November 2011, I have been consistently impressed by the dedication and spirit that people in the mental health sector bring to their work. I see my role as an opportunity to provide leadership that supports this commitment and builds on the good</w:t>
      </w:r>
      <w:r w:rsidR="00D32DDD" w:rsidRPr="00642432">
        <w:t xml:space="preserve"> </w:t>
      </w:r>
      <w:r w:rsidRPr="00642432">
        <w:t>work</w:t>
      </w:r>
      <w:r w:rsidR="00D32DDD" w:rsidRPr="00642432">
        <w:t xml:space="preserve"> </w:t>
      </w:r>
      <w:r w:rsidRPr="00642432">
        <w:t>that has</w:t>
      </w:r>
      <w:r w:rsidR="00D32DDD" w:rsidRPr="00642432">
        <w:t xml:space="preserve"> </w:t>
      </w:r>
      <w:r w:rsidRPr="00642432">
        <w:t>already been done.</w:t>
      </w:r>
    </w:p>
    <w:p w:rsidR="004659AD" w:rsidRPr="00642432" w:rsidRDefault="004659AD" w:rsidP="0082421B">
      <w:pPr>
        <w:spacing w:before="200"/>
      </w:pPr>
      <w:r w:rsidRPr="00642432">
        <w:t>Looking to the future, our</w:t>
      </w:r>
      <w:r w:rsidR="00D32DDD" w:rsidRPr="00642432">
        <w:t xml:space="preserve"> </w:t>
      </w:r>
      <w:r w:rsidRPr="00642432">
        <w:t>Office will continue to review and improve the processes and guidance related to the administration of the Mental Health Act, always with the aim</w:t>
      </w:r>
      <w:r w:rsidR="00D32DDD" w:rsidRPr="00642432">
        <w:t xml:space="preserve"> </w:t>
      </w:r>
      <w:r w:rsidRPr="00642432">
        <w:t>of making a meaningful contribution to the mental health conversation in New Zealand.</w:t>
      </w:r>
    </w:p>
    <w:p w:rsidR="004659AD" w:rsidRPr="00642432" w:rsidRDefault="004659AD" w:rsidP="0082421B">
      <w:pPr>
        <w:spacing w:before="200"/>
      </w:pPr>
      <w:r w:rsidRPr="00642432">
        <w:t>Noho ora mai,</w:t>
      </w:r>
    </w:p>
    <w:p w:rsidR="00DE3B20" w:rsidRPr="00642432" w:rsidRDefault="004659AD" w:rsidP="00EC4E31">
      <w:r w:rsidRPr="00642432">
        <w:t>Dr John Crawshaw Director of Mental Health Chief Advisor, Mental Health</w:t>
      </w:r>
    </w:p>
    <w:p w:rsidR="00DE3B20" w:rsidRPr="00642432" w:rsidRDefault="00DE3B20" w:rsidP="00EC4E31">
      <w:r w:rsidRPr="00642432">
        <w:br w:type="page"/>
      </w:r>
    </w:p>
    <w:p w:rsidR="00EC4E31" w:rsidRDefault="00EC4E31" w:rsidP="00EC4E31">
      <w:pPr>
        <w:spacing w:after="4000"/>
      </w:pPr>
    </w:p>
    <w:p w:rsidR="004659AD" w:rsidRPr="00EC4E31" w:rsidRDefault="004659AD" w:rsidP="00EC4E31">
      <w:pPr>
        <w:jc w:val="center"/>
        <w:rPr>
          <w:sz w:val="36"/>
          <w:szCs w:val="36"/>
        </w:rPr>
      </w:pPr>
      <w:r w:rsidRPr="00EC4E31">
        <w:rPr>
          <w:sz w:val="36"/>
          <w:szCs w:val="36"/>
        </w:rPr>
        <w:t>E hara taku toa i te toa taki tahi, engari he toa taki tini.</w:t>
      </w:r>
    </w:p>
    <w:p w:rsidR="004659AD" w:rsidRPr="00EC4E31" w:rsidRDefault="004659AD" w:rsidP="00EC4E31">
      <w:pPr>
        <w:spacing w:before="360"/>
        <w:jc w:val="center"/>
        <w:rPr>
          <w:sz w:val="36"/>
          <w:szCs w:val="36"/>
        </w:rPr>
      </w:pPr>
      <w:r w:rsidRPr="00EC4E31">
        <w:rPr>
          <w:sz w:val="36"/>
          <w:szCs w:val="36"/>
        </w:rPr>
        <w:t>Our greatest hope for the health of wh</w:t>
      </w:r>
      <w:r w:rsidR="00EC4E31">
        <w:rPr>
          <w:sz w:val="36"/>
          <w:szCs w:val="36"/>
        </w:rPr>
        <w:t>ā</w:t>
      </w:r>
      <w:r w:rsidRPr="00EC4E31">
        <w:rPr>
          <w:sz w:val="36"/>
          <w:szCs w:val="36"/>
        </w:rPr>
        <w:t>nau lies in our</w:t>
      </w:r>
      <w:r w:rsidR="00D32DDD" w:rsidRPr="00EC4E31">
        <w:rPr>
          <w:sz w:val="36"/>
          <w:szCs w:val="36"/>
        </w:rPr>
        <w:t xml:space="preserve"> </w:t>
      </w:r>
      <w:r w:rsidRPr="00EC4E31">
        <w:rPr>
          <w:sz w:val="36"/>
          <w:szCs w:val="36"/>
        </w:rPr>
        <w:t>collective strength.</w:t>
      </w:r>
    </w:p>
    <w:p w:rsidR="004659AD" w:rsidRPr="00EC4E31" w:rsidRDefault="004659AD" w:rsidP="00EC4E31">
      <w:pPr>
        <w:spacing w:before="1200"/>
        <w:jc w:val="center"/>
        <w:rPr>
          <w:sz w:val="36"/>
          <w:szCs w:val="36"/>
        </w:rPr>
      </w:pPr>
      <w:r w:rsidRPr="00EC4E31">
        <w:rPr>
          <w:sz w:val="36"/>
          <w:szCs w:val="36"/>
        </w:rPr>
        <w:t>‘There is no health without mental health.’</w:t>
      </w:r>
    </w:p>
    <w:p w:rsidR="00DE3B20" w:rsidRPr="00760BD3" w:rsidRDefault="004659AD" w:rsidP="00EC4E31">
      <w:pPr>
        <w:spacing w:before="360"/>
        <w:jc w:val="center"/>
        <w:rPr>
          <w:sz w:val="24"/>
          <w:szCs w:val="36"/>
        </w:rPr>
      </w:pPr>
      <w:r w:rsidRPr="00760BD3">
        <w:rPr>
          <w:sz w:val="24"/>
          <w:szCs w:val="36"/>
        </w:rPr>
        <w:t>World</w:t>
      </w:r>
      <w:r w:rsidR="00D32DDD" w:rsidRPr="00760BD3">
        <w:rPr>
          <w:sz w:val="24"/>
          <w:szCs w:val="36"/>
        </w:rPr>
        <w:t xml:space="preserve"> </w:t>
      </w:r>
      <w:r w:rsidRPr="00760BD3">
        <w:rPr>
          <w:sz w:val="24"/>
          <w:szCs w:val="36"/>
        </w:rPr>
        <w:t>Health Organization</w:t>
      </w:r>
    </w:p>
    <w:p w:rsidR="00760BD3" w:rsidRDefault="00760BD3" w:rsidP="00760BD3"/>
    <w:p w:rsidR="00DE3B20" w:rsidRPr="00642432" w:rsidRDefault="00DE3B20" w:rsidP="00DE3B20">
      <w:r w:rsidRPr="00642432">
        <w:br w:type="page"/>
      </w:r>
    </w:p>
    <w:p w:rsidR="00C86248" w:rsidRPr="00642432" w:rsidRDefault="00C86248">
      <w:pPr>
        <w:pStyle w:val="IntroHead"/>
      </w:pPr>
      <w:r w:rsidRPr="00642432">
        <w:lastRenderedPageBreak/>
        <w:t>Contents</w:t>
      </w:r>
      <w:bookmarkEnd w:id="2"/>
      <w:bookmarkEnd w:id="3"/>
    </w:p>
    <w:p w:rsidR="004F0A52" w:rsidRDefault="00C86248">
      <w:pPr>
        <w:pStyle w:val="TOC1"/>
        <w:rPr>
          <w:rFonts w:asciiTheme="minorHAnsi" w:eastAsiaTheme="minorEastAsia" w:hAnsiTheme="minorHAnsi" w:cstheme="minorBidi"/>
          <w:b w:val="0"/>
          <w:noProof/>
          <w:szCs w:val="22"/>
          <w:lang w:eastAsia="en-NZ"/>
        </w:rPr>
      </w:pPr>
      <w:r w:rsidRPr="00642432">
        <w:rPr>
          <w:b w:val="0"/>
        </w:rPr>
        <w:fldChar w:fldCharType="begin"/>
      </w:r>
      <w:r w:rsidRPr="00642432">
        <w:instrText xml:space="preserve"> TOC \o "1-2" </w:instrText>
      </w:r>
      <w:r w:rsidRPr="00642432">
        <w:rPr>
          <w:b w:val="0"/>
        </w:rPr>
        <w:fldChar w:fldCharType="separate"/>
      </w:r>
      <w:r w:rsidR="004F0A52">
        <w:rPr>
          <w:noProof/>
        </w:rPr>
        <w:t>Foreword</w:t>
      </w:r>
      <w:r w:rsidR="004F0A52">
        <w:rPr>
          <w:noProof/>
        </w:rPr>
        <w:tab/>
      </w:r>
      <w:r w:rsidR="004F0A52">
        <w:rPr>
          <w:noProof/>
        </w:rPr>
        <w:fldChar w:fldCharType="begin"/>
      </w:r>
      <w:r w:rsidR="004F0A52">
        <w:rPr>
          <w:noProof/>
        </w:rPr>
        <w:instrText xml:space="preserve"> PAGEREF _Toc405113647 \h </w:instrText>
      </w:r>
      <w:r w:rsidR="004F0A52">
        <w:rPr>
          <w:noProof/>
        </w:rPr>
      </w:r>
      <w:r w:rsidR="004F0A52">
        <w:rPr>
          <w:noProof/>
        </w:rPr>
        <w:fldChar w:fldCharType="separate"/>
      </w:r>
      <w:r w:rsidR="0047500E">
        <w:rPr>
          <w:noProof/>
        </w:rPr>
        <w:t>iii</w:t>
      </w:r>
      <w:r w:rsidR="004F0A52">
        <w:rPr>
          <w:noProof/>
        </w:rPr>
        <w:fldChar w:fldCharType="end"/>
      </w:r>
    </w:p>
    <w:p w:rsidR="004F0A52" w:rsidRDefault="004F0A52">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_Toc405113648 \h </w:instrText>
      </w:r>
      <w:r>
        <w:rPr>
          <w:noProof/>
        </w:rPr>
      </w:r>
      <w:r>
        <w:rPr>
          <w:noProof/>
        </w:rPr>
        <w:fldChar w:fldCharType="separate"/>
      </w:r>
      <w:r w:rsidR="0047500E">
        <w:rPr>
          <w:noProof/>
        </w:rPr>
        <w:t>ix</w:t>
      </w:r>
      <w:r>
        <w:rPr>
          <w:noProof/>
        </w:rPr>
        <w:fldChar w:fldCharType="end"/>
      </w:r>
    </w:p>
    <w:p w:rsidR="004F0A52" w:rsidRDefault="004F0A52">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_Toc405113649 \h </w:instrText>
      </w:r>
      <w:r>
        <w:rPr>
          <w:noProof/>
        </w:rPr>
      </w:r>
      <w:r>
        <w:rPr>
          <w:noProof/>
        </w:rPr>
        <w:fldChar w:fldCharType="separate"/>
      </w:r>
      <w:r w:rsidR="0047500E">
        <w:rPr>
          <w:noProof/>
        </w:rPr>
        <w:t>1</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Objectives</w:t>
      </w:r>
      <w:r>
        <w:rPr>
          <w:noProof/>
        </w:rPr>
        <w:tab/>
      </w:r>
      <w:r>
        <w:rPr>
          <w:noProof/>
        </w:rPr>
        <w:fldChar w:fldCharType="begin"/>
      </w:r>
      <w:r>
        <w:rPr>
          <w:noProof/>
        </w:rPr>
        <w:instrText xml:space="preserve"> PAGEREF _Toc405113650 \h </w:instrText>
      </w:r>
      <w:r>
        <w:rPr>
          <w:noProof/>
        </w:rPr>
      </w:r>
      <w:r>
        <w:rPr>
          <w:noProof/>
        </w:rPr>
        <w:fldChar w:fldCharType="separate"/>
      </w:r>
      <w:r w:rsidR="0047500E">
        <w:rPr>
          <w:noProof/>
        </w:rPr>
        <w:t>1</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Structure</w:t>
      </w:r>
      <w:r>
        <w:rPr>
          <w:noProof/>
        </w:rPr>
        <w:tab/>
      </w:r>
      <w:r>
        <w:rPr>
          <w:noProof/>
        </w:rPr>
        <w:fldChar w:fldCharType="begin"/>
      </w:r>
      <w:r>
        <w:rPr>
          <w:noProof/>
        </w:rPr>
        <w:instrText xml:space="preserve"> PAGEREF _Toc405113651 \h </w:instrText>
      </w:r>
      <w:r>
        <w:rPr>
          <w:noProof/>
        </w:rPr>
      </w:r>
      <w:r>
        <w:rPr>
          <w:noProof/>
        </w:rPr>
        <w:fldChar w:fldCharType="separate"/>
      </w:r>
      <w:r w:rsidR="0047500E">
        <w:rPr>
          <w:noProof/>
        </w:rPr>
        <w:t>1</w:t>
      </w:r>
      <w:r>
        <w:rPr>
          <w:noProof/>
        </w:rPr>
        <w:fldChar w:fldCharType="end"/>
      </w:r>
    </w:p>
    <w:p w:rsidR="004F0A52" w:rsidRDefault="004F0A52">
      <w:pPr>
        <w:pStyle w:val="TOC1"/>
        <w:rPr>
          <w:rFonts w:asciiTheme="minorHAnsi" w:eastAsiaTheme="minorEastAsia" w:hAnsiTheme="minorHAnsi" w:cstheme="minorBidi"/>
          <w:b w:val="0"/>
          <w:noProof/>
          <w:szCs w:val="22"/>
          <w:lang w:eastAsia="en-NZ"/>
        </w:rPr>
      </w:pPr>
      <w:r>
        <w:rPr>
          <w:noProof/>
        </w:rPr>
        <w:t>Context</w:t>
      </w:r>
      <w:r>
        <w:rPr>
          <w:noProof/>
        </w:rPr>
        <w:tab/>
      </w:r>
      <w:r>
        <w:rPr>
          <w:noProof/>
        </w:rPr>
        <w:fldChar w:fldCharType="begin"/>
      </w:r>
      <w:r>
        <w:rPr>
          <w:noProof/>
        </w:rPr>
        <w:instrText xml:space="preserve"> PAGEREF _Toc405113652 \h </w:instrText>
      </w:r>
      <w:r>
        <w:rPr>
          <w:noProof/>
        </w:rPr>
      </w:r>
      <w:r>
        <w:rPr>
          <w:noProof/>
        </w:rPr>
        <w:fldChar w:fldCharType="separate"/>
      </w:r>
      <w:r w:rsidR="0047500E">
        <w:rPr>
          <w:noProof/>
        </w:rPr>
        <w:t>2</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The Ministry of Health</w:t>
      </w:r>
      <w:r>
        <w:rPr>
          <w:noProof/>
        </w:rPr>
        <w:tab/>
      </w:r>
      <w:r>
        <w:rPr>
          <w:noProof/>
        </w:rPr>
        <w:fldChar w:fldCharType="begin"/>
      </w:r>
      <w:r>
        <w:rPr>
          <w:noProof/>
        </w:rPr>
        <w:instrText xml:space="preserve"> PAGEREF _Toc405113653 \h </w:instrText>
      </w:r>
      <w:r>
        <w:rPr>
          <w:noProof/>
        </w:rPr>
      </w:r>
      <w:r>
        <w:rPr>
          <w:noProof/>
        </w:rPr>
        <w:fldChar w:fldCharType="separate"/>
      </w:r>
      <w:r w:rsidR="0047500E">
        <w:rPr>
          <w:noProof/>
        </w:rPr>
        <w:t>2</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Rising to the challenge</w:t>
      </w:r>
      <w:r>
        <w:rPr>
          <w:noProof/>
        </w:rPr>
        <w:tab/>
      </w:r>
      <w:r>
        <w:rPr>
          <w:noProof/>
        </w:rPr>
        <w:fldChar w:fldCharType="begin"/>
      </w:r>
      <w:r>
        <w:rPr>
          <w:noProof/>
        </w:rPr>
        <w:instrText xml:space="preserve"> PAGEREF _Toc405113654 \h </w:instrText>
      </w:r>
      <w:r>
        <w:rPr>
          <w:noProof/>
        </w:rPr>
      </w:r>
      <w:r>
        <w:rPr>
          <w:noProof/>
        </w:rPr>
        <w:fldChar w:fldCharType="separate"/>
      </w:r>
      <w:r w:rsidR="0047500E">
        <w:rPr>
          <w:noProof/>
        </w:rPr>
        <w:t>3</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From ‘patients’ to people</w:t>
      </w:r>
      <w:r>
        <w:rPr>
          <w:noProof/>
        </w:rPr>
        <w:tab/>
      </w:r>
      <w:r>
        <w:rPr>
          <w:noProof/>
        </w:rPr>
        <w:fldChar w:fldCharType="begin"/>
      </w:r>
      <w:r>
        <w:rPr>
          <w:noProof/>
        </w:rPr>
        <w:instrText xml:space="preserve"> PAGEREF _Toc405113655 \h </w:instrText>
      </w:r>
      <w:r>
        <w:rPr>
          <w:noProof/>
        </w:rPr>
      </w:r>
      <w:r>
        <w:rPr>
          <w:noProof/>
        </w:rPr>
        <w:fldChar w:fldCharType="separate"/>
      </w:r>
      <w:r w:rsidR="0047500E">
        <w:rPr>
          <w:noProof/>
        </w:rPr>
        <w:t>3</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Specialist mental health services</w:t>
      </w:r>
      <w:r>
        <w:rPr>
          <w:noProof/>
        </w:rPr>
        <w:tab/>
      </w:r>
      <w:r>
        <w:rPr>
          <w:noProof/>
        </w:rPr>
        <w:fldChar w:fldCharType="begin"/>
      </w:r>
      <w:r>
        <w:rPr>
          <w:noProof/>
        </w:rPr>
        <w:instrText xml:space="preserve"> PAGEREF _Toc405113656 \h </w:instrText>
      </w:r>
      <w:r>
        <w:rPr>
          <w:noProof/>
        </w:rPr>
      </w:r>
      <w:r>
        <w:rPr>
          <w:noProof/>
        </w:rPr>
        <w:fldChar w:fldCharType="separate"/>
      </w:r>
      <w:r w:rsidR="0047500E">
        <w:rPr>
          <w:noProof/>
        </w:rPr>
        <w:t>5</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The Mental Health (Compulsory Assessment and Treatment) Act 1992</w:t>
      </w:r>
      <w:r>
        <w:rPr>
          <w:noProof/>
        </w:rPr>
        <w:tab/>
      </w:r>
      <w:r>
        <w:rPr>
          <w:noProof/>
        </w:rPr>
        <w:fldChar w:fldCharType="begin"/>
      </w:r>
      <w:r>
        <w:rPr>
          <w:noProof/>
        </w:rPr>
        <w:instrText xml:space="preserve"> PAGEREF _Toc405113657 \h </w:instrText>
      </w:r>
      <w:r>
        <w:rPr>
          <w:noProof/>
        </w:rPr>
      </w:r>
      <w:r>
        <w:rPr>
          <w:noProof/>
        </w:rPr>
        <w:fldChar w:fldCharType="separate"/>
      </w:r>
      <w:r w:rsidR="0047500E">
        <w:rPr>
          <w:noProof/>
        </w:rPr>
        <w:t>7</w:t>
      </w:r>
      <w:r>
        <w:rPr>
          <w:noProof/>
        </w:rPr>
        <w:fldChar w:fldCharType="end"/>
      </w:r>
    </w:p>
    <w:p w:rsidR="004F0A52" w:rsidRDefault="004F0A52">
      <w:pPr>
        <w:pStyle w:val="TOC1"/>
        <w:rPr>
          <w:rFonts w:asciiTheme="minorHAnsi" w:eastAsiaTheme="minorEastAsia" w:hAnsiTheme="minorHAnsi" w:cstheme="minorBidi"/>
          <w:b w:val="0"/>
          <w:noProof/>
          <w:szCs w:val="22"/>
          <w:lang w:eastAsia="en-NZ"/>
        </w:rPr>
      </w:pPr>
      <w:r>
        <w:rPr>
          <w:noProof/>
        </w:rPr>
        <w:t>Activities for 2013</w:t>
      </w:r>
      <w:r>
        <w:rPr>
          <w:noProof/>
        </w:rPr>
        <w:tab/>
      </w:r>
      <w:r>
        <w:rPr>
          <w:noProof/>
        </w:rPr>
        <w:fldChar w:fldCharType="begin"/>
      </w:r>
      <w:r>
        <w:rPr>
          <w:noProof/>
        </w:rPr>
        <w:instrText xml:space="preserve"> PAGEREF _Toc405113658 \h </w:instrText>
      </w:r>
      <w:r>
        <w:rPr>
          <w:noProof/>
        </w:rPr>
      </w:r>
      <w:r>
        <w:rPr>
          <w:noProof/>
        </w:rPr>
        <w:fldChar w:fldCharType="separate"/>
      </w:r>
      <w:r w:rsidR="0047500E">
        <w:rPr>
          <w:noProof/>
        </w:rPr>
        <w:t>10</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Mental health sector relationships</w:t>
      </w:r>
      <w:r>
        <w:rPr>
          <w:noProof/>
        </w:rPr>
        <w:tab/>
      </w:r>
      <w:r>
        <w:rPr>
          <w:noProof/>
        </w:rPr>
        <w:fldChar w:fldCharType="begin"/>
      </w:r>
      <w:r>
        <w:rPr>
          <w:noProof/>
        </w:rPr>
        <w:instrText xml:space="preserve"> PAGEREF _Toc405113659 \h </w:instrText>
      </w:r>
      <w:r>
        <w:rPr>
          <w:noProof/>
        </w:rPr>
      </w:r>
      <w:r>
        <w:rPr>
          <w:noProof/>
        </w:rPr>
        <w:fldChar w:fldCharType="separate"/>
      </w:r>
      <w:r w:rsidR="0047500E">
        <w:rPr>
          <w:noProof/>
        </w:rPr>
        <w:t>10</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Cross-government relationships</w:t>
      </w:r>
      <w:r>
        <w:rPr>
          <w:noProof/>
        </w:rPr>
        <w:tab/>
      </w:r>
      <w:r>
        <w:rPr>
          <w:noProof/>
        </w:rPr>
        <w:fldChar w:fldCharType="begin"/>
      </w:r>
      <w:r>
        <w:rPr>
          <w:noProof/>
        </w:rPr>
        <w:instrText xml:space="preserve"> PAGEREF _Toc405113660 \h </w:instrText>
      </w:r>
      <w:r>
        <w:rPr>
          <w:noProof/>
        </w:rPr>
      </w:r>
      <w:r>
        <w:rPr>
          <w:noProof/>
        </w:rPr>
        <w:fldChar w:fldCharType="separate"/>
      </w:r>
      <w:r w:rsidR="0047500E">
        <w:rPr>
          <w:noProof/>
        </w:rPr>
        <w:t>10</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District inspectors</w:t>
      </w:r>
      <w:r>
        <w:rPr>
          <w:noProof/>
        </w:rPr>
        <w:tab/>
      </w:r>
      <w:r>
        <w:rPr>
          <w:noProof/>
        </w:rPr>
        <w:fldChar w:fldCharType="begin"/>
      </w:r>
      <w:r>
        <w:rPr>
          <w:noProof/>
        </w:rPr>
        <w:instrText xml:space="preserve"> PAGEREF _Toc405113661 \h </w:instrText>
      </w:r>
      <w:r>
        <w:rPr>
          <w:noProof/>
        </w:rPr>
      </w:r>
      <w:r>
        <w:rPr>
          <w:noProof/>
        </w:rPr>
        <w:fldChar w:fldCharType="separate"/>
      </w:r>
      <w:r w:rsidR="0047500E">
        <w:rPr>
          <w:noProof/>
        </w:rPr>
        <w:t>11</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Special patients and restricted patients</w:t>
      </w:r>
      <w:r>
        <w:rPr>
          <w:noProof/>
        </w:rPr>
        <w:tab/>
      </w:r>
      <w:r>
        <w:rPr>
          <w:noProof/>
        </w:rPr>
        <w:fldChar w:fldCharType="begin"/>
      </w:r>
      <w:r>
        <w:rPr>
          <w:noProof/>
        </w:rPr>
        <w:instrText xml:space="preserve"> PAGEREF _Toc405113662 \h </w:instrText>
      </w:r>
      <w:r>
        <w:rPr>
          <w:noProof/>
        </w:rPr>
      </w:r>
      <w:r>
        <w:rPr>
          <w:noProof/>
        </w:rPr>
        <w:fldChar w:fldCharType="separate"/>
      </w:r>
      <w:r w:rsidR="0047500E">
        <w:rPr>
          <w:noProof/>
        </w:rPr>
        <w:t>13</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The Mental Health Review Tribunal</w:t>
      </w:r>
      <w:r>
        <w:rPr>
          <w:noProof/>
        </w:rPr>
        <w:tab/>
      </w:r>
      <w:r>
        <w:rPr>
          <w:noProof/>
        </w:rPr>
        <w:fldChar w:fldCharType="begin"/>
      </w:r>
      <w:r>
        <w:rPr>
          <w:noProof/>
        </w:rPr>
        <w:instrText xml:space="preserve"> PAGEREF _Toc405113663 \h </w:instrText>
      </w:r>
      <w:r>
        <w:rPr>
          <w:noProof/>
        </w:rPr>
      </w:r>
      <w:r>
        <w:rPr>
          <w:noProof/>
        </w:rPr>
        <w:fldChar w:fldCharType="separate"/>
      </w:r>
      <w:r w:rsidR="0047500E">
        <w:rPr>
          <w:noProof/>
        </w:rPr>
        <w:t>15</w:t>
      </w:r>
      <w:r>
        <w:rPr>
          <w:noProof/>
        </w:rPr>
        <w:fldChar w:fldCharType="end"/>
      </w:r>
    </w:p>
    <w:p w:rsidR="004F0A52" w:rsidRDefault="004F0A52">
      <w:pPr>
        <w:pStyle w:val="TOC1"/>
        <w:rPr>
          <w:rFonts w:asciiTheme="minorHAnsi" w:eastAsiaTheme="minorEastAsia" w:hAnsiTheme="minorHAnsi" w:cstheme="minorBidi"/>
          <w:b w:val="0"/>
          <w:noProof/>
          <w:szCs w:val="22"/>
          <w:lang w:eastAsia="en-NZ"/>
        </w:rPr>
      </w:pPr>
      <w:r>
        <w:rPr>
          <w:noProof/>
        </w:rPr>
        <w:t>Ensuring service quality</w:t>
      </w:r>
      <w:r>
        <w:rPr>
          <w:noProof/>
        </w:rPr>
        <w:tab/>
      </w:r>
      <w:r>
        <w:rPr>
          <w:noProof/>
        </w:rPr>
        <w:fldChar w:fldCharType="begin"/>
      </w:r>
      <w:r>
        <w:rPr>
          <w:noProof/>
        </w:rPr>
        <w:instrText xml:space="preserve"> PAGEREF _Toc405113664 \h </w:instrText>
      </w:r>
      <w:r>
        <w:rPr>
          <w:noProof/>
        </w:rPr>
      </w:r>
      <w:r>
        <w:rPr>
          <w:noProof/>
        </w:rPr>
        <w:fldChar w:fldCharType="separate"/>
      </w:r>
      <w:r w:rsidR="0047500E">
        <w:rPr>
          <w:noProof/>
        </w:rPr>
        <w:t>17</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Consumer satisfaction surveys</w:t>
      </w:r>
      <w:r>
        <w:rPr>
          <w:noProof/>
        </w:rPr>
        <w:tab/>
      </w:r>
      <w:r>
        <w:rPr>
          <w:noProof/>
        </w:rPr>
        <w:fldChar w:fldCharType="begin"/>
      </w:r>
      <w:r>
        <w:rPr>
          <w:noProof/>
        </w:rPr>
        <w:instrText xml:space="preserve"> PAGEREF _Toc405113665 \h </w:instrText>
      </w:r>
      <w:r>
        <w:rPr>
          <w:noProof/>
        </w:rPr>
      </w:r>
      <w:r>
        <w:rPr>
          <w:noProof/>
        </w:rPr>
        <w:fldChar w:fldCharType="separate"/>
      </w:r>
      <w:r w:rsidR="0047500E">
        <w:rPr>
          <w:noProof/>
        </w:rPr>
        <w:t>17</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Waiting times</w:t>
      </w:r>
      <w:r>
        <w:rPr>
          <w:noProof/>
        </w:rPr>
        <w:tab/>
      </w:r>
      <w:r>
        <w:rPr>
          <w:noProof/>
        </w:rPr>
        <w:fldChar w:fldCharType="begin"/>
      </w:r>
      <w:r>
        <w:rPr>
          <w:noProof/>
        </w:rPr>
        <w:instrText xml:space="preserve"> PAGEREF _Toc405113666 \h </w:instrText>
      </w:r>
      <w:r>
        <w:rPr>
          <w:noProof/>
        </w:rPr>
      </w:r>
      <w:r>
        <w:rPr>
          <w:noProof/>
        </w:rPr>
        <w:fldChar w:fldCharType="separate"/>
      </w:r>
      <w:r w:rsidR="0047500E">
        <w:rPr>
          <w:noProof/>
        </w:rPr>
        <w:t>18</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Relapse prevention plans</w:t>
      </w:r>
      <w:r>
        <w:rPr>
          <w:noProof/>
        </w:rPr>
        <w:tab/>
      </w:r>
      <w:r>
        <w:rPr>
          <w:noProof/>
        </w:rPr>
        <w:fldChar w:fldCharType="begin"/>
      </w:r>
      <w:r>
        <w:rPr>
          <w:noProof/>
        </w:rPr>
        <w:instrText xml:space="preserve"> PAGEREF _Toc405113667 \h </w:instrText>
      </w:r>
      <w:r>
        <w:rPr>
          <w:noProof/>
        </w:rPr>
      </w:r>
      <w:r>
        <w:rPr>
          <w:noProof/>
        </w:rPr>
        <w:fldChar w:fldCharType="separate"/>
      </w:r>
      <w:r w:rsidR="0047500E">
        <w:rPr>
          <w:noProof/>
        </w:rPr>
        <w:t>19</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Use of the Mental Health Act</w:t>
      </w:r>
      <w:r>
        <w:rPr>
          <w:noProof/>
        </w:rPr>
        <w:tab/>
      </w:r>
      <w:r>
        <w:rPr>
          <w:noProof/>
        </w:rPr>
        <w:fldChar w:fldCharType="begin"/>
      </w:r>
      <w:r>
        <w:rPr>
          <w:noProof/>
        </w:rPr>
        <w:instrText xml:space="preserve"> PAGEREF _Toc405113668 \h </w:instrText>
      </w:r>
      <w:r>
        <w:rPr>
          <w:noProof/>
        </w:rPr>
      </w:r>
      <w:r>
        <w:rPr>
          <w:noProof/>
        </w:rPr>
        <w:fldChar w:fldCharType="separate"/>
      </w:r>
      <w:r w:rsidR="0047500E">
        <w:rPr>
          <w:noProof/>
        </w:rPr>
        <w:t>21</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Māori and section 29 of the Mental Health Act</w:t>
      </w:r>
      <w:r>
        <w:rPr>
          <w:noProof/>
        </w:rPr>
        <w:tab/>
      </w:r>
      <w:r>
        <w:rPr>
          <w:noProof/>
        </w:rPr>
        <w:fldChar w:fldCharType="begin"/>
      </w:r>
      <w:r>
        <w:rPr>
          <w:noProof/>
        </w:rPr>
        <w:instrText xml:space="preserve"> PAGEREF _Toc405113669 \h </w:instrText>
      </w:r>
      <w:r>
        <w:rPr>
          <w:noProof/>
        </w:rPr>
      </w:r>
      <w:r>
        <w:rPr>
          <w:noProof/>
        </w:rPr>
        <w:fldChar w:fldCharType="separate"/>
      </w:r>
      <w:r w:rsidR="0047500E">
        <w:rPr>
          <w:noProof/>
        </w:rPr>
        <w:t>28</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Seclusion</w:t>
      </w:r>
      <w:r>
        <w:rPr>
          <w:noProof/>
        </w:rPr>
        <w:tab/>
      </w:r>
      <w:r>
        <w:rPr>
          <w:noProof/>
        </w:rPr>
        <w:fldChar w:fldCharType="begin"/>
      </w:r>
      <w:r>
        <w:rPr>
          <w:noProof/>
        </w:rPr>
        <w:instrText xml:space="preserve"> PAGEREF _Toc405113670 \h </w:instrText>
      </w:r>
      <w:r>
        <w:rPr>
          <w:noProof/>
        </w:rPr>
      </w:r>
      <w:r>
        <w:rPr>
          <w:noProof/>
        </w:rPr>
        <w:fldChar w:fldCharType="separate"/>
      </w:r>
      <w:r w:rsidR="0047500E">
        <w:rPr>
          <w:noProof/>
        </w:rPr>
        <w:t>31</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Electroconvulsive therapy</w:t>
      </w:r>
      <w:r>
        <w:rPr>
          <w:noProof/>
        </w:rPr>
        <w:tab/>
      </w:r>
      <w:r>
        <w:rPr>
          <w:noProof/>
        </w:rPr>
        <w:fldChar w:fldCharType="begin"/>
      </w:r>
      <w:r>
        <w:rPr>
          <w:noProof/>
        </w:rPr>
        <w:instrText xml:space="preserve"> PAGEREF _Toc405113671 \h </w:instrText>
      </w:r>
      <w:r>
        <w:rPr>
          <w:noProof/>
        </w:rPr>
      </w:r>
      <w:r>
        <w:rPr>
          <w:noProof/>
        </w:rPr>
        <w:fldChar w:fldCharType="separate"/>
      </w:r>
      <w:r w:rsidR="0047500E">
        <w:rPr>
          <w:noProof/>
        </w:rPr>
        <w:t>40</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Serious adverse events</w:t>
      </w:r>
      <w:r>
        <w:rPr>
          <w:noProof/>
        </w:rPr>
        <w:tab/>
      </w:r>
      <w:r>
        <w:rPr>
          <w:noProof/>
        </w:rPr>
        <w:fldChar w:fldCharType="begin"/>
      </w:r>
      <w:r>
        <w:rPr>
          <w:noProof/>
        </w:rPr>
        <w:instrText xml:space="preserve"> PAGEREF _Toc405113672 \h </w:instrText>
      </w:r>
      <w:r>
        <w:rPr>
          <w:noProof/>
        </w:rPr>
      </w:r>
      <w:r>
        <w:rPr>
          <w:noProof/>
        </w:rPr>
        <w:fldChar w:fldCharType="separate"/>
      </w:r>
      <w:r w:rsidR="0047500E">
        <w:rPr>
          <w:noProof/>
        </w:rPr>
        <w:t>46</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Death by suicide or suspected suicide</w:t>
      </w:r>
      <w:r>
        <w:rPr>
          <w:noProof/>
        </w:rPr>
        <w:tab/>
      </w:r>
      <w:r>
        <w:rPr>
          <w:noProof/>
        </w:rPr>
        <w:fldChar w:fldCharType="begin"/>
      </w:r>
      <w:r>
        <w:rPr>
          <w:noProof/>
        </w:rPr>
        <w:instrText xml:space="preserve"> PAGEREF _Toc405113673 \h </w:instrText>
      </w:r>
      <w:r>
        <w:rPr>
          <w:noProof/>
        </w:rPr>
      </w:r>
      <w:r>
        <w:rPr>
          <w:noProof/>
        </w:rPr>
        <w:fldChar w:fldCharType="separate"/>
      </w:r>
      <w:r w:rsidR="0047500E">
        <w:rPr>
          <w:noProof/>
        </w:rPr>
        <w:t>50</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The Alcoholism and Drug Addiction Act</w:t>
      </w:r>
      <w:r>
        <w:rPr>
          <w:noProof/>
        </w:rPr>
        <w:tab/>
      </w:r>
      <w:r>
        <w:rPr>
          <w:noProof/>
        </w:rPr>
        <w:fldChar w:fldCharType="begin"/>
      </w:r>
      <w:r>
        <w:rPr>
          <w:noProof/>
        </w:rPr>
        <w:instrText xml:space="preserve"> PAGEREF _Toc405113674 \h </w:instrText>
      </w:r>
      <w:r>
        <w:rPr>
          <w:noProof/>
        </w:rPr>
      </w:r>
      <w:r>
        <w:rPr>
          <w:noProof/>
        </w:rPr>
        <w:fldChar w:fldCharType="separate"/>
      </w:r>
      <w:r w:rsidR="0047500E">
        <w:rPr>
          <w:noProof/>
        </w:rPr>
        <w:t>55</w:t>
      </w:r>
      <w:r>
        <w:rPr>
          <w:noProof/>
        </w:rPr>
        <w:fldChar w:fldCharType="end"/>
      </w:r>
    </w:p>
    <w:p w:rsidR="004F0A52" w:rsidRDefault="004F0A52">
      <w:pPr>
        <w:pStyle w:val="TOC2"/>
        <w:rPr>
          <w:rFonts w:asciiTheme="minorHAnsi" w:eastAsiaTheme="minorEastAsia" w:hAnsiTheme="minorHAnsi" w:cstheme="minorBidi"/>
          <w:noProof/>
          <w:szCs w:val="22"/>
          <w:lang w:eastAsia="en-NZ"/>
        </w:rPr>
      </w:pPr>
      <w:r>
        <w:rPr>
          <w:noProof/>
        </w:rPr>
        <w:t>Opioid substitution treatment</w:t>
      </w:r>
      <w:r>
        <w:rPr>
          <w:noProof/>
        </w:rPr>
        <w:tab/>
      </w:r>
      <w:r>
        <w:rPr>
          <w:noProof/>
        </w:rPr>
        <w:fldChar w:fldCharType="begin"/>
      </w:r>
      <w:r>
        <w:rPr>
          <w:noProof/>
        </w:rPr>
        <w:instrText xml:space="preserve"> PAGEREF _Toc405113675 \h </w:instrText>
      </w:r>
      <w:r>
        <w:rPr>
          <w:noProof/>
        </w:rPr>
      </w:r>
      <w:r>
        <w:rPr>
          <w:noProof/>
        </w:rPr>
        <w:fldChar w:fldCharType="separate"/>
      </w:r>
      <w:r w:rsidR="0047500E">
        <w:rPr>
          <w:noProof/>
        </w:rPr>
        <w:t>57</w:t>
      </w:r>
      <w:r>
        <w:rPr>
          <w:noProof/>
        </w:rPr>
        <w:fldChar w:fldCharType="end"/>
      </w:r>
    </w:p>
    <w:p w:rsidR="004F0A52" w:rsidRDefault="004F0A52">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_Toc405113676 \h </w:instrText>
      </w:r>
      <w:r>
        <w:rPr>
          <w:noProof/>
        </w:rPr>
      </w:r>
      <w:r>
        <w:rPr>
          <w:noProof/>
        </w:rPr>
        <w:fldChar w:fldCharType="separate"/>
      </w:r>
      <w:r w:rsidR="0047500E">
        <w:rPr>
          <w:noProof/>
        </w:rPr>
        <w:t>64</w:t>
      </w:r>
      <w:r>
        <w:rPr>
          <w:noProof/>
        </w:rPr>
        <w:fldChar w:fldCharType="end"/>
      </w:r>
    </w:p>
    <w:p w:rsidR="004F0A52" w:rsidRDefault="004F0A52">
      <w:pPr>
        <w:pStyle w:val="TOC1"/>
        <w:rPr>
          <w:noProof/>
        </w:rPr>
      </w:pPr>
      <w:r>
        <w:rPr>
          <w:noProof/>
        </w:rPr>
        <w:t>Appendices</w:t>
      </w:r>
    </w:p>
    <w:p w:rsidR="004F0A52" w:rsidRDefault="004F0A52" w:rsidP="004F0A52">
      <w:pPr>
        <w:pStyle w:val="TOC2"/>
        <w:rPr>
          <w:rFonts w:asciiTheme="minorHAnsi" w:eastAsiaTheme="minorEastAsia" w:hAnsiTheme="minorHAnsi" w:cstheme="minorBidi"/>
          <w:b/>
          <w:noProof/>
          <w:szCs w:val="22"/>
          <w:lang w:eastAsia="en-NZ"/>
        </w:rPr>
      </w:pPr>
      <w:r>
        <w:rPr>
          <w:noProof/>
        </w:rPr>
        <w:t>Appendix 1: Additional statistics</w:t>
      </w:r>
      <w:r>
        <w:rPr>
          <w:noProof/>
        </w:rPr>
        <w:tab/>
      </w:r>
      <w:r>
        <w:rPr>
          <w:noProof/>
        </w:rPr>
        <w:fldChar w:fldCharType="begin"/>
      </w:r>
      <w:r>
        <w:rPr>
          <w:noProof/>
        </w:rPr>
        <w:instrText xml:space="preserve"> PAGEREF _Toc405113677 \h </w:instrText>
      </w:r>
      <w:r>
        <w:rPr>
          <w:noProof/>
        </w:rPr>
      </w:r>
      <w:r>
        <w:rPr>
          <w:noProof/>
        </w:rPr>
        <w:fldChar w:fldCharType="separate"/>
      </w:r>
      <w:r w:rsidR="0047500E">
        <w:rPr>
          <w:noProof/>
        </w:rPr>
        <w:t>66</w:t>
      </w:r>
      <w:r>
        <w:rPr>
          <w:noProof/>
        </w:rPr>
        <w:fldChar w:fldCharType="end"/>
      </w:r>
    </w:p>
    <w:p w:rsidR="004F0A52" w:rsidRDefault="004F0A52" w:rsidP="004F0A52">
      <w:pPr>
        <w:pStyle w:val="TOC2"/>
        <w:rPr>
          <w:rFonts w:asciiTheme="minorHAnsi" w:eastAsiaTheme="minorEastAsia" w:hAnsiTheme="minorHAnsi" w:cstheme="minorBidi"/>
          <w:b/>
          <w:noProof/>
          <w:szCs w:val="22"/>
          <w:lang w:eastAsia="en-NZ"/>
        </w:rPr>
      </w:pPr>
      <w:r>
        <w:rPr>
          <w:noProof/>
        </w:rPr>
        <w:t>Appendix 2: Caveats relating to PRIMHD</w:t>
      </w:r>
      <w:r>
        <w:rPr>
          <w:noProof/>
        </w:rPr>
        <w:tab/>
      </w:r>
      <w:r>
        <w:rPr>
          <w:noProof/>
        </w:rPr>
        <w:fldChar w:fldCharType="begin"/>
      </w:r>
      <w:r>
        <w:rPr>
          <w:noProof/>
        </w:rPr>
        <w:instrText xml:space="preserve"> PAGEREF _Toc405113680 \h </w:instrText>
      </w:r>
      <w:r>
        <w:rPr>
          <w:noProof/>
        </w:rPr>
      </w:r>
      <w:r>
        <w:rPr>
          <w:noProof/>
        </w:rPr>
        <w:fldChar w:fldCharType="separate"/>
      </w:r>
      <w:r w:rsidR="0047500E">
        <w:rPr>
          <w:noProof/>
        </w:rPr>
        <w:t>70</w:t>
      </w:r>
      <w:r>
        <w:rPr>
          <w:noProof/>
        </w:rPr>
        <w:fldChar w:fldCharType="end"/>
      </w:r>
    </w:p>
    <w:p w:rsidR="00C86248" w:rsidRPr="00642432" w:rsidRDefault="00C86248">
      <w:r w:rsidRPr="00642432">
        <w:rPr>
          <w:b/>
        </w:rPr>
        <w:fldChar w:fldCharType="end"/>
      </w:r>
    </w:p>
    <w:p w:rsidR="00C86248" w:rsidRPr="00642432" w:rsidRDefault="00C86248" w:rsidP="003B1D10">
      <w:pPr>
        <w:pStyle w:val="TOC1"/>
        <w:keepNext/>
      </w:pPr>
      <w:r w:rsidRPr="00642432">
        <w:t>List of Tables</w:t>
      </w:r>
    </w:p>
    <w:p w:rsidR="004F0A52" w:rsidRDefault="00C86248">
      <w:pPr>
        <w:pStyle w:val="TOC3"/>
        <w:rPr>
          <w:rFonts w:asciiTheme="minorHAnsi" w:eastAsiaTheme="minorEastAsia" w:hAnsiTheme="minorHAnsi" w:cstheme="minorBidi"/>
          <w:noProof/>
          <w:szCs w:val="22"/>
          <w:lang w:eastAsia="en-NZ"/>
        </w:rPr>
      </w:pPr>
      <w:r w:rsidRPr="00642432">
        <w:rPr>
          <w:sz w:val="20"/>
        </w:rPr>
        <w:fldChar w:fldCharType="begin"/>
      </w:r>
      <w:r w:rsidRPr="00642432">
        <w:instrText xml:space="preserve"> TOC \t "Table,3" </w:instrText>
      </w:r>
      <w:r w:rsidRPr="00642432">
        <w:rPr>
          <w:sz w:val="20"/>
        </w:rPr>
        <w:fldChar w:fldCharType="separate"/>
      </w:r>
      <w:r w:rsidR="004F0A52">
        <w:rPr>
          <w:noProof/>
        </w:rPr>
        <w:t>Table 1:</w:t>
      </w:r>
      <w:r w:rsidR="004F0A52">
        <w:rPr>
          <w:noProof/>
        </w:rPr>
        <w:tab/>
        <w:t>Number of completed section 95 inquiry reports received by the Director of Mental Health, 2003 to 2013</w:t>
      </w:r>
      <w:r w:rsidR="004F0A52">
        <w:rPr>
          <w:noProof/>
        </w:rPr>
        <w:tab/>
      </w:r>
      <w:r w:rsidR="004F0A52">
        <w:rPr>
          <w:noProof/>
        </w:rPr>
        <w:fldChar w:fldCharType="begin"/>
      </w:r>
      <w:r w:rsidR="004F0A52">
        <w:rPr>
          <w:noProof/>
        </w:rPr>
        <w:instrText xml:space="preserve"> PAGEREF _Toc405113681 \h </w:instrText>
      </w:r>
      <w:r w:rsidR="004F0A52">
        <w:rPr>
          <w:noProof/>
        </w:rPr>
      </w:r>
      <w:r w:rsidR="004F0A52">
        <w:rPr>
          <w:noProof/>
        </w:rPr>
        <w:fldChar w:fldCharType="separate"/>
      </w:r>
      <w:r w:rsidR="0047500E">
        <w:rPr>
          <w:noProof/>
        </w:rPr>
        <w:t>12</w:t>
      </w:r>
      <w:r w:rsidR="004F0A52">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2:</w:t>
      </w:r>
      <w:r>
        <w:rPr>
          <w:noProof/>
        </w:rPr>
        <w:tab/>
        <w:t>Number of Ministerial long-leave, revocation and reclassification applications for special and restricted patients, 1 January to 31 December 2013</w:t>
      </w:r>
      <w:r>
        <w:rPr>
          <w:noProof/>
        </w:rPr>
        <w:tab/>
      </w:r>
      <w:r>
        <w:rPr>
          <w:noProof/>
        </w:rPr>
        <w:fldChar w:fldCharType="begin"/>
      </w:r>
      <w:r>
        <w:rPr>
          <w:noProof/>
        </w:rPr>
        <w:instrText xml:space="preserve"> PAGEREF _Toc405113682 \h </w:instrText>
      </w:r>
      <w:r>
        <w:rPr>
          <w:noProof/>
        </w:rPr>
      </w:r>
      <w:r>
        <w:rPr>
          <w:noProof/>
        </w:rPr>
        <w:fldChar w:fldCharType="separate"/>
      </w:r>
      <w:r w:rsidR="0047500E">
        <w:rPr>
          <w:noProof/>
        </w:rPr>
        <w:t>14</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3:</w:t>
      </w:r>
      <w:r>
        <w:rPr>
          <w:noProof/>
        </w:rPr>
        <w:tab/>
        <w:t>Number of people transferred to hospital from prison under sections 45 and 46 of the Mental Health Act, 2001 to 2013</w:t>
      </w:r>
      <w:r>
        <w:rPr>
          <w:noProof/>
        </w:rPr>
        <w:tab/>
      </w:r>
      <w:r>
        <w:rPr>
          <w:noProof/>
        </w:rPr>
        <w:fldChar w:fldCharType="begin"/>
      </w:r>
      <w:r>
        <w:rPr>
          <w:noProof/>
        </w:rPr>
        <w:instrText xml:space="preserve"> PAGEREF _Toc405113683 \h </w:instrText>
      </w:r>
      <w:r>
        <w:rPr>
          <w:noProof/>
        </w:rPr>
      </w:r>
      <w:r>
        <w:rPr>
          <w:noProof/>
        </w:rPr>
        <w:fldChar w:fldCharType="separate"/>
      </w:r>
      <w:r w:rsidR="0047500E">
        <w:rPr>
          <w:noProof/>
        </w:rPr>
        <w:t>14</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4:</w:t>
      </w:r>
      <w:r>
        <w:rPr>
          <w:noProof/>
        </w:rPr>
        <w:tab/>
        <w:t>Average number of people per 100,000, per month required to undergo assessment under sections 11, 13 and 14(4) of the Mental Health Act, by DHB, 1 January to 31 December 2013</w:t>
      </w:r>
      <w:r>
        <w:rPr>
          <w:noProof/>
        </w:rPr>
        <w:tab/>
      </w:r>
      <w:r>
        <w:rPr>
          <w:noProof/>
        </w:rPr>
        <w:fldChar w:fldCharType="begin"/>
      </w:r>
      <w:r>
        <w:rPr>
          <w:noProof/>
        </w:rPr>
        <w:instrText xml:space="preserve"> PAGEREF _Toc405113684 \h </w:instrText>
      </w:r>
      <w:r>
        <w:rPr>
          <w:noProof/>
        </w:rPr>
      </w:r>
      <w:r>
        <w:rPr>
          <w:noProof/>
        </w:rPr>
        <w:fldChar w:fldCharType="separate"/>
      </w:r>
      <w:r w:rsidR="0047500E">
        <w:rPr>
          <w:noProof/>
        </w:rPr>
        <w:t>23</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5:</w:t>
      </w:r>
      <w:r>
        <w:rPr>
          <w:noProof/>
        </w:rPr>
        <w:tab/>
        <w:t>Average number of people per 100,000, on a given day subject to sections 29, 30 and 31 of the Mental Health Act, by DHB, 1 January to 31 December 2013</w:t>
      </w:r>
      <w:r>
        <w:rPr>
          <w:noProof/>
        </w:rPr>
        <w:tab/>
      </w:r>
      <w:r>
        <w:rPr>
          <w:noProof/>
        </w:rPr>
        <w:fldChar w:fldCharType="begin"/>
      </w:r>
      <w:r>
        <w:rPr>
          <w:noProof/>
        </w:rPr>
        <w:instrText xml:space="preserve"> PAGEREF _Toc405113685 \h </w:instrText>
      </w:r>
      <w:r>
        <w:rPr>
          <w:noProof/>
        </w:rPr>
      </w:r>
      <w:r>
        <w:rPr>
          <w:noProof/>
        </w:rPr>
        <w:fldChar w:fldCharType="separate"/>
      </w:r>
      <w:r w:rsidR="0047500E">
        <w:rPr>
          <w:noProof/>
        </w:rPr>
        <w:t>24</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6:</w:t>
      </w:r>
      <w:r>
        <w:rPr>
          <w:noProof/>
        </w:rPr>
        <w:tab/>
        <w:t>Seclusion indicators for forensic services, by DHB, 1 January to 31 December 2013</w:t>
      </w:r>
      <w:r>
        <w:rPr>
          <w:noProof/>
        </w:rPr>
        <w:tab/>
      </w:r>
      <w:r>
        <w:rPr>
          <w:noProof/>
        </w:rPr>
        <w:fldChar w:fldCharType="begin"/>
      </w:r>
      <w:r>
        <w:rPr>
          <w:noProof/>
        </w:rPr>
        <w:instrText xml:space="preserve"> PAGEREF _Toc405113686 \h </w:instrText>
      </w:r>
      <w:r>
        <w:rPr>
          <w:noProof/>
        </w:rPr>
      </w:r>
      <w:r>
        <w:rPr>
          <w:noProof/>
        </w:rPr>
        <w:fldChar w:fldCharType="separate"/>
      </w:r>
      <w:r w:rsidR="0047500E">
        <w:rPr>
          <w:noProof/>
        </w:rPr>
        <w:t>39</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7:</w:t>
      </w:r>
      <w:r>
        <w:rPr>
          <w:noProof/>
        </w:rPr>
        <w:tab/>
        <w:t>Number of people treated with ECT, by DHB of domicile, 1 January to 31 December 2013</w:t>
      </w:r>
      <w:r>
        <w:rPr>
          <w:noProof/>
        </w:rPr>
        <w:tab/>
      </w:r>
      <w:r>
        <w:rPr>
          <w:noProof/>
        </w:rPr>
        <w:fldChar w:fldCharType="begin"/>
      </w:r>
      <w:r>
        <w:rPr>
          <w:noProof/>
        </w:rPr>
        <w:instrText xml:space="preserve"> PAGEREF _Toc405113687 \h </w:instrText>
      </w:r>
      <w:r>
        <w:rPr>
          <w:noProof/>
        </w:rPr>
      </w:r>
      <w:r>
        <w:rPr>
          <w:noProof/>
        </w:rPr>
        <w:fldChar w:fldCharType="separate"/>
      </w:r>
      <w:r w:rsidR="0047500E">
        <w:rPr>
          <w:noProof/>
        </w:rPr>
        <w:t>42</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8:</w:t>
      </w:r>
      <w:r>
        <w:rPr>
          <w:noProof/>
        </w:rPr>
        <w:tab/>
        <w:t>ECT not consented to, by DHB of service, 1 January to 31 December 2013</w:t>
      </w:r>
      <w:r>
        <w:rPr>
          <w:noProof/>
        </w:rPr>
        <w:tab/>
      </w:r>
      <w:r>
        <w:rPr>
          <w:noProof/>
        </w:rPr>
        <w:fldChar w:fldCharType="begin"/>
      </w:r>
      <w:r>
        <w:rPr>
          <w:noProof/>
        </w:rPr>
        <w:instrText xml:space="preserve"> PAGEREF _Toc405113688 \h </w:instrText>
      </w:r>
      <w:r>
        <w:rPr>
          <w:noProof/>
        </w:rPr>
      </w:r>
      <w:r>
        <w:rPr>
          <w:noProof/>
        </w:rPr>
        <w:fldChar w:fldCharType="separate"/>
      </w:r>
      <w:r w:rsidR="0047500E">
        <w:rPr>
          <w:noProof/>
        </w:rPr>
        <w:t>44</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9:</w:t>
      </w:r>
      <w:r>
        <w:rPr>
          <w:noProof/>
        </w:rPr>
        <w:tab/>
        <w:t>Number of people treated with ECT, by age group and gender, 1 January to 31 December 2013</w:t>
      </w:r>
      <w:r>
        <w:rPr>
          <w:noProof/>
        </w:rPr>
        <w:tab/>
      </w:r>
      <w:r>
        <w:rPr>
          <w:noProof/>
        </w:rPr>
        <w:fldChar w:fldCharType="begin"/>
      </w:r>
      <w:r>
        <w:rPr>
          <w:noProof/>
        </w:rPr>
        <w:instrText xml:space="preserve"> PAGEREF _Toc405113689 \h </w:instrText>
      </w:r>
      <w:r>
        <w:rPr>
          <w:noProof/>
        </w:rPr>
      </w:r>
      <w:r>
        <w:rPr>
          <w:noProof/>
        </w:rPr>
        <w:fldChar w:fldCharType="separate"/>
      </w:r>
      <w:r w:rsidR="0047500E">
        <w:rPr>
          <w:noProof/>
        </w:rPr>
        <w:t>45</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10:</w:t>
      </w:r>
      <w:r>
        <w:rPr>
          <w:noProof/>
        </w:rPr>
        <w:tab/>
        <w:t>Number of people treated with ECT, by ethnicity, 1 January to 31 December 2013</w:t>
      </w:r>
      <w:r>
        <w:rPr>
          <w:noProof/>
        </w:rPr>
        <w:tab/>
      </w:r>
      <w:r>
        <w:rPr>
          <w:noProof/>
        </w:rPr>
        <w:fldChar w:fldCharType="begin"/>
      </w:r>
      <w:r>
        <w:rPr>
          <w:noProof/>
        </w:rPr>
        <w:instrText xml:space="preserve"> PAGEREF _Toc405113690 \h </w:instrText>
      </w:r>
      <w:r>
        <w:rPr>
          <w:noProof/>
        </w:rPr>
      </w:r>
      <w:r>
        <w:rPr>
          <w:noProof/>
        </w:rPr>
        <w:fldChar w:fldCharType="separate"/>
      </w:r>
      <w:r w:rsidR="0047500E">
        <w:rPr>
          <w:noProof/>
        </w:rPr>
        <w:t>46</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11:</w:t>
      </w:r>
      <w:r>
        <w:rPr>
          <w:noProof/>
        </w:rPr>
        <w:tab/>
        <w:t>Number of serious adverse events reported to the HQSC, 1 January to 31 December 2013</w:t>
      </w:r>
      <w:r>
        <w:rPr>
          <w:noProof/>
        </w:rPr>
        <w:tab/>
      </w:r>
      <w:r>
        <w:rPr>
          <w:noProof/>
        </w:rPr>
        <w:fldChar w:fldCharType="begin"/>
      </w:r>
      <w:r>
        <w:rPr>
          <w:noProof/>
        </w:rPr>
        <w:instrText xml:space="preserve"> PAGEREF _Toc405113691 \h </w:instrText>
      </w:r>
      <w:r>
        <w:rPr>
          <w:noProof/>
        </w:rPr>
      </w:r>
      <w:r>
        <w:rPr>
          <w:noProof/>
        </w:rPr>
        <w:fldChar w:fldCharType="separate"/>
      </w:r>
      <w:r w:rsidR="0047500E">
        <w:rPr>
          <w:noProof/>
        </w:rPr>
        <w:t>47</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12:</w:t>
      </w:r>
      <w:r>
        <w:rPr>
          <w:noProof/>
        </w:rPr>
        <w:tab/>
        <w:t>Number of serious adverse events reported to the HQSC by DHB, 1 January to 31 December 2013</w:t>
      </w:r>
      <w:r>
        <w:rPr>
          <w:noProof/>
        </w:rPr>
        <w:tab/>
      </w:r>
      <w:r>
        <w:rPr>
          <w:noProof/>
        </w:rPr>
        <w:fldChar w:fldCharType="begin"/>
      </w:r>
      <w:r>
        <w:rPr>
          <w:noProof/>
        </w:rPr>
        <w:instrText xml:space="preserve"> PAGEREF _Toc405113692 \h </w:instrText>
      </w:r>
      <w:r>
        <w:rPr>
          <w:noProof/>
        </w:rPr>
      </w:r>
      <w:r>
        <w:rPr>
          <w:noProof/>
        </w:rPr>
        <w:fldChar w:fldCharType="separate"/>
      </w:r>
      <w:r w:rsidR="0047500E">
        <w:rPr>
          <w:noProof/>
        </w:rPr>
        <w:t>48</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13:</w:t>
      </w:r>
      <w:r>
        <w:rPr>
          <w:noProof/>
        </w:rPr>
        <w:tab/>
        <w:t>Outcomes of reportable death notifications under section 132 of the Mental Health Act, 1 January to 31 December 2013</w:t>
      </w:r>
      <w:r>
        <w:rPr>
          <w:noProof/>
        </w:rPr>
        <w:tab/>
      </w:r>
      <w:r>
        <w:rPr>
          <w:noProof/>
        </w:rPr>
        <w:fldChar w:fldCharType="begin"/>
      </w:r>
      <w:r>
        <w:rPr>
          <w:noProof/>
        </w:rPr>
        <w:instrText xml:space="preserve"> PAGEREF _Toc405113693 \h </w:instrText>
      </w:r>
      <w:r>
        <w:rPr>
          <w:noProof/>
        </w:rPr>
      </w:r>
      <w:r>
        <w:rPr>
          <w:noProof/>
        </w:rPr>
        <w:fldChar w:fldCharType="separate"/>
      </w:r>
      <w:r w:rsidR="0047500E">
        <w:rPr>
          <w:noProof/>
        </w:rPr>
        <w:t>49</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14:</w:t>
      </w:r>
      <w:r>
        <w:rPr>
          <w:noProof/>
        </w:rPr>
        <w:tab/>
        <w:t>Number and age-standardised rate of suicides, by service use, ages 10 to 64 years, 1 January to 31 December 2011</w:t>
      </w:r>
      <w:r>
        <w:rPr>
          <w:noProof/>
        </w:rPr>
        <w:tab/>
      </w:r>
      <w:r>
        <w:rPr>
          <w:noProof/>
        </w:rPr>
        <w:fldChar w:fldCharType="begin"/>
      </w:r>
      <w:r>
        <w:rPr>
          <w:noProof/>
        </w:rPr>
        <w:instrText xml:space="preserve"> PAGEREF _Toc405113694 \h </w:instrText>
      </w:r>
      <w:r>
        <w:rPr>
          <w:noProof/>
        </w:rPr>
      </w:r>
      <w:r>
        <w:rPr>
          <w:noProof/>
        </w:rPr>
        <w:fldChar w:fldCharType="separate"/>
      </w:r>
      <w:r w:rsidR="0047500E">
        <w:rPr>
          <w:noProof/>
        </w:rPr>
        <w:t>51</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15:</w:t>
      </w:r>
      <w:r>
        <w:rPr>
          <w:noProof/>
        </w:rPr>
        <w:tab/>
        <w:t>Number and age-standardised rate of suicide, by service use and sex, ages 10 to 64 years, 1 January to 31 December 2011</w:t>
      </w:r>
      <w:r>
        <w:rPr>
          <w:noProof/>
        </w:rPr>
        <w:tab/>
      </w:r>
      <w:r>
        <w:rPr>
          <w:noProof/>
        </w:rPr>
        <w:fldChar w:fldCharType="begin"/>
      </w:r>
      <w:r>
        <w:rPr>
          <w:noProof/>
        </w:rPr>
        <w:instrText xml:space="preserve"> PAGEREF _Toc405113695 \h </w:instrText>
      </w:r>
      <w:r>
        <w:rPr>
          <w:noProof/>
        </w:rPr>
      </w:r>
      <w:r>
        <w:rPr>
          <w:noProof/>
        </w:rPr>
        <w:fldChar w:fldCharType="separate"/>
      </w:r>
      <w:r w:rsidR="0047500E">
        <w:rPr>
          <w:noProof/>
        </w:rPr>
        <w:t>52</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16:</w:t>
      </w:r>
      <w:r>
        <w:rPr>
          <w:noProof/>
        </w:rPr>
        <w:tab/>
        <w:t>Number and age-standardised rate of suicides, by sex and service use, ages 10 to 64 years, 1 January to 31 December 2011</w:t>
      </w:r>
      <w:r>
        <w:rPr>
          <w:noProof/>
        </w:rPr>
        <w:tab/>
      </w:r>
      <w:r>
        <w:rPr>
          <w:noProof/>
        </w:rPr>
        <w:fldChar w:fldCharType="begin"/>
      </w:r>
      <w:r>
        <w:rPr>
          <w:noProof/>
        </w:rPr>
        <w:instrText xml:space="preserve"> PAGEREF _Toc405113696 \h </w:instrText>
      </w:r>
      <w:r>
        <w:rPr>
          <w:noProof/>
        </w:rPr>
      </w:r>
      <w:r>
        <w:rPr>
          <w:noProof/>
        </w:rPr>
        <w:fldChar w:fldCharType="separate"/>
      </w:r>
      <w:r w:rsidR="0047500E">
        <w:rPr>
          <w:noProof/>
        </w:rPr>
        <w:t>53</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17:</w:t>
      </w:r>
      <w:r>
        <w:rPr>
          <w:noProof/>
        </w:rPr>
        <w:tab/>
        <w:t>Number and age-standardised rate of suicides and deaths of undetermined intent, by ethnicity and service use, ages 10 to 64 years, 1 January to 31 December 2011</w:t>
      </w:r>
      <w:r>
        <w:rPr>
          <w:noProof/>
        </w:rPr>
        <w:tab/>
      </w:r>
      <w:r>
        <w:rPr>
          <w:noProof/>
        </w:rPr>
        <w:fldChar w:fldCharType="begin"/>
      </w:r>
      <w:r>
        <w:rPr>
          <w:noProof/>
        </w:rPr>
        <w:instrText xml:space="preserve"> PAGEREF _Toc405113697 \h </w:instrText>
      </w:r>
      <w:r>
        <w:rPr>
          <w:noProof/>
        </w:rPr>
      </w:r>
      <w:r>
        <w:rPr>
          <w:noProof/>
        </w:rPr>
        <w:fldChar w:fldCharType="separate"/>
      </w:r>
      <w:r w:rsidR="0047500E">
        <w:rPr>
          <w:noProof/>
        </w:rPr>
        <w:t>54</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18:</w:t>
      </w:r>
      <w:r>
        <w:rPr>
          <w:noProof/>
        </w:rPr>
        <w:tab/>
        <w:t>Number and outcomes of applications for detention and committal, 2004 to 2013</w:t>
      </w:r>
      <w:r>
        <w:rPr>
          <w:noProof/>
        </w:rPr>
        <w:tab/>
      </w:r>
      <w:r>
        <w:rPr>
          <w:noProof/>
        </w:rPr>
        <w:fldChar w:fldCharType="begin"/>
      </w:r>
      <w:r>
        <w:rPr>
          <w:noProof/>
        </w:rPr>
        <w:instrText xml:space="preserve"> PAGEREF _Toc405113698 \h </w:instrText>
      </w:r>
      <w:r>
        <w:rPr>
          <w:noProof/>
        </w:rPr>
      </w:r>
      <w:r>
        <w:rPr>
          <w:noProof/>
        </w:rPr>
        <w:fldChar w:fldCharType="separate"/>
      </w:r>
      <w:r w:rsidR="0047500E">
        <w:rPr>
          <w:noProof/>
        </w:rPr>
        <w:t>55</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19:</w:t>
      </w:r>
      <w:r>
        <w:rPr>
          <w:noProof/>
        </w:rPr>
        <w:tab/>
        <w:t>Outcomes of applications for granted orders for detention and committal, 2004 to 2013</w:t>
      </w:r>
      <w:r>
        <w:rPr>
          <w:noProof/>
        </w:rPr>
        <w:tab/>
      </w:r>
      <w:r>
        <w:rPr>
          <w:noProof/>
        </w:rPr>
        <w:fldChar w:fldCharType="begin"/>
      </w:r>
      <w:r>
        <w:rPr>
          <w:noProof/>
        </w:rPr>
        <w:instrText xml:space="preserve"> PAGEREF _Toc405113699 \h </w:instrText>
      </w:r>
      <w:r>
        <w:rPr>
          <w:noProof/>
        </w:rPr>
      </w:r>
      <w:r>
        <w:rPr>
          <w:noProof/>
        </w:rPr>
        <w:fldChar w:fldCharType="separate"/>
      </w:r>
      <w:r w:rsidR="0047500E">
        <w:rPr>
          <w:noProof/>
        </w:rPr>
        <w:t>56</w:t>
      </w:r>
      <w:r>
        <w:rPr>
          <w:noProof/>
        </w:rPr>
        <w:fldChar w:fldCharType="end"/>
      </w:r>
    </w:p>
    <w:p w:rsidR="004F0A52" w:rsidRDefault="004F0A52" w:rsidP="004F0A52">
      <w:pPr>
        <w:pStyle w:val="TOC3"/>
        <w:keepNext/>
        <w:rPr>
          <w:rFonts w:asciiTheme="minorHAnsi" w:eastAsiaTheme="minorEastAsia" w:hAnsiTheme="minorHAnsi" w:cstheme="minorBidi"/>
          <w:noProof/>
          <w:szCs w:val="22"/>
          <w:lang w:eastAsia="en-NZ"/>
        </w:rPr>
      </w:pPr>
      <w:r>
        <w:rPr>
          <w:noProof/>
        </w:rPr>
        <w:t>Table A1:</w:t>
      </w:r>
      <w:r>
        <w:rPr>
          <w:noProof/>
        </w:rPr>
        <w:tab/>
        <w:t>Outcome of Mental Health Act applications received by the Mental Health Review Tribunal, 1 July 2012 to 30 June 2013</w:t>
      </w:r>
      <w:r>
        <w:rPr>
          <w:noProof/>
        </w:rPr>
        <w:tab/>
      </w:r>
      <w:r>
        <w:rPr>
          <w:noProof/>
        </w:rPr>
        <w:fldChar w:fldCharType="begin"/>
      </w:r>
      <w:r>
        <w:rPr>
          <w:noProof/>
        </w:rPr>
        <w:instrText xml:space="preserve"> PAGEREF _Toc405113700 \h </w:instrText>
      </w:r>
      <w:r>
        <w:rPr>
          <w:noProof/>
        </w:rPr>
      </w:r>
      <w:r>
        <w:rPr>
          <w:noProof/>
        </w:rPr>
        <w:fldChar w:fldCharType="separate"/>
      </w:r>
      <w:r w:rsidR="0047500E">
        <w:rPr>
          <w:noProof/>
        </w:rPr>
        <w:t>66</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A2:</w:t>
      </w:r>
      <w:r>
        <w:rPr>
          <w:noProof/>
        </w:rPr>
        <w:tab/>
        <w:t>Results of inquiries under section 79 of the Mental Health Act held by the Mental Health Review Tribunal, 1 July 2012 to 30 June 2013</w:t>
      </w:r>
      <w:r>
        <w:rPr>
          <w:noProof/>
        </w:rPr>
        <w:tab/>
      </w:r>
      <w:r>
        <w:rPr>
          <w:noProof/>
        </w:rPr>
        <w:fldChar w:fldCharType="begin"/>
      </w:r>
      <w:r>
        <w:rPr>
          <w:noProof/>
        </w:rPr>
        <w:instrText xml:space="preserve"> PAGEREF _Toc405113701 \h </w:instrText>
      </w:r>
      <w:r>
        <w:rPr>
          <w:noProof/>
        </w:rPr>
      </w:r>
      <w:r>
        <w:rPr>
          <w:noProof/>
        </w:rPr>
        <w:fldChar w:fldCharType="separate"/>
      </w:r>
      <w:r w:rsidR="0047500E">
        <w:rPr>
          <w:noProof/>
        </w:rPr>
        <w:t>66</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A3:</w:t>
      </w:r>
      <w:r>
        <w:rPr>
          <w:noProof/>
        </w:rPr>
        <w:tab/>
        <w:t>Ethnicity of people who identified their ethnicity in Mental Health Review Tribunal applications, 1 July 2012 to 30 June 2013</w:t>
      </w:r>
      <w:r>
        <w:rPr>
          <w:noProof/>
        </w:rPr>
        <w:tab/>
      </w:r>
      <w:r>
        <w:rPr>
          <w:noProof/>
        </w:rPr>
        <w:fldChar w:fldCharType="begin"/>
      </w:r>
      <w:r>
        <w:rPr>
          <w:noProof/>
        </w:rPr>
        <w:instrText xml:space="preserve"> PAGEREF _Toc405113702 \h </w:instrText>
      </w:r>
      <w:r>
        <w:rPr>
          <w:noProof/>
        </w:rPr>
      </w:r>
      <w:r>
        <w:rPr>
          <w:noProof/>
        </w:rPr>
        <w:fldChar w:fldCharType="separate"/>
      </w:r>
      <w:r w:rsidR="0047500E">
        <w:rPr>
          <w:noProof/>
        </w:rPr>
        <w:t>67</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A4:</w:t>
      </w:r>
      <w:r>
        <w:rPr>
          <w:noProof/>
        </w:rPr>
        <w:tab/>
        <w:t>Gender of people making Mental Health Review Tribunal applications, 1 July 2012 to 30 June 2013</w:t>
      </w:r>
      <w:r>
        <w:rPr>
          <w:noProof/>
        </w:rPr>
        <w:tab/>
      </w:r>
      <w:r>
        <w:rPr>
          <w:noProof/>
        </w:rPr>
        <w:fldChar w:fldCharType="begin"/>
      </w:r>
      <w:r>
        <w:rPr>
          <w:noProof/>
        </w:rPr>
        <w:instrText xml:space="preserve"> PAGEREF _Toc405113703 \h </w:instrText>
      </w:r>
      <w:r>
        <w:rPr>
          <w:noProof/>
        </w:rPr>
      </w:r>
      <w:r>
        <w:rPr>
          <w:noProof/>
        </w:rPr>
        <w:fldChar w:fldCharType="separate"/>
      </w:r>
      <w:r w:rsidR="0047500E">
        <w:rPr>
          <w:noProof/>
        </w:rPr>
        <w:t>67</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A5:</w:t>
      </w:r>
      <w:r>
        <w:rPr>
          <w:noProof/>
        </w:rPr>
        <w:tab/>
        <w:t>Applications for compulsory treatment orders (or extensions), 2004 to 2013</w:t>
      </w:r>
      <w:r>
        <w:rPr>
          <w:noProof/>
        </w:rPr>
        <w:tab/>
      </w:r>
      <w:r>
        <w:rPr>
          <w:noProof/>
        </w:rPr>
        <w:fldChar w:fldCharType="begin"/>
      </w:r>
      <w:r>
        <w:rPr>
          <w:noProof/>
        </w:rPr>
        <w:instrText xml:space="preserve"> PAGEREF _Toc405113704 \h </w:instrText>
      </w:r>
      <w:r>
        <w:rPr>
          <w:noProof/>
        </w:rPr>
      </w:r>
      <w:r>
        <w:rPr>
          <w:noProof/>
        </w:rPr>
        <w:fldChar w:fldCharType="separate"/>
      </w:r>
      <w:r w:rsidR="0047500E">
        <w:rPr>
          <w:noProof/>
        </w:rPr>
        <w:t>68</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Table A6:</w:t>
      </w:r>
      <w:r>
        <w:rPr>
          <w:noProof/>
        </w:rPr>
        <w:tab/>
        <w:t>Types of compulsory treatment orders made on granted applications, 2004 to 2013</w:t>
      </w:r>
      <w:r>
        <w:rPr>
          <w:noProof/>
        </w:rPr>
        <w:tab/>
      </w:r>
      <w:r>
        <w:rPr>
          <w:noProof/>
        </w:rPr>
        <w:fldChar w:fldCharType="begin"/>
      </w:r>
      <w:r>
        <w:rPr>
          <w:noProof/>
        </w:rPr>
        <w:instrText xml:space="preserve"> PAGEREF _Toc405113705 \h </w:instrText>
      </w:r>
      <w:r>
        <w:rPr>
          <w:noProof/>
        </w:rPr>
      </w:r>
      <w:r>
        <w:rPr>
          <w:noProof/>
        </w:rPr>
        <w:fldChar w:fldCharType="separate"/>
      </w:r>
      <w:r w:rsidR="0047500E">
        <w:rPr>
          <w:noProof/>
        </w:rPr>
        <w:t>68</w:t>
      </w:r>
      <w:r>
        <w:rPr>
          <w:noProof/>
        </w:rPr>
        <w:fldChar w:fldCharType="end"/>
      </w:r>
    </w:p>
    <w:p w:rsidR="00C86248" w:rsidRPr="00642432" w:rsidRDefault="00C86248" w:rsidP="0030382F">
      <w:r w:rsidRPr="00642432">
        <w:fldChar w:fldCharType="end"/>
      </w:r>
    </w:p>
    <w:p w:rsidR="003A5FEA" w:rsidRPr="00642432" w:rsidRDefault="003A5FEA" w:rsidP="003A5FEA">
      <w:pPr>
        <w:pStyle w:val="TOC1"/>
      </w:pPr>
      <w:r w:rsidRPr="00642432">
        <w:t>List of Figures</w:t>
      </w:r>
    </w:p>
    <w:p w:rsidR="004F0A52" w:rsidRDefault="003A5FEA">
      <w:pPr>
        <w:pStyle w:val="TOC3"/>
        <w:rPr>
          <w:rFonts w:asciiTheme="minorHAnsi" w:eastAsiaTheme="minorEastAsia" w:hAnsiTheme="minorHAnsi" w:cstheme="minorBidi"/>
          <w:noProof/>
          <w:szCs w:val="22"/>
          <w:lang w:eastAsia="en-NZ"/>
        </w:rPr>
      </w:pPr>
      <w:r w:rsidRPr="00642432">
        <w:fldChar w:fldCharType="begin"/>
      </w:r>
      <w:r w:rsidRPr="00642432">
        <w:instrText xml:space="preserve"> TOC \t "Figure,3" </w:instrText>
      </w:r>
      <w:r w:rsidRPr="00642432">
        <w:fldChar w:fldCharType="separate"/>
      </w:r>
      <w:r w:rsidR="004F0A52">
        <w:rPr>
          <w:noProof/>
        </w:rPr>
        <w:t>Figure 1:</w:t>
      </w:r>
      <w:r w:rsidR="004F0A52">
        <w:rPr>
          <w:noProof/>
        </w:rPr>
        <w:tab/>
        <w:t>Number of people engaging with specialist services each year, 2002 to 2013</w:t>
      </w:r>
      <w:r w:rsidR="004F0A52">
        <w:rPr>
          <w:noProof/>
        </w:rPr>
        <w:tab/>
      </w:r>
      <w:r w:rsidR="004F0A52">
        <w:rPr>
          <w:noProof/>
        </w:rPr>
        <w:fldChar w:fldCharType="begin"/>
      </w:r>
      <w:r w:rsidR="004F0A52">
        <w:rPr>
          <w:noProof/>
        </w:rPr>
        <w:instrText xml:space="preserve"> PAGEREF _Toc405113755 \h </w:instrText>
      </w:r>
      <w:r w:rsidR="004F0A52">
        <w:rPr>
          <w:noProof/>
        </w:rPr>
      </w:r>
      <w:r w:rsidR="004F0A52">
        <w:rPr>
          <w:noProof/>
        </w:rPr>
        <w:fldChar w:fldCharType="separate"/>
      </w:r>
      <w:r w:rsidR="0047500E">
        <w:rPr>
          <w:noProof/>
        </w:rPr>
        <w:t>5</w:t>
      </w:r>
      <w:r w:rsidR="004F0A52">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2:</w:t>
      </w:r>
      <w:r>
        <w:rPr>
          <w:noProof/>
        </w:rPr>
        <w:tab/>
        <w:t>Percentage of service users accessing only community services, 1 January to 31 December 2013</w:t>
      </w:r>
      <w:r>
        <w:rPr>
          <w:noProof/>
        </w:rPr>
        <w:tab/>
      </w:r>
      <w:r>
        <w:rPr>
          <w:noProof/>
        </w:rPr>
        <w:fldChar w:fldCharType="begin"/>
      </w:r>
      <w:r>
        <w:rPr>
          <w:noProof/>
        </w:rPr>
        <w:instrText xml:space="preserve"> PAGEREF _Toc405113756 \h </w:instrText>
      </w:r>
      <w:r>
        <w:rPr>
          <w:noProof/>
        </w:rPr>
      </w:r>
      <w:r>
        <w:rPr>
          <w:noProof/>
        </w:rPr>
        <w:fldChar w:fldCharType="separate"/>
      </w:r>
      <w:r w:rsidR="0047500E">
        <w:rPr>
          <w:noProof/>
        </w:rPr>
        <w:t>6</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3:</w:t>
      </w:r>
      <w:r>
        <w:rPr>
          <w:noProof/>
        </w:rPr>
        <w:tab/>
        <w:t>Responses to the statement ‘overall I am satisfied with the services I received’</w:t>
      </w:r>
      <w:r>
        <w:rPr>
          <w:noProof/>
        </w:rPr>
        <w:tab/>
      </w:r>
      <w:r>
        <w:rPr>
          <w:noProof/>
        </w:rPr>
        <w:fldChar w:fldCharType="begin"/>
      </w:r>
      <w:r>
        <w:rPr>
          <w:noProof/>
        </w:rPr>
        <w:instrText xml:space="preserve"> PAGEREF _Toc405113757 \h </w:instrText>
      </w:r>
      <w:r>
        <w:rPr>
          <w:noProof/>
        </w:rPr>
      </w:r>
      <w:r>
        <w:rPr>
          <w:noProof/>
        </w:rPr>
        <w:fldChar w:fldCharType="separate"/>
      </w:r>
      <w:r w:rsidR="0047500E">
        <w:rPr>
          <w:noProof/>
        </w:rPr>
        <w:t>18</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4:</w:t>
      </w:r>
      <w:r>
        <w:rPr>
          <w:noProof/>
        </w:rPr>
        <w:tab/>
        <w:t>Percentage of people seen by mental health and addiction services within three and eight weeks, 2012/13 fiscal year</w:t>
      </w:r>
      <w:r>
        <w:rPr>
          <w:noProof/>
        </w:rPr>
        <w:tab/>
      </w:r>
      <w:r>
        <w:rPr>
          <w:noProof/>
        </w:rPr>
        <w:fldChar w:fldCharType="begin"/>
      </w:r>
      <w:r>
        <w:rPr>
          <w:noProof/>
        </w:rPr>
        <w:instrText xml:space="preserve"> PAGEREF _Toc405113758 \h </w:instrText>
      </w:r>
      <w:r>
        <w:rPr>
          <w:noProof/>
        </w:rPr>
      </w:r>
      <w:r>
        <w:rPr>
          <w:noProof/>
        </w:rPr>
        <w:fldChar w:fldCharType="separate"/>
      </w:r>
      <w:r w:rsidR="0047500E">
        <w:rPr>
          <w:noProof/>
        </w:rPr>
        <w:t>19</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5:</w:t>
      </w:r>
      <w:r>
        <w:rPr>
          <w:noProof/>
        </w:rPr>
        <w:tab/>
        <w:t>Percentage of long-term service users with a relapse prevention plan, 2007 to 2013</w:t>
      </w:r>
      <w:r>
        <w:rPr>
          <w:noProof/>
        </w:rPr>
        <w:tab/>
      </w:r>
      <w:r>
        <w:rPr>
          <w:noProof/>
        </w:rPr>
        <w:fldChar w:fldCharType="begin"/>
      </w:r>
      <w:r>
        <w:rPr>
          <w:noProof/>
        </w:rPr>
        <w:instrText xml:space="preserve"> PAGEREF _Toc405113759 \h </w:instrText>
      </w:r>
      <w:r>
        <w:rPr>
          <w:noProof/>
        </w:rPr>
      </w:r>
      <w:r>
        <w:rPr>
          <w:noProof/>
        </w:rPr>
        <w:fldChar w:fldCharType="separate"/>
      </w:r>
      <w:r w:rsidR="0047500E">
        <w:rPr>
          <w:noProof/>
        </w:rPr>
        <w:t>20</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6:</w:t>
      </w:r>
      <w:r>
        <w:rPr>
          <w:noProof/>
        </w:rPr>
        <w:tab/>
        <w:t>Percentage of service users with a relapse prevention plan, by DHB, 1 January to 31 December 2013</w:t>
      </w:r>
      <w:r>
        <w:rPr>
          <w:noProof/>
        </w:rPr>
        <w:tab/>
      </w:r>
      <w:r>
        <w:rPr>
          <w:noProof/>
        </w:rPr>
        <w:fldChar w:fldCharType="begin"/>
      </w:r>
      <w:r>
        <w:rPr>
          <w:noProof/>
        </w:rPr>
        <w:instrText xml:space="preserve"> PAGEREF _Toc405113760 \h </w:instrText>
      </w:r>
      <w:r>
        <w:rPr>
          <w:noProof/>
        </w:rPr>
      </w:r>
      <w:r>
        <w:rPr>
          <w:noProof/>
        </w:rPr>
        <w:fldChar w:fldCharType="separate"/>
      </w:r>
      <w:r w:rsidR="0047500E">
        <w:rPr>
          <w:noProof/>
        </w:rPr>
        <w:t>20</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7:</w:t>
      </w:r>
      <w:r>
        <w:rPr>
          <w:noProof/>
        </w:rPr>
        <w:tab/>
        <w:t>Average number of people per 100,000 on a given day subject to a community treatment order (section 29 of the Mental Health Act), by DHB, 1 January to 31 December 2013</w:t>
      </w:r>
      <w:r>
        <w:rPr>
          <w:noProof/>
        </w:rPr>
        <w:tab/>
      </w:r>
      <w:r>
        <w:rPr>
          <w:noProof/>
        </w:rPr>
        <w:fldChar w:fldCharType="begin"/>
      </w:r>
      <w:r>
        <w:rPr>
          <w:noProof/>
        </w:rPr>
        <w:instrText xml:space="preserve"> PAGEREF _Toc405113761 \h </w:instrText>
      </w:r>
      <w:r>
        <w:rPr>
          <w:noProof/>
        </w:rPr>
      </w:r>
      <w:r>
        <w:rPr>
          <w:noProof/>
        </w:rPr>
        <w:fldChar w:fldCharType="separate"/>
      </w:r>
      <w:r w:rsidR="0047500E">
        <w:rPr>
          <w:noProof/>
        </w:rPr>
        <w:t>24</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8:</w:t>
      </w:r>
      <w:r>
        <w:rPr>
          <w:noProof/>
        </w:rPr>
        <w:tab/>
        <w:t>Average number of people per 100,000 on a given day subject to an inpatient treatment order (section 30 of the Mental Health Act), by DHB, 1 January to 31 December 2013</w:t>
      </w:r>
      <w:r>
        <w:rPr>
          <w:noProof/>
        </w:rPr>
        <w:tab/>
      </w:r>
      <w:r>
        <w:rPr>
          <w:noProof/>
        </w:rPr>
        <w:fldChar w:fldCharType="begin"/>
      </w:r>
      <w:r>
        <w:rPr>
          <w:noProof/>
        </w:rPr>
        <w:instrText xml:space="preserve"> PAGEREF _Toc405113762 \h </w:instrText>
      </w:r>
      <w:r>
        <w:rPr>
          <w:noProof/>
        </w:rPr>
      </w:r>
      <w:r>
        <w:rPr>
          <w:noProof/>
        </w:rPr>
        <w:fldChar w:fldCharType="separate"/>
      </w:r>
      <w:r w:rsidR="0047500E">
        <w:rPr>
          <w:noProof/>
        </w:rPr>
        <w:t>25</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9:</w:t>
      </w:r>
      <w:r>
        <w:rPr>
          <w:noProof/>
        </w:rPr>
        <w:tab/>
        <w:t>Number of people per 100,000 subject to compulsory treatment order applications (including extensions), by age group, 2004 to 2013</w:t>
      </w:r>
      <w:r>
        <w:rPr>
          <w:noProof/>
        </w:rPr>
        <w:tab/>
      </w:r>
      <w:r>
        <w:rPr>
          <w:noProof/>
        </w:rPr>
        <w:fldChar w:fldCharType="begin"/>
      </w:r>
      <w:r>
        <w:rPr>
          <w:noProof/>
        </w:rPr>
        <w:instrText xml:space="preserve"> PAGEREF _Toc405113763 \h </w:instrText>
      </w:r>
      <w:r>
        <w:rPr>
          <w:noProof/>
        </w:rPr>
      </w:r>
      <w:r>
        <w:rPr>
          <w:noProof/>
        </w:rPr>
        <w:fldChar w:fldCharType="separate"/>
      </w:r>
      <w:r w:rsidR="0047500E">
        <w:rPr>
          <w:noProof/>
        </w:rPr>
        <w:t>26</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10:</w:t>
      </w:r>
      <w:r>
        <w:rPr>
          <w:noProof/>
        </w:rPr>
        <w:tab/>
        <w:t>Number of people per 100,000 subject to compulsory treatment order applications (including extensions), by gender, 2004 to 2013</w:t>
      </w:r>
      <w:r>
        <w:rPr>
          <w:noProof/>
        </w:rPr>
        <w:tab/>
      </w:r>
      <w:r>
        <w:rPr>
          <w:noProof/>
        </w:rPr>
        <w:fldChar w:fldCharType="begin"/>
      </w:r>
      <w:r>
        <w:rPr>
          <w:noProof/>
        </w:rPr>
        <w:instrText xml:space="preserve"> PAGEREF _Toc405113764 \h </w:instrText>
      </w:r>
      <w:r>
        <w:rPr>
          <w:noProof/>
        </w:rPr>
      </w:r>
      <w:r>
        <w:rPr>
          <w:noProof/>
        </w:rPr>
        <w:fldChar w:fldCharType="separate"/>
      </w:r>
      <w:r w:rsidR="0047500E">
        <w:rPr>
          <w:noProof/>
        </w:rPr>
        <w:t>26</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11:</w:t>
      </w:r>
      <w:r>
        <w:rPr>
          <w:noProof/>
        </w:rPr>
        <w:tab/>
        <w:t>The rate ratio of Māori to non-Māori under section 29 of the Mental Health Act, by DHB, 1 January to 31 December 2013</w:t>
      </w:r>
      <w:r>
        <w:rPr>
          <w:noProof/>
        </w:rPr>
        <w:tab/>
      </w:r>
      <w:r>
        <w:rPr>
          <w:noProof/>
        </w:rPr>
        <w:fldChar w:fldCharType="begin"/>
      </w:r>
      <w:r>
        <w:rPr>
          <w:noProof/>
        </w:rPr>
        <w:instrText xml:space="preserve"> PAGEREF _Toc405113765 \h </w:instrText>
      </w:r>
      <w:r>
        <w:rPr>
          <w:noProof/>
        </w:rPr>
      </w:r>
      <w:r>
        <w:rPr>
          <w:noProof/>
        </w:rPr>
        <w:fldChar w:fldCharType="separate"/>
      </w:r>
      <w:r w:rsidR="0047500E">
        <w:rPr>
          <w:noProof/>
        </w:rPr>
        <w:t>30</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12:</w:t>
      </w:r>
      <w:r>
        <w:rPr>
          <w:noProof/>
        </w:rPr>
        <w:tab/>
        <w:t>Number of people secluded in adult services nationally, 2007 to 2013</w:t>
      </w:r>
      <w:r>
        <w:rPr>
          <w:noProof/>
        </w:rPr>
        <w:tab/>
      </w:r>
      <w:r>
        <w:rPr>
          <w:noProof/>
        </w:rPr>
        <w:fldChar w:fldCharType="begin"/>
      </w:r>
      <w:r>
        <w:rPr>
          <w:noProof/>
        </w:rPr>
        <w:instrText xml:space="preserve"> PAGEREF _Toc405113766 \h </w:instrText>
      </w:r>
      <w:r>
        <w:rPr>
          <w:noProof/>
        </w:rPr>
      </w:r>
      <w:r>
        <w:rPr>
          <w:noProof/>
        </w:rPr>
        <w:fldChar w:fldCharType="separate"/>
      </w:r>
      <w:r w:rsidR="0047500E">
        <w:rPr>
          <w:noProof/>
        </w:rPr>
        <w:t>33</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13:</w:t>
      </w:r>
      <w:r>
        <w:rPr>
          <w:noProof/>
        </w:rPr>
        <w:tab/>
        <w:t>Total number of seclusion hours in adult services nationally, 2007 to 2013</w:t>
      </w:r>
      <w:r>
        <w:rPr>
          <w:noProof/>
        </w:rPr>
        <w:tab/>
      </w:r>
      <w:r>
        <w:rPr>
          <w:noProof/>
        </w:rPr>
        <w:fldChar w:fldCharType="begin"/>
      </w:r>
      <w:r>
        <w:rPr>
          <w:noProof/>
        </w:rPr>
        <w:instrText xml:space="preserve"> PAGEREF _Toc405113767 \h </w:instrText>
      </w:r>
      <w:r>
        <w:rPr>
          <w:noProof/>
        </w:rPr>
      </w:r>
      <w:r>
        <w:rPr>
          <w:noProof/>
        </w:rPr>
        <w:fldChar w:fldCharType="separate"/>
      </w:r>
      <w:r w:rsidR="0047500E">
        <w:rPr>
          <w:noProof/>
        </w:rPr>
        <w:t>33</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14:</w:t>
      </w:r>
      <w:r>
        <w:rPr>
          <w:noProof/>
        </w:rPr>
        <w:tab/>
        <w:t>Number of people secluded in all mental health units, by age group, 1 January to 31 December 2013</w:t>
      </w:r>
      <w:r>
        <w:rPr>
          <w:noProof/>
        </w:rPr>
        <w:tab/>
      </w:r>
      <w:r>
        <w:rPr>
          <w:noProof/>
        </w:rPr>
        <w:fldChar w:fldCharType="begin"/>
      </w:r>
      <w:r>
        <w:rPr>
          <w:noProof/>
        </w:rPr>
        <w:instrText xml:space="preserve"> PAGEREF _Toc405113768 \h </w:instrText>
      </w:r>
      <w:r>
        <w:rPr>
          <w:noProof/>
        </w:rPr>
      </w:r>
      <w:r>
        <w:rPr>
          <w:noProof/>
        </w:rPr>
        <w:fldChar w:fldCharType="separate"/>
      </w:r>
      <w:r w:rsidR="0047500E">
        <w:rPr>
          <w:noProof/>
        </w:rPr>
        <w:t>34</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15:</w:t>
      </w:r>
      <w:r>
        <w:rPr>
          <w:noProof/>
        </w:rPr>
        <w:tab/>
        <w:t>Distribution of seclusion events in all mental health units, by duration of the event, 1 January to 31 December 2013</w:t>
      </w:r>
      <w:r>
        <w:rPr>
          <w:noProof/>
        </w:rPr>
        <w:tab/>
      </w:r>
      <w:r>
        <w:rPr>
          <w:noProof/>
        </w:rPr>
        <w:fldChar w:fldCharType="begin"/>
      </w:r>
      <w:r>
        <w:rPr>
          <w:noProof/>
        </w:rPr>
        <w:instrText xml:space="preserve"> PAGEREF _Toc405113769 \h </w:instrText>
      </w:r>
      <w:r>
        <w:rPr>
          <w:noProof/>
        </w:rPr>
      </w:r>
      <w:r>
        <w:rPr>
          <w:noProof/>
        </w:rPr>
        <w:fldChar w:fldCharType="separate"/>
      </w:r>
      <w:r w:rsidR="0047500E">
        <w:rPr>
          <w:noProof/>
        </w:rPr>
        <w:t>35</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16:</w:t>
      </w:r>
      <w:r>
        <w:rPr>
          <w:noProof/>
        </w:rPr>
        <w:tab/>
        <w:t>Number of people secluded in adult services (aged 20 to 64 years), per 100,000 by DHB, 1 January to 31 December 2013</w:t>
      </w:r>
      <w:r>
        <w:rPr>
          <w:noProof/>
        </w:rPr>
        <w:tab/>
      </w:r>
      <w:r>
        <w:rPr>
          <w:noProof/>
        </w:rPr>
        <w:fldChar w:fldCharType="begin"/>
      </w:r>
      <w:r>
        <w:rPr>
          <w:noProof/>
        </w:rPr>
        <w:instrText xml:space="preserve"> PAGEREF _Toc405113770 \h </w:instrText>
      </w:r>
      <w:r>
        <w:rPr>
          <w:noProof/>
        </w:rPr>
      </w:r>
      <w:r>
        <w:rPr>
          <w:noProof/>
        </w:rPr>
        <w:fldChar w:fldCharType="separate"/>
      </w:r>
      <w:r w:rsidR="0047500E">
        <w:rPr>
          <w:noProof/>
        </w:rPr>
        <w:t>36</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17:</w:t>
      </w:r>
      <w:r>
        <w:rPr>
          <w:noProof/>
        </w:rPr>
        <w:tab/>
        <w:t>Number of seclusion events in adult services (aged 20 to 64 years), per 100,000 by DHB, 1 January to 31 December 2013</w:t>
      </w:r>
      <w:r>
        <w:rPr>
          <w:noProof/>
        </w:rPr>
        <w:tab/>
      </w:r>
      <w:r>
        <w:rPr>
          <w:noProof/>
        </w:rPr>
        <w:fldChar w:fldCharType="begin"/>
      </w:r>
      <w:r>
        <w:rPr>
          <w:noProof/>
        </w:rPr>
        <w:instrText xml:space="preserve"> PAGEREF _Toc405113771 \h </w:instrText>
      </w:r>
      <w:r>
        <w:rPr>
          <w:noProof/>
        </w:rPr>
      </w:r>
      <w:r>
        <w:rPr>
          <w:noProof/>
        </w:rPr>
        <w:fldChar w:fldCharType="separate"/>
      </w:r>
      <w:r w:rsidR="0047500E">
        <w:rPr>
          <w:noProof/>
        </w:rPr>
        <w:t>36</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18:</w:t>
      </w:r>
      <w:r>
        <w:rPr>
          <w:noProof/>
        </w:rPr>
        <w:tab/>
        <w:t>Seclusion indicators for adults (aged 20 to 64 years) in adult mental health services, Māori and non-Māori, 1 January to 31 December 2013</w:t>
      </w:r>
      <w:r>
        <w:rPr>
          <w:noProof/>
        </w:rPr>
        <w:tab/>
      </w:r>
      <w:r>
        <w:rPr>
          <w:noProof/>
        </w:rPr>
        <w:fldChar w:fldCharType="begin"/>
      </w:r>
      <w:r>
        <w:rPr>
          <w:noProof/>
        </w:rPr>
        <w:instrText xml:space="preserve"> PAGEREF _Toc405113772 \h </w:instrText>
      </w:r>
      <w:r>
        <w:rPr>
          <w:noProof/>
        </w:rPr>
      </w:r>
      <w:r>
        <w:rPr>
          <w:noProof/>
        </w:rPr>
        <w:fldChar w:fldCharType="separate"/>
      </w:r>
      <w:r w:rsidR="0047500E">
        <w:rPr>
          <w:noProof/>
        </w:rPr>
        <w:t>37</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19:</w:t>
      </w:r>
      <w:r>
        <w:rPr>
          <w:noProof/>
        </w:rPr>
        <w:tab/>
        <w:t>Proportion of adult inpatients (aged 20 to 64 years) secluded in adult mental health services, for Māori and non-Māori males and females, 1 January to 31 December 2013</w:t>
      </w:r>
      <w:r>
        <w:rPr>
          <w:noProof/>
        </w:rPr>
        <w:tab/>
      </w:r>
      <w:r>
        <w:rPr>
          <w:noProof/>
        </w:rPr>
        <w:fldChar w:fldCharType="begin"/>
      </w:r>
      <w:r>
        <w:rPr>
          <w:noProof/>
        </w:rPr>
        <w:instrText xml:space="preserve"> PAGEREF _Toc405113773 \h </w:instrText>
      </w:r>
      <w:r>
        <w:rPr>
          <w:noProof/>
        </w:rPr>
      </w:r>
      <w:r>
        <w:rPr>
          <w:noProof/>
        </w:rPr>
        <w:fldChar w:fldCharType="separate"/>
      </w:r>
      <w:r w:rsidR="0047500E">
        <w:rPr>
          <w:noProof/>
        </w:rPr>
        <w:t>38</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20:</w:t>
      </w:r>
      <w:r>
        <w:rPr>
          <w:noProof/>
        </w:rPr>
        <w:tab/>
        <w:t>Proportion of Māori and non-Māori aged 20 to 64 years secluded in general adult mental health services nationally, 2007 to 2013</w:t>
      </w:r>
      <w:r>
        <w:rPr>
          <w:noProof/>
        </w:rPr>
        <w:tab/>
      </w:r>
      <w:r>
        <w:rPr>
          <w:noProof/>
        </w:rPr>
        <w:fldChar w:fldCharType="begin"/>
      </w:r>
      <w:r>
        <w:rPr>
          <w:noProof/>
        </w:rPr>
        <w:instrText xml:space="preserve"> PAGEREF _Toc405113774 \h </w:instrText>
      </w:r>
      <w:r>
        <w:rPr>
          <w:noProof/>
        </w:rPr>
      </w:r>
      <w:r>
        <w:rPr>
          <w:noProof/>
        </w:rPr>
        <w:fldChar w:fldCharType="separate"/>
      </w:r>
      <w:r w:rsidR="0047500E">
        <w:rPr>
          <w:noProof/>
        </w:rPr>
        <w:t>38</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21:</w:t>
      </w:r>
      <w:r>
        <w:rPr>
          <w:noProof/>
        </w:rPr>
        <w:tab/>
        <w:t>Number of people treated with ECT in New Zealand, 2005 to 2013</w:t>
      </w:r>
      <w:r>
        <w:rPr>
          <w:noProof/>
        </w:rPr>
        <w:tab/>
      </w:r>
      <w:r>
        <w:rPr>
          <w:noProof/>
        </w:rPr>
        <w:fldChar w:fldCharType="begin"/>
      </w:r>
      <w:r>
        <w:rPr>
          <w:noProof/>
        </w:rPr>
        <w:instrText xml:space="preserve"> PAGEREF _Toc405113775 \h </w:instrText>
      </w:r>
      <w:r>
        <w:rPr>
          <w:noProof/>
        </w:rPr>
      </w:r>
      <w:r>
        <w:rPr>
          <w:noProof/>
        </w:rPr>
        <w:fldChar w:fldCharType="separate"/>
      </w:r>
      <w:r w:rsidR="0047500E">
        <w:rPr>
          <w:noProof/>
        </w:rPr>
        <w:t>41</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22:</w:t>
      </w:r>
      <w:r>
        <w:rPr>
          <w:noProof/>
        </w:rPr>
        <w:tab/>
        <w:t>Rate of people treated with ECT, by DHB of domicile, 1 January to 31 December 2013</w:t>
      </w:r>
      <w:r>
        <w:rPr>
          <w:noProof/>
        </w:rPr>
        <w:tab/>
      </w:r>
      <w:r>
        <w:rPr>
          <w:noProof/>
        </w:rPr>
        <w:fldChar w:fldCharType="begin"/>
      </w:r>
      <w:r>
        <w:rPr>
          <w:noProof/>
        </w:rPr>
        <w:instrText xml:space="preserve"> PAGEREF _Toc405113776 \h </w:instrText>
      </w:r>
      <w:r>
        <w:rPr>
          <w:noProof/>
        </w:rPr>
      </w:r>
      <w:r>
        <w:rPr>
          <w:noProof/>
        </w:rPr>
        <w:fldChar w:fldCharType="separate"/>
      </w:r>
      <w:r w:rsidR="0047500E">
        <w:rPr>
          <w:noProof/>
        </w:rPr>
        <w:t>43</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23:</w:t>
      </w:r>
      <w:r>
        <w:rPr>
          <w:noProof/>
        </w:rPr>
        <w:tab/>
        <w:t>Number of people treated with ECT, by age group and gender, 1 January to 31 December 2013</w:t>
      </w:r>
      <w:r>
        <w:rPr>
          <w:noProof/>
        </w:rPr>
        <w:tab/>
      </w:r>
      <w:r>
        <w:rPr>
          <w:noProof/>
        </w:rPr>
        <w:fldChar w:fldCharType="begin"/>
      </w:r>
      <w:r>
        <w:rPr>
          <w:noProof/>
        </w:rPr>
        <w:instrText xml:space="preserve"> PAGEREF _Toc405113777 \h </w:instrText>
      </w:r>
      <w:r>
        <w:rPr>
          <w:noProof/>
        </w:rPr>
      </w:r>
      <w:r>
        <w:rPr>
          <w:noProof/>
        </w:rPr>
        <w:fldChar w:fldCharType="separate"/>
      </w:r>
      <w:r w:rsidR="0047500E">
        <w:rPr>
          <w:noProof/>
        </w:rPr>
        <w:t>45</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24:</w:t>
      </w:r>
      <w:r>
        <w:rPr>
          <w:noProof/>
        </w:rPr>
        <w:tab/>
        <w:t>Age-standardised rate of suicides, by service users and non-service users, ages 10 to 64 years, 2001 to 2011</w:t>
      </w:r>
      <w:r>
        <w:rPr>
          <w:noProof/>
        </w:rPr>
        <w:tab/>
      </w:r>
      <w:r>
        <w:rPr>
          <w:noProof/>
        </w:rPr>
        <w:fldChar w:fldCharType="begin"/>
      </w:r>
      <w:r>
        <w:rPr>
          <w:noProof/>
        </w:rPr>
        <w:instrText xml:space="preserve"> PAGEREF _Toc405113778 \h </w:instrText>
      </w:r>
      <w:r>
        <w:rPr>
          <w:noProof/>
        </w:rPr>
      </w:r>
      <w:r>
        <w:rPr>
          <w:noProof/>
        </w:rPr>
        <w:fldChar w:fldCharType="separate"/>
      </w:r>
      <w:r w:rsidR="0047500E">
        <w:rPr>
          <w:noProof/>
        </w:rPr>
        <w:t>52</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25:</w:t>
      </w:r>
      <w:r>
        <w:rPr>
          <w:noProof/>
        </w:rPr>
        <w:tab/>
        <w:t>Age-standardised rate of suicide, by age group, sex and service use, ages 10 to 64 years, 1 January to 31 December 2011</w:t>
      </w:r>
      <w:r>
        <w:rPr>
          <w:noProof/>
        </w:rPr>
        <w:tab/>
      </w:r>
      <w:r>
        <w:rPr>
          <w:noProof/>
        </w:rPr>
        <w:fldChar w:fldCharType="begin"/>
      </w:r>
      <w:r>
        <w:rPr>
          <w:noProof/>
        </w:rPr>
        <w:instrText xml:space="preserve"> PAGEREF _Toc405113779 \h </w:instrText>
      </w:r>
      <w:r>
        <w:rPr>
          <w:noProof/>
        </w:rPr>
      </w:r>
      <w:r>
        <w:rPr>
          <w:noProof/>
        </w:rPr>
        <w:fldChar w:fldCharType="separate"/>
      </w:r>
      <w:r w:rsidR="0047500E">
        <w:rPr>
          <w:noProof/>
        </w:rPr>
        <w:t>53</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26:</w:t>
      </w:r>
      <w:r>
        <w:rPr>
          <w:noProof/>
        </w:rPr>
        <w:tab/>
        <w:t>Number of people prescribed suboxone, 2008 to 2013</w:t>
      </w:r>
      <w:r>
        <w:rPr>
          <w:noProof/>
        </w:rPr>
        <w:tab/>
      </w:r>
      <w:r>
        <w:rPr>
          <w:noProof/>
        </w:rPr>
        <w:fldChar w:fldCharType="begin"/>
      </w:r>
      <w:r>
        <w:rPr>
          <w:noProof/>
        </w:rPr>
        <w:instrText xml:space="preserve"> PAGEREF _Toc405113780 \h </w:instrText>
      </w:r>
      <w:r>
        <w:rPr>
          <w:noProof/>
        </w:rPr>
      </w:r>
      <w:r>
        <w:rPr>
          <w:noProof/>
        </w:rPr>
        <w:fldChar w:fldCharType="separate"/>
      </w:r>
      <w:r w:rsidR="0047500E">
        <w:rPr>
          <w:noProof/>
        </w:rPr>
        <w:t>58</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27:</w:t>
      </w:r>
      <w:r>
        <w:rPr>
          <w:noProof/>
        </w:rPr>
        <w:tab/>
        <w:t>Number of OST clients, by age group, 2008 to 2013</w:t>
      </w:r>
      <w:r>
        <w:rPr>
          <w:noProof/>
        </w:rPr>
        <w:tab/>
      </w:r>
      <w:r>
        <w:rPr>
          <w:noProof/>
        </w:rPr>
        <w:fldChar w:fldCharType="begin"/>
      </w:r>
      <w:r>
        <w:rPr>
          <w:noProof/>
        </w:rPr>
        <w:instrText xml:space="preserve"> PAGEREF _Toc405113781 \h </w:instrText>
      </w:r>
      <w:r>
        <w:rPr>
          <w:noProof/>
        </w:rPr>
      </w:r>
      <w:r>
        <w:rPr>
          <w:noProof/>
        </w:rPr>
        <w:fldChar w:fldCharType="separate"/>
      </w:r>
      <w:r w:rsidR="0047500E">
        <w:rPr>
          <w:noProof/>
        </w:rPr>
        <w:t>59</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28:</w:t>
      </w:r>
      <w:r>
        <w:rPr>
          <w:noProof/>
        </w:rPr>
        <w:tab/>
        <w:t>Number of people receiving treatment from a specialist service, GP or prison service, 2008 to 2013</w:t>
      </w:r>
      <w:r>
        <w:rPr>
          <w:noProof/>
        </w:rPr>
        <w:tab/>
      </w:r>
      <w:r>
        <w:rPr>
          <w:noProof/>
        </w:rPr>
        <w:fldChar w:fldCharType="begin"/>
      </w:r>
      <w:r>
        <w:rPr>
          <w:noProof/>
        </w:rPr>
        <w:instrText xml:space="preserve"> PAGEREF _Toc405113782 \h </w:instrText>
      </w:r>
      <w:r>
        <w:rPr>
          <w:noProof/>
        </w:rPr>
      </w:r>
      <w:r>
        <w:rPr>
          <w:noProof/>
        </w:rPr>
        <w:fldChar w:fldCharType="separate"/>
      </w:r>
      <w:r w:rsidR="0047500E">
        <w:rPr>
          <w:noProof/>
        </w:rPr>
        <w:t>60</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29:</w:t>
      </w:r>
      <w:r>
        <w:rPr>
          <w:noProof/>
        </w:rPr>
        <w:tab/>
        <w:t>Percentage of people receiving OST treatment with specialist services and GPs, by DHB, 2013</w:t>
      </w:r>
      <w:r>
        <w:rPr>
          <w:noProof/>
        </w:rPr>
        <w:tab/>
      </w:r>
      <w:r>
        <w:rPr>
          <w:noProof/>
        </w:rPr>
        <w:fldChar w:fldCharType="begin"/>
      </w:r>
      <w:r>
        <w:rPr>
          <w:noProof/>
        </w:rPr>
        <w:instrText xml:space="preserve"> PAGEREF _Toc405113783 \h </w:instrText>
      </w:r>
      <w:r>
        <w:rPr>
          <w:noProof/>
        </w:rPr>
      </w:r>
      <w:r>
        <w:rPr>
          <w:noProof/>
        </w:rPr>
        <w:fldChar w:fldCharType="separate"/>
      </w:r>
      <w:r w:rsidR="0047500E">
        <w:rPr>
          <w:noProof/>
        </w:rPr>
        <w:t>60</w:t>
      </w:r>
      <w:r>
        <w:rPr>
          <w:noProof/>
        </w:rPr>
        <w:fldChar w:fldCharType="end"/>
      </w:r>
    </w:p>
    <w:p w:rsidR="004F0A52" w:rsidRDefault="004F0A52">
      <w:pPr>
        <w:pStyle w:val="TOC3"/>
        <w:rPr>
          <w:rFonts w:asciiTheme="minorHAnsi" w:eastAsiaTheme="minorEastAsia" w:hAnsiTheme="minorHAnsi" w:cstheme="minorBidi"/>
          <w:noProof/>
          <w:szCs w:val="22"/>
          <w:lang w:eastAsia="en-NZ"/>
        </w:rPr>
      </w:pPr>
      <w:r>
        <w:rPr>
          <w:noProof/>
        </w:rPr>
        <w:t>Figure 30:</w:t>
      </w:r>
      <w:r>
        <w:rPr>
          <w:noProof/>
        </w:rPr>
        <w:tab/>
        <w:t>Client withdrawal from OST programmes, voluntary, involuntary or death, 2008 to 2013</w:t>
      </w:r>
      <w:r>
        <w:rPr>
          <w:noProof/>
        </w:rPr>
        <w:tab/>
      </w:r>
      <w:r>
        <w:rPr>
          <w:noProof/>
        </w:rPr>
        <w:fldChar w:fldCharType="begin"/>
      </w:r>
      <w:r>
        <w:rPr>
          <w:noProof/>
        </w:rPr>
        <w:instrText xml:space="preserve"> PAGEREF _Toc405113784 \h </w:instrText>
      </w:r>
      <w:r>
        <w:rPr>
          <w:noProof/>
        </w:rPr>
      </w:r>
      <w:r>
        <w:rPr>
          <w:noProof/>
        </w:rPr>
        <w:fldChar w:fldCharType="separate"/>
      </w:r>
      <w:r w:rsidR="0047500E">
        <w:rPr>
          <w:noProof/>
        </w:rPr>
        <w:t>62</w:t>
      </w:r>
      <w:r>
        <w:rPr>
          <w:noProof/>
        </w:rPr>
        <w:fldChar w:fldCharType="end"/>
      </w:r>
    </w:p>
    <w:p w:rsidR="003A5FEA" w:rsidRPr="00642432" w:rsidRDefault="003A5FEA" w:rsidP="003A5FEA">
      <w:r w:rsidRPr="00642432">
        <w:fldChar w:fldCharType="end"/>
      </w:r>
    </w:p>
    <w:p w:rsidR="0021763B" w:rsidRPr="00642432" w:rsidRDefault="0021763B" w:rsidP="0021763B">
      <w:pPr>
        <w:pStyle w:val="Heading1"/>
      </w:pPr>
      <w:r w:rsidRPr="00642432">
        <w:br w:type="page"/>
      </w:r>
      <w:bookmarkStart w:id="4" w:name="_Toc405113648"/>
      <w:r w:rsidRPr="00642432">
        <w:t>Executive summary</w:t>
      </w:r>
      <w:bookmarkEnd w:id="4"/>
    </w:p>
    <w:p w:rsidR="004659AD" w:rsidRPr="00642432" w:rsidRDefault="004659AD" w:rsidP="00760BD3">
      <w:pPr>
        <w:pStyle w:val="Bullet"/>
      </w:pPr>
      <w:r w:rsidRPr="00642432">
        <w:t>In 2013, a record number of people accessed specialist mental health and addiction services (154,378 people, or 3.5 percent of the New Zealand population). Most (91 percent) of these people accessed services in the community. A small proportion of service users (approximately 6 percent</w:t>
      </w:r>
      <w:r w:rsidRPr="00642432">
        <w:rPr>
          <w:sz w:val="11"/>
          <w:szCs w:val="11"/>
        </w:rPr>
        <w:t>1</w:t>
      </w:r>
      <w:r w:rsidRPr="00642432">
        <w:t>) had contact with compulsory assessment and/or treatment under the Mental Health (Compulsory Assessment and Treatment) Act 1992 (the Mental Health Act).</w:t>
      </w:r>
    </w:p>
    <w:p w:rsidR="004659AD" w:rsidRPr="00642432" w:rsidRDefault="004659AD" w:rsidP="00760BD3">
      <w:pPr>
        <w:pStyle w:val="Bullet"/>
      </w:pPr>
      <w:r w:rsidRPr="00642432">
        <w:t>Māori are over-represented under the Mental Health Act. In 2013, Māori were</w:t>
      </w:r>
      <w:r w:rsidR="00D32DDD" w:rsidRPr="00642432">
        <w:t xml:space="preserve"> </w:t>
      </w:r>
      <w:r w:rsidRPr="00642432">
        <w:t>2.9 times more likely to be under a community treatment order (section 29 of the Mental Health Act) than non-Māori. Reducing the disparity in mental health outcomes for Māori is a priority action for the Ministry of Health and district health boards.</w:t>
      </w:r>
    </w:p>
    <w:p w:rsidR="004659AD" w:rsidRPr="00642432" w:rsidRDefault="004659AD" w:rsidP="00760BD3">
      <w:pPr>
        <w:pStyle w:val="Bullet"/>
      </w:pPr>
      <w:r w:rsidRPr="00642432">
        <w:t>In 2013, waiting times for mental health services decreased, consumer satisfaction was rated around</w:t>
      </w:r>
      <w:r w:rsidR="00760BD3">
        <w:t xml:space="preserve"> </w:t>
      </w:r>
      <w:r w:rsidRPr="00642432">
        <w:t>80 percent and approximately 91 percent of long-term service users had a relapse prevention plan.</w:t>
      </w:r>
    </w:p>
    <w:p w:rsidR="004659AD" w:rsidRPr="00642432" w:rsidRDefault="004659AD" w:rsidP="00760BD3">
      <w:pPr>
        <w:pStyle w:val="Bullet"/>
      </w:pPr>
      <w:r w:rsidRPr="00642432">
        <w:t>In 2013, the use of seclusion in adult inpatient units continued to decline, providing evidence that district health boards are changing their cultures and practices in regard to assisting individuals in acute distress. However, Māori are still over-represented in the seclusion figures. In 2013, Māori</w:t>
      </w:r>
      <w:r w:rsidR="00760BD3">
        <w:t xml:space="preserve"> </w:t>
      </w:r>
      <w:r w:rsidRPr="00642432">
        <w:t>were</w:t>
      </w:r>
      <w:r w:rsidR="00D32DDD" w:rsidRPr="00642432">
        <w:t xml:space="preserve"> </w:t>
      </w:r>
      <w:r w:rsidRPr="00642432">
        <w:t>3.7 times more likely to be secluded than non-Māori in an adult inpatient setting (per 100,000 population).</w:t>
      </w:r>
    </w:p>
    <w:p w:rsidR="004659AD" w:rsidRPr="00642432" w:rsidRDefault="004659AD" w:rsidP="00760BD3">
      <w:pPr>
        <w:pStyle w:val="Bullet"/>
      </w:pPr>
      <w:r w:rsidRPr="00642432">
        <w:t>In 2013, 253 people received electroconvulsive therapy (ECT) in New Zealand mental health services.</w:t>
      </w:r>
      <w:r w:rsidR="00760BD3">
        <w:t xml:space="preserve"> </w:t>
      </w:r>
      <w:r w:rsidRPr="00642432">
        <w:t>Those treated received an average of nine administrations over</w:t>
      </w:r>
      <w:r w:rsidR="00D32DDD" w:rsidRPr="00642432">
        <w:t xml:space="preserve"> </w:t>
      </w:r>
      <w:r w:rsidRPr="00642432">
        <w:t>the year. Women were</w:t>
      </w:r>
      <w:r w:rsidR="00D32DDD" w:rsidRPr="00642432">
        <w:t xml:space="preserve"> </w:t>
      </w:r>
      <w:r w:rsidRPr="00642432">
        <w:t>more likely to receive ECT than men, and older people were</w:t>
      </w:r>
      <w:r w:rsidR="00D32DDD" w:rsidRPr="00642432">
        <w:t xml:space="preserve"> </w:t>
      </w:r>
      <w:r w:rsidRPr="00642432">
        <w:t>more likely to receive ECT than younger people.</w:t>
      </w:r>
    </w:p>
    <w:p w:rsidR="004659AD" w:rsidRPr="00642432" w:rsidRDefault="004659AD" w:rsidP="00760BD3">
      <w:pPr>
        <w:pStyle w:val="Bullet"/>
      </w:pPr>
      <w:r w:rsidRPr="00642432">
        <w:t>For the first time, information on serious adverse events reported to the Health Quality and Safety Commission (HQSC) by district health boards has</w:t>
      </w:r>
      <w:r w:rsidR="00D32DDD" w:rsidRPr="00642432">
        <w:t xml:space="preserve"> </w:t>
      </w:r>
      <w:r w:rsidRPr="00642432">
        <w:t>been included in the Annual Report. In 2013, mental health and addiction services reported 161 serious adverse events to the HQSC.</w:t>
      </w:r>
    </w:p>
    <w:p w:rsidR="004659AD" w:rsidRPr="00642432" w:rsidRDefault="004659AD" w:rsidP="00760BD3">
      <w:pPr>
        <w:pStyle w:val="Bullet"/>
      </w:pPr>
      <w:r w:rsidRPr="00642432">
        <w:t>Approximately 500</w:t>
      </w:r>
      <w:r w:rsidR="00D32DDD" w:rsidRPr="00642432">
        <w:t xml:space="preserve"> </w:t>
      </w:r>
      <w:r w:rsidRPr="00642432">
        <w:t>New Zealanders die by suicide every year. A total of 493 suicides is recorded in the mortality database for 2011. Approximately 40 percent of those who</w:t>
      </w:r>
      <w:r w:rsidR="00D32DDD" w:rsidRPr="00642432">
        <w:t xml:space="preserve"> </w:t>
      </w:r>
      <w:r w:rsidRPr="00642432">
        <w:t>died by suicide or undetermined intent (aged 10 to 64 years) were</w:t>
      </w:r>
      <w:r w:rsidR="00D32DDD" w:rsidRPr="00642432">
        <w:t xml:space="preserve"> </w:t>
      </w:r>
      <w:r w:rsidRPr="00642432">
        <w:t>mental health service users. Mental disorders are a significant risk factor for suicidal behaviour.</w:t>
      </w:r>
    </w:p>
    <w:p w:rsidR="0021763B" w:rsidRPr="00642432" w:rsidRDefault="0021763B" w:rsidP="00760BD3"/>
    <w:p w:rsidR="00C86248" w:rsidRPr="00642432" w:rsidRDefault="00C86248" w:rsidP="0086388B"/>
    <w:p w:rsidR="00C86248" w:rsidRPr="00642432" w:rsidRDefault="00C86248">
      <w:pPr>
        <w:sectPr w:rsidR="00C86248" w:rsidRPr="00642432" w:rsidSect="009D5125">
          <w:headerReference w:type="even" r:id="rId16"/>
          <w:headerReference w:type="default" r:id="rId17"/>
          <w:footerReference w:type="even" r:id="rId18"/>
          <w:footerReference w:type="default" r:id="rId19"/>
          <w:pgSz w:w="11907" w:h="16840" w:code="9"/>
          <w:pgMar w:top="851" w:right="1134" w:bottom="1134" w:left="1134" w:header="284" w:footer="567" w:gutter="284"/>
          <w:pgNumType w:fmt="lowerRoman"/>
          <w:cols w:space="720"/>
        </w:sectPr>
      </w:pPr>
    </w:p>
    <w:p w:rsidR="008C2973" w:rsidRPr="00642432" w:rsidRDefault="0086388B" w:rsidP="0086388B">
      <w:pPr>
        <w:pStyle w:val="Heading1"/>
      </w:pPr>
      <w:bookmarkStart w:id="5" w:name="_Toc405113649"/>
      <w:r w:rsidRPr="00642432">
        <w:t>Introduction</w:t>
      </w:r>
      <w:bookmarkEnd w:id="5"/>
    </w:p>
    <w:p w:rsidR="0086388B" w:rsidRPr="00642432" w:rsidRDefault="004659AD" w:rsidP="00760BD3">
      <w:pPr>
        <w:pStyle w:val="Heading2"/>
      </w:pPr>
      <w:bookmarkStart w:id="6" w:name="_Toc405113650"/>
      <w:r w:rsidRPr="00642432">
        <w:t>Objectives</w:t>
      </w:r>
      <w:bookmarkEnd w:id="6"/>
    </w:p>
    <w:p w:rsidR="004659AD" w:rsidRPr="00642432" w:rsidRDefault="004659AD" w:rsidP="00760BD3">
      <w:r w:rsidRPr="00642432">
        <w:t>The objectives of this report are to:</w:t>
      </w:r>
    </w:p>
    <w:p w:rsidR="004659AD" w:rsidRPr="00642432" w:rsidRDefault="004659AD" w:rsidP="00760BD3">
      <w:pPr>
        <w:pStyle w:val="Bullet"/>
      </w:pPr>
      <w:r w:rsidRPr="00642432">
        <w:t>provide information about specific clinical activities that must be reported to the Director of Mental Health under the Mental Health (Compulsory Assessment and Treatment) Act 1992 (the Mental Health Act)</w:t>
      </w:r>
    </w:p>
    <w:p w:rsidR="004659AD" w:rsidRPr="00642432" w:rsidRDefault="004659AD" w:rsidP="00760BD3">
      <w:pPr>
        <w:pStyle w:val="Bullet"/>
      </w:pPr>
      <w:r w:rsidRPr="00642432">
        <w:t>report on the activities of statutory officers under the Mental Health Act (such as district inspectors and the Mental Health Review Tribunal)</w:t>
      </w:r>
    </w:p>
    <w:p w:rsidR="004659AD" w:rsidRPr="00642432" w:rsidRDefault="004659AD" w:rsidP="00760BD3">
      <w:pPr>
        <w:pStyle w:val="Bullet"/>
      </w:pPr>
      <w:r w:rsidRPr="00642432">
        <w:t>contribute to the improvement of standards of care and treatment for people with a mental illness through active monitoring of services against targets and performance indicators led by the Ministry of Health (the Ministry)</w:t>
      </w:r>
    </w:p>
    <w:p w:rsidR="004659AD" w:rsidRPr="00642432" w:rsidRDefault="004659AD" w:rsidP="00760BD3">
      <w:pPr>
        <w:pStyle w:val="Bullet"/>
      </w:pPr>
      <w:r w:rsidRPr="00642432">
        <w:t>inform mental health service users, their families and whānau, service providers and members of the public about the role,</w:t>
      </w:r>
      <w:r w:rsidR="00D32DDD" w:rsidRPr="00642432">
        <w:t xml:space="preserve"> </w:t>
      </w:r>
      <w:r w:rsidRPr="00642432">
        <w:t>function and activities of the Office of the Director of Mental Health (the Office) and the Chief</w:t>
      </w:r>
      <w:r w:rsidR="00D32DDD" w:rsidRPr="00642432">
        <w:t xml:space="preserve"> </w:t>
      </w:r>
      <w:r w:rsidRPr="00642432">
        <w:t>Advisor, Mental Health.</w:t>
      </w:r>
    </w:p>
    <w:p w:rsidR="004659AD" w:rsidRPr="00642432" w:rsidRDefault="004659AD" w:rsidP="00760BD3"/>
    <w:p w:rsidR="004659AD" w:rsidRPr="00642432" w:rsidRDefault="004659AD" w:rsidP="00760BD3">
      <w:pPr>
        <w:pStyle w:val="Heading2"/>
      </w:pPr>
      <w:bookmarkStart w:id="7" w:name="_Toc405113651"/>
      <w:r w:rsidRPr="00642432">
        <w:t>Structure</w:t>
      </w:r>
      <w:bookmarkEnd w:id="7"/>
    </w:p>
    <w:p w:rsidR="004659AD" w:rsidRPr="00642432" w:rsidRDefault="004659AD" w:rsidP="00760BD3">
      <w:r w:rsidRPr="00642432">
        <w:t>This</w:t>
      </w:r>
      <w:r w:rsidR="00D32DDD" w:rsidRPr="00642432">
        <w:t xml:space="preserve"> </w:t>
      </w:r>
      <w:r w:rsidRPr="00642432">
        <w:t>report is divided into three main sections. The first section (‘Context’) provides an overview of the legislative and service delivery contexts in which the Office operates. The second section (‘Activities for</w:t>
      </w:r>
      <w:r w:rsidR="00760BD3">
        <w:t xml:space="preserve"> </w:t>
      </w:r>
      <w:r w:rsidRPr="00642432">
        <w:t>2013’) describes the work</w:t>
      </w:r>
      <w:r w:rsidR="00D32DDD" w:rsidRPr="00642432">
        <w:t xml:space="preserve"> </w:t>
      </w:r>
      <w:r w:rsidRPr="00642432">
        <w:t>carried out</w:t>
      </w:r>
      <w:r w:rsidR="00D32DDD" w:rsidRPr="00642432">
        <w:t xml:space="preserve"> </w:t>
      </w:r>
      <w:r w:rsidRPr="00642432">
        <w:t>by the Office in 2013. The final</w:t>
      </w:r>
      <w:r w:rsidR="00D32DDD" w:rsidRPr="00642432">
        <w:t xml:space="preserve"> </w:t>
      </w:r>
      <w:r w:rsidRPr="00642432">
        <w:t>section (‘Ensuring service quality’) provides statistical information, which covers the use of compulsion, seclusion, reportable deaths and electroconvulsive therapy during the reporting period.</w:t>
      </w:r>
    </w:p>
    <w:p w:rsidR="004659AD" w:rsidRPr="00642432" w:rsidRDefault="004659AD" w:rsidP="00760BD3"/>
    <w:p w:rsidR="00760BD3" w:rsidRDefault="00760BD3" w:rsidP="00760BD3">
      <w:r>
        <w:br w:type="page"/>
      </w:r>
    </w:p>
    <w:p w:rsidR="004659AD" w:rsidRDefault="004659AD" w:rsidP="00760BD3">
      <w:pPr>
        <w:pStyle w:val="Heading1"/>
      </w:pPr>
      <w:bookmarkStart w:id="8" w:name="_Toc405113652"/>
      <w:r w:rsidRPr="00642432">
        <w:t>Context</w:t>
      </w:r>
      <w:bookmarkEnd w:id="8"/>
    </w:p>
    <w:p w:rsidR="004659AD" w:rsidRPr="00642432" w:rsidRDefault="004659AD" w:rsidP="00760BD3">
      <w:pPr>
        <w:pStyle w:val="Heading2"/>
      </w:pPr>
      <w:bookmarkStart w:id="9" w:name="_Toc405113653"/>
      <w:r w:rsidRPr="00642432">
        <w:t>The Ministry of Health</w:t>
      </w:r>
      <w:bookmarkEnd w:id="9"/>
    </w:p>
    <w:p w:rsidR="004659AD" w:rsidRPr="005F08D6" w:rsidRDefault="004659AD" w:rsidP="00760BD3">
      <w:pPr>
        <w:rPr>
          <w:spacing w:val="-2"/>
        </w:rPr>
      </w:pPr>
      <w:r w:rsidRPr="005F08D6">
        <w:rPr>
          <w:spacing w:val="-2"/>
        </w:rPr>
        <w:t>The Ministry of Health improves, promotes and protects the mental health of New Zealanders by:</w:t>
      </w:r>
    </w:p>
    <w:p w:rsidR="004659AD" w:rsidRPr="00642432" w:rsidRDefault="004659AD" w:rsidP="00760BD3">
      <w:pPr>
        <w:pStyle w:val="Bullet"/>
      </w:pPr>
      <w:r w:rsidRPr="00642432">
        <w:t>providing whole-of-sector leadership of the New Zealand health and disability system</w:t>
      </w:r>
    </w:p>
    <w:p w:rsidR="004659AD" w:rsidRPr="00642432" w:rsidRDefault="004659AD" w:rsidP="00760BD3">
      <w:pPr>
        <w:pStyle w:val="Bullet"/>
      </w:pPr>
      <w:r w:rsidRPr="00642432">
        <w:t>advising the Minister of Health and the Government on mental health issues</w:t>
      </w:r>
    </w:p>
    <w:p w:rsidR="004659AD" w:rsidRPr="00642432" w:rsidRDefault="004659AD" w:rsidP="00760BD3">
      <w:pPr>
        <w:pStyle w:val="Bullet"/>
      </w:pPr>
      <w:r w:rsidRPr="00642432">
        <w:t>directly purchasing a range of important national mental health services</w:t>
      </w:r>
    </w:p>
    <w:p w:rsidR="004659AD" w:rsidRPr="00642432" w:rsidRDefault="004659AD" w:rsidP="00760BD3">
      <w:pPr>
        <w:pStyle w:val="Bullet"/>
      </w:pPr>
      <w:r w:rsidRPr="00642432">
        <w:t>providing health sector information and payment services.</w:t>
      </w:r>
    </w:p>
    <w:p w:rsidR="004659AD" w:rsidRPr="00642432" w:rsidRDefault="004659AD" w:rsidP="00760BD3"/>
    <w:p w:rsidR="004659AD" w:rsidRPr="00642432" w:rsidRDefault="004659AD" w:rsidP="00760BD3">
      <w:r w:rsidRPr="00642432">
        <w:t>Ministry groups play</w:t>
      </w:r>
      <w:r w:rsidR="00D32DDD" w:rsidRPr="00642432">
        <w:t xml:space="preserve"> </w:t>
      </w:r>
      <w:r w:rsidRPr="00642432">
        <w:t>a number of roles in leading and supporting mental health services. The Clinical Leadership, Protection and Regulation business unit monitors the quality of mental health</w:t>
      </w:r>
      <w:r w:rsidR="00760BD3">
        <w:t xml:space="preserve"> </w:t>
      </w:r>
      <w:r w:rsidRPr="00642432">
        <w:t>and addiction services and the safety of compulsory mental health treatment, through the Office of the Director of Mental Health and provider regulation groups.</w:t>
      </w:r>
    </w:p>
    <w:p w:rsidR="004659AD" w:rsidRPr="00642432" w:rsidRDefault="004659AD" w:rsidP="00760BD3"/>
    <w:p w:rsidR="004659AD" w:rsidRPr="00642432" w:rsidRDefault="004659AD" w:rsidP="00760BD3">
      <w:r w:rsidRPr="00642432">
        <w:t>The Sector, Capability and Implementation business unit supports the implementation of mental health policy through the Mental Health Service Improvement and Māori Health Service Improvement groups.</w:t>
      </w:r>
    </w:p>
    <w:p w:rsidR="004659AD" w:rsidRPr="00642432" w:rsidRDefault="004659AD" w:rsidP="00760BD3"/>
    <w:p w:rsidR="004659AD" w:rsidRPr="00642432" w:rsidRDefault="004659AD" w:rsidP="00760BD3">
      <w:pPr>
        <w:pStyle w:val="Box"/>
      </w:pPr>
      <w:r w:rsidRPr="00642432">
        <w:t>Over the last 50 years,</w:t>
      </w:r>
      <w:r w:rsidR="00760BD3">
        <w:t xml:space="preserve"> </w:t>
      </w:r>
      <w:r w:rsidRPr="00642432">
        <w:t>New Zealand mental health services have moved from an institutional model to a recovery model that</w:t>
      </w:r>
      <w:r w:rsidR="00760BD3">
        <w:t xml:space="preserve"> </w:t>
      </w:r>
      <w:r w:rsidRPr="00642432">
        <w:t>emphasises community treatment.</w:t>
      </w:r>
    </w:p>
    <w:p w:rsidR="004659AD" w:rsidRPr="00642432" w:rsidRDefault="004659AD" w:rsidP="00760BD3"/>
    <w:p w:rsidR="004659AD" w:rsidRPr="00642432" w:rsidRDefault="004659AD" w:rsidP="00760BD3">
      <w:r w:rsidRPr="00642432">
        <w:t>Clinical and policy leaders from these groups collaborate with the Policy business unit to advise the</w:t>
      </w:r>
      <w:r w:rsidR="00760BD3">
        <w:t xml:space="preserve"> </w:t>
      </w:r>
      <w:r w:rsidRPr="00642432">
        <w:t>Government on mental health policy and to implement policy.</w:t>
      </w:r>
    </w:p>
    <w:p w:rsidR="004659AD" w:rsidRPr="00642432" w:rsidRDefault="004659AD" w:rsidP="00760BD3"/>
    <w:p w:rsidR="004659AD" w:rsidRPr="00642432" w:rsidRDefault="004659AD" w:rsidP="00760BD3">
      <w:r w:rsidRPr="00642432">
        <w:t>The National Health Board is responsible for the funding, monitoring and planning of district health boards (DHBs), including the annual funding and planning rounds. The Office of the Chief</w:t>
      </w:r>
      <w:r w:rsidR="00D32DDD" w:rsidRPr="00642432">
        <w:t xml:space="preserve"> </w:t>
      </w:r>
      <w:r w:rsidRPr="00642432">
        <w:t>Nurse works to optimise the contribution of nursing to Government objectives and to the health and wellbeing of New Zealanders.</w:t>
      </w:r>
    </w:p>
    <w:p w:rsidR="004659AD" w:rsidRPr="00642432" w:rsidRDefault="004659AD" w:rsidP="00760BD3"/>
    <w:p w:rsidR="004659AD" w:rsidRPr="00642432" w:rsidRDefault="004659AD" w:rsidP="00760BD3">
      <w:r w:rsidRPr="00642432">
        <w:t>All of these Ministry teams have representation in the Mental Health Governance Group. The Governance Group was established in 2012 by the Director of Mental Health. The Governance Group allows the Director to collaborate closely with colleagues from across the Ministry, enabling different business units to work</w:t>
      </w:r>
      <w:r w:rsidR="00D32DDD" w:rsidRPr="00642432">
        <w:t xml:space="preserve"> </w:t>
      </w:r>
      <w:r w:rsidRPr="00642432">
        <w:t>effectively together to reach mental health objectives.</w:t>
      </w:r>
    </w:p>
    <w:p w:rsidR="004659AD" w:rsidRPr="00642432" w:rsidRDefault="004659AD" w:rsidP="00760BD3"/>
    <w:p w:rsidR="004659AD" w:rsidRPr="00642432" w:rsidRDefault="004659AD" w:rsidP="00760BD3">
      <w:pPr>
        <w:pStyle w:val="Heading2"/>
      </w:pPr>
      <w:bookmarkStart w:id="10" w:name="_Toc405113654"/>
      <w:r w:rsidRPr="00642432">
        <w:t>Rising to the challenge</w:t>
      </w:r>
      <w:bookmarkEnd w:id="10"/>
    </w:p>
    <w:p w:rsidR="004659AD" w:rsidRPr="00642432" w:rsidRDefault="004659AD" w:rsidP="00760BD3">
      <w:pPr>
        <w:keepNext/>
      </w:pPr>
      <w:r w:rsidRPr="00642432">
        <w:t>Over the last 50 years, New Zealand mental health services have moved from an institutional model to a recovery model that emphasises community treatment. Compulsory inpatient treatment has</w:t>
      </w:r>
      <w:r w:rsidR="00D32DDD" w:rsidRPr="00642432">
        <w:t xml:space="preserve"> </w:t>
      </w:r>
      <w:r w:rsidRPr="00642432">
        <w:t>largely given way to voluntary engagement with mental health services in a community setting.</w:t>
      </w:r>
    </w:p>
    <w:p w:rsidR="004659AD" w:rsidRPr="00642432" w:rsidRDefault="004659AD" w:rsidP="00760BD3">
      <w:pPr>
        <w:keepNext/>
      </w:pPr>
    </w:p>
    <w:p w:rsidR="004659AD" w:rsidRPr="00642432" w:rsidRDefault="004659AD" w:rsidP="00760BD3">
      <w:pPr>
        <w:keepLines/>
      </w:pPr>
      <w:r w:rsidRPr="00642432">
        <w:t xml:space="preserve">In 2012 the Cabinet approved </w:t>
      </w:r>
      <w:r w:rsidRPr="00642432">
        <w:rPr>
          <w:i/>
        </w:rPr>
        <w:t>Rising to the Challenge: The Mental Health and Addiction Service Development Plan 2012–2017</w:t>
      </w:r>
      <w:r w:rsidR="00D32DDD" w:rsidRPr="00642432">
        <w:rPr>
          <w:i/>
        </w:rPr>
        <w:t xml:space="preserve"> </w:t>
      </w:r>
      <w:r w:rsidRPr="00642432">
        <w:t>(Ministry of Health 2012e). This</w:t>
      </w:r>
      <w:r w:rsidR="00D32DDD" w:rsidRPr="00642432">
        <w:t xml:space="preserve"> </w:t>
      </w:r>
      <w:r w:rsidRPr="00642432">
        <w:t>document builds on improvements to this model of mental health care by providing a strategic direction for mental health service improvement over</w:t>
      </w:r>
      <w:r w:rsidR="00D32DDD" w:rsidRPr="00642432">
        <w:t xml:space="preserve"> </w:t>
      </w:r>
      <w:r w:rsidRPr="00642432">
        <w:t>the next five years.</w:t>
      </w:r>
    </w:p>
    <w:p w:rsidR="004659AD" w:rsidRPr="00642432" w:rsidRDefault="004659AD" w:rsidP="00760BD3"/>
    <w:p w:rsidR="004659AD" w:rsidRPr="00642432" w:rsidRDefault="004659AD" w:rsidP="00760BD3">
      <w:r w:rsidRPr="00642432">
        <w:rPr>
          <w:i/>
        </w:rPr>
        <w:t xml:space="preserve">Rising to the Challenge </w:t>
      </w:r>
      <w:r w:rsidRPr="00642432">
        <w:t>outlines key actions to build on and enhance mental health service delivery, with the aim</w:t>
      </w:r>
      <w:r w:rsidR="00D32DDD" w:rsidRPr="00642432">
        <w:t xml:space="preserve"> </w:t>
      </w:r>
      <w:r w:rsidRPr="00642432">
        <w:t>of improving wellbeing and resilience, expanding access and decreasing waiting times.</w:t>
      </w:r>
    </w:p>
    <w:p w:rsidR="004659AD" w:rsidRPr="00642432" w:rsidRDefault="004659AD" w:rsidP="00760BD3"/>
    <w:p w:rsidR="004659AD" w:rsidRPr="00642432" w:rsidRDefault="004659AD" w:rsidP="00760BD3">
      <w:r w:rsidRPr="00642432">
        <w:rPr>
          <w:i/>
        </w:rPr>
        <w:t xml:space="preserve">Rising to the Challenge </w:t>
      </w:r>
      <w:r w:rsidRPr="00642432">
        <w:t xml:space="preserve">also targets disparities in mental health outcomes for certain groups, including Māori, Pacific peoples, refugees, and people with disabilities. Implementation of </w:t>
      </w:r>
      <w:r w:rsidRPr="00642432">
        <w:rPr>
          <w:i/>
        </w:rPr>
        <w:t xml:space="preserve">Rising to the Challenge </w:t>
      </w:r>
      <w:r w:rsidRPr="00642432">
        <w:t>is the responsibility of the Ministry, DHBs, other government agencies, and non- governmental organisations (NGOs) contracted to provide mental health and addiction services.</w:t>
      </w:r>
    </w:p>
    <w:p w:rsidR="004659AD" w:rsidRPr="00642432" w:rsidRDefault="004659AD" w:rsidP="00760BD3"/>
    <w:p w:rsidR="004659AD" w:rsidRPr="00642432" w:rsidRDefault="004659AD" w:rsidP="00760BD3">
      <w:pPr>
        <w:pStyle w:val="Heading2"/>
      </w:pPr>
      <w:bookmarkStart w:id="11" w:name="_Toc405113655"/>
      <w:r w:rsidRPr="00642432">
        <w:t>From ‘patients’ to people</w:t>
      </w:r>
      <w:bookmarkEnd w:id="11"/>
    </w:p>
    <w:p w:rsidR="004659AD" w:rsidRPr="00642432" w:rsidRDefault="004659AD" w:rsidP="00760BD3">
      <w:r w:rsidRPr="00642432">
        <w:t>Promotion of mental health is about changing attitudes, and supporting a positive culture shift around mental health issues. Part of this process involves changing the language used to speak about people who</w:t>
      </w:r>
      <w:r w:rsidR="00D32DDD" w:rsidRPr="00642432">
        <w:t xml:space="preserve"> </w:t>
      </w:r>
      <w:r w:rsidRPr="00642432">
        <w:t>experience mental health issues, particularly language that positions people with mental health issues as different or ‘other’.</w:t>
      </w:r>
    </w:p>
    <w:p w:rsidR="004659AD" w:rsidRPr="00642432" w:rsidRDefault="004659AD" w:rsidP="00E876AC"/>
    <w:p w:rsidR="004659AD" w:rsidRPr="00642432" w:rsidRDefault="004659AD" w:rsidP="00E876AC">
      <w:r w:rsidRPr="00642432">
        <w:t>In line</w:t>
      </w:r>
      <w:r w:rsidR="00D32DDD" w:rsidRPr="00642432">
        <w:t xml:space="preserve"> </w:t>
      </w:r>
      <w:r w:rsidRPr="00642432">
        <w:t>with this approach, the word ‘patients’ in</w:t>
      </w:r>
      <w:r w:rsidR="00E876AC">
        <w:t xml:space="preserve"> </w:t>
      </w:r>
      <w:r w:rsidRPr="00642432">
        <w:t>this report has</w:t>
      </w:r>
      <w:r w:rsidR="00D32DDD" w:rsidRPr="00642432">
        <w:t xml:space="preserve"> </w:t>
      </w:r>
      <w:r w:rsidRPr="00642432">
        <w:t>been replaced with the word ‘people’ (where practicable). This</w:t>
      </w:r>
      <w:r w:rsidR="00D32DDD" w:rsidRPr="00642432">
        <w:t xml:space="preserve"> </w:t>
      </w:r>
      <w:r w:rsidRPr="00642432">
        <w:t>change is a gesture towards normalising mental health issues and de-emphasising the difference between those who</w:t>
      </w:r>
      <w:r w:rsidR="00D32DDD" w:rsidRPr="00642432">
        <w:t xml:space="preserve"> </w:t>
      </w:r>
      <w:r w:rsidRPr="00642432">
        <w:t>seek</w:t>
      </w:r>
      <w:r w:rsidR="00D32DDD" w:rsidRPr="00642432">
        <w:t xml:space="preserve"> </w:t>
      </w:r>
      <w:r w:rsidRPr="00642432">
        <w:t>mental health services and other New Zealanders.</w:t>
      </w:r>
    </w:p>
    <w:p w:rsidR="004659AD" w:rsidRPr="00642432" w:rsidRDefault="004659AD" w:rsidP="00E876AC"/>
    <w:p w:rsidR="004659AD" w:rsidRPr="00642432" w:rsidRDefault="004659AD" w:rsidP="00E876AC">
      <w:pPr>
        <w:pStyle w:val="Box"/>
      </w:pPr>
      <w:r w:rsidRPr="00642432">
        <w:t>A well-informed New Zealand public will create an inclusive culture of participation, equality and fairness, allowing each person the space to prosper, thrive and realise their potential.</w:t>
      </w:r>
    </w:p>
    <w:p w:rsidR="004659AD" w:rsidRPr="00642432" w:rsidRDefault="004659AD" w:rsidP="00E876AC"/>
    <w:p w:rsidR="004659AD" w:rsidRPr="00642432" w:rsidRDefault="004659AD" w:rsidP="00E876AC">
      <w:r w:rsidRPr="00642432">
        <w:t>Mental health promotion is an invaluable intervention</w:t>
      </w:r>
      <w:r w:rsidR="00E876AC">
        <w:t xml:space="preserve"> </w:t>
      </w:r>
      <w:r w:rsidRPr="00642432">
        <w:t>for people who</w:t>
      </w:r>
      <w:r w:rsidR="00D32DDD" w:rsidRPr="00642432">
        <w:t xml:space="preserve"> </w:t>
      </w:r>
      <w:r w:rsidRPr="00642432">
        <w:t>experience mental illness. A well-informed New Zealand public will create an inclusive culture of participation, equality and fairness, allowing each person the space to prosper, thrive and realise their potential (Ministry of Health 1996).</w:t>
      </w:r>
    </w:p>
    <w:p w:rsidR="004659AD" w:rsidRPr="00642432" w:rsidRDefault="004659AD" w:rsidP="00E876AC"/>
    <w:p w:rsidR="0082421B" w:rsidRDefault="0082421B" w:rsidP="0082421B">
      <w:r>
        <w:br w:type="page"/>
      </w:r>
    </w:p>
    <w:p w:rsidR="004659AD" w:rsidRPr="00642432" w:rsidRDefault="004659AD" w:rsidP="00E876AC">
      <w:pPr>
        <w:pStyle w:val="Heading3"/>
      </w:pPr>
      <w:r w:rsidRPr="00642432">
        <w:t>Sector voices</w:t>
      </w:r>
    </w:p>
    <w:p w:rsidR="004659AD" w:rsidRPr="00642432" w:rsidRDefault="0082421B" w:rsidP="0082421B">
      <w:pPr>
        <w:pStyle w:val="Heading4"/>
        <w:keepNext w:val="0"/>
      </w:pPr>
      <w:r>
        <w:rPr>
          <w:noProof/>
          <w:lang w:eastAsia="en-NZ"/>
        </w:rPr>
        <w:drawing>
          <wp:anchor distT="0" distB="0" distL="0" distR="114300" simplePos="0" relativeHeight="251979776" behindDoc="0" locked="0" layoutInCell="1" allowOverlap="1" wp14:anchorId="14F4FE7F" wp14:editId="15D40D01">
            <wp:simplePos x="0" y="0"/>
            <wp:positionH relativeFrom="column">
              <wp:posOffset>-47625</wp:posOffset>
            </wp:positionH>
            <wp:positionV relativeFrom="paragraph">
              <wp:posOffset>635</wp:posOffset>
            </wp:positionV>
            <wp:extent cx="1396365" cy="1763395"/>
            <wp:effectExtent l="0" t="0" r="0" b="8255"/>
            <wp:wrapSquare wrapText="right"/>
            <wp:docPr id="5532" name="Picture 5532" descr="Photo of Kieran Moorhead – Consumer leader at Changing Minds" title=" Kieran Moor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39636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9AD" w:rsidRPr="00642432">
        <w:t>Kieran Moorhead – Consumer leader at Changing Minds</w:t>
      </w:r>
    </w:p>
    <w:p w:rsidR="004659AD" w:rsidRPr="00642432" w:rsidRDefault="004659AD" w:rsidP="0082421B">
      <w:r w:rsidRPr="00642432">
        <w:t>Hello, my name is Kieran Moorhead and I am a consumer leader at Changing</w:t>
      </w:r>
      <w:r w:rsidR="00E876AC">
        <w:t xml:space="preserve"> </w:t>
      </w:r>
      <w:r w:rsidRPr="00642432">
        <w:t>Minds, working with the three metro district health boards in Auckland.</w:t>
      </w:r>
    </w:p>
    <w:p w:rsidR="004659AD" w:rsidRPr="00642432" w:rsidRDefault="004659AD" w:rsidP="0082421B"/>
    <w:p w:rsidR="004659AD" w:rsidRPr="00642432" w:rsidRDefault="004659AD" w:rsidP="00E876AC">
      <w:r w:rsidRPr="00642432">
        <w:t>Consumer leadership was born out</w:t>
      </w:r>
      <w:r w:rsidR="00D32DDD" w:rsidRPr="00642432">
        <w:t xml:space="preserve"> </w:t>
      </w:r>
      <w:r w:rsidRPr="00642432">
        <w:t>of the consumer movement. It represents the shift from paternalistic ‘do what I say’ approaches towards a more collaborative, recovery-focused model.</w:t>
      </w:r>
    </w:p>
    <w:p w:rsidR="004659AD" w:rsidRPr="00642432" w:rsidRDefault="004659AD" w:rsidP="00E876AC"/>
    <w:p w:rsidR="004659AD" w:rsidRPr="0082421B" w:rsidRDefault="004659AD" w:rsidP="00E876AC">
      <w:pPr>
        <w:rPr>
          <w:spacing w:val="-2"/>
        </w:rPr>
      </w:pPr>
      <w:r w:rsidRPr="0082421B">
        <w:rPr>
          <w:spacing w:val="-2"/>
        </w:rPr>
        <w:t>As a consumer leader my role is to advocate for groups and communities on a systemic and policy-making level and drive towards positive change in mental health services.</w:t>
      </w:r>
    </w:p>
    <w:p w:rsidR="004659AD" w:rsidRPr="00642432" w:rsidRDefault="004659AD" w:rsidP="00E876AC"/>
    <w:p w:rsidR="004659AD" w:rsidRPr="00642432" w:rsidRDefault="004659AD" w:rsidP="00E876AC">
      <w:r w:rsidRPr="00642432">
        <w:t>The purpose of consumer leadership is to work</w:t>
      </w:r>
      <w:r w:rsidR="00D32DDD" w:rsidRPr="00642432">
        <w:t xml:space="preserve"> </w:t>
      </w:r>
      <w:r w:rsidRPr="00642432">
        <w:t>towards the equal distribution of collective power and to champion the voices of consumers.</w:t>
      </w:r>
    </w:p>
    <w:p w:rsidR="004659AD" w:rsidRPr="00642432" w:rsidRDefault="004659AD" w:rsidP="00E876AC"/>
    <w:p w:rsidR="004659AD" w:rsidRPr="00642432" w:rsidRDefault="004659AD" w:rsidP="00E876AC">
      <w:r w:rsidRPr="00642432">
        <w:t>Examples of the influence of consumer leadership are:</w:t>
      </w:r>
    </w:p>
    <w:p w:rsidR="004659AD" w:rsidRPr="00642432" w:rsidRDefault="004659AD" w:rsidP="00E876AC">
      <w:pPr>
        <w:pStyle w:val="Bullet"/>
      </w:pPr>
      <w:r w:rsidRPr="00642432">
        <w:t>increasing the use of peer support services</w:t>
      </w:r>
    </w:p>
    <w:p w:rsidR="004659AD" w:rsidRPr="00642432" w:rsidRDefault="004659AD" w:rsidP="00E876AC">
      <w:pPr>
        <w:pStyle w:val="Bullet"/>
      </w:pPr>
      <w:r w:rsidRPr="00642432">
        <w:t>communicating with DHBs about successes and service gaps</w:t>
      </w:r>
    </w:p>
    <w:p w:rsidR="004659AD" w:rsidRPr="00642432" w:rsidRDefault="004659AD" w:rsidP="00E876AC">
      <w:pPr>
        <w:pStyle w:val="Bullet"/>
      </w:pPr>
      <w:r w:rsidRPr="00642432">
        <w:t>ensuring there is collaboration and shared decision-making in mental health services</w:t>
      </w:r>
    </w:p>
    <w:p w:rsidR="004659AD" w:rsidRPr="00642432" w:rsidRDefault="004659AD" w:rsidP="00E876AC">
      <w:pPr>
        <w:pStyle w:val="Bullet"/>
      </w:pPr>
      <w:r w:rsidRPr="00642432">
        <w:t>promoting personalisation and self-directed care.</w:t>
      </w:r>
    </w:p>
    <w:p w:rsidR="004659AD" w:rsidRPr="00642432" w:rsidRDefault="004659AD" w:rsidP="00E876AC"/>
    <w:p w:rsidR="004659AD" w:rsidRPr="00642432" w:rsidRDefault="004659AD" w:rsidP="00E876AC">
      <w:r w:rsidRPr="00642432">
        <w:t>The most important qualities I need as a consumer leader are the ability to recognise the diverse range of human experiences and the fundamental belief that people can</w:t>
      </w:r>
      <w:r w:rsidR="00D32DDD" w:rsidRPr="00642432">
        <w:t xml:space="preserve"> </w:t>
      </w:r>
      <w:r w:rsidRPr="00642432">
        <w:t>live fulfilling and meaningful lives.</w:t>
      </w:r>
    </w:p>
    <w:p w:rsidR="004659AD" w:rsidRPr="00642432" w:rsidRDefault="004659AD" w:rsidP="00E876AC"/>
    <w:p w:rsidR="004659AD" w:rsidRPr="00642432" w:rsidRDefault="004659AD" w:rsidP="00E876AC">
      <w:r w:rsidRPr="00642432">
        <w:t>Consumer leadership is a growing role in the mental health sector. I am excited to be involved in the future of our</w:t>
      </w:r>
      <w:r w:rsidR="00D32DDD" w:rsidRPr="00642432">
        <w:t xml:space="preserve"> </w:t>
      </w:r>
      <w:r w:rsidRPr="00642432">
        <w:t>health services and how wider society views mental health.</w:t>
      </w:r>
    </w:p>
    <w:p w:rsidR="004659AD" w:rsidRPr="00642432" w:rsidRDefault="004659AD" w:rsidP="00E876AC"/>
    <w:p w:rsidR="004659AD" w:rsidRPr="00642432" w:rsidRDefault="004659AD" w:rsidP="00E876AC">
      <w:pPr>
        <w:pStyle w:val="Heading2"/>
      </w:pPr>
      <w:bookmarkStart w:id="12" w:name="_Toc405113656"/>
      <w:r w:rsidRPr="00642432">
        <w:t>Specialist mental health services</w:t>
      </w:r>
      <w:bookmarkEnd w:id="12"/>
    </w:p>
    <w:p w:rsidR="004659AD" w:rsidRPr="00642432" w:rsidRDefault="004659AD" w:rsidP="00222CA3">
      <w:pPr>
        <w:keepNext/>
      </w:pPr>
      <w:r w:rsidRPr="00642432">
        <w:t>Many people experiencing mental illness are supported by their general practitioner (GP) or another primary health care provider. Specialist mental health services provide support to people whose needs cannot be met by a primary care provider. In 2013, 154,378</w:t>
      </w:r>
      <w:r w:rsidR="00E876AC">
        <w:rPr>
          <w:rStyle w:val="FootnoteReference"/>
        </w:rPr>
        <w:footnoteReference w:id="1"/>
      </w:r>
      <w:r w:rsidR="00E876AC">
        <w:t xml:space="preserve"> p</w:t>
      </w:r>
      <w:r w:rsidRPr="00642432">
        <w:t>eople (3.5</w:t>
      </w:r>
      <w:r w:rsidR="00E876AC">
        <w:t> </w:t>
      </w:r>
      <w:r w:rsidRPr="00642432">
        <w:t>percent of the New Zealand population) engaged with a specialist mental health or addiction service.</w:t>
      </w:r>
    </w:p>
    <w:p w:rsidR="004659AD" w:rsidRPr="00642432" w:rsidRDefault="004659AD" w:rsidP="00222CA3">
      <w:pPr>
        <w:keepNext/>
      </w:pPr>
    </w:p>
    <w:p w:rsidR="004659AD" w:rsidRPr="00642432" w:rsidRDefault="004659AD" w:rsidP="00E876AC">
      <w:pPr>
        <w:pStyle w:val="Figure"/>
      </w:pPr>
      <w:bookmarkStart w:id="13" w:name="_Toc405113755"/>
      <w:r w:rsidRPr="00642432">
        <w:t>Figure 1: Number of people engaging with specialist services each year, 2002 to 2013</w:t>
      </w:r>
      <w:bookmarkEnd w:id="13"/>
    </w:p>
    <w:p w:rsidR="004659AD" w:rsidRPr="00642432" w:rsidRDefault="0024426D" w:rsidP="00E876AC">
      <w:r w:rsidRPr="0024426D">
        <w:rPr>
          <w:noProof/>
          <w:lang w:eastAsia="en-NZ"/>
        </w:rPr>
        <w:drawing>
          <wp:inline distT="0" distB="0" distL="0" distR="0" wp14:anchorId="3E0D76A4" wp14:editId="258D53BC">
            <wp:extent cx="4380807" cy="2434145"/>
            <wp:effectExtent l="0" t="0" r="1270" b="4445"/>
            <wp:docPr id="5533" name="Picture 5533" title="Figure 1: Number of people engaging with specialist services each year, 2002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blip>
                    <a:stretch>
                      <a:fillRect/>
                    </a:stretch>
                  </pic:blipFill>
                  <pic:spPr>
                    <a:xfrm>
                      <a:off x="0" y="0"/>
                      <a:ext cx="4383593" cy="2435693"/>
                    </a:xfrm>
                    <a:prstGeom prst="rect">
                      <a:avLst/>
                    </a:prstGeom>
                  </pic:spPr>
                </pic:pic>
              </a:graphicData>
            </a:graphic>
          </wp:inline>
        </w:drawing>
      </w:r>
    </w:p>
    <w:p w:rsidR="004659AD" w:rsidRPr="00642432" w:rsidRDefault="004659AD" w:rsidP="00E876AC">
      <w:pPr>
        <w:pStyle w:val="Source"/>
      </w:pPr>
      <w:r w:rsidRPr="00642432">
        <w:t>Source: PRIMHD data, extracted on 3 October 2014</w:t>
      </w:r>
    </w:p>
    <w:p w:rsidR="004659AD" w:rsidRPr="00642432" w:rsidRDefault="004659AD" w:rsidP="00E876AC"/>
    <w:p w:rsidR="004659AD" w:rsidRPr="00642432" w:rsidRDefault="004659AD" w:rsidP="00E876AC">
      <w:r w:rsidRPr="00642432">
        <w:t>Figure 1 shows that the number of people engaging with specialist services steadily increased from</w:t>
      </w:r>
      <w:r w:rsidR="00E876AC">
        <w:t xml:space="preserve"> </w:t>
      </w:r>
      <w:r w:rsidRPr="00642432">
        <w:t>2002</w:t>
      </w:r>
      <w:r w:rsidR="00D32DDD" w:rsidRPr="00642432">
        <w:t xml:space="preserve"> </w:t>
      </w:r>
      <w:r w:rsidRPr="00642432">
        <w:t>to 2013. The rise in specialist service users could be due to a range of factors, including better data capture, increased NGO reporting, a growing New Zealand</w:t>
      </w:r>
      <w:r w:rsidR="00E876AC">
        <w:t xml:space="preserve"> </w:t>
      </w:r>
      <w:r w:rsidRPr="00642432">
        <w:t>population,</w:t>
      </w:r>
      <w:r w:rsidR="00E876AC">
        <w:rPr>
          <w:rStyle w:val="FootnoteReference"/>
        </w:rPr>
        <w:footnoteReference w:id="2"/>
      </w:r>
      <w:r w:rsidR="00E876AC">
        <w:t xml:space="preserve"> </w:t>
      </w:r>
      <w:r w:rsidRPr="00642432">
        <w:t>improved visibility of and access to services, and stronger referral relationships between providers.</w:t>
      </w:r>
    </w:p>
    <w:p w:rsidR="004659AD" w:rsidRPr="00642432" w:rsidRDefault="004659AD" w:rsidP="00E876AC"/>
    <w:p w:rsidR="004659AD" w:rsidRPr="00642432" w:rsidRDefault="004659AD" w:rsidP="00E876AC">
      <w:r w:rsidRPr="00642432">
        <w:t>DHBs are responsible for funding, planning and providing specialist mental health services for their respective populations. Mental</w:t>
      </w:r>
      <w:r w:rsidR="00E876AC">
        <w:t xml:space="preserve"> </w:t>
      </w:r>
      <w:r w:rsidR="00E876AC" w:rsidRPr="00642432">
        <w:t>health services are provided directly by DHBs, or indirectly by contracting between DHBs and NGOs. In most DHB areas, directly provided specialist mental health services include hospital mental health care and community mental health services. NGOs provide a range of significant mental health services in each area, which can include alcohol and other drug treatment, kaupapa Māori services, family support, supported accommodation and home-based support.</w:t>
      </w:r>
    </w:p>
    <w:p w:rsidR="004659AD" w:rsidRPr="00642432" w:rsidRDefault="004659AD" w:rsidP="004659AD">
      <w:pPr>
        <w:spacing w:line="242" w:lineRule="exact"/>
        <w:ind w:right="-20"/>
      </w:pPr>
    </w:p>
    <w:p w:rsidR="004659AD" w:rsidRPr="00642432" w:rsidRDefault="004659AD" w:rsidP="00E876AC">
      <w:pPr>
        <w:pStyle w:val="Box"/>
      </w:pPr>
      <w:r w:rsidRPr="00642432">
        <w:t>In 2013, 154,378 people</w:t>
      </w:r>
      <w:r w:rsidR="00E876AC">
        <w:t xml:space="preserve"> </w:t>
      </w:r>
      <w:r w:rsidRPr="00642432">
        <w:t>engaged with a specialist mental health or addiction service.</w:t>
      </w:r>
    </w:p>
    <w:p w:rsidR="004659AD" w:rsidRPr="00642432" w:rsidRDefault="004659AD" w:rsidP="00E876AC"/>
    <w:p w:rsidR="004659AD" w:rsidRPr="00642432" w:rsidRDefault="004659AD" w:rsidP="00222CA3">
      <w:pPr>
        <w:keepLines/>
      </w:pPr>
      <w:r w:rsidRPr="00642432">
        <w:t>Most people access mental health services in the community. In 2013,</w:t>
      </w:r>
      <w:r w:rsidR="00E876AC">
        <w:t xml:space="preserve"> </w:t>
      </w:r>
      <w:r w:rsidRPr="00642432">
        <w:t>91 percent of specialist service users accessed only community mental health services (Figure 2). The remaining 9</w:t>
      </w:r>
      <w:r w:rsidR="00E876AC">
        <w:t> </w:t>
      </w:r>
      <w:r w:rsidRPr="00642432">
        <w:t>percent accessed a mixture of inpatient and community services. The proportion of people who</w:t>
      </w:r>
      <w:r w:rsidR="00D32DDD" w:rsidRPr="00642432">
        <w:t xml:space="preserve"> </w:t>
      </w:r>
      <w:r w:rsidRPr="00642432">
        <w:t>receive treatment in the community has</w:t>
      </w:r>
      <w:r w:rsidR="00D32DDD" w:rsidRPr="00642432">
        <w:t xml:space="preserve"> </w:t>
      </w:r>
      <w:r w:rsidRPr="00642432">
        <w:t>increased by 5 percent from 86 percent in 2002.</w:t>
      </w:r>
    </w:p>
    <w:p w:rsidR="004659AD" w:rsidRPr="00642432" w:rsidRDefault="004659AD" w:rsidP="00E876AC"/>
    <w:p w:rsidR="004659AD" w:rsidRPr="00642432" w:rsidRDefault="004659AD" w:rsidP="00E876AC">
      <w:pPr>
        <w:pStyle w:val="Box"/>
      </w:pPr>
      <w:r w:rsidRPr="00642432">
        <w:t>Most people access mental health services in the community.</w:t>
      </w:r>
    </w:p>
    <w:p w:rsidR="004659AD" w:rsidRPr="00642432" w:rsidRDefault="004659AD" w:rsidP="00E876AC">
      <w:pPr>
        <w:pStyle w:val="Box"/>
      </w:pPr>
      <w:r w:rsidRPr="00642432">
        <w:t>In 2013, 91 percent of specialist service users accessed only community mental</w:t>
      </w:r>
      <w:r w:rsidR="00E876AC">
        <w:t xml:space="preserve"> </w:t>
      </w:r>
      <w:r w:rsidRPr="00642432">
        <w:t>health services.</w:t>
      </w:r>
    </w:p>
    <w:p w:rsidR="004659AD" w:rsidRPr="00642432" w:rsidRDefault="004659AD" w:rsidP="00E876AC"/>
    <w:p w:rsidR="004659AD" w:rsidRPr="00642432" w:rsidRDefault="004659AD" w:rsidP="00E876AC">
      <w:pPr>
        <w:pStyle w:val="Figure"/>
      </w:pPr>
      <w:bookmarkStart w:id="14" w:name="_Toc405113756"/>
      <w:r w:rsidRPr="00642432">
        <w:t>Figure 2: Percentage of service users accessing only community services, 1 January to</w:t>
      </w:r>
      <w:r w:rsidR="00E876AC">
        <w:t xml:space="preserve"> </w:t>
      </w:r>
      <w:r w:rsidRPr="00642432">
        <w:t>31</w:t>
      </w:r>
      <w:r w:rsidR="00E876AC">
        <w:t> </w:t>
      </w:r>
      <w:r w:rsidRPr="00642432">
        <w:t>December 2013</w:t>
      </w:r>
      <w:bookmarkEnd w:id="14"/>
    </w:p>
    <w:p w:rsidR="004659AD" w:rsidRPr="00642432" w:rsidRDefault="00222CA3" w:rsidP="00E876AC">
      <w:r w:rsidRPr="00222CA3">
        <w:rPr>
          <w:noProof/>
          <w:lang w:eastAsia="en-NZ"/>
        </w:rPr>
        <w:drawing>
          <wp:inline distT="0" distB="0" distL="0" distR="0" wp14:anchorId="293A1C28" wp14:editId="3557056C">
            <wp:extent cx="2876204" cy="2063656"/>
            <wp:effectExtent l="0" t="0" r="635" b="0"/>
            <wp:docPr id="5534" name="Picture 5534" title="Figure 2: Percentage of service users accessing only community services, 1 January to 31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grayscl/>
                    </a:blip>
                    <a:stretch>
                      <a:fillRect/>
                    </a:stretch>
                  </pic:blipFill>
                  <pic:spPr>
                    <a:xfrm>
                      <a:off x="0" y="0"/>
                      <a:ext cx="2877637" cy="2064684"/>
                    </a:xfrm>
                    <a:prstGeom prst="rect">
                      <a:avLst/>
                    </a:prstGeom>
                  </pic:spPr>
                </pic:pic>
              </a:graphicData>
            </a:graphic>
          </wp:inline>
        </w:drawing>
      </w:r>
    </w:p>
    <w:p w:rsidR="004659AD" w:rsidRPr="00642432" w:rsidRDefault="004659AD" w:rsidP="00E876AC">
      <w:pPr>
        <w:pStyle w:val="Note"/>
      </w:pPr>
      <w:r w:rsidRPr="00642432">
        <w:t>Note: Includes NGOs.</w:t>
      </w:r>
    </w:p>
    <w:p w:rsidR="004659AD" w:rsidRPr="00642432" w:rsidRDefault="004659AD" w:rsidP="00E876AC">
      <w:pPr>
        <w:pStyle w:val="Source"/>
      </w:pPr>
      <w:r w:rsidRPr="00642432">
        <w:t>Source: PRIMHD data, extracted on 2 September 2014</w:t>
      </w:r>
    </w:p>
    <w:p w:rsidR="004659AD" w:rsidRPr="00642432" w:rsidRDefault="004659AD" w:rsidP="00E876AC"/>
    <w:p w:rsidR="004659AD" w:rsidRPr="00642432" w:rsidRDefault="004659AD" w:rsidP="00E876AC">
      <w:pPr>
        <w:pStyle w:val="Heading3"/>
      </w:pPr>
      <w:r w:rsidRPr="00642432">
        <w:t>Sector voices</w:t>
      </w:r>
    </w:p>
    <w:p w:rsidR="004659AD" w:rsidRPr="00642432" w:rsidRDefault="000024DA" w:rsidP="00E876AC">
      <w:pPr>
        <w:pStyle w:val="Heading4"/>
      </w:pPr>
      <w:r w:rsidRPr="000024DA">
        <w:rPr>
          <w:noProof/>
          <w:lang w:eastAsia="en-NZ"/>
        </w:rPr>
        <w:drawing>
          <wp:anchor distT="0" distB="0" distL="0" distR="114300" simplePos="0" relativeHeight="251980800" behindDoc="0" locked="0" layoutInCell="1" allowOverlap="1" wp14:anchorId="33BE785C" wp14:editId="2D1C36FE">
            <wp:simplePos x="0" y="0"/>
            <wp:positionH relativeFrom="column">
              <wp:posOffset>2540</wp:posOffset>
            </wp:positionH>
            <wp:positionV relativeFrom="paragraph">
              <wp:posOffset>1905</wp:posOffset>
            </wp:positionV>
            <wp:extent cx="1353185" cy="1781810"/>
            <wp:effectExtent l="0" t="0" r="0" b="8890"/>
            <wp:wrapSquare wrapText="left"/>
            <wp:docPr id="5535" name="Picture 5535" descr="Photo Leah Cooper – social worker" title="Leah Coo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grayscl/>
                      <a:extLst>
                        <a:ext uri="{28A0092B-C50C-407E-A947-70E740481C1C}">
                          <a14:useLocalDpi xmlns:a14="http://schemas.microsoft.com/office/drawing/2010/main" val="0"/>
                        </a:ext>
                      </a:extLst>
                    </a:blip>
                    <a:stretch>
                      <a:fillRect/>
                    </a:stretch>
                  </pic:blipFill>
                  <pic:spPr>
                    <a:xfrm>
                      <a:off x="0" y="0"/>
                      <a:ext cx="1353185" cy="1781810"/>
                    </a:xfrm>
                    <a:prstGeom prst="rect">
                      <a:avLst/>
                    </a:prstGeom>
                  </pic:spPr>
                </pic:pic>
              </a:graphicData>
            </a:graphic>
            <wp14:sizeRelH relativeFrom="margin">
              <wp14:pctWidth>0</wp14:pctWidth>
            </wp14:sizeRelH>
            <wp14:sizeRelV relativeFrom="margin">
              <wp14:pctHeight>0</wp14:pctHeight>
            </wp14:sizeRelV>
          </wp:anchor>
        </w:drawing>
      </w:r>
      <w:r w:rsidR="004659AD" w:rsidRPr="00642432">
        <w:t xml:space="preserve">Leah Cooper – </w:t>
      </w:r>
      <w:r w:rsidR="00E876AC">
        <w:t>s</w:t>
      </w:r>
      <w:r w:rsidR="004659AD" w:rsidRPr="00642432">
        <w:t>ocial worker</w:t>
      </w:r>
    </w:p>
    <w:p w:rsidR="004659AD" w:rsidRPr="00642432" w:rsidRDefault="004659AD" w:rsidP="00E876AC">
      <w:r w:rsidRPr="00642432">
        <w:t>Tēnā koutou katoa, ngā mihi mahana ki a koutou. Nō England, Wales, Ireland ōku tīpuna. Kei te mahi au i Te Whare o Matairangi. He kaimahi a iwi ahau. Ko Leah Cooper tōku ingoa. Kia ora koutou.</w:t>
      </w:r>
    </w:p>
    <w:p w:rsidR="004659AD" w:rsidRPr="00642432" w:rsidRDefault="004659AD" w:rsidP="00E876AC"/>
    <w:p w:rsidR="004659AD" w:rsidRPr="00642432" w:rsidRDefault="004659AD" w:rsidP="00E876AC">
      <w:r w:rsidRPr="00642432">
        <w:t>I am a social worker at Te Whare o Matairangi, the adult acute mental health ward based at Wellington Hospital. We have a team of three social workers within a wider multidisciplinary team, which I feel privileged to be part of.</w:t>
      </w:r>
    </w:p>
    <w:p w:rsidR="004659AD" w:rsidRPr="00642432" w:rsidRDefault="004659AD" w:rsidP="00E876AC"/>
    <w:p w:rsidR="004659AD" w:rsidRPr="00642432" w:rsidRDefault="004659AD" w:rsidP="00E876AC">
      <w:r w:rsidRPr="00642432">
        <w:t>The social work</w:t>
      </w:r>
      <w:r w:rsidR="00D32DDD" w:rsidRPr="00642432">
        <w:t xml:space="preserve"> </w:t>
      </w:r>
      <w:r w:rsidRPr="00642432">
        <w:t>role is hard to define; however, the International Federation of Social</w:t>
      </w:r>
      <w:r w:rsidR="00D32DDD" w:rsidRPr="00642432">
        <w:t xml:space="preserve"> </w:t>
      </w:r>
      <w:r w:rsidRPr="00642432">
        <w:t>Workers describes social work</w:t>
      </w:r>
      <w:r w:rsidR="00D32DDD" w:rsidRPr="00642432">
        <w:t xml:space="preserve"> </w:t>
      </w:r>
      <w:r w:rsidRPr="00642432">
        <w:t>as focusing on social change, problem solving and empowerment of people who are working towards wellbeing. Social</w:t>
      </w:r>
      <w:r w:rsidR="00D32DDD" w:rsidRPr="00642432">
        <w:t xml:space="preserve"> </w:t>
      </w:r>
      <w:r w:rsidRPr="00642432">
        <w:t>work</w:t>
      </w:r>
      <w:r w:rsidR="00D32DDD" w:rsidRPr="00642432">
        <w:t xml:space="preserve"> </w:t>
      </w:r>
      <w:r w:rsidRPr="00642432">
        <w:t>intervenes at the points where people interact with their environments, using the underlying principles of human rights and social justice.</w:t>
      </w:r>
    </w:p>
    <w:p w:rsidR="004659AD" w:rsidRPr="00642432" w:rsidRDefault="004659AD" w:rsidP="00E876AC"/>
    <w:p w:rsidR="004659AD" w:rsidRPr="00642432" w:rsidRDefault="004659AD" w:rsidP="00100106">
      <w:pPr>
        <w:keepLines/>
      </w:pPr>
      <w:r w:rsidRPr="00642432">
        <w:t>A large part of my role is liaising with the support networks of patients: family, friends, community mental health teams and non-governmental organisations. Family members often find</w:t>
      </w:r>
      <w:r w:rsidR="00D32DDD" w:rsidRPr="00642432">
        <w:t xml:space="preserve"> </w:t>
      </w:r>
      <w:r w:rsidRPr="00642432">
        <w:t>the experience of a loved one</w:t>
      </w:r>
      <w:r w:rsidR="00D32DDD" w:rsidRPr="00642432">
        <w:t xml:space="preserve"> </w:t>
      </w:r>
      <w:r w:rsidRPr="00642432">
        <w:t>being hospitalised extremely stressful. It is important to support families by acknowledging their distress, as well as providing education around mental illness in order to</w:t>
      </w:r>
      <w:r w:rsidR="00E876AC">
        <w:t xml:space="preserve"> </w:t>
      </w:r>
      <w:r w:rsidRPr="00642432">
        <w:t>normalise what has</w:t>
      </w:r>
      <w:r w:rsidR="00D32DDD" w:rsidRPr="00642432">
        <w:t xml:space="preserve"> </w:t>
      </w:r>
      <w:r w:rsidRPr="00642432">
        <w:t>happened. It is crucial to always maintain hope in recovery and this is something that I hold on to, often when tāngata whaiora and their families cannot.</w:t>
      </w:r>
    </w:p>
    <w:p w:rsidR="004659AD" w:rsidRPr="00642432" w:rsidRDefault="004659AD" w:rsidP="00431812"/>
    <w:p w:rsidR="004659AD" w:rsidRPr="00642432" w:rsidRDefault="004659AD" w:rsidP="00431812">
      <w:r w:rsidRPr="00642432">
        <w:t>I was drawn to this role as I have a strong sense of social justice. A large number of the people I see are impacted by poverty, racism, sexism and experiences of significant trauma, often in childhood.</w:t>
      </w:r>
    </w:p>
    <w:p w:rsidR="004659AD" w:rsidRPr="00642432" w:rsidRDefault="004659AD" w:rsidP="00431812"/>
    <w:p w:rsidR="004659AD" w:rsidRPr="00642432" w:rsidRDefault="004659AD" w:rsidP="00431812">
      <w:r w:rsidRPr="00642432">
        <w:t>I really enjoy the diversity of my role.</w:t>
      </w:r>
      <w:r w:rsidR="00D32DDD" w:rsidRPr="00642432">
        <w:t xml:space="preserve"> </w:t>
      </w:r>
      <w:r w:rsidRPr="00642432">
        <w:t>Each day is different; as is every family and individual I work with. Mental health issues affect many people from all walks of life. The people are the reason I am drawn to this work. It is amazing to see people’s recovery in the often short period of time they are with us in the unit. The people I work</w:t>
      </w:r>
      <w:r w:rsidR="00D32DDD" w:rsidRPr="00642432">
        <w:t xml:space="preserve"> </w:t>
      </w:r>
      <w:r w:rsidRPr="00642432">
        <w:t>for are remarkable in their resilience and strength. People always have the potential for change and I am able</w:t>
      </w:r>
      <w:r w:rsidR="00D32DDD" w:rsidRPr="00642432">
        <w:t xml:space="preserve"> </w:t>
      </w:r>
      <w:r w:rsidRPr="00642432">
        <w:t>to see this in my work</w:t>
      </w:r>
      <w:r w:rsidR="00D32DDD" w:rsidRPr="00642432">
        <w:t xml:space="preserve"> </w:t>
      </w:r>
      <w:r w:rsidRPr="00642432">
        <w:t>and to be a small part of the journey.</w:t>
      </w:r>
    </w:p>
    <w:p w:rsidR="004659AD" w:rsidRPr="00642432" w:rsidRDefault="004659AD" w:rsidP="00431812"/>
    <w:p w:rsidR="004659AD" w:rsidRPr="00642432" w:rsidRDefault="004659AD" w:rsidP="00100106">
      <w:pPr>
        <w:pStyle w:val="Heading2"/>
      </w:pPr>
      <w:bookmarkStart w:id="15" w:name="_Toc405113657"/>
      <w:r w:rsidRPr="00642432">
        <w:t>The Mental Health (Compulsory Assessment and Treatment) Act 1992</w:t>
      </w:r>
      <w:bookmarkEnd w:id="15"/>
    </w:p>
    <w:p w:rsidR="004659AD" w:rsidRPr="00642432" w:rsidRDefault="004659AD" w:rsidP="00477C8C">
      <w:r w:rsidRPr="00642432">
        <w:t>The Mental Health (Compulsory Assessment and Treatment) Act 1992 defines the circumstances under which people may be subject to compulsory mental health assessment and treatment.</w:t>
      </w:r>
    </w:p>
    <w:p w:rsidR="004659AD" w:rsidRPr="00642432" w:rsidRDefault="004659AD" w:rsidP="00477C8C"/>
    <w:p w:rsidR="004659AD" w:rsidRPr="00642432" w:rsidRDefault="004659AD" w:rsidP="00477C8C">
      <w:r w:rsidRPr="00642432">
        <w:t>The Mental Health Act provides a framework for balancing personal rights and the public interest when a person poses a serious danger to themselves or others due to mental illness.</w:t>
      </w:r>
    </w:p>
    <w:p w:rsidR="004659AD" w:rsidRPr="00642432" w:rsidRDefault="004659AD" w:rsidP="00477C8C"/>
    <w:p w:rsidR="004659AD" w:rsidRPr="00642432" w:rsidRDefault="004659AD" w:rsidP="00477C8C">
      <w:r w:rsidRPr="00642432">
        <w:t>The purpose of the Mental Health Act is to:</w:t>
      </w:r>
    </w:p>
    <w:p w:rsidR="004659AD" w:rsidRPr="00606748" w:rsidRDefault="004659AD" w:rsidP="00606748">
      <w:pPr>
        <w:pStyle w:val="Quote"/>
      </w:pPr>
      <w:r w:rsidRPr="00642432">
        <w:t>redefine the circumstances in which and the conditions under which persons may be subjected to compulsory psychiatric assessment and treatment, to define the rights of such persons and to provide better protection for those rights, and generally to reform and consolidate the law relating to the assessment and treatment of persons suffering from mental disorder.</w:t>
      </w:r>
      <w:r w:rsidR="00606748">
        <w:rPr>
          <w:rStyle w:val="FootnoteReference"/>
        </w:rPr>
        <w:footnoteReference w:id="3"/>
      </w:r>
    </w:p>
    <w:p w:rsidR="004659AD" w:rsidRPr="00642432" w:rsidRDefault="004659AD" w:rsidP="00606748"/>
    <w:p w:rsidR="004659AD" w:rsidRPr="00642432" w:rsidRDefault="004659AD" w:rsidP="00606748">
      <w:r w:rsidRPr="00642432">
        <w:t>The ‘Ensuring service quality’ section provides data on the use of the Mental Health Act.</w:t>
      </w:r>
    </w:p>
    <w:p w:rsidR="004659AD" w:rsidRPr="00642432" w:rsidRDefault="004659AD" w:rsidP="00606748"/>
    <w:p w:rsidR="004659AD" w:rsidRPr="00642432" w:rsidRDefault="004659AD" w:rsidP="00D70D74">
      <w:pPr>
        <w:pStyle w:val="Heading3"/>
      </w:pPr>
      <w:r w:rsidRPr="00642432">
        <w:t>Administration of the Mental Health Act</w:t>
      </w:r>
    </w:p>
    <w:p w:rsidR="004659AD" w:rsidRPr="00642432" w:rsidRDefault="004659AD" w:rsidP="00606748">
      <w:r w:rsidRPr="00642432">
        <w:t>The chief statutory officer under the Mental Health Act is the Director of Mental Health, appointed under section 91 (the Director). The Director is responsible for the general administration of the Mental Health Act under the direction of the Minister of Health and Director-General of Health. The Director</w:t>
      </w:r>
      <w:r w:rsidR="00606748">
        <w:t xml:space="preserve"> </w:t>
      </w:r>
      <w:r w:rsidRPr="00642432">
        <w:t>is also the Chief</w:t>
      </w:r>
      <w:r w:rsidR="00D32DDD" w:rsidRPr="00642432">
        <w:t xml:space="preserve"> </w:t>
      </w:r>
      <w:r w:rsidRPr="00642432">
        <w:t>Advisor, Mental Health, and is responsible for advising the Minister of Health on</w:t>
      </w:r>
      <w:r w:rsidR="00606748">
        <w:t xml:space="preserve"> </w:t>
      </w:r>
      <w:r w:rsidRPr="00642432">
        <w:t>mental health issues.</w:t>
      </w:r>
    </w:p>
    <w:p w:rsidR="004659AD" w:rsidRPr="00642432" w:rsidRDefault="004659AD" w:rsidP="00606748"/>
    <w:p w:rsidR="004659AD" w:rsidRPr="00642432" w:rsidRDefault="004659AD" w:rsidP="00D70D74">
      <w:pPr>
        <w:keepLines/>
      </w:pPr>
      <w:r w:rsidRPr="00642432">
        <w:t>The Mental Health Act also allows for the appointment of a Deputy Director of Mental Health. The Director’s functions and powers under the Mental Health Act allow</w:t>
      </w:r>
      <w:r w:rsidR="00D32DDD" w:rsidRPr="00642432">
        <w:t xml:space="preserve"> </w:t>
      </w:r>
      <w:r w:rsidRPr="00642432">
        <w:t>the Ministry to provide guidance</w:t>
      </w:r>
      <w:r w:rsidR="00606748">
        <w:t xml:space="preserve"> </w:t>
      </w:r>
      <w:r w:rsidRPr="00642432">
        <w:t>to mental health services, supporting the strategic direction of Rising to the Challenge and a recovery-based approach to mental health.</w:t>
      </w:r>
    </w:p>
    <w:p w:rsidR="004659AD" w:rsidRPr="00642432" w:rsidRDefault="004659AD" w:rsidP="00606748"/>
    <w:p w:rsidR="004659AD" w:rsidRPr="00D70D74" w:rsidRDefault="004659AD" w:rsidP="00606748">
      <w:pPr>
        <w:rPr>
          <w:spacing w:val="-2"/>
        </w:rPr>
      </w:pPr>
      <w:r w:rsidRPr="00D70D74">
        <w:rPr>
          <w:spacing w:val="-2"/>
        </w:rPr>
        <w:t>In each DHB, the Director-General of Health appoints a director of area mental health services (DAMHS) under section 92 of the Mental Health Act. The DAMHS is a senior mental health clinician, responsible for administering the compulsory treatment regime</w:t>
      </w:r>
      <w:r w:rsidR="00606748" w:rsidRPr="00D70D74">
        <w:rPr>
          <w:spacing w:val="-2"/>
        </w:rPr>
        <w:t xml:space="preserve"> within their DHB area. They must report to the Director of Mental Health every three months regarding the exercise of their powers, duties and functions under the Mental Health Act (Ministry of Health 2012b).</w:t>
      </w:r>
    </w:p>
    <w:p w:rsidR="004659AD" w:rsidRPr="00642432" w:rsidRDefault="004659AD" w:rsidP="00606748"/>
    <w:p w:rsidR="004659AD" w:rsidRPr="00D70D74" w:rsidRDefault="004659AD" w:rsidP="00606748">
      <w:pPr>
        <w:pStyle w:val="Box"/>
        <w:rPr>
          <w:spacing w:val="-2"/>
        </w:rPr>
      </w:pPr>
      <w:r w:rsidRPr="00D70D74">
        <w:rPr>
          <w:spacing w:val="-2"/>
        </w:rPr>
        <w:t>The Mental Health Act provides a framework for balancing personal rights and the public interest when a person</w:t>
      </w:r>
      <w:r w:rsidR="00606748" w:rsidRPr="00D70D74">
        <w:rPr>
          <w:spacing w:val="-2"/>
        </w:rPr>
        <w:t xml:space="preserve"> </w:t>
      </w:r>
      <w:r w:rsidRPr="00D70D74">
        <w:rPr>
          <w:spacing w:val="-2"/>
        </w:rPr>
        <w:t>poses a serious danger to themselves or others due to mental illness.</w:t>
      </w:r>
    </w:p>
    <w:p w:rsidR="004659AD" w:rsidRPr="00642432" w:rsidRDefault="004659AD" w:rsidP="00606748"/>
    <w:p w:rsidR="004659AD" w:rsidRPr="00642432" w:rsidRDefault="004659AD" w:rsidP="00606748">
      <w:r w:rsidRPr="00642432">
        <w:t>In each area, the DAMHS will appoint responsible clinicians and assign them to lead the treatment of every person subject to compulsory assessment or treatment (Ministry of Health 2012a). The DAMHS will also appoint competent health practitioners as duly authorised officers to respond to people experiencing mental illness in the community who</w:t>
      </w:r>
      <w:r w:rsidR="00D32DDD" w:rsidRPr="00642432">
        <w:t xml:space="preserve"> </w:t>
      </w:r>
      <w:r w:rsidRPr="00642432">
        <w:t>are in need of intervention. Duly authorised officers are required to provide general advice and assistance in response to requests from members of the public and the New Zealand Police. If a duly authorised officer believes that a person may be mentally disordered and may benefit from a compulsory assessment, the Mental Health Act grants them powers to arrange for a medical examination (Ministry of Health 2012c).</w:t>
      </w:r>
    </w:p>
    <w:p w:rsidR="004659AD" w:rsidRPr="00642432" w:rsidRDefault="004659AD" w:rsidP="00606748"/>
    <w:p w:rsidR="00606748" w:rsidRDefault="004659AD" w:rsidP="00606748">
      <w:pPr>
        <w:pStyle w:val="Heading3"/>
      </w:pPr>
      <w:r w:rsidRPr="00642432">
        <w:t>Protecting the rights of people subject to compulsory treatment</w:t>
      </w:r>
    </w:p>
    <w:p w:rsidR="004659AD" w:rsidRPr="00642432" w:rsidRDefault="004659AD" w:rsidP="00606748">
      <w:r w:rsidRPr="00642432">
        <w:t>Although each DAMHS is expected to protect the rights of people under the Mental Health Act in their area, the Mental Health Act also provides for independent monitoring mechanisms. The Minister of Health appoints qualified lawyers as district inspectors under section 94 of the Mental Health Act to protect the rights of people under the Mental Health Act, investigate alleged breaches of those rights and monitor service compliance with the Mental Health Act process. District inspectors are required</w:t>
      </w:r>
      <w:r w:rsidR="00606748">
        <w:t xml:space="preserve"> </w:t>
      </w:r>
      <w:r w:rsidRPr="00642432">
        <w:t>to inspect services regularly and report on their activities monthly to the Director of Mental Health.</w:t>
      </w:r>
    </w:p>
    <w:p w:rsidR="00D70D74" w:rsidRDefault="00D70D74" w:rsidP="00D70D74"/>
    <w:p w:rsidR="004659AD" w:rsidRPr="00642432" w:rsidRDefault="004659AD" w:rsidP="00D70D74">
      <w:r w:rsidRPr="00642432">
        <w:t>From time to time the Director can</w:t>
      </w:r>
      <w:r w:rsidR="00D32DDD" w:rsidRPr="00642432">
        <w:t xml:space="preserve"> </w:t>
      </w:r>
      <w:r w:rsidRPr="00642432">
        <w:t>initiate an investigation under section 95 of the Mental Health Act, in which case</w:t>
      </w:r>
      <w:r w:rsidR="00D32DDD" w:rsidRPr="00642432">
        <w:t xml:space="preserve"> </w:t>
      </w:r>
      <w:r w:rsidRPr="00642432">
        <w:t>a district inspector is granted powers to conduct an inquiry into a suspected failing in a person’s treatment under the Mental Health Act or in the management of services (Ministry of Health</w:t>
      </w:r>
      <w:r w:rsidR="00D70D74">
        <w:t xml:space="preserve"> </w:t>
      </w:r>
      <w:r w:rsidRPr="00642432">
        <w:t>2012b).</w:t>
      </w:r>
    </w:p>
    <w:p w:rsidR="004659AD" w:rsidRPr="00642432" w:rsidRDefault="004659AD" w:rsidP="00D70D74"/>
    <w:p w:rsidR="004659AD" w:rsidRPr="00642432" w:rsidRDefault="004659AD" w:rsidP="00D70D74">
      <w:r w:rsidRPr="00642432">
        <w:t>The Mental Health Act also provides for the appointment of the Mental Health Review Tribunal, a specialist independent tribunal comprising a lawyer, a psychiatrist and a community member. If a person disagrees with their treatment under the Mental Health Act, they can</w:t>
      </w:r>
      <w:r w:rsidR="00D32DDD" w:rsidRPr="00642432">
        <w:t xml:space="preserve"> </w:t>
      </w:r>
      <w:r w:rsidRPr="00642432">
        <w:t>apply to the Tribunal for an examination of their condition and of whether it is necessary to continue compulsory treatment. Where the tribunal considers it appropriate, the person may be released from compulsory status.</w:t>
      </w:r>
    </w:p>
    <w:p w:rsidR="004659AD" w:rsidRPr="00642432" w:rsidRDefault="004659AD" w:rsidP="00D70D74"/>
    <w:p w:rsidR="00D70D74" w:rsidRDefault="00D70D74" w:rsidP="00D70D74">
      <w:r>
        <w:br w:type="page"/>
      </w:r>
    </w:p>
    <w:p w:rsidR="004659AD" w:rsidRPr="00642432" w:rsidRDefault="004659AD" w:rsidP="00D70D74">
      <w:pPr>
        <w:pStyle w:val="Heading3"/>
      </w:pPr>
      <w:r w:rsidRPr="00642432">
        <w:t>Sector voices</w:t>
      </w:r>
    </w:p>
    <w:p w:rsidR="004659AD" w:rsidRPr="00642432" w:rsidRDefault="00D70D74" w:rsidP="00D70D74">
      <w:pPr>
        <w:pStyle w:val="Heading4"/>
      </w:pPr>
      <w:r w:rsidRPr="00D70D74">
        <w:rPr>
          <w:noProof/>
          <w:lang w:eastAsia="en-NZ"/>
        </w:rPr>
        <w:drawing>
          <wp:anchor distT="0" distB="0" distL="0" distR="114300" simplePos="0" relativeHeight="251981824" behindDoc="0" locked="0" layoutInCell="1" allowOverlap="1" wp14:anchorId="472293A6" wp14:editId="148732D4">
            <wp:simplePos x="0" y="0"/>
            <wp:positionH relativeFrom="column">
              <wp:posOffset>-3175</wp:posOffset>
            </wp:positionH>
            <wp:positionV relativeFrom="paragraph">
              <wp:posOffset>5080</wp:posOffset>
            </wp:positionV>
            <wp:extent cx="1284605" cy="1741805"/>
            <wp:effectExtent l="0" t="0" r="0" b="0"/>
            <wp:wrapSquare wrapText="left"/>
            <wp:docPr id="5536" name="Picture 5536" descr="Photo of Sue Mackersey – Director of area mental health services" title="Sue Mack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grayscl/>
                      <a:extLst>
                        <a:ext uri="{28A0092B-C50C-407E-A947-70E740481C1C}">
                          <a14:useLocalDpi xmlns:a14="http://schemas.microsoft.com/office/drawing/2010/main" val="0"/>
                        </a:ext>
                      </a:extLst>
                    </a:blip>
                    <a:stretch>
                      <a:fillRect/>
                    </a:stretch>
                  </pic:blipFill>
                  <pic:spPr>
                    <a:xfrm>
                      <a:off x="0" y="0"/>
                      <a:ext cx="1284605" cy="1741805"/>
                    </a:xfrm>
                    <a:prstGeom prst="rect">
                      <a:avLst/>
                    </a:prstGeom>
                  </pic:spPr>
                </pic:pic>
              </a:graphicData>
            </a:graphic>
            <wp14:sizeRelH relativeFrom="margin">
              <wp14:pctWidth>0</wp14:pctWidth>
            </wp14:sizeRelH>
            <wp14:sizeRelV relativeFrom="margin">
              <wp14:pctHeight>0</wp14:pctHeight>
            </wp14:sizeRelV>
          </wp:anchor>
        </w:drawing>
      </w:r>
      <w:r w:rsidR="004659AD" w:rsidRPr="00642432">
        <w:t>Sue Mackersey – Director of area mental health services</w:t>
      </w:r>
    </w:p>
    <w:p w:rsidR="004659AD" w:rsidRPr="00642432" w:rsidRDefault="004659AD" w:rsidP="00D70D74">
      <w:r w:rsidRPr="00642432">
        <w:t>Kia ora. I am Sue Mackersey, director of area mental health services for the Bay of Plenty District Health Board. I have been a specialist psychiatrist for over</w:t>
      </w:r>
      <w:r w:rsidR="00D32DDD" w:rsidRPr="00642432">
        <w:t xml:space="preserve"> </w:t>
      </w:r>
      <w:r w:rsidRPr="00642432">
        <w:t>20 years. All DAMHS are senior mental health clinicians. Most,</w:t>
      </w:r>
      <w:r w:rsidR="00D32DDD" w:rsidRPr="00642432">
        <w:t xml:space="preserve"> </w:t>
      </w:r>
      <w:r w:rsidRPr="00642432">
        <w:t>but not all, are psychiatrists.</w:t>
      </w:r>
    </w:p>
    <w:p w:rsidR="004659AD" w:rsidRPr="00642432" w:rsidRDefault="004659AD" w:rsidP="00D70D74"/>
    <w:p w:rsidR="004659AD" w:rsidRPr="00642432" w:rsidRDefault="004659AD" w:rsidP="00D70D74">
      <w:r w:rsidRPr="00642432">
        <w:t>My role provides a point of contact between the Office of the Director of Mental Health and the local</w:t>
      </w:r>
      <w:r w:rsidR="00D32DDD" w:rsidRPr="00642432">
        <w:t xml:space="preserve"> </w:t>
      </w:r>
      <w:r w:rsidRPr="00642432">
        <w:t>DHB mental health and addiction services. I keep the Director informed about the use of the Mental Health Act in the Bay of Plenty and any significant issues we are experiencing in the delivery of services. DAMHS make sure</w:t>
      </w:r>
      <w:r w:rsidR="00D70D74">
        <w:t xml:space="preserve"> </w:t>
      </w:r>
      <w:r w:rsidRPr="00642432">
        <w:t>that each patient has</w:t>
      </w:r>
      <w:r w:rsidR="00D32DDD" w:rsidRPr="00642432">
        <w:t xml:space="preserve"> </w:t>
      </w:r>
      <w:r w:rsidRPr="00642432">
        <w:t>a responsible clinician and that there are duly authorised officers available at all times.</w:t>
      </w:r>
    </w:p>
    <w:p w:rsidR="004659AD" w:rsidRPr="00642432" w:rsidRDefault="004659AD" w:rsidP="00D70D74"/>
    <w:p w:rsidR="004659AD" w:rsidRPr="00642432" w:rsidRDefault="004659AD" w:rsidP="00D70D74">
      <w:r w:rsidRPr="00642432">
        <w:t>DAMHS are involved in a range of governance roles so that they can</w:t>
      </w:r>
      <w:r w:rsidR="00D32DDD" w:rsidRPr="00642432">
        <w:t xml:space="preserve"> </w:t>
      </w:r>
      <w:r w:rsidRPr="00642432">
        <w:t>influence decision-making about resourcing of local</w:t>
      </w:r>
      <w:r w:rsidR="00D32DDD" w:rsidRPr="00642432">
        <w:t xml:space="preserve"> </w:t>
      </w:r>
      <w:r w:rsidRPr="00642432">
        <w:t>services. In delivering safe and high-quality services, the challenge is often getting adequate resourcing.</w:t>
      </w:r>
    </w:p>
    <w:p w:rsidR="004659AD" w:rsidRPr="00642432" w:rsidRDefault="004659AD" w:rsidP="00D70D74"/>
    <w:p w:rsidR="004659AD" w:rsidRPr="00642432" w:rsidRDefault="004659AD" w:rsidP="00D70D74">
      <w:r w:rsidRPr="00642432">
        <w:t>There are many relationships that a DAMHS needs to have, such as with the district inspectors, police and courts. The most important relationships I have are with people who</w:t>
      </w:r>
      <w:r w:rsidR="00D32DDD" w:rsidRPr="00642432">
        <w:t xml:space="preserve"> </w:t>
      </w:r>
      <w:r w:rsidRPr="00642432">
        <w:t>are in our</w:t>
      </w:r>
      <w:r w:rsidR="00D32DDD" w:rsidRPr="00642432">
        <w:t xml:space="preserve"> </w:t>
      </w:r>
      <w:r w:rsidRPr="00642432">
        <w:t>service and their family or whānau. I need to ensure that every person subject to compulsory assessment and treatment has</w:t>
      </w:r>
      <w:r w:rsidR="00D32DDD" w:rsidRPr="00642432">
        <w:t xml:space="preserve"> </w:t>
      </w:r>
      <w:r w:rsidRPr="00642432">
        <w:t>care provided by our</w:t>
      </w:r>
      <w:r w:rsidR="00D32DDD" w:rsidRPr="00642432">
        <w:t xml:space="preserve"> </w:t>
      </w:r>
      <w:r w:rsidRPr="00642432">
        <w:t>service in accordance with the legislation. People under the Mental Health Act, family, whānau and district inspectors let me know about issues that need rectifying.</w:t>
      </w:r>
    </w:p>
    <w:p w:rsidR="004659AD" w:rsidRPr="00642432" w:rsidRDefault="004659AD" w:rsidP="00D70D74"/>
    <w:p w:rsidR="004659AD" w:rsidRPr="00642432" w:rsidRDefault="004659AD" w:rsidP="00D70D74">
      <w:r w:rsidRPr="00642432">
        <w:t>To help me perform my role I am fortunate to have a team of experienced clinicians in the Bay of Plenty who</w:t>
      </w:r>
      <w:r w:rsidR="00D32DDD" w:rsidRPr="00642432">
        <w:t xml:space="preserve"> </w:t>
      </w:r>
      <w:r w:rsidRPr="00642432">
        <w:t>are committed to providing high-quality care.</w:t>
      </w:r>
    </w:p>
    <w:p w:rsidR="004659AD" w:rsidRPr="00642432" w:rsidRDefault="004659AD" w:rsidP="00D70D74"/>
    <w:p w:rsidR="00D70D74" w:rsidRDefault="00D70D74" w:rsidP="00D70D74">
      <w:r>
        <w:br w:type="page"/>
      </w:r>
    </w:p>
    <w:p w:rsidR="004659AD" w:rsidRPr="00642432" w:rsidRDefault="004659AD" w:rsidP="00D70D74">
      <w:pPr>
        <w:pStyle w:val="Heading1"/>
      </w:pPr>
      <w:bookmarkStart w:id="16" w:name="_Toc405113658"/>
      <w:r w:rsidRPr="00642432">
        <w:t>Activities for 2013</w:t>
      </w:r>
      <w:bookmarkEnd w:id="16"/>
    </w:p>
    <w:p w:rsidR="004659AD" w:rsidRPr="00642432" w:rsidRDefault="004659AD" w:rsidP="00BA27B7">
      <w:pPr>
        <w:pStyle w:val="Heading2"/>
      </w:pPr>
      <w:bookmarkStart w:id="17" w:name="_Toc405113659"/>
      <w:r w:rsidRPr="00642432">
        <w:t>Mental health sector relationships</w:t>
      </w:r>
      <w:bookmarkEnd w:id="17"/>
    </w:p>
    <w:p w:rsidR="004659AD" w:rsidRPr="00642432" w:rsidRDefault="004659AD" w:rsidP="00BA27B7">
      <w:r w:rsidRPr="00642432">
        <w:t>The Director of Mental Health visited each DHB mental health service at least once during the reporting year. These visits give the Director an opportunity to engage with the services and get an understanding of the particular constellation of challenges that the local</w:t>
      </w:r>
      <w:r w:rsidR="00D32DDD" w:rsidRPr="00642432">
        <w:t xml:space="preserve"> </w:t>
      </w:r>
      <w:r w:rsidRPr="00642432">
        <w:t>mental health service is facing, while offering Ministry support and oversight.</w:t>
      </w:r>
    </w:p>
    <w:p w:rsidR="004659AD" w:rsidRPr="00642432" w:rsidRDefault="004659AD" w:rsidP="00BA27B7"/>
    <w:p w:rsidR="004659AD" w:rsidRPr="00642432" w:rsidRDefault="004659AD" w:rsidP="00BA27B7">
      <w:r w:rsidRPr="00642432">
        <w:t>The Office of the Director of Mental Health also maintains collaborative relationships with many parts of the mental health sector, attending and presenting at a large number of mental health sector meetings each year.</w:t>
      </w:r>
    </w:p>
    <w:p w:rsidR="004659AD" w:rsidRPr="00642432" w:rsidRDefault="004659AD" w:rsidP="00BA27B7"/>
    <w:p w:rsidR="004659AD" w:rsidRPr="00642432" w:rsidRDefault="004659AD" w:rsidP="00BA27B7">
      <w:pPr>
        <w:pStyle w:val="Heading2"/>
      </w:pPr>
      <w:bookmarkStart w:id="18" w:name="_Toc405113660"/>
      <w:r w:rsidRPr="00642432">
        <w:t>Cross-government relationships</w:t>
      </w:r>
      <w:bookmarkEnd w:id="18"/>
    </w:p>
    <w:p w:rsidR="004659AD" w:rsidRPr="00642432" w:rsidRDefault="004659AD" w:rsidP="00BA27B7">
      <w:r w:rsidRPr="00642432">
        <w:t>The Office of the Director of Mental Health maintains strong relationships with other government agencies to support good</w:t>
      </w:r>
      <w:r w:rsidR="00D32DDD" w:rsidRPr="00642432">
        <w:t xml:space="preserve"> </w:t>
      </w:r>
      <w:r w:rsidRPr="00642432">
        <w:t>clinical practice and client-centred services for people with mental health and addiction problems.</w:t>
      </w:r>
    </w:p>
    <w:p w:rsidR="004659AD" w:rsidRPr="00642432" w:rsidRDefault="004659AD" w:rsidP="00BA27B7"/>
    <w:p w:rsidR="004659AD" w:rsidRPr="00642432" w:rsidRDefault="004659AD" w:rsidP="00BA27B7">
      <w:r w:rsidRPr="00642432">
        <w:t>In 2013 the Office of the Director of Mental Health worked with a number of agencies on a wide</w:t>
      </w:r>
      <w:r w:rsidR="00D32DDD" w:rsidRPr="00642432">
        <w:t xml:space="preserve"> </w:t>
      </w:r>
      <w:r w:rsidRPr="00642432">
        <w:t>range of projects, including:</w:t>
      </w:r>
    </w:p>
    <w:p w:rsidR="004659AD" w:rsidRPr="00642432" w:rsidRDefault="004659AD" w:rsidP="00BA27B7">
      <w:pPr>
        <w:pStyle w:val="Bullet"/>
      </w:pPr>
      <w:r w:rsidRPr="00642432">
        <w:t>the Youth Crime Action Plan</w:t>
      </w:r>
    </w:p>
    <w:p w:rsidR="004659AD" w:rsidRPr="00642432" w:rsidRDefault="004659AD" w:rsidP="00BA27B7">
      <w:pPr>
        <w:pStyle w:val="Bullet"/>
      </w:pPr>
      <w:r w:rsidRPr="00642432">
        <w:t>implementation of new</w:t>
      </w:r>
      <w:r w:rsidR="00D32DDD" w:rsidRPr="00642432">
        <w:t xml:space="preserve"> </w:t>
      </w:r>
      <w:r w:rsidRPr="00642432">
        <w:t>youth forensic mental health and alcohol and drug services</w:t>
      </w:r>
    </w:p>
    <w:p w:rsidR="004659AD" w:rsidRPr="00642432" w:rsidRDefault="004659AD" w:rsidP="00BA27B7">
      <w:pPr>
        <w:pStyle w:val="Bullet"/>
      </w:pPr>
      <w:r w:rsidRPr="00642432">
        <w:t>the Vulnerable Children’s Action Plan</w:t>
      </w:r>
    </w:p>
    <w:p w:rsidR="004659AD" w:rsidRPr="00642432" w:rsidRDefault="004659AD" w:rsidP="00BA27B7">
      <w:pPr>
        <w:pStyle w:val="Bullet"/>
      </w:pPr>
      <w:r w:rsidRPr="00642432">
        <w:t>the Gateway Assessments programme</w:t>
      </w:r>
    </w:p>
    <w:p w:rsidR="004659AD" w:rsidRPr="00642432" w:rsidRDefault="004659AD" w:rsidP="00BA27B7">
      <w:pPr>
        <w:pStyle w:val="Bullet"/>
      </w:pPr>
      <w:r w:rsidRPr="00642432">
        <w:t>implementation of the Autism Spectrum Guidelines</w:t>
      </w:r>
    </w:p>
    <w:p w:rsidR="004659AD" w:rsidRPr="00642432" w:rsidRDefault="004659AD" w:rsidP="00BA27B7">
      <w:pPr>
        <w:pStyle w:val="Bullet"/>
      </w:pPr>
      <w:r w:rsidRPr="00642432">
        <w:t>the Prime Minister’s Youth Mental Health Project</w:t>
      </w:r>
    </w:p>
    <w:p w:rsidR="004659AD" w:rsidRPr="00642432" w:rsidRDefault="004659AD" w:rsidP="00BA27B7">
      <w:pPr>
        <w:pStyle w:val="Bullet"/>
      </w:pPr>
      <w:r w:rsidRPr="00642432">
        <w:t>the interface between the youth justice system and mental health and addiction services.</w:t>
      </w:r>
    </w:p>
    <w:p w:rsidR="004659AD" w:rsidRPr="00642432" w:rsidRDefault="004659AD" w:rsidP="00BA27B7"/>
    <w:p w:rsidR="004659AD" w:rsidRPr="00642432" w:rsidRDefault="004659AD" w:rsidP="00BA27B7">
      <w:pPr>
        <w:pStyle w:val="Heading3"/>
      </w:pPr>
      <w:r w:rsidRPr="00642432">
        <w:t>Relationship with the Department of Corrections</w:t>
      </w:r>
    </w:p>
    <w:p w:rsidR="004659AD" w:rsidRPr="00642432" w:rsidRDefault="004659AD" w:rsidP="00BA27B7">
      <w:r w:rsidRPr="00642432">
        <w:t>The Ministry works closely with the Department of Corrections to improve the health services provided to people detained in prisons. People detained in prison often have complex mental health needs, which may require more intensive support than Corrections health services can</w:t>
      </w:r>
      <w:r w:rsidR="00D32DDD" w:rsidRPr="00642432">
        <w:t xml:space="preserve"> </w:t>
      </w:r>
      <w:r w:rsidRPr="00642432">
        <w:t>give as a provider of primary health care. Regional forensic psychiatry services support Corrections to access and treat prisoners with complex mental health needs. Prisoners may be transferred to a hospital for treatment</w:t>
      </w:r>
      <w:r w:rsidR="00BA27B7">
        <w:t xml:space="preserve"> </w:t>
      </w:r>
      <w:r w:rsidRPr="00642432">
        <w:t>in a therapeutic environment where necessary.</w:t>
      </w:r>
    </w:p>
    <w:p w:rsidR="004659AD" w:rsidRPr="00642432" w:rsidRDefault="004659AD" w:rsidP="00BA27B7"/>
    <w:p w:rsidR="004659AD" w:rsidRPr="00642432" w:rsidRDefault="004659AD" w:rsidP="00BA27B7">
      <w:pPr>
        <w:pStyle w:val="Heading3"/>
      </w:pPr>
      <w:r w:rsidRPr="00642432">
        <w:t>Relationship with New Zealand Police</w:t>
      </w:r>
    </w:p>
    <w:p w:rsidR="004659AD" w:rsidRPr="00642432" w:rsidRDefault="004659AD" w:rsidP="00BA27B7">
      <w:r w:rsidRPr="00642432">
        <w:t>People detained in police custody often have complex mental health needs. In addition, although</w:t>
      </w:r>
      <w:r w:rsidR="00BA27B7">
        <w:t xml:space="preserve"> </w:t>
      </w:r>
      <w:r w:rsidRPr="00642432">
        <w:t>DHB mental health services operate emergency intervention teams, police are often required to be</w:t>
      </w:r>
      <w:r w:rsidR="00BA27B7">
        <w:t xml:space="preserve"> </w:t>
      </w:r>
      <w:r w:rsidRPr="00642432">
        <w:t>the initial response to people whose mental illness appears to contribute to the person being a danger to themselves or to others. It is therefore important for police and DHB mental health services to maintain collaborative relationships.</w:t>
      </w:r>
    </w:p>
    <w:p w:rsidR="004659AD" w:rsidRPr="00642432" w:rsidRDefault="004659AD" w:rsidP="00BA27B7"/>
    <w:p w:rsidR="004659AD" w:rsidRPr="00642432" w:rsidRDefault="004659AD" w:rsidP="00BA27B7">
      <w:pPr>
        <w:pStyle w:val="Heading2"/>
      </w:pPr>
      <w:bookmarkStart w:id="19" w:name="_Toc405113661"/>
      <w:r w:rsidRPr="00642432">
        <w:t>District inspectors</w:t>
      </w:r>
      <w:bookmarkEnd w:id="19"/>
    </w:p>
    <w:p w:rsidR="004659AD" w:rsidRPr="00642432" w:rsidRDefault="004659AD" w:rsidP="00BA27B7">
      <w:r w:rsidRPr="00642432">
        <w:t>The Minister of Health appoints lawyers as district inspectors under section 94 of the Mental Health</w:t>
      </w:r>
      <w:r w:rsidR="00BA27B7">
        <w:t xml:space="preserve"> </w:t>
      </w:r>
      <w:r w:rsidRPr="00642432">
        <w:t>Act to ensure people’s rights are upheld during the compulsory assessment and treatment process.</w:t>
      </w:r>
    </w:p>
    <w:p w:rsidR="004659AD" w:rsidRPr="00642432" w:rsidRDefault="004659AD" w:rsidP="00BA27B7"/>
    <w:p w:rsidR="004659AD" w:rsidRPr="00642432" w:rsidRDefault="004659AD" w:rsidP="00BA27B7">
      <w:r w:rsidRPr="00642432">
        <w:t>District inspectors work to protect specific rights provided to people under the</w:t>
      </w:r>
      <w:r w:rsidR="00D32DDD" w:rsidRPr="00642432">
        <w:t xml:space="preserve"> </w:t>
      </w:r>
      <w:r w:rsidRPr="00642432">
        <w:t>Mental Health Act, address concerns of family and whānau, and investigate alleged breaches of rights, as set out in the</w:t>
      </w:r>
      <w:r w:rsidR="00D32DDD" w:rsidRPr="00642432">
        <w:t xml:space="preserve"> </w:t>
      </w:r>
      <w:r w:rsidRPr="00642432">
        <w:t>Act.</w:t>
      </w:r>
    </w:p>
    <w:p w:rsidR="004659AD" w:rsidRPr="00642432" w:rsidRDefault="004659AD" w:rsidP="00BA27B7"/>
    <w:p w:rsidR="004659AD" w:rsidRPr="00642432" w:rsidRDefault="004659AD" w:rsidP="00BA27B7">
      <w:r w:rsidRPr="00642432">
        <w:t>The Office of the Director of Mental Health’s responsibilities in relation to district inspectors include:</w:t>
      </w:r>
    </w:p>
    <w:p w:rsidR="00BA27B7" w:rsidRPr="00642432" w:rsidRDefault="00BA27B7" w:rsidP="00BA27B7">
      <w:pPr>
        <w:pStyle w:val="Bullet"/>
      </w:pPr>
      <w:r w:rsidRPr="00642432">
        <w:t>coordinating the appointment and reappointment of district inspectors by the Minister of Health</w:t>
      </w:r>
    </w:p>
    <w:p w:rsidR="00BA27B7" w:rsidRPr="00642432" w:rsidRDefault="00BA27B7" w:rsidP="00BA27B7">
      <w:pPr>
        <w:pStyle w:val="Bullet"/>
      </w:pPr>
      <w:r w:rsidRPr="00642432">
        <w:t>managing district inspector remuneration</w:t>
      </w:r>
    </w:p>
    <w:p w:rsidR="00BA27B7" w:rsidRPr="00642432" w:rsidRDefault="00BA27B7" w:rsidP="00BA27B7">
      <w:pPr>
        <w:pStyle w:val="Bullet"/>
      </w:pPr>
      <w:r w:rsidRPr="00642432">
        <w:t>receiving and responding to monthly reports from the district inspectors</w:t>
      </w:r>
    </w:p>
    <w:p w:rsidR="00BA27B7" w:rsidRPr="00642432" w:rsidRDefault="00BA27B7" w:rsidP="00BA27B7">
      <w:pPr>
        <w:pStyle w:val="Bullet"/>
      </w:pPr>
      <w:r w:rsidRPr="00642432">
        <w:t>organising twice-yearly national meetings of district inspectors</w:t>
      </w:r>
    </w:p>
    <w:p w:rsidR="00BA27B7" w:rsidRPr="00642432" w:rsidRDefault="00BA27B7" w:rsidP="00BA27B7">
      <w:pPr>
        <w:pStyle w:val="Bullet"/>
      </w:pPr>
      <w:r w:rsidRPr="00642432">
        <w:t>facilitating inquiries under section 95 of the Mental Health Act</w:t>
      </w:r>
    </w:p>
    <w:p w:rsidR="00BA27B7" w:rsidRPr="00642432" w:rsidRDefault="00BA27B7" w:rsidP="00BA27B7">
      <w:pPr>
        <w:pStyle w:val="Bullet"/>
      </w:pPr>
      <w:r w:rsidRPr="00642432">
        <w:t>implementing the findings of section 95 inquiries by district inspectors.</w:t>
      </w:r>
    </w:p>
    <w:p w:rsidR="004659AD" w:rsidRPr="00642432" w:rsidRDefault="004659AD" w:rsidP="00BA27B7"/>
    <w:p w:rsidR="004659AD" w:rsidRPr="00642432" w:rsidRDefault="004659AD" w:rsidP="00BA27B7">
      <w:pPr>
        <w:pStyle w:val="Box"/>
      </w:pPr>
      <w:r w:rsidRPr="00642432">
        <w:t>District inspectors</w:t>
      </w:r>
      <w:r w:rsidR="00BA27B7">
        <w:t xml:space="preserve"> </w:t>
      </w:r>
      <w:r w:rsidRPr="00642432">
        <w:t>work</w:t>
      </w:r>
      <w:r w:rsidR="00D32DDD" w:rsidRPr="00642432">
        <w:t xml:space="preserve"> </w:t>
      </w:r>
      <w:r w:rsidRPr="00642432">
        <w:t>to protect people’s rights under the Mental Health Act.</w:t>
      </w:r>
    </w:p>
    <w:p w:rsidR="004659AD" w:rsidRPr="00642432" w:rsidRDefault="004659AD" w:rsidP="00BA27B7"/>
    <w:p w:rsidR="004659AD" w:rsidRPr="00642432" w:rsidRDefault="004659AD" w:rsidP="00BA27B7">
      <w:pPr>
        <w:pStyle w:val="Heading3"/>
      </w:pPr>
      <w:r w:rsidRPr="00642432">
        <w:t>The role of district inspectors</w:t>
      </w:r>
    </w:p>
    <w:p w:rsidR="004659AD" w:rsidRPr="00642432" w:rsidRDefault="004659AD" w:rsidP="00BA27B7">
      <w:r w:rsidRPr="00642432">
        <w:t>District inspectors are required to report to the DAMHS within 14 days of inspecting mental health services. They are also required to report monthly to the Director of Mental Health on the exercise</w:t>
      </w:r>
      <w:r w:rsidR="00BA27B7">
        <w:t xml:space="preserve"> </w:t>
      </w:r>
      <w:r w:rsidRPr="00642432">
        <w:t>of their powers, duties and functions. These reports provide the Director with an overview of mental health services and any</w:t>
      </w:r>
      <w:r w:rsidR="00D32DDD" w:rsidRPr="00642432">
        <w:t xml:space="preserve"> </w:t>
      </w:r>
      <w:r w:rsidRPr="00642432">
        <w:t>problems arising from them.</w:t>
      </w:r>
    </w:p>
    <w:p w:rsidR="004659AD" w:rsidRPr="00642432" w:rsidRDefault="004659AD" w:rsidP="00BA27B7"/>
    <w:p w:rsidR="004659AD" w:rsidRPr="00642432" w:rsidRDefault="004659AD" w:rsidP="00BA27B7">
      <w:pPr>
        <w:pStyle w:val="Heading3"/>
      </w:pPr>
      <w:r w:rsidRPr="00642432">
        <w:t>Section 95 reports completed by 31 December 2013</w:t>
      </w:r>
    </w:p>
    <w:p w:rsidR="004659AD" w:rsidRPr="00642432" w:rsidRDefault="004659AD" w:rsidP="00BA27B7">
      <w:r w:rsidRPr="00642432">
        <w:t>The Director will occasionally require a district inspector to undertake an inquiry under section</w:t>
      </w:r>
      <w:r w:rsidR="00BA27B7">
        <w:t xml:space="preserve"> </w:t>
      </w:r>
      <w:r w:rsidRPr="00642432">
        <w:t>95 of the Mental Health Act. Such inquiries are generally focused on systemic issues across one or more mental health services. A typical result of these inquiries is that the district inspector makes recommendations. The Director will consider the recommendations and audit the DHB’s implementation of relevant recommendations.</w:t>
      </w:r>
    </w:p>
    <w:p w:rsidR="004659AD" w:rsidRPr="00642432" w:rsidRDefault="004659AD" w:rsidP="00BA27B7"/>
    <w:p w:rsidR="004659AD" w:rsidRPr="00642432" w:rsidRDefault="004659AD" w:rsidP="00BA27B7">
      <w:r w:rsidRPr="00642432">
        <w:t>The Director will also act on any</w:t>
      </w:r>
      <w:r w:rsidR="00D32DDD" w:rsidRPr="00642432">
        <w:t xml:space="preserve"> </w:t>
      </w:r>
      <w:r w:rsidRPr="00642432">
        <w:t>recommendations that have implications for the Ministry of Health and/or the mental health sector generally. The inquiry process is not completed until the Director considers that the recommendations have been satisfactorily implemented by the DHB and, if appropriate, by the Ministry and all DHBs.</w:t>
      </w:r>
    </w:p>
    <w:p w:rsidR="004659AD" w:rsidRPr="00642432" w:rsidRDefault="004659AD" w:rsidP="00BA27B7"/>
    <w:p w:rsidR="004659AD" w:rsidRPr="00642432" w:rsidRDefault="004659AD" w:rsidP="00BA27B7">
      <w:r w:rsidRPr="00642432">
        <w:t>No section 95 inquiries were</w:t>
      </w:r>
      <w:r w:rsidR="00D32DDD" w:rsidRPr="00642432">
        <w:t xml:space="preserve"> </w:t>
      </w:r>
      <w:r w:rsidRPr="00642432">
        <w:t>completed during 2013. A section 95 inquiry remained ongoing from 2012, and another inquiry was initiated during late</w:t>
      </w:r>
      <w:r w:rsidR="00D32DDD" w:rsidRPr="00642432">
        <w:t xml:space="preserve"> </w:t>
      </w:r>
      <w:r w:rsidRPr="00642432">
        <w:t>2013. Table 1 shows the number of completed section 95 inquiry reports received by the Director of Mental Health between 2003</w:t>
      </w:r>
      <w:r w:rsidR="00D32DDD" w:rsidRPr="00642432">
        <w:t xml:space="preserve"> </w:t>
      </w:r>
      <w:r w:rsidRPr="00642432">
        <w:t>and 2013.</w:t>
      </w:r>
    </w:p>
    <w:p w:rsidR="004659AD" w:rsidRPr="00642432" w:rsidRDefault="004659AD" w:rsidP="00BA27B7"/>
    <w:p w:rsidR="004659AD" w:rsidRPr="00642432" w:rsidRDefault="004659AD" w:rsidP="00BA27B7">
      <w:pPr>
        <w:pStyle w:val="Table"/>
      </w:pPr>
      <w:bookmarkStart w:id="20" w:name="_Toc405113681"/>
      <w:r w:rsidRPr="00642432">
        <w:t>Table 1: Number of completed section 95 inquiry reports received by the Director of Mental Health,</w:t>
      </w:r>
      <w:r w:rsidR="00BA27B7">
        <w:t xml:space="preserve"> </w:t>
      </w:r>
      <w:r w:rsidRPr="00642432">
        <w:t>2003 to 2013</w:t>
      </w:r>
      <w:bookmarkEnd w:id="20"/>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850"/>
        <w:gridCol w:w="851"/>
        <w:gridCol w:w="850"/>
        <w:gridCol w:w="851"/>
        <w:gridCol w:w="850"/>
        <w:gridCol w:w="851"/>
        <w:gridCol w:w="850"/>
        <w:gridCol w:w="851"/>
        <w:gridCol w:w="850"/>
        <w:gridCol w:w="851"/>
        <w:gridCol w:w="851"/>
      </w:tblGrid>
      <w:tr w:rsidR="00BA27B7" w:rsidRPr="00BA27B7" w:rsidTr="00BA27B7">
        <w:trPr>
          <w:cantSplit/>
        </w:trPr>
        <w:tc>
          <w:tcPr>
            <w:tcW w:w="850" w:type="dxa"/>
            <w:tcBorders>
              <w:top w:val="single" w:sz="4" w:space="0" w:color="auto"/>
              <w:bottom w:val="single" w:sz="4" w:space="0" w:color="auto"/>
            </w:tcBorders>
            <w:shd w:val="clear" w:color="auto" w:fill="F2F2F2" w:themeFill="background1" w:themeFillShade="F2"/>
          </w:tcPr>
          <w:p w:rsidR="00BA27B7" w:rsidRPr="00BA27B7" w:rsidRDefault="00BA27B7" w:rsidP="00BA27B7">
            <w:pPr>
              <w:pStyle w:val="TableText"/>
              <w:jc w:val="center"/>
              <w:rPr>
                <w:b/>
              </w:rPr>
            </w:pPr>
            <w:r w:rsidRPr="00BA27B7">
              <w:rPr>
                <w:b/>
              </w:rPr>
              <w:t>2003</w:t>
            </w:r>
          </w:p>
        </w:tc>
        <w:tc>
          <w:tcPr>
            <w:tcW w:w="851" w:type="dxa"/>
            <w:tcBorders>
              <w:top w:val="single" w:sz="4" w:space="0" w:color="auto"/>
              <w:bottom w:val="single" w:sz="4" w:space="0" w:color="auto"/>
            </w:tcBorders>
            <w:shd w:val="clear" w:color="auto" w:fill="F2F2F2" w:themeFill="background1" w:themeFillShade="F2"/>
          </w:tcPr>
          <w:p w:rsidR="00BA27B7" w:rsidRPr="00BA27B7" w:rsidRDefault="00BA27B7" w:rsidP="00BA27B7">
            <w:pPr>
              <w:pStyle w:val="TableText"/>
              <w:jc w:val="center"/>
              <w:rPr>
                <w:b/>
              </w:rPr>
            </w:pPr>
            <w:r w:rsidRPr="00BA27B7">
              <w:rPr>
                <w:b/>
              </w:rPr>
              <w:t>2004</w:t>
            </w:r>
          </w:p>
        </w:tc>
        <w:tc>
          <w:tcPr>
            <w:tcW w:w="850" w:type="dxa"/>
            <w:tcBorders>
              <w:top w:val="single" w:sz="4" w:space="0" w:color="auto"/>
              <w:bottom w:val="single" w:sz="4" w:space="0" w:color="auto"/>
            </w:tcBorders>
            <w:shd w:val="clear" w:color="auto" w:fill="F2F2F2" w:themeFill="background1" w:themeFillShade="F2"/>
          </w:tcPr>
          <w:p w:rsidR="00BA27B7" w:rsidRPr="00BA27B7" w:rsidRDefault="00BA27B7" w:rsidP="00BA27B7">
            <w:pPr>
              <w:pStyle w:val="TableText"/>
              <w:jc w:val="center"/>
              <w:rPr>
                <w:b/>
              </w:rPr>
            </w:pPr>
            <w:r w:rsidRPr="00BA27B7">
              <w:rPr>
                <w:b/>
              </w:rPr>
              <w:t>2005</w:t>
            </w:r>
          </w:p>
        </w:tc>
        <w:tc>
          <w:tcPr>
            <w:tcW w:w="851" w:type="dxa"/>
            <w:tcBorders>
              <w:top w:val="single" w:sz="4" w:space="0" w:color="auto"/>
              <w:bottom w:val="single" w:sz="4" w:space="0" w:color="auto"/>
            </w:tcBorders>
            <w:shd w:val="clear" w:color="auto" w:fill="F2F2F2" w:themeFill="background1" w:themeFillShade="F2"/>
          </w:tcPr>
          <w:p w:rsidR="00BA27B7" w:rsidRPr="00BA27B7" w:rsidRDefault="00BA27B7" w:rsidP="00BA27B7">
            <w:pPr>
              <w:pStyle w:val="TableText"/>
              <w:jc w:val="center"/>
              <w:rPr>
                <w:b/>
              </w:rPr>
            </w:pPr>
            <w:r w:rsidRPr="00BA27B7">
              <w:rPr>
                <w:b/>
              </w:rPr>
              <w:t>2006</w:t>
            </w:r>
          </w:p>
        </w:tc>
        <w:tc>
          <w:tcPr>
            <w:tcW w:w="850" w:type="dxa"/>
            <w:tcBorders>
              <w:top w:val="single" w:sz="4" w:space="0" w:color="auto"/>
              <w:bottom w:val="single" w:sz="4" w:space="0" w:color="auto"/>
            </w:tcBorders>
            <w:shd w:val="clear" w:color="auto" w:fill="F2F2F2" w:themeFill="background1" w:themeFillShade="F2"/>
          </w:tcPr>
          <w:p w:rsidR="00BA27B7" w:rsidRPr="00BA27B7" w:rsidRDefault="00BA27B7" w:rsidP="00BA27B7">
            <w:pPr>
              <w:pStyle w:val="TableText"/>
              <w:jc w:val="center"/>
              <w:rPr>
                <w:b/>
              </w:rPr>
            </w:pPr>
            <w:r w:rsidRPr="00BA27B7">
              <w:rPr>
                <w:b/>
              </w:rPr>
              <w:t>2007</w:t>
            </w:r>
          </w:p>
        </w:tc>
        <w:tc>
          <w:tcPr>
            <w:tcW w:w="851" w:type="dxa"/>
            <w:tcBorders>
              <w:top w:val="single" w:sz="4" w:space="0" w:color="auto"/>
              <w:bottom w:val="single" w:sz="4" w:space="0" w:color="auto"/>
            </w:tcBorders>
            <w:shd w:val="clear" w:color="auto" w:fill="F2F2F2" w:themeFill="background1" w:themeFillShade="F2"/>
          </w:tcPr>
          <w:p w:rsidR="00BA27B7" w:rsidRPr="00BA27B7" w:rsidRDefault="00BA27B7" w:rsidP="00BA27B7">
            <w:pPr>
              <w:pStyle w:val="TableText"/>
              <w:jc w:val="center"/>
              <w:rPr>
                <w:b/>
              </w:rPr>
            </w:pPr>
            <w:r w:rsidRPr="00BA27B7">
              <w:rPr>
                <w:b/>
              </w:rPr>
              <w:t>2008</w:t>
            </w:r>
          </w:p>
        </w:tc>
        <w:tc>
          <w:tcPr>
            <w:tcW w:w="850" w:type="dxa"/>
            <w:tcBorders>
              <w:top w:val="single" w:sz="4" w:space="0" w:color="auto"/>
              <w:bottom w:val="single" w:sz="4" w:space="0" w:color="auto"/>
            </w:tcBorders>
            <w:shd w:val="clear" w:color="auto" w:fill="F2F2F2" w:themeFill="background1" w:themeFillShade="F2"/>
          </w:tcPr>
          <w:p w:rsidR="00BA27B7" w:rsidRPr="00BA27B7" w:rsidRDefault="00BA27B7" w:rsidP="00BA27B7">
            <w:pPr>
              <w:pStyle w:val="TableText"/>
              <w:jc w:val="center"/>
              <w:rPr>
                <w:b/>
              </w:rPr>
            </w:pPr>
            <w:r w:rsidRPr="00BA27B7">
              <w:rPr>
                <w:b/>
              </w:rPr>
              <w:t>2009</w:t>
            </w:r>
          </w:p>
        </w:tc>
        <w:tc>
          <w:tcPr>
            <w:tcW w:w="851" w:type="dxa"/>
            <w:tcBorders>
              <w:top w:val="single" w:sz="4" w:space="0" w:color="auto"/>
              <w:bottom w:val="single" w:sz="4" w:space="0" w:color="auto"/>
            </w:tcBorders>
            <w:shd w:val="clear" w:color="auto" w:fill="F2F2F2" w:themeFill="background1" w:themeFillShade="F2"/>
          </w:tcPr>
          <w:p w:rsidR="00BA27B7" w:rsidRPr="00BA27B7" w:rsidRDefault="00BA27B7" w:rsidP="00BA27B7">
            <w:pPr>
              <w:pStyle w:val="TableText"/>
              <w:jc w:val="center"/>
              <w:rPr>
                <w:b/>
              </w:rPr>
            </w:pPr>
            <w:r w:rsidRPr="00BA27B7">
              <w:rPr>
                <w:b/>
              </w:rPr>
              <w:t>2010</w:t>
            </w:r>
          </w:p>
        </w:tc>
        <w:tc>
          <w:tcPr>
            <w:tcW w:w="850" w:type="dxa"/>
            <w:tcBorders>
              <w:top w:val="single" w:sz="4" w:space="0" w:color="auto"/>
              <w:bottom w:val="single" w:sz="4" w:space="0" w:color="auto"/>
            </w:tcBorders>
            <w:shd w:val="clear" w:color="auto" w:fill="F2F2F2" w:themeFill="background1" w:themeFillShade="F2"/>
          </w:tcPr>
          <w:p w:rsidR="00BA27B7" w:rsidRPr="00BA27B7" w:rsidRDefault="00BA27B7" w:rsidP="00BA27B7">
            <w:pPr>
              <w:pStyle w:val="TableText"/>
              <w:jc w:val="center"/>
              <w:rPr>
                <w:b/>
              </w:rPr>
            </w:pPr>
            <w:r w:rsidRPr="00BA27B7">
              <w:rPr>
                <w:b/>
              </w:rPr>
              <w:t>2011</w:t>
            </w:r>
          </w:p>
        </w:tc>
        <w:tc>
          <w:tcPr>
            <w:tcW w:w="851" w:type="dxa"/>
            <w:tcBorders>
              <w:top w:val="single" w:sz="4" w:space="0" w:color="auto"/>
              <w:bottom w:val="single" w:sz="4" w:space="0" w:color="auto"/>
            </w:tcBorders>
            <w:shd w:val="clear" w:color="auto" w:fill="F2F2F2" w:themeFill="background1" w:themeFillShade="F2"/>
          </w:tcPr>
          <w:p w:rsidR="00BA27B7" w:rsidRPr="00BA27B7" w:rsidRDefault="00BA27B7" w:rsidP="00BA27B7">
            <w:pPr>
              <w:pStyle w:val="TableText"/>
              <w:jc w:val="center"/>
              <w:rPr>
                <w:b/>
              </w:rPr>
            </w:pPr>
            <w:r w:rsidRPr="00BA27B7">
              <w:rPr>
                <w:b/>
              </w:rPr>
              <w:t>2012</w:t>
            </w:r>
          </w:p>
        </w:tc>
        <w:tc>
          <w:tcPr>
            <w:tcW w:w="851" w:type="dxa"/>
            <w:tcBorders>
              <w:top w:val="single" w:sz="4" w:space="0" w:color="auto"/>
              <w:bottom w:val="single" w:sz="4" w:space="0" w:color="auto"/>
            </w:tcBorders>
            <w:shd w:val="clear" w:color="auto" w:fill="F2F2F2" w:themeFill="background1" w:themeFillShade="F2"/>
          </w:tcPr>
          <w:p w:rsidR="00BA27B7" w:rsidRPr="00BA27B7" w:rsidRDefault="00BA27B7" w:rsidP="00BA27B7">
            <w:pPr>
              <w:pStyle w:val="TableText"/>
              <w:jc w:val="center"/>
              <w:rPr>
                <w:b/>
              </w:rPr>
            </w:pPr>
            <w:r w:rsidRPr="00BA27B7">
              <w:rPr>
                <w:b/>
              </w:rPr>
              <w:t>2013</w:t>
            </w:r>
          </w:p>
        </w:tc>
      </w:tr>
      <w:tr w:rsidR="004659AD" w:rsidRPr="00642432" w:rsidTr="00BA27B7">
        <w:trPr>
          <w:cantSplit/>
        </w:trPr>
        <w:tc>
          <w:tcPr>
            <w:tcW w:w="850" w:type="dxa"/>
            <w:tcBorders>
              <w:top w:val="single" w:sz="4" w:space="0" w:color="auto"/>
            </w:tcBorders>
            <w:shd w:val="clear" w:color="auto" w:fill="auto"/>
          </w:tcPr>
          <w:p w:rsidR="004659AD" w:rsidRPr="00642432" w:rsidRDefault="004659AD" w:rsidP="00BA27B7">
            <w:pPr>
              <w:pStyle w:val="TableText"/>
              <w:jc w:val="center"/>
            </w:pPr>
            <w:r w:rsidRPr="00642432">
              <w:t>1</w:t>
            </w:r>
          </w:p>
        </w:tc>
        <w:tc>
          <w:tcPr>
            <w:tcW w:w="851" w:type="dxa"/>
            <w:tcBorders>
              <w:top w:val="single" w:sz="4" w:space="0" w:color="auto"/>
            </w:tcBorders>
            <w:shd w:val="clear" w:color="auto" w:fill="auto"/>
          </w:tcPr>
          <w:p w:rsidR="004659AD" w:rsidRPr="00642432" w:rsidRDefault="004659AD" w:rsidP="00BA27B7">
            <w:pPr>
              <w:pStyle w:val="TableText"/>
              <w:jc w:val="center"/>
            </w:pPr>
            <w:r w:rsidRPr="00642432">
              <w:t>2</w:t>
            </w:r>
          </w:p>
        </w:tc>
        <w:tc>
          <w:tcPr>
            <w:tcW w:w="850" w:type="dxa"/>
            <w:tcBorders>
              <w:top w:val="single" w:sz="4" w:space="0" w:color="auto"/>
            </w:tcBorders>
            <w:shd w:val="clear" w:color="auto" w:fill="auto"/>
          </w:tcPr>
          <w:p w:rsidR="004659AD" w:rsidRPr="00642432" w:rsidRDefault="004659AD" w:rsidP="00BA27B7">
            <w:pPr>
              <w:pStyle w:val="TableText"/>
              <w:jc w:val="center"/>
            </w:pPr>
            <w:r w:rsidRPr="00642432">
              <w:t>1</w:t>
            </w:r>
          </w:p>
        </w:tc>
        <w:tc>
          <w:tcPr>
            <w:tcW w:w="851" w:type="dxa"/>
            <w:tcBorders>
              <w:top w:val="single" w:sz="4" w:space="0" w:color="auto"/>
            </w:tcBorders>
            <w:shd w:val="clear" w:color="auto" w:fill="auto"/>
          </w:tcPr>
          <w:p w:rsidR="004659AD" w:rsidRPr="00642432" w:rsidRDefault="004659AD" w:rsidP="00BA27B7">
            <w:pPr>
              <w:pStyle w:val="TableText"/>
              <w:jc w:val="center"/>
            </w:pPr>
            <w:r w:rsidRPr="00642432">
              <w:t>4</w:t>
            </w:r>
          </w:p>
        </w:tc>
        <w:tc>
          <w:tcPr>
            <w:tcW w:w="850" w:type="dxa"/>
            <w:tcBorders>
              <w:top w:val="single" w:sz="4" w:space="0" w:color="auto"/>
            </w:tcBorders>
            <w:shd w:val="clear" w:color="auto" w:fill="auto"/>
          </w:tcPr>
          <w:p w:rsidR="004659AD" w:rsidRPr="00642432" w:rsidRDefault="004659AD" w:rsidP="00BA27B7">
            <w:pPr>
              <w:pStyle w:val="TableText"/>
              <w:jc w:val="center"/>
            </w:pPr>
            <w:r w:rsidRPr="00642432">
              <w:t>1</w:t>
            </w:r>
          </w:p>
        </w:tc>
        <w:tc>
          <w:tcPr>
            <w:tcW w:w="851" w:type="dxa"/>
            <w:tcBorders>
              <w:top w:val="single" w:sz="4" w:space="0" w:color="auto"/>
            </w:tcBorders>
            <w:shd w:val="clear" w:color="auto" w:fill="auto"/>
          </w:tcPr>
          <w:p w:rsidR="004659AD" w:rsidRPr="00642432" w:rsidRDefault="004659AD" w:rsidP="00BA27B7">
            <w:pPr>
              <w:pStyle w:val="TableText"/>
              <w:jc w:val="center"/>
            </w:pPr>
            <w:r w:rsidRPr="00642432">
              <w:t>1</w:t>
            </w:r>
          </w:p>
        </w:tc>
        <w:tc>
          <w:tcPr>
            <w:tcW w:w="850" w:type="dxa"/>
            <w:tcBorders>
              <w:top w:val="single" w:sz="4" w:space="0" w:color="auto"/>
            </w:tcBorders>
            <w:shd w:val="clear" w:color="auto" w:fill="auto"/>
          </w:tcPr>
          <w:p w:rsidR="004659AD" w:rsidRPr="00642432" w:rsidRDefault="004659AD" w:rsidP="00BA27B7">
            <w:pPr>
              <w:pStyle w:val="TableText"/>
              <w:jc w:val="center"/>
            </w:pPr>
            <w:r w:rsidRPr="00642432">
              <w:t>3</w:t>
            </w:r>
          </w:p>
        </w:tc>
        <w:tc>
          <w:tcPr>
            <w:tcW w:w="851" w:type="dxa"/>
            <w:tcBorders>
              <w:top w:val="single" w:sz="4" w:space="0" w:color="auto"/>
            </w:tcBorders>
            <w:shd w:val="clear" w:color="auto" w:fill="auto"/>
          </w:tcPr>
          <w:p w:rsidR="004659AD" w:rsidRPr="00642432" w:rsidRDefault="004659AD" w:rsidP="00BA27B7">
            <w:pPr>
              <w:pStyle w:val="TableText"/>
              <w:jc w:val="center"/>
            </w:pPr>
            <w:r w:rsidRPr="00642432">
              <w:t>2</w:t>
            </w:r>
          </w:p>
        </w:tc>
        <w:tc>
          <w:tcPr>
            <w:tcW w:w="850" w:type="dxa"/>
            <w:tcBorders>
              <w:top w:val="single" w:sz="4" w:space="0" w:color="auto"/>
            </w:tcBorders>
            <w:shd w:val="clear" w:color="auto" w:fill="auto"/>
          </w:tcPr>
          <w:p w:rsidR="004659AD" w:rsidRPr="00642432" w:rsidRDefault="004659AD" w:rsidP="00BA27B7">
            <w:pPr>
              <w:pStyle w:val="TableText"/>
              <w:jc w:val="center"/>
            </w:pPr>
            <w:r w:rsidRPr="00642432">
              <w:t>1</w:t>
            </w:r>
          </w:p>
        </w:tc>
        <w:tc>
          <w:tcPr>
            <w:tcW w:w="851" w:type="dxa"/>
            <w:tcBorders>
              <w:top w:val="single" w:sz="4" w:space="0" w:color="auto"/>
            </w:tcBorders>
            <w:shd w:val="clear" w:color="auto" w:fill="auto"/>
          </w:tcPr>
          <w:p w:rsidR="004659AD" w:rsidRPr="00642432" w:rsidRDefault="004659AD" w:rsidP="00BA27B7">
            <w:pPr>
              <w:pStyle w:val="TableText"/>
              <w:jc w:val="center"/>
            </w:pPr>
            <w:r w:rsidRPr="00642432">
              <w:t>1</w:t>
            </w:r>
          </w:p>
        </w:tc>
        <w:tc>
          <w:tcPr>
            <w:tcW w:w="851" w:type="dxa"/>
            <w:tcBorders>
              <w:top w:val="single" w:sz="4" w:space="0" w:color="auto"/>
            </w:tcBorders>
            <w:shd w:val="clear" w:color="auto" w:fill="auto"/>
          </w:tcPr>
          <w:p w:rsidR="004659AD" w:rsidRPr="00642432" w:rsidRDefault="004659AD" w:rsidP="00BA27B7">
            <w:pPr>
              <w:pStyle w:val="TableText"/>
              <w:jc w:val="center"/>
            </w:pPr>
            <w:r w:rsidRPr="00642432">
              <w:t>0</w:t>
            </w:r>
          </w:p>
        </w:tc>
      </w:tr>
    </w:tbl>
    <w:p w:rsidR="004659AD" w:rsidRPr="00642432" w:rsidRDefault="004659AD" w:rsidP="00BA27B7"/>
    <w:p w:rsidR="004659AD" w:rsidRPr="00642432" w:rsidRDefault="004659AD" w:rsidP="00BA27B7">
      <w:pPr>
        <w:pStyle w:val="Heading3"/>
      </w:pPr>
      <w:r w:rsidRPr="00642432">
        <w:t>Number of district inspectors</w:t>
      </w:r>
    </w:p>
    <w:p w:rsidR="004659AD" w:rsidRPr="00642432" w:rsidRDefault="004659AD" w:rsidP="00BA27B7">
      <w:r w:rsidRPr="00642432">
        <w:t>As at 31 December 2013 there were</w:t>
      </w:r>
      <w:r w:rsidR="00D32DDD" w:rsidRPr="00642432">
        <w:t xml:space="preserve"> </w:t>
      </w:r>
      <w:r w:rsidRPr="00642432">
        <w:t>34 district inspectors appointed throughout New Zealand. One senior advisory district inspector is appointed to provide leadership and advice to the other district inspectors. A list of current district inspectors is available on the Ministry of Health website (</w:t>
      </w:r>
      <w:hyperlink r:id="rId25">
        <w:r w:rsidRPr="00642432">
          <w:t>www.health.govt.nz</w:t>
        </w:r>
      </w:hyperlink>
      <w:r w:rsidRPr="00642432">
        <w:t>).</w:t>
      </w:r>
    </w:p>
    <w:p w:rsidR="004659AD" w:rsidRPr="00642432" w:rsidRDefault="004659AD" w:rsidP="00BA27B7"/>
    <w:p w:rsidR="004659AD" w:rsidRPr="00642432" w:rsidRDefault="005003EA" w:rsidP="00BA27B7">
      <w:pPr>
        <w:pStyle w:val="Heading3"/>
      </w:pPr>
      <w:r w:rsidRPr="00BA27B7">
        <w:rPr>
          <w:noProof/>
          <w:lang w:eastAsia="en-NZ"/>
        </w:rPr>
        <w:drawing>
          <wp:anchor distT="0" distB="0" distL="0" distR="114300" simplePos="0" relativeHeight="251982848" behindDoc="0" locked="0" layoutInCell="1" allowOverlap="1" wp14:anchorId="034B22B3" wp14:editId="747ECCB8">
            <wp:simplePos x="0" y="0"/>
            <wp:positionH relativeFrom="column">
              <wp:posOffset>-24130</wp:posOffset>
            </wp:positionH>
            <wp:positionV relativeFrom="paragraph">
              <wp:posOffset>374650</wp:posOffset>
            </wp:positionV>
            <wp:extent cx="1324610" cy="1885950"/>
            <wp:effectExtent l="0" t="0" r="8890" b="0"/>
            <wp:wrapSquare wrapText="left"/>
            <wp:docPr id="5537" name="Picture 5537" descr="Photo of Barry Wilson – District inspector" title="Barry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grayscl/>
                      <a:extLst>
                        <a:ext uri="{28A0092B-C50C-407E-A947-70E740481C1C}">
                          <a14:useLocalDpi xmlns:a14="http://schemas.microsoft.com/office/drawing/2010/main" val="0"/>
                        </a:ext>
                      </a:extLst>
                    </a:blip>
                    <a:stretch>
                      <a:fillRect/>
                    </a:stretch>
                  </pic:blipFill>
                  <pic:spPr>
                    <a:xfrm>
                      <a:off x="0" y="0"/>
                      <a:ext cx="1324610" cy="1885950"/>
                    </a:xfrm>
                    <a:prstGeom prst="rect">
                      <a:avLst/>
                    </a:prstGeom>
                  </pic:spPr>
                </pic:pic>
              </a:graphicData>
            </a:graphic>
            <wp14:sizeRelH relativeFrom="margin">
              <wp14:pctWidth>0</wp14:pctWidth>
            </wp14:sizeRelH>
            <wp14:sizeRelV relativeFrom="margin">
              <wp14:pctHeight>0</wp14:pctHeight>
            </wp14:sizeRelV>
          </wp:anchor>
        </w:drawing>
      </w:r>
      <w:r w:rsidR="004659AD" w:rsidRPr="00642432">
        <w:t>Sector voices</w:t>
      </w:r>
    </w:p>
    <w:p w:rsidR="004659AD" w:rsidRPr="00642432" w:rsidRDefault="004659AD" w:rsidP="00BA27B7">
      <w:pPr>
        <w:pStyle w:val="Heading4"/>
      </w:pPr>
      <w:r w:rsidRPr="00642432">
        <w:t>Barry Wilson – District inspector</w:t>
      </w:r>
    </w:p>
    <w:p w:rsidR="004659AD" w:rsidRPr="00642432" w:rsidRDefault="004659AD" w:rsidP="00BA27B7">
      <w:r w:rsidRPr="00642432">
        <w:t>Hello, I’m Barry</w:t>
      </w:r>
      <w:r w:rsidR="00D32DDD" w:rsidRPr="00642432">
        <w:t xml:space="preserve"> </w:t>
      </w:r>
      <w:r w:rsidRPr="00642432">
        <w:t>Wilson and I’m a district inspector for mental health covering</w:t>
      </w:r>
      <w:r w:rsidR="00BA27B7">
        <w:t xml:space="preserve"> </w:t>
      </w:r>
      <w:r w:rsidRPr="00642432">
        <w:t>Auckland and Northland regions.</w:t>
      </w:r>
    </w:p>
    <w:p w:rsidR="004659AD" w:rsidRPr="00642432" w:rsidRDefault="004659AD" w:rsidP="00BA27B7"/>
    <w:p w:rsidR="004659AD" w:rsidRPr="00642432" w:rsidRDefault="004659AD" w:rsidP="00BA27B7">
      <w:r w:rsidRPr="00642432">
        <w:t>The role of the district inspector is unique to New Zealand. District inspectors are statutory officers acting in a watchdog role for people’s rights under the Mental Health Act. We are there to ensure that every person subject to compulsory assessment and treatment under the Mental Health Act is cared for in accordance with the Mental Health Act’s requirements.</w:t>
      </w:r>
    </w:p>
    <w:p w:rsidR="004659AD" w:rsidRPr="00642432" w:rsidRDefault="004659AD" w:rsidP="00BA27B7"/>
    <w:p w:rsidR="004659AD" w:rsidRPr="00642432" w:rsidRDefault="004659AD" w:rsidP="00BA27B7">
      <w:r w:rsidRPr="00642432">
        <w:t>For me,</w:t>
      </w:r>
      <w:r w:rsidR="00D32DDD" w:rsidRPr="00642432">
        <w:t xml:space="preserve"> </w:t>
      </w:r>
      <w:r w:rsidRPr="00642432">
        <w:t>the challenge of the job is about building successful relationships, both with people receiving treatment (in hospital and in the community) and with the dedicated staff who</w:t>
      </w:r>
      <w:r w:rsidR="00D32DDD" w:rsidRPr="00642432">
        <w:t xml:space="preserve"> </w:t>
      </w:r>
      <w:r w:rsidRPr="00642432">
        <w:t>serve their needs.</w:t>
      </w:r>
    </w:p>
    <w:p w:rsidR="004659AD" w:rsidRPr="00642432" w:rsidRDefault="004659AD" w:rsidP="00BA27B7"/>
    <w:p w:rsidR="004659AD" w:rsidRPr="00642432" w:rsidRDefault="004659AD" w:rsidP="00BA27B7">
      <w:r w:rsidRPr="00642432">
        <w:t>Most of the time I am dealing with very vulnerable people. If a person feels that I can</w:t>
      </w:r>
      <w:r w:rsidR="00D32DDD" w:rsidRPr="00642432">
        <w:t xml:space="preserve"> </w:t>
      </w:r>
      <w:r w:rsidRPr="00642432">
        <w:t>assist his or her situation I must, above all, maintain lines of communication and remain alert to the person’s concerns.</w:t>
      </w:r>
      <w:r w:rsidR="00BA27B7">
        <w:t xml:space="preserve"> </w:t>
      </w:r>
      <w:r w:rsidRPr="00642432">
        <w:t>‘Active listening’ is a key requirement of the job.</w:t>
      </w:r>
    </w:p>
    <w:p w:rsidR="004659AD" w:rsidRPr="00642432" w:rsidRDefault="004659AD" w:rsidP="00BA27B7"/>
    <w:p w:rsidR="004659AD" w:rsidRPr="00642432" w:rsidRDefault="004659AD" w:rsidP="00BA27B7">
      <w:r w:rsidRPr="00642432">
        <w:t>Features of a month’s work</w:t>
      </w:r>
      <w:r w:rsidR="00D32DDD" w:rsidRPr="00642432">
        <w:t xml:space="preserve"> </w:t>
      </w:r>
      <w:r w:rsidRPr="00642432">
        <w:t>might include:</w:t>
      </w:r>
    </w:p>
    <w:p w:rsidR="004659AD" w:rsidRPr="00642432" w:rsidRDefault="004659AD" w:rsidP="00BA27B7">
      <w:pPr>
        <w:pStyle w:val="Bullet"/>
      </w:pPr>
      <w:r w:rsidRPr="00642432">
        <w:t>ensuring a person’s objection to staying in hospital is heard by a judge</w:t>
      </w:r>
    </w:p>
    <w:p w:rsidR="004659AD" w:rsidRPr="00642432" w:rsidRDefault="004659AD" w:rsidP="00BA27B7">
      <w:pPr>
        <w:pStyle w:val="Bullet"/>
      </w:pPr>
      <w:r w:rsidRPr="00642432">
        <w:t>ensuring a mother’s voice</w:t>
      </w:r>
      <w:r w:rsidR="00D32DDD" w:rsidRPr="00642432">
        <w:t xml:space="preserve"> </w:t>
      </w:r>
      <w:r w:rsidRPr="00642432">
        <w:t>is heard by a person’s responsible clinician</w:t>
      </w:r>
    </w:p>
    <w:p w:rsidR="004659AD" w:rsidRPr="00642432" w:rsidRDefault="004659AD" w:rsidP="00BA27B7">
      <w:pPr>
        <w:pStyle w:val="Bullet"/>
      </w:pPr>
      <w:r w:rsidRPr="00642432">
        <w:t>conducting an inquiry into whether a person who</w:t>
      </w:r>
      <w:r w:rsidR="00D32DDD" w:rsidRPr="00642432">
        <w:t xml:space="preserve"> </w:t>
      </w:r>
      <w:r w:rsidRPr="00642432">
        <w:t>died had received appropriate medical treatment.</w:t>
      </w:r>
    </w:p>
    <w:p w:rsidR="004659AD" w:rsidRPr="00642432" w:rsidRDefault="004659AD" w:rsidP="00BA27B7"/>
    <w:p w:rsidR="004659AD" w:rsidRPr="00642432" w:rsidRDefault="004659AD" w:rsidP="00BA27B7">
      <w:r w:rsidRPr="00642432">
        <w:t>In visiting mental health facilities, I’m acting as the ‘eyes and ears’ of the Director of Mental Health. It is my role to inform the Director of any</w:t>
      </w:r>
      <w:r w:rsidR="00D32DDD" w:rsidRPr="00642432">
        <w:t xml:space="preserve"> </w:t>
      </w:r>
      <w:r w:rsidRPr="00642432">
        <w:t>irregular patterns that may be emerging; for instance, the excessive use of restraint or seclusion in a mental health unit.</w:t>
      </w:r>
    </w:p>
    <w:p w:rsidR="004659AD" w:rsidRPr="00642432" w:rsidRDefault="004659AD" w:rsidP="00BA27B7"/>
    <w:p w:rsidR="004659AD" w:rsidRPr="00642432" w:rsidRDefault="004659AD" w:rsidP="00BA27B7">
      <w:r w:rsidRPr="00642432">
        <w:t>I have been a district inspector for nine years. My longstanding interest in civil liberties has</w:t>
      </w:r>
      <w:r w:rsidR="00D32DDD" w:rsidRPr="00642432">
        <w:t xml:space="preserve"> </w:t>
      </w:r>
      <w:r w:rsidRPr="00642432">
        <w:t>helped to sustain me in this interesting and important role.</w:t>
      </w:r>
    </w:p>
    <w:p w:rsidR="004659AD" w:rsidRPr="00642432" w:rsidRDefault="004659AD" w:rsidP="005003EA"/>
    <w:p w:rsidR="004659AD" w:rsidRPr="00642432" w:rsidRDefault="004659AD" w:rsidP="005003EA">
      <w:pPr>
        <w:pStyle w:val="Heading2"/>
      </w:pPr>
      <w:bookmarkStart w:id="21" w:name="_Toc405113662"/>
      <w:r w:rsidRPr="00642432">
        <w:t>Special patients and restricted patients</w:t>
      </w:r>
      <w:bookmarkEnd w:id="21"/>
    </w:p>
    <w:p w:rsidR="004659AD" w:rsidRPr="00642432" w:rsidRDefault="004659AD" w:rsidP="005003EA">
      <w:r w:rsidRPr="00642432">
        <w:t>Special patients and restricted patients are covered by Part 4 of the Mental Health Act. Their treatment is provided in accordance with either the Mental Health Act or the Criminal Procedure (Mentally Impaired Persons) Act 2003.</w:t>
      </w:r>
    </w:p>
    <w:p w:rsidR="004659AD" w:rsidRPr="00642432" w:rsidRDefault="004659AD" w:rsidP="005003EA"/>
    <w:p w:rsidR="004659AD" w:rsidRPr="00642432" w:rsidRDefault="004659AD" w:rsidP="005003EA">
      <w:r w:rsidRPr="00642432">
        <w:t>Special patients include:</w:t>
      </w:r>
    </w:p>
    <w:p w:rsidR="004659AD" w:rsidRPr="00642432" w:rsidRDefault="004659AD" w:rsidP="005003EA">
      <w:pPr>
        <w:pStyle w:val="Bullet"/>
      </w:pPr>
      <w:r w:rsidRPr="00642432">
        <w:t>people charged with, or convicted of, a criminal offence and remanded to a secure hospital for a psychiatric report</w:t>
      </w:r>
    </w:p>
    <w:p w:rsidR="004659AD" w:rsidRPr="00642432" w:rsidRDefault="004659AD" w:rsidP="005003EA">
      <w:pPr>
        <w:pStyle w:val="Bullet"/>
      </w:pPr>
      <w:r w:rsidRPr="00642432">
        <w:t>remanded or sentenced prisoners transferred from prison to a secure hospital</w:t>
      </w:r>
    </w:p>
    <w:p w:rsidR="004659AD" w:rsidRPr="00642432" w:rsidRDefault="004659AD" w:rsidP="005003EA">
      <w:pPr>
        <w:pStyle w:val="Bullet"/>
      </w:pPr>
      <w:r w:rsidRPr="00642432">
        <w:t>defendants found not guilty by reason of insanity</w:t>
      </w:r>
    </w:p>
    <w:p w:rsidR="004659AD" w:rsidRPr="00642432" w:rsidRDefault="004659AD" w:rsidP="005003EA">
      <w:pPr>
        <w:pStyle w:val="Bullet"/>
      </w:pPr>
      <w:r w:rsidRPr="00642432">
        <w:t>defendants unfit to stand trial</w:t>
      </w:r>
    </w:p>
    <w:p w:rsidR="004659AD" w:rsidRPr="00642432" w:rsidRDefault="004659AD" w:rsidP="005003EA">
      <w:pPr>
        <w:pStyle w:val="Bullet"/>
      </w:pPr>
      <w:r w:rsidRPr="00642432">
        <w:t>people who</w:t>
      </w:r>
      <w:r w:rsidR="00D32DDD" w:rsidRPr="00642432">
        <w:t xml:space="preserve"> </w:t>
      </w:r>
      <w:r w:rsidRPr="00642432">
        <w:t>have been convicted of a criminal offence and both sentenced to a term of imprisonment and placed under a compulsory treatment order.</w:t>
      </w:r>
    </w:p>
    <w:p w:rsidR="004659AD" w:rsidRPr="00642432" w:rsidRDefault="004659AD" w:rsidP="005003EA"/>
    <w:p w:rsidR="004659AD" w:rsidRPr="00642432" w:rsidRDefault="004659AD" w:rsidP="005003EA">
      <w:r w:rsidRPr="00642432">
        <w:rPr>
          <w:b/>
          <w:bCs/>
        </w:rPr>
        <w:t xml:space="preserve">Restricted patients </w:t>
      </w:r>
      <w:r w:rsidRPr="00642432">
        <w:t>include people detained by a court order because of the special difficulties they present from the danger they pose to others.</w:t>
      </w:r>
    </w:p>
    <w:p w:rsidR="004659AD" w:rsidRPr="00642432" w:rsidRDefault="004659AD" w:rsidP="005003EA"/>
    <w:p w:rsidR="004659AD" w:rsidRPr="00642432" w:rsidRDefault="004659AD" w:rsidP="005003EA">
      <w:r w:rsidRPr="00642432">
        <w:t>Special and restricted patients are detained in the care of one</w:t>
      </w:r>
      <w:r w:rsidR="00D32DDD" w:rsidRPr="00642432">
        <w:t xml:space="preserve"> </w:t>
      </w:r>
      <w:r w:rsidRPr="00642432">
        <w:t>of the five regional forensic psychiatry services throughout New Zealand. These services develop management plans to progressively reintegrate these people into community settings as treatment improves their mental health.</w:t>
      </w:r>
    </w:p>
    <w:p w:rsidR="004659AD" w:rsidRPr="00642432" w:rsidRDefault="004659AD" w:rsidP="005003EA"/>
    <w:p w:rsidR="004659AD" w:rsidRPr="00642432" w:rsidRDefault="004659AD" w:rsidP="005003EA">
      <w:r w:rsidRPr="00642432">
        <w:t>The Director of Mental Health has a central role in the management of special patients and restricted patients. The Director may</w:t>
      </w:r>
      <w:r w:rsidR="00D32DDD" w:rsidRPr="00642432">
        <w:t xml:space="preserve"> </w:t>
      </w:r>
      <w:r w:rsidRPr="00642432">
        <w:t>direct their transfer under section 49 of the</w:t>
      </w:r>
      <w:r w:rsidR="00D32DDD" w:rsidRPr="00642432">
        <w:t xml:space="preserve"> </w:t>
      </w:r>
      <w:r w:rsidRPr="00642432">
        <w:t>Mental Health Act, or grant leave for any period not exceeding seven days for certain special and restricted patients (section 52).</w:t>
      </w:r>
    </w:p>
    <w:p w:rsidR="004659AD" w:rsidRPr="00642432" w:rsidRDefault="004659AD" w:rsidP="005003EA"/>
    <w:p w:rsidR="004659AD" w:rsidRPr="00642432" w:rsidRDefault="004659AD" w:rsidP="005003EA">
      <w:r w:rsidRPr="00642432">
        <w:t>Longer periods of leave are granted by the Minister of Health (section 50) and are available to certain categories of special patients. The Director briefs the Minister of Health when requests for leave are made.</w:t>
      </w:r>
    </w:p>
    <w:p w:rsidR="004659AD" w:rsidRPr="00642432" w:rsidRDefault="004659AD" w:rsidP="005003EA"/>
    <w:p w:rsidR="004659AD" w:rsidRPr="00642432" w:rsidRDefault="004659AD" w:rsidP="005003EA">
      <w:pPr>
        <w:pStyle w:val="Box"/>
      </w:pPr>
      <w:r w:rsidRPr="00642432">
        <w:t>Special patients found not guilty by reason of insanity may be considered for a change of legal status if it</w:t>
      </w:r>
      <w:r w:rsidR="005003EA">
        <w:t xml:space="preserve"> </w:t>
      </w:r>
      <w:r w:rsidRPr="00642432">
        <w:t>is determined that their detention is no longer necessary to safeguard the interests of the person or the public.</w:t>
      </w:r>
    </w:p>
    <w:p w:rsidR="004659AD" w:rsidRPr="00642432" w:rsidRDefault="004659AD" w:rsidP="005003EA"/>
    <w:p w:rsidR="004659AD" w:rsidRPr="00642432" w:rsidRDefault="004659AD" w:rsidP="005003EA">
      <w:r w:rsidRPr="00642432">
        <w:t>The Director must also be notified of the admission, discharge or transfer of special and restricted patients, and certain incidents involving these people (section 43). The process for reclassifying special and restricted patients differs according to the person’s particular status, but always requires ministerial involvement.</w:t>
      </w:r>
    </w:p>
    <w:p w:rsidR="004659AD" w:rsidRPr="00642432" w:rsidRDefault="004659AD" w:rsidP="005003EA"/>
    <w:p w:rsidR="004659AD" w:rsidRPr="00642432" w:rsidRDefault="004659AD" w:rsidP="005003EA">
      <w:r w:rsidRPr="00642432">
        <w:t>Special patients found not guilty by reason of insanity may be considered for a change of legal status if it is determined that their detention is no longer necessary to safeguard the interests of the person or the public. Applications for changes of legal status are sent to the Director of Mental Health. After careful consideration, the Director will make a recommendation to the Minister about a person’s legal status.</w:t>
      </w:r>
    </w:p>
    <w:p w:rsidR="004659AD" w:rsidRPr="00642432" w:rsidRDefault="004659AD" w:rsidP="005003EA"/>
    <w:p w:rsidR="004659AD" w:rsidRPr="00642432" w:rsidRDefault="004659AD" w:rsidP="005003EA">
      <w:r w:rsidRPr="00642432">
        <w:t>Table 2 shows the section 50 long-leave applications, revocations and change of status applications processed by the Office of the Director of Mental Health during 2013.</w:t>
      </w:r>
    </w:p>
    <w:p w:rsidR="004659AD" w:rsidRPr="00642432" w:rsidRDefault="004659AD" w:rsidP="005003EA">
      <w:pPr>
        <w:pStyle w:val="Table"/>
        <w:spacing w:before="360"/>
      </w:pPr>
      <w:bookmarkStart w:id="22" w:name="_Toc405113682"/>
      <w:r w:rsidRPr="00642432">
        <w:t>Table 2: Number of</w:t>
      </w:r>
      <w:r w:rsidR="00D32DDD" w:rsidRPr="00642432">
        <w:t xml:space="preserve"> </w:t>
      </w:r>
      <w:r w:rsidRPr="00642432">
        <w:t>Ministerial long-leave, revocation and reclassification applications for special and restricted patients, 1 January to 31 December 2013</w:t>
      </w:r>
      <w:bookmarkEnd w:id="22"/>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5245"/>
        <w:gridCol w:w="2410"/>
      </w:tblGrid>
      <w:tr w:rsidR="005003EA" w:rsidRPr="003431E1" w:rsidTr="003431E1">
        <w:trPr>
          <w:cantSplit/>
        </w:trPr>
        <w:tc>
          <w:tcPr>
            <w:tcW w:w="5245" w:type="dxa"/>
            <w:tcBorders>
              <w:top w:val="single" w:sz="4" w:space="0" w:color="auto"/>
              <w:bottom w:val="single" w:sz="4" w:space="0" w:color="auto"/>
            </w:tcBorders>
            <w:shd w:val="clear" w:color="auto" w:fill="F2F2F2" w:themeFill="background1" w:themeFillShade="F2"/>
          </w:tcPr>
          <w:p w:rsidR="005003EA" w:rsidRPr="003431E1" w:rsidRDefault="005003EA" w:rsidP="003431E1">
            <w:pPr>
              <w:pStyle w:val="TableText"/>
              <w:rPr>
                <w:b/>
              </w:rPr>
            </w:pPr>
            <w:r w:rsidRPr="003431E1">
              <w:rPr>
                <w:b/>
              </w:rPr>
              <w:t>Type of request</w:t>
            </w:r>
          </w:p>
        </w:tc>
        <w:tc>
          <w:tcPr>
            <w:tcW w:w="2410" w:type="dxa"/>
            <w:tcBorders>
              <w:top w:val="single" w:sz="4" w:space="0" w:color="auto"/>
              <w:bottom w:val="single" w:sz="4" w:space="0" w:color="auto"/>
            </w:tcBorders>
            <w:shd w:val="clear" w:color="auto" w:fill="F2F2F2" w:themeFill="background1" w:themeFillShade="F2"/>
          </w:tcPr>
          <w:p w:rsidR="005003EA" w:rsidRPr="003431E1" w:rsidRDefault="005003EA" w:rsidP="003431E1">
            <w:pPr>
              <w:pStyle w:val="TableText"/>
              <w:jc w:val="center"/>
              <w:rPr>
                <w:b/>
                <w:szCs w:val="18"/>
              </w:rPr>
            </w:pPr>
            <w:r w:rsidRPr="003431E1">
              <w:rPr>
                <w:b/>
                <w:szCs w:val="18"/>
              </w:rPr>
              <w:t>Number of applications</w:t>
            </w:r>
          </w:p>
        </w:tc>
      </w:tr>
      <w:tr w:rsidR="004659AD" w:rsidRPr="00642432" w:rsidTr="003431E1">
        <w:trPr>
          <w:cantSplit/>
        </w:trPr>
        <w:tc>
          <w:tcPr>
            <w:tcW w:w="5245" w:type="dxa"/>
            <w:tcBorders>
              <w:top w:val="single" w:sz="4" w:space="0" w:color="auto"/>
              <w:bottom w:val="nil"/>
            </w:tcBorders>
            <w:shd w:val="clear" w:color="auto" w:fill="auto"/>
          </w:tcPr>
          <w:p w:rsidR="004659AD" w:rsidRPr="00642432" w:rsidRDefault="004659AD" w:rsidP="003431E1">
            <w:pPr>
              <w:pStyle w:val="TableText"/>
            </w:pPr>
            <w:r w:rsidRPr="00642432">
              <w:t>Initial ministerial section 50 leave applications</w:t>
            </w:r>
          </w:p>
        </w:tc>
        <w:tc>
          <w:tcPr>
            <w:tcW w:w="2410" w:type="dxa"/>
            <w:tcBorders>
              <w:top w:val="single" w:sz="4" w:space="0" w:color="auto"/>
              <w:bottom w:val="nil"/>
            </w:tcBorders>
            <w:shd w:val="clear" w:color="auto" w:fill="auto"/>
          </w:tcPr>
          <w:p w:rsidR="004659AD" w:rsidRPr="00642432" w:rsidRDefault="004659AD" w:rsidP="003431E1">
            <w:pPr>
              <w:pStyle w:val="TableText"/>
              <w:tabs>
                <w:tab w:val="decimal" w:pos="1256"/>
              </w:tabs>
              <w:rPr>
                <w:szCs w:val="18"/>
              </w:rPr>
            </w:pPr>
            <w:r w:rsidRPr="00642432">
              <w:rPr>
                <w:szCs w:val="18"/>
              </w:rPr>
              <w:t>7</w:t>
            </w:r>
          </w:p>
        </w:tc>
      </w:tr>
      <w:tr w:rsidR="004659AD" w:rsidRPr="00642432" w:rsidTr="003431E1">
        <w:trPr>
          <w:cantSplit/>
        </w:trPr>
        <w:tc>
          <w:tcPr>
            <w:tcW w:w="5245" w:type="dxa"/>
            <w:tcBorders>
              <w:top w:val="nil"/>
              <w:bottom w:val="nil"/>
            </w:tcBorders>
            <w:shd w:val="clear" w:color="auto" w:fill="F2F2F2" w:themeFill="background1" w:themeFillShade="F2"/>
          </w:tcPr>
          <w:p w:rsidR="004659AD" w:rsidRPr="00642432" w:rsidRDefault="004659AD" w:rsidP="003431E1">
            <w:pPr>
              <w:pStyle w:val="TableText"/>
            </w:pPr>
            <w:r w:rsidRPr="00642432">
              <w:t>Initial ministerial section 50 leave applications not approved</w:t>
            </w:r>
          </w:p>
        </w:tc>
        <w:tc>
          <w:tcPr>
            <w:tcW w:w="2410" w:type="dxa"/>
            <w:tcBorders>
              <w:top w:val="nil"/>
              <w:bottom w:val="nil"/>
            </w:tcBorders>
            <w:shd w:val="clear" w:color="auto" w:fill="F2F2F2" w:themeFill="background1" w:themeFillShade="F2"/>
          </w:tcPr>
          <w:p w:rsidR="004659AD" w:rsidRPr="00642432" w:rsidRDefault="004659AD" w:rsidP="003431E1">
            <w:pPr>
              <w:pStyle w:val="TableText"/>
              <w:tabs>
                <w:tab w:val="decimal" w:pos="1256"/>
              </w:tabs>
              <w:rPr>
                <w:szCs w:val="18"/>
              </w:rPr>
            </w:pPr>
            <w:r w:rsidRPr="00642432">
              <w:rPr>
                <w:szCs w:val="18"/>
              </w:rPr>
              <w:t>1</w:t>
            </w:r>
          </w:p>
        </w:tc>
      </w:tr>
      <w:tr w:rsidR="004659AD" w:rsidRPr="00642432" w:rsidTr="003431E1">
        <w:trPr>
          <w:cantSplit/>
        </w:trPr>
        <w:tc>
          <w:tcPr>
            <w:tcW w:w="5245" w:type="dxa"/>
            <w:tcBorders>
              <w:top w:val="nil"/>
              <w:bottom w:val="nil"/>
            </w:tcBorders>
            <w:shd w:val="clear" w:color="auto" w:fill="auto"/>
          </w:tcPr>
          <w:p w:rsidR="004659AD" w:rsidRPr="00642432" w:rsidRDefault="004659AD" w:rsidP="003431E1">
            <w:pPr>
              <w:pStyle w:val="TableText"/>
            </w:pPr>
            <w:r w:rsidRPr="00642432">
              <w:t>Ministerial section 50 leave revocations</w:t>
            </w:r>
          </w:p>
        </w:tc>
        <w:tc>
          <w:tcPr>
            <w:tcW w:w="2410" w:type="dxa"/>
            <w:tcBorders>
              <w:top w:val="nil"/>
              <w:bottom w:val="nil"/>
            </w:tcBorders>
            <w:shd w:val="clear" w:color="auto" w:fill="auto"/>
          </w:tcPr>
          <w:p w:rsidR="004659AD" w:rsidRPr="00642432" w:rsidRDefault="004659AD" w:rsidP="003431E1">
            <w:pPr>
              <w:pStyle w:val="TableText"/>
              <w:tabs>
                <w:tab w:val="decimal" w:pos="1256"/>
              </w:tabs>
              <w:rPr>
                <w:szCs w:val="18"/>
              </w:rPr>
            </w:pPr>
            <w:r w:rsidRPr="00642432">
              <w:rPr>
                <w:szCs w:val="18"/>
              </w:rPr>
              <w:t>2</w:t>
            </w:r>
          </w:p>
        </w:tc>
      </w:tr>
      <w:tr w:rsidR="004659AD" w:rsidRPr="00642432" w:rsidTr="003431E1">
        <w:trPr>
          <w:cantSplit/>
        </w:trPr>
        <w:tc>
          <w:tcPr>
            <w:tcW w:w="5245" w:type="dxa"/>
            <w:tcBorders>
              <w:top w:val="nil"/>
              <w:bottom w:val="nil"/>
            </w:tcBorders>
            <w:shd w:val="clear" w:color="auto" w:fill="F2F2F2" w:themeFill="background1" w:themeFillShade="F2"/>
          </w:tcPr>
          <w:p w:rsidR="004659AD" w:rsidRPr="00642432" w:rsidRDefault="004659AD" w:rsidP="003431E1">
            <w:pPr>
              <w:pStyle w:val="TableText"/>
            </w:pPr>
            <w:r w:rsidRPr="00642432">
              <w:t>Further ministerial section 50 leave applications</w:t>
            </w:r>
          </w:p>
        </w:tc>
        <w:tc>
          <w:tcPr>
            <w:tcW w:w="2410" w:type="dxa"/>
            <w:tcBorders>
              <w:top w:val="nil"/>
              <w:bottom w:val="nil"/>
            </w:tcBorders>
            <w:shd w:val="clear" w:color="auto" w:fill="F2F2F2" w:themeFill="background1" w:themeFillShade="F2"/>
          </w:tcPr>
          <w:p w:rsidR="004659AD" w:rsidRPr="00642432" w:rsidRDefault="004659AD" w:rsidP="003431E1">
            <w:pPr>
              <w:pStyle w:val="TableText"/>
              <w:tabs>
                <w:tab w:val="decimal" w:pos="1256"/>
              </w:tabs>
              <w:rPr>
                <w:szCs w:val="18"/>
              </w:rPr>
            </w:pPr>
            <w:r w:rsidRPr="00642432">
              <w:rPr>
                <w:szCs w:val="18"/>
              </w:rPr>
              <w:t>27</w:t>
            </w:r>
          </w:p>
        </w:tc>
      </w:tr>
      <w:tr w:rsidR="004659AD" w:rsidRPr="00642432" w:rsidTr="003431E1">
        <w:trPr>
          <w:cantSplit/>
        </w:trPr>
        <w:tc>
          <w:tcPr>
            <w:tcW w:w="5245" w:type="dxa"/>
            <w:tcBorders>
              <w:top w:val="nil"/>
              <w:bottom w:val="nil"/>
            </w:tcBorders>
            <w:shd w:val="clear" w:color="auto" w:fill="auto"/>
          </w:tcPr>
          <w:p w:rsidR="004659AD" w:rsidRPr="00642432" w:rsidRDefault="004659AD" w:rsidP="003431E1">
            <w:pPr>
              <w:pStyle w:val="TableText"/>
            </w:pPr>
            <w:r w:rsidRPr="00642432">
              <w:t>Change of legal status applications approved</w:t>
            </w:r>
          </w:p>
        </w:tc>
        <w:tc>
          <w:tcPr>
            <w:tcW w:w="2410" w:type="dxa"/>
            <w:tcBorders>
              <w:top w:val="nil"/>
              <w:bottom w:val="nil"/>
            </w:tcBorders>
            <w:shd w:val="clear" w:color="auto" w:fill="auto"/>
          </w:tcPr>
          <w:p w:rsidR="004659AD" w:rsidRPr="00642432" w:rsidRDefault="004659AD" w:rsidP="003431E1">
            <w:pPr>
              <w:pStyle w:val="TableText"/>
              <w:tabs>
                <w:tab w:val="decimal" w:pos="1256"/>
              </w:tabs>
              <w:rPr>
                <w:szCs w:val="18"/>
              </w:rPr>
            </w:pPr>
            <w:r w:rsidRPr="00642432">
              <w:rPr>
                <w:szCs w:val="18"/>
              </w:rPr>
              <w:t>3</w:t>
            </w:r>
          </w:p>
        </w:tc>
      </w:tr>
      <w:tr w:rsidR="004659AD" w:rsidRPr="00642432" w:rsidTr="003431E1">
        <w:trPr>
          <w:cantSplit/>
        </w:trPr>
        <w:tc>
          <w:tcPr>
            <w:tcW w:w="5245" w:type="dxa"/>
            <w:tcBorders>
              <w:top w:val="nil"/>
              <w:bottom w:val="single" w:sz="4" w:space="0" w:color="A6A6A6" w:themeColor="background1" w:themeShade="A6"/>
            </w:tcBorders>
            <w:shd w:val="clear" w:color="auto" w:fill="F2F2F2" w:themeFill="background1" w:themeFillShade="F2"/>
          </w:tcPr>
          <w:p w:rsidR="004659AD" w:rsidRPr="00642432" w:rsidRDefault="004659AD" w:rsidP="003431E1">
            <w:pPr>
              <w:pStyle w:val="TableText"/>
            </w:pPr>
            <w:r w:rsidRPr="00642432">
              <w:t>Change of legal status applications not approved</w:t>
            </w:r>
          </w:p>
        </w:tc>
        <w:tc>
          <w:tcPr>
            <w:tcW w:w="2410" w:type="dxa"/>
            <w:tcBorders>
              <w:top w:val="nil"/>
              <w:bottom w:val="single" w:sz="4" w:space="0" w:color="A6A6A6" w:themeColor="background1" w:themeShade="A6"/>
            </w:tcBorders>
            <w:shd w:val="clear" w:color="auto" w:fill="F2F2F2" w:themeFill="background1" w:themeFillShade="F2"/>
          </w:tcPr>
          <w:p w:rsidR="004659AD" w:rsidRPr="00642432" w:rsidRDefault="004659AD" w:rsidP="003431E1">
            <w:pPr>
              <w:pStyle w:val="TableText"/>
              <w:tabs>
                <w:tab w:val="decimal" w:pos="1256"/>
              </w:tabs>
              <w:rPr>
                <w:szCs w:val="18"/>
              </w:rPr>
            </w:pPr>
            <w:r w:rsidRPr="00642432">
              <w:rPr>
                <w:szCs w:val="18"/>
              </w:rPr>
              <w:t>1</w:t>
            </w:r>
          </w:p>
        </w:tc>
      </w:tr>
      <w:tr w:rsidR="004659AD" w:rsidRPr="00642432" w:rsidTr="003431E1">
        <w:trPr>
          <w:cantSplit/>
        </w:trPr>
        <w:tc>
          <w:tcPr>
            <w:tcW w:w="5245" w:type="dxa"/>
            <w:tcBorders>
              <w:top w:val="single" w:sz="4" w:space="0" w:color="A6A6A6" w:themeColor="background1" w:themeShade="A6"/>
            </w:tcBorders>
            <w:shd w:val="clear" w:color="auto" w:fill="auto"/>
          </w:tcPr>
          <w:p w:rsidR="004659AD" w:rsidRPr="00642432" w:rsidRDefault="004659AD" w:rsidP="003431E1">
            <w:pPr>
              <w:pStyle w:val="TableText"/>
            </w:pPr>
            <w:r w:rsidRPr="00642432">
              <w:t>Total</w:t>
            </w:r>
          </w:p>
        </w:tc>
        <w:tc>
          <w:tcPr>
            <w:tcW w:w="2410" w:type="dxa"/>
            <w:tcBorders>
              <w:top w:val="single" w:sz="4" w:space="0" w:color="A6A6A6" w:themeColor="background1" w:themeShade="A6"/>
            </w:tcBorders>
            <w:shd w:val="clear" w:color="auto" w:fill="auto"/>
          </w:tcPr>
          <w:p w:rsidR="004659AD" w:rsidRPr="00642432" w:rsidRDefault="004659AD" w:rsidP="003431E1">
            <w:pPr>
              <w:pStyle w:val="TableText"/>
              <w:tabs>
                <w:tab w:val="decimal" w:pos="1256"/>
              </w:tabs>
              <w:rPr>
                <w:szCs w:val="18"/>
              </w:rPr>
            </w:pPr>
            <w:r w:rsidRPr="00642432">
              <w:rPr>
                <w:szCs w:val="18"/>
              </w:rPr>
              <w:t>41</w:t>
            </w:r>
          </w:p>
        </w:tc>
      </w:tr>
    </w:tbl>
    <w:p w:rsidR="005003EA" w:rsidRDefault="004659AD" w:rsidP="003431E1">
      <w:pPr>
        <w:pStyle w:val="Note"/>
        <w:ind w:left="0" w:right="1701" w:firstLine="0"/>
      </w:pPr>
      <w:r w:rsidRPr="00642432">
        <w:t>Note:</w:t>
      </w:r>
      <w:r w:rsidR="00D32DDD" w:rsidRPr="00642432">
        <w:t xml:space="preserve"> </w:t>
      </w:r>
      <w:r w:rsidRPr="00642432">
        <w:t>No applications were</w:t>
      </w:r>
      <w:r w:rsidR="00D32DDD" w:rsidRPr="00642432">
        <w:t xml:space="preserve"> </w:t>
      </w:r>
      <w:r w:rsidRPr="00642432">
        <w:t>received in 2013 for restricted patients or defendants unfit to stand trial.</w:t>
      </w:r>
    </w:p>
    <w:p w:rsidR="004659AD" w:rsidRDefault="004659AD" w:rsidP="003431E1">
      <w:pPr>
        <w:pStyle w:val="Source"/>
        <w:ind w:right="1701"/>
      </w:pPr>
      <w:r w:rsidRPr="00642432">
        <w:t>Source: Office of the Director of Mental Health records</w:t>
      </w:r>
      <w:r w:rsidR="005003EA">
        <w:t>.</w:t>
      </w:r>
    </w:p>
    <w:p w:rsidR="005003EA" w:rsidRPr="005003EA" w:rsidRDefault="005003EA" w:rsidP="005003EA"/>
    <w:p w:rsidR="004659AD" w:rsidRPr="00642432" w:rsidRDefault="004659AD" w:rsidP="005003EA">
      <w:pPr>
        <w:pStyle w:val="Heading3"/>
      </w:pPr>
      <w:r w:rsidRPr="00642432">
        <w:t>Prisoner transfers to hospital</w:t>
      </w:r>
    </w:p>
    <w:p w:rsidR="004659AD" w:rsidRPr="00642432" w:rsidRDefault="004659AD" w:rsidP="003431E1">
      <w:r w:rsidRPr="00642432">
        <w:t>Once</w:t>
      </w:r>
      <w:r w:rsidR="00D32DDD" w:rsidRPr="00642432">
        <w:t xml:space="preserve"> </w:t>
      </w:r>
      <w:r w:rsidRPr="00642432">
        <w:t>a person has</w:t>
      </w:r>
      <w:r w:rsidR="00D32DDD" w:rsidRPr="00642432">
        <w:t xml:space="preserve"> </w:t>
      </w:r>
      <w:r w:rsidRPr="00642432">
        <w:t>been sentenced to a term of imprisonment, any</w:t>
      </w:r>
      <w:r w:rsidR="00D32DDD" w:rsidRPr="00642432">
        <w:t xml:space="preserve"> </w:t>
      </w:r>
      <w:r w:rsidRPr="00642432">
        <w:t>compulsory treatment order relating to the prisoner ceases to have effect. Remand prisoners may remain on a pre-existing compulsory treatment order, but it is unlawful to enforce compulsory treatment in the prison environment. If compulsory assessment and/or treatment is required, section 45 of the Mental Health Act provides for the transfer to hospital of mentally disordered prisoners. Section 46 allows for voluntary admission to hospital with the approval of the prison superintendent. Services are required to notify the Director of Mental Health of all such admissions.</w:t>
      </w:r>
    </w:p>
    <w:p w:rsidR="004659AD" w:rsidRPr="00642432" w:rsidRDefault="004659AD" w:rsidP="006C33E1"/>
    <w:p w:rsidR="004659AD" w:rsidRPr="00642432" w:rsidRDefault="004659AD" w:rsidP="006C33E1">
      <w:r w:rsidRPr="00642432">
        <w:t>Table 3 shows the number of people who</w:t>
      </w:r>
      <w:r w:rsidR="00D32DDD" w:rsidRPr="00642432">
        <w:t xml:space="preserve"> </w:t>
      </w:r>
      <w:r w:rsidRPr="00642432">
        <w:t>have been transferred from prison to hospital under either section 45 or section 46 from 2001 to 2013.</w:t>
      </w:r>
    </w:p>
    <w:p w:rsidR="004659AD" w:rsidRPr="00642432" w:rsidRDefault="004659AD" w:rsidP="006C33E1"/>
    <w:p w:rsidR="004659AD" w:rsidRPr="00642432" w:rsidRDefault="004659AD" w:rsidP="006C33E1">
      <w:pPr>
        <w:pStyle w:val="Table"/>
      </w:pPr>
      <w:bookmarkStart w:id="23" w:name="_Toc405113683"/>
      <w:r w:rsidRPr="00642432">
        <w:t>Table 3: Number of people transferred to hospital from prison under sections 45 and 46 of the Mental</w:t>
      </w:r>
      <w:r w:rsidR="006C33E1">
        <w:t xml:space="preserve"> </w:t>
      </w:r>
      <w:r w:rsidRPr="00642432">
        <w:t>Health Act, 2001 to 2013</w:t>
      </w:r>
      <w:bookmarkEnd w:id="23"/>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709"/>
        <w:gridCol w:w="3047"/>
        <w:gridCol w:w="3048"/>
      </w:tblGrid>
      <w:tr w:rsidR="006C33E1" w:rsidRPr="006C33E1" w:rsidTr="006C33E1">
        <w:trPr>
          <w:cantSplit/>
        </w:trPr>
        <w:tc>
          <w:tcPr>
            <w:tcW w:w="709" w:type="dxa"/>
            <w:tcBorders>
              <w:top w:val="single" w:sz="4" w:space="0" w:color="auto"/>
              <w:bottom w:val="single" w:sz="4" w:space="0" w:color="auto"/>
            </w:tcBorders>
            <w:shd w:val="clear" w:color="auto" w:fill="F2F2F2" w:themeFill="background1" w:themeFillShade="F2"/>
          </w:tcPr>
          <w:p w:rsidR="006C33E1" w:rsidRPr="006C33E1" w:rsidRDefault="006C33E1" w:rsidP="006C33E1">
            <w:pPr>
              <w:pStyle w:val="TableText"/>
              <w:jc w:val="center"/>
              <w:rPr>
                <w:b/>
              </w:rPr>
            </w:pPr>
            <w:r w:rsidRPr="006C33E1">
              <w:rPr>
                <w:b/>
              </w:rPr>
              <w:t>Year</w:t>
            </w:r>
          </w:p>
        </w:tc>
        <w:tc>
          <w:tcPr>
            <w:tcW w:w="3047" w:type="dxa"/>
            <w:tcBorders>
              <w:top w:val="single" w:sz="4" w:space="0" w:color="auto"/>
              <w:bottom w:val="single" w:sz="4" w:space="0" w:color="auto"/>
            </w:tcBorders>
            <w:shd w:val="clear" w:color="auto" w:fill="F2F2F2" w:themeFill="background1" w:themeFillShade="F2"/>
          </w:tcPr>
          <w:p w:rsidR="006C33E1" w:rsidRPr="006C33E1" w:rsidRDefault="006C33E1" w:rsidP="006C33E1">
            <w:pPr>
              <w:pStyle w:val="TableText"/>
              <w:jc w:val="center"/>
              <w:rPr>
                <w:b/>
              </w:rPr>
            </w:pPr>
            <w:r w:rsidRPr="006C33E1">
              <w:rPr>
                <w:b/>
              </w:rPr>
              <w:t>Number of prisoners</w:t>
            </w:r>
            <w:r>
              <w:rPr>
                <w:b/>
              </w:rPr>
              <w:br/>
            </w:r>
            <w:r w:rsidRPr="006C33E1">
              <w:rPr>
                <w:b/>
              </w:rPr>
              <w:t>transferred to hospital for compulsory treatment (s 45)</w:t>
            </w:r>
          </w:p>
        </w:tc>
        <w:tc>
          <w:tcPr>
            <w:tcW w:w="3048" w:type="dxa"/>
            <w:tcBorders>
              <w:top w:val="single" w:sz="4" w:space="0" w:color="auto"/>
              <w:bottom w:val="single" w:sz="4" w:space="0" w:color="auto"/>
            </w:tcBorders>
            <w:shd w:val="clear" w:color="auto" w:fill="F2F2F2" w:themeFill="background1" w:themeFillShade="F2"/>
          </w:tcPr>
          <w:p w:rsidR="006C33E1" w:rsidRPr="006C33E1" w:rsidRDefault="006C33E1" w:rsidP="006C33E1">
            <w:pPr>
              <w:pStyle w:val="TableText"/>
              <w:jc w:val="center"/>
              <w:rPr>
                <w:b/>
              </w:rPr>
            </w:pPr>
            <w:r w:rsidRPr="006C33E1">
              <w:rPr>
                <w:b/>
              </w:rPr>
              <w:t>Number of prisoners</w:t>
            </w:r>
            <w:r>
              <w:rPr>
                <w:b/>
              </w:rPr>
              <w:br/>
            </w:r>
            <w:r w:rsidRPr="006C33E1">
              <w:rPr>
                <w:b/>
              </w:rPr>
              <w:t>transferred to hospital</w:t>
            </w:r>
            <w:r>
              <w:rPr>
                <w:b/>
              </w:rPr>
              <w:br/>
            </w:r>
            <w:r w:rsidRPr="006C33E1">
              <w:rPr>
                <w:b/>
              </w:rPr>
              <w:t>voluntarily (s 46)</w:t>
            </w:r>
          </w:p>
        </w:tc>
      </w:tr>
      <w:tr w:rsidR="004659AD" w:rsidRPr="00642432" w:rsidTr="006C33E1">
        <w:trPr>
          <w:cantSplit/>
        </w:trPr>
        <w:tc>
          <w:tcPr>
            <w:tcW w:w="709" w:type="dxa"/>
            <w:tcBorders>
              <w:top w:val="single" w:sz="4" w:space="0" w:color="auto"/>
              <w:bottom w:val="nil"/>
            </w:tcBorders>
            <w:shd w:val="clear" w:color="auto" w:fill="auto"/>
          </w:tcPr>
          <w:p w:rsidR="004659AD" w:rsidRPr="00642432" w:rsidRDefault="004659AD" w:rsidP="006C33E1">
            <w:pPr>
              <w:pStyle w:val="TableText"/>
              <w:jc w:val="center"/>
            </w:pPr>
            <w:r w:rsidRPr="00642432">
              <w:t>2001</w:t>
            </w:r>
          </w:p>
        </w:tc>
        <w:tc>
          <w:tcPr>
            <w:tcW w:w="3047" w:type="dxa"/>
            <w:tcBorders>
              <w:top w:val="single" w:sz="4" w:space="0" w:color="auto"/>
              <w:bottom w:val="nil"/>
            </w:tcBorders>
            <w:shd w:val="clear" w:color="auto" w:fill="auto"/>
          </w:tcPr>
          <w:p w:rsidR="004659AD" w:rsidRPr="00642432" w:rsidRDefault="004659AD" w:rsidP="006C33E1">
            <w:pPr>
              <w:pStyle w:val="TableText"/>
              <w:tabs>
                <w:tab w:val="decimal" w:pos="1564"/>
              </w:tabs>
            </w:pPr>
            <w:r w:rsidRPr="00642432">
              <w:t>134</w:t>
            </w:r>
          </w:p>
        </w:tc>
        <w:tc>
          <w:tcPr>
            <w:tcW w:w="3048" w:type="dxa"/>
            <w:tcBorders>
              <w:top w:val="single" w:sz="4" w:space="0" w:color="auto"/>
              <w:bottom w:val="nil"/>
            </w:tcBorders>
            <w:shd w:val="clear" w:color="auto" w:fill="auto"/>
          </w:tcPr>
          <w:p w:rsidR="004659AD" w:rsidRPr="00642432" w:rsidRDefault="004659AD" w:rsidP="006C33E1">
            <w:pPr>
              <w:pStyle w:val="TableText"/>
              <w:tabs>
                <w:tab w:val="decimal" w:pos="1620"/>
              </w:tabs>
            </w:pPr>
            <w:r w:rsidRPr="00642432">
              <w:t>4</w:t>
            </w:r>
          </w:p>
        </w:tc>
      </w:tr>
      <w:tr w:rsidR="004659AD" w:rsidRPr="00642432" w:rsidTr="006C33E1">
        <w:trPr>
          <w:cantSplit/>
        </w:trPr>
        <w:tc>
          <w:tcPr>
            <w:tcW w:w="709" w:type="dxa"/>
            <w:tcBorders>
              <w:top w:val="nil"/>
              <w:bottom w:val="nil"/>
            </w:tcBorders>
            <w:shd w:val="clear" w:color="auto" w:fill="F2F2F2" w:themeFill="background1" w:themeFillShade="F2"/>
          </w:tcPr>
          <w:p w:rsidR="004659AD" w:rsidRPr="00642432" w:rsidRDefault="004659AD" w:rsidP="006C33E1">
            <w:pPr>
              <w:pStyle w:val="TableText"/>
              <w:jc w:val="center"/>
            </w:pPr>
            <w:r w:rsidRPr="00642432">
              <w:t>2002</w:t>
            </w:r>
          </w:p>
        </w:tc>
        <w:tc>
          <w:tcPr>
            <w:tcW w:w="3047" w:type="dxa"/>
            <w:tcBorders>
              <w:top w:val="nil"/>
              <w:bottom w:val="nil"/>
            </w:tcBorders>
            <w:shd w:val="clear" w:color="auto" w:fill="F2F2F2" w:themeFill="background1" w:themeFillShade="F2"/>
          </w:tcPr>
          <w:p w:rsidR="004659AD" w:rsidRPr="00642432" w:rsidRDefault="004659AD" w:rsidP="006C33E1">
            <w:pPr>
              <w:pStyle w:val="TableText"/>
              <w:tabs>
                <w:tab w:val="decimal" w:pos="1564"/>
              </w:tabs>
            </w:pPr>
            <w:r w:rsidRPr="00642432">
              <w:t>96</w:t>
            </w:r>
          </w:p>
        </w:tc>
        <w:tc>
          <w:tcPr>
            <w:tcW w:w="3048" w:type="dxa"/>
            <w:tcBorders>
              <w:top w:val="nil"/>
              <w:bottom w:val="nil"/>
            </w:tcBorders>
            <w:shd w:val="clear" w:color="auto" w:fill="F2F2F2" w:themeFill="background1" w:themeFillShade="F2"/>
          </w:tcPr>
          <w:p w:rsidR="004659AD" w:rsidRPr="00642432" w:rsidRDefault="004659AD" w:rsidP="006C33E1">
            <w:pPr>
              <w:pStyle w:val="TableText"/>
              <w:tabs>
                <w:tab w:val="decimal" w:pos="1620"/>
              </w:tabs>
            </w:pPr>
            <w:r w:rsidRPr="00642432">
              <w:t>0</w:t>
            </w:r>
          </w:p>
        </w:tc>
      </w:tr>
      <w:tr w:rsidR="004659AD" w:rsidRPr="00642432" w:rsidTr="006C33E1">
        <w:trPr>
          <w:cantSplit/>
        </w:trPr>
        <w:tc>
          <w:tcPr>
            <w:tcW w:w="709" w:type="dxa"/>
            <w:tcBorders>
              <w:top w:val="nil"/>
              <w:bottom w:val="nil"/>
            </w:tcBorders>
            <w:shd w:val="clear" w:color="auto" w:fill="auto"/>
          </w:tcPr>
          <w:p w:rsidR="004659AD" w:rsidRPr="00642432" w:rsidRDefault="004659AD" w:rsidP="006C33E1">
            <w:pPr>
              <w:pStyle w:val="TableText"/>
              <w:jc w:val="center"/>
            </w:pPr>
            <w:r w:rsidRPr="00642432">
              <w:t>2003</w:t>
            </w:r>
          </w:p>
        </w:tc>
        <w:tc>
          <w:tcPr>
            <w:tcW w:w="3047" w:type="dxa"/>
            <w:tcBorders>
              <w:top w:val="nil"/>
              <w:bottom w:val="nil"/>
            </w:tcBorders>
            <w:shd w:val="clear" w:color="auto" w:fill="auto"/>
          </w:tcPr>
          <w:p w:rsidR="004659AD" w:rsidRPr="00642432" w:rsidRDefault="004659AD" w:rsidP="006C33E1">
            <w:pPr>
              <w:pStyle w:val="TableText"/>
              <w:tabs>
                <w:tab w:val="decimal" w:pos="1564"/>
              </w:tabs>
            </w:pPr>
            <w:r w:rsidRPr="00642432">
              <w:t>113</w:t>
            </w:r>
          </w:p>
        </w:tc>
        <w:tc>
          <w:tcPr>
            <w:tcW w:w="3048" w:type="dxa"/>
            <w:tcBorders>
              <w:top w:val="nil"/>
              <w:bottom w:val="nil"/>
            </w:tcBorders>
            <w:shd w:val="clear" w:color="auto" w:fill="auto"/>
          </w:tcPr>
          <w:p w:rsidR="004659AD" w:rsidRPr="00642432" w:rsidRDefault="004659AD" w:rsidP="006C33E1">
            <w:pPr>
              <w:pStyle w:val="TableText"/>
              <w:tabs>
                <w:tab w:val="decimal" w:pos="1620"/>
              </w:tabs>
            </w:pPr>
            <w:r w:rsidRPr="00642432">
              <w:t>2</w:t>
            </w:r>
          </w:p>
        </w:tc>
      </w:tr>
      <w:tr w:rsidR="004659AD" w:rsidRPr="00642432" w:rsidTr="006C33E1">
        <w:trPr>
          <w:cantSplit/>
        </w:trPr>
        <w:tc>
          <w:tcPr>
            <w:tcW w:w="709" w:type="dxa"/>
            <w:tcBorders>
              <w:top w:val="nil"/>
              <w:bottom w:val="nil"/>
            </w:tcBorders>
            <w:shd w:val="clear" w:color="auto" w:fill="F2F2F2" w:themeFill="background1" w:themeFillShade="F2"/>
          </w:tcPr>
          <w:p w:rsidR="004659AD" w:rsidRPr="00642432" w:rsidRDefault="004659AD" w:rsidP="006C33E1">
            <w:pPr>
              <w:pStyle w:val="TableText"/>
              <w:jc w:val="center"/>
            </w:pPr>
            <w:r w:rsidRPr="00642432">
              <w:t>2004</w:t>
            </w:r>
          </w:p>
        </w:tc>
        <w:tc>
          <w:tcPr>
            <w:tcW w:w="3047" w:type="dxa"/>
            <w:tcBorders>
              <w:top w:val="nil"/>
              <w:bottom w:val="nil"/>
            </w:tcBorders>
            <w:shd w:val="clear" w:color="auto" w:fill="F2F2F2" w:themeFill="background1" w:themeFillShade="F2"/>
          </w:tcPr>
          <w:p w:rsidR="004659AD" w:rsidRPr="00642432" w:rsidRDefault="004659AD" w:rsidP="006C33E1">
            <w:pPr>
              <w:pStyle w:val="TableText"/>
              <w:tabs>
                <w:tab w:val="decimal" w:pos="1564"/>
              </w:tabs>
            </w:pPr>
            <w:r w:rsidRPr="00642432">
              <w:t>121</w:t>
            </w:r>
          </w:p>
        </w:tc>
        <w:tc>
          <w:tcPr>
            <w:tcW w:w="3048" w:type="dxa"/>
            <w:tcBorders>
              <w:top w:val="nil"/>
              <w:bottom w:val="nil"/>
            </w:tcBorders>
            <w:shd w:val="clear" w:color="auto" w:fill="F2F2F2" w:themeFill="background1" w:themeFillShade="F2"/>
          </w:tcPr>
          <w:p w:rsidR="004659AD" w:rsidRPr="00642432" w:rsidRDefault="004659AD" w:rsidP="006C33E1">
            <w:pPr>
              <w:pStyle w:val="TableText"/>
              <w:tabs>
                <w:tab w:val="decimal" w:pos="1620"/>
              </w:tabs>
            </w:pPr>
            <w:r w:rsidRPr="00642432">
              <w:t>1</w:t>
            </w:r>
          </w:p>
        </w:tc>
      </w:tr>
      <w:tr w:rsidR="004659AD" w:rsidRPr="00642432" w:rsidTr="006C33E1">
        <w:trPr>
          <w:cantSplit/>
        </w:trPr>
        <w:tc>
          <w:tcPr>
            <w:tcW w:w="709" w:type="dxa"/>
            <w:tcBorders>
              <w:top w:val="nil"/>
              <w:bottom w:val="nil"/>
            </w:tcBorders>
            <w:shd w:val="clear" w:color="auto" w:fill="auto"/>
          </w:tcPr>
          <w:p w:rsidR="004659AD" w:rsidRPr="00642432" w:rsidRDefault="004659AD" w:rsidP="006C33E1">
            <w:pPr>
              <w:pStyle w:val="TableText"/>
              <w:jc w:val="center"/>
            </w:pPr>
            <w:r w:rsidRPr="00642432">
              <w:t>2005</w:t>
            </w:r>
          </w:p>
        </w:tc>
        <w:tc>
          <w:tcPr>
            <w:tcW w:w="3047" w:type="dxa"/>
            <w:tcBorders>
              <w:top w:val="nil"/>
              <w:bottom w:val="nil"/>
            </w:tcBorders>
            <w:shd w:val="clear" w:color="auto" w:fill="auto"/>
          </w:tcPr>
          <w:p w:rsidR="004659AD" w:rsidRPr="00642432" w:rsidRDefault="004659AD" w:rsidP="006C33E1">
            <w:pPr>
              <w:pStyle w:val="TableText"/>
              <w:tabs>
                <w:tab w:val="decimal" w:pos="1564"/>
              </w:tabs>
            </w:pPr>
            <w:r w:rsidRPr="00642432">
              <w:t>117</w:t>
            </w:r>
          </w:p>
        </w:tc>
        <w:tc>
          <w:tcPr>
            <w:tcW w:w="3048" w:type="dxa"/>
            <w:tcBorders>
              <w:top w:val="nil"/>
              <w:bottom w:val="nil"/>
            </w:tcBorders>
            <w:shd w:val="clear" w:color="auto" w:fill="auto"/>
          </w:tcPr>
          <w:p w:rsidR="004659AD" w:rsidRPr="00642432" w:rsidRDefault="004659AD" w:rsidP="006C33E1">
            <w:pPr>
              <w:pStyle w:val="TableText"/>
              <w:tabs>
                <w:tab w:val="decimal" w:pos="1620"/>
              </w:tabs>
            </w:pPr>
            <w:r w:rsidRPr="00642432">
              <w:t>8</w:t>
            </w:r>
          </w:p>
        </w:tc>
      </w:tr>
      <w:tr w:rsidR="004659AD" w:rsidRPr="00642432" w:rsidTr="006C33E1">
        <w:trPr>
          <w:cantSplit/>
        </w:trPr>
        <w:tc>
          <w:tcPr>
            <w:tcW w:w="709" w:type="dxa"/>
            <w:tcBorders>
              <w:top w:val="nil"/>
              <w:bottom w:val="nil"/>
            </w:tcBorders>
            <w:shd w:val="clear" w:color="auto" w:fill="F2F2F2" w:themeFill="background1" w:themeFillShade="F2"/>
          </w:tcPr>
          <w:p w:rsidR="004659AD" w:rsidRPr="00642432" w:rsidRDefault="004659AD" w:rsidP="006C33E1">
            <w:pPr>
              <w:pStyle w:val="TableText"/>
              <w:jc w:val="center"/>
            </w:pPr>
            <w:r w:rsidRPr="00642432">
              <w:t>2006</w:t>
            </w:r>
          </w:p>
        </w:tc>
        <w:tc>
          <w:tcPr>
            <w:tcW w:w="3047" w:type="dxa"/>
            <w:tcBorders>
              <w:top w:val="nil"/>
              <w:bottom w:val="nil"/>
            </w:tcBorders>
            <w:shd w:val="clear" w:color="auto" w:fill="F2F2F2" w:themeFill="background1" w:themeFillShade="F2"/>
          </w:tcPr>
          <w:p w:rsidR="004659AD" w:rsidRPr="00642432" w:rsidRDefault="004659AD" w:rsidP="006C33E1">
            <w:pPr>
              <w:pStyle w:val="TableText"/>
              <w:tabs>
                <w:tab w:val="decimal" w:pos="1564"/>
              </w:tabs>
            </w:pPr>
            <w:r w:rsidRPr="00642432">
              <w:t>128</w:t>
            </w:r>
          </w:p>
        </w:tc>
        <w:tc>
          <w:tcPr>
            <w:tcW w:w="3048" w:type="dxa"/>
            <w:tcBorders>
              <w:top w:val="nil"/>
              <w:bottom w:val="nil"/>
            </w:tcBorders>
            <w:shd w:val="clear" w:color="auto" w:fill="F2F2F2" w:themeFill="background1" w:themeFillShade="F2"/>
          </w:tcPr>
          <w:p w:rsidR="004659AD" w:rsidRPr="00642432" w:rsidRDefault="004659AD" w:rsidP="006C33E1">
            <w:pPr>
              <w:pStyle w:val="TableText"/>
              <w:tabs>
                <w:tab w:val="decimal" w:pos="1620"/>
              </w:tabs>
            </w:pPr>
            <w:r w:rsidRPr="00642432">
              <w:t>16</w:t>
            </w:r>
          </w:p>
        </w:tc>
      </w:tr>
      <w:tr w:rsidR="004659AD" w:rsidRPr="00642432" w:rsidTr="006C33E1">
        <w:trPr>
          <w:cantSplit/>
        </w:trPr>
        <w:tc>
          <w:tcPr>
            <w:tcW w:w="709" w:type="dxa"/>
            <w:tcBorders>
              <w:top w:val="nil"/>
              <w:bottom w:val="nil"/>
            </w:tcBorders>
            <w:shd w:val="clear" w:color="auto" w:fill="auto"/>
          </w:tcPr>
          <w:p w:rsidR="004659AD" w:rsidRPr="00642432" w:rsidRDefault="004659AD" w:rsidP="006C33E1">
            <w:pPr>
              <w:pStyle w:val="TableText"/>
              <w:jc w:val="center"/>
            </w:pPr>
            <w:r w:rsidRPr="00642432">
              <w:t>2007</w:t>
            </w:r>
          </w:p>
        </w:tc>
        <w:tc>
          <w:tcPr>
            <w:tcW w:w="3047" w:type="dxa"/>
            <w:tcBorders>
              <w:top w:val="nil"/>
              <w:bottom w:val="nil"/>
            </w:tcBorders>
            <w:shd w:val="clear" w:color="auto" w:fill="auto"/>
          </w:tcPr>
          <w:p w:rsidR="004659AD" w:rsidRPr="00642432" w:rsidRDefault="004659AD" w:rsidP="006C33E1">
            <w:pPr>
              <w:pStyle w:val="TableText"/>
              <w:tabs>
                <w:tab w:val="decimal" w:pos="1564"/>
              </w:tabs>
            </w:pPr>
            <w:r w:rsidRPr="00642432">
              <w:t>98</w:t>
            </w:r>
          </w:p>
        </w:tc>
        <w:tc>
          <w:tcPr>
            <w:tcW w:w="3048" w:type="dxa"/>
            <w:tcBorders>
              <w:top w:val="nil"/>
              <w:bottom w:val="nil"/>
            </w:tcBorders>
            <w:shd w:val="clear" w:color="auto" w:fill="auto"/>
          </w:tcPr>
          <w:p w:rsidR="004659AD" w:rsidRPr="00642432" w:rsidRDefault="004659AD" w:rsidP="006C33E1">
            <w:pPr>
              <w:pStyle w:val="TableText"/>
              <w:tabs>
                <w:tab w:val="decimal" w:pos="1620"/>
              </w:tabs>
            </w:pPr>
            <w:r w:rsidRPr="00642432">
              <w:t>2</w:t>
            </w:r>
          </w:p>
        </w:tc>
      </w:tr>
      <w:tr w:rsidR="004659AD" w:rsidRPr="00642432" w:rsidTr="006C33E1">
        <w:trPr>
          <w:cantSplit/>
        </w:trPr>
        <w:tc>
          <w:tcPr>
            <w:tcW w:w="709" w:type="dxa"/>
            <w:tcBorders>
              <w:top w:val="nil"/>
              <w:bottom w:val="nil"/>
            </w:tcBorders>
            <w:shd w:val="clear" w:color="auto" w:fill="F2F2F2" w:themeFill="background1" w:themeFillShade="F2"/>
          </w:tcPr>
          <w:p w:rsidR="004659AD" w:rsidRPr="00642432" w:rsidRDefault="004659AD" w:rsidP="006C33E1">
            <w:pPr>
              <w:pStyle w:val="TableText"/>
              <w:jc w:val="center"/>
            </w:pPr>
            <w:r w:rsidRPr="00642432">
              <w:t>2008</w:t>
            </w:r>
          </w:p>
        </w:tc>
        <w:tc>
          <w:tcPr>
            <w:tcW w:w="3047" w:type="dxa"/>
            <w:tcBorders>
              <w:top w:val="nil"/>
              <w:bottom w:val="nil"/>
            </w:tcBorders>
            <w:shd w:val="clear" w:color="auto" w:fill="F2F2F2" w:themeFill="background1" w:themeFillShade="F2"/>
          </w:tcPr>
          <w:p w:rsidR="004659AD" w:rsidRPr="00642432" w:rsidRDefault="004659AD" w:rsidP="006C33E1">
            <w:pPr>
              <w:pStyle w:val="TableText"/>
              <w:tabs>
                <w:tab w:val="decimal" w:pos="1564"/>
              </w:tabs>
            </w:pPr>
            <w:r w:rsidRPr="00642432">
              <w:t>80</w:t>
            </w:r>
          </w:p>
        </w:tc>
        <w:tc>
          <w:tcPr>
            <w:tcW w:w="3048" w:type="dxa"/>
            <w:tcBorders>
              <w:top w:val="nil"/>
              <w:bottom w:val="nil"/>
            </w:tcBorders>
            <w:shd w:val="clear" w:color="auto" w:fill="F2F2F2" w:themeFill="background1" w:themeFillShade="F2"/>
          </w:tcPr>
          <w:p w:rsidR="004659AD" w:rsidRPr="00642432" w:rsidRDefault="004659AD" w:rsidP="006C33E1">
            <w:pPr>
              <w:pStyle w:val="TableText"/>
              <w:tabs>
                <w:tab w:val="decimal" w:pos="1620"/>
              </w:tabs>
            </w:pPr>
            <w:r w:rsidRPr="00642432">
              <w:t>2</w:t>
            </w:r>
          </w:p>
        </w:tc>
      </w:tr>
      <w:tr w:rsidR="004659AD" w:rsidRPr="00642432" w:rsidTr="006C33E1">
        <w:trPr>
          <w:cantSplit/>
        </w:trPr>
        <w:tc>
          <w:tcPr>
            <w:tcW w:w="709" w:type="dxa"/>
            <w:tcBorders>
              <w:top w:val="nil"/>
              <w:bottom w:val="nil"/>
            </w:tcBorders>
            <w:shd w:val="clear" w:color="auto" w:fill="auto"/>
          </w:tcPr>
          <w:p w:rsidR="004659AD" w:rsidRPr="00642432" w:rsidRDefault="004659AD" w:rsidP="006C33E1">
            <w:pPr>
              <w:pStyle w:val="TableText"/>
              <w:jc w:val="center"/>
            </w:pPr>
            <w:r w:rsidRPr="00642432">
              <w:t>2009</w:t>
            </w:r>
          </w:p>
        </w:tc>
        <w:tc>
          <w:tcPr>
            <w:tcW w:w="3047" w:type="dxa"/>
            <w:tcBorders>
              <w:top w:val="nil"/>
              <w:bottom w:val="nil"/>
            </w:tcBorders>
            <w:shd w:val="clear" w:color="auto" w:fill="auto"/>
          </w:tcPr>
          <w:p w:rsidR="004659AD" w:rsidRPr="00642432" w:rsidRDefault="004659AD" w:rsidP="006C33E1">
            <w:pPr>
              <w:pStyle w:val="TableText"/>
              <w:tabs>
                <w:tab w:val="decimal" w:pos="1564"/>
              </w:tabs>
            </w:pPr>
            <w:r w:rsidRPr="00642432">
              <w:t>120</w:t>
            </w:r>
          </w:p>
        </w:tc>
        <w:tc>
          <w:tcPr>
            <w:tcW w:w="3048" w:type="dxa"/>
            <w:tcBorders>
              <w:top w:val="nil"/>
              <w:bottom w:val="nil"/>
            </w:tcBorders>
            <w:shd w:val="clear" w:color="auto" w:fill="auto"/>
          </w:tcPr>
          <w:p w:rsidR="004659AD" w:rsidRPr="00642432" w:rsidRDefault="004659AD" w:rsidP="006C33E1">
            <w:pPr>
              <w:pStyle w:val="TableText"/>
              <w:tabs>
                <w:tab w:val="decimal" w:pos="1620"/>
              </w:tabs>
            </w:pPr>
            <w:r w:rsidRPr="00642432">
              <w:t>12</w:t>
            </w:r>
          </w:p>
        </w:tc>
      </w:tr>
      <w:tr w:rsidR="004659AD" w:rsidRPr="00642432" w:rsidTr="006C33E1">
        <w:trPr>
          <w:cantSplit/>
        </w:trPr>
        <w:tc>
          <w:tcPr>
            <w:tcW w:w="709" w:type="dxa"/>
            <w:tcBorders>
              <w:top w:val="nil"/>
              <w:bottom w:val="nil"/>
            </w:tcBorders>
            <w:shd w:val="clear" w:color="auto" w:fill="F2F2F2" w:themeFill="background1" w:themeFillShade="F2"/>
          </w:tcPr>
          <w:p w:rsidR="004659AD" w:rsidRPr="00642432" w:rsidRDefault="004659AD" w:rsidP="006C33E1">
            <w:pPr>
              <w:pStyle w:val="TableText"/>
              <w:jc w:val="center"/>
            </w:pPr>
            <w:r w:rsidRPr="00642432">
              <w:t>2010</w:t>
            </w:r>
          </w:p>
        </w:tc>
        <w:tc>
          <w:tcPr>
            <w:tcW w:w="3047" w:type="dxa"/>
            <w:tcBorders>
              <w:top w:val="nil"/>
              <w:bottom w:val="nil"/>
            </w:tcBorders>
            <w:shd w:val="clear" w:color="auto" w:fill="F2F2F2" w:themeFill="background1" w:themeFillShade="F2"/>
          </w:tcPr>
          <w:p w:rsidR="004659AD" w:rsidRPr="00642432" w:rsidRDefault="004659AD" w:rsidP="006C33E1">
            <w:pPr>
              <w:pStyle w:val="TableText"/>
              <w:tabs>
                <w:tab w:val="decimal" w:pos="1564"/>
              </w:tabs>
            </w:pPr>
            <w:r w:rsidRPr="00642432">
              <w:t>105</w:t>
            </w:r>
          </w:p>
        </w:tc>
        <w:tc>
          <w:tcPr>
            <w:tcW w:w="3048" w:type="dxa"/>
            <w:tcBorders>
              <w:top w:val="nil"/>
              <w:bottom w:val="nil"/>
            </w:tcBorders>
            <w:shd w:val="clear" w:color="auto" w:fill="F2F2F2" w:themeFill="background1" w:themeFillShade="F2"/>
          </w:tcPr>
          <w:p w:rsidR="004659AD" w:rsidRPr="00642432" w:rsidRDefault="004659AD" w:rsidP="006C33E1">
            <w:pPr>
              <w:pStyle w:val="TableText"/>
              <w:tabs>
                <w:tab w:val="decimal" w:pos="1620"/>
              </w:tabs>
            </w:pPr>
            <w:r w:rsidRPr="00642432">
              <w:t>11</w:t>
            </w:r>
          </w:p>
        </w:tc>
      </w:tr>
      <w:tr w:rsidR="004659AD" w:rsidRPr="00642432" w:rsidTr="006C33E1">
        <w:trPr>
          <w:cantSplit/>
        </w:trPr>
        <w:tc>
          <w:tcPr>
            <w:tcW w:w="709" w:type="dxa"/>
            <w:tcBorders>
              <w:top w:val="nil"/>
              <w:bottom w:val="nil"/>
            </w:tcBorders>
            <w:shd w:val="clear" w:color="auto" w:fill="auto"/>
          </w:tcPr>
          <w:p w:rsidR="004659AD" w:rsidRPr="00642432" w:rsidRDefault="004659AD" w:rsidP="006C33E1">
            <w:pPr>
              <w:pStyle w:val="TableText"/>
              <w:jc w:val="center"/>
            </w:pPr>
            <w:r w:rsidRPr="00642432">
              <w:t>2011</w:t>
            </w:r>
          </w:p>
        </w:tc>
        <w:tc>
          <w:tcPr>
            <w:tcW w:w="3047" w:type="dxa"/>
            <w:tcBorders>
              <w:top w:val="nil"/>
              <w:bottom w:val="nil"/>
            </w:tcBorders>
            <w:shd w:val="clear" w:color="auto" w:fill="auto"/>
          </w:tcPr>
          <w:p w:rsidR="004659AD" w:rsidRPr="00642432" w:rsidRDefault="004659AD" w:rsidP="006C33E1">
            <w:pPr>
              <w:pStyle w:val="TableText"/>
              <w:tabs>
                <w:tab w:val="decimal" w:pos="1564"/>
              </w:tabs>
            </w:pPr>
            <w:r w:rsidRPr="00642432">
              <w:t>85</w:t>
            </w:r>
          </w:p>
        </w:tc>
        <w:tc>
          <w:tcPr>
            <w:tcW w:w="3048" w:type="dxa"/>
            <w:tcBorders>
              <w:top w:val="nil"/>
              <w:bottom w:val="nil"/>
            </w:tcBorders>
            <w:shd w:val="clear" w:color="auto" w:fill="auto"/>
          </w:tcPr>
          <w:p w:rsidR="004659AD" w:rsidRPr="00642432" w:rsidRDefault="004659AD" w:rsidP="006C33E1">
            <w:pPr>
              <w:pStyle w:val="TableText"/>
              <w:tabs>
                <w:tab w:val="decimal" w:pos="1620"/>
              </w:tabs>
            </w:pPr>
            <w:r w:rsidRPr="00642432">
              <w:t>4</w:t>
            </w:r>
          </w:p>
        </w:tc>
      </w:tr>
      <w:tr w:rsidR="004659AD" w:rsidRPr="00642432" w:rsidTr="006C33E1">
        <w:trPr>
          <w:cantSplit/>
        </w:trPr>
        <w:tc>
          <w:tcPr>
            <w:tcW w:w="709" w:type="dxa"/>
            <w:tcBorders>
              <w:top w:val="nil"/>
              <w:bottom w:val="nil"/>
            </w:tcBorders>
            <w:shd w:val="clear" w:color="auto" w:fill="F2F2F2" w:themeFill="background1" w:themeFillShade="F2"/>
          </w:tcPr>
          <w:p w:rsidR="004659AD" w:rsidRPr="00642432" w:rsidRDefault="004659AD" w:rsidP="006C33E1">
            <w:pPr>
              <w:pStyle w:val="TableText"/>
              <w:jc w:val="center"/>
            </w:pPr>
            <w:r w:rsidRPr="00642432">
              <w:t>2012</w:t>
            </w:r>
          </w:p>
        </w:tc>
        <w:tc>
          <w:tcPr>
            <w:tcW w:w="3047" w:type="dxa"/>
            <w:tcBorders>
              <w:top w:val="nil"/>
              <w:bottom w:val="nil"/>
            </w:tcBorders>
            <w:shd w:val="clear" w:color="auto" w:fill="F2F2F2" w:themeFill="background1" w:themeFillShade="F2"/>
          </w:tcPr>
          <w:p w:rsidR="004659AD" w:rsidRPr="00642432" w:rsidRDefault="004659AD" w:rsidP="006C33E1">
            <w:pPr>
              <w:pStyle w:val="TableText"/>
              <w:tabs>
                <w:tab w:val="decimal" w:pos="1564"/>
              </w:tabs>
            </w:pPr>
            <w:r w:rsidRPr="00642432">
              <w:t>84</w:t>
            </w:r>
          </w:p>
        </w:tc>
        <w:tc>
          <w:tcPr>
            <w:tcW w:w="3048" w:type="dxa"/>
            <w:tcBorders>
              <w:top w:val="nil"/>
              <w:bottom w:val="nil"/>
            </w:tcBorders>
            <w:shd w:val="clear" w:color="auto" w:fill="F2F2F2" w:themeFill="background1" w:themeFillShade="F2"/>
          </w:tcPr>
          <w:p w:rsidR="004659AD" w:rsidRPr="00642432" w:rsidRDefault="004659AD" w:rsidP="006C33E1">
            <w:pPr>
              <w:pStyle w:val="TableText"/>
              <w:tabs>
                <w:tab w:val="decimal" w:pos="1620"/>
              </w:tabs>
            </w:pPr>
            <w:r w:rsidRPr="00642432">
              <w:t>3</w:t>
            </w:r>
          </w:p>
        </w:tc>
      </w:tr>
      <w:tr w:rsidR="004659AD" w:rsidRPr="00642432" w:rsidTr="006C33E1">
        <w:trPr>
          <w:cantSplit/>
        </w:trPr>
        <w:tc>
          <w:tcPr>
            <w:tcW w:w="709" w:type="dxa"/>
            <w:tcBorders>
              <w:top w:val="nil"/>
            </w:tcBorders>
            <w:shd w:val="clear" w:color="auto" w:fill="auto"/>
          </w:tcPr>
          <w:p w:rsidR="004659AD" w:rsidRPr="00642432" w:rsidRDefault="004659AD" w:rsidP="006C33E1">
            <w:pPr>
              <w:pStyle w:val="TableText"/>
              <w:jc w:val="center"/>
            </w:pPr>
            <w:r w:rsidRPr="00642432">
              <w:t>2013</w:t>
            </w:r>
          </w:p>
        </w:tc>
        <w:tc>
          <w:tcPr>
            <w:tcW w:w="3047" w:type="dxa"/>
            <w:tcBorders>
              <w:top w:val="nil"/>
            </w:tcBorders>
            <w:shd w:val="clear" w:color="auto" w:fill="auto"/>
          </w:tcPr>
          <w:p w:rsidR="004659AD" w:rsidRPr="00642432" w:rsidRDefault="004659AD" w:rsidP="006C33E1">
            <w:pPr>
              <w:pStyle w:val="TableText"/>
              <w:tabs>
                <w:tab w:val="decimal" w:pos="1564"/>
              </w:tabs>
            </w:pPr>
            <w:r w:rsidRPr="00642432">
              <w:t>132</w:t>
            </w:r>
          </w:p>
        </w:tc>
        <w:tc>
          <w:tcPr>
            <w:tcW w:w="3048" w:type="dxa"/>
            <w:tcBorders>
              <w:top w:val="nil"/>
            </w:tcBorders>
            <w:shd w:val="clear" w:color="auto" w:fill="auto"/>
          </w:tcPr>
          <w:p w:rsidR="004659AD" w:rsidRPr="00642432" w:rsidRDefault="004659AD" w:rsidP="006C33E1">
            <w:pPr>
              <w:pStyle w:val="TableText"/>
              <w:tabs>
                <w:tab w:val="decimal" w:pos="1620"/>
              </w:tabs>
            </w:pPr>
            <w:r w:rsidRPr="00642432">
              <w:t>5</w:t>
            </w:r>
          </w:p>
        </w:tc>
      </w:tr>
    </w:tbl>
    <w:p w:rsidR="004659AD" w:rsidRPr="00642432" w:rsidRDefault="004659AD" w:rsidP="006C33E1">
      <w:pPr>
        <w:pStyle w:val="Source"/>
      </w:pPr>
      <w:r w:rsidRPr="00642432">
        <w:t>Source: Manual data provided by DHBs</w:t>
      </w:r>
      <w:r w:rsidR="006C33E1">
        <w:t>.</w:t>
      </w:r>
    </w:p>
    <w:p w:rsidR="004659AD" w:rsidRPr="00642432" w:rsidRDefault="004659AD" w:rsidP="006C33E1"/>
    <w:p w:rsidR="004659AD" w:rsidRPr="00642432" w:rsidRDefault="004659AD" w:rsidP="006C33E1">
      <w:pPr>
        <w:pStyle w:val="Heading2"/>
      </w:pPr>
      <w:bookmarkStart w:id="24" w:name="_Toc405113663"/>
      <w:r w:rsidRPr="00642432">
        <w:t>The Mental Health Review Tribunal</w:t>
      </w:r>
      <w:bookmarkEnd w:id="24"/>
    </w:p>
    <w:p w:rsidR="004659AD" w:rsidRPr="00642432" w:rsidRDefault="004659AD" w:rsidP="006C33E1">
      <w:r w:rsidRPr="00642432">
        <w:t>The Mental Health Review Tribunal (the Tribunal) is an independent tribunal empowered by law to review compulsory treatment orders, special patient orders and restricted patient orders. If a person disagrees with their legal status or treatment under the Mental Health Act, they can</w:t>
      </w:r>
      <w:r w:rsidR="00D32DDD" w:rsidRPr="00642432">
        <w:t xml:space="preserve"> </w:t>
      </w:r>
      <w:r w:rsidRPr="00642432">
        <w:t>apply to the Tribunal for an independent review of their condition.</w:t>
      </w:r>
    </w:p>
    <w:p w:rsidR="004659AD" w:rsidRPr="00642432" w:rsidRDefault="004659AD" w:rsidP="006C33E1"/>
    <w:p w:rsidR="004659AD" w:rsidRPr="00642432" w:rsidRDefault="004659AD" w:rsidP="006C33E1">
      <w:r w:rsidRPr="00642432">
        <w:t>The Tribunal comprises three members, one</w:t>
      </w:r>
      <w:r w:rsidR="00D32DDD" w:rsidRPr="00642432">
        <w:t xml:space="preserve"> </w:t>
      </w:r>
      <w:r w:rsidRPr="00642432">
        <w:t>of whom must be a lawyer, one</w:t>
      </w:r>
      <w:r w:rsidR="00D32DDD" w:rsidRPr="00642432">
        <w:t xml:space="preserve"> </w:t>
      </w:r>
      <w:r w:rsidRPr="00642432">
        <w:t>a psychiatrist and the third a community member.</w:t>
      </w:r>
    </w:p>
    <w:p w:rsidR="004659AD" w:rsidRPr="00642432" w:rsidRDefault="004659AD" w:rsidP="006C33E1"/>
    <w:p w:rsidR="004659AD" w:rsidRPr="00642432" w:rsidRDefault="004659AD" w:rsidP="006C33E1">
      <w:r w:rsidRPr="00642432">
        <w:t>A selection of the Tribunal’s published cases is available to the public on the New Zealand Legal Information Institute website (</w:t>
      </w:r>
      <w:hyperlink r:id="rId27">
        <w:r w:rsidRPr="00642432">
          <w:t xml:space="preserve">www.nzlii.org/nz/ </w:t>
        </w:r>
      </w:hyperlink>
      <w:hyperlink r:id="rId28">
        <w:r w:rsidRPr="00642432">
          <w:t>cases/NZMHRT</w:t>
        </w:r>
      </w:hyperlink>
      <w:r w:rsidRPr="00642432">
        <w:t>). These cases have been carefully anonymised to respect the privacy of the individuals, family and whānau involved. The intention of</w:t>
      </w:r>
      <w:r w:rsidR="006C33E1">
        <w:t xml:space="preserve"> </w:t>
      </w:r>
      <w:r w:rsidR="006C33E1" w:rsidRPr="00642432">
        <w:t>publishing important and helpful cases is to help the public to have a better understanding of the work of the Tribunal and of mental health law and practice.</w:t>
      </w:r>
    </w:p>
    <w:p w:rsidR="004659AD" w:rsidRPr="00642432" w:rsidRDefault="004659AD" w:rsidP="006C33E1"/>
    <w:p w:rsidR="004659AD" w:rsidRPr="00642432" w:rsidRDefault="004659AD" w:rsidP="006C33E1">
      <w:pPr>
        <w:pStyle w:val="Box"/>
      </w:pPr>
      <w:r w:rsidRPr="00642432">
        <w:t>If a person disagrees with their legal status or treatment under the Mental Health Act, they can</w:t>
      </w:r>
      <w:r w:rsidR="00D32DDD" w:rsidRPr="00642432">
        <w:t xml:space="preserve"> </w:t>
      </w:r>
      <w:r w:rsidRPr="00642432">
        <w:t>apply to the Tribunal for an independent review of their condition.</w:t>
      </w:r>
    </w:p>
    <w:p w:rsidR="004659AD" w:rsidRPr="00642432" w:rsidRDefault="004659AD" w:rsidP="006C33E1"/>
    <w:p w:rsidR="004659AD" w:rsidRPr="00642432" w:rsidRDefault="004659AD" w:rsidP="006C33E1">
      <w:r w:rsidRPr="00642432">
        <w:t>The main function of the Tribunal is to review the condition of people in accordance with sections 79 and 80 of the Mental Health Act. Section 79 relates to people who</w:t>
      </w:r>
      <w:r w:rsidR="00D32DDD" w:rsidRPr="00642432">
        <w:t xml:space="preserve"> </w:t>
      </w:r>
      <w:r w:rsidRPr="00642432">
        <w:t>are subject to ordinary compulsory treatment orders, and section 80 relates to the status of special patients. During the year</w:t>
      </w:r>
      <w:r w:rsidR="00D32DDD" w:rsidRPr="00642432">
        <w:t xml:space="preserve"> </w:t>
      </w:r>
      <w:r w:rsidRPr="00642432">
        <w:t>ending</w:t>
      </w:r>
      <w:r w:rsidR="006C33E1">
        <w:t xml:space="preserve"> </w:t>
      </w:r>
      <w:r w:rsidRPr="00642432">
        <w:t>30 June 2013, the Tribunal heard 102 cases of contested treatment orders. In five cases (5 percent), a person was deemed fit to be released from compulsory status.</w:t>
      </w:r>
    </w:p>
    <w:p w:rsidR="004659AD" w:rsidRPr="00642432" w:rsidRDefault="004659AD" w:rsidP="006C33E1"/>
    <w:p w:rsidR="004659AD" w:rsidRPr="00642432" w:rsidRDefault="004659AD" w:rsidP="006C33E1">
      <w:r w:rsidRPr="00642432">
        <w:t>The Tribunal has</w:t>
      </w:r>
      <w:r w:rsidR="00D32DDD" w:rsidRPr="00642432">
        <w:t xml:space="preserve"> </w:t>
      </w:r>
      <w:r w:rsidRPr="00642432">
        <w:t>a number of other functions under the Mental Health Act, including reviewing</w:t>
      </w:r>
      <w:r w:rsidR="006C33E1">
        <w:t xml:space="preserve"> </w:t>
      </w:r>
      <w:r w:rsidRPr="00642432">
        <w:t>the condition of restricted patients (section 81), considering complaints (section 75) and appointing psychiatrists authorised to carry out</w:t>
      </w:r>
      <w:r w:rsidR="00D32DDD" w:rsidRPr="00642432">
        <w:t xml:space="preserve"> </w:t>
      </w:r>
      <w:r w:rsidRPr="00642432">
        <w:t>second opinions under the Mental Health Act (sections 59–61).</w:t>
      </w:r>
    </w:p>
    <w:p w:rsidR="004659AD" w:rsidRPr="00642432" w:rsidRDefault="004659AD" w:rsidP="006C33E1"/>
    <w:p w:rsidR="004659AD" w:rsidRPr="00642432" w:rsidRDefault="004659AD" w:rsidP="006C33E1">
      <w:r w:rsidRPr="00642432">
        <w:t>Under section 80 of the Mental Health Act, the Tribunal makes recommendations relating to special patients to the Minister</w:t>
      </w:r>
      <w:r w:rsidR="006C33E1">
        <w:t xml:space="preserve"> </w:t>
      </w:r>
      <w:r w:rsidRPr="00642432">
        <w:t>of Health or the Attorney-General. It is for the Minister or Attorney-General to determine whether there should be a change to a special patient’s legal status.</w:t>
      </w:r>
    </w:p>
    <w:p w:rsidR="004659AD" w:rsidRPr="00642432" w:rsidRDefault="004659AD" w:rsidP="006C33E1"/>
    <w:p w:rsidR="004659AD" w:rsidRPr="00642432" w:rsidRDefault="004659AD" w:rsidP="006C33E1">
      <w:r w:rsidRPr="00642432">
        <w:t>The Tribunal may also investigate a complaint if the complainant is dissatisfied with a district inspector’s investigation. If the Tribunal decides a complaint has</w:t>
      </w:r>
      <w:r w:rsidR="006C33E1">
        <w:t xml:space="preserve"> </w:t>
      </w:r>
      <w:r w:rsidR="006C33E1" w:rsidRPr="00642432">
        <w:t>substance, it must report the matter to the relevant director of area mental health services (DAMHS), with appropriate recommendations. The DAMHS must then take all necessary steps to remedy the matter.</w:t>
      </w:r>
    </w:p>
    <w:p w:rsidR="004659AD" w:rsidRPr="00642432" w:rsidRDefault="004659AD" w:rsidP="006C33E1"/>
    <w:p w:rsidR="004659AD" w:rsidRPr="00642432" w:rsidRDefault="004659AD" w:rsidP="006C33E1">
      <w:pPr>
        <w:pStyle w:val="Box"/>
      </w:pPr>
      <w:r w:rsidRPr="00642432">
        <w:t>During the year</w:t>
      </w:r>
      <w:r w:rsidR="00D32DDD" w:rsidRPr="00642432">
        <w:t xml:space="preserve"> </w:t>
      </w:r>
      <w:r w:rsidRPr="00642432">
        <w:t>ending</w:t>
      </w:r>
      <w:r w:rsidR="006C33E1">
        <w:t xml:space="preserve"> </w:t>
      </w:r>
      <w:r w:rsidRPr="00642432">
        <w:t>30 June 2013, the Tribunal heard 102 cases of contested treatment orders. In five cases (5 percent), a person was deemed fit to be released from compulsory status.</w:t>
      </w:r>
    </w:p>
    <w:p w:rsidR="004659AD" w:rsidRPr="00642432" w:rsidRDefault="004659AD" w:rsidP="004659AD"/>
    <w:p w:rsidR="004659AD" w:rsidRPr="00642432" w:rsidRDefault="004659AD" w:rsidP="006C33E1">
      <w:r w:rsidRPr="00642432">
        <w:t>For more information about the Tribunal’s activities for the year</w:t>
      </w:r>
      <w:r w:rsidR="00D32DDD" w:rsidRPr="00642432">
        <w:t xml:space="preserve"> </w:t>
      </w:r>
      <w:r w:rsidRPr="00642432">
        <w:t>ending 30 June 2013, see Appendix 1.</w:t>
      </w:r>
    </w:p>
    <w:p w:rsidR="004659AD" w:rsidRPr="00642432" w:rsidRDefault="004659AD" w:rsidP="006C33E1"/>
    <w:p w:rsidR="004659AD" w:rsidRPr="006C33E1" w:rsidRDefault="004659AD" w:rsidP="006C33E1">
      <w:pPr>
        <w:pStyle w:val="Heading3"/>
      </w:pPr>
      <w:r w:rsidRPr="006C33E1">
        <w:t>Sector voices</w:t>
      </w:r>
    </w:p>
    <w:p w:rsidR="004659AD" w:rsidRPr="00642432" w:rsidRDefault="00EB457A" w:rsidP="006C33E1">
      <w:pPr>
        <w:pStyle w:val="Heading4"/>
      </w:pPr>
      <w:r w:rsidRPr="00EB457A">
        <w:rPr>
          <w:noProof/>
          <w:lang w:eastAsia="en-NZ"/>
        </w:rPr>
        <w:drawing>
          <wp:anchor distT="0" distB="0" distL="0" distR="114300" simplePos="0" relativeHeight="251983872" behindDoc="0" locked="0" layoutInCell="1" allowOverlap="1">
            <wp:simplePos x="0" y="0"/>
            <wp:positionH relativeFrom="column">
              <wp:posOffset>2540</wp:posOffset>
            </wp:positionH>
            <wp:positionV relativeFrom="paragraph">
              <wp:posOffset>635</wp:posOffset>
            </wp:positionV>
            <wp:extent cx="1198800" cy="1810800"/>
            <wp:effectExtent l="0" t="0" r="1905" b="0"/>
            <wp:wrapSquare wrapText="left"/>
            <wp:docPr id="5538" name="Picture 5538" descr="Photo of Phyllis Tangitu – Mental Health Review Tribunal member" title="Phyllis Tang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grayscl/>
                      <a:extLst>
                        <a:ext uri="{28A0092B-C50C-407E-A947-70E740481C1C}">
                          <a14:useLocalDpi xmlns:a14="http://schemas.microsoft.com/office/drawing/2010/main" val="0"/>
                        </a:ext>
                      </a:extLst>
                    </a:blip>
                    <a:srcRect r="4000"/>
                    <a:stretch/>
                  </pic:blipFill>
                  <pic:spPr bwMode="auto">
                    <a:xfrm>
                      <a:off x="0" y="0"/>
                      <a:ext cx="1198800" cy="181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9AD" w:rsidRPr="00642432">
        <w:t>Phyllis Tangitu – Mental Health Review Tribunal member</w:t>
      </w:r>
    </w:p>
    <w:p w:rsidR="004659AD" w:rsidRPr="00642432" w:rsidRDefault="004659AD" w:rsidP="006C33E1">
      <w:r w:rsidRPr="00642432">
        <w:t>Te Arawa te waka Matawhaura te maunga Rotoiti te roto</w:t>
      </w:r>
    </w:p>
    <w:p w:rsidR="004659AD" w:rsidRPr="00642432" w:rsidRDefault="004659AD" w:rsidP="006C33E1">
      <w:r w:rsidRPr="00642432">
        <w:t>Tamateatutahi me Ngāti Kawiti ōku hapū</w:t>
      </w:r>
    </w:p>
    <w:p w:rsidR="004659AD" w:rsidRPr="00642432" w:rsidRDefault="004659AD" w:rsidP="006C33E1">
      <w:r w:rsidRPr="00642432">
        <w:t>Ko Pikiao ahau. Tēnā koutou katoa.</w:t>
      </w:r>
    </w:p>
    <w:p w:rsidR="006C33E1" w:rsidRDefault="006C33E1" w:rsidP="006C33E1"/>
    <w:p w:rsidR="004659AD" w:rsidRPr="00642432" w:rsidRDefault="004659AD" w:rsidP="006C33E1">
      <w:r w:rsidRPr="00642432">
        <w:t>Kia ora. My name is Phyllis Tangitu and I am the community member of the Mental Health Review</w:t>
      </w:r>
      <w:r w:rsidR="006C33E1">
        <w:t xml:space="preserve"> </w:t>
      </w:r>
      <w:r w:rsidRPr="00642432">
        <w:t>Tribunal.</w:t>
      </w:r>
    </w:p>
    <w:p w:rsidR="004659AD" w:rsidRPr="00642432" w:rsidRDefault="004659AD" w:rsidP="006C33E1"/>
    <w:p w:rsidR="004659AD" w:rsidRPr="00642432" w:rsidRDefault="004659AD" w:rsidP="006C33E1">
      <w:r w:rsidRPr="00642432">
        <w:t>I was a deputy member of the Tribunal for 12 years and in 2012 I was appointed as the key community member. I am a mum to three sons, nanny to three beautiful mokopuna and partner to Wi. My experience in mental health comes from having whānau experience mental health issues and 20 years of work</w:t>
      </w:r>
      <w:r w:rsidR="00D32DDD" w:rsidRPr="00642432">
        <w:t xml:space="preserve"> </w:t>
      </w:r>
      <w:r w:rsidRPr="00642432">
        <w:t>in the mental health and addiction sector.</w:t>
      </w:r>
    </w:p>
    <w:p w:rsidR="004659AD" w:rsidRPr="00642432" w:rsidRDefault="004659AD" w:rsidP="006C33E1"/>
    <w:p w:rsidR="004659AD" w:rsidRPr="00642432" w:rsidRDefault="004659AD" w:rsidP="006C33E1">
      <w:r w:rsidRPr="00642432">
        <w:t>The principal function of the Tribunal is to consider the condition of a person who</w:t>
      </w:r>
      <w:r w:rsidR="00D32DDD" w:rsidRPr="00642432">
        <w:t xml:space="preserve"> </w:t>
      </w:r>
      <w:r w:rsidRPr="00642432">
        <w:t>has</w:t>
      </w:r>
      <w:r w:rsidR="00D32DDD" w:rsidRPr="00642432">
        <w:t xml:space="preserve"> </w:t>
      </w:r>
      <w:r w:rsidRPr="00642432">
        <w:t>applied for a review of their treatment order. The Tribunal comprises three members: a lawyer (by convention the conveyor), a psychiatrist and a community member. At a hearing, members of the Tribunal will review a person’s file, listen to the evidence presented of a medical, legal,</w:t>
      </w:r>
      <w:r w:rsidR="00D32DDD" w:rsidRPr="00642432">
        <w:t xml:space="preserve"> </w:t>
      </w:r>
      <w:r w:rsidRPr="00642432">
        <w:t>personal and family nature, clarify the key issues for that person’s present and future mental health and wellbeing and come to a decision regarding whether the person’s condition justifies the order to which he or she is subject.</w:t>
      </w:r>
    </w:p>
    <w:p w:rsidR="004659AD" w:rsidRPr="00642432" w:rsidRDefault="004659AD" w:rsidP="006C33E1"/>
    <w:p w:rsidR="004659AD" w:rsidRPr="00642432" w:rsidRDefault="004659AD" w:rsidP="006C33E1">
      <w:r w:rsidRPr="00642432">
        <w:t>We are a quasi-judicial board; however, it has</w:t>
      </w:r>
      <w:r w:rsidR="00D32DDD" w:rsidRPr="00642432">
        <w:t xml:space="preserve"> </w:t>
      </w:r>
      <w:r w:rsidRPr="00642432">
        <w:t>been important that individuals, families and whānau understand the process and are welcomed to a hearing. It is also important that the hearings are located in a comfortable environment and there is respect and acknowledgement paid to any</w:t>
      </w:r>
      <w:r w:rsidR="00D32DDD" w:rsidRPr="00642432">
        <w:t xml:space="preserve"> </w:t>
      </w:r>
      <w:r w:rsidRPr="00642432">
        <w:t>cultural needs the person and their family or whānau may have (eg, opening with a mihi/greeting or karakia). The Tribunal has</w:t>
      </w:r>
      <w:r w:rsidR="00D32DDD" w:rsidRPr="00642432">
        <w:t xml:space="preserve"> </w:t>
      </w:r>
      <w:r w:rsidRPr="00642432">
        <w:t>used cultural practice during hearings, and has</w:t>
      </w:r>
      <w:r w:rsidR="00D32DDD" w:rsidRPr="00642432">
        <w:t xml:space="preserve"> </w:t>
      </w:r>
      <w:r w:rsidRPr="00642432">
        <w:t>encouraged families and whānau to participate in the hearing process.</w:t>
      </w:r>
    </w:p>
    <w:p w:rsidR="004659AD" w:rsidRPr="00642432" w:rsidRDefault="004659AD" w:rsidP="006C33E1"/>
    <w:p w:rsidR="006C33E1" w:rsidRDefault="006C33E1" w:rsidP="006C33E1">
      <w:r>
        <w:br w:type="page"/>
      </w:r>
    </w:p>
    <w:p w:rsidR="004659AD" w:rsidRPr="00642432" w:rsidRDefault="004659AD" w:rsidP="006C33E1">
      <w:pPr>
        <w:pStyle w:val="Heading1"/>
      </w:pPr>
      <w:bookmarkStart w:id="25" w:name="_Toc405113664"/>
      <w:r w:rsidRPr="00642432">
        <w:t>Ensuring service quality</w:t>
      </w:r>
      <w:bookmarkEnd w:id="25"/>
    </w:p>
    <w:p w:rsidR="004659AD" w:rsidRPr="00642432" w:rsidRDefault="004659AD" w:rsidP="00CB6073">
      <w:r w:rsidRPr="00642432">
        <w:t>As a sector we are all working together to get better mental health care to more people sooner. Central government, district health boards, non-governmental organisations, international bodies (such as the United Nations and World</w:t>
      </w:r>
      <w:r w:rsidR="00D32DDD" w:rsidRPr="00642432">
        <w:t xml:space="preserve"> </w:t>
      </w:r>
      <w:r w:rsidRPr="00642432">
        <w:t>Health Organization) and independent watchdogs (such the Office of the Ombudsman and district inspectors) all work</w:t>
      </w:r>
      <w:r w:rsidR="00D32DDD" w:rsidRPr="00642432">
        <w:t xml:space="preserve"> </w:t>
      </w:r>
      <w:r w:rsidRPr="00642432">
        <w:t>in collaboration to</w:t>
      </w:r>
      <w:r w:rsidR="00CB6073">
        <w:t xml:space="preserve"> </w:t>
      </w:r>
      <w:r w:rsidRPr="00642432">
        <w:t>achieve this goal.</w:t>
      </w:r>
    </w:p>
    <w:p w:rsidR="004659AD" w:rsidRPr="00642432" w:rsidRDefault="004659AD" w:rsidP="00CB6073"/>
    <w:p w:rsidR="004659AD" w:rsidRPr="00642432" w:rsidRDefault="004659AD" w:rsidP="00CB6073">
      <w:r w:rsidRPr="00642432">
        <w:t>Actively monitoring the performance of DHBs and NGOs is vital to ensuring service quality and safety. The Ministry and wider government set goals</w:t>
      </w:r>
      <w:r w:rsidR="00D32DDD" w:rsidRPr="00642432">
        <w:t xml:space="preserve"> </w:t>
      </w:r>
      <w:r w:rsidRPr="00642432">
        <w:t>and targets for the sector aimed</w:t>
      </w:r>
      <w:r w:rsidR="00CB6073">
        <w:t xml:space="preserve"> </w:t>
      </w:r>
      <w:r w:rsidR="00CB6073" w:rsidRPr="00642432">
        <w:t>at improving outcomes for the people who use mental health services. Reporting from the sector is integral to this process, as it allows the Ministry to measure progress against these goals.</w:t>
      </w:r>
    </w:p>
    <w:p w:rsidR="004659AD" w:rsidRPr="00642432" w:rsidRDefault="004659AD" w:rsidP="00CB6073"/>
    <w:p w:rsidR="004659AD" w:rsidRPr="00642432" w:rsidRDefault="004659AD" w:rsidP="00CB6073">
      <w:pPr>
        <w:pStyle w:val="Box"/>
      </w:pPr>
      <w:r w:rsidRPr="00642432">
        <w:t>As a sector, we are all</w:t>
      </w:r>
      <w:r w:rsidR="00CB6073">
        <w:t xml:space="preserve"> </w:t>
      </w:r>
      <w:r w:rsidRPr="00642432">
        <w:t>working together to get better mental health care to more people sooner.</w:t>
      </w:r>
    </w:p>
    <w:p w:rsidR="004659AD" w:rsidRPr="00642432" w:rsidRDefault="004659AD" w:rsidP="00CB6073"/>
    <w:p w:rsidR="004659AD" w:rsidRPr="00642432" w:rsidRDefault="004659AD" w:rsidP="00CB6073">
      <w:r w:rsidRPr="00642432">
        <w:t>This</w:t>
      </w:r>
      <w:r w:rsidR="00D32DDD" w:rsidRPr="00642432">
        <w:t xml:space="preserve"> </w:t>
      </w:r>
      <w:r w:rsidRPr="00642432">
        <w:t>section presents statistics on a number of mental health indicators concerned with general mental health service use,</w:t>
      </w:r>
      <w:r w:rsidR="00D32DDD" w:rsidRPr="00642432">
        <w:t xml:space="preserve"> </w:t>
      </w:r>
      <w:r w:rsidRPr="00642432">
        <w:t>as well as compulsory care under the Mental Health Act.</w:t>
      </w:r>
    </w:p>
    <w:p w:rsidR="004659AD" w:rsidRPr="00642432" w:rsidRDefault="004659AD" w:rsidP="00CB6073"/>
    <w:p w:rsidR="004659AD" w:rsidRPr="00642432" w:rsidRDefault="004659AD" w:rsidP="00CB6073">
      <w:r w:rsidRPr="00642432">
        <w:t>Statistics include consumer satisfaction surveys, waiting times, relapse prevention plans, the Mental Health Act, Māori and section 29 of the Mental Health Act, seclusion in inpatient units, electroconvulsive therapy, serious adverse events and opioid substitution treatment.</w:t>
      </w:r>
    </w:p>
    <w:p w:rsidR="004659AD" w:rsidRPr="00642432" w:rsidRDefault="004659AD" w:rsidP="00CB6073"/>
    <w:p w:rsidR="004659AD" w:rsidRPr="00642432" w:rsidRDefault="004659AD" w:rsidP="00CB6073">
      <w:pPr>
        <w:pStyle w:val="Heading2"/>
      </w:pPr>
      <w:bookmarkStart w:id="26" w:name="_Toc405113665"/>
      <w:r w:rsidRPr="00642432">
        <w:t>Consumer satisfaction surveys</w:t>
      </w:r>
      <w:bookmarkEnd w:id="26"/>
    </w:p>
    <w:p w:rsidR="004659AD" w:rsidRPr="00642432" w:rsidRDefault="004659AD" w:rsidP="00CB6073">
      <w:r w:rsidRPr="00642432">
        <w:t>Since 2006, National Mental Health Consumer Satisfaction Surveys have been conducted as part of measuring DHB service quality and consumer outcomes. Survey participants are people who</w:t>
      </w:r>
      <w:r w:rsidR="00D32DDD" w:rsidRPr="00642432">
        <w:t xml:space="preserve"> </w:t>
      </w:r>
      <w:r w:rsidRPr="00642432">
        <w:t>received treatment from specialist mental health community services in DHBs around New</w:t>
      </w:r>
      <w:r w:rsidR="00CB6073">
        <w:t> </w:t>
      </w:r>
      <w:r w:rsidRPr="00642432">
        <w:t>Zealand.</w:t>
      </w:r>
    </w:p>
    <w:p w:rsidR="004659AD" w:rsidRPr="00642432" w:rsidRDefault="004659AD" w:rsidP="00CB6073"/>
    <w:p w:rsidR="004659AD" w:rsidRPr="00642432" w:rsidRDefault="004659AD" w:rsidP="00CB6073">
      <w:r w:rsidRPr="00642432">
        <w:t>In summary, in the 2012/13 fiscal</w:t>
      </w:r>
      <w:r w:rsidR="00D32DDD" w:rsidRPr="00642432">
        <w:t xml:space="preserve"> </w:t>
      </w:r>
      <w:r w:rsidRPr="00642432">
        <w:t>year:</w:t>
      </w:r>
    </w:p>
    <w:p w:rsidR="004659AD" w:rsidRPr="00642432" w:rsidRDefault="004659AD" w:rsidP="00CB6073">
      <w:pPr>
        <w:pStyle w:val="Bullet"/>
      </w:pPr>
      <w:r w:rsidRPr="00642432">
        <w:t>80 percent of people surveyed agreed with the statement ‘overall I am satisfied with the services I</w:t>
      </w:r>
      <w:r w:rsidR="00CB6073">
        <w:t xml:space="preserve"> </w:t>
      </w:r>
      <w:r w:rsidRPr="00642432">
        <w:t>received’.</w:t>
      </w:r>
    </w:p>
    <w:p w:rsidR="004659AD" w:rsidRPr="00642432" w:rsidRDefault="004659AD" w:rsidP="00CB6073"/>
    <w:p w:rsidR="004659AD" w:rsidRPr="00642432" w:rsidRDefault="004659AD" w:rsidP="00CB6073">
      <w:r w:rsidRPr="00642432">
        <w:t>In 2006 half</w:t>
      </w:r>
      <w:r w:rsidR="00D32DDD" w:rsidRPr="00642432">
        <w:t xml:space="preserve"> </w:t>
      </w:r>
      <w:r w:rsidRPr="00642432">
        <w:t>of the DHBs in New Zealand participated in the survey, gathering a total of 596</w:t>
      </w:r>
      <w:r w:rsidR="00CB6073">
        <w:t> </w:t>
      </w:r>
      <w:r w:rsidRPr="00642432">
        <w:t>respondents. Since then, participation has</w:t>
      </w:r>
      <w:r w:rsidR="00D32DDD" w:rsidRPr="00642432">
        <w:t xml:space="preserve"> </w:t>
      </w:r>
      <w:r w:rsidRPr="00642432">
        <w:t>grown to the point that in 2013 all 20 DHBs participated, attracting a total of 3282 respondents.</w:t>
      </w:r>
    </w:p>
    <w:p w:rsidR="004659AD" w:rsidRPr="00642432" w:rsidRDefault="004659AD" w:rsidP="00CB6073"/>
    <w:p w:rsidR="004659AD" w:rsidRPr="00642432" w:rsidRDefault="004659AD" w:rsidP="00CB6073">
      <w:pPr>
        <w:pStyle w:val="Heading3"/>
      </w:pPr>
      <w:r w:rsidRPr="00642432">
        <w:t>Survey results</w:t>
      </w:r>
    </w:p>
    <w:p w:rsidR="004659AD" w:rsidRPr="00642432" w:rsidRDefault="004659AD" w:rsidP="00CB6073">
      <w:r w:rsidRPr="00642432">
        <w:t>In the 2012/13 fiscal</w:t>
      </w:r>
      <w:r w:rsidR="00D32DDD" w:rsidRPr="00642432">
        <w:t xml:space="preserve"> </w:t>
      </w:r>
      <w:r w:rsidRPr="00642432">
        <w:t>year, 80 percent of respondents either agreed or strongly agreed with the statement</w:t>
      </w:r>
      <w:r w:rsidR="00CB6073">
        <w:t xml:space="preserve"> </w:t>
      </w:r>
      <w:r w:rsidRPr="00642432">
        <w:t>‘overall I am satisfied with the services I received’ (Figure 3). Another 10 percent gave an in-between rating, 4 percent disagreed and 6 percent strongly disagreed.</w:t>
      </w:r>
    </w:p>
    <w:p w:rsidR="004659AD" w:rsidRPr="00642432" w:rsidRDefault="004659AD" w:rsidP="00CB6073"/>
    <w:p w:rsidR="004659AD" w:rsidRPr="00642432" w:rsidRDefault="004659AD" w:rsidP="00CB6073">
      <w:pPr>
        <w:pStyle w:val="Figure"/>
      </w:pPr>
      <w:bookmarkStart w:id="27" w:name="_Toc405113757"/>
      <w:r w:rsidRPr="00642432">
        <w:t>Figure 3: Responses to the statement ‘overall I am satisfied with the services I received’</w:t>
      </w:r>
      <w:bookmarkEnd w:id="27"/>
    </w:p>
    <w:p w:rsidR="004659AD" w:rsidRPr="00642432" w:rsidRDefault="00CB6073" w:rsidP="00CB6073">
      <w:r w:rsidRPr="00CB6073">
        <w:rPr>
          <w:noProof/>
          <w:lang w:eastAsia="en-NZ"/>
        </w:rPr>
        <w:drawing>
          <wp:inline distT="0" distB="0" distL="0" distR="0" wp14:anchorId="72119AB3" wp14:editId="2868B6EC">
            <wp:extent cx="2859578" cy="2594286"/>
            <wp:effectExtent l="0" t="0" r="0" b="0"/>
            <wp:docPr id="5539" name="Picture 5539" title="Figure 3: Responses to the statement ‘overall I am satisfied with the services I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grayscl/>
                    </a:blip>
                    <a:stretch>
                      <a:fillRect/>
                    </a:stretch>
                  </pic:blipFill>
                  <pic:spPr>
                    <a:xfrm>
                      <a:off x="0" y="0"/>
                      <a:ext cx="2862577" cy="2597007"/>
                    </a:xfrm>
                    <a:prstGeom prst="rect">
                      <a:avLst/>
                    </a:prstGeom>
                  </pic:spPr>
                </pic:pic>
              </a:graphicData>
            </a:graphic>
          </wp:inline>
        </w:drawing>
      </w:r>
    </w:p>
    <w:p w:rsidR="004659AD" w:rsidRPr="00642432" w:rsidRDefault="004659AD" w:rsidP="00CB6073">
      <w:pPr>
        <w:pStyle w:val="Source"/>
      </w:pPr>
      <w:r w:rsidRPr="00642432">
        <w:t>Source: National Mental Health Consumer Satisfaction Survey 2012/13</w:t>
      </w:r>
    </w:p>
    <w:p w:rsidR="004659AD" w:rsidRPr="00642432" w:rsidRDefault="004659AD" w:rsidP="00CB6073"/>
    <w:p w:rsidR="004659AD" w:rsidRPr="00642432" w:rsidRDefault="004659AD" w:rsidP="00CB6073">
      <w:r w:rsidRPr="00642432">
        <w:t>In addition to overall satisfaction, other results were</w:t>
      </w:r>
      <w:r w:rsidR="00D32DDD" w:rsidRPr="00642432">
        <w:t xml:space="preserve"> </w:t>
      </w:r>
      <w:r w:rsidRPr="00642432">
        <w:t>that:</w:t>
      </w:r>
    </w:p>
    <w:p w:rsidR="004659AD" w:rsidRPr="00642432" w:rsidRDefault="004659AD" w:rsidP="00CB6073">
      <w:pPr>
        <w:pStyle w:val="Bullet"/>
      </w:pPr>
      <w:r w:rsidRPr="00642432">
        <w:t>61 percent of respondents agreed with the statement ‘as a result of the services I have received, I feel that I do better in my personal relationships’</w:t>
      </w:r>
    </w:p>
    <w:p w:rsidR="004659AD" w:rsidRPr="00642432" w:rsidRDefault="004659AD" w:rsidP="00CB6073">
      <w:pPr>
        <w:pStyle w:val="Bullet"/>
      </w:pPr>
      <w:r w:rsidRPr="00642432">
        <w:t>82 percent agreed that ‘I feel comfortable asking questions about my medication and treatment’</w:t>
      </w:r>
    </w:p>
    <w:p w:rsidR="004659AD" w:rsidRPr="00642432" w:rsidRDefault="004659AD" w:rsidP="00CB6073">
      <w:pPr>
        <w:pStyle w:val="Bullet"/>
      </w:pPr>
      <w:r w:rsidRPr="00642432">
        <w:t>80 percent agreed that ‘staff have helped me to remain living in the community’</w:t>
      </w:r>
    </w:p>
    <w:p w:rsidR="004659AD" w:rsidRPr="00642432" w:rsidRDefault="004659AD" w:rsidP="00CB6073">
      <w:pPr>
        <w:pStyle w:val="Bullet"/>
      </w:pPr>
      <w:r w:rsidRPr="00642432">
        <w:t>85 percent agreed that ‘there is at least one</w:t>
      </w:r>
      <w:r w:rsidR="00D32DDD" w:rsidRPr="00642432">
        <w:t xml:space="preserve"> </w:t>
      </w:r>
      <w:r w:rsidRPr="00642432">
        <w:t>member of staff who</w:t>
      </w:r>
      <w:r w:rsidR="00D32DDD" w:rsidRPr="00642432">
        <w:t xml:space="preserve"> </w:t>
      </w:r>
      <w:r w:rsidRPr="00642432">
        <w:t>believes in me’.</w:t>
      </w:r>
    </w:p>
    <w:p w:rsidR="004659AD" w:rsidRPr="00642432" w:rsidRDefault="004659AD" w:rsidP="00CB6073"/>
    <w:p w:rsidR="004659AD" w:rsidRPr="00642432" w:rsidRDefault="004659AD" w:rsidP="00CB6073">
      <w:pPr>
        <w:pStyle w:val="Heading2"/>
      </w:pPr>
      <w:bookmarkStart w:id="28" w:name="_Toc405113666"/>
      <w:r w:rsidRPr="00642432">
        <w:t>Waiting times</w:t>
      </w:r>
      <w:bookmarkEnd w:id="28"/>
    </w:p>
    <w:p w:rsidR="004659AD" w:rsidRPr="00642432" w:rsidRDefault="004659AD" w:rsidP="00527EB4">
      <w:r w:rsidRPr="00642432">
        <w:t>Waiting times are a measure of how long</w:t>
      </w:r>
      <w:r w:rsidR="00D32DDD" w:rsidRPr="00642432">
        <w:t xml:space="preserve"> </w:t>
      </w:r>
      <w:r w:rsidRPr="00642432">
        <w:t>‘new’ clients wait</w:t>
      </w:r>
      <w:r w:rsidR="00D32DDD" w:rsidRPr="00642432">
        <w:t xml:space="preserve"> </w:t>
      </w:r>
      <w:r w:rsidRPr="00642432">
        <w:t>to been seen by mental health and addiction services. ‘New’ clients are defined as people who</w:t>
      </w:r>
      <w:r w:rsidR="00D32DDD" w:rsidRPr="00642432">
        <w:t xml:space="preserve"> </w:t>
      </w:r>
      <w:r w:rsidRPr="00642432">
        <w:t>have not accessed mental health or addiction services in the past year.</w:t>
      </w:r>
    </w:p>
    <w:p w:rsidR="004659AD" w:rsidRPr="00642432" w:rsidRDefault="004659AD" w:rsidP="00527EB4"/>
    <w:p w:rsidR="004659AD" w:rsidRPr="00642432" w:rsidRDefault="004659AD" w:rsidP="00527EB4">
      <w:r w:rsidRPr="00642432">
        <w:t>Waiting times reflect the length of time between the day when a person is referred to a mental health or addiction service and the day when the person is first seen by the service.</w:t>
      </w:r>
    </w:p>
    <w:p w:rsidR="004659AD" w:rsidRPr="00642432" w:rsidRDefault="004659AD" w:rsidP="00527EB4"/>
    <w:p w:rsidR="004659AD" w:rsidRPr="00642432" w:rsidRDefault="004659AD" w:rsidP="00527EB4">
      <w:r w:rsidRPr="00642432">
        <w:t>By 30 June 2015, DHBs are required to meet a sector-wide target where 80 percent of people referred for non-urgent mental health or addiction services are seen within three weeks, and 95</w:t>
      </w:r>
      <w:r w:rsidR="00527EB4">
        <w:t> </w:t>
      </w:r>
      <w:r w:rsidRPr="00642432">
        <w:t>percent of people are seen within eight weeks.</w:t>
      </w:r>
    </w:p>
    <w:p w:rsidR="004659AD" w:rsidRPr="00642432" w:rsidRDefault="004659AD" w:rsidP="00527EB4"/>
    <w:p w:rsidR="004659AD" w:rsidRPr="00642432" w:rsidRDefault="004659AD" w:rsidP="00527EB4">
      <w:r w:rsidRPr="00642432">
        <w:t>The sector continues to approach this goal. In the 2012/13 fiscal</w:t>
      </w:r>
      <w:r w:rsidR="00D32DDD" w:rsidRPr="00642432">
        <w:t xml:space="preserve"> </w:t>
      </w:r>
      <w:r w:rsidRPr="00642432">
        <w:t>year, 78 percent of all clients of mental health and addiction services were</w:t>
      </w:r>
      <w:r w:rsidR="00D32DDD" w:rsidRPr="00642432">
        <w:t xml:space="preserve"> </w:t>
      </w:r>
      <w:r w:rsidRPr="00642432">
        <w:t>seen within three weeks and 93 percent were</w:t>
      </w:r>
      <w:r w:rsidR="00D32DDD" w:rsidRPr="00642432">
        <w:t xml:space="preserve"> </w:t>
      </w:r>
      <w:r w:rsidRPr="00642432">
        <w:t>seen within eight weeks (Figure 4).</w:t>
      </w:r>
    </w:p>
    <w:p w:rsidR="004659AD" w:rsidRPr="00642432" w:rsidRDefault="004659AD" w:rsidP="00527EB4"/>
    <w:p w:rsidR="004659AD" w:rsidRPr="00642432" w:rsidRDefault="004659AD" w:rsidP="00527EB4">
      <w:pPr>
        <w:pStyle w:val="Figure"/>
      </w:pPr>
      <w:bookmarkStart w:id="29" w:name="_Toc405113758"/>
      <w:r w:rsidRPr="00642432">
        <w:t>Figure 4: Percentage of people seen by mental health and addiction services within three and eight weeks, 2012/13 fiscal year</w:t>
      </w:r>
      <w:bookmarkEnd w:id="29"/>
    </w:p>
    <w:p w:rsidR="004659AD" w:rsidRPr="00642432" w:rsidRDefault="00527EB4" w:rsidP="00527EB4">
      <w:r w:rsidRPr="00527EB4">
        <w:rPr>
          <w:noProof/>
          <w:lang w:eastAsia="en-NZ"/>
        </w:rPr>
        <w:drawing>
          <wp:inline distT="0" distB="0" distL="0" distR="0" wp14:anchorId="5D166BCF" wp14:editId="4032BAE4">
            <wp:extent cx="4330930" cy="1532483"/>
            <wp:effectExtent l="0" t="0" r="0" b="0"/>
            <wp:docPr id="5540" name="Picture 5540" title="Figure 4: Percentage of people seen by mental health and addiction services within three and eight weeks, 2012/13 fisc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grayscl/>
                    </a:blip>
                    <a:stretch>
                      <a:fillRect/>
                    </a:stretch>
                  </pic:blipFill>
                  <pic:spPr>
                    <a:xfrm>
                      <a:off x="0" y="0"/>
                      <a:ext cx="4332716" cy="1533115"/>
                    </a:xfrm>
                    <a:prstGeom prst="rect">
                      <a:avLst/>
                    </a:prstGeom>
                  </pic:spPr>
                </pic:pic>
              </a:graphicData>
            </a:graphic>
          </wp:inline>
        </w:drawing>
      </w:r>
    </w:p>
    <w:p w:rsidR="004659AD" w:rsidRPr="00642432" w:rsidRDefault="004659AD" w:rsidP="00527EB4">
      <w:pPr>
        <w:pStyle w:val="Source"/>
      </w:pPr>
      <w:r w:rsidRPr="00642432">
        <w:t>Source: PRIMHD data, extracted on 25 September 2013</w:t>
      </w:r>
    </w:p>
    <w:p w:rsidR="004659AD" w:rsidRPr="00642432" w:rsidRDefault="004659AD" w:rsidP="00527EB4"/>
    <w:p w:rsidR="004659AD" w:rsidRPr="00642432" w:rsidRDefault="004659AD" w:rsidP="00527EB4">
      <w:pPr>
        <w:pStyle w:val="Heading2"/>
      </w:pPr>
      <w:bookmarkStart w:id="30" w:name="_Toc405113667"/>
      <w:r w:rsidRPr="00642432">
        <w:t>Relapse prevention plans</w:t>
      </w:r>
      <w:bookmarkEnd w:id="30"/>
    </w:p>
    <w:p w:rsidR="004659AD" w:rsidRPr="00642432" w:rsidRDefault="001A70B3" w:rsidP="001A70B3">
      <w:r>
        <w:t>I</w:t>
      </w:r>
      <w:r w:rsidR="004659AD" w:rsidRPr="00642432">
        <w:t>n 2007, the Director-General of Health introduced a health target requiring that at least 95</w:t>
      </w:r>
      <w:r w:rsidR="003931E5">
        <w:t> </w:t>
      </w:r>
      <w:r w:rsidR="004659AD" w:rsidRPr="00642432">
        <w:t>percent</w:t>
      </w:r>
      <w:r>
        <w:t xml:space="preserve"> </w:t>
      </w:r>
      <w:r w:rsidR="004659AD" w:rsidRPr="00642432">
        <w:t>of people who</w:t>
      </w:r>
      <w:r w:rsidR="00D32DDD" w:rsidRPr="00642432">
        <w:t xml:space="preserve"> </w:t>
      </w:r>
      <w:r w:rsidR="004659AD" w:rsidRPr="00642432">
        <w:t>have used mental health and addiction services for over</w:t>
      </w:r>
      <w:r w:rsidR="00D32DDD" w:rsidRPr="00642432">
        <w:t xml:space="preserve"> </w:t>
      </w:r>
      <w:r w:rsidR="004659AD" w:rsidRPr="00642432">
        <w:t>two years must have a relapse prevention plan.</w:t>
      </w:r>
    </w:p>
    <w:p w:rsidR="004659AD" w:rsidRPr="00642432" w:rsidRDefault="004659AD" w:rsidP="001A70B3"/>
    <w:p w:rsidR="004659AD" w:rsidRPr="00642432" w:rsidRDefault="004659AD" w:rsidP="001A70B3">
      <w:r w:rsidRPr="00642432">
        <w:t>In summary, in 2013:</w:t>
      </w:r>
    </w:p>
    <w:p w:rsidR="004659AD" w:rsidRPr="00642432" w:rsidRDefault="004659AD" w:rsidP="001A70B3">
      <w:pPr>
        <w:pStyle w:val="Bullet"/>
      </w:pPr>
      <w:r w:rsidRPr="00642432">
        <w:t>91 percent of long-term service users across the country had a relapse prevention plan, up from</w:t>
      </w:r>
      <w:r w:rsidR="001A70B3">
        <w:t xml:space="preserve"> </w:t>
      </w:r>
      <w:r w:rsidRPr="00642432">
        <w:t>59 percent in 2007</w:t>
      </w:r>
      <w:r w:rsidR="00D32DDD" w:rsidRPr="00642432">
        <w:t xml:space="preserve"> </w:t>
      </w:r>
      <w:r w:rsidRPr="00642432">
        <w:t>(Figure 5)</w:t>
      </w:r>
    </w:p>
    <w:p w:rsidR="004659AD" w:rsidRPr="00642432" w:rsidRDefault="004659AD" w:rsidP="001A70B3">
      <w:pPr>
        <w:pStyle w:val="Bullet"/>
      </w:pPr>
      <w:r w:rsidRPr="00642432">
        <w:t>6 of the 20 DHBs achieved the 95 percent target.</w:t>
      </w:r>
    </w:p>
    <w:p w:rsidR="004659AD" w:rsidRPr="00642432" w:rsidRDefault="004659AD" w:rsidP="001A70B3"/>
    <w:p w:rsidR="004659AD" w:rsidRPr="00642432" w:rsidRDefault="004659AD" w:rsidP="001A70B3">
      <w:r w:rsidRPr="00642432">
        <w:t>A relapse prevention plan identifies the early warning signs for a person. It identifies what the person can</w:t>
      </w:r>
      <w:r w:rsidR="00D32DDD" w:rsidRPr="00642432">
        <w:t xml:space="preserve"> </w:t>
      </w:r>
      <w:r w:rsidRPr="00642432">
        <w:t>do for themselves and what the service will do to support them.</w:t>
      </w:r>
    </w:p>
    <w:p w:rsidR="004659AD" w:rsidRPr="00642432" w:rsidRDefault="004659AD" w:rsidP="001A70B3"/>
    <w:p w:rsidR="004659AD" w:rsidRPr="00642432" w:rsidRDefault="004659AD" w:rsidP="001A70B3">
      <w:pPr>
        <w:pStyle w:val="Box"/>
      </w:pPr>
      <w:r w:rsidRPr="00642432">
        <w:t>In 2013, 91 percent of long-term service users across the country had a relapse prevention plan, up from 59 percent in 2007.</w:t>
      </w:r>
    </w:p>
    <w:p w:rsidR="004659AD" w:rsidRPr="00642432" w:rsidRDefault="004659AD" w:rsidP="001A70B3"/>
    <w:p w:rsidR="004659AD" w:rsidRPr="00642432" w:rsidRDefault="004659AD" w:rsidP="001A70B3">
      <w:r w:rsidRPr="00642432">
        <w:t>Ideally, the person will develop their own</w:t>
      </w:r>
      <w:r w:rsidR="00D32DDD" w:rsidRPr="00642432">
        <w:t xml:space="preserve"> </w:t>
      </w:r>
      <w:r w:rsidRPr="00642432">
        <w:t>plan with support from their clinician and their family and whānau. The plan represents an agreement between parties. Each plan will vary according to the individual involved. Each person will know of (and ideally have a copy of ) their plan.</w:t>
      </w:r>
    </w:p>
    <w:p w:rsidR="004659AD" w:rsidRPr="00642432" w:rsidRDefault="004659AD" w:rsidP="001A70B3"/>
    <w:p w:rsidR="004659AD" w:rsidRPr="00642432" w:rsidRDefault="004659AD" w:rsidP="001A70B3">
      <w:r w:rsidRPr="00642432">
        <w:t>DHBs reported twice during 2013. The first reporting period covered 1 January to 30 June and the second 1 July to 31 December. Figure 6 shows the results of DHBs’ reporting for the 2013 calendar year. During 2013, 6 of the 20 DHBs achieved the 95 percent target for both reporting periods.</w:t>
      </w:r>
    </w:p>
    <w:p w:rsidR="004659AD" w:rsidRPr="00642432" w:rsidRDefault="004659AD" w:rsidP="001A70B3"/>
    <w:p w:rsidR="004659AD" w:rsidRDefault="004659AD" w:rsidP="001A70B3">
      <w:pPr>
        <w:pStyle w:val="Figure"/>
      </w:pPr>
      <w:bookmarkStart w:id="31" w:name="_Toc405113759"/>
      <w:r w:rsidRPr="00642432">
        <w:t>Figure 5: Percentage of long-term service users with a relapse prevention plan, 2007</w:t>
      </w:r>
      <w:r w:rsidR="001A70B3">
        <w:t> </w:t>
      </w:r>
      <w:r w:rsidRPr="00642432">
        <w:t>to</w:t>
      </w:r>
      <w:r w:rsidR="001A70B3">
        <w:t> </w:t>
      </w:r>
      <w:r w:rsidRPr="00642432">
        <w:t>2013</w:t>
      </w:r>
      <w:bookmarkEnd w:id="31"/>
    </w:p>
    <w:p w:rsidR="001A70B3" w:rsidRPr="001A70B3" w:rsidRDefault="001A70B3" w:rsidP="001A70B3">
      <w:r w:rsidRPr="001A70B3">
        <w:rPr>
          <w:noProof/>
          <w:lang w:eastAsia="en-NZ"/>
        </w:rPr>
        <w:drawing>
          <wp:inline distT="0" distB="0" distL="0" distR="0" wp14:anchorId="591C274C" wp14:editId="281C830D">
            <wp:extent cx="4397433" cy="2521702"/>
            <wp:effectExtent l="0" t="0" r="3175" b="0"/>
            <wp:docPr id="5541" name="Picture 5541" title="Figure 5: Percentage of long-term service users with a relapse prevention plan, 2007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grayscl/>
                    </a:blip>
                    <a:stretch>
                      <a:fillRect/>
                    </a:stretch>
                  </pic:blipFill>
                  <pic:spPr>
                    <a:xfrm>
                      <a:off x="0" y="0"/>
                      <a:ext cx="4399821" cy="2523071"/>
                    </a:xfrm>
                    <a:prstGeom prst="rect">
                      <a:avLst/>
                    </a:prstGeom>
                  </pic:spPr>
                </pic:pic>
              </a:graphicData>
            </a:graphic>
          </wp:inline>
        </w:drawing>
      </w:r>
    </w:p>
    <w:p w:rsidR="004659AD" w:rsidRPr="00642432" w:rsidRDefault="004659AD" w:rsidP="001A70B3">
      <w:pPr>
        <w:pStyle w:val="Source"/>
      </w:pPr>
      <w:r w:rsidRPr="00642432">
        <w:t>Source: DHB quarterly reporting data</w:t>
      </w:r>
    </w:p>
    <w:p w:rsidR="004659AD" w:rsidRPr="00642432" w:rsidRDefault="004659AD" w:rsidP="001A70B3"/>
    <w:p w:rsidR="004659AD" w:rsidRDefault="004659AD" w:rsidP="001A70B3">
      <w:pPr>
        <w:pStyle w:val="Figure"/>
      </w:pPr>
      <w:bookmarkStart w:id="32" w:name="_Toc405113760"/>
      <w:r w:rsidRPr="00642432">
        <w:t>Figure 6: Percentage of service users with a relapse prevention plan, by DHB, 1 January to</w:t>
      </w:r>
      <w:r w:rsidR="001A70B3">
        <w:t xml:space="preserve"> </w:t>
      </w:r>
      <w:r w:rsidRPr="00642432">
        <w:t>31</w:t>
      </w:r>
      <w:r w:rsidR="001A70B3">
        <w:t> </w:t>
      </w:r>
      <w:r w:rsidRPr="00642432">
        <w:t>December 2013</w:t>
      </w:r>
      <w:bookmarkEnd w:id="32"/>
    </w:p>
    <w:p w:rsidR="001A70B3" w:rsidRPr="001A70B3" w:rsidRDefault="001A70B3" w:rsidP="001A70B3">
      <w:r w:rsidRPr="001A70B3">
        <w:rPr>
          <w:noProof/>
          <w:lang w:eastAsia="en-NZ"/>
        </w:rPr>
        <w:drawing>
          <wp:inline distT="0" distB="0" distL="0" distR="0" wp14:anchorId="6F7C8CCC" wp14:editId="18327116">
            <wp:extent cx="5290100" cy="3059084"/>
            <wp:effectExtent l="0" t="0" r="6350" b="8255"/>
            <wp:docPr id="5542" name="Picture 5542" title="Figure 6: Percentage of service users with a relapse prevention plan, by DHB, 1 January to 31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grayscl/>
                    </a:blip>
                    <a:stretch>
                      <a:fillRect/>
                    </a:stretch>
                  </pic:blipFill>
                  <pic:spPr>
                    <a:xfrm>
                      <a:off x="0" y="0"/>
                      <a:ext cx="5291020" cy="3059616"/>
                    </a:xfrm>
                    <a:prstGeom prst="rect">
                      <a:avLst/>
                    </a:prstGeom>
                  </pic:spPr>
                </pic:pic>
              </a:graphicData>
            </a:graphic>
          </wp:inline>
        </w:drawing>
      </w:r>
    </w:p>
    <w:p w:rsidR="004659AD" w:rsidRPr="00642432" w:rsidRDefault="004659AD" w:rsidP="001A70B3">
      <w:pPr>
        <w:pStyle w:val="Source"/>
      </w:pPr>
      <w:r w:rsidRPr="00642432">
        <w:t>Source: DHB quarterly reporting data</w:t>
      </w:r>
    </w:p>
    <w:p w:rsidR="004659AD" w:rsidRPr="00642432" w:rsidRDefault="004659AD" w:rsidP="001A70B3"/>
    <w:p w:rsidR="004659AD" w:rsidRPr="00642432" w:rsidRDefault="004659AD" w:rsidP="001A70B3">
      <w:pPr>
        <w:pStyle w:val="Heading2"/>
      </w:pPr>
      <w:bookmarkStart w:id="33" w:name="_Toc405113668"/>
      <w:r w:rsidRPr="00642432">
        <w:t>Use of the Mental Health Act</w:t>
      </w:r>
      <w:bookmarkEnd w:id="33"/>
    </w:p>
    <w:p w:rsidR="004659AD" w:rsidRPr="00642432" w:rsidRDefault="004659AD" w:rsidP="008D2336">
      <w:pPr>
        <w:keepNext/>
      </w:pPr>
      <w:r w:rsidRPr="00642432">
        <w:t>The Mental Health Act defines the circumstances under which people may be subject to compulsory mental health assessment and treatment. It provides a framework for balancing personal rights and the public interest when a person has</w:t>
      </w:r>
      <w:r w:rsidR="00D32DDD" w:rsidRPr="00642432">
        <w:t xml:space="preserve"> </w:t>
      </w:r>
      <w:r w:rsidRPr="00642432">
        <w:t>a diminished capacity to care for themselves or poses a serious danger to themselves or others due to mental illness.</w:t>
      </w:r>
    </w:p>
    <w:p w:rsidR="004659AD" w:rsidRPr="00642432" w:rsidRDefault="004659AD" w:rsidP="008D2336">
      <w:pPr>
        <w:keepNext/>
        <w:spacing w:before="9" w:line="220" w:lineRule="exact"/>
      </w:pPr>
    </w:p>
    <w:p w:rsidR="004659AD" w:rsidRPr="00642432" w:rsidRDefault="004659AD" w:rsidP="008D2336">
      <w:pPr>
        <w:keepNext/>
      </w:pPr>
      <w:r w:rsidRPr="00642432">
        <w:t>In summary, in 2013:</w:t>
      </w:r>
    </w:p>
    <w:p w:rsidR="004659AD" w:rsidRPr="00642432" w:rsidRDefault="004659AD" w:rsidP="008D2336">
      <w:pPr>
        <w:pStyle w:val="Bullet"/>
        <w:keepNext/>
      </w:pPr>
      <w:r w:rsidRPr="00642432">
        <w:t>10,270 people (approximately 8 percent of specialist mental health service users) came into contact with the Mental Health Act</w:t>
      </w:r>
    </w:p>
    <w:p w:rsidR="004659AD" w:rsidRPr="00642432" w:rsidRDefault="004659AD" w:rsidP="008D2336">
      <w:pPr>
        <w:pStyle w:val="Bullet"/>
      </w:pPr>
      <w:r w:rsidRPr="00642432">
        <w:t>on a given day in the year, approximately 6340 people were</w:t>
      </w:r>
      <w:r w:rsidR="00D32DDD" w:rsidRPr="00642432">
        <w:t xml:space="preserve"> </w:t>
      </w:r>
      <w:r w:rsidRPr="00642432">
        <w:t>subject to either compulsory assessment or compulsory treatment under the Mental Health Act</w:t>
      </w:r>
    </w:p>
    <w:p w:rsidR="004659AD" w:rsidRPr="00642432" w:rsidRDefault="004659AD" w:rsidP="008D2336">
      <w:pPr>
        <w:pStyle w:val="Bullet"/>
      </w:pPr>
      <w:r w:rsidRPr="00642432">
        <w:t>use of the Mental Health Act varied across district health boards</w:t>
      </w:r>
    </w:p>
    <w:p w:rsidR="004659AD" w:rsidRPr="00642432" w:rsidRDefault="004659AD" w:rsidP="008D2336">
      <w:pPr>
        <w:pStyle w:val="Bullet"/>
      </w:pPr>
      <w:r w:rsidRPr="00642432">
        <w:t>males were</w:t>
      </w:r>
      <w:r w:rsidR="00D32DDD" w:rsidRPr="00642432">
        <w:t xml:space="preserve"> </w:t>
      </w:r>
      <w:r w:rsidRPr="00642432">
        <w:t>more likely to be subject to the Mental Health Act than females</w:t>
      </w:r>
    </w:p>
    <w:p w:rsidR="004659AD" w:rsidRPr="00642432" w:rsidRDefault="004659AD" w:rsidP="008D2336">
      <w:pPr>
        <w:pStyle w:val="Bullet"/>
      </w:pPr>
      <w:r w:rsidRPr="00642432">
        <w:t>people aged 25 to 34 years were</w:t>
      </w:r>
      <w:r w:rsidR="00D32DDD" w:rsidRPr="00642432">
        <w:t xml:space="preserve"> </w:t>
      </w:r>
      <w:r w:rsidRPr="00642432">
        <w:t>the most likely to be subject to compulsory treatment, and people over</w:t>
      </w:r>
      <w:r w:rsidR="00D32DDD" w:rsidRPr="00642432">
        <w:t xml:space="preserve"> </w:t>
      </w:r>
      <w:r w:rsidRPr="00642432">
        <w:t>65 years of age were</w:t>
      </w:r>
      <w:r w:rsidR="00D32DDD" w:rsidRPr="00642432">
        <w:t xml:space="preserve"> </w:t>
      </w:r>
      <w:r w:rsidRPr="00642432">
        <w:t>the least likely</w:t>
      </w:r>
    </w:p>
    <w:p w:rsidR="004659AD" w:rsidRPr="00642432" w:rsidRDefault="004659AD" w:rsidP="008D2336">
      <w:pPr>
        <w:pStyle w:val="Bullet"/>
      </w:pPr>
      <w:r w:rsidRPr="00642432">
        <w:t>Māori were</w:t>
      </w:r>
      <w:r w:rsidR="00D32DDD" w:rsidRPr="00642432">
        <w:t xml:space="preserve"> </w:t>
      </w:r>
      <w:r w:rsidRPr="00642432">
        <w:t>more likely to be under the Mental Health Act than non-Māori.</w:t>
      </w:r>
    </w:p>
    <w:p w:rsidR="004659AD" w:rsidRPr="00642432" w:rsidRDefault="004659AD" w:rsidP="008D2336"/>
    <w:p w:rsidR="004659AD" w:rsidRPr="00642432" w:rsidRDefault="004659AD" w:rsidP="008D2336">
      <w:pPr>
        <w:pStyle w:val="Heading3"/>
      </w:pPr>
      <w:r w:rsidRPr="00642432">
        <w:t>The Mental Health Act process</w:t>
      </w:r>
    </w:p>
    <w:p w:rsidR="004659AD" w:rsidRPr="00642432" w:rsidRDefault="004659AD" w:rsidP="008D2336">
      <w:r w:rsidRPr="00642432">
        <w:t>The compulsory assessment and treatment process begins with a referral and an initial assessment by a psychiatrist. If the psychiatrist believes a person fits the criteria for the Mental Health Act and needs to be further assessed, the person will become subject to compulsory assessment under the Mental Health Act.</w:t>
      </w:r>
    </w:p>
    <w:p w:rsidR="004659AD" w:rsidRPr="00642432" w:rsidRDefault="004659AD" w:rsidP="008D2336"/>
    <w:p w:rsidR="004659AD" w:rsidRPr="00642432" w:rsidRDefault="004659AD" w:rsidP="008D2336">
      <w:pPr>
        <w:pStyle w:val="Heading4"/>
      </w:pPr>
      <w:r w:rsidRPr="00642432">
        <w:t>Compulsory assessment</w:t>
      </w:r>
    </w:p>
    <w:p w:rsidR="004659AD" w:rsidRPr="00642432" w:rsidRDefault="004659AD" w:rsidP="008D2336">
      <w:r w:rsidRPr="00642432">
        <w:t>Compulsory assessment can</w:t>
      </w:r>
      <w:r w:rsidR="00D32DDD" w:rsidRPr="00642432">
        <w:t xml:space="preserve"> </w:t>
      </w:r>
      <w:r w:rsidRPr="00642432">
        <w:t>take place in either a community or a hospital setting. There are two periods of compulsory assessment, during which a person’s clinician may release them from assessment at any time.</w:t>
      </w:r>
    </w:p>
    <w:p w:rsidR="004659AD" w:rsidRPr="00642432" w:rsidRDefault="004659AD" w:rsidP="008D2336"/>
    <w:p w:rsidR="004659AD" w:rsidRPr="00642432" w:rsidRDefault="004659AD" w:rsidP="008D2336">
      <w:r w:rsidRPr="00642432">
        <w:t>During the assessment period, people are obliged to receive treatment as prescribed by their responsible clinician.</w:t>
      </w:r>
    </w:p>
    <w:p w:rsidR="004659AD" w:rsidRPr="00642432" w:rsidRDefault="004659AD" w:rsidP="008D2336"/>
    <w:p w:rsidR="004659AD" w:rsidRPr="00642432" w:rsidRDefault="004659AD" w:rsidP="008D2336">
      <w:r w:rsidRPr="00642432">
        <w:t>The first period (section 11 of the Mental Health Act) is for up to five days. The second period (section 13) can</w:t>
      </w:r>
      <w:r w:rsidR="00D32DDD" w:rsidRPr="00642432">
        <w:t xml:space="preserve"> </w:t>
      </w:r>
      <w:r w:rsidRPr="00642432">
        <w:t>last up to 14 days.</w:t>
      </w:r>
    </w:p>
    <w:p w:rsidR="004659AD" w:rsidRPr="00642432" w:rsidRDefault="004659AD" w:rsidP="008D2336"/>
    <w:p w:rsidR="004659AD" w:rsidRDefault="004659AD" w:rsidP="008D2336">
      <w:r w:rsidRPr="00642432">
        <w:t>Following the first two assessment periods, an application can</w:t>
      </w:r>
      <w:r w:rsidR="00D32DDD" w:rsidRPr="00642432">
        <w:t xml:space="preserve"> </w:t>
      </w:r>
      <w:r w:rsidRPr="00642432">
        <w:t>be made to the Family</w:t>
      </w:r>
      <w:r w:rsidR="008D2336">
        <w:t xml:space="preserve"> </w:t>
      </w:r>
      <w:r w:rsidRPr="00642432">
        <w:t>or District Court (section 14(4)) to place the person on a compulsory treatment order.</w:t>
      </w:r>
    </w:p>
    <w:p w:rsidR="008D2336" w:rsidRDefault="008D2336" w:rsidP="008D2336"/>
    <w:p w:rsidR="008D2336" w:rsidRDefault="008D2336" w:rsidP="008D2336">
      <w:r>
        <w:t xml:space="preserve">A judicial review </w:t>
      </w:r>
      <w:r w:rsidRPr="00642432">
        <w:t>consists of a hearing in the District Court. Based on information provided by clinicians, a judge will decide whether the person should continue to be compulsorily assessed</w:t>
      </w:r>
      <w:r>
        <w:t>.</w:t>
      </w:r>
    </w:p>
    <w:p w:rsidR="008D2336" w:rsidRDefault="008D2336" w:rsidP="008D2336"/>
    <w:p w:rsidR="008D2336" w:rsidRDefault="008D2336" w:rsidP="008D2336">
      <w:r w:rsidRPr="00642432">
        <w:t>During 2013, there were approximately 1157</w:t>
      </w:r>
      <w:r>
        <w:t> </w:t>
      </w:r>
      <w:r w:rsidRPr="00642432">
        <w:t>applications considered under section 16 of the Mental Health Act. Of this total, an order for release of the person from compulsory status was issued in 35 cases (5.3 percent of the applications that proceeded to hearings).</w:t>
      </w:r>
      <w:r>
        <w:rPr>
          <w:rStyle w:val="FootnoteReference"/>
        </w:rPr>
        <w:footnoteReference w:id="4"/>
      </w:r>
    </w:p>
    <w:p w:rsidR="008D2336" w:rsidRDefault="008D2336" w:rsidP="008D2336"/>
    <w:p w:rsidR="0001390D" w:rsidRPr="00642432" w:rsidRDefault="0001390D" w:rsidP="0001390D">
      <w:pPr>
        <w:pStyle w:val="Box"/>
      </w:pPr>
      <w:r w:rsidRPr="00642432">
        <w:t>The Mental Health Act provides a framework for balancing personal rights and the public interest when a person has a diminished capacity to care for themselves or poses a serious danger to themselves or others due to mental illness.</w:t>
      </w:r>
    </w:p>
    <w:p w:rsidR="0001390D" w:rsidRPr="00642432" w:rsidRDefault="0001390D" w:rsidP="0001390D">
      <w:r w:rsidRPr="008D2336">
        <w:rPr>
          <w:noProof/>
          <w:lang w:eastAsia="en-NZ"/>
        </w:rPr>
        <w:drawing>
          <wp:anchor distT="0" distB="0" distL="114300" distR="0" simplePos="0" relativeHeight="251984896" behindDoc="0" locked="0" layoutInCell="1" allowOverlap="1" wp14:anchorId="010C306C" wp14:editId="4BAA3CFB">
            <wp:simplePos x="0" y="0"/>
            <wp:positionH relativeFrom="column">
              <wp:posOffset>2856865</wp:posOffset>
            </wp:positionH>
            <wp:positionV relativeFrom="page">
              <wp:posOffset>1495425</wp:posOffset>
            </wp:positionV>
            <wp:extent cx="3056255" cy="4538345"/>
            <wp:effectExtent l="0" t="0" r="0" b="0"/>
            <wp:wrapSquare wrapText="left"/>
            <wp:docPr id="5543" name="Picture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grayscl/>
                      <a:extLst>
                        <a:ext uri="{28A0092B-C50C-407E-A947-70E740481C1C}">
                          <a14:useLocalDpi xmlns:a14="http://schemas.microsoft.com/office/drawing/2010/main" val="0"/>
                        </a:ext>
                      </a:extLst>
                    </a:blip>
                    <a:stretch>
                      <a:fillRect/>
                    </a:stretch>
                  </pic:blipFill>
                  <pic:spPr>
                    <a:xfrm>
                      <a:off x="0" y="0"/>
                      <a:ext cx="3056255" cy="4538345"/>
                    </a:xfrm>
                    <a:prstGeom prst="rect">
                      <a:avLst/>
                    </a:prstGeom>
                  </pic:spPr>
                </pic:pic>
              </a:graphicData>
            </a:graphic>
            <wp14:sizeRelH relativeFrom="margin">
              <wp14:pctWidth>0</wp14:pctWidth>
            </wp14:sizeRelH>
            <wp14:sizeRelV relativeFrom="margin">
              <wp14:pctHeight>0</wp14:pctHeight>
            </wp14:sizeRelV>
          </wp:anchor>
        </w:drawing>
      </w:r>
    </w:p>
    <w:p w:rsidR="004659AD" w:rsidRPr="00642432" w:rsidRDefault="004659AD" w:rsidP="00EE2F60">
      <w:pPr>
        <w:pStyle w:val="Heading4"/>
      </w:pPr>
      <w:r w:rsidRPr="00642432">
        <w:t>Compulsory treatment</w:t>
      </w:r>
    </w:p>
    <w:p w:rsidR="004659AD" w:rsidRPr="00642432" w:rsidRDefault="004659AD" w:rsidP="003A7EFC">
      <w:r w:rsidRPr="00642432">
        <w:t>There are two types of compulsory treatment orders. One is for treatment in the community (a section</w:t>
      </w:r>
      <w:r w:rsidR="00A8075F">
        <w:t xml:space="preserve"> </w:t>
      </w:r>
      <w:r w:rsidRPr="00642432">
        <w:t>29 order) and the other is for treatment in an inpatient unit (a section 30 order). An inpatient treatment order can</w:t>
      </w:r>
      <w:r w:rsidR="00D32DDD" w:rsidRPr="00642432">
        <w:t xml:space="preserve"> </w:t>
      </w:r>
      <w:r w:rsidRPr="00642432">
        <w:t>be converted into a community treatment order at any</w:t>
      </w:r>
      <w:r w:rsidR="00D32DDD" w:rsidRPr="00642432">
        <w:t xml:space="preserve"> </w:t>
      </w:r>
      <w:r w:rsidRPr="00642432">
        <w:t>time by the person’s responsible</w:t>
      </w:r>
      <w:r w:rsidR="003A7EFC">
        <w:t xml:space="preserve"> </w:t>
      </w:r>
      <w:r w:rsidRPr="00642432">
        <w:t>clinician.</w:t>
      </w:r>
    </w:p>
    <w:p w:rsidR="003A7EFC" w:rsidRDefault="003A7EFC" w:rsidP="003A7EFC"/>
    <w:p w:rsidR="004659AD" w:rsidRPr="00642432" w:rsidRDefault="004659AD" w:rsidP="003A7EFC">
      <w:r w:rsidRPr="00642432">
        <w:t>A responsible clinician may also grant a person leave from the inpatient unit for treatment in the community for up to three months (section 31).</w:t>
      </w:r>
    </w:p>
    <w:p w:rsidR="004659AD" w:rsidRPr="00642432" w:rsidRDefault="004659AD" w:rsidP="003A7EFC"/>
    <w:p w:rsidR="004659AD" w:rsidRPr="00642432" w:rsidRDefault="004659AD" w:rsidP="003A7EFC">
      <w:r w:rsidRPr="00642432">
        <w:t>Most people subject to compulsory treatment access it in the community (approximately 88 percent in 2013) (sections 29 and 31).</w:t>
      </w:r>
    </w:p>
    <w:p w:rsidR="004659AD" w:rsidRPr="00642432" w:rsidRDefault="004659AD" w:rsidP="003A7EFC"/>
    <w:p w:rsidR="004659AD" w:rsidRPr="00642432" w:rsidRDefault="004659AD" w:rsidP="003A7EFC">
      <w:pPr>
        <w:pStyle w:val="Heading3"/>
      </w:pPr>
      <w:r w:rsidRPr="00642432">
        <w:t>Statistics</w:t>
      </w:r>
    </w:p>
    <w:p w:rsidR="004659AD" w:rsidRPr="00D4169E" w:rsidRDefault="004659AD" w:rsidP="00D4169E">
      <w:r w:rsidRPr="00642432">
        <w:t>During 2013, approximately 10,270 people came into contact with the Mental Health Act (approximately 8 percent of all specialist mental health service users in 2013). On average, 6340 people were</w:t>
      </w:r>
      <w:r w:rsidR="00D32DDD" w:rsidRPr="00642432">
        <w:t xml:space="preserve"> </w:t>
      </w:r>
      <w:r w:rsidRPr="00642432">
        <w:t>subject to either compulsory assessment or compulsory treatment on a given day.</w:t>
      </w:r>
      <w:r w:rsidR="003A7EFC">
        <w:rPr>
          <w:rStyle w:val="FootnoteReference"/>
        </w:rPr>
        <w:footnoteReference w:id="5"/>
      </w:r>
    </w:p>
    <w:p w:rsidR="00D4169E" w:rsidRDefault="00D4169E" w:rsidP="00D4169E"/>
    <w:p w:rsidR="004659AD" w:rsidRPr="00D4169E" w:rsidRDefault="004659AD" w:rsidP="00D4169E">
      <w:r w:rsidRPr="00642432">
        <w:t>In New Zealand in each month of 2013, on average:</w:t>
      </w:r>
      <w:r w:rsidR="00D4169E">
        <w:rPr>
          <w:rStyle w:val="FootnoteReference"/>
        </w:rPr>
        <w:footnoteReference w:id="6"/>
      </w:r>
    </w:p>
    <w:p w:rsidR="004659AD" w:rsidRPr="00642432" w:rsidRDefault="00D4169E" w:rsidP="00D4169E">
      <w:r w:rsidRPr="00D4169E">
        <w:rPr>
          <w:noProof/>
          <w:lang w:eastAsia="en-NZ"/>
        </w:rPr>
        <w:drawing>
          <wp:inline distT="0" distB="0" distL="0" distR="0" wp14:anchorId="122532C6" wp14:editId="3819880F">
            <wp:extent cx="4684108" cy="1986742"/>
            <wp:effectExtent l="0" t="0" r="2540" b="0"/>
            <wp:docPr id="5544" name="Picture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grayscl/>
                    </a:blip>
                    <a:stretch>
                      <a:fillRect/>
                    </a:stretch>
                  </pic:blipFill>
                  <pic:spPr>
                    <a:xfrm>
                      <a:off x="0" y="0"/>
                      <a:ext cx="4685680" cy="1987409"/>
                    </a:xfrm>
                    <a:prstGeom prst="rect">
                      <a:avLst/>
                    </a:prstGeom>
                  </pic:spPr>
                </pic:pic>
              </a:graphicData>
            </a:graphic>
          </wp:inline>
        </w:drawing>
      </w:r>
    </w:p>
    <w:p w:rsidR="00D4169E" w:rsidRDefault="00D4169E" w:rsidP="00D4169E"/>
    <w:p w:rsidR="004659AD" w:rsidRPr="00D4169E" w:rsidRDefault="004659AD" w:rsidP="0001390D">
      <w:pPr>
        <w:keepNext/>
      </w:pPr>
      <w:r w:rsidRPr="00642432">
        <w:t>In New Zealand on a given day in 2013, on average:</w:t>
      </w:r>
      <w:r w:rsidR="00D4169E">
        <w:rPr>
          <w:rStyle w:val="FootnoteReference"/>
        </w:rPr>
        <w:footnoteReference w:id="7"/>
      </w:r>
    </w:p>
    <w:p w:rsidR="004659AD" w:rsidRDefault="00D4169E" w:rsidP="00D4169E">
      <w:r w:rsidRPr="00D4169E">
        <w:rPr>
          <w:noProof/>
          <w:lang w:eastAsia="en-NZ"/>
        </w:rPr>
        <w:drawing>
          <wp:inline distT="0" distB="0" distL="0" distR="0" wp14:anchorId="786BA913" wp14:editId="55423EB4">
            <wp:extent cx="4688378" cy="1968017"/>
            <wp:effectExtent l="0" t="0" r="0" b="0"/>
            <wp:docPr id="5545" name="Pictur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grayscl/>
                    </a:blip>
                    <a:stretch>
                      <a:fillRect/>
                    </a:stretch>
                  </pic:blipFill>
                  <pic:spPr>
                    <a:xfrm>
                      <a:off x="0" y="0"/>
                      <a:ext cx="4687934" cy="1967831"/>
                    </a:xfrm>
                    <a:prstGeom prst="rect">
                      <a:avLst/>
                    </a:prstGeom>
                  </pic:spPr>
                </pic:pic>
              </a:graphicData>
            </a:graphic>
          </wp:inline>
        </w:drawing>
      </w:r>
    </w:p>
    <w:p w:rsidR="00D4169E" w:rsidRPr="00642432" w:rsidRDefault="00D4169E" w:rsidP="00D4169E"/>
    <w:p w:rsidR="004659AD" w:rsidRPr="00642432" w:rsidRDefault="004659AD" w:rsidP="00D4169E">
      <w:pPr>
        <w:pStyle w:val="Heading3"/>
      </w:pPr>
      <w:r w:rsidRPr="00642432">
        <w:t>Compulsory assessment and treatment by DHB</w:t>
      </w:r>
    </w:p>
    <w:p w:rsidR="004659AD" w:rsidRPr="00642432" w:rsidRDefault="004659AD" w:rsidP="00D4169E">
      <w:r w:rsidRPr="00642432">
        <w:t>Table 4 shows the average number of people per month required to undergo assessment and treatment for each DHB in 2013. Table 5 shows the average number of people subject to a compulsory treatment order on a given day in 2013, with data again broken down by DHB. The figures that follow</w:t>
      </w:r>
      <w:r w:rsidR="00D32DDD" w:rsidRPr="00642432">
        <w:t xml:space="preserve"> </w:t>
      </w:r>
      <w:r w:rsidRPr="00642432">
        <w:t>also present the average number of people on a compulsory treatment order on a given day, but focus specifically</w:t>
      </w:r>
      <w:r w:rsidR="00D4169E">
        <w:t xml:space="preserve"> </w:t>
      </w:r>
      <w:r w:rsidRPr="00642432">
        <w:t>on community treatment orders (Figure 7) or inpatient treatment orders (Figure 8).</w:t>
      </w:r>
    </w:p>
    <w:p w:rsidR="004659AD" w:rsidRPr="00642432" w:rsidRDefault="004659AD" w:rsidP="00D4169E"/>
    <w:p w:rsidR="004659AD" w:rsidRPr="00642432" w:rsidRDefault="004659AD" w:rsidP="00D4169E">
      <w:pPr>
        <w:pStyle w:val="Table"/>
      </w:pPr>
      <w:bookmarkStart w:id="34" w:name="_Toc405113684"/>
      <w:r w:rsidRPr="00642432">
        <w:rPr>
          <w:rFonts w:asciiTheme="minorHAnsi" w:eastAsiaTheme="minorHAnsi" w:hAnsiTheme="minorHAnsi" w:cstheme="minorBidi"/>
          <w:noProof/>
          <w:szCs w:val="22"/>
          <w:lang w:eastAsia="en-NZ"/>
        </w:rPr>
        <mc:AlternateContent>
          <mc:Choice Requires="wpg">
            <w:drawing>
              <wp:anchor distT="0" distB="0" distL="114300" distR="114300" simplePos="0" relativeHeight="251714560" behindDoc="1" locked="0" layoutInCell="1" allowOverlap="1" wp14:anchorId="6CEFD443" wp14:editId="47AEF644">
                <wp:simplePos x="0" y="0"/>
                <wp:positionH relativeFrom="page">
                  <wp:posOffset>2084705</wp:posOffset>
                </wp:positionH>
                <wp:positionV relativeFrom="paragraph">
                  <wp:posOffset>513715</wp:posOffset>
                </wp:positionV>
                <wp:extent cx="1270" cy="204470"/>
                <wp:effectExtent l="0" t="0" r="9525" b="0"/>
                <wp:wrapNone/>
                <wp:docPr id="4734" name="Group 4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4470"/>
                          <a:chOff x="3283" y="809"/>
                          <a:chExt cx="2" cy="322"/>
                        </a:xfrm>
                      </wpg:grpSpPr>
                      <wps:wsp>
                        <wps:cNvPr id="4735" name="Freeform 915"/>
                        <wps:cNvSpPr>
                          <a:spLocks/>
                        </wps:cNvSpPr>
                        <wps:spPr bwMode="auto">
                          <a:xfrm>
                            <a:off x="3283" y="809"/>
                            <a:ext cx="2" cy="322"/>
                          </a:xfrm>
                          <a:custGeom>
                            <a:avLst/>
                            <a:gdLst>
                              <a:gd name="T0" fmla="+- 0 809 809"/>
                              <a:gd name="T1" fmla="*/ 809 h 322"/>
                              <a:gd name="T2" fmla="+- 0 1131 809"/>
                              <a:gd name="T3" fmla="*/ 1131 h 322"/>
                              <a:gd name="T4" fmla="+- 0 809 809"/>
                              <a:gd name="T5" fmla="*/ 809 h 322"/>
                            </a:gdLst>
                            <a:ahLst/>
                            <a:cxnLst>
                              <a:cxn ang="0">
                                <a:pos x="0" y="T1"/>
                              </a:cxn>
                              <a:cxn ang="0">
                                <a:pos x="0" y="T3"/>
                              </a:cxn>
                              <a:cxn ang="0">
                                <a:pos x="0" y="T5"/>
                              </a:cxn>
                            </a:cxnLst>
                            <a:rect l="0" t="0" r="r" b="b"/>
                            <a:pathLst>
                              <a:path h="322">
                                <a:moveTo>
                                  <a:pt x="0" y="0"/>
                                </a:moveTo>
                                <a:lnTo>
                                  <a:pt x="0" y="322"/>
                                </a:lnTo>
                                <a:lnTo>
                                  <a:pt x="0" y="0"/>
                                </a:lnTo>
                              </a:path>
                            </a:pathLst>
                          </a:custGeom>
                          <a:solidFill>
                            <a:srgbClr val="CB5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41162" id="Group 4734" o:spid="_x0000_s1026" style="position:absolute;margin-left:164.15pt;margin-top:40.45pt;width:.1pt;height:16.1pt;z-index:-251601920;mso-position-horizontal-relative:page" coordorigin="3283,809" coordsize="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">
                <v:shape id="Freeform 915" o:spid="_x0000_s1027" style="position:absolute;left:3283;top:809;width:2;height:32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JxsUA&#10;AADdAAAADwAAAGRycy9kb3ducmV2LnhtbESPT4vCMBTE78J+h/AW9qap65+VapRFKOxB0OpevD2a&#10;Z1tsXkoTNX57Iwgeh5n5DbNYBdOIK3WutqxgOEhAEBdW11wq+D9k/RkI55E1NpZJwZ0crJYfvQWm&#10;2t44p+velyJC2KWooPK+TaV0RUUG3cC2xNE72c6gj7Irpe7wFuGmkd9JMpUGa44LFba0rqg47y9G&#10;wXZ7PGb5eb3Lgty0wZ1mpaONUl+f4XcOwlPw7/Cr/acVjH9GE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gnGxQAAAN0AAAAPAAAAAAAAAAAAAAAAAJgCAABkcnMv&#10;ZG93bnJldi54bWxQSwUGAAAAAAQABAD1AAAAigMAAAAA&#10;" path="m,l,322,,e" fillcolor="#cb5936" stroked="f">
                  <v:path arrowok="t" o:connecttype="custom" o:connectlocs="0,809;0,1131;0,809" o:connectangles="0,0,0"/>
                </v:shape>
                <w10:wrap anchorx="page"/>
              </v:group>
            </w:pict>
          </mc:Fallback>
        </mc:AlternateContent>
      </w:r>
      <w:r w:rsidR="00D4169E">
        <w:t>T</w:t>
      </w:r>
      <w:r w:rsidRPr="00642432">
        <w:t>able 4: Average number of people per 100,000, per month required to undergo assessment under sections 11, 13 and 14(4) of the Mental Health Act, by DHB, 1 January to 31</w:t>
      </w:r>
      <w:r w:rsidR="00404592">
        <w:t> </w:t>
      </w:r>
      <w:r w:rsidRPr="00642432">
        <w:t>December 2013</w:t>
      </w:r>
      <w:bookmarkEnd w:id="34"/>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843"/>
        <w:gridCol w:w="850"/>
        <w:gridCol w:w="851"/>
        <w:gridCol w:w="851"/>
        <w:gridCol w:w="567"/>
        <w:gridCol w:w="1842"/>
        <w:gridCol w:w="850"/>
        <w:gridCol w:w="851"/>
        <w:gridCol w:w="851"/>
      </w:tblGrid>
      <w:tr w:rsidR="00D4169E" w:rsidRPr="0001390D" w:rsidTr="0001390D">
        <w:trPr>
          <w:cantSplit/>
        </w:trPr>
        <w:tc>
          <w:tcPr>
            <w:tcW w:w="1843" w:type="dxa"/>
            <w:tcBorders>
              <w:top w:val="single" w:sz="4" w:space="0" w:color="auto"/>
              <w:bottom w:val="single" w:sz="4" w:space="0" w:color="auto"/>
            </w:tcBorders>
            <w:shd w:val="clear" w:color="auto" w:fill="F2F2F2" w:themeFill="background1" w:themeFillShade="F2"/>
          </w:tcPr>
          <w:p w:rsidR="00D4169E" w:rsidRPr="0001390D" w:rsidRDefault="00D4169E" w:rsidP="00D4169E">
            <w:pPr>
              <w:pStyle w:val="TableText"/>
              <w:rPr>
                <w:b/>
              </w:rPr>
            </w:pPr>
            <w:r w:rsidRPr="0001390D">
              <w:rPr>
                <w:b/>
              </w:rPr>
              <w:t>DHB</w:t>
            </w:r>
          </w:p>
        </w:tc>
        <w:tc>
          <w:tcPr>
            <w:tcW w:w="850" w:type="dxa"/>
            <w:tcBorders>
              <w:top w:val="single" w:sz="4" w:space="0" w:color="auto"/>
              <w:bottom w:val="single" w:sz="4" w:space="0" w:color="auto"/>
            </w:tcBorders>
            <w:shd w:val="clear" w:color="auto" w:fill="F2F2F2" w:themeFill="background1" w:themeFillShade="F2"/>
          </w:tcPr>
          <w:p w:rsidR="00D4169E" w:rsidRPr="0001390D" w:rsidRDefault="00D4169E" w:rsidP="0001390D">
            <w:pPr>
              <w:pStyle w:val="TableText"/>
              <w:jc w:val="center"/>
              <w:rPr>
                <w:b/>
              </w:rPr>
            </w:pPr>
            <w:r w:rsidRPr="0001390D">
              <w:rPr>
                <w:b/>
              </w:rPr>
              <w:t>s 11</w:t>
            </w:r>
          </w:p>
        </w:tc>
        <w:tc>
          <w:tcPr>
            <w:tcW w:w="851" w:type="dxa"/>
            <w:tcBorders>
              <w:top w:val="single" w:sz="4" w:space="0" w:color="auto"/>
              <w:bottom w:val="single" w:sz="4" w:space="0" w:color="auto"/>
            </w:tcBorders>
            <w:shd w:val="clear" w:color="auto" w:fill="F2F2F2" w:themeFill="background1" w:themeFillShade="F2"/>
          </w:tcPr>
          <w:p w:rsidR="00D4169E" w:rsidRPr="0001390D" w:rsidRDefault="00D4169E" w:rsidP="0001390D">
            <w:pPr>
              <w:pStyle w:val="TableText"/>
              <w:jc w:val="center"/>
              <w:rPr>
                <w:b/>
              </w:rPr>
            </w:pPr>
            <w:r w:rsidRPr="0001390D">
              <w:rPr>
                <w:b/>
              </w:rPr>
              <w:t>s 13</w:t>
            </w:r>
          </w:p>
        </w:tc>
        <w:tc>
          <w:tcPr>
            <w:tcW w:w="851" w:type="dxa"/>
            <w:tcBorders>
              <w:top w:val="single" w:sz="4" w:space="0" w:color="auto"/>
              <w:bottom w:val="single" w:sz="4" w:space="0" w:color="auto"/>
            </w:tcBorders>
            <w:shd w:val="clear" w:color="auto" w:fill="F2F2F2" w:themeFill="background1" w:themeFillShade="F2"/>
          </w:tcPr>
          <w:p w:rsidR="00D4169E" w:rsidRPr="0001390D" w:rsidRDefault="00D4169E" w:rsidP="0001390D">
            <w:pPr>
              <w:pStyle w:val="TableText"/>
              <w:jc w:val="center"/>
              <w:rPr>
                <w:b/>
              </w:rPr>
            </w:pPr>
            <w:r w:rsidRPr="0001390D">
              <w:rPr>
                <w:b/>
              </w:rPr>
              <w:t>s 14(4)</w:t>
            </w:r>
          </w:p>
        </w:tc>
        <w:tc>
          <w:tcPr>
            <w:tcW w:w="567" w:type="dxa"/>
            <w:tcBorders>
              <w:top w:val="nil"/>
              <w:bottom w:val="nil"/>
            </w:tcBorders>
            <w:shd w:val="clear" w:color="auto" w:fill="auto"/>
          </w:tcPr>
          <w:p w:rsidR="00D4169E" w:rsidRPr="0001390D" w:rsidRDefault="00D4169E" w:rsidP="00D4169E">
            <w:pPr>
              <w:pStyle w:val="TableText"/>
              <w:rPr>
                <w:b/>
              </w:rPr>
            </w:pPr>
          </w:p>
        </w:tc>
        <w:tc>
          <w:tcPr>
            <w:tcW w:w="1842" w:type="dxa"/>
            <w:tcBorders>
              <w:top w:val="single" w:sz="4" w:space="0" w:color="auto"/>
              <w:bottom w:val="single" w:sz="4" w:space="0" w:color="auto"/>
            </w:tcBorders>
            <w:shd w:val="clear" w:color="auto" w:fill="F2F2F2" w:themeFill="background1" w:themeFillShade="F2"/>
          </w:tcPr>
          <w:p w:rsidR="00D4169E" w:rsidRPr="0001390D" w:rsidRDefault="00D4169E" w:rsidP="00D4169E">
            <w:pPr>
              <w:pStyle w:val="TableText"/>
              <w:rPr>
                <w:b/>
              </w:rPr>
            </w:pPr>
            <w:r w:rsidRPr="0001390D">
              <w:rPr>
                <w:b/>
              </w:rPr>
              <w:t>DHB</w:t>
            </w:r>
          </w:p>
        </w:tc>
        <w:tc>
          <w:tcPr>
            <w:tcW w:w="850" w:type="dxa"/>
            <w:tcBorders>
              <w:top w:val="single" w:sz="4" w:space="0" w:color="auto"/>
              <w:bottom w:val="single" w:sz="4" w:space="0" w:color="auto"/>
            </w:tcBorders>
            <w:shd w:val="clear" w:color="auto" w:fill="F2F2F2" w:themeFill="background1" w:themeFillShade="F2"/>
          </w:tcPr>
          <w:p w:rsidR="00D4169E" w:rsidRPr="0001390D" w:rsidRDefault="00D4169E" w:rsidP="0001390D">
            <w:pPr>
              <w:pStyle w:val="TableText"/>
              <w:jc w:val="center"/>
              <w:rPr>
                <w:b/>
                <w:szCs w:val="18"/>
              </w:rPr>
            </w:pPr>
            <w:r w:rsidRPr="0001390D">
              <w:rPr>
                <w:b/>
                <w:szCs w:val="18"/>
              </w:rPr>
              <w:t>s 11</w:t>
            </w:r>
          </w:p>
        </w:tc>
        <w:tc>
          <w:tcPr>
            <w:tcW w:w="851" w:type="dxa"/>
            <w:tcBorders>
              <w:top w:val="single" w:sz="4" w:space="0" w:color="auto"/>
              <w:bottom w:val="single" w:sz="4" w:space="0" w:color="auto"/>
            </w:tcBorders>
            <w:shd w:val="clear" w:color="auto" w:fill="F2F2F2" w:themeFill="background1" w:themeFillShade="F2"/>
          </w:tcPr>
          <w:p w:rsidR="00D4169E" w:rsidRPr="0001390D" w:rsidRDefault="00D4169E" w:rsidP="0001390D">
            <w:pPr>
              <w:pStyle w:val="TableText"/>
              <w:jc w:val="center"/>
              <w:rPr>
                <w:b/>
                <w:szCs w:val="18"/>
              </w:rPr>
            </w:pPr>
            <w:r w:rsidRPr="0001390D">
              <w:rPr>
                <w:b/>
                <w:szCs w:val="18"/>
              </w:rPr>
              <w:t>s 13</w:t>
            </w:r>
          </w:p>
        </w:tc>
        <w:tc>
          <w:tcPr>
            <w:tcW w:w="851" w:type="dxa"/>
            <w:tcBorders>
              <w:top w:val="single" w:sz="4" w:space="0" w:color="auto"/>
              <w:bottom w:val="single" w:sz="4" w:space="0" w:color="auto"/>
            </w:tcBorders>
            <w:shd w:val="clear" w:color="auto" w:fill="F2F2F2" w:themeFill="background1" w:themeFillShade="F2"/>
          </w:tcPr>
          <w:p w:rsidR="00D4169E" w:rsidRPr="0001390D" w:rsidRDefault="00D4169E" w:rsidP="0001390D">
            <w:pPr>
              <w:pStyle w:val="TableText"/>
              <w:jc w:val="center"/>
              <w:rPr>
                <w:b/>
                <w:szCs w:val="18"/>
              </w:rPr>
            </w:pPr>
            <w:r w:rsidRPr="0001390D">
              <w:rPr>
                <w:b/>
                <w:szCs w:val="18"/>
              </w:rPr>
              <w:t>s 14(4)</w:t>
            </w:r>
          </w:p>
        </w:tc>
      </w:tr>
      <w:tr w:rsidR="00D4169E" w:rsidRPr="00642432" w:rsidTr="0001390D">
        <w:trPr>
          <w:cantSplit/>
        </w:trPr>
        <w:tc>
          <w:tcPr>
            <w:tcW w:w="1843" w:type="dxa"/>
            <w:tcBorders>
              <w:top w:val="single" w:sz="4" w:space="0" w:color="auto"/>
              <w:bottom w:val="nil"/>
            </w:tcBorders>
            <w:shd w:val="clear" w:color="auto" w:fill="auto"/>
          </w:tcPr>
          <w:p w:rsidR="00D4169E" w:rsidRPr="00642432" w:rsidRDefault="0001390D" w:rsidP="00D4169E">
            <w:pPr>
              <w:pStyle w:val="TableText"/>
            </w:pPr>
            <w:r>
              <w:t>Auckland</w:t>
            </w:r>
          </w:p>
        </w:tc>
        <w:tc>
          <w:tcPr>
            <w:tcW w:w="850" w:type="dxa"/>
            <w:tcBorders>
              <w:top w:val="single" w:sz="4" w:space="0" w:color="auto"/>
              <w:bottom w:val="nil"/>
            </w:tcBorders>
            <w:shd w:val="clear" w:color="auto" w:fill="auto"/>
          </w:tcPr>
          <w:p w:rsidR="00D4169E" w:rsidRPr="00642432" w:rsidRDefault="0001390D" w:rsidP="0001390D">
            <w:pPr>
              <w:pStyle w:val="TableText"/>
              <w:tabs>
                <w:tab w:val="decimal" w:pos="456"/>
              </w:tabs>
            </w:pPr>
            <w:r>
              <w:t>11</w:t>
            </w:r>
          </w:p>
        </w:tc>
        <w:tc>
          <w:tcPr>
            <w:tcW w:w="851" w:type="dxa"/>
            <w:tcBorders>
              <w:top w:val="single" w:sz="4" w:space="0" w:color="auto"/>
              <w:bottom w:val="nil"/>
            </w:tcBorders>
            <w:shd w:val="clear" w:color="auto" w:fill="auto"/>
          </w:tcPr>
          <w:p w:rsidR="00D4169E" w:rsidRPr="00642432" w:rsidRDefault="0001390D" w:rsidP="0001390D">
            <w:pPr>
              <w:pStyle w:val="TableText"/>
              <w:tabs>
                <w:tab w:val="decimal" w:pos="456"/>
              </w:tabs>
            </w:pPr>
            <w:r>
              <w:t>10</w:t>
            </w:r>
          </w:p>
        </w:tc>
        <w:tc>
          <w:tcPr>
            <w:tcW w:w="851" w:type="dxa"/>
            <w:tcBorders>
              <w:top w:val="single" w:sz="4" w:space="0" w:color="auto"/>
              <w:bottom w:val="nil"/>
            </w:tcBorders>
            <w:shd w:val="clear" w:color="auto" w:fill="auto"/>
          </w:tcPr>
          <w:p w:rsidR="00D4169E" w:rsidRPr="00642432" w:rsidRDefault="0001390D" w:rsidP="0001390D">
            <w:pPr>
              <w:pStyle w:val="TableText"/>
              <w:tabs>
                <w:tab w:val="decimal" w:pos="456"/>
              </w:tabs>
            </w:pPr>
            <w:r>
              <w:t>7</w:t>
            </w:r>
          </w:p>
        </w:tc>
        <w:tc>
          <w:tcPr>
            <w:tcW w:w="567" w:type="dxa"/>
            <w:tcBorders>
              <w:top w:val="nil"/>
              <w:bottom w:val="nil"/>
            </w:tcBorders>
            <w:shd w:val="clear" w:color="auto" w:fill="auto"/>
          </w:tcPr>
          <w:p w:rsidR="00D4169E" w:rsidRPr="00642432" w:rsidRDefault="00D4169E" w:rsidP="00D4169E">
            <w:pPr>
              <w:pStyle w:val="TableText"/>
            </w:pPr>
          </w:p>
        </w:tc>
        <w:tc>
          <w:tcPr>
            <w:tcW w:w="1842" w:type="dxa"/>
            <w:tcBorders>
              <w:top w:val="single" w:sz="4" w:space="0" w:color="auto"/>
              <w:bottom w:val="nil"/>
            </w:tcBorders>
            <w:shd w:val="clear" w:color="auto" w:fill="auto"/>
          </w:tcPr>
          <w:p w:rsidR="00D4169E" w:rsidRPr="00642432" w:rsidRDefault="00D4169E" w:rsidP="00D4169E">
            <w:pPr>
              <w:pStyle w:val="TableText"/>
            </w:pPr>
            <w:r w:rsidRPr="00642432">
              <w:t>Northland</w:t>
            </w:r>
          </w:p>
        </w:tc>
        <w:tc>
          <w:tcPr>
            <w:tcW w:w="850" w:type="dxa"/>
            <w:tcBorders>
              <w:top w:val="single" w:sz="4" w:space="0" w:color="auto"/>
              <w:bottom w:val="nil"/>
            </w:tcBorders>
            <w:shd w:val="clear" w:color="auto" w:fill="auto"/>
          </w:tcPr>
          <w:p w:rsidR="00D4169E" w:rsidRPr="00642432" w:rsidRDefault="00D4169E" w:rsidP="0001390D">
            <w:pPr>
              <w:pStyle w:val="TableText"/>
              <w:tabs>
                <w:tab w:val="decimal" w:pos="470"/>
              </w:tabs>
              <w:rPr>
                <w:szCs w:val="18"/>
              </w:rPr>
            </w:pPr>
            <w:r w:rsidRPr="00642432">
              <w:rPr>
                <w:szCs w:val="18"/>
              </w:rPr>
              <w:t>14</w:t>
            </w:r>
          </w:p>
        </w:tc>
        <w:tc>
          <w:tcPr>
            <w:tcW w:w="851" w:type="dxa"/>
            <w:tcBorders>
              <w:top w:val="single" w:sz="4" w:space="0" w:color="auto"/>
              <w:bottom w:val="nil"/>
            </w:tcBorders>
            <w:shd w:val="clear" w:color="auto" w:fill="auto"/>
          </w:tcPr>
          <w:p w:rsidR="00D4169E" w:rsidRPr="00642432" w:rsidRDefault="00D4169E" w:rsidP="0001390D">
            <w:pPr>
              <w:pStyle w:val="TableText"/>
              <w:tabs>
                <w:tab w:val="decimal" w:pos="470"/>
              </w:tabs>
              <w:rPr>
                <w:szCs w:val="18"/>
              </w:rPr>
            </w:pPr>
            <w:r w:rsidRPr="00642432">
              <w:rPr>
                <w:szCs w:val="18"/>
              </w:rPr>
              <w:t>14</w:t>
            </w:r>
          </w:p>
        </w:tc>
        <w:tc>
          <w:tcPr>
            <w:tcW w:w="851" w:type="dxa"/>
            <w:tcBorders>
              <w:top w:val="single" w:sz="4" w:space="0" w:color="auto"/>
              <w:bottom w:val="nil"/>
            </w:tcBorders>
            <w:shd w:val="clear" w:color="auto" w:fill="auto"/>
          </w:tcPr>
          <w:p w:rsidR="00D4169E" w:rsidRPr="00642432" w:rsidRDefault="00D4169E" w:rsidP="0001390D">
            <w:pPr>
              <w:pStyle w:val="TableText"/>
              <w:tabs>
                <w:tab w:val="decimal" w:pos="470"/>
              </w:tabs>
              <w:rPr>
                <w:szCs w:val="18"/>
              </w:rPr>
            </w:pPr>
            <w:r w:rsidRPr="00642432">
              <w:rPr>
                <w:szCs w:val="18"/>
              </w:rPr>
              <w:t>13</w:t>
            </w:r>
          </w:p>
        </w:tc>
      </w:tr>
      <w:tr w:rsidR="00D4169E" w:rsidRPr="00642432" w:rsidTr="0001390D">
        <w:trPr>
          <w:cantSplit/>
        </w:trPr>
        <w:tc>
          <w:tcPr>
            <w:tcW w:w="1843" w:type="dxa"/>
            <w:tcBorders>
              <w:top w:val="nil"/>
              <w:bottom w:val="nil"/>
            </w:tcBorders>
            <w:shd w:val="clear" w:color="auto" w:fill="F2F2F2" w:themeFill="background1" w:themeFillShade="F2"/>
          </w:tcPr>
          <w:p w:rsidR="00D4169E" w:rsidRPr="00642432" w:rsidRDefault="0001390D" w:rsidP="00D4169E">
            <w:pPr>
              <w:pStyle w:val="TableText"/>
            </w:pPr>
            <w:r>
              <w:t>Bay of Plenty</w:t>
            </w:r>
          </w:p>
        </w:tc>
        <w:tc>
          <w:tcPr>
            <w:tcW w:w="850"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10</w:t>
            </w:r>
          </w:p>
        </w:tc>
        <w:tc>
          <w:tcPr>
            <w:tcW w:w="851"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7</w:t>
            </w:r>
          </w:p>
        </w:tc>
        <w:tc>
          <w:tcPr>
            <w:tcW w:w="851"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5</w:t>
            </w:r>
          </w:p>
        </w:tc>
        <w:tc>
          <w:tcPr>
            <w:tcW w:w="567" w:type="dxa"/>
            <w:tcBorders>
              <w:top w:val="nil"/>
              <w:bottom w:val="nil"/>
            </w:tcBorders>
            <w:shd w:val="clear" w:color="auto" w:fill="auto"/>
          </w:tcPr>
          <w:p w:rsidR="00D4169E" w:rsidRPr="00642432" w:rsidRDefault="00D4169E" w:rsidP="00D4169E">
            <w:pPr>
              <w:pStyle w:val="TableText"/>
            </w:pPr>
          </w:p>
        </w:tc>
        <w:tc>
          <w:tcPr>
            <w:tcW w:w="1842" w:type="dxa"/>
            <w:tcBorders>
              <w:top w:val="nil"/>
              <w:bottom w:val="nil"/>
            </w:tcBorders>
            <w:shd w:val="clear" w:color="auto" w:fill="F2F2F2" w:themeFill="background1" w:themeFillShade="F2"/>
          </w:tcPr>
          <w:p w:rsidR="00D4169E" w:rsidRPr="00642432" w:rsidRDefault="00D4169E" w:rsidP="00D4169E">
            <w:pPr>
              <w:pStyle w:val="TableText"/>
            </w:pPr>
            <w:r w:rsidRPr="00642432">
              <w:t>South Canterbury</w:t>
            </w:r>
          </w:p>
        </w:tc>
        <w:tc>
          <w:tcPr>
            <w:tcW w:w="850" w:type="dxa"/>
            <w:tcBorders>
              <w:top w:val="nil"/>
              <w:bottom w:val="nil"/>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9</w:t>
            </w:r>
          </w:p>
        </w:tc>
        <w:tc>
          <w:tcPr>
            <w:tcW w:w="851" w:type="dxa"/>
            <w:tcBorders>
              <w:top w:val="nil"/>
              <w:bottom w:val="nil"/>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7</w:t>
            </w:r>
          </w:p>
        </w:tc>
        <w:tc>
          <w:tcPr>
            <w:tcW w:w="851" w:type="dxa"/>
            <w:tcBorders>
              <w:top w:val="nil"/>
              <w:bottom w:val="nil"/>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4</w:t>
            </w:r>
          </w:p>
        </w:tc>
      </w:tr>
      <w:tr w:rsidR="00D4169E" w:rsidRPr="00642432" w:rsidTr="0001390D">
        <w:trPr>
          <w:cantSplit/>
        </w:trPr>
        <w:tc>
          <w:tcPr>
            <w:tcW w:w="1843" w:type="dxa"/>
            <w:tcBorders>
              <w:top w:val="nil"/>
              <w:bottom w:val="nil"/>
            </w:tcBorders>
            <w:shd w:val="clear" w:color="auto" w:fill="auto"/>
          </w:tcPr>
          <w:p w:rsidR="00D4169E" w:rsidRPr="00642432" w:rsidRDefault="0001390D" w:rsidP="00D4169E">
            <w:pPr>
              <w:pStyle w:val="TableText"/>
            </w:pPr>
            <w:r>
              <w:t>Canterbury</w:t>
            </w:r>
          </w:p>
        </w:tc>
        <w:tc>
          <w:tcPr>
            <w:tcW w:w="850" w:type="dxa"/>
            <w:tcBorders>
              <w:top w:val="nil"/>
              <w:bottom w:val="nil"/>
            </w:tcBorders>
            <w:shd w:val="clear" w:color="auto" w:fill="auto"/>
          </w:tcPr>
          <w:p w:rsidR="00D4169E" w:rsidRPr="00642432" w:rsidRDefault="0001390D" w:rsidP="0001390D">
            <w:pPr>
              <w:pStyle w:val="TableText"/>
              <w:tabs>
                <w:tab w:val="decimal" w:pos="456"/>
              </w:tabs>
            </w:pPr>
            <w:r>
              <w:t>11</w:t>
            </w:r>
          </w:p>
        </w:tc>
        <w:tc>
          <w:tcPr>
            <w:tcW w:w="851" w:type="dxa"/>
            <w:tcBorders>
              <w:top w:val="nil"/>
              <w:bottom w:val="nil"/>
            </w:tcBorders>
            <w:shd w:val="clear" w:color="auto" w:fill="auto"/>
          </w:tcPr>
          <w:p w:rsidR="00D4169E" w:rsidRPr="00642432" w:rsidRDefault="0001390D" w:rsidP="0001390D">
            <w:pPr>
              <w:pStyle w:val="TableText"/>
              <w:tabs>
                <w:tab w:val="decimal" w:pos="456"/>
              </w:tabs>
            </w:pPr>
            <w:r>
              <w:t>11</w:t>
            </w:r>
          </w:p>
        </w:tc>
        <w:tc>
          <w:tcPr>
            <w:tcW w:w="851" w:type="dxa"/>
            <w:tcBorders>
              <w:top w:val="nil"/>
              <w:bottom w:val="nil"/>
            </w:tcBorders>
            <w:shd w:val="clear" w:color="auto" w:fill="auto"/>
          </w:tcPr>
          <w:p w:rsidR="00D4169E" w:rsidRPr="00642432" w:rsidRDefault="0001390D" w:rsidP="0001390D">
            <w:pPr>
              <w:pStyle w:val="TableText"/>
              <w:tabs>
                <w:tab w:val="decimal" w:pos="456"/>
              </w:tabs>
            </w:pPr>
            <w:r>
              <w:t>7</w:t>
            </w:r>
          </w:p>
        </w:tc>
        <w:tc>
          <w:tcPr>
            <w:tcW w:w="567" w:type="dxa"/>
            <w:tcBorders>
              <w:top w:val="nil"/>
              <w:bottom w:val="nil"/>
            </w:tcBorders>
            <w:shd w:val="clear" w:color="auto" w:fill="auto"/>
          </w:tcPr>
          <w:p w:rsidR="00D4169E" w:rsidRPr="00642432" w:rsidRDefault="00D4169E" w:rsidP="00D4169E">
            <w:pPr>
              <w:pStyle w:val="TableText"/>
            </w:pPr>
          </w:p>
        </w:tc>
        <w:tc>
          <w:tcPr>
            <w:tcW w:w="1842" w:type="dxa"/>
            <w:tcBorders>
              <w:top w:val="nil"/>
              <w:bottom w:val="nil"/>
            </w:tcBorders>
            <w:shd w:val="clear" w:color="auto" w:fill="auto"/>
          </w:tcPr>
          <w:p w:rsidR="00D4169E" w:rsidRPr="00642432" w:rsidRDefault="00D4169E" w:rsidP="00D4169E">
            <w:pPr>
              <w:pStyle w:val="TableText"/>
            </w:pPr>
            <w:r w:rsidRPr="00642432">
              <w:t>Southern</w:t>
            </w:r>
          </w:p>
        </w:tc>
        <w:tc>
          <w:tcPr>
            <w:tcW w:w="850" w:type="dxa"/>
            <w:tcBorders>
              <w:top w:val="nil"/>
              <w:bottom w:val="nil"/>
            </w:tcBorders>
            <w:shd w:val="clear" w:color="auto" w:fill="auto"/>
          </w:tcPr>
          <w:p w:rsidR="00D4169E" w:rsidRPr="00642432" w:rsidRDefault="00D4169E" w:rsidP="0001390D">
            <w:pPr>
              <w:pStyle w:val="TableText"/>
              <w:tabs>
                <w:tab w:val="decimal" w:pos="470"/>
              </w:tabs>
              <w:rPr>
                <w:szCs w:val="18"/>
              </w:rPr>
            </w:pPr>
            <w:r w:rsidRPr="00642432">
              <w:rPr>
                <w:szCs w:val="18"/>
              </w:rPr>
              <w:t>8</w:t>
            </w:r>
          </w:p>
        </w:tc>
        <w:tc>
          <w:tcPr>
            <w:tcW w:w="851" w:type="dxa"/>
            <w:tcBorders>
              <w:top w:val="nil"/>
              <w:bottom w:val="nil"/>
            </w:tcBorders>
            <w:shd w:val="clear" w:color="auto" w:fill="auto"/>
          </w:tcPr>
          <w:p w:rsidR="00D4169E" w:rsidRPr="00642432" w:rsidRDefault="00D4169E" w:rsidP="0001390D">
            <w:pPr>
              <w:pStyle w:val="TableText"/>
              <w:tabs>
                <w:tab w:val="decimal" w:pos="470"/>
              </w:tabs>
              <w:rPr>
                <w:szCs w:val="18"/>
              </w:rPr>
            </w:pPr>
            <w:r w:rsidRPr="00642432">
              <w:rPr>
                <w:szCs w:val="18"/>
              </w:rPr>
              <w:t>6</w:t>
            </w:r>
          </w:p>
        </w:tc>
        <w:tc>
          <w:tcPr>
            <w:tcW w:w="851" w:type="dxa"/>
            <w:tcBorders>
              <w:top w:val="nil"/>
              <w:bottom w:val="nil"/>
            </w:tcBorders>
            <w:shd w:val="clear" w:color="auto" w:fill="auto"/>
          </w:tcPr>
          <w:p w:rsidR="00D4169E" w:rsidRPr="00642432" w:rsidRDefault="00D4169E" w:rsidP="0001390D">
            <w:pPr>
              <w:pStyle w:val="TableText"/>
              <w:tabs>
                <w:tab w:val="decimal" w:pos="470"/>
              </w:tabs>
              <w:rPr>
                <w:szCs w:val="18"/>
              </w:rPr>
            </w:pPr>
            <w:r w:rsidRPr="00642432">
              <w:rPr>
                <w:szCs w:val="18"/>
              </w:rPr>
              <w:t>4</w:t>
            </w:r>
          </w:p>
        </w:tc>
      </w:tr>
      <w:tr w:rsidR="00D4169E" w:rsidRPr="00642432" w:rsidTr="0001390D">
        <w:trPr>
          <w:cantSplit/>
        </w:trPr>
        <w:tc>
          <w:tcPr>
            <w:tcW w:w="1843" w:type="dxa"/>
            <w:tcBorders>
              <w:top w:val="nil"/>
              <w:bottom w:val="nil"/>
            </w:tcBorders>
            <w:shd w:val="clear" w:color="auto" w:fill="F2F2F2" w:themeFill="background1" w:themeFillShade="F2"/>
          </w:tcPr>
          <w:p w:rsidR="00D4169E" w:rsidRPr="00642432" w:rsidRDefault="0001390D" w:rsidP="00D4169E">
            <w:pPr>
              <w:pStyle w:val="TableText"/>
            </w:pPr>
            <w:r>
              <w:t>Capital &amp; Coast</w:t>
            </w:r>
          </w:p>
        </w:tc>
        <w:tc>
          <w:tcPr>
            <w:tcW w:w="850"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12</w:t>
            </w:r>
          </w:p>
        </w:tc>
        <w:tc>
          <w:tcPr>
            <w:tcW w:w="851"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11</w:t>
            </w:r>
          </w:p>
        </w:tc>
        <w:tc>
          <w:tcPr>
            <w:tcW w:w="851"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8</w:t>
            </w:r>
          </w:p>
        </w:tc>
        <w:tc>
          <w:tcPr>
            <w:tcW w:w="567" w:type="dxa"/>
            <w:tcBorders>
              <w:top w:val="nil"/>
              <w:bottom w:val="nil"/>
            </w:tcBorders>
            <w:shd w:val="clear" w:color="auto" w:fill="auto"/>
          </w:tcPr>
          <w:p w:rsidR="00D4169E" w:rsidRPr="00642432" w:rsidRDefault="00D4169E" w:rsidP="00D4169E">
            <w:pPr>
              <w:pStyle w:val="TableText"/>
            </w:pPr>
          </w:p>
        </w:tc>
        <w:tc>
          <w:tcPr>
            <w:tcW w:w="1842" w:type="dxa"/>
            <w:tcBorders>
              <w:top w:val="nil"/>
              <w:bottom w:val="nil"/>
            </w:tcBorders>
            <w:shd w:val="clear" w:color="auto" w:fill="F2F2F2" w:themeFill="background1" w:themeFillShade="F2"/>
          </w:tcPr>
          <w:p w:rsidR="00D4169E" w:rsidRPr="00642432" w:rsidRDefault="00D4169E" w:rsidP="00D4169E">
            <w:pPr>
              <w:pStyle w:val="TableText"/>
            </w:pPr>
            <w:r w:rsidRPr="00642432">
              <w:t>Tairawhiti</w:t>
            </w:r>
          </w:p>
        </w:tc>
        <w:tc>
          <w:tcPr>
            <w:tcW w:w="850" w:type="dxa"/>
            <w:tcBorders>
              <w:top w:val="nil"/>
              <w:bottom w:val="nil"/>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12</w:t>
            </w:r>
          </w:p>
        </w:tc>
        <w:tc>
          <w:tcPr>
            <w:tcW w:w="851" w:type="dxa"/>
            <w:tcBorders>
              <w:top w:val="nil"/>
              <w:bottom w:val="nil"/>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11</w:t>
            </w:r>
          </w:p>
        </w:tc>
        <w:tc>
          <w:tcPr>
            <w:tcW w:w="851" w:type="dxa"/>
            <w:tcBorders>
              <w:top w:val="nil"/>
              <w:bottom w:val="nil"/>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8</w:t>
            </w:r>
          </w:p>
        </w:tc>
      </w:tr>
      <w:tr w:rsidR="00D4169E" w:rsidRPr="00642432" w:rsidTr="0001390D">
        <w:trPr>
          <w:cantSplit/>
        </w:trPr>
        <w:tc>
          <w:tcPr>
            <w:tcW w:w="1843" w:type="dxa"/>
            <w:tcBorders>
              <w:top w:val="nil"/>
              <w:bottom w:val="nil"/>
            </w:tcBorders>
            <w:shd w:val="clear" w:color="auto" w:fill="auto"/>
          </w:tcPr>
          <w:p w:rsidR="00D4169E" w:rsidRPr="00642432" w:rsidRDefault="0001390D" w:rsidP="00D4169E">
            <w:pPr>
              <w:pStyle w:val="TableText"/>
            </w:pPr>
            <w:r>
              <w:t>Counties Manukau</w:t>
            </w:r>
          </w:p>
        </w:tc>
        <w:tc>
          <w:tcPr>
            <w:tcW w:w="850" w:type="dxa"/>
            <w:tcBorders>
              <w:top w:val="nil"/>
              <w:bottom w:val="nil"/>
            </w:tcBorders>
            <w:shd w:val="clear" w:color="auto" w:fill="auto"/>
          </w:tcPr>
          <w:p w:rsidR="00D4169E" w:rsidRPr="00642432" w:rsidRDefault="0001390D" w:rsidP="0001390D">
            <w:pPr>
              <w:pStyle w:val="TableText"/>
              <w:tabs>
                <w:tab w:val="decimal" w:pos="456"/>
              </w:tabs>
            </w:pPr>
            <w:r>
              <w:t>9</w:t>
            </w:r>
          </w:p>
        </w:tc>
        <w:tc>
          <w:tcPr>
            <w:tcW w:w="851" w:type="dxa"/>
            <w:tcBorders>
              <w:top w:val="nil"/>
              <w:bottom w:val="nil"/>
            </w:tcBorders>
            <w:shd w:val="clear" w:color="auto" w:fill="auto"/>
          </w:tcPr>
          <w:p w:rsidR="00D4169E" w:rsidRPr="00642432" w:rsidRDefault="0001390D" w:rsidP="0001390D">
            <w:pPr>
              <w:pStyle w:val="TableText"/>
              <w:tabs>
                <w:tab w:val="decimal" w:pos="456"/>
              </w:tabs>
            </w:pPr>
            <w:r>
              <w:t>8</w:t>
            </w:r>
          </w:p>
        </w:tc>
        <w:tc>
          <w:tcPr>
            <w:tcW w:w="851" w:type="dxa"/>
            <w:tcBorders>
              <w:top w:val="nil"/>
              <w:bottom w:val="nil"/>
            </w:tcBorders>
            <w:shd w:val="clear" w:color="auto" w:fill="auto"/>
          </w:tcPr>
          <w:p w:rsidR="00D4169E" w:rsidRPr="00642432" w:rsidRDefault="0001390D" w:rsidP="0001390D">
            <w:pPr>
              <w:pStyle w:val="TableText"/>
              <w:tabs>
                <w:tab w:val="decimal" w:pos="456"/>
              </w:tabs>
            </w:pPr>
            <w:r>
              <w:t>5</w:t>
            </w:r>
          </w:p>
        </w:tc>
        <w:tc>
          <w:tcPr>
            <w:tcW w:w="567" w:type="dxa"/>
            <w:tcBorders>
              <w:top w:val="nil"/>
              <w:bottom w:val="nil"/>
            </w:tcBorders>
            <w:shd w:val="clear" w:color="auto" w:fill="auto"/>
          </w:tcPr>
          <w:p w:rsidR="00D4169E" w:rsidRPr="00642432" w:rsidRDefault="00D4169E" w:rsidP="00D4169E">
            <w:pPr>
              <w:pStyle w:val="TableText"/>
            </w:pPr>
          </w:p>
        </w:tc>
        <w:tc>
          <w:tcPr>
            <w:tcW w:w="1842" w:type="dxa"/>
            <w:tcBorders>
              <w:top w:val="nil"/>
              <w:bottom w:val="nil"/>
            </w:tcBorders>
            <w:shd w:val="clear" w:color="auto" w:fill="auto"/>
          </w:tcPr>
          <w:p w:rsidR="00D4169E" w:rsidRPr="00642432" w:rsidRDefault="00D4169E" w:rsidP="00D4169E">
            <w:pPr>
              <w:pStyle w:val="TableText"/>
            </w:pPr>
            <w:r w:rsidRPr="00642432">
              <w:t>Taranaki</w:t>
            </w:r>
          </w:p>
        </w:tc>
        <w:tc>
          <w:tcPr>
            <w:tcW w:w="850" w:type="dxa"/>
            <w:tcBorders>
              <w:top w:val="nil"/>
              <w:bottom w:val="nil"/>
            </w:tcBorders>
            <w:shd w:val="clear" w:color="auto" w:fill="auto"/>
          </w:tcPr>
          <w:p w:rsidR="00D4169E" w:rsidRPr="00642432" w:rsidRDefault="00D4169E" w:rsidP="0001390D">
            <w:pPr>
              <w:pStyle w:val="TableText"/>
              <w:tabs>
                <w:tab w:val="decimal" w:pos="470"/>
              </w:tabs>
              <w:rPr>
                <w:szCs w:val="18"/>
              </w:rPr>
            </w:pPr>
            <w:r w:rsidRPr="00642432">
              <w:rPr>
                <w:szCs w:val="18"/>
              </w:rPr>
              <w:t>8</w:t>
            </w:r>
          </w:p>
        </w:tc>
        <w:tc>
          <w:tcPr>
            <w:tcW w:w="851" w:type="dxa"/>
            <w:tcBorders>
              <w:top w:val="nil"/>
              <w:bottom w:val="nil"/>
            </w:tcBorders>
            <w:shd w:val="clear" w:color="auto" w:fill="auto"/>
          </w:tcPr>
          <w:p w:rsidR="00D4169E" w:rsidRPr="00642432" w:rsidRDefault="00D4169E" w:rsidP="0001390D">
            <w:pPr>
              <w:pStyle w:val="TableText"/>
              <w:tabs>
                <w:tab w:val="decimal" w:pos="470"/>
              </w:tabs>
              <w:rPr>
                <w:szCs w:val="18"/>
              </w:rPr>
            </w:pPr>
            <w:r w:rsidRPr="00642432">
              <w:rPr>
                <w:szCs w:val="18"/>
              </w:rPr>
              <w:t>5</w:t>
            </w:r>
          </w:p>
        </w:tc>
        <w:tc>
          <w:tcPr>
            <w:tcW w:w="851" w:type="dxa"/>
            <w:tcBorders>
              <w:top w:val="nil"/>
              <w:bottom w:val="nil"/>
            </w:tcBorders>
            <w:shd w:val="clear" w:color="auto" w:fill="auto"/>
          </w:tcPr>
          <w:p w:rsidR="00D4169E" w:rsidRPr="00642432" w:rsidRDefault="00D4169E" w:rsidP="0001390D">
            <w:pPr>
              <w:pStyle w:val="TableText"/>
              <w:tabs>
                <w:tab w:val="decimal" w:pos="470"/>
              </w:tabs>
              <w:rPr>
                <w:szCs w:val="18"/>
              </w:rPr>
            </w:pPr>
            <w:r w:rsidRPr="00642432">
              <w:rPr>
                <w:szCs w:val="18"/>
              </w:rPr>
              <w:t>3</w:t>
            </w:r>
          </w:p>
        </w:tc>
      </w:tr>
      <w:tr w:rsidR="00D4169E" w:rsidRPr="00642432" w:rsidTr="0001390D">
        <w:trPr>
          <w:cantSplit/>
        </w:trPr>
        <w:tc>
          <w:tcPr>
            <w:tcW w:w="1843" w:type="dxa"/>
            <w:tcBorders>
              <w:top w:val="nil"/>
              <w:bottom w:val="nil"/>
            </w:tcBorders>
            <w:shd w:val="clear" w:color="auto" w:fill="F2F2F2" w:themeFill="background1" w:themeFillShade="F2"/>
          </w:tcPr>
          <w:p w:rsidR="00D4169E" w:rsidRPr="00642432" w:rsidRDefault="0001390D" w:rsidP="00D4169E">
            <w:pPr>
              <w:pStyle w:val="TableText"/>
            </w:pPr>
            <w:r>
              <w:t>Hawke’s Bay</w:t>
            </w:r>
          </w:p>
        </w:tc>
        <w:tc>
          <w:tcPr>
            <w:tcW w:w="850"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10</w:t>
            </w:r>
          </w:p>
        </w:tc>
        <w:tc>
          <w:tcPr>
            <w:tcW w:w="851"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8</w:t>
            </w:r>
          </w:p>
        </w:tc>
        <w:tc>
          <w:tcPr>
            <w:tcW w:w="851"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4</w:t>
            </w:r>
          </w:p>
        </w:tc>
        <w:tc>
          <w:tcPr>
            <w:tcW w:w="567" w:type="dxa"/>
            <w:tcBorders>
              <w:top w:val="nil"/>
              <w:bottom w:val="nil"/>
            </w:tcBorders>
            <w:shd w:val="clear" w:color="auto" w:fill="auto"/>
          </w:tcPr>
          <w:p w:rsidR="00D4169E" w:rsidRPr="00642432" w:rsidRDefault="00D4169E" w:rsidP="00D4169E">
            <w:pPr>
              <w:pStyle w:val="TableText"/>
            </w:pPr>
          </w:p>
        </w:tc>
        <w:tc>
          <w:tcPr>
            <w:tcW w:w="1842" w:type="dxa"/>
            <w:tcBorders>
              <w:top w:val="nil"/>
              <w:bottom w:val="nil"/>
            </w:tcBorders>
            <w:shd w:val="clear" w:color="auto" w:fill="F2F2F2" w:themeFill="background1" w:themeFillShade="F2"/>
          </w:tcPr>
          <w:p w:rsidR="00D4169E" w:rsidRPr="00642432" w:rsidRDefault="00D4169E" w:rsidP="00D4169E">
            <w:pPr>
              <w:pStyle w:val="TableText"/>
            </w:pPr>
            <w:r w:rsidRPr="00642432">
              <w:t>Waikato</w:t>
            </w:r>
          </w:p>
        </w:tc>
        <w:tc>
          <w:tcPr>
            <w:tcW w:w="850" w:type="dxa"/>
            <w:tcBorders>
              <w:top w:val="nil"/>
              <w:bottom w:val="nil"/>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12</w:t>
            </w:r>
          </w:p>
        </w:tc>
        <w:tc>
          <w:tcPr>
            <w:tcW w:w="851" w:type="dxa"/>
            <w:tcBorders>
              <w:top w:val="nil"/>
              <w:bottom w:val="nil"/>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8</w:t>
            </w:r>
          </w:p>
        </w:tc>
        <w:tc>
          <w:tcPr>
            <w:tcW w:w="851" w:type="dxa"/>
            <w:tcBorders>
              <w:top w:val="nil"/>
              <w:bottom w:val="nil"/>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7</w:t>
            </w:r>
          </w:p>
        </w:tc>
      </w:tr>
      <w:tr w:rsidR="00D4169E" w:rsidRPr="00642432" w:rsidTr="0001390D">
        <w:trPr>
          <w:cantSplit/>
        </w:trPr>
        <w:tc>
          <w:tcPr>
            <w:tcW w:w="1843" w:type="dxa"/>
            <w:tcBorders>
              <w:top w:val="nil"/>
              <w:bottom w:val="nil"/>
            </w:tcBorders>
            <w:shd w:val="clear" w:color="auto" w:fill="auto"/>
          </w:tcPr>
          <w:p w:rsidR="00D4169E" w:rsidRPr="00642432" w:rsidRDefault="0001390D" w:rsidP="00D4169E">
            <w:pPr>
              <w:pStyle w:val="TableText"/>
            </w:pPr>
            <w:r>
              <w:t>Hutt Valley</w:t>
            </w:r>
          </w:p>
        </w:tc>
        <w:tc>
          <w:tcPr>
            <w:tcW w:w="850" w:type="dxa"/>
            <w:tcBorders>
              <w:top w:val="nil"/>
              <w:bottom w:val="nil"/>
            </w:tcBorders>
            <w:shd w:val="clear" w:color="auto" w:fill="auto"/>
          </w:tcPr>
          <w:p w:rsidR="00D4169E" w:rsidRPr="00642432" w:rsidRDefault="0001390D" w:rsidP="0001390D">
            <w:pPr>
              <w:pStyle w:val="TableText"/>
              <w:tabs>
                <w:tab w:val="decimal" w:pos="456"/>
              </w:tabs>
            </w:pPr>
            <w:r>
              <w:t>12</w:t>
            </w:r>
          </w:p>
        </w:tc>
        <w:tc>
          <w:tcPr>
            <w:tcW w:w="851" w:type="dxa"/>
            <w:tcBorders>
              <w:top w:val="nil"/>
              <w:bottom w:val="nil"/>
            </w:tcBorders>
            <w:shd w:val="clear" w:color="auto" w:fill="auto"/>
          </w:tcPr>
          <w:p w:rsidR="00D4169E" w:rsidRPr="00642432" w:rsidRDefault="0001390D" w:rsidP="0001390D">
            <w:pPr>
              <w:pStyle w:val="TableText"/>
              <w:tabs>
                <w:tab w:val="decimal" w:pos="456"/>
              </w:tabs>
            </w:pPr>
            <w:r>
              <w:t>12</w:t>
            </w:r>
          </w:p>
        </w:tc>
        <w:tc>
          <w:tcPr>
            <w:tcW w:w="851" w:type="dxa"/>
            <w:tcBorders>
              <w:top w:val="nil"/>
              <w:bottom w:val="nil"/>
            </w:tcBorders>
            <w:shd w:val="clear" w:color="auto" w:fill="auto"/>
          </w:tcPr>
          <w:p w:rsidR="00D4169E" w:rsidRPr="00642432" w:rsidRDefault="0001390D" w:rsidP="0001390D">
            <w:pPr>
              <w:pStyle w:val="TableText"/>
              <w:tabs>
                <w:tab w:val="decimal" w:pos="456"/>
              </w:tabs>
            </w:pPr>
            <w:r>
              <w:t>5</w:t>
            </w:r>
          </w:p>
        </w:tc>
        <w:tc>
          <w:tcPr>
            <w:tcW w:w="567" w:type="dxa"/>
            <w:tcBorders>
              <w:top w:val="nil"/>
              <w:bottom w:val="nil"/>
            </w:tcBorders>
            <w:shd w:val="clear" w:color="auto" w:fill="auto"/>
          </w:tcPr>
          <w:p w:rsidR="00D4169E" w:rsidRPr="00642432" w:rsidRDefault="00D4169E" w:rsidP="00D4169E">
            <w:pPr>
              <w:pStyle w:val="TableText"/>
            </w:pPr>
          </w:p>
        </w:tc>
        <w:tc>
          <w:tcPr>
            <w:tcW w:w="1842" w:type="dxa"/>
            <w:tcBorders>
              <w:top w:val="nil"/>
              <w:bottom w:val="nil"/>
            </w:tcBorders>
            <w:shd w:val="clear" w:color="auto" w:fill="auto"/>
          </w:tcPr>
          <w:p w:rsidR="00D4169E" w:rsidRPr="00642432" w:rsidRDefault="00D4169E" w:rsidP="00D4169E">
            <w:pPr>
              <w:pStyle w:val="TableText"/>
            </w:pPr>
            <w:r w:rsidRPr="00642432">
              <w:t>Wairarapa</w:t>
            </w:r>
          </w:p>
        </w:tc>
        <w:tc>
          <w:tcPr>
            <w:tcW w:w="850" w:type="dxa"/>
            <w:tcBorders>
              <w:top w:val="nil"/>
              <w:bottom w:val="nil"/>
            </w:tcBorders>
            <w:shd w:val="clear" w:color="auto" w:fill="auto"/>
          </w:tcPr>
          <w:p w:rsidR="00D4169E" w:rsidRPr="00642432" w:rsidRDefault="00D4169E" w:rsidP="0001390D">
            <w:pPr>
              <w:pStyle w:val="TableText"/>
              <w:tabs>
                <w:tab w:val="decimal" w:pos="470"/>
              </w:tabs>
              <w:rPr>
                <w:szCs w:val="18"/>
              </w:rPr>
            </w:pPr>
            <w:r w:rsidRPr="00642432">
              <w:rPr>
                <w:szCs w:val="18"/>
              </w:rPr>
              <w:t>5</w:t>
            </w:r>
          </w:p>
        </w:tc>
        <w:tc>
          <w:tcPr>
            <w:tcW w:w="851" w:type="dxa"/>
            <w:tcBorders>
              <w:top w:val="nil"/>
              <w:bottom w:val="nil"/>
            </w:tcBorders>
            <w:shd w:val="clear" w:color="auto" w:fill="auto"/>
          </w:tcPr>
          <w:p w:rsidR="00D4169E" w:rsidRPr="00642432" w:rsidRDefault="00D4169E" w:rsidP="0001390D">
            <w:pPr>
              <w:pStyle w:val="TableText"/>
              <w:tabs>
                <w:tab w:val="decimal" w:pos="470"/>
              </w:tabs>
              <w:rPr>
                <w:szCs w:val="18"/>
              </w:rPr>
            </w:pPr>
            <w:r w:rsidRPr="00642432">
              <w:rPr>
                <w:szCs w:val="18"/>
              </w:rPr>
              <w:t>1</w:t>
            </w:r>
          </w:p>
        </w:tc>
        <w:tc>
          <w:tcPr>
            <w:tcW w:w="851" w:type="dxa"/>
            <w:tcBorders>
              <w:top w:val="nil"/>
              <w:bottom w:val="nil"/>
            </w:tcBorders>
            <w:shd w:val="clear" w:color="auto" w:fill="auto"/>
          </w:tcPr>
          <w:p w:rsidR="00D4169E" w:rsidRPr="00642432" w:rsidRDefault="00D4169E" w:rsidP="0001390D">
            <w:pPr>
              <w:pStyle w:val="TableText"/>
              <w:tabs>
                <w:tab w:val="decimal" w:pos="470"/>
              </w:tabs>
              <w:rPr>
                <w:szCs w:val="18"/>
              </w:rPr>
            </w:pPr>
            <w:r w:rsidRPr="00642432">
              <w:rPr>
                <w:szCs w:val="18"/>
              </w:rPr>
              <w:t>0</w:t>
            </w:r>
          </w:p>
        </w:tc>
      </w:tr>
      <w:tr w:rsidR="00D4169E" w:rsidRPr="00642432" w:rsidTr="0001390D">
        <w:trPr>
          <w:cantSplit/>
        </w:trPr>
        <w:tc>
          <w:tcPr>
            <w:tcW w:w="1843" w:type="dxa"/>
            <w:tcBorders>
              <w:top w:val="nil"/>
              <w:bottom w:val="nil"/>
            </w:tcBorders>
            <w:shd w:val="clear" w:color="auto" w:fill="F2F2F2" w:themeFill="background1" w:themeFillShade="F2"/>
          </w:tcPr>
          <w:p w:rsidR="00D4169E" w:rsidRPr="00642432" w:rsidRDefault="0001390D" w:rsidP="00D4169E">
            <w:pPr>
              <w:pStyle w:val="TableText"/>
            </w:pPr>
            <w:r>
              <w:t>Lakes</w:t>
            </w:r>
          </w:p>
        </w:tc>
        <w:tc>
          <w:tcPr>
            <w:tcW w:w="850"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8</w:t>
            </w:r>
          </w:p>
        </w:tc>
        <w:tc>
          <w:tcPr>
            <w:tcW w:w="851"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6</w:t>
            </w:r>
          </w:p>
        </w:tc>
        <w:tc>
          <w:tcPr>
            <w:tcW w:w="851"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6</w:t>
            </w:r>
          </w:p>
        </w:tc>
        <w:tc>
          <w:tcPr>
            <w:tcW w:w="567" w:type="dxa"/>
            <w:tcBorders>
              <w:top w:val="nil"/>
              <w:bottom w:val="nil"/>
            </w:tcBorders>
            <w:shd w:val="clear" w:color="auto" w:fill="auto"/>
          </w:tcPr>
          <w:p w:rsidR="00D4169E" w:rsidRPr="00642432" w:rsidRDefault="00D4169E" w:rsidP="00D4169E">
            <w:pPr>
              <w:pStyle w:val="TableText"/>
            </w:pPr>
          </w:p>
        </w:tc>
        <w:tc>
          <w:tcPr>
            <w:tcW w:w="1842" w:type="dxa"/>
            <w:tcBorders>
              <w:top w:val="nil"/>
              <w:bottom w:val="nil"/>
            </w:tcBorders>
            <w:shd w:val="clear" w:color="auto" w:fill="F2F2F2" w:themeFill="background1" w:themeFillShade="F2"/>
          </w:tcPr>
          <w:p w:rsidR="00D4169E" w:rsidRPr="00642432" w:rsidRDefault="00D4169E" w:rsidP="00D4169E">
            <w:pPr>
              <w:pStyle w:val="TableText"/>
            </w:pPr>
            <w:r w:rsidRPr="00642432">
              <w:t>Waitemata</w:t>
            </w:r>
          </w:p>
        </w:tc>
        <w:tc>
          <w:tcPr>
            <w:tcW w:w="850" w:type="dxa"/>
            <w:tcBorders>
              <w:top w:val="nil"/>
              <w:bottom w:val="nil"/>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8</w:t>
            </w:r>
          </w:p>
        </w:tc>
        <w:tc>
          <w:tcPr>
            <w:tcW w:w="851" w:type="dxa"/>
            <w:tcBorders>
              <w:top w:val="nil"/>
              <w:bottom w:val="nil"/>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8</w:t>
            </w:r>
          </w:p>
        </w:tc>
        <w:tc>
          <w:tcPr>
            <w:tcW w:w="851" w:type="dxa"/>
            <w:tcBorders>
              <w:top w:val="nil"/>
              <w:bottom w:val="nil"/>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6</w:t>
            </w:r>
          </w:p>
        </w:tc>
      </w:tr>
      <w:tr w:rsidR="00D4169E" w:rsidRPr="00642432" w:rsidTr="0001390D">
        <w:trPr>
          <w:cantSplit/>
        </w:trPr>
        <w:tc>
          <w:tcPr>
            <w:tcW w:w="1843" w:type="dxa"/>
            <w:tcBorders>
              <w:top w:val="nil"/>
              <w:bottom w:val="nil"/>
            </w:tcBorders>
            <w:shd w:val="clear" w:color="auto" w:fill="auto"/>
          </w:tcPr>
          <w:p w:rsidR="00D4169E" w:rsidRPr="00642432" w:rsidRDefault="0001390D" w:rsidP="00D4169E">
            <w:pPr>
              <w:pStyle w:val="TableText"/>
            </w:pPr>
            <w:r>
              <w:t>MidCentral</w:t>
            </w:r>
          </w:p>
        </w:tc>
        <w:tc>
          <w:tcPr>
            <w:tcW w:w="850" w:type="dxa"/>
            <w:tcBorders>
              <w:top w:val="nil"/>
              <w:bottom w:val="nil"/>
            </w:tcBorders>
            <w:shd w:val="clear" w:color="auto" w:fill="auto"/>
          </w:tcPr>
          <w:p w:rsidR="00D4169E" w:rsidRPr="00642432" w:rsidRDefault="0001390D" w:rsidP="0001390D">
            <w:pPr>
              <w:pStyle w:val="TableText"/>
              <w:tabs>
                <w:tab w:val="decimal" w:pos="456"/>
              </w:tabs>
            </w:pPr>
            <w:r>
              <w:t>10</w:t>
            </w:r>
          </w:p>
        </w:tc>
        <w:tc>
          <w:tcPr>
            <w:tcW w:w="851" w:type="dxa"/>
            <w:tcBorders>
              <w:top w:val="nil"/>
              <w:bottom w:val="nil"/>
            </w:tcBorders>
            <w:shd w:val="clear" w:color="auto" w:fill="auto"/>
          </w:tcPr>
          <w:p w:rsidR="00D4169E" w:rsidRPr="00642432" w:rsidRDefault="0001390D" w:rsidP="0001390D">
            <w:pPr>
              <w:pStyle w:val="TableText"/>
              <w:tabs>
                <w:tab w:val="decimal" w:pos="456"/>
              </w:tabs>
            </w:pPr>
            <w:r>
              <w:t>7</w:t>
            </w:r>
          </w:p>
        </w:tc>
        <w:tc>
          <w:tcPr>
            <w:tcW w:w="851" w:type="dxa"/>
            <w:tcBorders>
              <w:top w:val="nil"/>
              <w:bottom w:val="nil"/>
            </w:tcBorders>
            <w:shd w:val="clear" w:color="auto" w:fill="auto"/>
          </w:tcPr>
          <w:p w:rsidR="00D4169E" w:rsidRPr="00642432" w:rsidRDefault="0001390D" w:rsidP="0001390D">
            <w:pPr>
              <w:pStyle w:val="TableText"/>
              <w:tabs>
                <w:tab w:val="decimal" w:pos="456"/>
              </w:tabs>
            </w:pPr>
            <w:r>
              <w:t>4</w:t>
            </w:r>
          </w:p>
        </w:tc>
        <w:tc>
          <w:tcPr>
            <w:tcW w:w="567" w:type="dxa"/>
            <w:tcBorders>
              <w:top w:val="nil"/>
              <w:bottom w:val="nil"/>
            </w:tcBorders>
            <w:shd w:val="clear" w:color="auto" w:fill="auto"/>
          </w:tcPr>
          <w:p w:rsidR="00D4169E" w:rsidRPr="00642432" w:rsidRDefault="00D4169E" w:rsidP="00D4169E">
            <w:pPr>
              <w:pStyle w:val="TableText"/>
            </w:pPr>
          </w:p>
        </w:tc>
        <w:tc>
          <w:tcPr>
            <w:tcW w:w="1842" w:type="dxa"/>
            <w:tcBorders>
              <w:top w:val="nil"/>
              <w:bottom w:val="nil"/>
            </w:tcBorders>
            <w:shd w:val="clear" w:color="auto" w:fill="auto"/>
          </w:tcPr>
          <w:p w:rsidR="00D4169E" w:rsidRPr="00642432" w:rsidRDefault="00D4169E" w:rsidP="00D4169E">
            <w:pPr>
              <w:pStyle w:val="TableText"/>
            </w:pPr>
            <w:r w:rsidRPr="00642432">
              <w:t>West Coast</w:t>
            </w:r>
          </w:p>
        </w:tc>
        <w:tc>
          <w:tcPr>
            <w:tcW w:w="850" w:type="dxa"/>
            <w:tcBorders>
              <w:top w:val="nil"/>
              <w:bottom w:val="nil"/>
            </w:tcBorders>
            <w:shd w:val="clear" w:color="auto" w:fill="auto"/>
          </w:tcPr>
          <w:p w:rsidR="00D4169E" w:rsidRPr="00642432" w:rsidRDefault="00D4169E" w:rsidP="0001390D">
            <w:pPr>
              <w:pStyle w:val="TableText"/>
              <w:tabs>
                <w:tab w:val="decimal" w:pos="470"/>
              </w:tabs>
              <w:rPr>
                <w:szCs w:val="18"/>
              </w:rPr>
            </w:pPr>
            <w:r w:rsidRPr="00642432">
              <w:rPr>
                <w:szCs w:val="18"/>
              </w:rPr>
              <w:t>9</w:t>
            </w:r>
          </w:p>
        </w:tc>
        <w:tc>
          <w:tcPr>
            <w:tcW w:w="851" w:type="dxa"/>
            <w:tcBorders>
              <w:top w:val="nil"/>
              <w:bottom w:val="nil"/>
            </w:tcBorders>
            <w:shd w:val="clear" w:color="auto" w:fill="auto"/>
          </w:tcPr>
          <w:p w:rsidR="00D4169E" w:rsidRPr="00642432" w:rsidRDefault="00D4169E" w:rsidP="0001390D">
            <w:pPr>
              <w:pStyle w:val="TableText"/>
              <w:tabs>
                <w:tab w:val="decimal" w:pos="470"/>
              </w:tabs>
              <w:rPr>
                <w:szCs w:val="18"/>
              </w:rPr>
            </w:pPr>
            <w:r w:rsidRPr="00642432">
              <w:rPr>
                <w:szCs w:val="18"/>
              </w:rPr>
              <w:t>5</w:t>
            </w:r>
          </w:p>
        </w:tc>
        <w:tc>
          <w:tcPr>
            <w:tcW w:w="851" w:type="dxa"/>
            <w:tcBorders>
              <w:top w:val="nil"/>
              <w:bottom w:val="nil"/>
            </w:tcBorders>
            <w:shd w:val="clear" w:color="auto" w:fill="auto"/>
          </w:tcPr>
          <w:p w:rsidR="00D4169E" w:rsidRPr="00642432" w:rsidRDefault="00D4169E" w:rsidP="0001390D">
            <w:pPr>
              <w:pStyle w:val="TableText"/>
              <w:tabs>
                <w:tab w:val="decimal" w:pos="470"/>
              </w:tabs>
              <w:rPr>
                <w:szCs w:val="18"/>
              </w:rPr>
            </w:pPr>
            <w:r w:rsidRPr="00642432">
              <w:rPr>
                <w:szCs w:val="18"/>
              </w:rPr>
              <w:t>4</w:t>
            </w:r>
          </w:p>
        </w:tc>
      </w:tr>
      <w:tr w:rsidR="00D4169E" w:rsidRPr="00642432" w:rsidTr="0001390D">
        <w:trPr>
          <w:cantSplit/>
        </w:trPr>
        <w:tc>
          <w:tcPr>
            <w:tcW w:w="1843" w:type="dxa"/>
            <w:tcBorders>
              <w:top w:val="nil"/>
              <w:bottom w:val="nil"/>
            </w:tcBorders>
            <w:shd w:val="clear" w:color="auto" w:fill="F2F2F2" w:themeFill="background1" w:themeFillShade="F2"/>
          </w:tcPr>
          <w:p w:rsidR="00D4169E" w:rsidRPr="00642432" w:rsidRDefault="0001390D" w:rsidP="00D4169E">
            <w:pPr>
              <w:pStyle w:val="TableText"/>
            </w:pPr>
            <w:r>
              <w:t>Nelson Marlborough</w:t>
            </w:r>
          </w:p>
        </w:tc>
        <w:tc>
          <w:tcPr>
            <w:tcW w:w="850"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9</w:t>
            </w:r>
          </w:p>
        </w:tc>
        <w:tc>
          <w:tcPr>
            <w:tcW w:w="851"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7</w:t>
            </w:r>
          </w:p>
        </w:tc>
        <w:tc>
          <w:tcPr>
            <w:tcW w:w="851" w:type="dxa"/>
            <w:tcBorders>
              <w:top w:val="nil"/>
              <w:bottom w:val="nil"/>
            </w:tcBorders>
            <w:shd w:val="clear" w:color="auto" w:fill="F2F2F2" w:themeFill="background1" w:themeFillShade="F2"/>
          </w:tcPr>
          <w:p w:rsidR="00D4169E" w:rsidRPr="00642432" w:rsidRDefault="0001390D" w:rsidP="0001390D">
            <w:pPr>
              <w:pStyle w:val="TableText"/>
              <w:tabs>
                <w:tab w:val="decimal" w:pos="456"/>
              </w:tabs>
            </w:pPr>
            <w:r>
              <w:t>4</w:t>
            </w:r>
          </w:p>
        </w:tc>
        <w:tc>
          <w:tcPr>
            <w:tcW w:w="567" w:type="dxa"/>
            <w:tcBorders>
              <w:top w:val="nil"/>
              <w:bottom w:val="nil"/>
            </w:tcBorders>
            <w:shd w:val="clear" w:color="auto" w:fill="auto"/>
          </w:tcPr>
          <w:p w:rsidR="00D4169E" w:rsidRPr="00642432" w:rsidRDefault="00D4169E" w:rsidP="00D4169E">
            <w:pPr>
              <w:pStyle w:val="TableText"/>
            </w:pPr>
          </w:p>
        </w:tc>
        <w:tc>
          <w:tcPr>
            <w:tcW w:w="1842" w:type="dxa"/>
            <w:tcBorders>
              <w:top w:val="nil"/>
              <w:bottom w:val="single" w:sz="4" w:space="0" w:color="A6A6A6" w:themeColor="background1" w:themeShade="A6"/>
            </w:tcBorders>
            <w:shd w:val="clear" w:color="auto" w:fill="F2F2F2" w:themeFill="background1" w:themeFillShade="F2"/>
          </w:tcPr>
          <w:p w:rsidR="00D4169E" w:rsidRPr="00642432" w:rsidRDefault="00D4169E" w:rsidP="00D4169E">
            <w:pPr>
              <w:pStyle w:val="TableText"/>
            </w:pPr>
            <w:r w:rsidRPr="00642432">
              <w:t>Whanganui</w:t>
            </w:r>
          </w:p>
        </w:tc>
        <w:tc>
          <w:tcPr>
            <w:tcW w:w="850" w:type="dxa"/>
            <w:tcBorders>
              <w:top w:val="nil"/>
              <w:bottom w:val="single" w:sz="4" w:space="0" w:color="A6A6A6" w:themeColor="background1" w:themeShade="A6"/>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12</w:t>
            </w:r>
          </w:p>
        </w:tc>
        <w:tc>
          <w:tcPr>
            <w:tcW w:w="851" w:type="dxa"/>
            <w:tcBorders>
              <w:top w:val="nil"/>
              <w:bottom w:val="single" w:sz="4" w:space="0" w:color="A6A6A6" w:themeColor="background1" w:themeShade="A6"/>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8</w:t>
            </w:r>
          </w:p>
        </w:tc>
        <w:tc>
          <w:tcPr>
            <w:tcW w:w="851" w:type="dxa"/>
            <w:tcBorders>
              <w:top w:val="nil"/>
              <w:bottom w:val="single" w:sz="4" w:space="0" w:color="A6A6A6" w:themeColor="background1" w:themeShade="A6"/>
            </w:tcBorders>
            <w:shd w:val="clear" w:color="auto" w:fill="F2F2F2" w:themeFill="background1" w:themeFillShade="F2"/>
          </w:tcPr>
          <w:p w:rsidR="00D4169E" w:rsidRPr="00642432" w:rsidRDefault="00D4169E" w:rsidP="0001390D">
            <w:pPr>
              <w:pStyle w:val="TableText"/>
              <w:tabs>
                <w:tab w:val="decimal" w:pos="470"/>
              </w:tabs>
              <w:rPr>
                <w:szCs w:val="18"/>
              </w:rPr>
            </w:pPr>
            <w:r w:rsidRPr="00642432">
              <w:rPr>
                <w:szCs w:val="18"/>
              </w:rPr>
              <w:t>5</w:t>
            </w:r>
          </w:p>
        </w:tc>
      </w:tr>
      <w:tr w:rsidR="00D4169E" w:rsidRPr="00642432" w:rsidTr="0001390D">
        <w:trPr>
          <w:cantSplit/>
        </w:trPr>
        <w:tc>
          <w:tcPr>
            <w:tcW w:w="1843" w:type="dxa"/>
            <w:tcBorders>
              <w:top w:val="nil"/>
              <w:bottom w:val="single" w:sz="4" w:space="0" w:color="auto"/>
            </w:tcBorders>
            <w:shd w:val="clear" w:color="auto" w:fill="auto"/>
          </w:tcPr>
          <w:p w:rsidR="00D4169E" w:rsidRPr="00642432" w:rsidRDefault="00D4169E" w:rsidP="00D4169E">
            <w:pPr>
              <w:pStyle w:val="TableText"/>
            </w:pPr>
          </w:p>
        </w:tc>
        <w:tc>
          <w:tcPr>
            <w:tcW w:w="850" w:type="dxa"/>
            <w:tcBorders>
              <w:top w:val="nil"/>
              <w:bottom w:val="single" w:sz="4" w:space="0" w:color="auto"/>
            </w:tcBorders>
            <w:shd w:val="clear" w:color="auto" w:fill="auto"/>
          </w:tcPr>
          <w:p w:rsidR="00D4169E" w:rsidRPr="00642432" w:rsidRDefault="00D4169E" w:rsidP="0001390D">
            <w:pPr>
              <w:pStyle w:val="TableText"/>
              <w:tabs>
                <w:tab w:val="decimal" w:pos="456"/>
              </w:tabs>
            </w:pPr>
          </w:p>
        </w:tc>
        <w:tc>
          <w:tcPr>
            <w:tcW w:w="851" w:type="dxa"/>
            <w:tcBorders>
              <w:top w:val="nil"/>
              <w:bottom w:val="single" w:sz="4" w:space="0" w:color="auto"/>
            </w:tcBorders>
            <w:shd w:val="clear" w:color="auto" w:fill="auto"/>
          </w:tcPr>
          <w:p w:rsidR="00D4169E" w:rsidRPr="00642432" w:rsidRDefault="00D4169E" w:rsidP="0001390D">
            <w:pPr>
              <w:pStyle w:val="TableText"/>
              <w:tabs>
                <w:tab w:val="decimal" w:pos="456"/>
              </w:tabs>
            </w:pPr>
          </w:p>
        </w:tc>
        <w:tc>
          <w:tcPr>
            <w:tcW w:w="851" w:type="dxa"/>
            <w:tcBorders>
              <w:top w:val="nil"/>
              <w:bottom w:val="single" w:sz="4" w:space="0" w:color="auto"/>
            </w:tcBorders>
            <w:shd w:val="clear" w:color="auto" w:fill="auto"/>
          </w:tcPr>
          <w:p w:rsidR="00D4169E" w:rsidRPr="00642432" w:rsidRDefault="00D4169E" w:rsidP="0001390D">
            <w:pPr>
              <w:pStyle w:val="TableText"/>
              <w:tabs>
                <w:tab w:val="decimal" w:pos="456"/>
              </w:tabs>
            </w:pPr>
          </w:p>
        </w:tc>
        <w:tc>
          <w:tcPr>
            <w:tcW w:w="567" w:type="dxa"/>
            <w:tcBorders>
              <w:top w:val="nil"/>
              <w:bottom w:val="nil"/>
            </w:tcBorders>
            <w:shd w:val="clear" w:color="auto" w:fill="auto"/>
          </w:tcPr>
          <w:p w:rsidR="00D4169E" w:rsidRPr="00642432" w:rsidRDefault="00D4169E" w:rsidP="00D4169E">
            <w:pPr>
              <w:pStyle w:val="TableText"/>
            </w:pPr>
          </w:p>
        </w:tc>
        <w:tc>
          <w:tcPr>
            <w:tcW w:w="1842" w:type="dxa"/>
            <w:tcBorders>
              <w:top w:val="single" w:sz="4" w:space="0" w:color="A6A6A6" w:themeColor="background1" w:themeShade="A6"/>
              <w:bottom w:val="single" w:sz="4" w:space="0" w:color="auto"/>
            </w:tcBorders>
            <w:shd w:val="clear" w:color="auto" w:fill="auto"/>
          </w:tcPr>
          <w:p w:rsidR="00D4169E" w:rsidRPr="00642432" w:rsidRDefault="00D4169E" w:rsidP="00D4169E">
            <w:pPr>
              <w:pStyle w:val="TableText"/>
              <w:rPr>
                <w:szCs w:val="18"/>
              </w:rPr>
            </w:pPr>
            <w:r w:rsidRPr="00642432">
              <w:rPr>
                <w:szCs w:val="18"/>
              </w:rPr>
              <w:t>National average</w:t>
            </w:r>
          </w:p>
        </w:tc>
        <w:tc>
          <w:tcPr>
            <w:tcW w:w="850" w:type="dxa"/>
            <w:tcBorders>
              <w:top w:val="single" w:sz="4" w:space="0" w:color="A6A6A6" w:themeColor="background1" w:themeShade="A6"/>
              <w:bottom w:val="single" w:sz="4" w:space="0" w:color="auto"/>
            </w:tcBorders>
            <w:shd w:val="clear" w:color="auto" w:fill="auto"/>
          </w:tcPr>
          <w:p w:rsidR="00D4169E" w:rsidRPr="00642432" w:rsidRDefault="00D4169E" w:rsidP="0001390D">
            <w:pPr>
              <w:pStyle w:val="TableText"/>
              <w:tabs>
                <w:tab w:val="decimal" w:pos="470"/>
              </w:tabs>
              <w:rPr>
                <w:szCs w:val="18"/>
              </w:rPr>
            </w:pPr>
            <w:r w:rsidRPr="00642432">
              <w:rPr>
                <w:szCs w:val="18"/>
              </w:rPr>
              <w:t>10</w:t>
            </w:r>
          </w:p>
        </w:tc>
        <w:tc>
          <w:tcPr>
            <w:tcW w:w="851" w:type="dxa"/>
            <w:tcBorders>
              <w:top w:val="single" w:sz="4" w:space="0" w:color="A6A6A6" w:themeColor="background1" w:themeShade="A6"/>
              <w:bottom w:val="single" w:sz="4" w:space="0" w:color="auto"/>
            </w:tcBorders>
            <w:shd w:val="clear" w:color="auto" w:fill="auto"/>
          </w:tcPr>
          <w:p w:rsidR="00D4169E" w:rsidRPr="00642432" w:rsidRDefault="00D4169E" w:rsidP="0001390D">
            <w:pPr>
              <w:pStyle w:val="TableText"/>
              <w:tabs>
                <w:tab w:val="decimal" w:pos="470"/>
              </w:tabs>
              <w:rPr>
                <w:szCs w:val="18"/>
              </w:rPr>
            </w:pPr>
            <w:r w:rsidRPr="00642432">
              <w:rPr>
                <w:szCs w:val="18"/>
              </w:rPr>
              <w:t>9</w:t>
            </w:r>
          </w:p>
        </w:tc>
        <w:tc>
          <w:tcPr>
            <w:tcW w:w="851" w:type="dxa"/>
            <w:tcBorders>
              <w:top w:val="single" w:sz="4" w:space="0" w:color="A6A6A6" w:themeColor="background1" w:themeShade="A6"/>
              <w:bottom w:val="single" w:sz="4" w:space="0" w:color="auto"/>
            </w:tcBorders>
            <w:shd w:val="clear" w:color="auto" w:fill="auto"/>
          </w:tcPr>
          <w:p w:rsidR="00D4169E" w:rsidRPr="00642432" w:rsidRDefault="00D4169E" w:rsidP="0001390D">
            <w:pPr>
              <w:pStyle w:val="TableText"/>
              <w:tabs>
                <w:tab w:val="decimal" w:pos="470"/>
              </w:tabs>
              <w:rPr>
                <w:szCs w:val="18"/>
              </w:rPr>
            </w:pPr>
            <w:r w:rsidRPr="00642432">
              <w:rPr>
                <w:szCs w:val="18"/>
              </w:rPr>
              <w:t>6</w:t>
            </w:r>
          </w:p>
        </w:tc>
      </w:tr>
    </w:tbl>
    <w:p w:rsidR="004659AD" w:rsidRPr="00642432" w:rsidRDefault="004659AD" w:rsidP="00D4169E">
      <w:pPr>
        <w:pStyle w:val="Note"/>
        <w:ind w:left="0" w:right="0" w:firstLine="0"/>
      </w:pPr>
      <w:r w:rsidRPr="00642432">
        <w:t>Note:</w:t>
      </w:r>
      <w:r w:rsidR="00D32DDD" w:rsidRPr="00642432">
        <w:t xml:space="preserve"> </w:t>
      </w:r>
      <w:r w:rsidRPr="00642432">
        <w:t>Manual data supplied by DHBs has</w:t>
      </w:r>
      <w:r w:rsidR="00D32DDD" w:rsidRPr="00642432">
        <w:t xml:space="preserve"> </w:t>
      </w:r>
      <w:r w:rsidRPr="00642432">
        <w:t>been used for most DHBs. This</w:t>
      </w:r>
      <w:r w:rsidR="00D32DDD" w:rsidRPr="00642432">
        <w:t xml:space="preserve"> </w:t>
      </w:r>
      <w:r w:rsidRPr="00642432">
        <w:t>decision was made after issues with</w:t>
      </w:r>
      <w:r w:rsidR="00D4169E">
        <w:t xml:space="preserve"> </w:t>
      </w:r>
      <w:r w:rsidRPr="00642432">
        <w:t>2013 PRIMHD data were</w:t>
      </w:r>
      <w:r w:rsidR="00D32DDD" w:rsidRPr="00642432">
        <w:t xml:space="preserve"> </w:t>
      </w:r>
      <w:r w:rsidRPr="00642432">
        <w:t>identified. These issues will be addressed, with the intention of returning to</w:t>
      </w:r>
      <w:r w:rsidR="00D4169E">
        <w:t xml:space="preserve"> </w:t>
      </w:r>
      <w:r w:rsidRPr="00642432">
        <w:t>PRIMHD for future Annual Reports.</w:t>
      </w:r>
    </w:p>
    <w:p w:rsidR="004659AD" w:rsidRPr="00642432" w:rsidRDefault="004659AD" w:rsidP="00D4169E">
      <w:pPr>
        <w:pStyle w:val="Source"/>
        <w:ind w:left="0" w:right="0" w:firstLine="0"/>
      </w:pPr>
      <w:r w:rsidRPr="00642432">
        <w:t>Source: Manual data provided by DHBs, except for Auckland, Counties Manukau, Southern, Taranaki and West Coast which is PRIMHD data, extracted on 14 August 2014</w:t>
      </w:r>
      <w:r w:rsidR="00D4169E">
        <w:t>.</w:t>
      </w:r>
    </w:p>
    <w:p w:rsidR="004659AD" w:rsidRPr="00642432" w:rsidRDefault="004659AD" w:rsidP="00D4169E"/>
    <w:p w:rsidR="004659AD" w:rsidRDefault="004659AD" w:rsidP="00D4169E">
      <w:pPr>
        <w:pStyle w:val="Table"/>
      </w:pPr>
      <w:bookmarkStart w:id="35" w:name="_Toc405113685"/>
      <w:r w:rsidRPr="00642432">
        <w:t>Table 5: Average number of people per 100,000, on a given day subject to sections 29, 30 and 31 of the</w:t>
      </w:r>
      <w:r w:rsidR="00D4169E">
        <w:t xml:space="preserve"> </w:t>
      </w:r>
      <w:r w:rsidRPr="00642432">
        <w:rPr>
          <w:rFonts w:asciiTheme="minorHAnsi" w:eastAsiaTheme="minorHAnsi" w:hAnsiTheme="minorHAnsi" w:cstheme="minorBidi"/>
          <w:noProof/>
          <w:szCs w:val="22"/>
          <w:lang w:eastAsia="en-NZ"/>
        </w:rPr>
        <mc:AlternateContent>
          <mc:Choice Requires="wpg">
            <w:drawing>
              <wp:anchor distT="0" distB="0" distL="114300" distR="114300" simplePos="0" relativeHeight="251716608" behindDoc="1" locked="0" layoutInCell="1" allowOverlap="1" wp14:anchorId="3D730407" wp14:editId="006E519F">
                <wp:simplePos x="0" y="0"/>
                <wp:positionH relativeFrom="page">
                  <wp:posOffset>2084705</wp:posOffset>
                </wp:positionH>
                <wp:positionV relativeFrom="paragraph">
                  <wp:posOffset>248920</wp:posOffset>
                </wp:positionV>
                <wp:extent cx="1270" cy="204470"/>
                <wp:effectExtent l="0" t="1270" r="9525" b="3810"/>
                <wp:wrapNone/>
                <wp:docPr id="4729" name="Group 4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4470"/>
                          <a:chOff x="3283" y="392"/>
                          <a:chExt cx="2" cy="322"/>
                        </a:xfrm>
                      </wpg:grpSpPr>
                      <wps:wsp>
                        <wps:cNvPr id="4730" name="Freeform 919"/>
                        <wps:cNvSpPr>
                          <a:spLocks/>
                        </wps:cNvSpPr>
                        <wps:spPr bwMode="auto">
                          <a:xfrm>
                            <a:off x="3283" y="392"/>
                            <a:ext cx="2" cy="322"/>
                          </a:xfrm>
                          <a:custGeom>
                            <a:avLst/>
                            <a:gdLst>
                              <a:gd name="T0" fmla="+- 0 392 392"/>
                              <a:gd name="T1" fmla="*/ 392 h 322"/>
                              <a:gd name="T2" fmla="+- 0 714 392"/>
                              <a:gd name="T3" fmla="*/ 714 h 322"/>
                              <a:gd name="T4" fmla="+- 0 392 392"/>
                              <a:gd name="T5" fmla="*/ 392 h 322"/>
                            </a:gdLst>
                            <a:ahLst/>
                            <a:cxnLst>
                              <a:cxn ang="0">
                                <a:pos x="0" y="T1"/>
                              </a:cxn>
                              <a:cxn ang="0">
                                <a:pos x="0" y="T3"/>
                              </a:cxn>
                              <a:cxn ang="0">
                                <a:pos x="0" y="T5"/>
                              </a:cxn>
                            </a:cxnLst>
                            <a:rect l="0" t="0" r="r" b="b"/>
                            <a:pathLst>
                              <a:path h="322">
                                <a:moveTo>
                                  <a:pt x="0" y="0"/>
                                </a:moveTo>
                                <a:lnTo>
                                  <a:pt x="0" y="322"/>
                                </a:lnTo>
                                <a:lnTo>
                                  <a:pt x="0" y="0"/>
                                </a:lnTo>
                              </a:path>
                            </a:pathLst>
                          </a:custGeom>
                          <a:solidFill>
                            <a:srgbClr val="CB5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9EB30" id="Group 4729" o:spid="_x0000_s1026" style="position:absolute;margin-left:164.15pt;margin-top:19.6pt;width:.1pt;height:16.1pt;z-index:-251599872;mso-position-horizontal-relative:page" coordorigin="3283,392" coordsize="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">
                <v:shape id="Freeform 919" o:spid="_x0000_s1027" style="position:absolute;left:3283;top:392;width:2;height:32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qXsEA&#10;AADdAAAADwAAAGRycy9kb3ducmV2LnhtbERPy4rCMBTdD/gP4QruxtQHjlSjiFBwIagdN+4uzbUt&#10;NjeliRr/3iwEl4fzXq6DacSDOldbVjAaJiCIC6trLhWc/7PfOQjnkTU2lknBixysV72fJabaPvlE&#10;j9yXIoawS1FB5X2bSumKigy6oW2JI3e1nUEfYVdK3eEzhptGjpNkJg3WHBsqbGlbUXHL70bB4XC5&#10;ZKfb9pgFuW+Du85LR3ulBv2wWYDwFPxX/HHvtILp3yTuj2/iE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Bql7BAAAA3QAAAA8AAAAAAAAAAAAAAAAAmAIAAGRycy9kb3du&#10;cmV2LnhtbFBLBQYAAAAABAAEAPUAAACGAwAAAAA=&#10;" path="m,l,322,,e" fillcolor="#cb5936" stroked="f">
                  <v:path arrowok="t" o:connecttype="custom" o:connectlocs="0,392;0,714;0,392" o:connectangles="0,0,0"/>
                </v:shape>
                <w10:wrap anchorx="page"/>
              </v:group>
            </w:pict>
          </mc:Fallback>
        </mc:AlternateContent>
      </w:r>
      <w:r w:rsidRPr="00642432">
        <w:t>Mental Health Act, by DHB, 1 January to 31 December 2013</w:t>
      </w:r>
      <w:bookmarkEnd w:id="35"/>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843"/>
        <w:gridCol w:w="850"/>
        <w:gridCol w:w="851"/>
        <w:gridCol w:w="851"/>
        <w:gridCol w:w="567"/>
        <w:gridCol w:w="1842"/>
        <w:gridCol w:w="850"/>
        <w:gridCol w:w="851"/>
        <w:gridCol w:w="851"/>
      </w:tblGrid>
      <w:tr w:rsidR="00404592" w:rsidRPr="0001390D" w:rsidTr="003C241A">
        <w:trPr>
          <w:cantSplit/>
        </w:trPr>
        <w:tc>
          <w:tcPr>
            <w:tcW w:w="1843" w:type="dxa"/>
            <w:tcBorders>
              <w:top w:val="single" w:sz="4" w:space="0" w:color="auto"/>
              <w:bottom w:val="single" w:sz="4" w:space="0" w:color="auto"/>
            </w:tcBorders>
            <w:shd w:val="clear" w:color="auto" w:fill="F2F2F2" w:themeFill="background1" w:themeFillShade="F2"/>
          </w:tcPr>
          <w:p w:rsidR="00404592" w:rsidRPr="0001390D" w:rsidRDefault="00404592" w:rsidP="00404592">
            <w:pPr>
              <w:pStyle w:val="TableText"/>
              <w:keepNext/>
              <w:rPr>
                <w:b/>
              </w:rPr>
            </w:pPr>
            <w:r w:rsidRPr="0001390D">
              <w:rPr>
                <w:b/>
              </w:rPr>
              <w:t>DHB</w:t>
            </w:r>
          </w:p>
        </w:tc>
        <w:tc>
          <w:tcPr>
            <w:tcW w:w="850" w:type="dxa"/>
            <w:tcBorders>
              <w:top w:val="single" w:sz="4" w:space="0" w:color="auto"/>
              <w:bottom w:val="single" w:sz="4" w:space="0" w:color="auto"/>
            </w:tcBorders>
            <w:shd w:val="clear" w:color="auto" w:fill="F2F2F2" w:themeFill="background1" w:themeFillShade="F2"/>
          </w:tcPr>
          <w:p w:rsidR="00404592" w:rsidRPr="0001390D" w:rsidRDefault="00404592" w:rsidP="00404592">
            <w:pPr>
              <w:pStyle w:val="TableText"/>
              <w:keepNext/>
              <w:jc w:val="center"/>
              <w:rPr>
                <w:b/>
              </w:rPr>
            </w:pPr>
            <w:r w:rsidRPr="0001390D">
              <w:rPr>
                <w:b/>
              </w:rPr>
              <w:t xml:space="preserve">s </w:t>
            </w:r>
            <w:r>
              <w:rPr>
                <w:b/>
              </w:rPr>
              <w:t>29</w:t>
            </w:r>
          </w:p>
        </w:tc>
        <w:tc>
          <w:tcPr>
            <w:tcW w:w="851" w:type="dxa"/>
            <w:tcBorders>
              <w:top w:val="single" w:sz="4" w:space="0" w:color="auto"/>
              <w:bottom w:val="single" w:sz="4" w:space="0" w:color="auto"/>
            </w:tcBorders>
            <w:shd w:val="clear" w:color="auto" w:fill="F2F2F2" w:themeFill="background1" w:themeFillShade="F2"/>
          </w:tcPr>
          <w:p w:rsidR="00404592" w:rsidRPr="0001390D" w:rsidRDefault="00404592" w:rsidP="00404592">
            <w:pPr>
              <w:pStyle w:val="TableText"/>
              <w:keepNext/>
              <w:jc w:val="center"/>
              <w:rPr>
                <w:b/>
              </w:rPr>
            </w:pPr>
            <w:r w:rsidRPr="0001390D">
              <w:rPr>
                <w:b/>
              </w:rPr>
              <w:t xml:space="preserve">s </w:t>
            </w:r>
            <w:r>
              <w:rPr>
                <w:b/>
              </w:rPr>
              <w:t>30</w:t>
            </w:r>
          </w:p>
        </w:tc>
        <w:tc>
          <w:tcPr>
            <w:tcW w:w="851" w:type="dxa"/>
            <w:tcBorders>
              <w:top w:val="single" w:sz="4" w:space="0" w:color="auto"/>
              <w:bottom w:val="single" w:sz="4" w:space="0" w:color="auto"/>
            </w:tcBorders>
            <w:shd w:val="clear" w:color="auto" w:fill="F2F2F2" w:themeFill="background1" w:themeFillShade="F2"/>
          </w:tcPr>
          <w:p w:rsidR="00404592" w:rsidRPr="0001390D" w:rsidRDefault="00404592" w:rsidP="00404592">
            <w:pPr>
              <w:pStyle w:val="TableText"/>
              <w:keepNext/>
              <w:jc w:val="center"/>
              <w:rPr>
                <w:b/>
              </w:rPr>
            </w:pPr>
            <w:r w:rsidRPr="0001390D">
              <w:rPr>
                <w:b/>
              </w:rPr>
              <w:t xml:space="preserve">s </w:t>
            </w:r>
            <w:r>
              <w:rPr>
                <w:b/>
              </w:rPr>
              <w:t>31</w:t>
            </w:r>
          </w:p>
        </w:tc>
        <w:tc>
          <w:tcPr>
            <w:tcW w:w="567" w:type="dxa"/>
            <w:tcBorders>
              <w:top w:val="nil"/>
              <w:bottom w:val="nil"/>
            </w:tcBorders>
            <w:shd w:val="clear" w:color="auto" w:fill="auto"/>
          </w:tcPr>
          <w:p w:rsidR="00404592" w:rsidRPr="0001390D" w:rsidRDefault="00404592" w:rsidP="00404592">
            <w:pPr>
              <w:pStyle w:val="TableText"/>
              <w:keepNext/>
              <w:rPr>
                <w:b/>
              </w:rPr>
            </w:pPr>
          </w:p>
        </w:tc>
        <w:tc>
          <w:tcPr>
            <w:tcW w:w="1842" w:type="dxa"/>
            <w:tcBorders>
              <w:top w:val="single" w:sz="4" w:space="0" w:color="auto"/>
              <w:bottom w:val="single" w:sz="4" w:space="0" w:color="auto"/>
            </w:tcBorders>
            <w:shd w:val="clear" w:color="auto" w:fill="F2F2F2" w:themeFill="background1" w:themeFillShade="F2"/>
          </w:tcPr>
          <w:p w:rsidR="00404592" w:rsidRPr="0001390D" w:rsidRDefault="00404592" w:rsidP="00404592">
            <w:pPr>
              <w:pStyle w:val="TableText"/>
              <w:keepNext/>
              <w:rPr>
                <w:b/>
              </w:rPr>
            </w:pPr>
            <w:r w:rsidRPr="0001390D">
              <w:rPr>
                <w:b/>
              </w:rPr>
              <w:t>DHB</w:t>
            </w:r>
          </w:p>
        </w:tc>
        <w:tc>
          <w:tcPr>
            <w:tcW w:w="850" w:type="dxa"/>
            <w:tcBorders>
              <w:top w:val="single" w:sz="4" w:space="0" w:color="auto"/>
              <w:bottom w:val="single" w:sz="4" w:space="0" w:color="auto"/>
            </w:tcBorders>
            <w:shd w:val="clear" w:color="auto" w:fill="F2F2F2" w:themeFill="background1" w:themeFillShade="F2"/>
          </w:tcPr>
          <w:p w:rsidR="00404592" w:rsidRPr="0001390D" w:rsidRDefault="00404592" w:rsidP="00404592">
            <w:pPr>
              <w:pStyle w:val="TableText"/>
              <w:keepNext/>
              <w:jc w:val="center"/>
              <w:rPr>
                <w:b/>
                <w:szCs w:val="18"/>
              </w:rPr>
            </w:pPr>
            <w:r w:rsidRPr="0001390D">
              <w:rPr>
                <w:b/>
                <w:szCs w:val="18"/>
              </w:rPr>
              <w:t xml:space="preserve">s </w:t>
            </w:r>
            <w:r>
              <w:rPr>
                <w:b/>
                <w:szCs w:val="18"/>
              </w:rPr>
              <w:t>29</w:t>
            </w:r>
          </w:p>
        </w:tc>
        <w:tc>
          <w:tcPr>
            <w:tcW w:w="851" w:type="dxa"/>
            <w:tcBorders>
              <w:top w:val="single" w:sz="4" w:space="0" w:color="auto"/>
              <w:bottom w:val="single" w:sz="4" w:space="0" w:color="auto"/>
            </w:tcBorders>
            <w:shd w:val="clear" w:color="auto" w:fill="F2F2F2" w:themeFill="background1" w:themeFillShade="F2"/>
          </w:tcPr>
          <w:p w:rsidR="00404592" w:rsidRPr="0001390D" w:rsidRDefault="00404592" w:rsidP="00404592">
            <w:pPr>
              <w:pStyle w:val="TableText"/>
              <w:keepNext/>
              <w:jc w:val="center"/>
              <w:rPr>
                <w:b/>
                <w:szCs w:val="18"/>
              </w:rPr>
            </w:pPr>
            <w:r w:rsidRPr="0001390D">
              <w:rPr>
                <w:b/>
                <w:szCs w:val="18"/>
              </w:rPr>
              <w:t>s 3</w:t>
            </w:r>
            <w:r>
              <w:rPr>
                <w:b/>
                <w:szCs w:val="18"/>
              </w:rPr>
              <w:t>0</w:t>
            </w:r>
          </w:p>
        </w:tc>
        <w:tc>
          <w:tcPr>
            <w:tcW w:w="851" w:type="dxa"/>
            <w:tcBorders>
              <w:top w:val="single" w:sz="4" w:space="0" w:color="auto"/>
              <w:bottom w:val="single" w:sz="4" w:space="0" w:color="auto"/>
            </w:tcBorders>
            <w:shd w:val="clear" w:color="auto" w:fill="F2F2F2" w:themeFill="background1" w:themeFillShade="F2"/>
          </w:tcPr>
          <w:p w:rsidR="00404592" w:rsidRPr="0001390D" w:rsidRDefault="00404592" w:rsidP="00404592">
            <w:pPr>
              <w:pStyle w:val="TableText"/>
              <w:keepNext/>
              <w:jc w:val="center"/>
              <w:rPr>
                <w:b/>
                <w:szCs w:val="18"/>
              </w:rPr>
            </w:pPr>
            <w:r w:rsidRPr="0001390D">
              <w:rPr>
                <w:b/>
                <w:szCs w:val="18"/>
              </w:rPr>
              <w:t xml:space="preserve">s </w:t>
            </w:r>
            <w:r>
              <w:rPr>
                <w:b/>
                <w:szCs w:val="18"/>
              </w:rPr>
              <w:t>3</w:t>
            </w:r>
            <w:r w:rsidRPr="0001390D">
              <w:rPr>
                <w:b/>
                <w:szCs w:val="18"/>
              </w:rPr>
              <w:t>1</w:t>
            </w:r>
          </w:p>
        </w:tc>
      </w:tr>
      <w:tr w:rsidR="00404592" w:rsidRPr="00642432" w:rsidTr="003C241A">
        <w:trPr>
          <w:cantSplit/>
        </w:trPr>
        <w:tc>
          <w:tcPr>
            <w:tcW w:w="1843" w:type="dxa"/>
            <w:tcBorders>
              <w:top w:val="single" w:sz="4" w:space="0" w:color="auto"/>
              <w:bottom w:val="nil"/>
            </w:tcBorders>
            <w:shd w:val="clear" w:color="auto" w:fill="auto"/>
          </w:tcPr>
          <w:p w:rsidR="00404592" w:rsidRPr="00642432" w:rsidRDefault="00404592" w:rsidP="003C241A">
            <w:pPr>
              <w:pStyle w:val="TableText"/>
            </w:pPr>
            <w:r>
              <w:t>Auckland</w:t>
            </w:r>
          </w:p>
        </w:tc>
        <w:tc>
          <w:tcPr>
            <w:tcW w:w="850" w:type="dxa"/>
            <w:tcBorders>
              <w:top w:val="single" w:sz="4" w:space="0" w:color="auto"/>
              <w:bottom w:val="nil"/>
            </w:tcBorders>
            <w:shd w:val="clear" w:color="auto" w:fill="auto"/>
          </w:tcPr>
          <w:p w:rsidR="00404592" w:rsidRPr="00642432" w:rsidRDefault="00404592" w:rsidP="003C241A">
            <w:pPr>
              <w:pStyle w:val="TableText"/>
              <w:tabs>
                <w:tab w:val="decimal" w:pos="456"/>
              </w:tabs>
            </w:pPr>
            <w:r>
              <w:t>93</w:t>
            </w:r>
          </w:p>
        </w:tc>
        <w:tc>
          <w:tcPr>
            <w:tcW w:w="851" w:type="dxa"/>
            <w:tcBorders>
              <w:top w:val="single" w:sz="4" w:space="0" w:color="auto"/>
              <w:bottom w:val="nil"/>
            </w:tcBorders>
            <w:shd w:val="clear" w:color="auto" w:fill="auto"/>
          </w:tcPr>
          <w:p w:rsidR="00404592" w:rsidRPr="00642432" w:rsidRDefault="00404592" w:rsidP="003C241A">
            <w:pPr>
              <w:pStyle w:val="TableText"/>
              <w:tabs>
                <w:tab w:val="decimal" w:pos="456"/>
              </w:tabs>
            </w:pPr>
            <w:r>
              <w:t>7</w:t>
            </w:r>
          </w:p>
        </w:tc>
        <w:tc>
          <w:tcPr>
            <w:tcW w:w="851" w:type="dxa"/>
            <w:tcBorders>
              <w:top w:val="single" w:sz="4" w:space="0" w:color="auto"/>
              <w:bottom w:val="nil"/>
            </w:tcBorders>
            <w:shd w:val="clear" w:color="auto" w:fill="auto"/>
          </w:tcPr>
          <w:p w:rsidR="00404592" w:rsidRPr="00642432" w:rsidRDefault="00404592" w:rsidP="003C241A">
            <w:pPr>
              <w:pStyle w:val="TableText"/>
              <w:tabs>
                <w:tab w:val="decimal" w:pos="456"/>
              </w:tabs>
            </w:pPr>
            <w:r>
              <w:t>–</w:t>
            </w:r>
          </w:p>
        </w:tc>
        <w:tc>
          <w:tcPr>
            <w:tcW w:w="567" w:type="dxa"/>
            <w:tcBorders>
              <w:top w:val="nil"/>
              <w:bottom w:val="nil"/>
            </w:tcBorders>
            <w:shd w:val="clear" w:color="auto" w:fill="auto"/>
          </w:tcPr>
          <w:p w:rsidR="00404592" w:rsidRPr="00642432" w:rsidRDefault="00404592" w:rsidP="003C241A">
            <w:pPr>
              <w:pStyle w:val="TableText"/>
            </w:pPr>
          </w:p>
        </w:tc>
        <w:tc>
          <w:tcPr>
            <w:tcW w:w="1842" w:type="dxa"/>
            <w:tcBorders>
              <w:top w:val="single" w:sz="4" w:space="0" w:color="auto"/>
              <w:bottom w:val="nil"/>
            </w:tcBorders>
            <w:shd w:val="clear" w:color="auto" w:fill="auto"/>
          </w:tcPr>
          <w:p w:rsidR="00404592" w:rsidRPr="00642432" w:rsidRDefault="00404592" w:rsidP="003C241A">
            <w:pPr>
              <w:pStyle w:val="TableText"/>
            </w:pPr>
            <w:r w:rsidRPr="00642432">
              <w:t>Northland</w:t>
            </w:r>
          </w:p>
        </w:tc>
        <w:tc>
          <w:tcPr>
            <w:tcW w:w="850" w:type="dxa"/>
            <w:tcBorders>
              <w:top w:val="single" w:sz="4" w:space="0" w:color="auto"/>
              <w:bottom w:val="nil"/>
            </w:tcBorders>
            <w:shd w:val="clear" w:color="auto" w:fill="auto"/>
          </w:tcPr>
          <w:p w:rsidR="00404592" w:rsidRPr="00642432" w:rsidRDefault="00404592" w:rsidP="00404592">
            <w:pPr>
              <w:pStyle w:val="TableText"/>
              <w:tabs>
                <w:tab w:val="decimal" w:pos="522"/>
              </w:tabs>
            </w:pPr>
            <w:r w:rsidRPr="00642432">
              <w:t>177</w:t>
            </w:r>
          </w:p>
        </w:tc>
        <w:tc>
          <w:tcPr>
            <w:tcW w:w="851" w:type="dxa"/>
            <w:tcBorders>
              <w:top w:val="single" w:sz="4" w:space="0" w:color="auto"/>
              <w:bottom w:val="nil"/>
            </w:tcBorders>
            <w:shd w:val="clear" w:color="auto" w:fill="auto"/>
          </w:tcPr>
          <w:p w:rsidR="00404592" w:rsidRPr="00642432" w:rsidRDefault="00404592" w:rsidP="00404592">
            <w:pPr>
              <w:pStyle w:val="TableText"/>
              <w:tabs>
                <w:tab w:val="decimal" w:pos="522"/>
              </w:tabs>
            </w:pPr>
            <w:r w:rsidRPr="00642432">
              <w:t>8</w:t>
            </w:r>
          </w:p>
        </w:tc>
        <w:tc>
          <w:tcPr>
            <w:tcW w:w="851" w:type="dxa"/>
            <w:tcBorders>
              <w:top w:val="single" w:sz="4" w:space="0" w:color="auto"/>
              <w:bottom w:val="nil"/>
            </w:tcBorders>
            <w:shd w:val="clear" w:color="auto" w:fill="auto"/>
          </w:tcPr>
          <w:p w:rsidR="00404592" w:rsidRPr="00642432" w:rsidRDefault="00404592" w:rsidP="00404592">
            <w:pPr>
              <w:pStyle w:val="TableText"/>
              <w:tabs>
                <w:tab w:val="decimal" w:pos="522"/>
              </w:tabs>
            </w:pPr>
            <w:r w:rsidRPr="00642432">
              <w:t>6</w:t>
            </w:r>
          </w:p>
        </w:tc>
      </w:tr>
      <w:tr w:rsidR="00404592" w:rsidRPr="00642432" w:rsidTr="003C241A">
        <w:trPr>
          <w:cantSplit/>
        </w:trPr>
        <w:tc>
          <w:tcPr>
            <w:tcW w:w="1843" w:type="dxa"/>
            <w:tcBorders>
              <w:top w:val="nil"/>
              <w:bottom w:val="nil"/>
            </w:tcBorders>
            <w:shd w:val="clear" w:color="auto" w:fill="F2F2F2" w:themeFill="background1" w:themeFillShade="F2"/>
          </w:tcPr>
          <w:p w:rsidR="00404592" w:rsidRPr="00642432" w:rsidRDefault="00404592" w:rsidP="003C241A">
            <w:pPr>
              <w:pStyle w:val="TableText"/>
            </w:pPr>
            <w:r>
              <w:t>Bay of Plenty</w:t>
            </w:r>
          </w:p>
        </w:tc>
        <w:tc>
          <w:tcPr>
            <w:tcW w:w="850"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46</w:t>
            </w:r>
          </w:p>
        </w:tc>
        <w:tc>
          <w:tcPr>
            <w:tcW w:w="851"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9</w:t>
            </w:r>
          </w:p>
        </w:tc>
        <w:tc>
          <w:tcPr>
            <w:tcW w:w="851"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5</w:t>
            </w:r>
          </w:p>
        </w:tc>
        <w:tc>
          <w:tcPr>
            <w:tcW w:w="567" w:type="dxa"/>
            <w:tcBorders>
              <w:top w:val="nil"/>
              <w:bottom w:val="nil"/>
            </w:tcBorders>
            <w:shd w:val="clear" w:color="auto" w:fill="auto"/>
          </w:tcPr>
          <w:p w:rsidR="00404592" w:rsidRPr="00642432" w:rsidRDefault="00404592" w:rsidP="003C241A">
            <w:pPr>
              <w:pStyle w:val="TableText"/>
            </w:pPr>
          </w:p>
        </w:tc>
        <w:tc>
          <w:tcPr>
            <w:tcW w:w="1842" w:type="dxa"/>
            <w:tcBorders>
              <w:top w:val="nil"/>
              <w:bottom w:val="nil"/>
            </w:tcBorders>
            <w:shd w:val="clear" w:color="auto" w:fill="F2F2F2" w:themeFill="background1" w:themeFillShade="F2"/>
          </w:tcPr>
          <w:p w:rsidR="00404592" w:rsidRPr="00642432" w:rsidRDefault="00404592" w:rsidP="003C241A">
            <w:pPr>
              <w:pStyle w:val="TableText"/>
            </w:pPr>
            <w:r w:rsidRPr="00642432">
              <w:t>South Canterbury</w:t>
            </w:r>
          </w:p>
        </w:tc>
        <w:tc>
          <w:tcPr>
            <w:tcW w:w="850" w:type="dxa"/>
            <w:tcBorders>
              <w:top w:val="nil"/>
              <w:bottom w:val="nil"/>
            </w:tcBorders>
            <w:shd w:val="clear" w:color="auto" w:fill="F2F2F2" w:themeFill="background1" w:themeFillShade="F2"/>
          </w:tcPr>
          <w:p w:rsidR="00404592" w:rsidRPr="00642432" w:rsidRDefault="00404592" w:rsidP="00404592">
            <w:pPr>
              <w:pStyle w:val="TableText"/>
              <w:tabs>
                <w:tab w:val="decimal" w:pos="522"/>
              </w:tabs>
            </w:pPr>
            <w:r w:rsidRPr="00642432">
              <w:t>79</w:t>
            </w:r>
          </w:p>
        </w:tc>
        <w:tc>
          <w:tcPr>
            <w:tcW w:w="851" w:type="dxa"/>
            <w:tcBorders>
              <w:top w:val="nil"/>
              <w:bottom w:val="nil"/>
            </w:tcBorders>
            <w:shd w:val="clear" w:color="auto" w:fill="F2F2F2" w:themeFill="background1" w:themeFillShade="F2"/>
          </w:tcPr>
          <w:p w:rsidR="00404592" w:rsidRPr="00642432" w:rsidRDefault="00404592" w:rsidP="00404592">
            <w:pPr>
              <w:pStyle w:val="TableText"/>
              <w:tabs>
                <w:tab w:val="decimal" w:pos="522"/>
              </w:tabs>
            </w:pPr>
            <w:r w:rsidRPr="00642432">
              <w:t>23</w:t>
            </w:r>
          </w:p>
        </w:tc>
        <w:tc>
          <w:tcPr>
            <w:tcW w:w="851" w:type="dxa"/>
            <w:tcBorders>
              <w:top w:val="nil"/>
              <w:bottom w:val="nil"/>
            </w:tcBorders>
            <w:shd w:val="clear" w:color="auto" w:fill="F2F2F2" w:themeFill="background1" w:themeFillShade="F2"/>
          </w:tcPr>
          <w:p w:rsidR="00404592" w:rsidRPr="00642432" w:rsidRDefault="00404592" w:rsidP="00404592">
            <w:pPr>
              <w:pStyle w:val="TableText"/>
              <w:tabs>
                <w:tab w:val="decimal" w:pos="522"/>
              </w:tabs>
            </w:pPr>
            <w:r w:rsidRPr="00642432">
              <w:t>14</w:t>
            </w:r>
          </w:p>
        </w:tc>
      </w:tr>
      <w:tr w:rsidR="00404592" w:rsidRPr="00642432" w:rsidTr="003C241A">
        <w:trPr>
          <w:cantSplit/>
        </w:trPr>
        <w:tc>
          <w:tcPr>
            <w:tcW w:w="1843" w:type="dxa"/>
            <w:tcBorders>
              <w:top w:val="nil"/>
              <w:bottom w:val="nil"/>
            </w:tcBorders>
            <w:shd w:val="clear" w:color="auto" w:fill="auto"/>
          </w:tcPr>
          <w:p w:rsidR="00404592" w:rsidRPr="00642432" w:rsidRDefault="00404592" w:rsidP="003C241A">
            <w:pPr>
              <w:pStyle w:val="TableText"/>
            </w:pPr>
            <w:r>
              <w:t>Canterbury</w:t>
            </w:r>
          </w:p>
        </w:tc>
        <w:tc>
          <w:tcPr>
            <w:tcW w:w="850" w:type="dxa"/>
            <w:tcBorders>
              <w:top w:val="nil"/>
              <w:bottom w:val="nil"/>
            </w:tcBorders>
            <w:shd w:val="clear" w:color="auto" w:fill="auto"/>
          </w:tcPr>
          <w:p w:rsidR="00404592" w:rsidRPr="00642432" w:rsidRDefault="00404592" w:rsidP="003C241A">
            <w:pPr>
              <w:pStyle w:val="TableText"/>
              <w:tabs>
                <w:tab w:val="decimal" w:pos="456"/>
              </w:tabs>
            </w:pPr>
            <w:r>
              <w:t>58</w:t>
            </w:r>
          </w:p>
        </w:tc>
        <w:tc>
          <w:tcPr>
            <w:tcW w:w="851" w:type="dxa"/>
            <w:tcBorders>
              <w:top w:val="nil"/>
              <w:bottom w:val="nil"/>
            </w:tcBorders>
            <w:shd w:val="clear" w:color="auto" w:fill="auto"/>
          </w:tcPr>
          <w:p w:rsidR="00404592" w:rsidRPr="00642432" w:rsidRDefault="00404592" w:rsidP="003C241A">
            <w:pPr>
              <w:pStyle w:val="TableText"/>
              <w:tabs>
                <w:tab w:val="decimal" w:pos="456"/>
              </w:tabs>
            </w:pPr>
            <w:r>
              <w:t>20</w:t>
            </w:r>
          </w:p>
        </w:tc>
        <w:tc>
          <w:tcPr>
            <w:tcW w:w="851" w:type="dxa"/>
            <w:tcBorders>
              <w:top w:val="nil"/>
              <w:bottom w:val="nil"/>
            </w:tcBorders>
            <w:shd w:val="clear" w:color="auto" w:fill="auto"/>
          </w:tcPr>
          <w:p w:rsidR="00404592" w:rsidRPr="00642432" w:rsidRDefault="00404592" w:rsidP="003C241A">
            <w:pPr>
              <w:pStyle w:val="TableText"/>
              <w:tabs>
                <w:tab w:val="decimal" w:pos="456"/>
              </w:tabs>
            </w:pPr>
            <w:r>
              <w:t>6</w:t>
            </w:r>
          </w:p>
        </w:tc>
        <w:tc>
          <w:tcPr>
            <w:tcW w:w="567" w:type="dxa"/>
            <w:tcBorders>
              <w:top w:val="nil"/>
              <w:bottom w:val="nil"/>
            </w:tcBorders>
            <w:shd w:val="clear" w:color="auto" w:fill="auto"/>
          </w:tcPr>
          <w:p w:rsidR="00404592" w:rsidRPr="00642432" w:rsidRDefault="00404592" w:rsidP="003C241A">
            <w:pPr>
              <w:pStyle w:val="TableText"/>
            </w:pPr>
          </w:p>
        </w:tc>
        <w:tc>
          <w:tcPr>
            <w:tcW w:w="1842" w:type="dxa"/>
            <w:tcBorders>
              <w:top w:val="nil"/>
              <w:bottom w:val="nil"/>
            </w:tcBorders>
            <w:shd w:val="clear" w:color="auto" w:fill="auto"/>
          </w:tcPr>
          <w:p w:rsidR="00404592" w:rsidRPr="00642432" w:rsidRDefault="00404592" w:rsidP="003C241A">
            <w:pPr>
              <w:pStyle w:val="TableText"/>
            </w:pPr>
            <w:r w:rsidRPr="00642432">
              <w:t>Southern</w:t>
            </w:r>
          </w:p>
        </w:tc>
        <w:tc>
          <w:tcPr>
            <w:tcW w:w="850" w:type="dxa"/>
            <w:tcBorders>
              <w:top w:val="nil"/>
              <w:bottom w:val="nil"/>
            </w:tcBorders>
            <w:shd w:val="clear" w:color="auto" w:fill="auto"/>
          </w:tcPr>
          <w:p w:rsidR="00404592" w:rsidRPr="00642432" w:rsidRDefault="00404592" w:rsidP="00404592">
            <w:pPr>
              <w:pStyle w:val="TableText"/>
              <w:tabs>
                <w:tab w:val="decimal" w:pos="522"/>
              </w:tabs>
            </w:pPr>
            <w:r w:rsidRPr="00642432">
              <w:t>71</w:t>
            </w:r>
          </w:p>
        </w:tc>
        <w:tc>
          <w:tcPr>
            <w:tcW w:w="851" w:type="dxa"/>
            <w:tcBorders>
              <w:top w:val="nil"/>
              <w:bottom w:val="nil"/>
            </w:tcBorders>
            <w:shd w:val="clear" w:color="auto" w:fill="auto"/>
          </w:tcPr>
          <w:p w:rsidR="00404592" w:rsidRPr="00642432" w:rsidRDefault="00404592" w:rsidP="00404592">
            <w:pPr>
              <w:pStyle w:val="TableText"/>
              <w:tabs>
                <w:tab w:val="decimal" w:pos="522"/>
              </w:tabs>
            </w:pPr>
            <w:r w:rsidRPr="00642432">
              <w:t>15</w:t>
            </w:r>
          </w:p>
        </w:tc>
        <w:tc>
          <w:tcPr>
            <w:tcW w:w="851" w:type="dxa"/>
            <w:tcBorders>
              <w:top w:val="nil"/>
              <w:bottom w:val="nil"/>
            </w:tcBorders>
            <w:shd w:val="clear" w:color="auto" w:fill="auto"/>
          </w:tcPr>
          <w:p w:rsidR="00404592" w:rsidRPr="00642432" w:rsidRDefault="00404592" w:rsidP="00404592">
            <w:pPr>
              <w:pStyle w:val="TableText"/>
              <w:tabs>
                <w:tab w:val="decimal" w:pos="522"/>
              </w:tabs>
            </w:pPr>
            <w:r w:rsidRPr="00642432">
              <w:t>3</w:t>
            </w:r>
          </w:p>
        </w:tc>
      </w:tr>
      <w:tr w:rsidR="00404592" w:rsidRPr="00642432" w:rsidTr="003C241A">
        <w:trPr>
          <w:cantSplit/>
        </w:trPr>
        <w:tc>
          <w:tcPr>
            <w:tcW w:w="1843" w:type="dxa"/>
            <w:tcBorders>
              <w:top w:val="nil"/>
              <w:bottom w:val="nil"/>
            </w:tcBorders>
            <w:shd w:val="clear" w:color="auto" w:fill="F2F2F2" w:themeFill="background1" w:themeFillShade="F2"/>
          </w:tcPr>
          <w:p w:rsidR="00404592" w:rsidRPr="00642432" w:rsidRDefault="00404592" w:rsidP="003C241A">
            <w:pPr>
              <w:pStyle w:val="TableText"/>
            </w:pPr>
            <w:r>
              <w:t>Capital &amp; Coast</w:t>
            </w:r>
          </w:p>
        </w:tc>
        <w:tc>
          <w:tcPr>
            <w:tcW w:w="850"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100</w:t>
            </w:r>
          </w:p>
        </w:tc>
        <w:tc>
          <w:tcPr>
            <w:tcW w:w="851"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25</w:t>
            </w:r>
          </w:p>
        </w:tc>
        <w:tc>
          <w:tcPr>
            <w:tcW w:w="851"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3</w:t>
            </w:r>
          </w:p>
        </w:tc>
        <w:tc>
          <w:tcPr>
            <w:tcW w:w="567" w:type="dxa"/>
            <w:tcBorders>
              <w:top w:val="nil"/>
              <w:bottom w:val="nil"/>
            </w:tcBorders>
            <w:shd w:val="clear" w:color="auto" w:fill="auto"/>
          </w:tcPr>
          <w:p w:rsidR="00404592" w:rsidRPr="00642432" w:rsidRDefault="00404592" w:rsidP="003C241A">
            <w:pPr>
              <w:pStyle w:val="TableText"/>
            </w:pPr>
          </w:p>
        </w:tc>
        <w:tc>
          <w:tcPr>
            <w:tcW w:w="1842" w:type="dxa"/>
            <w:tcBorders>
              <w:top w:val="nil"/>
              <w:bottom w:val="nil"/>
            </w:tcBorders>
            <w:shd w:val="clear" w:color="auto" w:fill="F2F2F2" w:themeFill="background1" w:themeFillShade="F2"/>
          </w:tcPr>
          <w:p w:rsidR="00404592" w:rsidRPr="00642432" w:rsidRDefault="00404592" w:rsidP="003C241A">
            <w:pPr>
              <w:pStyle w:val="TableText"/>
            </w:pPr>
            <w:r w:rsidRPr="00642432">
              <w:t>Tairawhiti</w:t>
            </w:r>
          </w:p>
        </w:tc>
        <w:tc>
          <w:tcPr>
            <w:tcW w:w="850" w:type="dxa"/>
            <w:tcBorders>
              <w:top w:val="nil"/>
              <w:bottom w:val="nil"/>
            </w:tcBorders>
            <w:shd w:val="clear" w:color="auto" w:fill="F2F2F2" w:themeFill="background1" w:themeFillShade="F2"/>
          </w:tcPr>
          <w:p w:rsidR="00404592" w:rsidRPr="00642432" w:rsidRDefault="00404592" w:rsidP="00404592">
            <w:pPr>
              <w:pStyle w:val="TableText"/>
              <w:tabs>
                <w:tab w:val="decimal" w:pos="522"/>
              </w:tabs>
            </w:pPr>
            <w:r w:rsidRPr="00642432">
              <w:t>114</w:t>
            </w:r>
          </w:p>
        </w:tc>
        <w:tc>
          <w:tcPr>
            <w:tcW w:w="851" w:type="dxa"/>
            <w:tcBorders>
              <w:top w:val="nil"/>
              <w:bottom w:val="nil"/>
            </w:tcBorders>
            <w:shd w:val="clear" w:color="auto" w:fill="F2F2F2" w:themeFill="background1" w:themeFillShade="F2"/>
          </w:tcPr>
          <w:p w:rsidR="00404592" w:rsidRPr="00642432" w:rsidRDefault="00404592" w:rsidP="00404592">
            <w:pPr>
              <w:pStyle w:val="TableText"/>
              <w:tabs>
                <w:tab w:val="decimal" w:pos="522"/>
              </w:tabs>
            </w:pPr>
            <w:r w:rsidRPr="00642432">
              <w:t>3</w:t>
            </w:r>
          </w:p>
        </w:tc>
        <w:tc>
          <w:tcPr>
            <w:tcW w:w="851" w:type="dxa"/>
            <w:tcBorders>
              <w:top w:val="nil"/>
              <w:bottom w:val="nil"/>
            </w:tcBorders>
            <w:shd w:val="clear" w:color="auto" w:fill="F2F2F2" w:themeFill="background1" w:themeFillShade="F2"/>
          </w:tcPr>
          <w:p w:rsidR="00404592" w:rsidRPr="00642432" w:rsidRDefault="00404592" w:rsidP="00404592">
            <w:pPr>
              <w:pStyle w:val="TableText"/>
              <w:tabs>
                <w:tab w:val="decimal" w:pos="522"/>
              </w:tabs>
            </w:pPr>
            <w:r w:rsidRPr="00642432">
              <w:t>9</w:t>
            </w:r>
          </w:p>
        </w:tc>
      </w:tr>
      <w:tr w:rsidR="00404592" w:rsidRPr="00642432" w:rsidTr="003C241A">
        <w:trPr>
          <w:cantSplit/>
        </w:trPr>
        <w:tc>
          <w:tcPr>
            <w:tcW w:w="1843" w:type="dxa"/>
            <w:tcBorders>
              <w:top w:val="nil"/>
              <w:bottom w:val="nil"/>
            </w:tcBorders>
            <w:shd w:val="clear" w:color="auto" w:fill="auto"/>
          </w:tcPr>
          <w:p w:rsidR="00404592" w:rsidRPr="00642432" w:rsidRDefault="00404592" w:rsidP="003C241A">
            <w:pPr>
              <w:pStyle w:val="TableText"/>
            </w:pPr>
            <w:r>
              <w:t>Counties Manukau</w:t>
            </w:r>
          </w:p>
        </w:tc>
        <w:tc>
          <w:tcPr>
            <w:tcW w:w="850" w:type="dxa"/>
            <w:tcBorders>
              <w:top w:val="nil"/>
              <w:bottom w:val="nil"/>
            </w:tcBorders>
            <w:shd w:val="clear" w:color="auto" w:fill="auto"/>
          </w:tcPr>
          <w:p w:rsidR="00404592" w:rsidRPr="00642432" w:rsidRDefault="00404592" w:rsidP="003C241A">
            <w:pPr>
              <w:pStyle w:val="TableText"/>
              <w:tabs>
                <w:tab w:val="decimal" w:pos="456"/>
              </w:tabs>
            </w:pPr>
            <w:r>
              <w:t>69</w:t>
            </w:r>
          </w:p>
        </w:tc>
        <w:tc>
          <w:tcPr>
            <w:tcW w:w="851" w:type="dxa"/>
            <w:tcBorders>
              <w:top w:val="nil"/>
              <w:bottom w:val="nil"/>
            </w:tcBorders>
            <w:shd w:val="clear" w:color="auto" w:fill="auto"/>
          </w:tcPr>
          <w:p w:rsidR="00404592" w:rsidRPr="00642432" w:rsidRDefault="00404592" w:rsidP="003C241A">
            <w:pPr>
              <w:pStyle w:val="TableText"/>
              <w:tabs>
                <w:tab w:val="decimal" w:pos="456"/>
              </w:tabs>
            </w:pPr>
            <w:r>
              <w:t>16</w:t>
            </w:r>
          </w:p>
        </w:tc>
        <w:tc>
          <w:tcPr>
            <w:tcW w:w="851" w:type="dxa"/>
            <w:tcBorders>
              <w:top w:val="nil"/>
              <w:bottom w:val="nil"/>
            </w:tcBorders>
            <w:shd w:val="clear" w:color="auto" w:fill="auto"/>
          </w:tcPr>
          <w:p w:rsidR="00404592" w:rsidRPr="00642432" w:rsidRDefault="00404592" w:rsidP="003C241A">
            <w:pPr>
              <w:pStyle w:val="TableText"/>
              <w:tabs>
                <w:tab w:val="decimal" w:pos="456"/>
              </w:tabs>
            </w:pPr>
            <w:r>
              <w:t>4</w:t>
            </w:r>
          </w:p>
        </w:tc>
        <w:tc>
          <w:tcPr>
            <w:tcW w:w="567" w:type="dxa"/>
            <w:tcBorders>
              <w:top w:val="nil"/>
              <w:bottom w:val="nil"/>
            </w:tcBorders>
            <w:shd w:val="clear" w:color="auto" w:fill="auto"/>
          </w:tcPr>
          <w:p w:rsidR="00404592" w:rsidRPr="00642432" w:rsidRDefault="00404592" w:rsidP="003C241A">
            <w:pPr>
              <w:pStyle w:val="TableText"/>
            </w:pPr>
          </w:p>
        </w:tc>
        <w:tc>
          <w:tcPr>
            <w:tcW w:w="1842" w:type="dxa"/>
            <w:tcBorders>
              <w:top w:val="nil"/>
              <w:bottom w:val="nil"/>
            </w:tcBorders>
            <w:shd w:val="clear" w:color="auto" w:fill="auto"/>
          </w:tcPr>
          <w:p w:rsidR="00404592" w:rsidRPr="00642432" w:rsidRDefault="00404592" w:rsidP="003C241A">
            <w:pPr>
              <w:pStyle w:val="TableText"/>
            </w:pPr>
            <w:r w:rsidRPr="00642432">
              <w:t>Taranaki</w:t>
            </w:r>
          </w:p>
        </w:tc>
        <w:tc>
          <w:tcPr>
            <w:tcW w:w="850" w:type="dxa"/>
            <w:tcBorders>
              <w:top w:val="nil"/>
              <w:bottom w:val="nil"/>
            </w:tcBorders>
            <w:shd w:val="clear" w:color="auto" w:fill="auto"/>
          </w:tcPr>
          <w:p w:rsidR="00404592" w:rsidRPr="00642432" w:rsidRDefault="00404592" w:rsidP="00404592">
            <w:pPr>
              <w:pStyle w:val="TableText"/>
              <w:tabs>
                <w:tab w:val="decimal" w:pos="522"/>
              </w:tabs>
            </w:pPr>
            <w:r w:rsidRPr="00642432">
              <w:t>60</w:t>
            </w:r>
          </w:p>
        </w:tc>
        <w:tc>
          <w:tcPr>
            <w:tcW w:w="851" w:type="dxa"/>
            <w:tcBorders>
              <w:top w:val="nil"/>
              <w:bottom w:val="nil"/>
            </w:tcBorders>
            <w:shd w:val="clear" w:color="auto" w:fill="auto"/>
          </w:tcPr>
          <w:p w:rsidR="00404592" w:rsidRPr="00642432" w:rsidRDefault="00404592" w:rsidP="00404592">
            <w:pPr>
              <w:pStyle w:val="TableText"/>
              <w:tabs>
                <w:tab w:val="decimal" w:pos="522"/>
              </w:tabs>
            </w:pPr>
            <w:r w:rsidRPr="00642432">
              <w:t>4</w:t>
            </w:r>
          </w:p>
        </w:tc>
        <w:tc>
          <w:tcPr>
            <w:tcW w:w="851" w:type="dxa"/>
            <w:tcBorders>
              <w:top w:val="nil"/>
              <w:bottom w:val="nil"/>
            </w:tcBorders>
            <w:shd w:val="clear" w:color="auto" w:fill="auto"/>
          </w:tcPr>
          <w:p w:rsidR="00404592" w:rsidRPr="00642432" w:rsidRDefault="00404592" w:rsidP="00404592">
            <w:pPr>
              <w:pStyle w:val="TableText"/>
              <w:tabs>
                <w:tab w:val="decimal" w:pos="522"/>
              </w:tabs>
            </w:pPr>
            <w:r w:rsidRPr="00642432">
              <w:t>1</w:t>
            </w:r>
          </w:p>
        </w:tc>
      </w:tr>
      <w:tr w:rsidR="00404592" w:rsidRPr="00642432" w:rsidTr="003C241A">
        <w:trPr>
          <w:cantSplit/>
        </w:trPr>
        <w:tc>
          <w:tcPr>
            <w:tcW w:w="1843" w:type="dxa"/>
            <w:tcBorders>
              <w:top w:val="nil"/>
              <w:bottom w:val="nil"/>
            </w:tcBorders>
            <w:shd w:val="clear" w:color="auto" w:fill="F2F2F2" w:themeFill="background1" w:themeFillShade="F2"/>
          </w:tcPr>
          <w:p w:rsidR="00404592" w:rsidRPr="00642432" w:rsidRDefault="00404592" w:rsidP="003C241A">
            <w:pPr>
              <w:pStyle w:val="TableText"/>
            </w:pPr>
            <w:r>
              <w:t>Hawke’s Bay</w:t>
            </w:r>
          </w:p>
        </w:tc>
        <w:tc>
          <w:tcPr>
            <w:tcW w:w="850"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47</w:t>
            </w:r>
          </w:p>
        </w:tc>
        <w:tc>
          <w:tcPr>
            <w:tcW w:w="851"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4</w:t>
            </w:r>
          </w:p>
        </w:tc>
        <w:tc>
          <w:tcPr>
            <w:tcW w:w="851"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2</w:t>
            </w:r>
          </w:p>
        </w:tc>
        <w:tc>
          <w:tcPr>
            <w:tcW w:w="567" w:type="dxa"/>
            <w:tcBorders>
              <w:top w:val="nil"/>
              <w:bottom w:val="nil"/>
            </w:tcBorders>
            <w:shd w:val="clear" w:color="auto" w:fill="auto"/>
          </w:tcPr>
          <w:p w:rsidR="00404592" w:rsidRPr="00642432" w:rsidRDefault="00404592" w:rsidP="003C241A">
            <w:pPr>
              <w:pStyle w:val="TableText"/>
            </w:pPr>
          </w:p>
        </w:tc>
        <w:tc>
          <w:tcPr>
            <w:tcW w:w="1842" w:type="dxa"/>
            <w:tcBorders>
              <w:top w:val="nil"/>
              <w:bottom w:val="nil"/>
            </w:tcBorders>
            <w:shd w:val="clear" w:color="auto" w:fill="F2F2F2" w:themeFill="background1" w:themeFillShade="F2"/>
          </w:tcPr>
          <w:p w:rsidR="00404592" w:rsidRPr="00642432" w:rsidRDefault="00404592" w:rsidP="003C241A">
            <w:pPr>
              <w:pStyle w:val="TableText"/>
            </w:pPr>
            <w:r w:rsidRPr="00642432">
              <w:t>Waikato</w:t>
            </w:r>
          </w:p>
        </w:tc>
        <w:tc>
          <w:tcPr>
            <w:tcW w:w="850" w:type="dxa"/>
            <w:tcBorders>
              <w:top w:val="nil"/>
              <w:bottom w:val="nil"/>
            </w:tcBorders>
            <w:shd w:val="clear" w:color="auto" w:fill="F2F2F2" w:themeFill="background1" w:themeFillShade="F2"/>
          </w:tcPr>
          <w:p w:rsidR="00404592" w:rsidRPr="00642432" w:rsidRDefault="00404592" w:rsidP="00404592">
            <w:pPr>
              <w:pStyle w:val="TableText"/>
              <w:tabs>
                <w:tab w:val="decimal" w:pos="522"/>
              </w:tabs>
            </w:pPr>
            <w:r w:rsidRPr="00642432">
              <w:t>100</w:t>
            </w:r>
          </w:p>
        </w:tc>
        <w:tc>
          <w:tcPr>
            <w:tcW w:w="851" w:type="dxa"/>
            <w:tcBorders>
              <w:top w:val="nil"/>
              <w:bottom w:val="nil"/>
            </w:tcBorders>
            <w:shd w:val="clear" w:color="auto" w:fill="F2F2F2" w:themeFill="background1" w:themeFillShade="F2"/>
          </w:tcPr>
          <w:p w:rsidR="00404592" w:rsidRPr="00642432" w:rsidRDefault="00404592" w:rsidP="00404592">
            <w:pPr>
              <w:pStyle w:val="TableText"/>
              <w:tabs>
                <w:tab w:val="decimal" w:pos="522"/>
              </w:tabs>
            </w:pPr>
            <w:r w:rsidRPr="00642432">
              <w:t>8</w:t>
            </w:r>
          </w:p>
        </w:tc>
        <w:tc>
          <w:tcPr>
            <w:tcW w:w="851" w:type="dxa"/>
            <w:tcBorders>
              <w:top w:val="nil"/>
              <w:bottom w:val="nil"/>
            </w:tcBorders>
            <w:shd w:val="clear" w:color="auto" w:fill="F2F2F2" w:themeFill="background1" w:themeFillShade="F2"/>
          </w:tcPr>
          <w:p w:rsidR="00404592" w:rsidRPr="00642432" w:rsidRDefault="00404592" w:rsidP="00404592">
            <w:pPr>
              <w:pStyle w:val="TableText"/>
              <w:tabs>
                <w:tab w:val="decimal" w:pos="522"/>
              </w:tabs>
            </w:pPr>
            <w:r w:rsidRPr="00642432">
              <w:t>4</w:t>
            </w:r>
          </w:p>
        </w:tc>
      </w:tr>
      <w:tr w:rsidR="00404592" w:rsidRPr="00642432" w:rsidTr="003C241A">
        <w:trPr>
          <w:cantSplit/>
        </w:trPr>
        <w:tc>
          <w:tcPr>
            <w:tcW w:w="1843" w:type="dxa"/>
            <w:tcBorders>
              <w:top w:val="nil"/>
              <w:bottom w:val="nil"/>
            </w:tcBorders>
            <w:shd w:val="clear" w:color="auto" w:fill="auto"/>
          </w:tcPr>
          <w:p w:rsidR="00404592" w:rsidRPr="00642432" w:rsidRDefault="00404592" w:rsidP="003C241A">
            <w:pPr>
              <w:pStyle w:val="TableText"/>
            </w:pPr>
            <w:r>
              <w:t>Hutt Valley</w:t>
            </w:r>
          </w:p>
        </w:tc>
        <w:tc>
          <w:tcPr>
            <w:tcW w:w="850" w:type="dxa"/>
            <w:tcBorders>
              <w:top w:val="nil"/>
              <w:bottom w:val="nil"/>
            </w:tcBorders>
            <w:shd w:val="clear" w:color="auto" w:fill="auto"/>
          </w:tcPr>
          <w:p w:rsidR="00404592" w:rsidRPr="00642432" w:rsidRDefault="00404592" w:rsidP="003C241A">
            <w:pPr>
              <w:pStyle w:val="TableText"/>
              <w:tabs>
                <w:tab w:val="decimal" w:pos="456"/>
              </w:tabs>
            </w:pPr>
            <w:r>
              <w:t>66</w:t>
            </w:r>
          </w:p>
        </w:tc>
        <w:tc>
          <w:tcPr>
            <w:tcW w:w="851" w:type="dxa"/>
            <w:tcBorders>
              <w:top w:val="nil"/>
              <w:bottom w:val="nil"/>
            </w:tcBorders>
            <w:shd w:val="clear" w:color="auto" w:fill="auto"/>
          </w:tcPr>
          <w:p w:rsidR="00404592" w:rsidRPr="00642432" w:rsidRDefault="00404592" w:rsidP="003C241A">
            <w:pPr>
              <w:pStyle w:val="TableText"/>
              <w:tabs>
                <w:tab w:val="decimal" w:pos="456"/>
              </w:tabs>
            </w:pPr>
            <w:r>
              <w:t>9</w:t>
            </w:r>
          </w:p>
        </w:tc>
        <w:tc>
          <w:tcPr>
            <w:tcW w:w="851" w:type="dxa"/>
            <w:tcBorders>
              <w:top w:val="nil"/>
              <w:bottom w:val="nil"/>
            </w:tcBorders>
            <w:shd w:val="clear" w:color="auto" w:fill="auto"/>
          </w:tcPr>
          <w:p w:rsidR="00404592" w:rsidRPr="00642432" w:rsidRDefault="00404592" w:rsidP="003C241A">
            <w:pPr>
              <w:pStyle w:val="TableText"/>
              <w:tabs>
                <w:tab w:val="decimal" w:pos="456"/>
              </w:tabs>
            </w:pPr>
            <w:r>
              <w:t>1</w:t>
            </w:r>
          </w:p>
        </w:tc>
        <w:tc>
          <w:tcPr>
            <w:tcW w:w="567" w:type="dxa"/>
            <w:tcBorders>
              <w:top w:val="nil"/>
              <w:bottom w:val="nil"/>
            </w:tcBorders>
            <w:shd w:val="clear" w:color="auto" w:fill="auto"/>
          </w:tcPr>
          <w:p w:rsidR="00404592" w:rsidRPr="00642432" w:rsidRDefault="00404592" w:rsidP="003C241A">
            <w:pPr>
              <w:pStyle w:val="TableText"/>
            </w:pPr>
          </w:p>
        </w:tc>
        <w:tc>
          <w:tcPr>
            <w:tcW w:w="1842" w:type="dxa"/>
            <w:tcBorders>
              <w:top w:val="nil"/>
              <w:bottom w:val="nil"/>
            </w:tcBorders>
            <w:shd w:val="clear" w:color="auto" w:fill="auto"/>
          </w:tcPr>
          <w:p w:rsidR="00404592" w:rsidRPr="00642432" w:rsidRDefault="00404592" w:rsidP="003C241A">
            <w:pPr>
              <w:pStyle w:val="TableText"/>
            </w:pPr>
            <w:r w:rsidRPr="00642432">
              <w:t>Wairarapa</w:t>
            </w:r>
          </w:p>
        </w:tc>
        <w:tc>
          <w:tcPr>
            <w:tcW w:w="850" w:type="dxa"/>
            <w:tcBorders>
              <w:top w:val="nil"/>
              <w:bottom w:val="nil"/>
            </w:tcBorders>
            <w:shd w:val="clear" w:color="auto" w:fill="auto"/>
          </w:tcPr>
          <w:p w:rsidR="00404592" w:rsidRPr="00642432" w:rsidRDefault="00404592" w:rsidP="00404592">
            <w:pPr>
              <w:pStyle w:val="TableText"/>
              <w:tabs>
                <w:tab w:val="decimal" w:pos="522"/>
              </w:tabs>
            </w:pPr>
            <w:r w:rsidRPr="00642432">
              <w:t>80</w:t>
            </w:r>
          </w:p>
        </w:tc>
        <w:tc>
          <w:tcPr>
            <w:tcW w:w="851" w:type="dxa"/>
            <w:tcBorders>
              <w:top w:val="nil"/>
              <w:bottom w:val="nil"/>
            </w:tcBorders>
            <w:shd w:val="clear" w:color="auto" w:fill="auto"/>
          </w:tcPr>
          <w:p w:rsidR="00404592" w:rsidRPr="00642432" w:rsidRDefault="00404592" w:rsidP="00404592">
            <w:pPr>
              <w:pStyle w:val="TableText"/>
              <w:tabs>
                <w:tab w:val="decimal" w:pos="522"/>
              </w:tabs>
            </w:pPr>
            <w:r w:rsidRPr="00642432">
              <w:t>8</w:t>
            </w:r>
          </w:p>
        </w:tc>
        <w:tc>
          <w:tcPr>
            <w:tcW w:w="851" w:type="dxa"/>
            <w:tcBorders>
              <w:top w:val="nil"/>
              <w:bottom w:val="nil"/>
            </w:tcBorders>
            <w:shd w:val="clear" w:color="auto" w:fill="auto"/>
          </w:tcPr>
          <w:p w:rsidR="00404592" w:rsidRPr="00642432" w:rsidRDefault="00404592" w:rsidP="00404592">
            <w:pPr>
              <w:pStyle w:val="TableText"/>
              <w:tabs>
                <w:tab w:val="decimal" w:pos="522"/>
              </w:tabs>
            </w:pPr>
            <w:r w:rsidRPr="00642432">
              <w:t>0</w:t>
            </w:r>
          </w:p>
        </w:tc>
      </w:tr>
      <w:tr w:rsidR="00404592" w:rsidRPr="00642432" w:rsidTr="003C241A">
        <w:trPr>
          <w:cantSplit/>
        </w:trPr>
        <w:tc>
          <w:tcPr>
            <w:tcW w:w="1843" w:type="dxa"/>
            <w:tcBorders>
              <w:top w:val="nil"/>
              <w:bottom w:val="nil"/>
            </w:tcBorders>
            <w:shd w:val="clear" w:color="auto" w:fill="F2F2F2" w:themeFill="background1" w:themeFillShade="F2"/>
          </w:tcPr>
          <w:p w:rsidR="00404592" w:rsidRPr="00642432" w:rsidRDefault="00404592" w:rsidP="003C241A">
            <w:pPr>
              <w:pStyle w:val="TableText"/>
            </w:pPr>
            <w:r>
              <w:t>Lakes</w:t>
            </w:r>
          </w:p>
        </w:tc>
        <w:tc>
          <w:tcPr>
            <w:tcW w:w="850"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117</w:t>
            </w:r>
          </w:p>
        </w:tc>
        <w:tc>
          <w:tcPr>
            <w:tcW w:w="851"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2</w:t>
            </w:r>
          </w:p>
        </w:tc>
        <w:tc>
          <w:tcPr>
            <w:tcW w:w="851"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6</w:t>
            </w:r>
          </w:p>
        </w:tc>
        <w:tc>
          <w:tcPr>
            <w:tcW w:w="567" w:type="dxa"/>
            <w:tcBorders>
              <w:top w:val="nil"/>
              <w:bottom w:val="nil"/>
            </w:tcBorders>
            <w:shd w:val="clear" w:color="auto" w:fill="auto"/>
          </w:tcPr>
          <w:p w:rsidR="00404592" w:rsidRPr="00642432" w:rsidRDefault="00404592" w:rsidP="003C241A">
            <w:pPr>
              <w:pStyle w:val="TableText"/>
            </w:pPr>
          </w:p>
        </w:tc>
        <w:tc>
          <w:tcPr>
            <w:tcW w:w="1842" w:type="dxa"/>
            <w:tcBorders>
              <w:top w:val="nil"/>
              <w:bottom w:val="nil"/>
            </w:tcBorders>
            <w:shd w:val="clear" w:color="auto" w:fill="F2F2F2" w:themeFill="background1" w:themeFillShade="F2"/>
          </w:tcPr>
          <w:p w:rsidR="00404592" w:rsidRPr="00642432" w:rsidRDefault="00404592" w:rsidP="003C241A">
            <w:pPr>
              <w:pStyle w:val="TableText"/>
            </w:pPr>
            <w:r w:rsidRPr="00642432">
              <w:t>Waitemata</w:t>
            </w:r>
          </w:p>
        </w:tc>
        <w:tc>
          <w:tcPr>
            <w:tcW w:w="850" w:type="dxa"/>
            <w:tcBorders>
              <w:top w:val="nil"/>
              <w:bottom w:val="nil"/>
            </w:tcBorders>
            <w:shd w:val="clear" w:color="auto" w:fill="F2F2F2" w:themeFill="background1" w:themeFillShade="F2"/>
          </w:tcPr>
          <w:p w:rsidR="00404592" w:rsidRPr="00642432" w:rsidRDefault="00404592" w:rsidP="00404592">
            <w:pPr>
              <w:pStyle w:val="TableText"/>
              <w:tabs>
                <w:tab w:val="decimal" w:pos="522"/>
              </w:tabs>
            </w:pPr>
            <w:r w:rsidRPr="00642432">
              <w:t>80</w:t>
            </w:r>
          </w:p>
        </w:tc>
        <w:tc>
          <w:tcPr>
            <w:tcW w:w="851" w:type="dxa"/>
            <w:tcBorders>
              <w:top w:val="nil"/>
              <w:bottom w:val="nil"/>
            </w:tcBorders>
            <w:shd w:val="clear" w:color="auto" w:fill="F2F2F2" w:themeFill="background1" w:themeFillShade="F2"/>
          </w:tcPr>
          <w:p w:rsidR="00404592" w:rsidRPr="00642432" w:rsidRDefault="00404592" w:rsidP="00404592">
            <w:pPr>
              <w:pStyle w:val="TableText"/>
              <w:tabs>
                <w:tab w:val="decimal" w:pos="522"/>
              </w:tabs>
            </w:pPr>
            <w:r w:rsidRPr="00642432">
              <w:t>5</w:t>
            </w:r>
          </w:p>
        </w:tc>
        <w:tc>
          <w:tcPr>
            <w:tcW w:w="851" w:type="dxa"/>
            <w:tcBorders>
              <w:top w:val="nil"/>
              <w:bottom w:val="nil"/>
            </w:tcBorders>
            <w:shd w:val="clear" w:color="auto" w:fill="F2F2F2" w:themeFill="background1" w:themeFillShade="F2"/>
          </w:tcPr>
          <w:p w:rsidR="00404592" w:rsidRPr="00642432" w:rsidRDefault="00404592" w:rsidP="00404592">
            <w:pPr>
              <w:pStyle w:val="TableText"/>
              <w:tabs>
                <w:tab w:val="decimal" w:pos="522"/>
              </w:tabs>
            </w:pPr>
            <w:r w:rsidRPr="00642432">
              <w:t>0</w:t>
            </w:r>
          </w:p>
        </w:tc>
      </w:tr>
      <w:tr w:rsidR="00404592" w:rsidRPr="00642432" w:rsidTr="003C241A">
        <w:trPr>
          <w:cantSplit/>
        </w:trPr>
        <w:tc>
          <w:tcPr>
            <w:tcW w:w="1843" w:type="dxa"/>
            <w:tcBorders>
              <w:top w:val="nil"/>
              <w:bottom w:val="nil"/>
            </w:tcBorders>
            <w:shd w:val="clear" w:color="auto" w:fill="auto"/>
          </w:tcPr>
          <w:p w:rsidR="00404592" w:rsidRPr="00642432" w:rsidRDefault="00404592" w:rsidP="003C241A">
            <w:pPr>
              <w:pStyle w:val="TableText"/>
            </w:pPr>
            <w:r>
              <w:t>MidCentral</w:t>
            </w:r>
          </w:p>
        </w:tc>
        <w:tc>
          <w:tcPr>
            <w:tcW w:w="850" w:type="dxa"/>
            <w:tcBorders>
              <w:top w:val="nil"/>
              <w:bottom w:val="nil"/>
            </w:tcBorders>
            <w:shd w:val="clear" w:color="auto" w:fill="auto"/>
          </w:tcPr>
          <w:p w:rsidR="00404592" w:rsidRPr="00642432" w:rsidRDefault="00404592" w:rsidP="003C241A">
            <w:pPr>
              <w:pStyle w:val="TableText"/>
              <w:tabs>
                <w:tab w:val="decimal" w:pos="456"/>
              </w:tabs>
            </w:pPr>
            <w:r>
              <w:t>59</w:t>
            </w:r>
          </w:p>
        </w:tc>
        <w:tc>
          <w:tcPr>
            <w:tcW w:w="851" w:type="dxa"/>
            <w:tcBorders>
              <w:top w:val="nil"/>
              <w:bottom w:val="nil"/>
            </w:tcBorders>
            <w:shd w:val="clear" w:color="auto" w:fill="auto"/>
          </w:tcPr>
          <w:p w:rsidR="00404592" w:rsidRPr="00642432" w:rsidRDefault="00404592" w:rsidP="003C241A">
            <w:pPr>
              <w:pStyle w:val="TableText"/>
              <w:tabs>
                <w:tab w:val="decimal" w:pos="456"/>
              </w:tabs>
            </w:pPr>
            <w:r>
              <w:t>9</w:t>
            </w:r>
          </w:p>
        </w:tc>
        <w:tc>
          <w:tcPr>
            <w:tcW w:w="851" w:type="dxa"/>
            <w:tcBorders>
              <w:top w:val="nil"/>
              <w:bottom w:val="nil"/>
            </w:tcBorders>
            <w:shd w:val="clear" w:color="auto" w:fill="auto"/>
          </w:tcPr>
          <w:p w:rsidR="00404592" w:rsidRPr="00642432" w:rsidRDefault="00404592" w:rsidP="003C241A">
            <w:pPr>
              <w:pStyle w:val="TableText"/>
              <w:tabs>
                <w:tab w:val="decimal" w:pos="456"/>
              </w:tabs>
            </w:pPr>
            <w:r>
              <w:t>7</w:t>
            </w:r>
          </w:p>
        </w:tc>
        <w:tc>
          <w:tcPr>
            <w:tcW w:w="567" w:type="dxa"/>
            <w:tcBorders>
              <w:top w:val="nil"/>
              <w:bottom w:val="nil"/>
            </w:tcBorders>
            <w:shd w:val="clear" w:color="auto" w:fill="auto"/>
          </w:tcPr>
          <w:p w:rsidR="00404592" w:rsidRPr="00642432" w:rsidRDefault="00404592" w:rsidP="003C241A">
            <w:pPr>
              <w:pStyle w:val="TableText"/>
            </w:pPr>
          </w:p>
        </w:tc>
        <w:tc>
          <w:tcPr>
            <w:tcW w:w="1842" w:type="dxa"/>
            <w:tcBorders>
              <w:top w:val="nil"/>
              <w:bottom w:val="nil"/>
            </w:tcBorders>
            <w:shd w:val="clear" w:color="auto" w:fill="auto"/>
          </w:tcPr>
          <w:p w:rsidR="00404592" w:rsidRPr="00642432" w:rsidRDefault="00404592" w:rsidP="003C241A">
            <w:pPr>
              <w:pStyle w:val="TableText"/>
            </w:pPr>
            <w:r w:rsidRPr="00642432">
              <w:t>West Coast</w:t>
            </w:r>
          </w:p>
        </w:tc>
        <w:tc>
          <w:tcPr>
            <w:tcW w:w="850" w:type="dxa"/>
            <w:tcBorders>
              <w:top w:val="nil"/>
              <w:bottom w:val="nil"/>
            </w:tcBorders>
            <w:shd w:val="clear" w:color="auto" w:fill="auto"/>
          </w:tcPr>
          <w:p w:rsidR="00404592" w:rsidRPr="00642432" w:rsidRDefault="00404592" w:rsidP="00404592">
            <w:pPr>
              <w:pStyle w:val="TableText"/>
              <w:tabs>
                <w:tab w:val="decimal" w:pos="522"/>
              </w:tabs>
            </w:pPr>
            <w:r w:rsidRPr="00642432">
              <w:t>66</w:t>
            </w:r>
          </w:p>
        </w:tc>
        <w:tc>
          <w:tcPr>
            <w:tcW w:w="851" w:type="dxa"/>
            <w:tcBorders>
              <w:top w:val="nil"/>
              <w:bottom w:val="nil"/>
            </w:tcBorders>
            <w:shd w:val="clear" w:color="auto" w:fill="auto"/>
          </w:tcPr>
          <w:p w:rsidR="00404592" w:rsidRPr="00642432" w:rsidRDefault="00404592" w:rsidP="00404592">
            <w:pPr>
              <w:pStyle w:val="TableText"/>
              <w:tabs>
                <w:tab w:val="decimal" w:pos="522"/>
              </w:tabs>
            </w:pPr>
            <w:r w:rsidRPr="00642432">
              <w:t>11</w:t>
            </w:r>
          </w:p>
        </w:tc>
        <w:tc>
          <w:tcPr>
            <w:tcW w:w="851" w:type="dxa"/>
            <w:tcBorders>
              <w:top w:val="nil"/>
              <w:bottom w:val="nil"/>
            </w:tcBorders>
            <w:shd w:val="clear" w:color="auto" w:fill="auto"/>
          </w:tcPr>
          <w:p w:rsidR="00404592" w:rsidRPr="00642432" w:rsidRDefault="00404592" w:rsidP="00404592">
            <w:pPr>
              <w:pStyle w:val="TableText"/>
              <w:tabs>
                <w:tab w:val="decimal" w:pos="522"/>
              </w:tabs>
            </w:pPr>
            <w:r w:rsidRPr="00642432">
              <w:t>5</w:t>
            </w:r>
          </w:p>
        </w:tc>
      </w:tr>
      <w:tr w:rsidR="00404592" w:rsidRPr="00642432" w:rsidTr="003C241A">
        <w:trPr>
          <w:cantSplit/>
        </w:trPr>
        <w:tc>
          <w:tcPr>
            <w:tcW w:w="1843" w:type="dxa"/>
            <w:tcBorders>
              <w:top w:val="nil"/>
              <w:bottom w:val="nil"/>
            </w:tcBorders>
            <w:shd w:val="clear" w:color="auto" w:fill="F2F2F2" w:themeFill="background1" w:themeFillShade="F2"/>
          </w:tcPr>
          <w:p w:rsidR="00404592" w:rsidRPr="00642432" w:rsidRDefault="00404592" w:rsidP="003C241A">
            <w:pPr>
              <w:pStyle w:val="TableText"/>
            </w:pPr>
            <w:r>
              <w:t>Nelson Marlborough</w:t>
            </w:r>
          </w:p>
        </w:tc>
        <w:tc>
          <w:tcPr>
            <w:tcW w:w="850"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76</w:t>
            </w:r>
          </w:p>
        </w:tc>
        <w:tc>
          <w:tcPr>
            <w:tcW w:w="851"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12</w:t>
            </w:r>
          </w:p>
        </w:tc>
        <w:tc>
          <w:tcPr>
            <w:tcW w:w="851" w:type="dxa"/>
            <w:tcBorders>
              <w:top w:val="nil"/>
              <w:bottom w:val="nil"/>
            </w:tcBorders>
            <w:shd w:val="clear" w:color="auto" w:fill="F2F2F2" w:themeFill="background1" w:themeFillShade="F2"/>
          </w:tcPr>
          <w:p w:rsidR="00404592" w:rsidRPr="00642432" w:rsidRDefault="00404592" w:rsidP="003C241A">
            <w:pPr>
              <w:pStyle w:val="TableText"/>
              <w:tabs>
                <w:tab w:val="decimal" w:pos="456"/>
              </w:tabs>
            </w:pPr>
            <w:r>
              <w:t>2</w:t>
            </w:r>
          </w:p>
        </w:tc>
        <w:tc>
          <w:tcPr>
            <w:tcW w:w="567" w:type="dxa"/>
            <w:tcBorders>
              <w:top w:val="nil"/>
              <w:bottom w:val="nil"/>
            </w:tcBorders>
            <w:shd w:val="clear" w:color="auto" w:fill="auto"/>
          </w:tcPr>
          <w:p w:rsidR="00404592" w:rsidRPr="00642432" w:rsidRDefault="00404592" w:rsidP="003C241A">
            <w:pPr>
              <w:pStyle w:val="TableText"/>
            </w:pPr>
          </w:p>
        </w:tc>
        <w:tc>
          <w:tcPr>
            <w:tcW w:w="1842" w:type="dxa"/>
            <w:tcBorders>
              <w:top w:val="nil"/>
              <w:bottom w:val="single" w:sz="4" w:space="0" w:color="A6A6A6" w:themeColor="background1" w:themeShade="A6"/>
            </w:tcBorders>
            <w:shd w:val="clear" w:color="auto" w:fill="F2F2F2" w:themeFill="background1" w:themeFillShade="F2"/>
          </w:tcPr>
          <w:p w:rsidR="00404592" w:rsidRPr="00642432" w:rsidRDefault="00404592" w:rsidP="003C241A">
            <w:pPr>
              <w:pStyle w:val="TableText"/>
            </w:pPr>
            <w:r w:rsidRPr="00642432">
              <w:t>Whanganui</w:t>
            </w:r>
          </w:p>
        </w:tc>
        <w:tc>
          <w:tcPr>
            <w:tcW w:w="850" w:type="dxa"/>
            <w:tcBorders>
              <w:top w:val="nil"/>
              <w:bottom w:val="single" w:sz="4" w:space="0" w:color="A6A6A6" w:themeColor="background1" w:themeShade="A6"/>
            </w:tcBorders>
            <w:shd w:val="clear" w:color="auto" w:fill="F2F2F2" w:themeFill="background1" w:themeFillShade="F2"/>
          </w:tcPr>
          <w:p w:rsidR="00404592" w:rsidRPr="00642432" w:rsidRDefault="00404592" w:rsidP="00404592">
            <w:pPr>
              <w:pStyle w:val="TableText"/>
              <w:tabs>
                <w:tab w:val="decimal" w:pos="522"/>
              </w:tabs>
            </w:pPr>
            <w:r w:rsidRPr="00642432">
              <w:t>86</w:t>
            </w:r>
          </w:p>
        </w:tc>
        <w:tc>
          <w:tcPr>
            <w:tcW w:w="851" w:type="dxa"/>
            <w:tcBorders>
              <w:top w:val="nil"/>
              <w:bottom w:val="single" w:sz="4" w:space="0" w:color="A6A6A6" w:themeColor="background1" w:themeShade="A6"/>
            </w:tcBorders>
            <w:shd w:val="clear" w:color="auto" w:fill="F2F2F2" w:themeFill="background1" w:themeFillShade="F2"/>
          </w:tcPr>
          <w:p w:rsidR="00404592" w:rsidRPr="00642432" w:rsidRDefault="00404592" w:rsidP="00404592">
            <w:pPr>
              <w:pStyle w:val="TableText"/>
              <w:tabs>
                <w:tab w:val="decimal" w:pos="522"/>
              </w:tabs>
            </w:pPr>
            <w:r w:rsidRPr="00642432">
              <w:t>37</w:t>
            </w:r>
          </w:p>
        </w:tc>
        <w:tc>
          <w:tcPr>
            <w:tcW w:w="851" w:type="dxa"/>
            <w:tcBorders>
              <w:top w:val="nil"/>
              <w:bottom w:val="single" w:sz="4" w:space="0" w:color="A6A6A6" w:themeColor="background1" w:themeShade="A6"/>
            </w:tcBorders>
            <w:shd w:val="clear" w:color="auto" w:fill="F2F2F2" w:themeFill="background1" w:themeFillShade="F2"/>
          </w:tcPr>
          <w:p w:rsidR="00404592" w:rsidRPr="00642432" w:rsidRDefault="00404592" w:rsidP="00404592">
            <w:pPr>
              <w:pStyle w:val="TableText"/>
              <w:tabs>
                <w:tab w:val="decimal" w:pos="522"/>
              </w:tabs>
            </w:pPr>
            <w:r w:rsidRPr="00642432">
              <w:t>1</w:t>
            </w:r>
          </w:p>
        </w:tc>
      </w:tr>
      <w:tr w:rsidR="00404592" w:rsidRPr="00642432" w:rsidTr="003C241A">
        <w:trPr>
          <w:cantSplit/>
        </w:trPr>
        <w:tc>
          <w:tcPr>
            <w:tcW w:w="1843" w:type="dxa"/>
            <w:tcBorders>
              <w:top w:val="nil"/>
              <w:bottom w:val="single" w:sz="4" w:space="0" w:color="auto"/>
            </w:tcBorders>
            <w:shd w:val="clear" w:color="auto" w:fill="auto"/>
          </w:tcPr>
          <w:p w:rsidR="00404592" w:rsidRPr="00642432" w:rsidRDefault="00404592" w:rsidP="003C241A">
            <w:pPr>
              <w:pStyle w:val="TableText"/>
            </w:pPr>
          </w:p>
        </w:tc>
        <w:tc>
          <w:tcPr>
            <w:tcW w:w="850" w:type="dxa"/>
            <w:tcBorders>
              <w:top w:val="nil"/>
              <w:bottom w:val="single" w:sz="4" w:space="0" w:color="auto"/>
            </w:tcBorders>
            <w:shd w:val="clear" w:color="auto" w:fill="auto"/>
          </w:tcPr>
          <w:p w:rsidR="00404592" w:rsidRPr="00642432" w:rsidRDefault="00404592" w:rsidP="003C241A">
            <w:pPr>
              <w:pStyle w:val="TableText"/>
              <w:tabs>
                <w:tab w:val="decimal" w:pos="456"/>
              </w:tabs>
            </w:pPr>
          </w:p>
        </w:tc>
        <w:tc>
          <w:tcPr>
            <w:tcW w:w="851" w:type="dxa"/>
            <w:tcBorders>
              <w:top w:val="nil"/>
              <w:bottom w:val="single" w:sz="4" w:space="0" w:color="auto"/>
            </w:tcBorders>
            <w:shd w:val="clear" w:color="auto" w:fill="auto"/>
          </w:tcPr>
          <w:p w:rsidR="00404592" w:rsidRPr="00642432" w:rsidRDefault="00404592" w:rsidP="003C241A">
            <w:pPr>
              <w:pStyle w:val="TableText"/>
              <w:tabs>
                <w:tab w:val="decimal" w:pos="456"/>
              </w:tabs>
            </w:pPr>
          </w:p>
        </w:tc>
        <w:tc>
          <w:tcPr>
            <w:tcW w:w="851" w:type="dxa"/>
            <w:tcBorders>
              <w:top w:val="nil"/>
              <w:bottom w:val="single" w:sz="4" w:space="0" w:color="auto"/>
            </w:tcBorders>
            <w:shd w:val="clear" w:color="auto" w:fill="auto"/>
          </w:tcPr>
          <w:p w:rsidR="00404592" w:rsidRPr="00642432" w:rsidRDefault="00404592" w:rsidP="003C241A">
            <w:pPr>
              <w:pStyle w:val="TableText"/>
              <w:tabs>
                <w:tab w:val="decimal" w:pos="456"/>
              </w:tabs>
            </w:pPr>
          </w:p>
        </w:tc>
        <w:tc>
          <w:tcPr>
            <w:tcW w:w="567" w:type="dxa"/>
            <w:tcBorders>
              <w:top w:val="nil"/>
              <w:bottom w:val="nil"/>
            </w:tcBorders>
            <w:shd w:val="clear" w:color="auto" w:fill="auto"/>
          </w:tcPr>
          <w:p w:rsidR="00404592" w:rsidRPr="00642432" w:rsidRDefault="00404592" w:rsidP="003C241A">
            <w:pPr>
              <w:pStyle w:val="TableText"/>
            </w:pPr>
          </w:p>
        </w:tc>
        <w:tc>
          <w:tcPr>
            <w:tcW w:w="1842" w:type="dxa"/>
            <w:tcBorders>
              <w:top w:val="single" w:sz="4" w:space="0" w:color="A6A6A6" w:themeColor="background1" w:themeShade="A6"/>
              <w:bottom w:val="single" w:sz="4" w:space="0" w:color="auto"/>
            </w:tcBorders>
            <w:shd w:val="clear" w:color="auto" w:fill="auto"/>
          </w:tcPr>
          <w:p w:rsidR="00404592" w:rsidRPr="00642432" w:rsidRDefault="00404592" w:rsidP="003C241A">
            <w:pPr>
              <w:pStyle w:val="TableText"/>
              <w:rPr>
                <w:szCs w:val="18"/>
              </w:rPr>
            </w:pPr>
            <w:r w:rsidRPr="00642432">
              <w:rPr>
                <w:szCs w:val="18"/>
              </w:rPr>
              <w:t>National average</w:t>
            </w:r>
          </w:p>
        </w:tc>
        <w:tc>
          <w:tcPr>
            <w:tcW w:w="850" w:type="dxa"/>
            <w:tcBorders>
              <w:top w:val="single" w:sz="4" w:space="0" w:color="A6A6A6" w:themeColor="background1" w:themeShade="A6"/>
              <w:bottom w:val="single" w:sz="4" w:space="0" w:color="auto"/>
            </w:tcBorders>
            <w:shd w:val="clear" w:color="auto" w:fill="auto"/>
          </w:tcPr>
          <w:p w:rsidR="00404592" w:rsidRPr="00642432" w:rsidRDefault="00404592" w:rsidP="00404592">
            <w:pPr>
              <w:pStyle w:val="TableText"/>
              <w:tabs>
                <w:tab w:val="decimal" w:pos="522"/>
              </w:tabs>
            </w:pPr>
            <w:r w:rsidRPr="00642432">
              <w:t>80</w:t>
            </w:r>
          </w:p>
        </w:tc>
        <w:tc>
          <w:tcPr>
            <w:tcW w:w="851" w:type="dxa"/>
            <w:tcBorders>
              <w:top w:val="single" w:sz="4" w:space="0" w:color="A6A6A6" w:themeColor="background1" w:themeShade="A6"/>
              <w:bottom w:val="single" w:sz="4" w:space="0" w:color="auto"/>
            </w:tcBorders>
            <w:shd w:val="clear" w:color="auto" w:fill="auto"/>
          </w:tcPr>
          <w:p w:rsidR="00404592" w:rsidRPr="00642432" w:rsidRDefault="00404592" w:rsidP="00404592">
            <w:pPr>
              <w:pStyle w:val="TableText"/>
              <w:tabs>
                <w:tab w:val="decimal" w:pos="522"/>
              </w:tabs>
            </w:pPr>
            <w:r w:rsidRPr="00642432">
              <w:t>12</w:t>
            </w:r>
          </w:p>
        </w:tc>
        <w:tc>
          <w:tcPr>
            <w:tcW w:w="851" w:type="dxa"/>
            <w:tcBorders>
              <w:top w:val="single" w:sz="4" w:space="0" w:color="A6A6A6" w:themeColor="background1" w:themeShade="A6"/>
              <w:bottom w:val="single" w:sz="4" w:space="0" w:color="auto"/>
            </w:tcBorders>
            <w:shd w:val="clear" w:color="auto" w:fill="auto"/>
          </w:tcPr>
          <w:p w:rsidR="00404592" w:rsidRPr="00642432" w:rsidRDefault="00404592" w:rsidP="00404592">
            <w:pPr>
              <w:pStyle w:val="TableText"/>
              <w:tabs>
                <w:tab w:val="decimal" w:pos="522"/>
              </w:tabs>
            </w:pPr>
            <w:r w:rsidRPr="00642432">
              <w:t>3</w:t>
            </w:r>
          </w:p>
        </w:tc>
      </w:tr>
    </w:tbl>
    <w:p w:rsidR="004659AD" w:rsidRPr="00642432" w:rsidRDefault="004659AD" w:rsidP="00404592">
      <w:pPr>
        <w:pStyle w:val="Note"/>
        <w:ind w:left="0" w:right="0" w:firstLine="0"/>
      </w:pPr>
      <w:r w:rsidRPr="00642432">
        <w:t>Note:</w:t>
      </w:r>
      <w:r w:rsidR="00D32DDD" w:rsidRPr="00642432">
        <w:t xml:space="preserve"> </w:t>
      </w:r>
      <w:r w:rsidRPr="00642432">
        <w:t>Manual data supplied by DHBs has</w:t>
      </w:r>
      <w:r w:rsidR="00D32DDD" w:rsidRPr="00642432">
        <w:t xml:space="preserve"> </w:t>
      </w:r>
      <w:r w:rsidRPr="00642432">
        <w:t>been used for most DHBs. This</w:t>
      </w:r>
      <w:r w:rsidR="00D32DDD" w:rsidRPr="00642432">
        <w:t xml:space="preserve"> </w:t>
      </w:r>
      <w:r w:rsidRPr="00642432">
        <w:t>decision was made after issues with 2013 PRIMHD data were</w:t>
      </w:r>
      <w:r w:rsidR="00D32DDD" w:rsidRPr="00642432">
        <w:t xml:space="preserve"> </w:t>
      </w:r>
      <w:r w:rsidRPr="00642432">
        <w:t>identified. These issues will be addressed, with the intention of returning to PRIMHD for future Annual Reports.</w:t>
      </w:r>
    </w:p>
    <w:p w:rsidR="004659AD" w:rsidRPr="00642432" w:rsidRDefault="004659AD" w:rsidP="00404592">
      <w:pPr>
        <w:pStyle w:val="Source"/>
        <w:ind w:left="0" w:right="0" w:firstLine="0"/>
      </w:pPr>
      <w:r w:rsidRPr="00642432">
        <w:t>Source: Manual data provided by DHBs, except for Auckland, Counties Manukau, Southern, Taranaki and West Coast which is PRIMHD data, extracted on 14 August 2014</w:t>
      </w:r>
      <w:r w:rsidR="00404592">
        <w:t>.</w:t>
      </w:r>
    </w:p>
    <w:p w:rsidR="004659AD" w:rsidRPr="00642432" w:rsidRDefault="004659AD" w:rsidP="00404592"/>
    <w:p w:rsidR="004659AD" w:rsidRDefault="004659AD" w:rsidP="00404592">
      <w:pPr>
        <w:pStyle w:val="Figure"/>
      </w:pPr>
      <w:bookmarkStart w:id="36" w:name="_Toc405113761"/>
      <w:r w:rsidRPr="00642432">
        <w:t>Figure 7: Average number of people per 100,000 on a given day subject to a community treatment order (section 29 of the Mental Health Act), by DHB, 1 January to 31 December 2013</w:t>
      </w:r>
      <w:bookmarkEnd w:id="36"/>
    </w:p>
    <w:p w:rsidR="00404592" w:rsidRPr="00404592" w:rsidRDefault="007803E3" w:rsidP="007803E3">
      <w:r w:rsidRPr="007803E3">
        <w:rPr>
          <w:noProof/>
          <w:lang w:eastAsia="en-NZ"/>
        </w:rPr>
        <w:drawing>
          <wp:inline distT="0" distB="0" distL="0" distR="0" wp14:anchorId="26023007" wp14:editId="3CF932F1">
            <wp:extent cx="4902736" cy="2651760"/>
            <wp:effectExtent l="0" t="0" r="0" b="0"/>
            <wp:docPr id="4726" name="Picture 4726" title="Figure 7: Average number of people per 100,000 on a given day subject to a community treatment order (section 29 of the Mental Health Act), by DHB, 1 January to 31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grayscl/>
                    </a:blip>
                    <a:stretch>
                      <a:fillRect/>
                    </a:stretch>
                  </pic:blipFill>
                  <pic:spPr>
                    <a:xfrm>
                      <a:off x="0" y="0"/>
                      <a:ext cx="4906800" cy="2653958"/>
                    </a:xfrm>
                    <a:prstGeom prst="rect">
                      <a:avLst/>
                    </a:prstGeom>
                  </pic:spPr>
                </pic:pic>
              </a:graphicData>
            </a:graphic>
          </wp:inline>
        </w:drawing>
      </w:r>
    </w:p>
    <w:p w:rsidR="004659AD" w:rsidRPr="00642432" w:rsidRDefault="004659AD" w:rsidP="007803E3">
      <w:pPr>
        <w:pStyle w:val="Note"/>
        <w:ind w:left="0" w:right="1985" w:firstLine="0"/>
      </w:pPr>
      <w:r w:rsidRPr="00642432">
        <w:t>Notes: Confidence intervals (for 99 percent confidence) have been used to aid interpretation. Where a DHB region’s confidence interval crosses the national average, this means the DHB’s rate was not statistically significantly different to the national average.</w:t>
      </w:r>
    </w:p>
    <w:p w:rsidR="004659AD" w:rsidRPr="00642432" w:rsidRDefault="004659AD" w:rsidP="007803E3">
      <w:pPr>
        <w:pStyle w:val="Note"/>
        <w:ind w:left="0" w:right="1985" w:firstLine="0"/>
      </w:pPr>
      <w:r w:rsidRPr="00642432">
        <w:t>Manual data supplied by DHBs has</w:t>
      </w:r>
      <w:r w:rsidR="00D32DDD" w:rsidRPr="00642432">
        <w:t xml:space="preserve"> </w:t>
      </w:r>
      <w:r w:rsidRPr="00642432">
        <w:t>been used for most DHBs. This</w:t>
      </w:r>
      <w:r w:rsidR="00D32DDD" w:rsidRPr="00642432">
        <w:t xml:space="preserve"> </w:t>
      </w:r>
      <w:r w:rsidRPr="00642432">
        <w:t>decision was made after issues with 2013</w:t>
      </w:r>
    </w:p>
    <w:p w:rsidR="004659AD" w:rsidRPr="00642432" w:rsidRDefault="004659AD" w:rsidP="007803E3">
      <w:pPr>
        <w:pStyle w:val="Note"/>
        <w:ind w:left="0" w:right="1985" w:firstLine="0"/>
      </w:pPr>
      <w:r w:rsidRPr="00642432">
        <w:t>PRIMHD data were</w:t>
      </w:r>
      <w:r w:rsidR="00D32DDD" w:rsidRPr="00642432">
        <w:t xml:space="preserve"> </w:t>
      </w:r>
      <w:r w:rsidRPr="00642432">
        <w:t>identified. These issues will be addressed, with the intention of returning to PRIMHD for future Annual Reports.</w:t>
      </w:r>
    </w:p>
    <w:p w:rsidR="004659AD" w:rsidRPr="00642432" w:rsidRDefault="004659AD" w:rsidP="007803E3">
      <w:pPr>
        <w:pStyle w:val="Source"/>
        <w:ind w:left="0" w:right="1985" w:firstLine="0"/>
      </w:pPr>
      <w:r w:rsidRPr="00642432">
        <w:t>Source: Manual data provided by DHBs, except for Auckland, Counties Manukau, Southern, Taranaki and West Coast which is PRIMHD data, extracted on 14 August 2014</w:t>
      </w:r>
      <w:r w:rsidR="007803E3">
        <w:t>.</w:t>
      </w:r>
    </w:p>
    <w:p w:rsidR="004659AD" w:rsidRPr="00642432" w:rsidRDefault="004659AD" w:rsidP="007803E3"/>
    <w:p w:rsidR="004659AD" w:rsidRPr="00642432" w:rsidRDefault="004659AD" w:rsidP="007803E3">
      <w:pPr>
        <w:pStyle w:val="Figure"/>
      </w:pPr>
      <w:bookmarkStart w:id="37" w:name="_Toc405113762"/>
      <w:r w:rsidRPr="00642432">
        <w:t>Figure 8: Average number of people per 100,000 on a given day subject to an inpatient treatment order (section 30 of the Mental Health Act), by DHB, 1 January to 31 December 2013</w:t>
      </w:r>
      <w:bookmarkEnd w:id="37"/>
    </w:p>
    <w:p w:rsidR="004659AD" w:rsidRPr="00642432" w:rsidRDefault="007803E3" w:rsidP="007803E3">
      <w:r w:rsidRPr="007803E3">
        <w:rPr>
          <w:noProof/>
          <w:lang w:eastAsia="en-NZ"/>
        </w:rPr>
        <w:drawing>
          <wp:inline distT="0" distB="0" distL="0" distR="0" wp14:anchorId="68576CFB" wp14:editId="7CFCD6C3">
            <wp:extent cx="4979323" cy="2666996"/>
            <wp:effectExtent l="0" t="0" r="0" b="635"/>
            <wp:docPr id="4727" name="Picture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grayscl/>
                    </a:blip>
                    <a:stretch>
                      <a:fillRect/>
                    </a:stretch>
                  </pic:blipFill>
                  <pic:spPr>
                    <a:xfrm>
                      <a:off x="0" y="0"/>
                      <a:ext cx="4980390" cy="2667567"/>
                    </a:xfrm>
                    <a:prstGeom prst="rect">
                      <a:avLst/>
                    </a:prstGeom>
                  </pic:spPr>
                </pic:pic>
              </a:graphicData>
            </a:graphic>
          </wp:inline>
        </w:drawing>
      </w:r>
    </w:p>
    <w:p w:rsidR="004659AD" w:rsidRPr="00642432" w:rsidRDefault="004659AD" w:rsidP="007803E3">
      <w:pPr>
        <w:pStyle w:val="Note"/>
        <w:ind w:left="0" w:right="1985" w:firstLine="0"/>
      </w:pPr>
      <w:r w:rsidRPr="00642432">
        <w:t>Notes: Confidence intervals (for 99 percent confidence) have been used to aid interpretation. Where a DHB region’s confidence interval crosses the national average, this means the DHB’s rate was not statistically significantly different to the national average.</w:t>
      </w:r>
    </w:p>
    <w:p w:rsidR="004659AD" w:rsidRPr="00642432" w:rsidRDefault="004659AD" w:rsidP="007803E3">
      <w:pPr>
        <w:pStyle w:val="Note"/>
        <w:ind w:left="0" w:right="1985" w:firstLine="0"/>
      </w:pPr>
      <w:r w:rsidRPr="00642432">
        <w:t>Manual data supplied by DHBs has</w:t>
      </w:r>
      <w:r w:rsidR="00D32DDD" w:rsidRPr="00642432">
        <w:t xml:space="preserve"> </w:t>
      </w:r>
      <w:r w:rsidRPr="00642432">
        <w:t>been used for most DHBs. This</w:t>
      </w:r>
      <w:r w:rsidR="00D32DDD" w:rsidRPr="00642432">
        <w:t xml:space="preserve"> </w:t>
      </w:r>
      <w:r w:rsidRPr="00642432">
        <w:t>decision was made after issues with 2013</w:t>
      </w:r>
    </w:p>
    <w:p w:rsidR="004659AD" w:rsidRPr="00642432" w:rsidRDefault="004659AD" w:rsidP="007803E3">
      <w:pPr>
        <w:pStyle w:val="Note"/>
        <w:ind w:left="0" w:right="1985" w:firstLine="0"/>
      </w:pPr>
      <w:r w:rsidRPr="00642432">
        <w:t>PRIMHD data were</w:t>
      </w:r>
      <w:r w:rsidR="00D32DDD" w:rsidRPr="00642432">
        <w:t xml:space="preserve"> </w:t>
      </w:r>
      <w:r w:rsidRPr="00642432">
        <w:t>identified. These issues will be addressed, with the intention of returning to PRIMHD for future Annual Reports.</w:t>
      </w:r>
    </w:p>
    <w:p w:rsidR="004659AD" w:rsidRPr="00642432" w:rsidRDefault="004659AD" w:rsidP="007803E3">
      <w:pPr>
        <w:pStyle w:val="Note"/>
        <w:ind w:left="0" w:right="1985" w:firstLine="0"/>
      </w:pPr>
      <w:r w:rsidRPr="00642432">
        <w:t>Source: Manual data provided by DHBs, except for Auckland, Counties Manukau, Southern, Taranaki and West Coast which is PRIMHD data, extracted on 14 August 2014</w:t>
      </w:r>
    </w:p>
    <w:p w:rsidR="004659AD" w:rsidRPr="00642432" w:rsidRDefault="004659AD" w:rsidP="007803E3"/>
    <w:p w:rsidR="004659AD" w:rsidRPr="00642432" w:rsidRDefault="004659AD" w:rsidP="00ED435D">
      <w:pPr>
        <w:pStyle w:val="Heading3"/>
      </w:pPr>
      <w:r w:rsidRPr="00642432">
        <w:t>Compulsory treatment by age and gender</w:t>
      </w:r>
    </w:p>
    <w:p w:rsidR="004659AD" w:rsidRPr="00642432" w:rsidRDefault="004659AD" w:rsidP="00ED435D">
      <w:r w:rsidRPr="00642432">
        <w:t>During 2013:</w:t>
      </w:r>
    </w:p>
    <w:p w:rsidR="004659AD" w:rsidRPr="00642432" w:rsidRDefault="004659AD" w:rsidP="00ED435D">
      <w:pPr>
        <w:pStyle w:val="Bullet"/>
      </w:pPr>
      <w:r w:rsidRPr="00642432">
        <w:t>people aged 25 to 34 years were</w:t>
      </w:r>
      <w:r w:rsidR="00D32DDD" w:rsidRPr="00642432">
        <w:t xml:space="preserve"> </w:t>
      </w:r>
      <w:r w:rsidRPr="00642432">
        <w:t>the most likely to be subject to a compulsory treatment order</w:t>
      </w:r>
      <w:r w:rsidR="00ED435D">
        <w:t xml:space="preserve"> </w:t>
      </w:r>
      <w:r w:rsidRPr="00642432">
        <w:t>(177 per 100,000) and people over</w:t>
      </w:r>
      <w:r w:rsidR="00D32DDD" w:rsidRPr="00642432">
        <w:t xml:space="preserve"> </w:t>
      </w:r>
      <w:r w:rsidRPr="00642432">
        <w:t>65 years of age were</w:t>
      </w:r>
      <w:r w:rsidR="00D32DDD" w:rsidRPr="00642432">
        <w:t xml:space="preserve"> </w:t>
      </w:r>
      <w:r w:rsidRPr="00642432">
        <w:t>the least likely (51 per 100,000) (Figure 9)</w:t>
      </w:r>
    </w:p>
    <w:p w:rsidR="004659AD" w:rsidRPr="00642432" w:rsidRDefault="004659AD" w:rsidP="00ED435D">
      <w:pPr>
        <w:pStyle w:val="Bullet"/>
      </w:pPr>
      <w:r w:rsidRPr="00642432">
        <w:t>males were</w:t>
      </w:r>
      <w:r w:rsidR="00D32DDD" w:rsidRPr="00642432">
        <w:t xml:space="preserve"> </w:t>
      </w:r>
      <w:r w:rsidRPr="00642432">
        <w:t>1.5 times more likely to be subject to a compulsory treatment order (105 people per</w:t>
      </w:r>
      <w:r w:rsidR="00ED435D">
        <w:t xml:space="preserve"> </w:t>
      </w:r>
      <w:r w:rsidRPr="00642432">
        <w:t>100,000) than females (69 people per 100,000) (Figure 10).</w:t>
      </w:r>
    </w:p>
    <w:p w:rsidR="004659AD" w:rsidRPr="00642432" w:rsidRDefault="004659AD" w:rsidP="00ED435D"/>
    <w:p w:rsidR="004659AD" w:rsidRPr="00642432" w:rsidRDefault="004659AD" w:rsidP="00ED435D">
      <w:pPr>
        <w:pStyle w:val="Figure"/>
      </w:pPr>
      <w:bookmarkStart w:id="38" w:name="_Toc405113763"/>
      <w:r w:rsidRPr="00642432">
        <w:t>Figure 9: Number of people per 100,000 subject to compulsory treatment order applications</w:t>
      </w:r>
      <w:r w:rsidR="00ED435D">
        <w:t xml:space="preserve"> </w:t>
      </w:r>
      <w:r w:rsidRPr="00642432">
        <w:t>(including extensions), by age group, 2004 to 2013</w:t>
      </w:r>
      <w:bookmarkEnd w:id="38"/>
    </w:p>
    <w:p w:rsidR="004659AD" w:rsidRPr="00642432" w:rsidRDefault="00ED435D" w:rsidP="00ED435D">
      <w:r w:rsidRPr="00ED435D">
        <w:rPr>
          <w:noProof/>
          <w:lang w:eastAsia="en-NZ"/>
        </w:rPr>
        <w:drawing>
          <wp:inline distT="0" distB="0" distL="0" distR="0" wp14:anchorId="47984D8A" wp14:editId="38E37A9B">
            <wp:extent cx="4513811" cy="2443616"/>
            <wp:effectExtent l="0" t="0" r="1270" b="0"/>
            <wp:docPr id="4728" name="Picture 4728" title="Figure 9: Number of people per 100,000 subject to compulsory treatment order applications (including extensions), by age group, 2004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grayscl/>
                    </a:blip>
                    <a:stretch>
                      <a:fillRect/>
                    </a:stretch>
                  </pic:blipFill>
                  <pic:spPr>
                    <a:xfrm>
                      <a:off x="0" y="0"/>
                      <a:ext cx="4514801" cy="2444152"/>
                    </a:xfrm>
                    <a:prstGeom prst="rect">
                      <a:avLst/>
                    </a:prstGeom>
                  </pic:spPr>
                </pic:pic>
              </a:graphicData>
            </a:graphic>
          </wp:inline>
        </w:drawing>
      </w:r>
    </w:p>
    <w:p w:rsidR="004659AD" w:rsidRPr="00642432" w:rsidRDefault="004659AD" w:rsidP="00373EA6">
      <w:pPr>
        <w:pStyle w:val="Source"/>
        <w:ind w:left="0" w:firstLine="0"/>
      </w:pPr>
      <w:r w:rsidRPr="00642432">
        <w:t>Source: Ministry of Justice’s Integrated Sector Intelligence System, which uses data entered into the Case Management</w:t>
      </w:r>
      <w:r w:rsidR="00ED435D">
        <w:t xml:space="preserve"> </w:t>
      </w:r>
      <w:r w:rsidRPr="00642432">
        <w:t>System (CMS). The CMS is a live operational database, and figures are subject to minor changes at any</w:t>
      </w:r>
      <w:r w:rsidR="00D32DDD" w:rsidRPr="00642432">
        <w:t xml:space="preserve"> </w:t>
      </w:r>
      <w:r w:rsidRPr="00642432">
        <w:t>time.</w:t>
      </w:r>
    </w:p>
    <w:p w:rsidR="004659AD" w:rsidRPr="00642432" w:rsidRDefault="004659AD" w:rsidP="00373EA6"/>
    <w:p w:rsidR="004659AD" w:rsidRPr="00642432" w:rsidRDefault="004659AD" w:rsidP="00373EA6">
      <w:pPr>
        <w:pStyle w:val="Figure"/>
      </w:pPr>
      <w:bookmarkStart w:id="39" w:name="_Toc405113764"/>
      <w:r w:rsidRPr="00642432">
        <w:t>Figure 10: Number of people per 100,000 subject to compulsory treatment order applications</w:t>
      </w:r>
      <w:r w:rsidR="00373EA6">
        <w:t xml:space="preserve"> </w:t>
      </w:r>
      <w:r w:rsidRPr="00642432">
        <w:t>(including extensions), by gender, 2004 to 2013</w:t>
      </w:r>
      <w:bookmarkEnd w:id="39"/>
    </w:p>
    <w:p w:rsidR="004659AD" w:rsidRPr="00642432" w:rsidRDefault="00373EA6" w:rsidP="00373EA6">
      <w:r w:rsidRPr="00373EA6">
        <w:rPr>
          <w:noProof/>
          <w:lang w:eastAsia="en-NZ"/>
        </w:rPr>
        <w:drawing>
          <wp:inline distT="0" distB="0" distL="0" distR="0" wp14:anchorId="1F8F93BE" wp14:editId="62239778">
            <wp:extent cx="4513811" cy="2435082"/>
            <wp:effectExtent l="0" t="0" r="1270" b="3810"/>
            <wp:docPr id="4731" name="Picture 4731" title="Figure 10: Number of people per 100,000 subject to compulsory treatment order applications (including extensions), by gender, 2004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grayscl/>
                    </a:blip>
                    <a:stretch>
                      <a:fillRect/>
                    </a:stretch>
                  </pic:blipFill>
                  <pic:spPr>
                    <a:xfrm>
                      <a:off x="0" y="0"/>
                      <a:ext cx="4517173" cy="2436896"/>
                    </a:xfrm>
                    <a:prstGeom prst="rect">
                      <a:avLst/>
                    </a:prstGeom>
                  </pic:spPr>
                </pic:pic>
              </a:graphicData>
            </a:graphic>
          </wp:inline>
        </w:drawing>
      </w:r>
    </w:p>
    <w:p w:rsidR="004659AD" w:rsidRPr="00642432" w:rsidRDefault="004659AD" w:rsidP="00373EA6">
      <w:pPr>
        <w:pStyle w:val="Source"/>
        <w:ind w:left="0" w:firstLine="0"/>
      </w:pPr>
      <w:r w:rsidRPr="00642432">
        <w:t>Source: Ministry of Justice’s Integrated Sector Intelligence System, which uses data entered into the Case Management</w:t>
      </w:r>
      <w:r w:rsidR="00373EA6">
        <w:t xml:space="preserve"> </w:t>
      </w:r>
      <w:r w:rsidRPr="00642432">
        <w:t>System (CMS). The CMS is a live operational database, and figures are subject to minor changes at any</w:t>
      </w:r>
      <w:r w:rsidR="00D32DDD" w:rsidRPr="00642432">
        <w:t xml:space="preserve"> </w:t>
      </w:r>
      <w:r w:rsidRPr="00642432">
        <w:t>time.</w:t>
      </w:r>
    </w:p>
    <w:p w:rsidR="004659AD" w:rsidRPr="00642432" w:rsidRDefault="004659AD" w:rsidP="00373EA6"/>
    <w:p w:rsidR="007D6CAA" w:rsidRDefault="007D6CAA" w:rsidP="007D6CAA">
      <w:r>
        <w:br w:type="page"/>
      </w:r>
    </w:p>
    <w:p w:rsidR="004659AD" w:rsidRPr="00642432" w:rsidRDefault="004659AD" w:rsidP="00373EA6">
      <w:pPr>
        <w:pStyle w:val="Heading3"/>
      </w:pPr>
      <w:r w:rsidRPr="00642432">
        <w:t>Sector voices</w:t>
      </w:r>
    </w:p>
    <w:p w:rsidR="004659AD" w:rsidRPr="00642432" w:rsidRDefault="007D6CAA" w:rsidP="007D6CAA">
      <w:pPr>
        <w:pStyle w:val="Heading4"/>
      </w:pPr>
      <w:r w:rsidRPr="007D6CAA">
        <w:rPr>
          <w:noProof/>
          <w:lang w:eastAsia="en-NZ"/>
        </w:rPr>
        <w:drawing>
          <wp:anchor distT="0" distB="0" distL="0" distR="114300" simplePos="0" relativeHeight="251986944" behindDoc="0" locked="0" layoutInCell="1" allowOverlap="1" wp14:anchorId="2E9C4BD3" wp14:editId="3D15BC4A">
            <wp:simplePos x="0" y="0"/>
            <wp:positionH relativeFrom="column">
              <wp:posOffset>-34290</wp:posOffset>
            </wp:positionH>
            <wp:positionV relativeFrom="paragraph">
              <wp:posOffset>1905</wp:posOffset>
            </wp:positionV>
            <wp:extent cx="1569085" cy="1771015"/>
            <wp:effectExtent l="0" t="0" r="0" b="635"/>
            <wp:wrapSquare wrapText="right"/>
            <wp:docPr id="4732" name="Picture 4732" descr="Photo of Patrick Pora" title="Patrick P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grayscl/>
                      <a:extLst>
                        <a:ext uri="{28A0092B-C50C-407E-A947-70E740481C1C}">
                          <a14:useLocalDpi xmlns:a14="http://schemas.microsoft.com/office/drawing/2010/main" val="0"/>
                        </a:ext>
                      </a:extLst>
                    </a:blip>
                    <a:stretch>
                      <a:fillRect/>
                    </a:stretch>
                  </pic:blipFill>
                  <pic:spPr>
                    <a:xfrm>
                      <a:off x="0" y="0"/>
                      <a:ext cx="1569085" cy="1771015"/>
                    </a:xfrm>
                    <a:prstGeom prst="rect">
                      <a:avLst/>
                    </a:prstGeom>
                  </pic:spPr>
                </pic:pic>
              </a:graphicData>
            </a:graphic>
            <wp14:sizeRelH relativeFrom="margin">
              <wp14:pctWidth>0</wp14:pctWidth>
            </wp14:sizeRelH>
            <wp14:sizeRelV relativeFrom="margin">
              <wp14:pctHeight>0</wp14:pctHeight>
            </wp14:sizeRelV>
          </wp:anchor>
        </w:drawing>
      </w:r>
      <w:r w:rsidR="004659AD" w:rsidRPr="00642432">
        <w:t>Patrick Pora</w:t>
      </w:r>
    </w:p>
    <w:p w:rsidR="004659AD" w:rsidRPr="00642432" w:rsidRDefault="004659AD" w:rsidP="007D6CAA">
      <w:r w:rsidRPr="00642432">
        <w:t>Questions by Kieran Moorhead (consumer leader)</w:t>
      </w:r>
    </w:p>
    <w:p w:rsidR="004659AD" w:rsidRPr="00642432" w:rsidRDefault="004659AD" w:rsidP="007D6CAA"/>
    <w:p w:rsidR="004659AD" w:rsidRPr="00642432" w:rsidRDefault="004659AD" w:rsidP="007D6CAA">
      <w:r w:rsidRPr="00642432">
        <w:t>What was the experience like when you were first undergoing the Mental</w:t>
      </w:r>
      <w:r w:rsidR="007D6CAA">
        <w:t xml:space="preserve"> </w:t>
      </w:r>
      <w:r w:rsidRPr="00642432">
        <w:t>Health Act process?</w:t>
      </w:r>
    </w:p>
    <w:p w:rsidR="004659AD" w:rsidRPr="00642432" w:rsidRDefault="004659AD" w:rsidP="007D6CAA"/>
    <w:p w:rsidR="004659AD" w:rsidRPr="00642432" w:rsidRDefault="004659AD" w:rsidP="007D6CAA">
      <w:r w:rsidRPr="00642432">
        <w:t>I was first under the Mental Health Act about nine years ago. At the time I was regularly using methamphetamine which is when I first started becoming unwell and experiencing symptoms of psychosis. During that time one</w:t>
      </w:r>
      <w:r w:rsidR="00D32DDD" w:rsidRPr="00642432">
        <w:t xml:space="preserve"> </w:t>
      </w:r>
      <w:r w:rsidRPr="00642432">
        <w:t>of my family members began the process of me going under the Mental Health Act.</w:t>
      </w:r>
      <w:r w:rsidR="007D6CAA">
        <w:t xml:space="preserve"> </w:t>
      </w:r>
      <w:r w:rsidRPr="00642432">
        <w:t>I decided that I didn’t want to be a part of the group of my old school friends who</w:t>
      </w:r>
      <w:r w:rsidR="00D32DDD" w:rsidRPr="00642432">
        <w:t xml:space="preserve"> </w:t>
      </w:r>
      <w:r w:rsidRPr="00642432">
        <w:t>were</w:t>
      </w:r>
      <w:r w:rsidR="00D32DDD" w:rsidRPr="00642432">
        <w:t xml:space="preserve"> </w:t>
      </w:r>
      <w:r w:rsidRPr="00642432">
        <w:t>using meth;</w:t>
      </w:r>
      <w:r w:rsidR="007D6CAA">
        <w:t xml:space="preserve"> </w:t>
      </w:r>
      <w:r w:rsidRPr="00642432">
        <w:t>I wanted to get out</w:t>
      </w:r>
      <w:r w:rsidR="00D32DDD" w:rsidRPr="00642432">
        <w:t xml:space="preserve"> </w:t>
      </w:r>
      <w:r w:rsidRPr="00642432">
        <w:t>of that life and stop doing the same old things. I broke away from the people that influenced me to become unwell. Now I’m trying to help people and represent them.</w:t>
      </w:r>
    </w:p>
    <w:p w:rsidR="004659AD" w:rsidRPr="00642432" w:rsidRDefault="004659AD" w:rsidP="007D6CAA"/>
    <w:p w:rsidR="004659AD" w:rsidRPr="00642432" w:rsidRDefault="004659AD" w:rsidP="007D6CAA">
      <w:r w:rsidRPr="00642432">
        <w:t>What has it been like being under the Mental Health Act?</w:t>
      </w:r>
    </w:p>
    <w:p w:rsidR="004659AD" w:rsidRPr="00642432" w:rsidRDefault="004659AD" w:rsidP="007D6CAA"/>
    <w:p w:rsidR="004659AD" w:rsidRPr="00642432" w:rsidRDefault="004659AD" w:rsidP="007D6CAA">
      <w:r w:rsidRPr="00642432">
        <w:t>It does really help, there are good</w:t>
      </w:r>
      <w:r w:rsidR="00D32DDD" w:rsidRPr="00642432">
        <w:t xml:space="preserve"> </w:t>
      </w:r>
      <w:r w:rsidRPr="00642432">
        <w:t>times and bad</w:t>
      </w:r>
      <w:r w:rsidR="00D32DDD" w:rsidRPr="00642432">
        <w:t xml:space="preserve"> </w:t>
      </w:r>
      <w:r w:rsidRPr="00642432">
        <w:t>times being under it – like the medication side</w:t>
      </w:r>
      <w:r w:rsidR="00D32DDD" w:rsidRPr="00642432">
        <w:t xml:space="preserve"> </w:t>
      </w:r>
      <w:r w:rsidRPr="00642432">
        <w:t>effects</w:t>
      </w:r>
      <w:r w:rsidR="007D6CAA">
        <w:t xml:space="preserve"> </w:t>
      </w:r>
      <w:r w:rsidRPr="00642432">
        <w:t>– and I’d like to eventually lower my medication but I know it’s all about balance. I hope to be able</w:t>
      </w:r>
      <w:r w:rsidR="00D32DDD" w:rsidRPr="00642432">
        <w:t xml:space="preserve"> </w:t>
      </w:r>
      <w:r w:rsidRPr="00642432">
        <w:t>to leave the Mental Health Act in the future, and get out</w:t>
      </w:r>
      <w:r w:rsidR="00D32DDD" w:rsidRPr="00642432">
        <w:t xml:space="preserve"> </w:t>
      </w:r>
      <w:r w:rsidRPr="00642432">
        <w:t>and do things and help people. I have awesome people around me that really care about me and always try and help me out. Family supporting you is really important.</w:t>
      </w:r>
    </w:p>
    <w:p w:rsidR="004659AD" w:rsidRPr="00642432" w:rsidRDefault="004659AD" w:rsidP="007D6CAA"/>
    <w:p w:rsidR="004659AD" w:rsidRPr="00642432" w:rsidRDefault="004659AD" w:rsidP="007D6CAA">
      <w:r w:rsidRPr="00642432">
        <w:t>How did you find the mental health services when you were first using them?</w:t>
      </w:r>
    </w:p>
    <w:p w:rsidR="004659AD" w:rsidRPr="00642432" w:rsidRDefault="004659AD" w:rsidP="007D6CAA"/>
    <w:p w:rsidR="004659AD" w:rsidRPr="00642432" w:rsidRDefault="004659AD" w:rsidP="007D6CAA">
      <w:r w:rsidRPr="00642432">
        <w:t>It was the mental health people that were</w:t>
      </w:r>
      <w:r w:rsidR="00D32DDD" w:rsidRPr="00642432">
        <w:t xml:space="preserve"> </w:t>
      </w:r>
      <w:r w:rsidRPr="00642432">
        <w:t>helping me.</w:t>
      </w:r>
      <w:r w:rsidR="00D32DDD" w:rsidRPr="00642432">
        <w:t xml:space="preserve"> </w:t>
      </w:r>
      <w:r w:rsidRPr="00642432">
        <w:t>I didn’t have my family at the time, so I treated them like my family.</w:t>
      </w:r>
    </w:p>
    <w:p w:rsidR="004659AD" w:rsidRPr="00642432" w:rsidRDefault="004659AD" w:rsidP="007D6CAA"/>
    <w:p w:rsidR="004659AD" w:rsidRPr="00642432" w:rsidRDefault="004659AD" w:rsidP="007D6CAA">
      <w:r w:rsidRPr="00642432">
        <w:t>I do feel safer and securer being under the Mental Health Act. With</w:t>
      </w:r>
      <w:r w:rsidR="00D32DDD" w:rsidRPr="00642432">
        <w:t xml:space="preserve"> </w:t>
      </w:r>
      <w:r w:rsidRPr="00642432">
        <w:t>the support that I have had it’s easier for me to get up, go for a walk,</w:t>
      </w:r>
      <w:r w:rsidR="00D32DDD" w:rsidRPr="00642432">
        <w:t xml:space="preserve"> </w:t>
      </w:r>
      <w:r w:rsidRPr="00642432">
        <w:t>have a run and socialise with other people.</w:t>
      </w:r>
    </w:p>
    <w:p w:rsidR="004659AD" w:rsidRPr="00642432" w:rsidRDefault="004659AD" w:rsidP="00C95A59"/>
    <w:p w:rsidR="004659AD" w:rsidRPr="00642432" w:rsidRDefault="004659AD" w:rsidP="00C95A59">
      <w:r w:rsidRPr="00642432">
        <w:t>I’m here to support people that are under the Mental Health Act. I’d like to be a role model for people, give them support and help them out.</w:t>
      </w:r>
    </w:p>
    <w:p w:rsidR="004659AD" w:rsidRPr="00642432" w:rsidRDefault="004659AD" w:rsidP="00C95A59"/>
    <w:p w:rsidR="00C95A59" w:rsidRDefault="004659AD" w:rsidP="00C95A59">
      <w:pPr>
        <w:pStyle w:val="Heading2"/>
      </w:pPr>
      <w:bookmarkStart w:id="40" w:name="_Toc405113669"/>
      <w:r w:rsidRPr="00642432">
        <w:t>Māori and sect</w:t>
      </w:r>
      <w:r w:rsidR="00C95A59">
        <w:t>ion 29 of the Mental Health Act</w:t>
      </w:r>
      <w:bookmarkEnd w:id="40"/>
    </w:p>
    <w:p w:rsidR="004659AD" w:rsidRPr="00642432" w:rsidRDefault="004659AD" w:rsidP="00C95A59">
      <w:pPr>
        <w:keepNext/>
      </w:pPr>
      <w:r w:rsidRPr="00642432">
        <w:t>This section presents data on Māori under community treatment orders (section 29 of the Mental Health Act) in 2013. This</w:t>
      </w:r>
      <w:r w:rsidR="00D32DDD" w:rsidRPr="00642432">
        <w:t xml:space="preserve"> </w:t>
      </w:r>
      <w:r w:rsidRPr="00642432">
        <w:t>is the first time information of this kind has</w:t>
      </w:r>
      <w:r w:rsidR="00D32DDD" w:rsidRPr="00642432">
        <w:t xml:space="preserve"> </w:t>
      </w:r>
      <w:r w:rsidRPr="00642432">
        <w:t>been published in the Annual Report. It is intended that this information will further underline the need for the mental health sector to engage in meaningful action to address the disparity of mental health outcomes for Māori in New Zealand.</w:t>
      </w:r>
    </w:p>
    <w:p w:rsidR="004659AD" w:rsidRPr="00642432" w:rsidRDefault="004659AD" w:rsidP="00C95A59">
      <w:pPr>
        <w:keepNext/>
      </w:pPr>
    </w:p>
    <w:p w:rsidR="004659AD" w:rsidRPr="00642432" w:rsidRDefault="004659AD" w:rsidP="00C95A59">
      <w:pPr>
        <w:keepNext/>
      </w:pPr>
      <w:r w:rsidRPr="00642432">
        <w:t>In summary:</w:t>
      </w:r>
    </w:p>
    <w:p w:rsidR="004659AD" w:rsidRPr="00642432" w:rsidRDefault="004659AD" w:rsidP="00C95A59">
      <w:pPr>
        <w:pStyle w:val="Bullet"/>
        <w:keepNext/>
      </w:pPr>
      <w:r w:rsidRPr="00642432">
        <w:t>during 2013 Māori were</w:t>
      </w:r>
      <w:r w:rsidR="00D32DDD" w:rsidRPr="00642432">
        <w:t xml:space="preserve"> </w:t>
      </w:r>
      <w:r w:rsidRPr="00642432">
        <w:t>2.9 times more likely to be under a community treatment order than non-Māori (section 29 of the Mental Health Act)</w:t>
      </w:r>
    </w:p>
    <w:p w:rsidR="004659AD" w:rsidRPr="00642432" w:rsidRDefault="004659AD" w:rsidP="00C95A59">
      <w:pPr>
        <w:pStyle w:val="Bullet"/>
        <w:keepNext/>
      </w:pPr>
      <w:r w:rsidRPr="00642432">
        <w:t>the ratio of Māori to non-Māori subject to section 29 varies by DHB</w:t>
      </w:r>
    </w:p>
    <w:p w:rsidR="004659AD" w:rsidRPr="00C95A59" w:rsidRDefault="004659AD" w:rsidP="00C95A59">
      <w:pPr>
        <w:pStyle w:val="Bullet"/>
      </w:pPr>
      <w:r w:rsidRPr="00642432">
        <w:t>reducing the disparity in mental health outcomes for Māori is a priority action for the Ministry of</w:t>
      </w:r>
      <w:r w:rsidR="00C95A59">
        <w:t xml:space="preserve"> </w:t>
      </w:r>
      <w:r w:rsidRPr="00642432">
        <w:t>Health and DHBs.</w:t>
      </w:r>
      <w:r w:rsidR="00C95A59">
        <w:rPr>
          <w:rStyle w:val="FootnoteReference"/>
        </w:rPr>
        <w:footnoteReference w:id="8"/>
      </w:r>
    </w:p>
    <w:p w:rsidR="004659AD" w:rsidRPr="00642432" w:rsidRDefault="004659AD" w:rsidP="00C95A59"/>
    <w:p w:rsidR="004659AD" w:rsidRPr="00C95A59" w:rsidRDefault="004659AD" w:rsidP="00C95A59">
      <w:r w:rsidRPr="00642432">
        <w:t>The high rate of Māori on compulsory treatment in New Zealand is a complex issue. Māori make up approximately 15 percent of New Zealand’s population, yet they account for 25 percent of all mental health service users.</w:t>
      </w:r>
      <w:r w:rsidR="00C95A59">
        <w:rPr>
          <w:rStyle w:val="FootnoteReference"/>
        </w:rPr>
        <w:footnoteReference w:id="9"/>
      </w:r>
    </w:p>
    <w:p w:rsidR="004659AD" w:rsidRPr="00642432" w:rsidRDefault="004659AD" w:rsidP="00C95A59"/>
    <w:p w:rsidR="004659AD" w:rsidRPr="00642432" w:rsidRDefault="004659AD" w:rsidP="00C95A59">
      <w:r w:rsidRPr="00642432">
        <w:t>The national mental health prevalence study, Te Rau Hinengaro (Oakley Browne et al 2006), showed that Māori experience the highest levels of mental health disorder overall. They are also more likely to experience serious disorders and co-morbidities than other population groups.</w:t>
      </w:r>
    </w:p>
    <w:p w:rsidR="004659AD" w:rsidRPr="00642432" w:rsidRDefault="004659AD" w:rsidP="00C95A59"/>
    <w:p w:rsidR="004659AD" w:rsidRPr="00642432" w:rsidRDefault="004659AD" w:rsidP="00C95A59">
      <w:pPr>
        <w:pStyle w:val="Box"/>
      </w:pPr>
      <w:r w:rsidRPr="00642432">
        <w:t>During 2013, Māori were</w:t>
      </w:r>
      <w:r w:rsidR="00C95A59">
        <w:t xml:space="preserve"> </w:t>
      </w:r>
      <w:r w:rsidRPr="00642432">
        <w:t>2.9 times more likely to be under a community treatment order than non-Māori.</w:t>
      </w:r>
    </w:p>
    <w:p w:rsidR="004659AD" w:rsidRPr="00642432" w:rsidRDefault="004659AD" w:rsidP="00C95A59"/>
    <w:p w:rsidR="004659AD" w:rsidRPr="00642432" w:rsidRDefault="004659AD" w:rsidP="00C95A59">
      <w:r w:rsidRPr="00642432">
        <w:t>Other demographic features relevant to the high rate of Māori service</w:t>
      </w:r>
      <w:r w:rsidR="00C95A59">
        <w:t xml:space="preserve"> </w:t>
      </w:r>
      <w:r w:rsidRPr="00642432">
        <w:t>users include the youthfulness of the Māori population (approximately half</w:t>
      </w:r>
      <w:r w:rsidR="00D32DDD" w:rsidRPr="00642432">
        <w:t xml:space="preserve"> </w:t>
      </w:r>
      <w:r w:rsidRPr="00642432">
        <w:t>of the population is under</w:t>
      </w:r>
      <w:r w:rsidR="00C95A59">
        <w:t xml:space="preserve"> </w:t>
      </w:r>
      <w:r w:rsidRPr="00642432">
        <w:t>25 years of age) and the disproportionate representation of Māori in low socioeconomic groups (two-thirds live in deprivation deciles 7 to 10).</w:t>
      </w:r>
    </w:p>
    <w:p w:rsidR="004659AD" w:rsidRPr="00642432" w:rsidRDefault="004659AD" w:rsidP="00C95A59"/>
    <w:p w:rsidR="004659AD" w:rsidRPr="00642432" w:rsidRDefault="004659AD" w:rsidP="00C95A59">
      <w:r w:rsidRPr="00642432">
        <w:t>Analysis has</w:t>
      </w:r>
      <w:r w:rsidR="00D32DDD" w:rsidRPr="00642432">
        <w:t xml:space="preserve"> </w:t>
      </w:r>
      <w:r w:rsidRPr="00642432">
        <w:t>shown that these demographic factors do not completely account for the high rate of Māori with serious mental illness (ie, if Māori had the same age structure and level of socioeconomic privilege as people in other groups, their rates of mental disorder would still be higher) (Oakley Browne et al 2006). In addition, Māori experiencing mental health issues tend to present to health services at a later stage of illness, when the need for treatment is more acute.</w:t>
      </w:r>
    </w:p>
    <w:p w:rsidR="004659AD" w:rsidRPr="00642432" w:rsidRDefault="004659AD" w:rsidP="00C95A59"/>
    <w:p w:rsidR="004659AD" w:rsidRPr="00642432" w:rsidRDefault="004659AD" w:rsidP="00C95A59">
      <w:pPr>
        <w:pStyle w:val="Heading3"/>
      </w:pPr>
      <w:r w:rsidRPr="00642432">
        <w:t>What other factors are involved in this disparity?</w:t>
      </w:r>
    </w:p>
    <w:p w:rsidR="004659AD" w:rsidRPr="00642432" w:rsidRDefault="004659AD" w:rsidP="00C95A59">
      <w:pPr>
        <w:keepNext/>
      </w:pPr>
      <w:r w:rsidRPr="00642432">
        <w:t>Elder and Tapsell (2013) emphasise that more research is needed to better understand the Māori experience of the Mental Health Act and why Māori are over-represented in compulsory treatment.</w:t>
      </w:r>
    </w:p>
    <w:p w:rsidR="004659AD" w:rsidRPr="00642432" w:rsidRDefault="004659AD" w:rsidP="00C95A59"/>
    <w:p w:rsidR="004659AD" w:rsidRPr="00642432" w:rsidRDefault="004659AD" w:rsidP="00C95A59">
      <w:r w:rsidRPr="00642432">
        <w:t>They suggest that the following are important questions for the sector to consider.</w:t>
      </w:r>
    </w:p>
    <w:p w:rsidR="004659AD" w:rsidRPr="00642432" w:rsidRDefault="004659AD" w:rsidP="00C95A59">
      <w:pPr>
        <w:pStyle w:val="Bullet"/>
      </w:pPr>
      <w:r w:rsidRPr="00642432">
        <w:t>Are Māori receiving differential treatment in the mental health system?</w:t>
      </w:r>
    </w:p>
    <w:p w:rsidR="004659AD" w:rsidRPr="00642432" w:rsidRDefault="004659AD" w:rsidP="00C95A59">
      <w:pPr>
        <w:pStyle w:val="Bullet"/>
      </w:pPr>
      <w:r w:rsidRPr="00642432">
        <w:t>How can</w:t>
      </w:r>
      <w:r w:rsidR="00D32DDD" w:rsidRPr="00642432">
        <w:t xml:space="preserve"> </w:t>
      </w:r>
      <w:r w:rsidRPr="00642432">
        <w:t>we build a more culturally competent workforce and reduce cultural bias from formulations of mental illness?</w:t>
      </w:r>
    </w:p>
    <w:p w:rsidR="004659AD" w:rsidRPr="00642432" w:rsidRDefault="004659AD" w:rsidP="00C95A59">
      <w:pPr>
        <w:pStyle w:val="Bullet"/>
      </w:pPr>
      <w:r w:rsidRPr="00642432">
        <w:t>Are whānau of tāngata whaiora being sufficiently engaged by mental health services?</w:t>
      </w:r>
    </w:p>
    <w:p w:rsidR="004659AD" w:rsidRPr="00642432" w:rsidRDefault="004659AD" w:rsidP="00C95A59"/>
    <w:p w:rsidR="004659AD" w:rsidRPr="00642432" w:rsidRDefault="004659AD" w:rsidP="00C95A59">
      <w:r w:rsidRPr="00642432">
        <w:t>It is clear that the sector needs to be actively engaged with these questions in order to bring about better outcomes for Māori. However, when asking these questions it is important to keep in mind the significant improvements in the service provision to Māori that have been achieved over</w:t>
      </w:r>
      <w:r w:rsidR="00D32DDD" w:rsidRPr="00642432">
        <w:t xml:space="preserve"> </w:t>
      </w:r>
      <w:r w:rsidRPr="00642432">
        <w:t>the last few decades.</w:t>
      </w:r>
    </w:p>
    <w:p w:rsidR="004659AD" w:rsidRPr="00642432" w:rsidRDefault="004659AD" w:rsidP="00C95A59"/>
    <w:p w:rsidR="004659AD" w:rsidRPr="00642432" w:rsidRDefault="004659AD" w:rsidP="00C95A59">
      <w:r w:rsidRPr="00642432">
        <w:t>One of these improvements is the establishment of dedicated kaupapa Māori services in certain areas around New Zealand. In 2013 Māori access rates to services exceeded the access rates of other groups (5.65 percent of Māori accessed mental health services in 2013, compared with 3.43 percent of non- Māori</w:t>
      </w:r>
      <w:r w:rsidR="00C95A59">
        <w:t>).</w:t>
      </w:r>
      <w:r w:rsidR="00C95A59">
        <w:rPr>
          <w:rStyle w:val="FootnoteReference"/>
        </w:rPr>
        <w:footnoteReference w:id="10"/>
      </w:r>
      <w:r w:rsidR="00D32DDD" w:rsidRPr="00642432">
        <w:t xml:space="preserve"> </w:t>
      </w:r>
      <w:r w:rsidRPr="00642432">
        <w:t>These higher access rates are likely to be a contributing factor to higher rates of Māori under section 29.</w:t>
      </w:r>
    </w:p>
    <w:p w:rsidR="004659AD" w:rsidRPr="00642432" w:rsidRDefault="004659AD" w:rsidP="00C95A59"/>
    <w:p w:rsidR="004659AD" w:rsidRPr="00642432" w:rsidRDefault="004659AD" w:rsidP="00C95A59">
      <w:pPr>
        <w:pStyle w:val="Heading3"/>
      </w:pPr>
      <w:r w:rsidRPr="00642432">
        <w:t>Māori and section 29 of the Mental Health Act by DHB</w:t>
      </w:r>
    </w:p>
    <w:p w:rsidR="004659AD" w:rsidRPr="00642432" w:rsidRDefault="004659AD" w:rsidP="00C95A59">
      <w:r w:rsidRPr="00642432">
        <w:t>Figure 11 shows variation around the country in regard to the disparity between Māori and non-Māori subject to community treatment orders, with the Māori to non-Māori rate ratio ranging from 0.7:1 (West Coast) to 5:1 (Bay of Plenty). DHBs whose Māori rate is significantly higher</w:t>
      </w:r>
      <w:r w:rsidR="00C95A59">
        <w:rPr>
          <w:rStyle w:val="FootnoteReference"/>
        </w:rPr>
        <w:footnoteReference w:id="11"/>
      </w:r>
      <w:r w:rsidRPr="00C95A59">
        <w:t xml:space="preserve"> </w:t>
      </w:r>
      <w:r w:rsidRPr="00642432">
        <w:t>than the New Zealand rate include Auckland, Bay of Plenty, Counties Manukau and Waikato (all of which have a large population of young Māori, the group most at risk for serious mental health problems).</w:t>
      </w:r>
    </w:p>
    <w:p w:rsidR="004659AD" w:rsidRPr="00642432" w:rsidRDefault="004659AD" w:rsidP="00C95A59"/>
    <w:p w:rsidR="004659AD" w:rsidRPr="00642432" w:rsidRDefault="004659AD" w:rsidP="00C95A59">
      <w:r w:rsidRPr="00642432">
        <w:t>These numbers are difficult to interpret as it is hard to indicate what an ideal rate ratio would be for a given population or DHB. What these numbers do make clear is that in-depth, area-specific knowledge would be useful for understanding the particular disparities around the country and what could be done at a local</w:t>
      </w:r>
      <w:r w:rsidR="00D32DDD" w:rsidRPr="00642432">
        <w:t xml:space="preserve"> </w:t>
      </w:r>
      <w:r w:rsidRPr="00642432">
        <w:t>level to address them.</w:t>
      </w:r>
    </w:p>
    <w:p w:rsidR="004659AD" w:rsidRPr="00642432" w:rsidRDefault="004659AD" w:rsidP="00C95A59"/>
    <w:p w:rsidR="004659AD" w:rsidRPr="00642432" w:rsidRDefault="004659AD" w:rsidP="00C95A59">
      <w:pPr>
        <w:pStyle w:val="Figure"/>
      </w:pPr>
      <w:bookmarkStart w:id="41" w:name="_Toc405113765"/>
      <w:r w:rsidRPr="00642432">
        <w:t>Figure 11: The rate ratio of Māori to non-Māori under section 29 of the Mental Health Act, by DHB,</w:t>
      </w:r>
      <w:r w:rsidR="00C95A59">
        <w:t xml:space="preserve"> </w:t>
      </w:r>
      <w:r w:rsidRPr="00642432">
        <w:t>1 January to 31 December 2013</w:t>
      </w:r>
      <w:bookmarkEnd w:id="41"/>
    </w:p>
    <w:p w:rsidR="004659AD" w:rsidRPr="00642432" w:rsidRDefault="003C241A" w:rsidP="003C241A">
      <w:r w:rsidRPr="003C241A">
        <w:rPr>
          <w:noProof/>
          <w:lang w:eastAsia="en-NZ"/>
        </w:rPr>
        <w:drawing>
          <wp:inline distT="0" distB="0" distL="0" distR="0" wp14:anchorId="101B46B5" wp14:editId="01744FEB">
            <wp:extent cx="5054138" cy="2731758"/>
            <wp:effectExtent l="0" t="0" r="0" b="0"/>
            <wp:docPr id="4733" name="Picture 4733" title="Figure 11: The rate ratio of Māori to non-Māori under section 29 of the Mental Health Act, by DHB, 1 January to 31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grayscl/>
                    </a:blip>
                    <a:stretch>
                      <a:fillRect/>
                    </a:stretch>
                  </pic:blipFill>
                  <pic:spPr>
                    <a:xfrm>
                      <a:off x="0" y="0"/>
                      <a:ext cx="5060266" cy="2735070"/>
                    </a:xfrm>
                    <a:prstGeom prst="rect">
                      <a:avLst/>
                    </a:prstGeom>
                  </pic:spPr>
                </pic:pic>
              </a:graphicData>
            </a:graphic>
          </wp:inline>
        </w:drawing>
      </w:r>
    </w:p>
    <w:p w:rsidR="004659AD" w:rsidRPr="00642432" w:rsidRDefault="004659AD" w:rsidP="003C241A">
      <w:pPr>
        <w:pStyle w:val="Note"/>
        <w:ind w:left="0" w:right="1985" w:firstLine="0"/>
      </w:pPr>
      <w:r w:rsidRPr="00642432">
        <w:t>Notes: New Zealand total is a unique client count – it is not a sum of the DHB figures. Some</w:t>
      </w:r>
      <w:r w:rsidR="003C241A">
        <w:t> </w:t>
      </w:r>
      <w:r w:rsidRPr="00642432">
        <w:t>clients were</w:t>
      </w:r>
      <w:r w:rsidR="00D32DDD" w:rsidRPr="00642432">
        <w:t xml:space="preserve"> </w:t>
      </w:r>
      <w:r w:rsidRPr="00642432">
        <w:t>under section 29 at more than one</w:t>
      </w:r>
      <w:r w:rsidR="00D32DDD" w:rsidRPr="00642432">
        <w:t xml:space="preserve"> </w:t>
      </w:r>
      <w:r w:rsidRPr="00642432">
        <w:t>DHB.</w:t>
      </w:r>
    </w:p>
    <w:p w:rsidR="004659AD" w:rsidRPr="00642432" w:rsidRDefault="004659AD" w:rsidP="003C241A">
      <w:pPr>
        <w:pStyle w:val="Note"/>
        <w:ind w:left="0" w:right="1985" w:firstLine="0"/>
      </w:pPr>
      <w:r w:rsidRPr="00642432">
        <w:t>While</w:t>
      </w:r>
      <w:r w:rsidR="00D32DDD" w:rsidRPr="00642432">
        <w:t xml:space="preserve"> </w:t>
      </w:r>
      <w:r w:rsidRPr="00642432">
        <w:t>some data quality concerns have been identified for 2013 PRIMHD data on section</w:t>
      </w:r>
      <w:r w:rsidR="003C241A">
        <w:t> </w:t>
      </w:r>
      <w:r w:rsidRPr="00642432">
        <w:t>29, the ethnicity rate ratio of the data set remains stable.</w:t>
      </w:r>
    </w:p>
    <w:p w:rsidR="004659AD" w:rsidRPr="00642432" w:rsidRDefault="004659AD" w:rsidP="003C241A">
      <w:pPr>
        <w:pStyle w:val="Note"/>
        <w:ind w:left="0" w:right="1985" w:firstLine="0"/>
      </w:pPr>
      <w:r w:rsidRPr="00642432">
        <w:t>Confidence intervals (for 99 percent confidence) have been used to aid interpretation. Where a DHB region’s confidence interval crosses the national average, this means the DHB’s rate was not statistically significantly different to the national average.</w:t>
      </w:r>
    </w:p>
    <w:p w:rsidR="004659AD" w:rsidRPr="00642432" w:rsidRDefault="004659AD" w:rsidP="003C241A">
      <w:pPr>
        <w:pStyle w:val="Source"/>
        <w:ind w:left="0" w:right="1985" w:firstLine="0"/>
      </w:pPr>
      <w:r w:rsidRPr="00642432">
        <w:t>Source: PRIMHD data, extracted on 22 August 2014</w:t>
      </w:r>
      <w:r w:rsidR="003C241A">
        <w:t>.</w:t>
      </w:r>
    </w:p>
    <w:p w:rsidR="004659AD" w:rsidRPr="00642432" w:rsidRDefault="004659AD" w:rsidP="003C241A"/>
    <w:p w:rsidR="004659AD" w:rsidRPr="00642432" w:rsidRDefault="004659AD" w:rsidP="003C241A">
      <w:pPr>
        <w:pStyle w:val="Heading3"/>
      </w:pPr>
      <w:r w:rsidRPr="00642432">
        <w:t>Future focus</w:t>
      </w:r>
    </w:p>
    <w:p w:rsidR="004659AD" w:rsidRPr="00642432" w:rsidRDefault="004659AD" w:rsidP="003C241A">
      <w:r w:rsidRPr="00642432">
        <w:t>Reducing the disparity of Māori mental health outcomes is a priority for the Ministry (Ministry of Health 2012e). Publishing data on Māori who</w:t>
      </w:r>
      <w:r w:rsidR="00D32DDD" w:rsidRPr="00642432">
        <w:t xml:space="preserve"> </w:t>
      </w:r>
      <w:r w:rsidRPr="00642432">
        <w:t>are under section 29 is a good</w:t>
      </w:r>
      <w:r w:rsidR="00D32DDD" w:rsidRPr="00642432">
        <w:t xml:space="preserve"> </w:t>
      </w:r>
      <w:r w:rsidRPr="00642432">
        <w:t>first step towards gaining a better understanding and awareness of Māori over-representation under the Mental Health Act. To add to this, the Director of Mental Health intends to publish more comprehensive data on Māori who</w:t>
      </w:r>
      <w:r w:rsidR="00D32DDD" w:rsidRPr="00642432">
        <w:t xml:space="preserve"> </w:t>
      </w:r>
      <w:r w:rsidRPr="00642432">
        <w:t>are under the Mental Health Act in future Annual Reports.</w:t>
      </w:r>
    </w:p>
    <w:p w:rsidR="004659AD" w:rsidRPr="00642432" w:rsidRDefault="004659AD" w:rsidP="003C241A"/>
    <w:p w:rsidR="004659AD" w:rsidRPr="00642432" w:rsidRDefault="004659AD" w:rsidP="003C241A">
      <w:r w:rsidRPr="00642432">
        <w:t>The Director of Mental Health will continue to work</w:t>
      </w:r>
      <w:r w:rsidR="00D32DDD" w:rsidRPr="00642432">
        <w:t xml:space="preserve"> </w:t>
      </w:r>
      <w:r w:rsidRPr="00642432">
        <w:t>alongside DHBs and other Ministry and government groups to ensure the best possible mental health outcomes are being sought for Māori in New Zealand.</w:t>
      </w:r>
    </w:p>
    <w:p w:rsidR="004659AD" w:rsidRPr="00642432" w:rsidRDefault="004659AD" w:rsidP="003C241A"/>
    <w:p w:rsidR="003C241A" w:rsidRDefault="003C241A" w:rsidP="003C241A">
      <w:r>
        <w:br w:type="page"/>
      </w:r>
    </w:p>
    <w:p w:rsidR="004659AD" w:rsidRPr="00642432" w:rsidRDefault="004659AD" w:rsidP="003C241A">
      <w:pPr>
        <w:pStyle w:val="Heading3"/>
      </w:pPr>
      <w:r w:rsidRPr="00642432">
        <w:t>Sector voices</w:t>
      </w:r>
    </w:p>
    <w:p w:rsidR="004659AD" w:rsidRPr="00642432" w:rsidRDefault="003C241A" w:rsidP="003C241A">
      <w:pPr>
        <w:pStyle w:val="Heading4"/>
      </w:pPr>
      <w:r w:rsidRPr="003C241A">
        <w:rPr>
          <w:noProof/>
          <w:lang w:eastAsia="en-NZ"/>
        </w:rPr>
        <w:drawing>
          <wp:anchor distT="0" distB="0" distL="0" distR="114300" simplePos="0" relativeHeight="251987968" behindDoc="0" locked="0" layoutInCell="1" allowOverlap="0" wp14:anchorId="1A4CD8D8" wp14:editId="1127A765">
            <wp:simplePos x="0" y="0"/>
            <wp:positionH relativeFrom="page">
              <wp:posOffset>888365</wp:posOffset>
            </wp:positionH>
            <wp:positionV relativeFrom="paragraph">
              <wp:posOffset>7620</wp:posOffset>
            </wp:positionV>
            <wp:extent cx="1295400" cy="1810385"/>
            <wp:effectExtent l="0" t="0" r="0" b="0"/>
            <wp:wrapSquare wrapText="right"/>
            <wp:docPr id="5504" name="Picture 5504" descr="Photo of Hinemoa Elder – Psychiatrist" title="Hinemoa 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grayscl/>
                      <a:extLst>
                        <a:ext uri="{28A0092B-C50C-407E-A947-70E740481C1C}">
                          <a14:useLocalDpi xmlns:a14="http://schemas.microsoft.com/office/drawing/2010/main" val="0"/>
                        </a:ext>
                      </a:extLst>
                    </a:blip>
                    <a:stretch>
                      <a:fillRect/>
                    </a:stretch>
                  </pic:blipFill>
                  <pic:spPr>
                    <a:xfrm>
                      <a:off x="0" y="0"/>
                      <a:ext cx="1295400" cy="1810385"/>
                    </a:xfrm>
                    <a:prstGeom prst="rect">
                      <a:avLst/>
                    </a:prstGeom>
                  </pic:spPr>
                </pic:pic>
              </a:graphicData>
            </a:graphic>
            <wp14:sizeRelH relativeFrom="margin">
              <wp14:pctWidth>0</wp14:pctWidth>
            </wp14:sizeRelH>
            <wp14:sizeRelV relativeFrom="margin">
              <wp14:pctHeight>0</wp14:pctHeight>
            </wp14:sizeRelV>
          </wp:anchor>
        </w:drawing>
      </w:r>
      <w:r w:rsidR="004659AD" w:rsidRPr="00642432">
        <w:t>Hinemoa Elder – Psychiatrist</w:t>
      </w:r>
    </w:p>
    <w:p w:rsidR="004659AD" w:rsidRPr="00642432" w:rsidRDefault="004659AD" w:rsidP="003C241A">
      <w:r w:rsidRPr="00642432">
        <w:t>Kia ora koutou katoa, ko Parengarenga te moana, ko Tawhitirahi te maunga, ko Awapoka te awa,</w:t>
      </w:r>
      <w:r w:rsidR="00D32DDD" w:rsidRPr="00642432">
        <w:t xml:space="preserve"> </w:t>
      </w:r>
      <w:r w:rsidRPr="00642432">
        <w:t>ko Te Aupouri, Ngāti Kuri, Te Rarawa me Ngāpuhi nui tonu ōku iwi. Ko Hinemoa Elder tōku ingoa.</w:t>
      </w:r>
    </w:p>
    <w:p w:rsidR="004659AD" w:rsidRPr="00642432" w:rsidRDefault="004659AD" w:rsidP="003C241A"/>
    <w:p w:rsidR="004659AD" w:rsidRPr="00642432" w:rsidRDefault="004659AD" w:rsidP="003C241A">
      <w:r w:rsidRPr="00642432">
        <w:t>My name is Hinemoa Elder and I am a psychiatrist. From time to time in my clinical work I am involved with assessing and treating people under the</w:t>
      </w:r>
      <w:r w:rsidR="00D32DDD" w:rsidRPr="00642432">
        <w:t xml:space="preserve"> </w:t>
      </w:r>
      <w:r w:rsidRPr="00642432">
        <w:t>Mental Health Act.</w:t>
      </w:r>
    </w:p>
    <w:p w:rsidR="004659AD" w:rsidRPr="00642432" w:rsidRDefault="004659AD" w:rsidP="003C241A"/>
    <w:p w:rsidR="004659AD" w:rsidRPr="00642432" w:rsidRDefault="004659AD" w:rsidP="003C241A">
      <w:r w:rsidRPr="00642432">
        <w:t>The Mental Health Act process can</w:t>
      </w:r>
      <w:r w:rsidR="00D32DDD" w:rsidRPr="00642432">
        <w:t xml:space="preserve"> </w:t>
      </w:r>
      <w:r w:rsidRPr="00642432">
        <w:t>be set in motion at a time when someone is perceived to be thinking and behaving in unusual and distressing ways. These concerns can</w:t>
      </w:r>
      <w:r w:rsidR="00D32DDD" w:rsidRPr="00642432">
        <w:t xml:space="preserve"> </w:t>
      </w:r>
      <w:r w:rsidRPr="00642432">
        <w:t>be self-identified, but more often they come from others such as friends and whānau. My job in these situations is to ensure that the supports outlined in the law are put in place to reduce stress and suffering for the person, their whānau and community, in addition to ensuring that appropriate decisions are being made for the person regarding their health and the law.</w:t>
      </w:r>
    </w:p>
    <w:p w:rsidR="004659AD" w:rsidRPr="00642432" w:rsidRDefault="004659AD" w:rsidP="00BF5C9E"/>
    <w:p w:rsidR="004659AD" w:rsidRPr="00642432" w:rsidRDefault="004659AD" w:rsidP="00BF5C9E">
      <w:r w:rsidRPr="00642432">
        <w:t>I am also a deputy psychiatrist member of the Mental Health Review Tribunal. Together with legal and community members we hold reviews for people treated under the Mental Health Act who</w:t>
      </w:r>
      <w:r w:rsidR="00D32DDD" w:rsidRPr="00642432">
        <w:t xml:space="preserve"> </w:t>
      </w:r>
      <w:r w:rsidRPr="00642432">
        <w:t>wish to be removed from compulsory status.</w:t>
      </w:r>
    </w:p>
    <w:p w:rsidR="004659AD" w:rsidRPr="00642432" w:rsidRDefault="004659AD" w:rsidP="00BF5C9E"/>
    <w:p w:rsidR="004659AD" w:rsidRPr="00642432" w:rsidRDefault="004659AD" w:rsidP="00BF5C9E">
      <w:r w:rsidRPr="00642432">
        <w:t>Whether working as part of a multidisciplinary team using the Mental Health Act or as a Tribunal member, I continue to question how the Mental Health Act could be used to better serve Māori. Māori are treated at higher rates under the Mental Health Act. Does this fact denote the appropriate use of the law given that there are higher rates of serious mental illness in the Māori community, or is there some other reason? Accurate reporting of Mental Health Act ethnicity data from around Aotearoa will give</w:t>
      </w:r>
      <w:r w:rsidR="00BF5C9E">
        <w:t xml:space="preserve"> </w:t>
      </w:r>
      <w:r w:rsidRPr="00642432">
        <w:t>us a better picture of the variability of the use of this law and provide a platform for quality research to address these important questions.</w:t>
      </w:r>
    </w:p>
    <w:p w:rsidR="004659AD" w:rsidRPr="00642432" w:rsidRDefault="004659AD" w:rsidP="00BF5C9E"/>
    <w:p w:rsidR="004659AD" w:rsidRPr="00642432" w:rsidRDefault="004659AD" w:rsidP="00BF5C9E">
      <w:r w:rsidRPr="00642432">
        <w:t>While</w:t>
      </w:r>
      <w:r w:rsidR="00D32DDD" w:rsidRPr="00642432">
        <w:t xml:space="preserve"> </w:t>
      </w:r>
      <w:r w:rsidRPr="00642432">
        <w:t>the Mental Health Act does not have specific mandated sections regarding working with Māori, respect for cultural identity and the importance of recognition of ‘whānau, hapū and iwi’ links are emphasised. The Mental Health Act also notes that ‘proper respect’ be paid to language. The extent</w:t>
      </w:r>
      <w:r w:rsidR="00BF5C9E">
        <w:t xml:space="preserve"> </w:t>
      </w:r>
      <w:r w:rsidRPr="00642432">
        <w:t>to which te reo Māori is offered as part of this legal process is not known and is another area ripe for investigation.</w:t>
      </w:r>
    </w:p>
    <w:p w:rsidR="004659AD" w:rsidRPr="00642432" w:rsidRDefault="004659AD" w:rsidP="00BF5C9E"/>
    <w:p w:rsidR="004659AD" w:rsidRPr="00642432" w:rsidRDefault="004659AD" w:rsidP="00BF5C9E">
      <w:pPr>
        <w:pStyle w:val="Heading2"/>
      </w:pPr>
      <w:bookmarkStart w:id="42" w:name="_Toc405113670"/>
      <w:r w:rsidRPr="00642432">
        <w:t>Seclusion</w:t>
      </w:r>
      <w:bookmarkEnd w:id="42"/>
    </w:p>
    <w:p w:rsidR="004659AD" w:rsidRPr="00BF5C9E" w:rsidRDefault="004659AD" w:rsidP="00BF5C9E">
      <w:r w:rsidRPr="00642432">
        <w:t>Seclusion is ‘where a consumer is placed alone in a room or area, at any</w:t>
      </w:r>
      <w:r w:rsidR="00D32DDD" w:rsidRPr="00642432">
        <w:t xml:space="preserve"> </w:t>
      </w:r>
      <w:r w:rsidRPr="00642432">
        <w:t>time and for any</w:t>
      </w:r>
      <w:r w:rsidR="00D32DDD" w:rsidRPr="00642432">
        <w:t xml:space="preserve"> </w:t>
      </w:r>
      <w:r w:rsidRPr="00642432">
        <w:t>duration, from which they cannot freely exit’.</w:t>
      </w:r>
      <w:r w:rsidR="00BF5C9E">
        <w:rPr>
          <w:rStyle w:val="FootnoteReference"/>
        </w:rPr>
        <w:footnoteReference w:id="12"/>
      </w:r>
    </w:p>
    <w:p w:rsidR="004659AD" w:rsidRPr="00642432" w:rsidRDefault="004659AD" w:rsidP="00BF5C9E"/>
    <w:p w:rsidR="004659AD" w:rsidRPr="00642432" w:rsidRDefault="004659AD" w:rsidP="00BF5C9E">
      <w:r w:rsidRPr="00642432">
        <w:t>In summary, in adult mental health services in 2013:</w:t>
      </w:r>
    </w:p>
    <w:p w:rsidR="004659AD" w:rsidRPr="00642432" w:rsidRDefault="004659AD" w:rsidP="00BF5C9E">
      <w:pPr>
        <w:pStyle w:val="Bullet"/>
      </w:pPr>
      <w:r w:rsidRPr="00642432">
        <w:t>the number of people secluded decreased by 29 percent since 2009</w:t>
      </w:r>
    </w:p>
    <w:p w:rsidR="004659AD" w:rsidRPr="00642432" w:rsidRDefault="004659AD" w:rsidP="00BF5C9E">
      <w:pPr>
        <w:pStyle w:val="Bullet"/>
      </w:pPr>
      <w:r w:rsidRPr="00642432">
        <w:t>the total number of hours spent in seclusion decreased by 50 percent since 2009</w:t>
      </w:r>
    </w:p>
    <w:p w:rsidR="004659AD" w:rsidRPr="00642432" w:rsidRDefault="004659AD" w:rsidP="00BF5C9E">
      <w:pPr>
        <w:pStyle w:val="Bullet"/>
      </w:pPr>
      <w:r w:rsidRPr="00642432">
        <w:t>men were</w:t>
      </w:r>
      <w:r w:rsidR="00D32DDD" w:rsidRPr="00642432">
        <w:t xml:space="preserve"> </w:t>
      </w:r>
      <w:r w:rsidRPr="00642432">
        <w:t>almost two times more likely to be secluded than women</w:t>
      </w:r>
    </w:p>
    <w:p w:rsidR="004659AD" w:rsidRPr="00642432" w:rsidRDefault="004659AD" w:rsidP="00BF5C9E">
      <w:pPr>
        <w:pStyle w:val="Bullet"/>
      </w:pPr>
      <w:r w:rsidRPr="00642432">
        <w:t>people aged 20 to 30 years were</w:t>
      </w:r>
      <w:r w:rsidR="00D32DDD" w:rsidRPr="00642432">
        <w:t xml:space="preserve"> </w:t>
      </w:r>
      <w:r w:rsidRPr="00642432">
        <w:t>more likely to be secluded than other age groups</w:t>
      </w:r>
    </w:p>
    <w:p w:rsidR="004659AD" w:rsidRPr="00642432" w:rsidRDefault="004659AD" w:rsidP="00BF5C9E">
      <w:pPr>
        <w:pStyle w:val="Bullet"/>
      </w:pPr>
      <w:r w:rsidRPr="00642432">
        <w:t>Māori were</w:t>
      </w:r>
      <w:r w:rsidR="00D32DDD" w:rsidRPr="00642432">
        <w:t xml:space="preserve"> </w:t>
      </w:r>
      <w:r w:rsidRPr="00642432">
        <w:t>more likely to be secluded than non-Māori.</w:t>
      </w:r>
    </w:p>
    <w:p w:rsidR="004659AD" w:rsidRPr="00642432" w:rsidRDefault="004659AD" w:rsidP="00BF5C9E"/>
    <w:p w:rsidR="004659AD" w:rsidRPr="00642432" w:rsidRDefault="004659AD" w:rsidP="00BF5C9E">
      <w:r w:rsidRPr="00642432">
        <w:t xml:space="preserve">The </w:t>
      </w:r>
      <w:r w:rsidRPr="00642432">
        <w:rPr>
          <w:i/>
        </w:rPr>
        <w:t xml:space="preserve">Health and Disability Services (Restraint Minimisation and Safe Practices) Standards </w:t>
      </w:r>
      <w:r w:rsidRPr="00642432">
        <w:t>came into effect on 1 June 2009 (Standards New Zealand 2008b). The intent of the standards is to ‘reduce the use</w:t>
      </w:r>
      <w:r w:rsidR="00BF5C9E">
        <w:t xml:space="preserve"> </w:t>
      </w:r>
      <w:r w:rsidRPr="00642432">
        <w:t>of restraint in all its forms and to encourage the use of least restrictive practices’.</w:t>
      </w:r>
    </w:p>
    <w:p w:rsidR="004659AD" w:rsidRPr="00642432" w:rsidRDefault="004659AD" w:rsidP="00BF5C9E"/>
    <w:p w:rsidR="004659AD" w:rsidRPr="00642432" w:rsidRDefault="004659AD" w:rsidP="00BF5C9E">
      <w:r w:rsidRPr="00642432">
        <w:t>In addition, reducing (and eventually eliminating) seclusion is one</w:t>
      </w:r>
      <w:r w:rsidR="00D32DDD" w:rsidRPr="00642432">
        <w:t xml:space="preserve"> </w:t>
      </w:r>
      <w:r w:rsidRPr="00642432">
        <w:t>of the goals</w:t>
      </w:r>
      <w:r w:rsidR="00D32DDD" w:rsidRPr="00642432">
        <w:t xml:space="preserve"> </w:t>
      </w:r>
      <w:r w:rsidRPr="00642432">
        <w:t xml:space="preserve">of the Ministry’s service development plan, </w:t>
      </w:r>
      <w:r w:rsidRPr="00642432">
        <w:rPr>
          <w:i/>
        </w:rPr>
        <w:t xml:space="preserve">Rising to the Challenge </w:t>
      </w:r>
      <w:r w:rsidRPr="00642432">
        <w:t>(Ministry of Health 2012e).</w:t>
      </w:r>
    </w:p>
    <w:p w:rsidR="004659AD" w:rsidRPr="00642432" w:rsidRDefault="004659AD" w:rsidP="00BF5C9E"/>
    <w:p w:rsidR="004659AD" w:rsidRPr="00642432" w:rsidRDefault="004659AD" w:rsidP="00BF5C9E">
      <w:r w:rsidRPr="00642432">
        <w:t>Seclusion is provided for in section 71 of the Mental Health</w:t>
      </w:r>
      <w:r w:rsidR="00BF5C9E">
        <w:t xml:space="preserve"> </w:t>
      </w:r>
      <w:r w:rsidRPr="00642432">
        <w:t>Act. Seclusion can</w:t>
      </w:r>
      <w:r w:rsidR="00D32DDD" w:rsidRPr="00642432">
        <w:t xml:space="preserve"> </w:t>
      </w:r>
      <w:r w:rsidRPr="00642432">
        <w:t>only occur where, and for as long</w:t>
      </w:r>
      <w:r w:rsidR="00D32DDD" w:rsidRPr="00642432">
        <w:t xml:space="preserve"> </w:t>
      </w:r>
      <w:r w:rsidRPr="00642432">
        <w:t>as, it is</w:t>
      </w:r>
      <w:r w:rsidR="00BF5C9E">
        <w:t xml:space="preserve"> </w:t>
      </w:r>
      <w:r w:rsidR="00BF5C9E" w:rsidRPr="00642432">
        <w:t>necessary for the care or treatment of the person, or for the protection of other people.</w:t>
      </w:r>
    </w:p>
    <w:p w:rsidR="004659AD" w:rsidRPr="00642432" w:rsidRDefault="004659AD" w:rsidP="00BF5C9E"/>
    <w:p w:rsidR="004659AD" w:rsidRPr="00642432" w:rsidRDefault="004659AD" w:rsidP="00BF5C9E">
      <w:pPr>
        <w:pStyle w:val="Box"/>
      </w:pPr>
      <w:r w:rsidRPr="00642432">
        <w:t>Seclusion should be an uncommon event and should be used only when there is an imminent risk of danger to the individual or others and no other safe and effective alternative is possible.</w:t>
      </w:r>
    </w:p>
    <w:p w:rsidR="004659AD" w:rsidRPr="00642432" w:rsidRDefault="004659AD" w:rsidP="00BF5C9E"/>
    <w:p w:rsidR="004659AD" w:rsidRPr="00642432" w:rsidRDefault="004659AD" w:rsidP="00BF5C9E">
      <w:r w:rsidRPr="00642432">
        <w:t>Seclusion rooms must be designated by the DAMHS and can</w:t>
      </w:r>
      <w:r w:rsidR="00D32DDD" w:rsidRPr="00642432">
        <w:t xml:space="preserve"> </w:t>
      </w:r>
      <w:r w:rsidRPr="00642432">
        <w:t>be used only with the authority of a person’s responsible clinician. The duration and circumstances of each episode of seclusion must be recorded in a register, which must be available for review by district inspectors.</w:t>
      </w:r>
    </w:p>
    <w:p w:rsidR="004659AD" w:rsidRPr="00642432" w:rsidRDefault="004659AD" w:rsidP="004659AD">
      <w:pPr>
        <w:spacing w:before="9" w:line="220" w:lineRule="exact"/>
      </w:pPr>
    </w:p>
    <w:p w:rsidR="004659AD" w:rsidRPr="00642432" w:rsidRDefault="004659AD" w:rsidP="00BF5C9E">
      <w:r w:rsidRPr="00642432">
        <w:t>Seclusion should be an uncommon event and should be used only when there is an imminent risk</w:t>
      </w:r>
      <w:r w:rsidR="00BF5C9E">
        <w:t xml:space="preserve"> </w:t>
      </w:r>
      <w:r w:rsidRPr="00642432">
        <w:t>of danger to the individual or others and no other safe and effective alternative is possible. Seclusion should never be used for the purposes of discipline, coercion or staff convenience, or as a substitute for adequate levels of staff or active treatment.</w:t>
      </w:r>
    </w:p>
    <w:p w:rsidR="004659AD" w:rsidRPr="00642432" w:rsidRDefault="004659AD" w:rsidP="00BF5C9E"/>
    <w:p w:rsidR="004659AD" w:rsidRPr="00642432" w:rsidRDefault="004659AD" w:rsidP="00BF5C9E">
      <w:r w:rsidRPr="00642432">
        <w:t>The Ministry of Health guidelines on seclusion (Ministry of Health 2010) identify best practice</w:t>
      </w:r>
      <w:r w:rsidR="00BF5C9E">
        <w:t xml:space="preserve"> </w:t>
      </w:r>
      <w:r w:rsidRPr="00642432">
        <w:t>methods for using seclusion in mental health acute inpatient units. The intent of the revised guidelines is to progressively decrease and limit the use of seclusion and restraint for mental health service users.</w:t>
      </w:r>
    </w:p>
    <w:p w:rsidR="004659AD" w:rsidRPr="00642432" w:rsidRDefault="004659AD" w:rsidP="00BF5C9E"/>
    <w:p w:rsidR="004659AD" w:rsidRPr="00642432" w:rsidRDefault="004659AD" w:rsidP="00BF5C9E">
      <w:r w:rsidRPr="00642432">
        <w:t>Te Pou o Te Whakaaro Nui (National Workforce Centre for Mental Health, Addiction and Disability) supports the national direction set by the Ministry of Health for seclusion and restraint reduction by using evidence-based information, such as the ‘Six Core Strategies’ of the National Technical</w:t>
      </w:r>
      <w:r w:rsidR="00BF5C9E">
        <w:t xml:space="preserve"> </w:t>
      </w:r>
      <w:r w:rsidRPr="00642432">
        <w:t>Assistance Centre (Huckshorn 2005). Te Pou works with DHBs to support their local</w:t>
      </w:r>
      <w:r w:rsidR="00D32DDD" w:rsidRPr="00642432">
        <w:t xml:space="preserve"> </w:t>
      </w:r>
      <w:r w:rsidRPr="00642432">
        <w:t>initiatives. Further information and stories of emerging good</w:t>
      </w:r>
      <w:r w:rsidR="00D32DDD" w:rsidRPr="00642432">
        <w:t xml:space="preserve"> </w:t>
      </w:r>
      <w:r w:rsidRPr="00642432">
        <w:t>practice can</w:t>
      </w:r>
      <w:r w:rsidR="00D32DDD" w:rsidRPr="00642432">
        <w:t xml:space="preserve"> </w:t>
      </w:r>
      <w:r w:rsidRPr="00642432">
        <w:t>be found on its website (</w:t>
      </w:r>
      <w:hyperlink r:id="rId44">
        <w:r w:rsidRPr="00642432">
          <w:t>www.tepou.co.nz</w:t>
        </w:r>
      </w:hyperlink>
      <w:r w:rsidRPr="00642432">
        <w:t>).</w:t>
      </w:r>
    </w:p>
    <w:p w:rsidR="004659AD" w:rsidRPr="00642432" w:rsidRDefault="004659AD" w:rsidP="00BF5C9E"/>
    <w:p w:rsidR="004659AD" w:rsidRPr="00642432" w:rsidRDefault="004659AD" w:rsidP="00BF5C9E">
      <w:pPr>
        <w:pStyle w:val="Heading3"/>
      </w:pPr>
      <w:r w:rsidRPr="00642432">
        <w:t>Changes in the use of seclusion over time</w:t>
      </w:r>
    </w:p>
    <w:p w:rsidR="004659AD" w:rsidRPr="00642432" w:rsidRDefault="004659AD" w:rsidP="00BF5C9E">
      <w:r w:rsidRPr="00642432">
        <w:t>Since 2009, when the seclusion reduction policy was introduced, the total number of people secluded in adult services nationally has</w:t>
      </w:r>
      <w:r w:rsidR="00D32DDD" w:rsidRPr="00642432">
        <w:t xml:space="preserve"> </w:t>
      </w:r>
      <w:r w:rsidRPr="00642432">
        <w:t>decreased by 29 percent. The number fell by 13 percent between 2012 and 2013.</w:t>
      </w:r>
    </w:p>
    <w:p w:rsidR="004659AD" w:rsidRPr="00642432" w:rsidRDefault="004659AD" w:rsidP="00BF5C9E"/>
    <w:p w:rsidR="004659AD" w:rsidRPr="00642432" w:rsidRDefault="004659AD" w:rsidP="00BF5C9E">
      <w:r w:rsidRPr="00642432">
        <w:t>Since 2009, the total number of seclusion hours for people in adult services nationally has</w:t>
      </w:r>
      <w:r w:rsidR="00D32DDD" w:rsidRPr="00642432">
        <w:t xml:space="preserve"> </w:t>
      </w:r>
      <w:r w:rsidRPr="00642432">
        <w:t>decreased by 50 percent. Between 2012 and</w:t>
      </w:r>
      <w:r w:rsidR="00BF5C9E">
        <w:t xml:space="preserve"> </w:t>
      </w:r>
      <w:r w:rsidRPr="00642432">
        <w:t>2013, the decrease was 21 percent.</w:t>
      </w:r>
    </w:p>
    <w:p w:rsidR="004659AD" w:rsidRPr="00642432" w:rsidRDefault="004659AD" w:rsidP="00BF5C9E"/>
    <w:p w:rsidR="004659AD" w:rsidRPr="00642432" w:rsidRDefault="004659AD" w:rsidP="00BF5C9E">
      <w:r w:rsidRPr="00642432">
        <w:t>Figures 12 and 13 show a decrease in the number of people secluded in adult services (for ages 20 to 64 years) and in the total number of seclusion hours since 2007.</w:t>
      </w:r>
    </w:p>
    <w:p w:rsidR="004659AD" w:rsidRPr="00642432" w:rsidRDefault="004659AD" w:rsidP="00BF5C9E"/>
    <w:p w:rsidR="004659AD" w:rsidRPr="00642432" w:rsidRDefault="004659AD" w:rsidP="00BF5C9E">
      <w:pPr>
        <w:pStyle w:val="Box"/>
      </w:pPr>
      <w:r w:rsidRPr="00642432">
        <w:t>Since 2009, the total number of seclusion hours for people in adult services has</w:t>
      </w:r>
      <w:r w:rsidR="00D32DDD" w:rsidRPr="00642432">
        <w:t xml:space="preserve"> </w:t>
      </w:r>
      <w:r w:rsidRPr="00642432">
        <w:t>decreased by</w:t>
      </w:r>
      <w:r w:rsidR="00BF5C9E">
        <w:t xml:space="preserve"> </w:t>
      </w:r>
      <w:r w:rsidRPr="00642432">
        <w:t>50 percent. Between 2012 and 2013, the decrease was</w:t>
      </w:r>
      <w:r w:rsidR="00BF5C9E">
        <w:t xml:space="preserve"> </w:t>
      </w:r>
      <w:r w:rsidRPr="00642432">
        <w:t>21 percent.</w:t>
      </w:r>
    </w:p>
    <w:p w:rsidR="004659AD" w:rsidRPr="00642432" w:rsidRDefault="004659AD" w:rsidP="00BF5C9E"/>
    <w:p w:rsidR="004659AD" w:rsidRPr="00642432" w:rsidRDefault="00BF5C9E" w:rsidP="00BF5C9E">
      <w:r>
        <w:t>T</w:t>
      </w:r>
      <w:r w:rsidRPr="00642432">
        <w:t>he declining trend for both the number of people and the total</w:t>
      </w:r>
      <w:r>
        <w:t xml:space="preserve"> </w:t>
      </w:r>
      <w:r w:rsidR="004659AD" w:rsidRPr="00642432">
        <w:t>number of hours spent in seclusion aligns with one</w:t>
      </w:r>
      <w:r w:rsidR="00D32DDD" w:rsidRPr="00642432">
        <w:t xml:space="preserve"> </w:t>
      </w:r>
      <w:r w:rsidR="004659AD" w:rsidRPr="00642432">
        <w:t>of the goals</w:t>
      </w:r>
      <w:r w:rsidR="00D32DDD" w:rsidRPr="00642432">
        <w:t xml:space="preserve"> </w:t>
      </w:r>
      <w:r w:rsidR="004659AD" w:rsidRPr="00642432">
        <w:t xml:space="preserve">of </w:t>
      </w:r>
      <w:r w:rsidR="004659AD" w:rsidRPr="00642432">
        <w:rPr>
          <w:i/>
        </w:rPr>
        <w:t xml:space="preserve">Rising to the Challenge </w:t>
      </w:r>
      <w:r w:rsidR="004659AD" w:rsidRPr="00642432">
        <w:t>(Ministry of</w:t>
      </w:r>
      <w:r>
        <w:t xml:space="preserve"> </w:t>
      </w:r>
      <w:r w:rsidR="004659AD" w:rsidRPr="00642432">
        <w:t>Health 2012e),</w:t>
      </w:r>
      <w:r w:rsidR="00D32DDD" w:rsidRPr="00642432">
        <w:t xml:space="preserve"> </w:t>
      </w:r>
      <w:r w:rsidR="004659AD" w:rsidRPr="00642432">
        <w:t>to reduce and eventually eliminate the use of seclusion and restraint in New Zealand.</w:t>
      </w:r>
    </w:p>
    <w:p w:rsidR="004659AD" w:rsidRPr="00642432" w:rsidRDefault="004659AD" w:rsidP="00BF5C9E"/>
    <w:p w:rsidR="004659AD" w:rsidRPr="00642432" w:rsidRDefault="004659AD" w:rsidP="00BF5C9E">
      <w:pPr>
        <w:pStyle w:val="Figure"/>
      </w:pPr>
      <w:bookmarkStart w:id="43" w:name="_Toc405113766"/>
      <w:r w:rsidRPr="00642432">
        <w:t>Figure 12: Number of people secluded in adult services nationally, 2007 to 2013</w:t>
      </w:r>
      <w:bookmarkEnd w:id="43"/>
    </w:p>
    <w:p w:rsidR="004659AD" w:rsidRPr="00642432" w:rsidRDefault="00BF5C9E" w:rsidP="00BF5C9E">
      <w:r w:rsidRPr="00BF5C9E">
        <w:rPr>
          <w:noProof/>
          <w:lang w:eastAsia="en-NZ"/>
        </w:rPr>
        <w:drawing>
          <wp:inline distT="0" distB="0" distL="0" distR="0" wp14:anchorId="3D703AF7" wp14:editId="1592DE30">
            <wp:extent cx="4405745" cy="2778211"/>
            <wp:effectExtent l="0" t="0" r="0" b="3175"/>
            <wp:docPr id="5505" name="Picture 5505" title="Figure 12: Number of people secluded in adult services nationally, 2007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4408136" cy="2779719"/>
                    </a:xfrm>
                    <a:prstGeom prst="rect">
                      <a:avLst/>
                    </a:prstGeom>
                  </pic:spPr>
                </pic:pic>
              </a:graphicData>
            </a:graphic>
          </wp:inline>
        </w:drawing>
      </w:r>
    </w:p>
    <w:p w:rsidR="004659AD" w:rsidRPr="00642432" w:rsidRDefault="004659AD" w:rsidP="00BF5C9E">
      <w:pPr>
        <w:pStyle w:val="Source"/>
        <w:ind w:left="0" w:firstLine="0"/>
      </w:pPr>
      <w:r w:rsidRPr="00642432">
        <w:t>Source: Office of the Director of Mental Health Annual Reports, 2007</w:t>
      </w:r>
      <w:r w:rsidR="00D32DDD" w:rsidRPr="00642432">
        <w:t xml:space="preserve"> </w:t>
      </w:r>
      <w:r w:rsidRPr="00642432">
        <w:t>to 2012. For 2013 PRIMHD data was used, extracted on 8 July 2014.</w:t>
      </w:r>
    </w:p>
    <w:p w:rsidR="004659AD" w:rsidRPr="00642432" w:rsidRDefault="004659AD" w:rsidP="00BF5C9E"/>
    <w:p w:rsidR="004659AD" w:rsidRPr="00642432" w:rsidRDefault="004659AD" w:rsidP="00BF5C9E">
      <w:pPr>
        <w:pStyle w:val="Figure"/>
      </w:pPr>
      <w:bookmarkStart w:id="44" w:name="_Toc405113767"/>
      <w:r w:rsidRPr="00642432">
        <w:t>Figure 13: Total number of seclusion hours in adult services nationally, 2007 to 2013</w:t>
      </w:r>
      <w:bookmarkEnd w:id="44"/>
    </w:p>
    <w:p w:rsidR="004659AD" w:rsidRPr="00642432" w:rsidRDefault="00BF5C9E" w:rsidP="00BF5C9E">
      <w:r w:rsidRPr="00BF5C9E">
        <w:rPr>
          <w:noProof/>
          <w:lang w:eastAsia="en-NZ"/>
        </w:rPr>
        <w:drawing>
          <wp:inline distT="0" distB="0" distL="0" distR="0" wp14:anchorId="7B54B139" wp14:editId="7B1FDA27">
            <wp:extent cx="4405745" cy="2724036"/>
            <wp:effectExtent l="0" t="0" r="0" b="635"/>
            <wp:docPr id="5506" name="Picture 5506" title="Figure 13: Total number of seclusion hours in adult services nationally, 2007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grayscl/>
                    </a:blip>
                    <a:stretch>
                      <a:fillRect/>
                    </a:stretch>
                  </pic:blipFill>
                  <pic:spPr>
                    <a:xfrm>
                      <a:off x="0" y="0"/>
                      <a:ext cx="4408880" cy="2725974"/>
                    </a:xfrm>
                    <a:prstGeom prst="rect">
                      <a:avLst/>
                    </a:prstGeom>
                  </pic:spPr>
                </pic:pic>
              </a:graphicData>
            </a:graphic>
          </wp:inline>
        </w:drawing>
      </w:r>
    </w:p>
    <w:p w:rsidR="004659AD" w:rsidRPr="00642432" w:rsidRDefault="004659AD" w:rsidP="00BF5C9E">
      <w:pPr>
        <w:pStyle w:val="Source"/>
        <w:ind w:left="0" w:firstLine="0"/>
      </w:pPr>
      <w:r w:rsidRPr="00642432">
        <w:t>Source: Office of the Director of Mental Health Annual Reports, 2007</w:t>
      </w:r>
      <w:r w:rsidR="00D32DDD" w:rsidRPr="00642432">
        <w:t xml:space="preserve"> </w:t>
      </w:r>
      <w:r w:rsidRPr="00642432">
        <w:t>to 2012. For 2013 PRIMHD data was used, extracted on 8 July 2014.</w:t>
      </w:r>
    </w:p>
    <w:p w:rsidR="004659AD" w:rsidRPr="00642432" w:rsidRDefault="004659AD" w:rsidP="00BF5C9E"/>
    <w:p w:rsidR="004659AD" w:rsidRPr="00642432" w:rsidRDefault="004659AD" w:rsidP="00BF5C9E">
      <w:pPr>
        <w:pStyle w:val="Heading3"/>
      </w:pPr>
      <w:r w:rsidRPr="00642432">
        <w:t>Seclusion in New Zealand mental health services</w:t>
      </w:r>
    </w:p>
    <w:p w:rsidR="004659AD" w:rsidRPr="00642432" w:rsidRDefault="004659AD" w:rsidP="00BF5C9E">
      <w:r w:rsidRPr="00642432">
        <w:t>Between 1 January and 31 December 2013, 7146 people spent time in New Zealand adult mental health units (excluding forensic and other regional rehabilitation services). This</w:t>
      </w:r>
      <w:r w:rsidR="00D32DDD" w:rsidRPr="00642432">
        <w:t xml:space="preserve"> </w:t>
      </w:r>
      <w:r w:rsidRPr="00642432">
        <w:t>represents 199,142 bed</w:t>
      </w:r>
      <w:r w:rsidR="00D32DDD" w:rsidRPr="00642432">
        <w:t xml:space="preserve"> </w:t>
      </w:r>
      <w:r w:rsidRPr="00642432">
        <w:t>nights. Of this total of 7146 people, 768 (10.7 percent) were</w:t>
      </w:r>
      <w:r w:rsidR="00D32DDD" w:rsidRPr="00642432">
        <w:t xml:space="preserve"> </w:t>
      </w:r>
      <w:r w:rsidRPr="00642432">
        <w:t>secluded at some time during the reporting period.</w:t>
      </w:r>
    </w:p>
    <w:p w:rsidR="004659AD" w:rsidRPr="00642432" w:rsidRDefault="004659AD" w:rsidP="00BF5C9E"/>
    <w:p w:rsidR="004659AD" w:rsidRPr="00642432" w:rsidRDefault="004659AD" w:rsidP="00BF5C9E">
      <w:r w:rsidRPr="00642432">
        <w:t>As the same people were</w:t>
      </w:r>
      <w:r w:rsidR="00D32DDD" w:rsidRPr="00642432">
        <w:t xml:space="preserve"> </w:t>
      </w:r>
      <w:r w:rsidRPr="00642432">
        <w:t>often secluded more than once (on average 2.4 times), the number of seclusion events in adult services was higher than the number of people secluded (1851 events for adult clients).</w:t>
      </w:r>
    </w:p>
    <w:p w:rsidR="004659AD" w:rsidRPr="00642432" w:rsidRDefault="004659AD" w:rsidP="00BF5C9E"/>
    <w:p w:rsidR="00BF5C9E" w:rsidRPr="00BF5C9E" w:rsidRDefault="004659AD" w:rsidP="00BF5C9E">
      <w:r w:rsidRPr="00642432">
        <w:t>Across all services, including forensic and youth services, 968 people across all age groups experienced at least one</w:t>
      </w:r>
      <w:r w:rsidR="00D32DDD" w:rsidRPr="00642432">
        <w:t xml:space="preserve"> </w:t>
      </w:r>
      <w:r w:rsidRPr="00642432">
        <w:t>seclusion event. Of those secluded, 70 percent were</w:t>
      </w:r>
      <w:r w:rsidR="00D32DDD" w:rsidRPr="00642432">
        <w:t xml:space="preserve"> </w:t>
      </w:r>
      <w:r w:rsidRPr="00642432">
        <w:t>male and 30</w:t>
      </w:r>
      <w:r w:rsidR="00BF5C9E">
        <w:t> </w:t>
      </w:r>
      <w:r w:rsidRPr="00642432">
        <w:t>percent</w:t>
      </w:r>
      <w:r w:rsidR="00BF5C9E">
        <w:t xml:space="preserve"> </w:t>
      </w:r>
      <w:r w:rsidR="00BF5C9E" w:rsidRPr="00642432">
        <w:t>were female. The most common age group for those secluded was 20 to 24 years (see Figure 14), and a</w:t>
      </w:r>
      <w:r w:rsidR="00BF5C9E">
        <w:t xml:space="preserve"> </w:t>
      </w:r>
      <w:r w:rsidR="00BF5C9E" w:rsidRPr="00642432">
        <w:t>total of 106 young people (under 19 years) were secluded during the 2013 year, representing a total of</w:t>
      </w:r>
      <w:r w:rsidR="00BF5C9E">
        <w:t xml:space="preserve"> </w:t>
      </w:r>
      <w:r w:rsidR="00BF5C9E" w:rsidRPr="00642432">
        <w:t>311 seclusion events.</w:t>
      </w:r>
      <w:r w:rsidR="00BF5C9E">
        <w:rPr>
          <w:rStyle w:val="FootnoteReference"/>
        </w:rPr>
        <w:footnoteReference w:id="13"/>
      </w:r>
    </w:p>
    <w:p w:rsidR="004659AD" w:rsidRPr="00642432" w:rsidRDefault="004659AD" w:rsidP="00BF5C9E"/>
    <w:p w:rsidR="004659AD" w:rsidRPr="00642432" w:rsidRDefault="004659AD" w:rsidP="00BF5C9E">
      <w:pPr>
        <w:pStyle w:val="Box"/>
      </w:pPr>
      <w:r w:rsidRPr="00642432">
        <w:t>During 2013, 768 people were</w:t>
      </w:r>
      <w:r w:rsidR="00D32DDD" w:rsidRPr="00642432">
        <w:t xml:space="preserve"> </w:t>
      </w:r>
      <w:r w:rsidRPr="00642432">
        <w:t>subject to seclusion in adult mental health units in New Zealand,</w:t>
      </w:r>
      <w:r w:rsidR="00BF5C9E">
        <w:t xml:space="preserve"> </w:t>
      </w:r>
      <w:r w:rsidRPr="00642432">
        <w:t>representing a total of 1851 seclusion events.</w:t>
      </w:r>
    </w:p>
    <w:p w:rsidR="004659AD" w:rsidRPr="00642432" w:rsidRDefault="004659AD" w:rsidP="00BF5C9E"/>
    <w:p w:rsidR="004659AD" w:rsidRPr="00642432" w:rsidRDefault="004659AD" w:rsidP="00BF5C9E">
      <w:pPr>
        <w:pStyle w:val="Figure"/>
      </w:pPr>
      <w:bookmarkStart w:id="45" w:name="_Toc405113768"/>
      <w:r w:rsidRPr="00642432">
        <w:t>Figure 14: Number of people secluded in all mental health units, by age group, 1 January to</w:t>
      </w:r>
      <w:r w:rsidR="00BF5C9E">
        <w:t xml:space="preserve"> </w:t>
      </w:r>
      <w:r w:rsidRPr="00642432">
        <w:t>31</w:t>
      </w:r>
      <w:r w:rsidR="00BF5C9E">
        <w:t> </w:t>
      </w:r>
      <w:r w:rsidRPr="00642432">
        <w:t>December 2013</w:t>
      </w:r>
      <w:bookmarkEnd w:id="45"/>
    </w:p>
    <w:p w:rsidR="004659AD" w:rsidRPr="00642432" w:rsidRDefault="00BF5C9E" w:rsidP="00BF5C9E">
      <w:r w:rsidRPr="00BF5C9E">
        <w:rPr>
          <w:noProof/>
          <w:lang w:eastAsia="en-NZ"/>
        </w:rPr>
        <w:drawing>
          <wp:inline distT="0" distB="0" distL="0" distR="0" wp14:anchorId="47C00B28" wp14:editId="2D78D3A0">
            <wp:extent cx="4364182" cy="2249209"/>
            <wp:effectExtent l="0" t="0" r="0" b="0"/>
            <wp:docPr id="5507" name="Picture 5507" title="Figure 14: Number of people secluded in all mental health units, by age group, 1 January to 31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grayscl/>
                    </a:blip>
                    <a:stretch>
                      <a:fillRect/>
                    </a:stretch>
                  </pic:blipFill>
                  <pic:spPr>
                    <a:xfrm>
                      <a:off x="0" y="0"/>
                      <a:ext cx="4371350" cy="2252903"/>
                    </a:xfrm>
                    <a:prstGeom prst="rect">
                      <a:avLst/>
                    </a:prstGeom>
                  </pic:spPr>
                </pic:pic>
              </a:graphicData>
            </a:graphic>
          </wp:inline>
        </w:drawing>
      </w:r>
    </w:p>
    <w:p w:rsidR="004659AD" w:rsidRPr="00642432" w:rsidRDefault="004659AD" w:rsidP="00BF5C9E">
      <w:pPr>
        <w:pStyle w:val="Source"/>
      </w:pPr>
      <w:r w:rsidRPr="00642432">
        <w:t>Source: PRIMHD data, extracted on 8 July 2014</w:t>
      </w:r>
      <w:r w:rsidR="00BF5C9E">
        <w:t>.</w:t>
      </w:r>
    </w:p>
    <w:p w:rsidR="004659AD" w:rsidRPr="00642432" w:rsidRDefault="004659AD" w:rsidP="00BF5C9E"/>
    <w:p w:rsidR="004659AD" w:rsidRPr="00642432" w:rsidRDefault="004659AD" w:rsidP="00BF5C9E">
      <w:r w:rsidRPr="00642432">
        <w:t>The length of time spent in seclusion varied considerably. Most seclusion events (74 percent) lasted for less than 24 hours. Figure 15 shows the number of seclusion events by duration of the event.</w:t>
      </w:r>
    </w:p>
    <w:p w:rsidR="004659AD" w:rsidRPr="00642432" w:rsidRDefault="004659AD" w:rsidP="00BF5C9E"/>
    <w:p w:rsidR="004659AD" w:rsidRPr="00642432" w:rsidRDefault="004659AD" w:rsidP="00BF5C9E">
      <w:pPr>
        <w:pStyle w:val="Figure"/>
      </w:pPr>
      <w:bookmarkStart w:id="46" w:name="_Toc405113769"/>
      <w:r w:rsidRPr="00642432">
        <w:t>Figure 15: Distribution of seclusion events in all mental health units, by duration of the event,</w:t>
      </w:r>
      <w:r w:rsidR="00BF5C9E">
        <w:t xml:space="preserve"> </w:t>
      </w:r>
      <w:r w:rsidRPr="00642432">
        <w:t>1 January to 31 December 2013</w:t>
      </w:r>
      <w:bookmarkEnd w:id="46"/>
    </w:p>
    <w:p w:rsidR="004659AD" w:rsidRPr="00642432" w:rsidRDefault="00BF5C9E" w:rsidP="00BF5C9E">
      <w:r w:rsidRPr="00BF5C9E">
        <w:rPr>
          <w:noProof/>
          <w:lang w:eastAsia="en-NZ"/>
        </w:rPr>
        <w:drawing>
          <wp:inline distT="0" distB="0" distL="0" distR="0" wp14:anchorId="7FF1FD73" wp14:editId="01953219">
            <wp:extent cx="4394200" cy="2102364"/>
            <wp:effectExtent l="0" t="0" r="6350" b="0"/>
            <wp:docPr id="5508" name="Picture 5508" title="Figure 15: Distribution of seclusion events in all mental health units, by duration of the event, 1 January to 31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grayscl/>
                    </a:blip>
                    <a:stretch>
                      <a:fillRect/>
                    </a:stretch>
                  </pic:blipFill>
                  <pic:spPr>
                    <a:xfrm>
                      <a:off x="0" y="0"/>
                      <a:ext cx="4395333" cy="2102906"/>
                    </a:xfrm>
                    <a:prstGeom prst="rect">
                      <a:avLst/>
                    </a:prstGeom>
                  </pic:spPr>
                </pic:pic>
              </a:graphicData>
            </a:graphic>
          </wp:inline>
        </w:drawing>
      </w:r>
    </w:p>
    <w:p w:rsidR="004659AD" w:rsidRPr="00642432" w:rsidRDefault="004659AD" w:rsidP="00BF5C9E">
      <w:pPr>
        <w:pStyle w:val="Source"/>
      </w:pPr>
      <w:r w:rsidRPr="00642432">
        <w:t>Source: PRIMHD data, extracted on 8 July 2014</w:t>
      </w:r>
      <w:r w:rsidR="00BF5C9E">
        <w:t>.</w:t>
      </w:r>
    </w:p>
    <w:p w:rsidR="004659AD" w:rsidRPr="00642432" w:rsidRDefault="004659AD" w:rsidP="00BF5C9E"/>
    <w:p w:rsidR="004659AD" w:rsidRPr="00642432" w:rsidRDefault="004659AD" w:rsidP="00BF5C9E">
      <w:pPr>
        <w:pStyle w:val="Heading3"/>
      </w:pPr>
      <w:r w:rsidRPr="00642432">
        <w:t>Seclusion by DHB</w:t>
      </w:r>
    </w:p>
    <w:p w:rsidR="004659AD" w:rsidRPr="00642432" w:rsidRDefault="004659AD" w:rsidP="00BF5C9E">
      <w:r w:rsidRPr="00642432">
        <w:t>All DHBs except for Wairarapa (which has</w:t>
      </w:r>
      <w:r w:rsidR="00D32DDD" w:rsidRPr="00642432">
        <w:t xml:space="preserve"> </w:t>
      </w:r>
      <w:r w:rsidRPr="00642432">
        <w:t>no mental health inpatient service) use seclusion.</w:t>
      </w:r>
      <w:r w:rsidR="00BF5C9E">
        <w:rPr>
          <w:rStyle w:val="FootnoteReference"/>
        </w:rPr>
        <w:footnoteReference w:id="14"/>
      </w:r>
      <w:r w:rsidR="00BF5C9E">
        <w:t xml:space="preserve"> </w:t>
      </w:r>
      <w:r w:rsidRPr="00642432">
        <w:t>In</w:t>
      </w:r>
      <w:r w:rsidR="00BF5C9E">
        <w:t> </w:t>
      </w:r>
      <w:r w:rsidRPr="00642432">
        <w:t>2013 the national average number of people secluded per 100,000 population was 29, and the average number of events per 100,000 population was 70.</w:t>
      </w:r>
    </w:p>
    <w:p w:rsidR="004659AD" w:rsidRPr="00642432" w:rsidRDefault="004659AD" w:rsidP="00BF5C9E"/>
    <w:p w:rsidR="004659AD" w:rsidRPr="00642432" w:rsidRDefault="004659AD" w:rsidP="00BF5C9E">
      <w:r w:rsidRPr="00642432">
        <w:t>As Figures 16 and 17 show, seclusion data varied widely across DHBs. Such variation is likely to be due to a number of factors, including:</w:t>
      </w:r>
    </w:p>
    <w:p w:rsidR="004659AD" w:rsidRPr="00642432" w:rsidRDefault="004659AD" w:rsidP="001D289A">
      <w:pPr>
        <w:pStyle w:val="Bullet"/>
      </w:pPr>
      <w:r w:rsidRPr="00642432">
        <w:t>differences in seclusion practice</w:t>
      </w:r>
    </w:p>
    <w:p w:rsidR="004659AD" w:rsidRPr="00642432" w:rsidRDefault="004659AD" w:rsidP="001D289A">
      <w:pPr>
        <w:pStyle w:val="Bullet"/>
      </w:pPr>
      <w:r w:rsidRPr="00642432">
        <w:t>geographical variations in the prevalence and acuity of mental illness</w:t>
      </w:r>
    </w:p>
    <w:p w:rsidR="004659AD" w:rsidRPr="00642432" w:rsidRDefault="004659AD" w:rsidP="001D289A">
      <w:pPr>
        <w:pStyle w:val="Bullet"/>
      </w:pPr>
      <w:r w:rsidRPr="00642432">
        <w:t>ward design factors, such as the availability of intensive care and low-stimulus facilities</w:t>
      </w:r>
    </w:p>
    <w:p w:rsidR="004659AD" w:rsidRPr="00642432" w:rsidRDefault="004659AD" w:rsidP="001D289A">
      <w:pPr>
        <w:pStyle w:val="Bullet"/>
      </w:pPr>
      <w:r w:rsidRPr="00642432">
        <w:t>staff numbers, experience and training</w:t>
      </w:r>
    </w:p>
    <w:p w:rsidR="004659AD" w:rsidRPr="00642432" w:rsidRDefault="004659AD" w:rsidP="001D289A">
      <w:pPr>
        <w:pStyle w:val="Bullet"/>
      </w:pPr>
      <w:r w:rsidRPr="00642432">
        <w:t>use of sedating psychotropic medication</w:t>
      </w:r>
    </w:p>
    <w:p w:rsidR="004659AD" w:rsidRPr="00642432" w:rsidRDefault="004659AD" w:rsidP="001D289A">
      <w:pPr>
        <w:pStyle w:val="Bullet"/>
      </w:pPr>
      <w:r w:rsidRPr="00642432">
        <w:t>the frequent or prolonged seclusion of one</w:t>
      </w:r>
      <w:r w:rsidR="00D32DDD" w:rsidRPr="00642432">
        <w:t xml:space="preserve"> </w:t>
      </w:r>
      <w:r w:rsidRPr="00642432">
        <w:t>person, distorting seclusion figures over</w:t>
      </w:r>
      <w:r w:rsidR="00D32DDD" w:rsidRPr="00642432">
        <w:t xml:space="preserve"> </w:t>
      </w:r>
      <w:r w:rsidRPr="00642432">
        <w:t>the 12</w:t>
      </w:r>
      <w:r w:rsidR="001D289A">
        <w:noBreakHyphen/>
      </w:r>
      <w:r w:rsidRPr="00642432">
        <w:t>month period.</w:t>
      </w:r>
    </w:p>
    <w:p w:rsidR="004659AD" w:rsidRPr="00642432" w:rsidRDefault="004659AD" w:rsidP="001D289A"/>
    <w:p w:rsidR="004659AD" w:rsidRPr="00642432" w:rsidRDefault="004659AD" w:rsidP="001D289A">
      <w:r w:rsidRPr="00642432">
        <w:t>Because it is difficult to measure and adjust for these factors, it can</w:t>
      </w:r>
      <w:r w:rsidR="00D32DDD" w:rsidRPr="00642432">
        <w:t xml:space="preserve"> </w:t>
      </w:r>
      <w:r w:rsidRPr="00642432">
        <w:t>be useful to compare an individual DHB’s performance over</w:t>
      </w:r>
      <w:r w:rsidR="00D32DDD" w:rsidRPr="00642432">
        <w:t xml:space="preserve"> </w:t>
      </w:r>
      <w:r w:rsidRPr="00642432">
        <w:t>time in addition to considering the adjusted comparisons between DHBs made in this Annual Report.</w:t>
      </w:r>
    </w:p>
    <w:p w:rsidR="004659AD" w:rsidRPr="00642432" w:rsidRDefault="004659AD" w:rsidP="001D289A"/>
    <w:p w:rsidR="004659AD" w:rsidRPr="00642432" w:rsidRDefault="004659AD" w:rsidP="001D289A">
      <w:pPr>
        <w:pStyle w:val="Figure"/>
      </w:pPr>
      <w:bookmarkStart w:id="47" w:name="_Toc405113770"/>
      <w:r w:rsidRPr="00642432">
        <w:t>Figure 16: Number of people secluded in adult services (aged 20 to 64 years), per 100,000 by DHB,</w:t>
      </w:r>
      <w:r w:rsidR="001D289A">
        <w:t xml:space="preserve"> </w:t>
      </w:r>
      <w:r w:rsidRPr="00642432">
        <w:t>1 January to 31 December 2013</w:t>
      </w:r>
      <w:bookmarkEnd w:id="47"/>
    </w:p>
    <w:p w:rsidR="004659AD" w:rsidRPr="00642432" w:rsidRDefault="001D289A" w:rsidP="001D289A">
      <w:r w:rsidRPr="001D289A">
        <w:rPr>
          <w:noProof/>
          <w:lang w:eastAsia="en-NZ"/>
        </w:rPr>
        <w:drawing>
          <wp:inline distT="0" distB="0" distL="0" distR="0" wp14:anchorId="085D9A54" wp14:editId="09F64B35">
            <wp:extent cx="4918577" cy="2693324"/>
            <wp:effectExtent l="0" t="0" r="0" b="0"/>
            <wp:docPr id="5509" name="Picture 5509" title="Figure 16: Number of people secluded in adult services (aged 20 to 64 years), per 100,000 by DHB, 1 January to 31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grayscl/>
                    </a:blip>
                    <a:stretch>
                      <a:fillRect/>
                    </a:stretch>
                  </pic:blipFill>
                  <pic:spPr>
                    <a:xfrm>
                      <a:off x="0" y="0"/>
                      <a:ext cx="4922940" cy="2695713"/>
                    </a:xfrm>
                    <a:prstGeom prst="rect">
                      <a:avLst/>
                    </a:prstGeom>
                  </pic:spPr>
                </pic:pic>
              </a:graphicData>
            </a:graphic>
          </wp:inline>
        </w:drawing>
      </w:r>
    </w:p>
    <w:p w:rsidR="004659AD" w:rsidRPr="00642432" w:rsidRDefault="004659AD" w:rsidP="001D289A">
      <w:pPr>
        <w:pStyle w:val="Note"/>
        <w:ind w:left="0" w:right="1985" w:firstLine="0"/>
      </w:pPr>
      <w:r w:rsidRPr="00642432">
        <w:t>Note:</w:t>
      </w:r>
      <w:r w:rsidR="00D32DDD" w:rsidRPr="00642432">
        <w:t xml:space="preserve"> </w:t>
      </w:r>
      <w:r w:rsidRPr="00642432">
        <w:t>Confidence intervals (for 99 percent confidence) have been used to aid interpretation. Where a DHB region’s confidence interval crosses the national average, this means the DHB’s rate was not statistically significantly different to the national average.</w:t>
      </w:r>
    </w:p>
    <w:p w:rsidR="004659AD" w:rsidRPr="00642432" w:rsidRDefault="004659AD" w:rsidP="001D289A">
      <w:pPr>
        <w:pStyle w:val="Source"/>
        <w:ind w:right="1985"/>
      </w:pPr>
      <w:r w:rsidRPr="00642432">
        <w:t>Source: PRIMHD data, extracted on 8 July 2014</w:t>
      </w:r>
      <w:r w:rsidR="001D289A">
        <w:t>.</w:t>
      </w:r>
    </w:p>
    <w:p w:rsidR="004659AD" w:rsidRPr="00642432" w:rsidRDefault="004659AD" w:rsidP="001D289A"/>
    <w:p w:rsidR="004659AD" w:rsidRPr="00642432" w:rsidRDefault="004659AD" w:rsidP="001D289A">
      <w:pPr>
        <w:pStyle w:val="Figure"/>
      </w:pPr>
      <w:bookmarkStart w:id="48" w:name="_Toc405113771"/>
      <w:r w:rsidRPr="00642432">
        <w:t>Figure 17: Number of seclusion events in adult services (aged 20 to 64 years), per 100,000 by DHB,</w:t>
      </w:r>
      <w:r w:rsidR="001D289A">
        <w:t xml:space="preserve"> </w:t>
      </w:r>
      <w:r w:rsidRPr="00642432">
        <w:t>1 January to 31 December 2013</w:t>
      </w:r>
      <w:bookmarkEnd w:id="48"/>
    </w:p>
    <w:p w:rsidR="004659AD" w:rsidRPr="00642432" w:rsidRDefault="001D289A" w:rsidP="001D289A">
      <w:r w:rsidRPr="001D289A">
        <w:rPr>
          <w:noProof/>
          <w:lang w:eastAsia="en-NZ"/>
        </w:rPr>
        <w:drawing>
          <wp:inline distT="0" distB="0" distL="0" distR="0" wp14:anchorId="0F035BBD" wp14:editId="0EE319EF">
            <wp:extent cx="4979324" cy="2663001"/>
            <wp:effectExtent l="0" t="0" r="0" b="4445"/>
            <wp:docPr id="5510" name="Picture 5510" title="Figure 17: Number of seclusion events in adult services (aged 20 to 64 years), per 100,000 by DHB, 1 January to 31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grayscl/>
                    </a:blip>
                    <a:stretch>
                      <a:fillRect/>
                    </a:stretch>
                  </pic:blipFill>
                  <pic:spPr>
                    <a:xfrm>
                      <a:off x="0" y="0"/>
                      <a:ext cx="4981363" cy="2664092"/>
                    </a:xfrm>
                    <a:prstGeom prst="rect">
                      <a:avLst/>
                    </a:prstGeom>
                  </pic:spPr>
                </pic:pic>
              </a:graphicData>
            </a:graphic>
          </wp:inline>
        </w:drawing>
      </w:r>
    </w:p>
    <w:p w:rsidR="004659AD" w:rsidRPr="00642432" w:rsidRDefault="004659AD" w:rsidP="001D289A">
      <w:pPr>
        <w:pStyle w:val="Note"/>
        <w:ind w:left="0" w:right="1985" w:firstLine="0"/>
      </w:pPr>
      <w:r w:rsidRPr="00642432">
        <w:t>Note:</w:t>
      </w:r>
      <w:r w:rsidR="00D32DDD" w:rsidRPr="00642432">
        <w:t xml:space="preserve"> </w:t>
      </w:r>
      <w:r w:rsidRPr="00642432">
        <w:t>Confidence intervals (for 99 percent confidence) have been used to aid interpretation. Where a DHB region’s confidence interval crosses the national average, this means the DHB’s rate was not statistically significantly different to the national average.</w:t>
      </w:r>
    </w:p>
    <w:p w:rsidR="004659AD" w:rsidRPr="00642432" w:rsidRDefault="004659AD" w:rsidP="001D289A">
      <w:pPr>
        <w:pStyle w:val="Source"/>
        <w:ind w:right="1985"/>
      </w:pPr>
      <w:r w:rsidRPr="00642432">
        <w:t>Source: PRIMHD data, extracted on 8 July 2014</w:t>
      </w:r>
      <w:r w:rsidR="001D289A">
        <w:t>.</w:t>
      </w:r>
    </w:p>
    <w:p w:rsidR="004659AD" w:rsidRPr="00642432" w:rsidRDefault="004659AD" w:rsidP="001D289A"/>
    <w:p w:rsidR="004659AD" w:rsidRPr="00642432" w:rsidRDefault="004659AD" w:rsidP="001D289A">
      <w:pPr>
        <w:pStyle w:val="Heading3"/>
      </w:pPr>
      <w:r w:rsidRPr="00642432">
        <w:t>Seclusion and ethnicity</w:t>
      </w:r>
    </w:p>
    <w:p w:rsidR="004659AD" w:rsidRPr="00642432" w:rsidRDefault="004659AD" w:rsidP="001D289A">
      <w:pPr>
        <w:keepNext/>
      </w:pPr>
      <w:r w:rsidRPr="00642432">
        <w:t>As a population group, Māori experience the greatest burden due to mental health issues in New</w:t>
      </w:r>
      <w:r w:rsidR="001D289A">
        <w:t> </w:t>
      </w:r>
      <w:r w:rsidRPr="00642432">
        <w:t>Zealand.</w:t>
      </w:r>
    </w:p>
    <w:p w:rsidR="004659AD" w:rsidRPr="00642432" w:rsidRDefault="004659AD" w:rsidP="001D289A">
      <w:pPr>
        <w:keepNext/>
      </w:pPr>
    </w:p>
    <w:p w:rsidR="004659AD" w:rsidRPr="00642432" w:rsidRDefault="004659AD" w:rsidP="001D289A">
      <w:r w:rsidRPr="00642432">
        <w:t>In 2013, Māori were</w:t>
      </w:r>
      <w:r w:rsidR="00D32DDD" w:rsidRPr="00642432">
        <w:t xml:space="preserve"> </w:t>
      </w:r>
      <w:r w:rsidRPr="00642432">
        <w:t>3.7 times more likely to be secluded in adult services than people from other ethnic groups (per 100,000 population). Of the 768 people (aged 20 to 64 years)</w:t>
      </w:r>
      <w:r w:rsidR="001D289A">
        <w:t xml:space="preserve"> </w:t>
      </w:r>
      <w:r w:rsidRPr="00642432">
        <w:t>secluded in adult services during 2013, 36 percent were</w:t>
      </w:r>
      <w:r w:rsidR="00D32DDD" w:rsidRPr="00642432">
        <w:t xml:space="preserve"> </w:t>
      </w:r>
      <w:r w:rsidRPr="00642432">
        <w:t>Māori.</w:t>
      </w:r>
    </w:p>
    <w:p w:rsidR="004659AD" w:rsidRPr="00642432" w:rsidRDefault="004659AD" w:rsidP="001D289A"/>
    <w:p w:rsidR="004659AD" w:rsidRPr="00642432" w:rsidRDefault="004659AD" w:rsidP="001D289A">
      <w:r w:rsidRPr="00642432">
        <w:t>Figure 18 shows seclusion indicators for Māori and non-Māori during 2013. Māori were</w:t>
      </w:r>
      <w:r w:rsidR="00D32DDD" w:rsidRPr="00642432">
        <w:t xml:space="preserve"> </w:t>
      </w:r>
      <w:r w:rsidRPr="00642432">
        <w:t>secluded at a rate of 78 people per 100,000, and non-Māori at a rate of 21 people per 100,000 population.</w:t>
      </w:r>
    </w:p>
    <w:p w:rsidR="004659AD" w:rsidRPr="00642432" w:rsidRDefault="004659AD" w:rsidP="001D289A"/>
    <w:p w:rsidR="004659AD" w:rsidRPr="00642432" w:rsidRDefault="004659AD" w:rsidP="001D289A">
      <w:pPr>
        <w:pStyle w:val="Box"/>
      </w:pPr>
      <w:r w:rsidRPr="00642432">
        <w:t>In 2013, Māori were</w:t>
      </w:r>
      <w:r w:rsidR="001D289A">
        <w:t xml:space="preserve"> </w:t>
      </w:r>
      <w:r w:rsidRPr="00642432">
        <w:t>3.7 times more likely to be secluded than people from other ethnic groups.</w:t>
      </w:r>
    </w:p>
    <w:p w:rsidR="004659AD" w:rsidRPr="00642432" w:rsidRDefault="004659AD" w:rsidP="001D289A"/>
    <w:p w:rsidR="004659AD" w:rsidRPr="00642432" w:rsidRDefault="004659AD" w:rsidP="001D289A">
      <w:r w:rsidRPr="00642432">
        <w:t xml:space="preserve">Reducing and eventually eliminating the use of seclusion for Māori is a priority action in </w:t>
      </w:r>
      <w:r w:rsidRPr="00642432">
        <w:rPr>
          <w:i/>
        </w:rPr>
        <w:t>Rising to the</w:t>
      </w:r>
      <w:r w:rsidR="001D289A">
        <w:rPr>
          <w:i/>
        </w:rPr>
        <w:t xml:space="preserve"> </w:t>
      </w:r>
      <w:r w:rsidRPr="00642432">
        <w:rPr>
          <w:i/>
        </w:rPr>
        <w:t xml:space="preserve">Challenge </w:t>
      </w:r>
      <w:r w:rsidRPr="00642432">
        <w:t>(Ministry of Health 2012e).</w:t>
      </w:r>
    </w:p>
    <w:p w:rsidR="004659AD" w:rsidRPr="00642432" w:rsidRDefault="004659AD" w:rsidP="001D289A"/>
    <w:p w:rsidR="004659AD" w:rsidRPr="00642432" w:rsidRDefault="004659AD" w:rsidP="001D289A">
      <w:r w:rsidRPr="00642432">
        <w:t xml:space="preserve">Te Pou supports the Ministry initiative outlined in </w:t>
      </w:r>
      <w:r w:rsidRPr="00642432">
        <w:rPr>
          <w:i/>
        </w:rPr>
        <w:t xml:space="preserve">Rising to the Challenge. </w:t>
      </w:r>
      <w:r w:rsidRPr="00642432">
        <w:t>Information on initiatives and strategies for reducing the use of seclusion with Māori can</w:t>
      </w:r>
      <w:r w:rsidR="00D32DDD" w:rsidRPr="00642432">
        <w:t xml:space="preserve"> </w:t>
      </w:r>
      <w:r w:rsidRPr="00642432">
        <w:t>be accessed on Te</w:t>
      </w:r>
      <w:r w:rsidR="001D289A">
        <w:t> </w:t>
      </w:r>
      <w:r w:rsidRPr="00642432">
        <w:t>Pou’s website (</w:t>
      </w:r>
      <w:hyperlink r:id="rId51">
        <w:r w:rsidRPr="00642432">
          <w:t>www.tepou.co.nz</w:t>
        </w:r>
      </w:hyperlink>
      <w:r w:rsidRPr="00642432">
        <w:t>).</w:t>
      </w:r>
    </w:p>
    <w:p w:rsidR="004659AD" w:rsidRPr="00642432" w:rsidRDefault="004659AD" w:rsidP="001D289A"/>
    <w:p w:rsidR="004659AD" w:rsidRPr="00642432" w:rsidRDefault="004659AD" w:rsidP="001D289A">
      <w:pPr>
        <w:pStyle w:val="Figure"/>
      </w:pPr>
      <w:bookmarkStart w:id="49" w:name="_Toc405113772"/>
      <w:r w:rsidRPr="00642432">
        <w:t>Figure 18: Seclusion indicators for adults (aged 20 to 64 years) in adult mental health services, Māori and non-Māori, 1 January to 31 December 2013</w:t>
      </w:r>
      <w:bookmarkEnd w:id="49"/>
    </w:p>
    <w:p w:rsidR="004659AD" w:rsidRPr="00642432" w:rsidRDefault="001D289A" w:rsidP="001D289A">
      <w:r w:rsidRPr="001D289A">
        <w:rPr>
          <w:noProof/>
          <w:lang w:eastAsia="en-NZ"/>
        </w:rPr>
        <w:drawing>
          <wp:inline distT="0" distB="0" distL="0" distR="0" wp14:anchorId="123B44ED" wp14:editId="06CFFCA9">
            <wp:extent cx="5636029" cy="2458342"/>
            <wp:effectExtent l="0" t="0" r="3175" b="0"/>
            <wp:docPr id="5511" name="Picture 5511" title="Figure 18: Seclusion indicators for adults (aged 20 to 64 years) in adult mental health services, Māori and non-Māori, 1 January to 31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grayscl/>
                    </a:blip>
                    <a:stretch>
                      <a:fillRect/>
                    </a:stretch>
                  </pic:blipFill>
                  <pic:spPr>
                    <a:xfrm>
                      <a:off x="0" y="0"/>
                      <a:ext cx="5635839" cy="2458259"/>
                    </a:xfrm>
                    <a:prstGeom prst="rect">
                      <a:avLst/>
                    </a:prstGeom>
                  </pic:spPr>
                </pic:pic>
              </a:graphicData>
            </a:graphic>
          </wp:inline>
        </w:drawing>
      </w:r>
    </w:p>
    <w:p w:rsidR="004659AD" w:rsidRPr="00642432" w:rsidRDefault="004659AD" w:rsidP="001D289A">
      <w:pPr>
        <w:pStyle w:val="Source"/>
      </w:pPr>
      <w:r w:rsidRPr="00642432">
        <w:t>Source: PRIMHD data, extracted on 8 July 2014</w:t>
      </w:r>
      <w:r w:rsidR="001D289A">
        <w:t>.</w:t>
      </w:r>
    </w:p>
    <w:p w:rsidR="004659AD" w:rsidRPr="00642432" w:rsidRDefault="004659AD" w:rsidP="001D289A"/>
    <w:p w:rsidR="004659AD" w:rsidRPr="00642432" w:rsidRDefault="004659AD" w:rsidP="001D289A">
      <w:r w:rsidRPr="00642432">
        <w:t>Figure 19 shows the percentage of inpatients secluded in acute adult services, for Māori and non-Māori males and females in 2013. This</w:t>
      </w:r>
      <w:r w:rsidR="00D32DDD" w:rsidRPr="00642432">
        <w:t xml:space="preserve"> </w:t>
      </w:r>
      <w:r w:rsidRPr="00642432">
        <w:t>figure indicates that a greater proportion of Māori were</w:t>
      </w:r>
      <w:r w:rsidR="00D32DDD" w:rsidRPr="00642432">
        <w:t xml:space="preserve"> </w:t>
      </w:r>
      <w:r w:rsidRPr="00642432">
        <w:t>secluded than non-Māori, and that across all ethnicities men were</w:t>
      </w:r>
      <w:r w:rsidR="00D32DDD" w:rsidRPr="00642432">
        <w:t xml:space="preserve"> </w:t>
      </w:r>
      <w:r w:rsidRPr="00642432">
        <w:t>more likely to be secluded (13.7 percent) than women (7.5 percent).</w:t>
      </w:r>
    </w:p>
    <w:p w:rsidR="004659AD" w:rsidRPr="00642432" w:rsidRDefault="004659AD" w:rsidP="001D289A"/>
    <w:p w:rsidR="004659AD" w:rsidRPr="00642432" w:rsidRDefault="004659AD" w:rsidP="001D289A">
      <w:pPr>
        <w:pStyle w:val="Figure"/>
      </w:pPr>
      <w:bookmarkStart w:id="50" w:name="_Toc405113773"/>
      <w:r w:rsidRPr="00642432">
        <w:t>Figure 19: Proportion of adult inpatients (aged 20 to 64 years) secluded in adult mental health services, for Māori and non-Māori males and females, 1 January to 31 December 2013</w:t>
      </w:r>
      <w:bookmarkEnd w:id="50"/>
    </w:p>
    <w:p w:rsidR="004659AD" w:rsidRPr="00642432" w:rsidRDefault="001D289A" w:rsidP="001D289A">
      <w:r w:rsidRPr="001D289A">
        <w:rPr>
          <w:noProof/>
          <w:lang w:eastAsia="en-NZ"/>
        </w:rPr>
        <w:drawing>
          <wp:inline distT="0" distB="0" distL="0" distR="0" wp14:anchorId="67B560DE" wp14:editId="34521917">
            <wp:extent cx="5062003" cy="2460568"/>
            <wp:effectExtent l="0" t="0" r="5715" b="0"/>
            <wp:docPr id="5512" name="Picture 5512" title="Figure 19: Proportion of adult inpatients (aged 20 to 64 years) secluded in adult mental health services, for Māori and non-Māori males and females, 1 January to 31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grayscl/>
                    </a:blip>
                    <a:srcRect t="2310"/>
                    <a:stretch/>
                  </pic:blipFill>
                  <pic:spPr bwMode="auto">
                    <a:xfrm>
                      <a:off x="0" y="0"/>
                      <a:ext cx="5059654" cy="2459426"/>
                    </a:xfrm>
                    <a:prstGeom prst="rect">
                      <a:avLst/>
                    </a:prstGeom>
                    <a:ln>
                      <a:noFill/>
                    </a:ln>
                    <a:extLst>
                      <a:ext uri="{53640926-AAD7-44D8-BBD7-CCE9431645EC}">
                        <a14:shadowObscured xmlns:a14="http://schemas.microsoft.com/office/drawing/2010/main"/>
                      </a:ext>
                    </a:extLst>
                  </pic:spPr>
                </pic:pic>
              </a:graphicData>
            </a:graphic>
          </wp:inline>
        </w:drawing>
      </w:r>
    </w:p>
    <w:p w:rsidR="004659AD" w:rsidRPr="00642432" w:rsidRDefault="004659AD" w:rsidP="001D289A">
      <w:pPr>
        <w:pStyle w:val="Source"/>
      </w:pPr>
      <w:r w:rsidRPr="00642432">
        <w:t>Source: PRIMHD data, extracted on 8 July 2014</w:t>
      </w:r>
      <w:r w:rsidR="001D289A">
        <w:t>.</w:t>
      </w:r>
    </w:p>
    <w:p w:rsidR="004659AD" w:rsidRPr="00642432" w:rsidRDefault="004659AD" w:rsidP="001D289A"/>
    <w:p w:rsidR="004659AD" w:rsidRPr="00642432" w:rsidRDefault="004659AD" w:rsidP="001D289A">
      <w:r w:rsidRPr="00642432">
        <w:t>Figure 20 shows the proportion of Māori secluded in general adult mental health services (for ages</w:t>
      </w:r>
      <w:r w:rsidR="001D289A">
        <w:t xml:space="preserve"> </w:t>
      </w:r>
      <w:r w:rsidRPr="00642432">
        <w:t>20 to 64 years) from 2007</w:t>
      </w:r>
      <w:r w:rsidR="00D32DDD" w:rsidRPr="00642432">
        <w:t xml:space="preserve"> </w:t>
      </w:r>
      <w:r w:rsidRPr="00642432">
        <w:t>to 2013. Nationally since 2007</w:t>
      </w:r>
      <w:r w:rsidR="00D32DDD" w:rsidRPr="00642432">
        <w:t xml:space="preserve"> </w:t>
      </w:r>
      <w:r w:rsidRPr="00642432">
        <w:t>the number of people secluded has</w:t>
      </w:r>
      <w:r w:rsidR="00D32DDD" w:rsidRPr="00642432">
        <w:t xml:space="preserve"> </w:t>
      </w:r>
      <w:r w:rsidRPr="00642432">
        <w:t>decreased by 33 percent. Consistent with the declining national rate, the number of people secluded who</w:t>
      </w:r>
      <w:r w:rsidR="00D32DDD" w:rsidRPr="00642432">
        <w:t xml:space="preserve"> </w:t>
      </w:r>
      <w:r w:rsidRPr="00642432">
        <w:t>identify as Māori has</w:t>
      </w:r>
      <w:r w:rsidR="00D32DDD" w:rsidRPr="00642432">
        <w:t xml:space="preserve"> </w:t>
      </w:r>
      <w:r w:rsidRPr="00642432">
        <w:t>decreased by 28 percent between 2007</w:t>
      </w:r>
      <w:r w:rsidR="00D32DDD" w:rsidRPr="00642432">
        <w:t xml:space="preserve"> </w:t>
      </w:r>
      <w:r w:rsidRPr="00642432">
        <w:t>and 2013.</w:t>
      </w:r>
    </w:p>
    <w:p w:rsidR="004659AD" w:rsidRPr="00642432" w:rsidRDefault="004659AD" w:rsidP="001D289A"/>
    <w:p w:rsidR="004659AD" w:rsidRPr="00642432" w:rsidRDefault="004659AD" w:rsidP="001D289A">
      <w:pPr>
        <w:pStyle w:val="Figure"/>
      </w:pPr>
      <w:bookmarkStart w:id="51" w:name="_Toc405113774"/>
      <w:r w:rsidRPr="00642432">
        <w:t>Figure 20: Proportion of Māori and non-Māori aged 20 to 64 years secluded in general adult mental health services nationally, 2007 to 2013</w:t>
      </w:r>
      <w:bookmarkEnd w:id="51"/>
    </w:p>
    <w:p w:rsidR="004659AD" w:rsidRPr="00642432" w:rsidRDefault="001D289A" w:rsidP="001D289A">
      <w:r w:rsidRPr="001D289A">
        <w:rPr>
          <w:noProof/>
          <w:lang w:eastAsia="en-NZ"/>
        </w:rPr>
        <w:drawing>
          <wp:inline distT="0" distB="0" distL="0" distR="0" wp14:anchorId="42A80F83" wp14:editId="4467FFE3">
            <wp:extent cx="5120640" cy="2577667"/>
            <wp:effectExtent l="0" t="0" r="3810" b="0"/>
            <wp:docPr id="5513" name="Picture 5513" title="Figure 20: Proportion of Māori and non-Māori aged 20 to 64 years secluded in general adult mental health services nationally, 2007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grayscl/>
                    </a:blip>
                    <a:stretch>
                      <a:fillRect/>
                    </a:stretch>
                  </pic:blipFill>
                  <pic:spPr>
                    <a:xfrm>
                      <a:off x="0" y="0"/>
                      <a:ext cx="5122343" cy="2578524"/>
                    </a:xfrm>
                    <a:prstGeom prst="rect">
                      <a:avLst/>
                    </a:prstGeom>
                  </pic:spPr>
                </pic:pic>
              </a:graphicData>
            </a:graphic>
          </wp:inline>
        </w:drawing>
      </w:r>
    </w:p>
    <w:p w:rsidR="004659AD" w:rsidRPr="00642432" w:rsidRDefault="004659AD" w:rsidP="001D289A">
      <w:pPr>
        <w:pStyle w:val="Source"/>
      </w:pPr>
      <w:r w:rsidRPr="00642432">
        <w:t>Source: PRIMHD data, extracted on 8 July 2014</w:t>
      </w:r>
    </w:p>
    <w:p w:rsidR="004659AD" w:rsidRPr="00642432" w:rsidRDefault="004659AD" w:rsidP="001D289A"/>
    <w:p w:rsidR="004659AD" w:rsidRPr="00642432" w:rsidRDefault="004659AD" w:rsidP="001D289A">
      <w:pPr>
        <w:pStyle w:val="Heading3"/>
      </w:pPr>
      <w:r w:rsidRPr="00642432">
        <w:t>Seclusion in forensic units</w:t>
      </w:r>
    </w:p>
    <w:p w:rsidR="004659AD" w:rsidRPr="00642432" w:rsidRDefault="004659AD" w:rsidP="001D289A">
      <w:pPr>
        <w:keepNext/>
      </w:pPr>
      <w:r w:rsidRPr="00642432">
        <w:t>Specialist inpatient forensic services are provided in five regions: Northern, Midland, Central, Canterbury and Otago, with a smaller inpatient forensic service in Whanganui.</w:t>
      </w:r>
      <w:r w:rsidR="00650B85">
        <w:rPr>
          <w:rStyle w:val="FootnoteReference"/>
        </w:rPr>
        <w:footnoteReference w:id="15"/>
      </w:r>
      <w:r w:rsidRPr="00642432">
        <w:rPr>
          <w:sz w:val="13"/>
          <w:szCs w:val="13"/>
        </w:rPr>
        <w:t xml:space="preserve">16 </w:t>
      </w:r>
      <w:r w:rsidRPr="00642432">
        <w:t>Forensic services provide mental health treatment in a secure environment for prisoners with a mental disorder, and for people defined as special or restricted patients under the Mental Health Act.</w:t>
      </w:r>
    </w:p>
    <w:p w:rsidR="004659AD" w:rsidRPr="00642432" w:rsidRDefault="004659AD" w:rsidP="001D289A">
      <w:pPr>
        <w:keepNext/>
      </w:pPr>
    </w:p>
    <w:p w:rsidR="004659AD" w:rsidRPr="00642432" w:rsidRDefault="004659AD" w:rsidP="001D289A">
      <w:r w:rsidRPr="00642432">
        <w:t>In 2013, 98 people were</w:t>
      </w:r>
      <w:r w:rsidR="00D32DDD" w:rsidRPr="00642432">
        <w:t xml:space="preserve"> </w:t>
      </w:r>
      <w:r w:rsidRPr="00642432">
        <w:t>secluded in forensic units (down from 118 in 2012), contributing to a total of</w:t>
      </w:r>
      <w:r w:rsidR="001D289A">
        <w:t xml:space="preserve"> </w:t>
      </w:r>
      <w:r w:rsidRPr="00642432">
        <w:t>786 seclusion events. The average duration of a seclusion event in a forensic service increased from</w:t>
      </w:r>
      <w:r w:rsidR="001D289A">
        <w:t xml:space="preserve"> </w:t>
      </w:r>
      <w:r w:rsidRPr="00642432">
        <w:t>28.3 hours in 2012 to 34.4 hours in 2013.</w:t>
      </w:r>
    </w:p>
    <w:p w:rsidR="004659AD" w:rsidRPr="00642432" w:rsidRDefault="004659AD" w:rsidP="001D289A"/>
    <w:p w:rsidR="004659AD" w:rsidRPr="00642432" w:rsidRDefault="004659AD" w:rsidP="001D289A">
      <w:r w:rsidRPr="00642432">
        <w:t>Table 6 presents the seclusion indicators for the 2013 calendar year. These indicators cannot be compared with adult service indicators because they do not reflect the same client base. The rates of seclusion of the relatively small group of people in the care of forensic services can</w:t>
      </w:r>
      <w:r w:rsidR="00D32DDD" w:rsidRPr="00642432">
        <w:t xml:space="preserve"> </w:t>
      </w:r>
      <w:r w:rsidRPr="00642432">
        <w:t>be affected by individuals who</w:t>
      </w:r>
      <w:r w:rsidR="00D32DDD" w:rsidRPr="00642432">
        <w:t xml:space="preserve"> </w:t>
      </w:r>
      <w:r w:rsidRPr="00642432">
        <w:t>were</w:t>
      </w:r>
      <w:r w:rsidR="00D32DDD" w:rsidRPr="00642432">
        <w:t xml:space="preserve"> </w:t>
      </w:r>
      <w:r w:rsidRPr="00642432">
        <w:t>secluded significantly more often than others. In particular, one</w:t>
      </w:r>
      <w:r w:rsidR="00D32DDD" w:rsidRPr="00642432">
        <w:t xml:space="preserve"> </w:t>
      </w:r>
      <w:r w:rsidRPr="00642432">
        <w:t>person accounted for 344 (44 percent) of the 786 seclusion events over</w:t>
      </w:r>
      <w:r w:rsidR="00D32DDD" w:rsidRPr="00642432">
        <w:t xml:space="preserve"> </w:t>
      </w:r>
      <w:r w:rsidRPr="00642432">
        <w:t>the reporting period.</w:t>
      </w:r>
    </w:p>
    <w:p w:rsidR="004659AD" w:rsidRPr="00642432" w:rsidRDefault="004659AD" w:rsidP="001D289A"/>
    <w:p w:rsidR="004659AD" w:rsidRPr="00642432" w:rsidRDefault="004659AD" w:rsidP="001D289A">
      <w:pPr>
        <w:pStyle w:val="Table"/>
      </w:pPr>
      <w:bookmarkStart w:id="52" w:name="_Toc405113686"/>
      <w:r w:rsidRPr="00642432">
        <w:t>Table 6: Seclusion indicators for forensic services, by DHB, 1 January to 31 December 2013</w:t>
      </w:r>
      <w:bookmarkEnd w:id="52"/>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843"/>
        <w:gridCol w:w="1653"/>
        <w:gridCol w:w="1654"/>
        <w:gridCol w:w="1654"/>
      </w:tblGrid>
      <w:tr w:rsidR="001D289A" w:rsidRPr="001D289A" w:rsidTr="00650B85">
        <w:trPr>
          <w:cantSplit/>
        </w:trPr>
        <w:tc>
          <w:tcPr>
            <w:tcW w:w="1843" w:type="dxa"/>
            <w:tcBorders>
              <w:top w:val="single" w:sz="4" w:space="0" w:color="auto"/>
              <w:bottom w:val="single" w:sz="4" w:space="0" w:color="auto"/>
            </w:tcBorders>
            <w:shd w:val="clear" w:color="auto" w:fill="F2F2F2" w:themeFill="background1" w:themeFillShade="F2"/>
          </w:tcPr>
          <w:p w:rsidR="001D289A" w:rsidRPr="001D289A" w:rsidRDefault="001D289A" w:rsidP="001D289A">
            <w:pPr>
              <w:pStyle w:val="TableText"/>
              <w:rPr>
                <w:b/>
              </w:rPr>
            </w:pPr>
            <w:r w:rsidRPr="001D289A">
              <w:rPr>
                <w:b/>
              </w:rPr>
              <w:t>DHB</w:t>
            </w:r>
          </w:p>
        </w:tc>
        <w:tc>
          <w:tcPr>
            <w:tcW w:w="1653" w:type="dxa"/>
            <w:tcBorders>
              <w:top w:val="single" w:sz="4" w:space="0" w:color="auto"/>
              <w:bottom w:val="single" w:sz="4" w:space="0" w:color="auto"/>
            </w:tcBorders>
            <w:shd w:val="clear" w:color="auto" w:fill="F2F2F2" w:themeFill="background1" w:themeFillShade="F2"/>
          </w:tcPr>
          <w:p w:rsidR="001D289A" w:rsidRPr="001D289A" w:rsidRDefault="001D289A" w:rsidP="00650B85">
            <w:pPr>
              <w:pStyle w:val="TableText"/>
              <w:jc w:val="center"/>
              <w:rPr>
                <w:b/>
              </w:rPr>
            </w:pPr>
            <w:r w:rsidRPr="001D289A">
              <w:rPr>
                <w:b/>
              </w:rPr>
              <w:t>Number of</w:t>
            </w:r>
            <w:r w:rsidR="00650B85">
              <w:rPr>
                <w:b/>
              </w:rPr>
              <w:br/>
            </w:r>
            <w:r w:rsidRPr="001D289A">
              <w:rPr>
                <w:b/>
              </w:rPr>
              <w:t>clients secluded</w:t>
            </w:r>
          </w:p>
        </w:tc>
        <w:tc>
          <w:tcPr>
            <w:tcW w:w="1654" w:type="dxa"/>
            <w:tcBorders>
              <w:top w:val="single" w:sz="4" w:space="0" w:color="auto"/>
              <w:bottom w:val="single" w:sz="4" w:space="0" w:color="auto"/>
            </w:tcBorders>
            <w:shd w:val="clear" w:color="auto" w:fill="F2F2F2" w:themeFill="background1" w:themeFillShade="F2"/>
          </w:tcPr>
          <w:p w:rsidR="001D289A" w:rsidRPr="001D289A" w:rsidRDefault="001D289A" w:rsidP="00650B85">
            <w:pPr>
              <w:pStyle w:val="TableText"/>
              <w:jc w:val="center"/>
              <w:rPr>
                <w:b/>
              </w:rPr>
            </w:pPr>
            <w:r w:rsidRPr="001D289A">
              <w:rPr>
                <w:b/>
              </w:rPr>
              <w:t>Number of</w:t>
            </w:r>
            <w:r w:rsidR="00650B85">
              <w:rPr>
                <w:b/>
              </w:rPr>
              <w:br/>
            </w:r>
            <w:r w:rsidRPr="001D289A">
              <w:rPr>
                <w:b/>
              </w:rPr>
              <w:t>events</w:t>
            </w:r>
          </w:p>
        </w:tc>
        <w:tc>
          <w:tcPr>
            <w:tcW w:w="1654" w:type="dxa"/>
            <w:tcBorders>
              <w:top w:val="single" w:sz="4" w:space="0" w:color="auto"/>
              <w:bottom w:val="single" w:sz="4" w:space="0" w:color="auto"/>
            </w:tcBorders>
            <w:shd w:val="clear" w:color="auto" w:fill="F2F2F2" w:themeFill="background1" w:themeFillShade="F2"/>
          </w:tcPr>
          <w:p w:rsidR="001D289A" w:rsidRPr="001D289A" w:rsidRDefault="001D289A" w:rsidP="00650B85">
            <w:pPr>
              <w:pStyle w:val="TableText"/>
              <w:jc w:val="center"/>
              <w:rPr>
                <w:b/>
              </w:rPr>
            </w:pPr>
            <w:r w:rsidRPr="001D289A">
              <w:rPr>
                <w:b/>
              </w:rPr>
              <w:t>Average duration per event (hours)</w:t>
            </w:r>
          </w:p>
        </w:tc>
      </w:tr>
      <w:tr w:rsidR="004659AD" w:rsidRPr="00642432" w:rsidTr="00650B85">
        <w:trPr>
          <w:cantSplit/>
        </w:trPr>
        <w:tc>
          <w:tcPr>
            <w:tcW w:w="1843" w:type="dxa"/>
            <w:tcBorders>
              <w:top w:val="single" w:sz="4" w:space="0" w:color="auto"/>
              <w:bottom w:val="nil"/>
            </w:tcBorders>
          </w:tcPr>
          <w:p w:rsidR="004659AD" w:rsidRPr="00642432" w:rsidRDefault="004659AD" w:rsidP="001D289A">
            <w:pPr>
              <w:pStyle w:val="TableText"/>
            </w:pPr>
            <w:r w:rsidRPr="00642432">
              <w:t>Canterbury</w:t>
            </w:r>
          </w:p>
        </w:tc>
        <w:tc>
          <w:tcPr>
            <w:tcW w:w="1653" w:type="dxa"/>
            <w:tcBorders>
              <w:top w:val="single" w:sz="4" w:space="0" w:color="auto"/>
              <w:bottom w:val="nil"/>
            </w:tcBorders>
          </w:tcPr>
          <w:p w:rsidR="004659AD" w:rsidRPr="00642432" w:rsidRDefault="004659AD" w:rsidP="00650B85">
            <w:pPr>
              <w:pStyle w:val="TableText"/>
              <w:tabs>
                <w:tab w:val="decimal" w:pos="914"/>
              </w:tabs>
            </w:pPr>
            <w:r w:rsidRPr="00642432">
              <w:t>21</w:t>
            </w:r>
          </w:p>
        </w:tc>
        <w:tc>
          <w:tcPr>
            <w:tcW w:w="1654" w:type="dxa"/>
            <w:tcBorders>
              <w:top w:val="single" w:sz="4" w:space="0" w:color="auto"/>
              <w:bottom w:val="nil"/>
            </w:tcBorders>
          </w:tcPr>
          <w:p w:rsidR="004659AD" w:rsidRPr="00642432" w:rsidRDefault="004659AD" w:rsidP="00650B85">
            <w:pPr>
              <w:pStyle w:val="TableText"/>
              <w:tabs>
                <w:tab w:val="decimal" w:pos="914"/>
              </w:tabs>
            </w:pPr>
            <w:r w:rsidRPr="00642432">
              <w:t>524</w:t>
            </w:r>
          </w:p>
        </w:tc>
        <w:tc>
          <w:tcPr>
            <w:tcW w:w="1654" w:type="dxa"/>
            <w:tcBorders>
              <w:top w:val="single" w:sz="4" w:space="0" w:color="auto"/>
              <w:bottom w:val="nil"/>
            </w:tcBorders>
          </w:tcPr>
          <w:p w:rsidR="004659AD" w:rsidRPr="00642432" w:rsidRDefault="004659AD" w:rsidP="00650B85">
            <w:pPr>
              <w:pStyle w:val="TableText"/>
              <w:tabs>
                <w:tab w:val="decimal" w:pos="815"/>
              </w:tabs>
            </w:pPr>
            <w:r w:rsidRPr="00642432">
              <w:t>26</w:t>
            </w:r>
          </w:p>
        </w:tc>
      </w:tr>
      <w:tr w:rsidR="004659AD" w:rsidRPr="00642432" w:rsidTr="00650B85">
        <w:trPr>
          <w:cantSplit/>
        </w:trPr>
        <w:tc>
          <w:tcPr>
            <w:tcW w:w="1843" w:type="dxa"/>
            <w:tcBorders>
              <w:top w:val="nil"/>
              <w:bottom w:val="nil"/>
            </w:tcBorders>
            <w:shd w:val="clear" w:color="auto" w:fill="F2F2F2" w:themeFill="background1" w:themeFillShade="F2"/>
          </w:tcPr>
          <w:p w:rsidR="004659AD" w:rsidRPr="00642432" w:rsidRDefault="004659AD" w:rsidP="001D289A">
            <w:pPr>
              <w:pStyle w:val="TableText"/>
            </w:pPr>
            <w:r w:rsidRPr="00642432">
              <w:t>Capital &amp; Coast</w:t>
            </w:r>
          </w:p>
        </w:tc>
        <w:tc>
          <w:tcPr>
            <w:tcW w:w="1653" w:type="dxa"/>
            <w:tcBorders>
              <w:top w:val="nil"/>
              <w:bottom w:val="nil"/>
            </w:tcBorders>
            <w:shd w:val="clear" w:color="auto" w:fill="F2F2F2" w:themeFill="background1" w:themeFillShade="F2"/>
          </w:tcPr>
          <w:p w:rsidR="004659AD" w:rsidRPr="00642432" w:rsidRDefault="004659AD" w:rsidP="00650B85">
            <w:pPr>
              <w:pStyle w:val="TableText"/>
              <w:tabs>
                <w:tab w:val="decimal" w:pos="914"/>
              </w:tabs>
            </w:pPr>
            <w:r w:rsidRPr="00642432">
              <w:t>6</w:t>
            </w:r>
          </w:p>
        </w:tc>
        <w:tc>
          <w:tcPr>
            <w:tcW w:w="1654" w:type="dxa"/>
            <w:tcBorders>
              <w:top w:val="nil"/>
              <w:bottom w:val="nil"/>
            </w:tcBorders>
            <w:shd w:val="clear" w:color="auto" w:fill="F2F2F2" w:themeFill="background1" w:themeFillShade="F2"/>
          </w:tcPr>
          <w:p w:rsidR="004659AD" w:rsidRPr="00642432" w:rsidRDefault="004659AD" w:rsidP="00650B85">
            <w:pPr>
              <w:pStyle w:val="TableText"/>
              <w:tabs>
                <w:tab w:val="decimal" w:pos="914"/>
              </w:tabs>
            </w:pPr>
            <w:r w:rsidRPr="00642432">
              <w:t>8</w:t>
            </w:r>
          </w:p>
        </w:tc>
        <w:tc>
          <w:tcPr>
            <w:tcW w:w="1654" w:type="dxa"/>
            <w:tcBorders>
              <w:top w:val="nil"/>
              <w:bottom w:val="nil"/>
            </w:tcBorders>
            <w:shd w:val="clear" w:color="auto" w:fill="F2F2F2" w:themeFill="background1" w:themeFillShade="F2"/>
          </w:tcPr>
          <w:p w:rsidR="004659AD" w:rsidRPr="00642432" w:rsidRDefault="004659AD" w:rsidP="00650B85">
            <w:pPr>
              <w:pStyle w:val="TableText"/>
              <w:tabs>
                <w:tab w:val="decimal" w:pos="815"/>
              </w:tabs>
            </w:pPr>
            <w:r w:rsidRPr="00642432">
              <w:t>30.2</w:t>
            </w:r>
          </w:p>
        </w:tc>
      </w:tr>
      <w:tr w:rsidR="004659AD" w:rsidRPr="00642432" w:rsidTr="00650B85">
        <w:trPr>
          <w:cantSplit/>
        </w:trPr>
        <w:tc>
          <w:tcPr>
            <w:tcW w:w="1843" w:type="dxa"/>
            <w:tcBorders>
              <w:top w:val="nil"/>
              <w:bottom w:val="nil"/>
            </w:tcBorders>
          </w:tcPr>
          <w:p w:rsidR="004659AD" w:rsidRPr="00642432" w:rsidRDefault="004659AD" w:rsidP="001D289A">
            <w:pPr>
              <w:pStyle w:val="TableText"/>
            </w:pPr>
            <w:r w:rsidRPr="00642432">
              <w:t>Southern</w:t>
            </w:r>
          </w:p>
        </w:tc>
        <w:tc>
          <w:tcPr>
            <w:tcW w:w="1653" w:type="dxa"/>
            <w:tcBorders>
              <w:top w:val="nil"/>
              <w:bottom w:val="nil"/>
            </w:tcBorders>
          </w:tcPr>
          <w:p w:rsidR="004659AD" w:rsidRPr="00642432" w:rsidRDefault="004659AD" w:rsidP="00650B85">
            <w:pPr>
              <w:pStyle w:val="TableText"/>
              <w:tabs>
                <w:tab w:val="decimal" w:pos="914"/>
              </w:tabs>
            </w:pPr>
            <w:r w:rsidRPr="00642432">
              <w:t>9</w:t>
            </w:r>
          </w:p>
        </w:tc>
        <w:tc>
          <w:tcPr>
            <w:tcW w:w="1654" w:type="dxa"/>
            <w:tcBorders>
              <w:top w:val="nil"/>
              <w:bottom w:val="nil"/>
            </w:tcBorders>
          </w:tcPr>
          <w:p w:rsidR="004659AD" w:rsidRPr="00642432" w:rsidRDefault="004659AD" w:rsidP="00650B85">
            <w:pPr>
              <w:pStyle w:val="TableText"/>
              <w:tabs>
                <w:tab w:val="decimal" w:pos="914"/>
              </w:tabs>
            </w:pPr>
            <w:r w:rsidRPr="00642432">
              <w:t>38</w:t>
            </w:r>
          </w:p>
        </w:tc>
        <w:tc>
          <w:tcPr>
            <w:tcW w:w="1654" w:type="dxa"/>
            <w:tcBorders>
              <w:top w:val="nil"/>
              <w:bottom w:val="nil"/>
            </w:tcBorders>
          </w:tcPr>
          <w:p w:rsidR="004659AD" w:rsidRPr="00642432" w:rsidRDefault="004659AD" w:rsidP="00650B85">
            <w:pPr>
              <w:pStyle w:val="TableText"/>
              <w:tabs>
                <w:tab w:val="decimal" w:pos="815"/>
              </w:tabs>
            </w:pPr>
            <w:r w:rsidRPr="00642432">
              <w:t>105.5</w:t>
            </w:r>
          </w:p>
        </w:tc>
      </w:tr>
      <w:tr w:rsidR="004659AD" w:rsidRPr="00642432" w:rsidTr="00650B85">
        <w:trPr>
          <w:cantSplit/>
        </w:trPr>
        <w:tc>
          <w:tcPr>
            <w:tcW w:w="1843" w:type="dxa"/>
            <w:tcBorders>
              <w:top w:val="nil"/>
              <w:bottom w:val="nil"/>
            </w:tcBorders>
            <w:shd w:val="clear" w:color="auto" w:fill="F2F2F2" w:themeFill="background1" w:themeFillShade="F2"/>
          </w:tcPr>
          <w:p w:rsidR="004659AD" w:rsidRPr="00642432" w:rsidRDefault="004659AD" w:rsidP="001D289A">
            <w:pPr>
              <w:pStyle w:val="TableText"/>
            </w:pPr>
            <w:r w:rsidRPr="00642432">
              <w:t>Waikato</w:t>
            </w:r>
          </w:p>
        </w:tc>
        <w:tc>
          <w:tcPr>
            <w:tcW w:w="1653" w:type="dxa"/>
            <w:tcBorders>
              <w:top w:val="nil"/>
              <w:bottom w:val="nil"/>
            </w:tcBorders>
            <w:shd w:val="clear" w:color="auto" w:fill="F2F2F2" w:themeFill="background1" w:themeFillShade="F2"/>
          </w:tcPr>
          <w:p w:rsidR="004659AD" w:rsidRPr="00642432" w:rsidRDefault="004659AD" w:rsidP="00650B85">
            <w:pPr>
              <w:pStyle w:val="TableText"/>
              <w:tabs>
                <w:tab w:val="decimal" w:pos="914"/>
              </w:tabs>
            </w:pPr>
            <w:r w:rsidRPr="00642432">
              <w:t>26</w:t>
            </w:r>
          </w:p>
        </w:tc>
        <w:tc>
          <w:tcPr>
            <w:tcW w:w="1654" w:type="dxa"/>
            <w:tcBorders>
              <w:top w:val="nil"/>
              <w:bottom w:val="nil"/>
            </w:tcBorders>
            <w:shd w:val="clear" w:color="auto" w:fill="F2F2F2" w:themeFill="background1" w:themeFillShade="F2"/>
          </w:tcPr>
          <w:p w:rsidR="004659AD" w:rsidRPr="00642432" w:rsidRDefault="004659AD" w:rsidP="00650B85">
            <w:pPr>
              <w:pStyle w:val="TableText"/>
              <w:tabs>
                <w:tab w:val="decimal" w:pos="914"/>
              </w:tabs>
            </w:pPr>
            <w:r w:rsidRPr="00642432">
              <w:t>81</w:t>
            </w:r>
          </w:p>
        </w:tc>
        <w:tc>
          <w:tcPr>
            <w:tcW w:w="1654" w:type="dxa"/>
            <w:tcBorders>
              <w:top w:val="nil"/>
              <w:bottom w:val="nil"/>
            </w:tcBorders>
            <w:shd w:val="clear" w:color="auto" w:fill="F2F2F2" w:themeFill="background1" w:themeFillShade="F2"/>
          </w:tcPr>
          <w:p w:rsidR="004659AD" w:rsidRPr="00642432" w:rsidRDefault="004659AD" w:rsidP="00650B85">
            <w:pPr>
              <w:pStyle w:val="TableText"/>
              <w:tabs>
                <w:tab w:val="decimal" w:pos="815"/>
              </w:tabs>
            </w:pPr>
            <w:r w:rsidRPr="00642432">
              <w:t>37.9</w:t>
            </w:r>
          </w:p>
        </w:tc>
      </w:tr>
      <w:tr w:rsidR="004659AD" w:rsidRPr="00642432" w:rsidTr="00650B85">
        <w:trPr>
          <w:cantSplit/>
        </w:trPr>
        <w:tc>
          <w:tcPr>
            <w:tcW w:w="1843" w:type="dxa"/>
            <w:tcBorders>
              <w:top w:val="nil"/>
              <w:bottom w:val="nil"/>
            </w:tcBorders>
          </w:tcPr>
          <w:p w:rsidR="004659AD" w:rsidRPr="00642432" w:rsidRDefault="004659AD" w:rsidP="001D289A">
            <w:pPr>
              <w:pStyle w:val="TableText"/>
            </w:pPr>
            <w:r w:rsidRPr="00642432">
              <w:t>Waitemata</w:t>
            </w:r>
          </w:p>
        </w:tc>
        <w:tc>
          <w:tcPr>
            <w:tcW w:w="1653" w:type="dxa"/>
            <w:tcBorders>
              <w:top w:val="nil"/>
              <w:bottom w:val="nil"/>
            </w:tcBorders>
          </w:tcPr>
          <w:p w:rsidR="004659AD" w:rsidRPr="00642432" w:rsidRDefault="004659AD" w:rsidP="00650B85">
            <w:pPr>
              <w:pStyle w:val="TableText"/>
              <w:tabs>
                <w:tab w:val="decimal" w:pos="914"/>
              </w:tabs>
            </w:pPr>
            <w:r w:rsidRPr="00642432">
              <w:t>35</w:t>
            </w:r>
          </w:p>
        </w:tc>
        <w:tc>
          <w:tcPr>
            <w:tcW w:w="1654" w:type="dxa"/>
            <w:tcBorders>
              <w:top w:val="nil"/>
              <w:bottom w:val="nil"/>
            </w:tcBorders>
          </w:tcPr>
          <w:p w:rsidR="004659AD" w:rsidRPr="00642432" w:rsidRDefault="004659AD" w:rsidP="00650B85">
            <w:pPr>
              <w:pStyle w:val="TableText"/>
              <w:tabs>
                <w:tab w:val="decimal" w:pos="914"/>
              </w:tabs>
            </w:pPr>
            <w:r w:rsidRPr="00642432">
              <w:t>131</w:t>
            </w:r>
          </w:p>
        </w:tc>
        <w:tc>
          <w:tcPr>
            <w:tcW w:w="1654" w:type="dxa"/>
            <w:tcBorders>
              <w:top w:val="nil"/>
              <w:bottom w:val="nil"/>
            </w:tcBorders>
          </w:tcPr>
          <w:p w:rsidR="004659AD" w:rsidRPr="00642432" w:rsidRDefault="004659AD" w:rsidP="00650B85">
            <w:pPr>
              <w:pStyle w:val="TableText"/>
              <w:tabs>
                <w:tab w:val="decimal" w:pos="815"/>
              </w:tabs>
            </w:pPr>
            <w:r w:rsidRPr="00642432">
              <w:t>45.4</w:t>
            </w:r>
          </w:p>
        </w:tc>
      </w:tr>
      <w:tr w:rsidR="004659AD" w:rsidRPr="00642432" w:rsidTr="00650B85">
        <w:trPr>
          <w:cantSplit/>
        </w:trPr>
        <w:tc>
          <w:tcPr>
            <w:tcW w:w="1843" w:type="dxa"/>
            <w:tcBorders>
              <w:top w:val="nil"/>
              <w:bottom w:val="nil"/>
            </w:tcBorders>
            <w:shd w:val="clear" w:color="auto" w:fill="F2F2F2" w:themeFill="background1" w:themeFillShade="F2"/>
          </w:tcPr>
          <w:p w:rsidR="004659AD" w:rsidRPr="00642432" w:rsidRDefault="004659AD" w:rsidP="001D289A">
            <w:pPr>
              <w:pStyle w:val="TableText"/>
            </w:pPr>
            <w:r w:rsidRPr="00642432">
              <w:t>Whanganui</w:t>
            </w:r>
          </w:p>
        </w:tc>
        <w:tc>
          <w:tcPr>
            <w:tcW w:w="1653" w:type="dxa"/>
            <w:tcBorders>
              <w:top w:val="nil"/>
              <w:bottom w:val="nil"/>
            </w:tcBorders>
            <w:shd w:val="clear" w:color="auto" w:fill="F2F2F2" w:themeFill="background1" w:themeFillShade="F2"/>
          </w:tcPr>
          <w:p w:rsidR="004659AD" w:rsidRPr="00642432" w:rsidRDefault="004659AD" w:rsidP="00650B85">
            <w:pPr>
              <w:pStyle w:val="TableText"/>
              <w:tabs>
                <w:tab w:val="decimal" w:pos="914"/>
              </w:tabs>
            </w:pPr>
            <w:r w:rsidRPr="00642432">
              <w:t>2</w:t>
            </w:r>
          </w:p>
        </w:tc>
        <w:tc>
          <w:tcPr>
            <w:tcW w:w="1654" w:type="dxa"/>
            <w:tcBorders>
              <w:top w:val="nil"/>
              <w:bottom w:val="nil"/>
            </w:tcBorders>
            <w:shd w:val="clear" w:color="auto" w:fill="F2F2F2" w:themeFill="background1" w:themeFillShade="F2"/>
          </w:tcPr>
          <w:p w:rsidR="004659AD" w:rsidRPr="00642432" w:rsidRDefault="004659AD" w:rsidP="00650B85">
            <w:pPr>
              <w:pStyle w:val="TableText"/>
              <w:tabs>
                <w:tab w:val="decimal" w:pos="914"/>
              </w:tabs>
            </w:pPr>
            <w:r w:rsidRPr="00642432">
              <w:t>4</w:t>
            </w:r>
          </w:p>
        </w:tc>
        <w:tc>
          <w:tcPr>
            <w:tcW w:w="1654" w:type="dxa"/>
            <w:tcBorders>
              <w:top w:val="nil"/>
              <w:bottom w:val="nil"/>
            </w:tcBorders>
            <w:shd w:val="clear" w:color="auto" w:fill="F2F2F2" w:themeFill="background1" w:themeFillShade="F2"/>
          </w:tcPr>
          <w:p w:rsidR="004659AD" w:rsidRPr="00642432" w:rsidRDefault="004659AD" w:rsidP="00650B85">
            <w:pPr>
              <w:pStyle w:val="TableText"/>
              <w:tabs>
                <w:tab w:val="decimal" w:pos="815"/>
              </w:tabs>
            </w:pPr>
            <w:r w:rsidRPr="00642432">
              <w:t>30.8</w:t>
            </w:r>
          </w:p>
        </w:tc>
      </w:tr>
      <w:tr w:rsidR="004659AD" w:rsidRPr="00642432" w:rsidTr="00650B85">
        <w:trPr>
          <w:cantSplit/>
        </w:trPr>
        <w:tc>
          <w:tcPr>
            <w:tcW w:w="1843" w:type="dxa"/>
            <w:tcBorders>
              <w:top w:val="nil"/>
            </w:tcBorders>
          </w:tcPr>
          <w:p w:rsidR="004659AD" w:rsidRPr="00642432" w:rsidRDefault="004659AD" w:rsidP="001D289A">
            <w:pPr>
              <w:pStyle w:val="TableText"/>
            </w:pPr>
            <w:r w:rsidRPr="00642432">
              <w:rPr>
                <w:b/>
                <w:bCs/>
              </w:rPr>
              <w:t>Total</w:t>
            </w:r>
          </w:p>
        </w:tc>
        <w:tc>
          <w:tcPr>
            <w:tcW w:w="1653" w:type="dxa"/>
            <w:tcBorders>
              <w:top w:val="nil"/>
            </w:tcBorders>
          </w:tcPr>
          <w:p w:rsidR="004659AD" w:rsidRPr="00642432" w:rsidRDefault="004659AD" w:rsidP="00650B85">
            <w:pPr>
              <w:pStyle w:val="TableText"/>
              <w:tabs>
                <w:tab w:val="decimal" w:pos="914"/>
              </w:tabs>
            </w:pPr>
            <w:r w:rsidRPr="00642432">
              <w:rPr>
                <w:b/>
                <w:bCs/>
              </w:rPr>
              <w:t>99</w:t>
            </w:r>
          </w:p>
        </w:tc>
        <w:tc>
          <w:tcPr>
            <w:tcW w:w="1654" w:type="dxa"/>
            <w:tcBorders>
              <w:top w:val="nil"/>
            </w:tcBorders>
          </w:tcPr>
          <w:p w:rsidR="004659AD" w:rsidRPr="00642432" w:rsidRDefault="004659AD" w:rsidP="00650B85">
            <w:pPr>
              <w:pStyle w:val="TableText"/>
              <w:tabs>
                <w:tab w:val="decimal" w:pos="914"/>
              </w:tabs>
            </w:pPr>
            <w:r w:rsidRPr="00642432">
              <w:rPr>
                <w:b/>
                <w:bCs/>
              </w:rPr>
              <w:t>786</w:t>
            </w:r>
          </w:p>
        </w:tc>
        <w:tc>
          <w:tcPr>
            <w:tcW w:w="1654" w:type="dxa"/>
            <w:tcBorders>
              <w:top w:val="nil"/>
            </w:tcBorders>
          </w:tcPr>
          <w:p w:rsidR="004659AD" w:rsidRPr="00642432" w:rsidRDefault="004659AD" w:rsidP="00650B85">
            <w:pPr>
              <w:pStyle w:val="TableText"/>
              <w:tabs>
                <w:tab w:val="decimal" w:pos="815"/>
              </w:tabs>
            </w:pPr>
            <w:r w:rsidRPr="00642432">
              <w:rPr>
                <w:b/>
                <w:bCs/>
              </w:rPr>
              <w:t>34.4</w:t>
            </w:r>
          </w:p>
        </w:tc>
      </w:tr>
    </w:tbl>
    <w:p w:rsidR="004659AD" w:rsidRPr="00642432" w:rsidRDefault="004659AD" w:rsidP="001D289A">
      <w:pPr>
        <w:pStyle w:val="Source"/>
      </w:pPr>
      <w:r w:rsidRPr="00642432">
        <w:t>Source: PRIMHD data, extracted on 8 July 2014</w:t>
      </w:r>
      <w:r w:rsidR="001D289A">
        <w:t>.</w:t>
      </w:r>
    </w:p>
    <w:p w:rsidR="004659AD" w:rsidRPr="00642432" w:rsidRDefault="004659AD" w:rsidP="00650B85"/>
    <w:p w:rsidR="004659AD" w:rsidRPr="00642432" w:rsidRDefault="004659AD" w:rsidP="00650B85">
      <w:pPr>
        <w:pStyle w:val="Heading3"/>
      </w:pPr>
      <w:r w:rsidRPr="00642432">
        <w:t>Sector voices</w:t>
      </w:r>
    </w:p>
    <w:p w:rsidR="004659AD" w:rsidRPr="00642432" w:rsidRDefault="00650B85" w:rsidP="00650B85">
      <w:pPr>
        <w:pStyle w:val="Heading4"/>
      </w:pPr>
      <w:r w:rsidRPr="00650B85">
        <w:rPr>
          <w:noProof/>
          <w:lang w:eastAsia="en-NZ"/>
        </w:rPr>
        <w:drawing>
          <wp:anchor distT="0" distB="0" distL="0" distR="114300" simplePos="0" relativeHeight="251988992" behindDoc="0" locked="0" layoutInCell="1" allowOverlap="1" wp14:anchorId="54FD6905" wp14:editId="18B2D2D0">
            <wp:simplePos x="0" y="0"/>
            <wp:positionH relativeFrom="column">
              <wp:posOffset>-3175</wp:posOffset>
            </wp:positionH>
            <wp:positionV relativeFrom="paragraph">
              <wp:posOffset>635</wp:posOffset>
            </wp:positionV>
            <wp:extent cx="1313815" cy="1817370"/>
            <wp:effectExtent l="0" t="0" r="635" b="0"/>
            <wp:wrapSquare wrapText="right"/>
            <wp:docPr id="5514" name="Picture 5514" descr="Photo of Anne Brebner – Te Pou" title=" Anne Breb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grayscl/>
                      <a:extLst>
                        <a:ext uri="{28A0092B-C50C-407E-A947-70E740481C1C}">
                          <a14:useLocalDpi xmlns:a14="http://schemas.microsoft.com/office/drawing/2010/main" val="0"/>
                        </a:ext>
                      </a:extLst>
                    </a:blip>
                    <a:stretch>
                      <a:fillRect/>
                    </a:stretch>
                  </pic:blipFill>
                  <pic:spPr>
                    <a:xfrm>
                      <a:off x="0" y="0"/>
                      <a:ext cx="1313815" cy="1817370"/>
                    </a:xfrm>
                    <a:prstGeom prst="rect">
                      <a:avLst/>
                    </a:prstGeom>
                  </pic:spPr>
                </pic:pic>
              </a:graphicData>
            </a:graphic>
            <wp14:sizeRelH relativeFrom="margin">
              <wp14:pctWidth>0</wp14:pctWidth>
            </wp14:sizeRelH>
            <wp14:sizeRelV relativeFrom="margin">
              <wp14:pctHeight>0</wp14:pctHeight>
            </wp14:sizeRelV>
          </wp:anchor>
        </w:drawing>
      </w:r>
      <w:r w:rsidR="004659AD" w:rsidRPr="00642432">
        <w:t>Anne Brebner – Te Pou</w:t>
      </w:r>
      <w:r>
        <w:br/>
      </w:r>
      <w:r w:rsidR="004659AD" w:rsidRPr="00642432">
        <w:t>Supporting district health boards to reduce seclusion</w:t>
      </w:r>
    </w:p>
    <w:p w:rsidR="004659AD" w:rsidRPr="00642432" w:rsidRDefault="004659AD" w:rsidP="00650B85">
      <w:r w:rsidRPr="00642432">
        <w:t>Here at Te Pou we continue to support DHBs using the Six Core Strategies (Huckshorn 2005) as an evidence-based methodology that supports a whole-of-system change.</w:t>
      </w:r>
    </w:p>
    <w:p w:rsidR="004659AD" w:rsidRPr="00642432" w:rsidRDefault="004659AD" w:rsidP="00650B85"/>
    <w:p w:rsidR="004659AD" w:rsidRPr="00642432" w:rsidRDefault="004659AD" w:rsidP="00650B85">
      <w:r w:rsidRPr="00642432">
        <w:t>More than half</w:t>
      </w:r>
      <w:r w:rsidR="00D32DDD" w:rsidRPr="00642432">
        <w:t xml:space="preserve"> </w:t>
      </w:r>
      <w:r w:rsidRPr="00642432">
        <w:t>of the DHBs are using this methodology to promote less restrictive practices. In practice visits, I can</w:t>
      </w:r>
      <w:r w:rsidR="00D32DDD" w:rsidRPr="00642432">
        <w:t xml:space="preserve"> </w:t>
      </w:r>
      <w:r w:rsidRPr="00642432">
        <w:t>see real shifts in staff perceptions of tolerance</w:t>
      </w:r>
      <w:r w:rsidR="00650B85">
        <w:t xml:space="preserve"> </w:t>
      </w:r>
      <w:r w:rsidRPr="00642432">
        <w:t>for people using a more personalised aspect to self-management; some examples are using sensory modulation as a method to calm and soothe, some are incorporating cultural practices such as kapa haka to help manage the need for loud, expressive emotion.</w:t>
      </w:r>
    </w:p>
    <w:p w:rsidR="004659AD" w:rsidRPr="00642432" w:rsidRDefault="004659AD" w:rsidP="00650B85"/>
    <w:p w:rsidR="004659AD" w:rsidRPr="008069AE" w:rsidRDefault="004659AD" w:rsidP="008069AE">
      <w:pPr>
        <w:keepLines/>
        <w:rPr>
          <w:spacing w:val="-2"/>
        </w:rPr>
      </w:pPr>
      <w:r w:rsidRPr="008069AE">
        <w:rPr>
          <w:spacing w:val="-2"/>
        </w:rPr>
        <w:t>I am hearing about more practices that incorporate family and whānau in ways that are innovative and really do support personalised care. How much these practices truly reduce the trajectory that may have ended in seclusion, we may never really be able</w:t>
      </w:r>
      <w:r w:rsidR="00D32DDD" w:rsidRPr="008069AE">
        <w:rPr>
          <w:spacing w:val="-2"/>
        </w:rPr>
        <w:t xml:space="preserve"> </w:t>
      </w:r>
      <w:r w:rsidRPr="008069AE">
        <w:rPr>
          <w:spacing w:val="-2"/>
        </w:rPr>
        <w:t>to measure; however, clinical stories definitely reinforce the view that some people who</w:t>
      </w:r>
      <w:r w:rsidR="00D32DDD" w:rsidRPr="008069AE">
        <w:rPr>
          <w:spacing w:val="-2"/>
        </w:rPr>
        <w:t xml:space="preserve"> </w:t>
      </w:r>
      <w:r w:rsidRPr="008069AE">
        <w:rPr>
          <w:spacing w:val="-2"/>
        </w:rPr>
        <w:t>previously have had multiple seclusion events are managing in innovative ways to have an acute admission that no longer includes the use of seclusion. The DHBs are to be congratulated for supporting such practice change.</w:t>
      </w:r>
    </w:p>
    <w:p w:rsidR="004659AD" w:rsidRPr="00642432" w:rsidRDefault="004659AD" w:rsidP="00D84A70"/>
    <w:p w:rsidR="004659AD" w:rsidRPr="00642432" w:rsidRDefault="004659AD" w:rsidP="00D84A70">
      <w:r w:rsidRPr="00642432">
        <w:t>There are many resources on the Te Pou website that can</w:t>
      </w:r>
      <w:r w:rsidR="00D32DDD" w:rsidRPr="00642432">
        <w:t xml:space="preserve"> </w:t>
      </w:r>
      <w:r w:rsidRPr="00642432">
        <w:t>be used to support reduced restraint and seclusion (</w:t>
      </w:r>
      <w:hyperlink r:id="rId56">
        <w:r w:rsidRPr="00642432">
          <w:t>www.tepou.co.nz</w:t>
        </w:r>
      </w:hyperlink>
      <w:r w:rsidRPr="00642432">
        <w:t>).</w:t>
      </w:r>
    </w:p>
    <w:p w:rsidR="004659AD" w:rsidRPr="00642432" w:rsidRDefault="004659AD" w:rsidP="00D84A70"/>
    <w:p w:rsidR="004659AD" w:rsidRPr="00642432" w:rsidRDefault="004659AD" w:rsidP="00D84A70">
      <w:pPr>
        <w:pStyle w:val="Heading2"/>
      </w:pPr>
      <w:bookmarkStart w:id="53" w:name="_Toc405113671"/>
      <w:r w:rsidRPr="00642432">
        <w:t>Electroconvulsive therapy</w:t>
      </w:r>
      <w:bookmarkEnd w:id="53"/>
    </w:p>
    <w:p w:rsidR="004659AD" w:rsidRPr="00642432" w:rsidRDefault="004659AD" w:rsidP="00D84A70">
      <w:r w:rsidRPr="00642432">
        <w:t>Electroconvulsive therapy (ECT) is a therapeutic procedure in which a brief pulse of electricity is delivered to a person’s brain in order to produce a seizure. ECT can</w:t>
      </w:r>
      <w:r w:rsidR="00D32DDD" w:rsidRPr="00642432">
        <w:t xml:space="preserve"> </w:t>
      </w:r>
      <w:r w:rsidRPr="00642432">
        <w:t>be an effective treatment for various types of mental illness, including depressive illness, mania, catatonia and other serious neuropsychiatric conditions. It is often effective as a last resort in cases where medication is contraindicated or is not relieving symptoms sufficiently. ECT can</w:t>
      </w:r>
      <w:r w:rsidR="00D32DDD" w:rsidRPr="00642432">
        <w:t xml:space="preserve"> </w:t>
      </w:r>
      <w:r w:rsidRPr="00642432">
        <w:t>only be given with the consent of the person receiving it, other than in certain carefully defined circumstances.</w:t>
      </w:r>
    </w:p>
    <w:p w:rsidR="004659AD" w:rsidRPr="00642432" w:rsidRDefault="004659AD" w:rsidP="00434C61"/>
    <w:p w:rsidR="004659AD" w:rsidRPr="00642432" w:rsidRDefault="004659AD" w:rsidP="00434C61">
      <w:r w:rsidRPr="00642432">
        <w:t>In summary, in 2013:</w:t>
      </w:r>
    </w:p>
    <w:p w:rsidR="004659AD" w:rsidRPr="00642432" w:rsidRDefault="004659AD" w:rsidP="008069AE">
      <w:pPr>
        <w:pStyle w:val="Bullet"/>
        <w:spacing w:before="60"/>
      </w:pPr>
      <w:r w:rsidRPr="00642432">
        <w:t>253 people received ECT (5.7 people per 100,000)</w:t>
      </w:r>
    </w:p>
    <w:p w:rsidR="004659AD" w:rsidRPr="00642432" w:rsidRDefault="004659AD" w:rsidP="008069AE">
      <w:pPr>
        <w:pStyle w:val="Bullet"/>
        <w:spacing w:before="60"/>
      </w:pPr>
      <w:r w:rsidRPr="00642432">
        <w:t>a total of 2341 treatments of ECT were</w:t>
      </w:r>
      <w:r w:rsidR="00D32DDD" w:rsidRPr="00642432">
        <w:t xml:space="preserve"> </w:t>
      </w:r>
      <w:r w:rsidRPr="00642432">
        <w:t>administered</w:t>
      </w:r>
    </w:p>
    <w:p w:rsidR="004659AD" w:rsidRPr="00642432" w:rsidRDefault="004659AD" w:rsidP="008069AE">
      <w:pPr>
        <w:pStyle w:val="Bullet"/>
        <w:spacing w:before="60"/>
      </w:pPr>
      <w:r w:rsidRPr="00642432">
        <w:t>those treated received an average of 9 administrations of ECT over</w:t>
      </w:r>
      <w:r w:rsidR="00D32DDD" w:rsidRPr="00642432">
        <w:t xml:space="preserve"> </w:t>
      </w:r>
      <w:r w:rsidRPr="00642432">
        <w:t>the year</w:t>
      </w:r>
    </w:p>
    <w:p w:rsidR="004659AD" w:rsidRPr="00642432" w:rsidRDefault="004659AD" w:rsidP="008069AE">
      <w:pPr>
        <w:pStyle w:val="Bullet"/>
        <w:spacing w:before="60"/>
      </w:pPr>
      <w:r w:rsidRPr="00642432">
        <w:t>women were</w:t>
      </w:r>
      <w:r w:rsidR="00D32DDD" w:rsidRPr="00642432">
        <w:t xml:space="preserve"> </w:t>
      </w:r>
      <w:r w:rsidRPr="00642432">
        <w:t>more likely to receive ECT than men</w:t>
      </w:r>
    </w:p>
    <w:p w:rsidR="004659AD" w:rsidRPr="00642432" w:rsidRDefault="004659AD" w:rsidP="008069AE">
      <w:pPr>
        <w:pStyle w:val="Bullet"/>
        <w:spacing w:before="60"/>
      </w:pPr>
      <w:r w:rsidRPr="00642432">
        <w:t>older people were</w:t>
      </w:r>
      <w:r w:rsidR="00D32DDD" w:rsidRPr="00642432">
        <w:t xml:space="preserve"> </w:t>
      </w:r>
      <w:r w:rsidRPr="00642432">
        <w:t>more likely to receive ECT than younger people.</w:t>
      </w:r>
    </w:p>
    <w:p w:rsidR="004659AD" w:rsidRPr="00642432" w:rsidRDefault="004659AD" w:rsidP="00434C61"/>
    <w:p w:rsidR="004659AD" w:rsidRPr="00642432" w:rsidRDefault="004659AD" w:rsidP="00434C61">
      <w:r w:rsidRPr="00642432">
        <w:t>ECT is administered under anaesthesia and with muscle relaxants by medical staff in an operating theatre. The person goes to sleep under anaesthesia and wakes unable to recall the details of the procedure. The most common side</w:t>
      </w:r>
      <w:r w:rsidR="00D32DDD" w:rsidRPr="00642432">
        <w:t xml:space="preserve"> </w:t>
      </w:r>
      <w:r w:rsidRPr="00642432">
        <w:t>effects of ECT are confusion, disorientation and memory loss. Confusion and disorientation typically clear</w:t>
      </w:r>
      <w:r w:rsidR="00434C61">
        <w:t xml:space="preserve"> </w:t>
      </w:r>
      <w:r w:rsidRPr="00642432">
        <w:t>within an hour, but memory loss can</w:t>
      </w:r>
      <w:r w:rsidR="00D32DDD" w:rsidRPr="00642432">
        <w:t xml:space="preserve"> </w:t>
      </w:r>
      <w:r w:rsidRPr="00642432">
        <w:t>be persistent and in some cases even permanent (American Psychiatric Association 2001; Ministry of</w:t>
      </w:r>
      <w:r w:rsidR="00434C61">
        <w:t xml:space="preserve"> </w:t>
      </w:r>
      <w:r w:rsidRPr="00642432">
        <w:t>Health 2004).</w:t>
      </w:r>
    </w:p>
    <w:p w:rsidR="004659AD" w:rsidRPr="00642432" w:rsidRDefault="004659AD" w:rsidP="00434C61"/>
    <w:p w:rsidR="004659AD" w:rsidRPr="00642432" w:rsidRDefault="004659AD" w:rsidP="00434C61">
      <w:pPr>
        <w:pStyle w:val="Box"/>
      </w:pPr>
      <w:r w:rsidRPr="00642432">
        <w:t>While</w:t>
      </w:r>
      <w:r w:rsidR="00D32DDD" w:rsidRPr="00642432">
        <w:t xml:space="preserve"> </w:t>
      </w:r>
      <w:r w:rsidRPr="00642432">
        <w:t>ECT remains controversial, a 2004 independent review concluded that it continues to have a place as a treatment option in New Zealand.</w:t>
      </w:r>
    </w:p>
    <w:p w:rsidR="004659AD" w:rsidRPr="00642432" w:rsidRDefault="004659AD" w:rsidP="00434C61"/>
    <w:p w:rsidR="004659AD" w:rsidRPr="00642432" w:rsidRDefault="004659AD" w:rsidP="00434C61">
      <w:r w:rsidRPr="00642432">
        <w:t>Significant advances have been made in improving ECT techniques and reducing side</w:t>
      </w:r>
      <w:r w:rsidR="00D32DDD" w:rsidRPr="00642432">
        <w:t xml:space="preserve"> </w:t>
      </w:r>
      <w:r w:rsidRPr="00642432">
        <w:t>effects over the last 20 years. Despite these improvements it remains a controversial treatment. In 2003, the Health Select Committee recommended that a review be undertaken, independently of the Ministry</w:t>
      </w:r>
      <w:r w:rsidR="00434C61">
        <w:t xml:space="preserve"> </w:t>
      </w:r>
      <w:r w:rsidRPr="00642432">
        <w:t>of Health, on the safety and efficacy of ECT and the adequacy of regulatory controls on its use in New Zealand. The review concluded that ECT continues to have a place as a treatment option for consumers of mental health services in New Zealand, and that banning its use would deprive some seriously</w:t>
      </w:r>
      <w:r w:rsidR="00434C61">
        <w:t xml:space="preserve"> </w:t>
      </w:r>
      <w:r w:rsidRPr="00642432">
        <w:t>ill people of a potentially effective and sometimes life-saving means of treatment. The report of the independent review is available on the Ministry of Health website (</w:t>
      </w:r>
      <w:hyperlink r:id="rId57">
        <w:r w:rsidRPr="00642432">
          <w:t>www.health.govt.nz/publications</w:t>
        </w:r>
      </w:hyperlink>
      <w:r w:rsidRPr="00642432">
        <w:t>).</w:t>
      </w:r>
    </w:p>
    <w:p w:rsidR="004659AD" w:rsidRPr="00642432" w:rsidRDefault="004659AD" w:rsidP="00434C61"/>
    <w:p w:rsidR="004659AD" w:rsidRPr="00642432" w:rsidRDefault="004659AD" w:rsidP="008069AE">
      <w:pPr>
        <w:keepNext/>
      </w:pPr>
      <w:r w:rsidRPr="00642432">
        <w:t>In 2009 a consumer resource was created as part of the 2003</w:t>
      </w:r>
      <w:r w:rsidR="00D32DDD" w:rsidRPr="00642432">
        <w:t xml:space="preserve"> </w:t>
      </w:r>
      <w:r w:rsidRPr="00642432">
        <w:t>Government response to the Health</w:t>
      </w:r>
      <w:r w:rsidR="00434C61">
        <w:t xml:space="preserve"> </w:t>
      </w:r>
      <w:r w:rsidRPr="00642432">
        <w:t>Committee’s report on petition 1999/30 of Anna de Jonge and others regarding ECT (Ministry of Health</w:t>
      </w:r>
      <w:r w:rsidR="00434C61">
        <w:t xml:space="preserve"> </w:t>
      </w:r>
      <w:r w:rsidRPr="00642432">
        <w:t>2009). The ECT consumer resource is available on the Ministry of Health website (</w:t>
      </w:r>
      <w:hyperlink r:id="rId58" w:history="1">
        <w:r w:rsidR="00434C61" w:rsidRPr="00434C61">
          <w:rPr>
            <w:rStyle w:val="Hyperlink"/>
          </w:rPr>
          <w:t>www.health.govt.nz/</w:t>
        </w:r>
      </w:hyperlink>
      <w:r w:rsidRPr="00434C61">
        <w:rPr>
          <w:rStyle w:val="Hyperlink"/>
        </w:rPr>
        <w:t>publications</w:t>
      </w:r>
      <w:r w:rsidRPr="00642432">
        <w:t>).</w:t>
      </w:r>
    </w:p>
    <w:p w:rsidR="004659AD" w:rsidRPr="00642432" w:rsidRDefault="004659AD" w:rsidP="00434C61"/>
    <w:p w:rsidR="004659AD" w:rsidRPr="00642432" w:rsidRDefault="004659AD" w:rsidP="00434C61">
      <w:pPr>
        <w:pStyle w:val="Heading3"/>
      </w:pPr>
      <w:r w:rsidRPr="00642432">
        <w:t>Number of patients treated with ECT</w:t>
      </w:r>
    </w:p>
    <w:p w:rsidR="004659AD" w:rsidRPr="00642432" w:rsidRDefault="004659AD" w:rsidP="00434C61">
      <w:r w:rsidRPr="00642432">
        <w:t>The number of people treated with ECT in New Zealand has</w:t>
      </w:r>
      <w:r w:rsidR="00D32DDD" w:rsidRPr="00642432">
        <w:t xml:space="preserve"> </w:t>
      </w:r>
      <w:r w:rsidRPr="00642432">
        <w:t>remained relatively stable since 2006, with around 200</w:t>
      </w:r>
      <w:r w:rsidR="00D32DDD" w:rsidRPr="00642432">
        <w:t xml:space="preserve"> </w:t>
      </w:r>
      <w:r w:rsidRPr="00642432">
        <w:t>to 300</w:t>
      </w:r>
      <w:r w:rsidR="00D32DDD" w:rsidRPr="00642432">
        <w:t xml:space="preserve"> </w:t>
      </w:r>
      <w:r w:rsidRPr="00642432">
        <w:t>people receiving the treatment each year</w:t>
      </w:r>
      <w:r w:rsidR="00D32DDD" w:rsidRPr="00642432">
        <w:t xml:space="preserve"> </w:t>
      </w:r>
      <w:r w:rsidRPr="00642432">
        <w:t>(Figure 21).</w:t>
      </w:r>
    </w:p>
    <w:p w:rsidR="004659AD" w:rsidRPr="00642432" w:rsidRDefault="004659AD" w:rsidP="00434C61"/>
    <w:p w:rsidR="004659AD" w:rsidRPr="00642432" w:rsidRDefault="004659AD" w:rsidP="00434C61">
      <w:pPr>
        <w:pStyle w:val="Figure"/>
      </w:pPr>
      <w:bookmarkStart w:id="54" w:name="_Toc405113775"/>
      <w:r w:rsidRPr="00642432">
        <w:t>Figure 21: Number of people treated with ECT in New Zealand, 2005 to 2013</w:t>
      </w:r>
      <w:bookmarkEnd w:id="54"/>
    </w:p>
    <w:p w:rsidR="004659AD" w:rsidRPr="00642432" w:rsidRDefault="00454D07" w:rsidP="00454D07">
      <w:r w:rsidRPr="00454D07">
        <w:rPr>
          <w:noProof/>
          <w:lang w:eastAsia="en-NZ"/>
        </w:rPr>
        <w:drawing>
          <wp:inline distT="0" distB="0" distL="0" distR="0" wp14:anchorId="661AE1EA" wp14:editId="3059AD3E">
            <wp:extent cx="4419599" cy="2610196"/>
            <wp:effectExtent l="0" t="0" r="635" b="0"/>
            <wp:docPr id="5515" name="Picture 5515" title="Figure 21: Number of people treated with ECT in New Zealand, 2005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grayscl/>
                    </a:blip>
                    <a:srcRect t="1567"/>
                    <a:stretch/>
                  </pic:blipFill>
                  <pic:spPr bwMode="auto">
                    <a:xfrm>
                      <a:off x="0" y="0"/>
                      <a:ext cx="4421036" cy="2611044"/>
                    </a:xfrm>
                    <a:prstGeom prst="rect">
                      <a:avLst/>
                    </a:prstGeom>
                    <a:ln>
                      <a:noFill/>
                    </a:ln>
                    <a:extLst>
                      <a:ext uri="{53640926-AAD7-44D8-BBD7-CCE9431645EC}">
                        <a14:shadowObscured xmlns:a14="http://schemas.microsoft.com/office/drawing/2010/main"/>
                      </a:ext>
                    </a:extLst>
                  </pic:spPr>
                </pic:pic>
              </a:graphicData>
            </a:graphic>
          </wp:inline>
        </w:drawing>
      </w:r>
    </w:p>
    <w:p w:rsidR="004659AD" w:rsidRPr="00EE5FE6" w:rsidRDefault="004659AD" w:rsidP="00EE5FE6">
      <w:pPr>
        <w:pStyle w:val="Source"/>
        <w:ind w:left="0" w:right="1985" w:firstLine="0"/>
        <w:rPr>
          <w:spacing w:val="-2"/>
        </w:rPr>
      </w:pPr>
      <w:r w:rsidRPr="00EE5FE6">
        <w:rPr>
          <w:spacing w:val="-2"/>
        </w:rPr>
        <w:t>Source: Office of the Director of Mental Health Annual Reports, 2005</w:t>
      </w:r>
      <w:r w:rsidR="00D32DDD" w:rsidRPr="00EE5FE6">
        <w:rPr>
          <w:spacing w:val="-2"/>
        </w:rPr>
        <w:t xml:space="preserve"> </w:t>
      </w:r>
      <w:r w:rsidRPr="00EE5FE6">
        <w:rPr>
          <w:spacing w:val="-2"/>
        </w:rPr>
        <w:t xml:space="preserve">to 2012. 2013 data is from PRIMHD, extracted on 8 </w:t>
      </w:r>
      <w:r w:rsidR="00454D07" w:rsidRPr="00EE5FE6">
        <w:rPr>
          <w:spacing w:val="-2"/>
        </w:rPr>
        <w:t>J</w:t>
      </w:r>
      <w:r w:rsidRPr="00EE5FE6">
        <w:rPr>
          <w:spacing w:val="-2"/>
        </w:rPr>
        <w:t>uly 2014 except for Hawke’s Bay which provided manual data.</w:t>
      </w:r>
    </w:p>
    <w:p w:rsidR="004659AD" w:rsidRPr="00642432" w:rsidRDefault="004659AD" w:rsidP="00454D07"/>
    <w:p w:rsidR="004659AD" w:rsidRDefault="004659AD" w:rsidP="00977A2C">
      <w:r w:rsidRPr="00642432">
        <w:t>A total of 253 people received ECT during the year</w:t>
      </w:r>
      <w:r w:rsidR="00D32DDD" w:rsidRPr="00642432">
        <w:t xml:space="preserve"> </w:t>
      </w:r>
      <w:r w:rsidRPr="00642432">
        <w:t>ending 31 December 2013. Table 7 shows the total number of people who</w:t>
      </w:r>
      <w:r w:rsidR="00D32DDD" w:rsidRPr="00642432">
        <w:t xml:space="preserve"> </w:t>
      </w:r>
      <w:r w:rsidRPr="00642432">
        <w:t>received ECT from 1 January to 31 December 2013, by DHB of domicile.</w:t>
      </w:r>
      <w:r w:rsidR="00454D07">
        <w:rPr>
          <w:rStyle w:val="FootnoteReference"/>
        </w:rPr>
        <w:footnoteReference w:id="16"/>
      </w:r>
      <w:r w:rsidR="00454D07">
        <w:t xml:space="preserve"> </w:t>
      </w:r>
      <w:r w:rsidRPr="00642432">
        <w:t>The total number of treatments administered over</w:t>
      </w:r>
      <w:r w:rsidR="00D32DDD" w:rsidRPr="00642432">
        <w:t xml:space="preserve"> </w:t>
      </w:r>
      <w:r w:rsidRPr="00642432">
        <w:t xml:space="preserve">this period was 2341, with a mean of </w:t>
      </w:r>
      <w:r w:rsidR="00454D07">
        <w:t>nine</w:t>
      </w:r>
      <w:r w:rsidRPr="00642432">
        <w:t xml:space="preserve"> treatments per person.</w:t>
      </w:r>
    </w:p>
    <w:p w:rsidR="008069AE" w:rsidRPr="00642432" w:rsidRDefault="008069AE" w:rsidP="00977A2C"/>
    <w:p w:rsidR="004659AD" w:rsidRPr="00642432" w:rsidRDefault="004659AD" w:rsidP="008069AE">
      <w:pPr>
        <w:pStyle w:val="Table"/>
      </w:pPr>
      <w:bookmarkStart w:id="55" w:name="_Toc405113687"/>
      <w:r w:rsidRPr="00642432">
        <w:t>Table 7: Number of people treated with ECT, by DHB of domicile, 1 January to 31 December 2013</w:t>
      </w:r>
      <w:bookmarkEnd w:id="55"/>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2338"/>
        <w:gridCol w:w="2339"/>
        <w:gridCol w:w="2552"/>
      </w:tblGrid>
      <w:tr w:rsidR="00454D07" w:rsidRPr="00454D07" w:rsidTr="00454D07">
        <w:trPr>
          <w:cantSplit/>
        </w:trPr>
        <w:tc>
          <w:tcPr>
            <w:tcW w:w="2127" w:type="dxa"/>
            <w:tcBorders>
              <w:top w:val="single" w:sz="4" w:space="0" w:color="auto"/>
              <w:bottom w:val="single" w:sz="4" w:space="0" w:color="auto"/>
            </w:tcBorders>
            <w:shd w:val="clear" w:color="auto" w:fill="F2F2F2" w:themeFill="background1" w:themeFillShade="F2"/>
          </w:tcPr>
          <w:p w:rsidR="00454D07" w:rsidRPr="00454D07" w:rsidRDefault="00454D07" w:rsidP="008069AE">
            <w:pPr>
              <w:pStyle w:val="TableText"/>
              <w:keepNext/>
              <w:rPr>
                <w:b/>
              </w:rPr>
            </w:pPr>
            <w:r w:rsidRPr="00454D07">
              <w:rPr>
                <w:b/>
              </w:rPr>
              <w:t>DHB of domicile</w:t>
            </w:r>
          </w:p>
        </w:tc>
        <w:tc>
          <w:tcPr>
            <w:tcW w:w="2338" w:type="dxa"/>
            <w:tcBorders>
              <w:top w:val="single" w:sz="4" w:space="0" w:color="auto"/>
              <w:bottom w:val="single" w:sz="4" w:space="0" w:color="auto"/>
            </w:tcBorders>
            <w:shd w:val="clear" w:color="auto" w:fill="F2F2F2" w:themeFill="background1" w:themeFillShade="F2"/>
          </w:tcPr>
          <w:p w:rsidR="00454D07" w:rsidRPr="00454D07" w:rsidRDefault="00454D07" w:rsidP="008069AE">
            <w:pPr>
              <w:pStyle w:val="TableText"/>
              <w:keepNext/>
              <w:jc w:val="center"/>
              <w:rPr>
                <w:b/>
              </w:rPr>
            </w:pPr>
            <w:r w:rsidRPr="00454D07">
              <w:rPr>
                <w:b/>
              </w:rPr>
              <w:t>Number of people</w:t>
            </w:r>
            <w:r>
              <w:rPr>
                <w:b/>
              </w:rPr>
              <w:br/>
            </w:r>
            <w:r w:rsidRPr="00454D07">
              <w:rPr>
                <w:b/>
              </w:rPr>
              <w:t>treated with ECT</w:t>
            </w:r>
          </w:p>
        </w:tc>
        <w:tc>
          <w:tcPr>
            <w:tcW w:w="2339" w:type="dxa"/>
            <w:tcBorders>
              <w:top w:val="single" w:sz="4" w:space="0" w:color="auto"/>
              <w:bottom w:val="single" w:sz="4" w:space="0" w:color="auto"/>
            </w:tcBorders>
            <w:shd w:val="clear" w:color="auto" w:fill="F2F2F2" w:themeFill="background1" w:themeFillShade="F2"/>
          </w:tcPr>
          <w:p w:rsidR="00454D07" w:rsidRPr="00454D07" w:rsidRDefault="00454D07" w:rsidP="008069AE">
            <w:pPr>
              <w:pStyle w:val="TableText"/>
              <w:keepNext/>
              <w:jc w:val="center"/>
              <w:rPr>
                <w:b/>
              </w:rPr>
            </w:pPr>
            <w:r w:rsidRPr="00454D07">
              <w:rPr>
                <w:b/>
              </w:rPr>
              <w:t>Total number of treatments</w:t>
            </w:r>
          </w:p>
        </w:tc>
        <w:tc>
          <w:tcPr>
            <w:tcW w:w="2552" w:type="dxa"/>
            <w:tcBorders>
              <w:top w:val="single" w:sz="4" w:space="0" w:color="auto"/>
              <w:bottom w:val="single" w:sz="4" w:space="0" w:color="auto"/>
            </w:tcBorders>
            <w:shd w:val="clear" w:color="auto" w:fill="F2F2F2" w:themeFill="background1" w:themeFillShade="F2"/>
          </w:tcPr>
          <w:p w:rsidR="00454D07" w:rsidRPr="00454D07" w:rsidRDefault="00454D07" w:rsidP="008069AE">
            <w:pPr>
              <w:pStyle w:val="TableText"/>
              <w:keepNext/>
              <w:jc w:val="center"/>
              <w:rPr>
                <w:b/>
              </w:rPr>
            </w:pPr>
            <w:r w:rsidRPr="00454D07">
              <w:rPr>
                <w:b/>
              </w:rPr>
              <w:t>Mean number of treatments per person (range)</w:t>
            </w:r>
          </w:p>
        </w:tc>
      </w:tr>
      <w:tr w:rsidR="004659AD" w:rsidRPr="00642432" w:rsidTr="00454D07">
        <w:trPr>
          <w:cantSplit/>
        </w:trPr>
        <w:tc>
          <w:tcPr>
            <w:tcW w:w="2127" w:type="dxa"/>
            <w:tcBorders>
              <w:top w:val="single" w:sz="4" w:space="0" w:color="auto"/>
              <w:bottom w:val="nil"/>
            </w:tcBorders>
            <w:shd w:val="clear" w:color="auto" w:fill="auto"/>
          </w:tcPr>
          <w:p w:rsidR="004659AD" w:rsidRPr="00642432" w:rsidRDefault="004659AD" w:rsidP="008069AE">
            <w:pPr>
              <w:pStyle w:val="TableText"/>
              <w:keepNext/>
            </w:pPr>
            <w:r w:rsidRPr="00642432">
              <w:t>Auckland</w:t>
            </w:r>
          </w:p>
        </w:tc>
        <w:tc>
          <w:tcPr>
            <w:tcW w:w="2338" w:type="dxa"/>
            <w:tcBorders>
              <w:top w:val="single" w:sz="4" w:space="0" w:color="auto"/>
              <w:bottom w:val="nil"/>
            </w:tcBorders>
            <w:shd w:val="clear" w:color="auto" w:fill="auto"/>
          </w:tcPr>
          <w:p w:rsidR="004659AD" w:rsidRPr="00642432" w:rsidRDefault="004659AD" w:rsidP="008069AE">
            <w:pPr>
              <w:pStyle w:val="TableText"/>
              <w:keepNext/>
              <w:tabs>
                <w:tab w:val="decimal" w:pos="1311"/>
              </w:tabs>
            </w:pPr>
            <w:r w:rsidRPr="00642432">
              <w:t>15</w:t>
            </w:r>
          </w:p>
        </w:tc>
        <w:tc>
          <w:tcPr>
            <w:tcW w:w="2339" w:type="dxa"/>
            <w:tcBorders>
              <w:top w:val="single" w:sz="4" w:space="0" w:color="auto"/>
              <w:bottom w:val="nil"/>
            </w:tcBorders>
            <w:shd w:val="clear" w:color="auto" w:fill="auto"/>
          </w:tcPr>
          <w:p w:rsidR="004659AD" w:rsidRPr="00642432" w:rsidRDefault="004659AD" w:rsidP="008069AE">
            <w:pPr>
              <w:pStyle w:val="TableText"/>
              <w:keepNext/>
              <w:tabs>
                <w:tab w:val="decimal" w:pos="1311"/>
              </w:tabs>
            </w:pPr>
            <w:r w:rsidRPr="00642432">
              <w:t>118</w:t>
            </w:r>
          </w:p>
        </w:tc>
        <w:tc>
          <w:tcPr>
            <w:tcW w:w="2552" w:type="dxa"/>
            <w:tcBorders>
              <w:top w:val="single" w:sz="4" w:space="0" w:color="auto"/>
              <w:bottom w:val="nil"/>
            </w:tcBorders>
            <w:shd w:val="clear" w:color="auto" w:fill="auto"/>
          </w:tcPr>
          <w:p w:rsidR="004659AD" w:rsidRPr="00642432" w:rsidRDefault="004659AD" w:rsidP="008069AE">
            <w:pPr>
              <w:pStyle w:val="TableText"/>
              <w:keepNext/>
              <w:tabs>
                <w:tab w:val="decimal" w:pos="1033"/>
              </w:tabs>
            </w:pPr>
            <w:r w:rsidRPr="00642432">
              <w:t>7.9 (1–24)</w:t>
            </w:r>
          </w:p>
        </w:tc>
      </w:tr>
      <w:tr w:rsidR="004659AD" w:rsidRPr="00642432" w:rsidTr="00454D07">
        <w:trPr>
          <w:cantSplit/>
        </w:trPr>
        <w:tc>
          <w:tcPr>
            <w:tcW w:w="2127" w:type="dxa"/>
            <w:tcBorders>
              <w:top w:val="nil"/>
              <w:bottom w:val="nil"/>
            </w:tcBorders>
            <w:shd w:val="clear" w:color="auto" w:fill="F2F2F2" w:themeFill="background1" w:themeFillShade="F2"/>
          </w:tcPr>
          <w:p w:rsidR="004659AD" w:rsidRPr="00642432" w:rsidRDefault="004659AD" w:rsidP="008069AE">
            <w:pPr>
              <w:pStyle w:val="TableText"/>
              <w:keepNext/>
            </w:pPr>
            <w:r w:rsidRPr="00642432">
              <w:t>Bay of Plenty</w:t>
            </w:r>
          </w:p>
        </w:tc>
        <w:tc>
          <w:tcPr>
            <w:tcW w:w="2338" w:type="dxa"/>
            <w:tcBorders>
              <w:top w:val="nil"/>
              <w:bottom w:val="nil"/>
            </w:tcBorders>
            <w:shd w:val="clear" w:color="auto" w:fill="F2F2F2" w:themeFill="background1" w:themeFillShade="F2"/>
          </w:tcPr>
          <w:p w:rsidR="004659AD" w:rsidRPr="00642432" w:rsidRDefault="004659AD" w:rsidP="008069AE">
            <w:pPr>
              <w:pStyle w:val="TableText"/>
              <w:keepNext/>
              <w:tabs>
                <w:tab w:val="decimal" w:pos="1311"/>
              </w:tabs>
            </w:pPr>
            <w:r w:rsidRPr="00642432">
              <w:t>14</w:t>
            </w:r>
          </w:p>
        </w:tc>
        <w:tc>
          <w:tcPr>
            <w:tcW w:w="2339" w:type="dxa"/>
            <w:tcBorders>
              <w:top w:val="nil"/>
              <w:bottom w:val="nil"/>
            </w:tcBorders>
            <w:shd w:val="clear" w:color="auto" w:fill="F2F2F2" w:themeFill="background1" w:themeFillShade="F2"/>
          </w:tcPr>
          <w:p w:rsidR="004659AD" w:rsidRPr="00642432" w:rsidRDefault="004659AD" w:rsidP="008069AE">
            <w:pPr>
              <w:pStyle w:val="TableText"/>
              <w:keepNext/>
              <w:tabs>
                <w:tab w:val="decimal" w:pos="1311"/>
              </w:tabs>
            </w:pPr>
            <w:r w:rsidRPr="00642432">
              <w:t>141</w:t>
            </w:r>
          </w:p>
        </w:tc>
        <w:tc>
          <w:tcPr>
            <w:tcW w:w="2552" w:type="dxa"/>
            <w:tcBorders>
              <w:top w:val="nil"/>
              <w:bottom w:val="nil"/>
            </w:tcBorders>
            <w:shd w:val="clear" w:color="auto" w:fill="F2F2F2" w:themeFill="background1" w:themeFillShade="F2"/>
          </w:tcPr>
          <w:p w:rsidR="004659AD" w:rsidRPr="00642432" w:rsidRDefault="004659AD" w:rsidP="008069AE">
            <w:pPr>
              <w:pStyle w:val="TableText"/>
              <w:keepNext/>
              <w:tabs>
                <w:tab w:val="decimal" w:pos="1033"/>
              </w:tabs>
            </w:pPr>
            <w:r w:rsidRPr="00642432">
              <w:t>10.1 (1–30)</w:t>
            </w:r>
          </w:p>
        </w:tc>
      </w:tr>
      <w:tr w:rsidR="004659AD" w:rsidRPr="00642432" w:rsidTr="00454D07">
        <w:trPr>
          <w:cantSplit/>
        </w:trPr>
        <w:tc>
          <w:tcPr>
            <w:tcW w:w="2127" w:type="dxa"/>
            <w:tcBorders>
              <w:top w:val="nil"/>
              <w:bottom w:val="nil"/>
            </w:tcBorders>
            <w:shd w:val="clear" w:color="auto" w:fill="auto"/>
          </w:tcPr>
          <w:p w:rsidR="004659AD" w:rsidRPr="00642432" w:rsidRDefault="004659AD" w:rsidP="008069AE">
            <w:pPr>
              <w:pStyle w:val="TableText"/>
              <w:keepNext/>
            </w:pPr>
            <w:r w:rsidRPr="00642432">
              <w:t>Canterbury</w:t>
            </w:r>
          </w:p>
        </w:tc>
        <w:tc>
          <w:tcPr>
            <w:tcW w:w="2338" w:type="dxa"/>
            <w:tcBorders>
              <w:top w:val="nil"/>
              <w:bottom w:val="nil"/>
            </w:tcBorders>
            <w:shd w:val="clear" w:color="auto" w:fill="auto"/>
          </w:tcPr>
          <w:p w:rsidR="004659AD" w:rsidRPr="00642432" w:rsidRDefault="004659AD" w:rsidP="008069AE">
            <w:pPr>
              <w:pStyle w:val="TableText"/>
              <w:keepNext/>
              <w:tabs>
                <w:tab w:val="decimal" w:pos="1311"/>
              </w:tabs>
            </w:pPr>
            <w:r w:rsidRPr="00642432">
              <w:t>33</w:t>
            </w:r>
          </w:p>
        </w:tc>
        <w:tc>
          <w:tcPr>
            <w:tcW w:w="2339" w:type="dxa"/>
            <w:tcBorders>
              <w:top w:val="nil"/>
              <w:bottom w:val="nil"/>
            </w:tcBorders>
            <w:shd w:val="clear" w:color="auto" w:fill="auto"/>
          </w:tcPr>
          <w:p w:rsidR="004659AD" w:rsidRPr="00642432" w:rsidRDefault="004659AD" w:rsidP="008069AE">
            <w:pPr>
              <w:pStyle w:val="TableText"/>
              <w:keepNext/>
              <w:tabs>
                <w:tab w:val="decimal" w:pos="1311"/>
              </w:tabs>
            </w:pPr>
            <w:r w:rsidRPr="00642432">
              <w:t>292</w:t>
            </w:r>
          </w:p>
        </w:tc>
        <w:tc>
          <w:tcPr>
            <w:tcW w:w="2552" w:type="dxa"/>
            <w:tcBorders>
              <w:top w:val="nil"/>
              <w:bottom w:val="nil"/>
            </w:tcBorders>
            <w:shd w:val="clear" w:color="auto" w:fill="auto"/>
          </w:tcPr>
          <w:p w:rsidR="004659AD" w:rsidRPr="00642432" w:rsidRDefault="004659AD" w:rsidP="008069AE">
            <w:pPr>
              <w:pStyle w:val="TableText"/>
              <w:keepNext/>
              <w:tabs>
                <w:tab w:val="decimal" w:pos="1033"/>
              </w:tabs>
            </w:pPr>
            <w:r w:rsidRPr="00642432">
              <w:t>8.9 (1–23)</w:t>
            </w:r>
          </w:p>
        </w:tc>
      </w:tr>
      <w:tr w:rsidR="004659AD" w:rsidRPr="00642432" w:rsidTr="00454D07">
        <w:trPr>
          <w:cantSplit/>
        </w:trPr>
        <w:tc>
          <w:tcPr>
            <w:tcW w:w="2127" w:type="dxa"/>
            <w:tcBorders>
              <w:top w:val="nil"/>
              <w:bottom w:val="nil"/>
            </w:tcBorders>
            <w:shd w:val="clear" w:color="auto" w:fill="F2F2F2" w:themeFill="background1" w:themeFillShade="F2"/>
          </w:tcPr>
          <w:p w:rsidR="004659AD" w:rsidRPr="00642432" w:rsidRDefault="004659AD" w:rsidP="008069AE">
            <w:pPr>
              <w:pStyle w:val="TableText"/>
              <w:keepNext/>
            </w:pPr>
            <w:r w:rsidRPr="00642432">
              <w:t>Capital &amp; Coast</w:t>
            </w:r>
          </w:p>
        </w:tc>
        <w:tc>
          <w:tcPr>
            <w:tcW w:w="2338" w:type="dxa"/>
            <w:tcBorders>
              <w:top w:val="nil"/>
              <w:bottom w:val="nil"/>
            </w:tcBorders>
            <w:shd w:val="clear" w:color="auto" w:fill="F2F2F2" w:themeFill="background1" w:themeFillShade="F2"/>
          </w:tcPr>
          <w:p w:rsidR="004659AD" w:rsidRPr="00642432" w:rsidRDefault="004659AD" w:rsidP="008069AE">
            <w:pPr>
              <w:pStyle w:val="TableText"/>
              <w:keepNext/>
              <w:tabs>
                <w:tab w:val="decimal" w:pos="1311"/>
              </w:tabs>
            </w:pPr>
            <w:r w:rsidRPr="00642432">
              <w:t>29</w:t>
            </w:r>
          </w:p>
        </w:tc>
        <w:tc>
          <w:tcPr>
            <w:tcW w:w="2339" w:type="dxa"/>
            <w:tcBorders>
              <w:top w:val="nil"/>
              <w:bottom w:val="nil"/>
            </w:tcBorders>
            <w:shd w:val="clear" w:color="auto" w:fill="F2F2F2" w:themeFill="background1" w:themeFillShade="F2"/>
          </w:tcPr>
          <w:p w:rsidR="004659AD" w:rsidRPr="00642432" w:rsidRDefault="004659AD" w:rsidP="008069AE">
            <w:pPr>
              <w:pStyle w:val="TableText"/>
              <w:keepNext/>
              <w:tabs>
                <w:tab w:val="decimal" w:pos="1311"/>
              </w:tabs>
            </w:pPr>
            <w:r w:rsidRPr="00642432">
              <w:t>129</w:t>
            </w:r>
          </w:p>
        </w:tc>
        <w:tc>
          <w:tcPr>
            <w:tcW w:w="2552" w:type="dxa"/>
            <w:tcBorders>
              <w:top w:val="nil"/>
              <w:bottom w:val="nil"/>
            </w:tcBorders>
            <w:shd w:val="clear" w:color="auto" w:fill="F2F2F2" w:themeFill="background1" w:themeFillShade="F2"/>
          </w:tcPr>
          <w:p w:rsidR="004659AD" w:rsidRPr="00642432" w:rsidRDefault="004659AD" w:rsidP="008069AE">
            <w:pPr>
              <w:pStyle w:val="TableText"/>
              <w:keepNext/>
              <w:tabs>
                <w:tab w:val="decimal" w:pos="1033"/>
              </w:tabs>
            </w:pPr>
            <w:r w:rsidRPr="00642432">
              <w:t>3.9 (1–35)</w:t>
            </w:r>
          </w:p>
        </w:tc>
      </w:tr>
      <w:tr w:rsidR="004659AD" w:rsidRPr="00642432" w:rsidTr="00454D07">
        <w:trPr>
          <w:cantSplit/>
        </w:trPr>
        <w:tc>
          <w:tcPr>
            <w:tcW w:w="2127" w:type="dxa"/>
            <w:tcBorders>
              <w:top w:val="nil"/>
              <w:bottom w:val="nil"/>
            </w:tcBorders>
            <w:shd w:val="clear" w:color="auto" w:fill="auto"/>
          </w:tcPr>
          <w:p w:rsidR="004659AD" w:rsidRPr="00642432" w:rsidRDefault="004659AD" w:rsidP="008069AE">
            <w:pPr>
              <w:pStyle w:val="TableText"/>
              <w:keepNext/>
            </w:pPr>
            <w:r w:rsidRPr="00642432">
              <w:t>Counties Manukau</w:t>
            </w:r>
          </w:p>
        </w:tc>
        <w:tc>
          <w:tcPr>
            <w:tcW w:w="2338" w:type="dxa"/>
            <w:tcBorders>
              <w:top w:val="nil"/>
              <w:bottom w:val="nil"/>
            </w:tcBorders>
            <w:shd w:val="clear" w:color="auto" w:fill="auto"/>
          </w:tcPr>
          <w:p w:rsidR="004659AD" w:rsidRPr="00642432" w:rsidRDefault="004659AD" w:rsidP="008069AE">
            <w:pPr>
              <w:pStyle w:val="TableText"/>
              <w:keepNext/>
              <w:tabs>
                <w:tab w:val="decimal" w:pos="1311"/>
              </w:tabs>
            </w:pPr>
            <w:r w:rsidRPr="00642432">
              <w:t>23</w:t>
            </w:r>
          </w:p>
        </w:tc>
        <w:tc>
          <w:tcPr>
            <w:tcW w:w="2339" w:type="dxa"/>
            <w:tcBorders>
              <w:top w:val="nil"/>
              <w:bottom w:val="nil"/>
            </w:tcBorders>
            <w:shd w:val="clear" w:color="auto" w:fill="auto"/>
          </w:tcPr>
          <w:p w:rsidR="004659AD" w:rsidRPr="00642432" w:rsidRDefault="004659AD" w:rsidP="008069AE">
            <w:pPr>
              <w:pStyle w:val="TableText"/>
              <w:keepNext/>
              <w:tabs>
                <w:tab w:val="decimal" w:pos="1311"/>
              </w:tabs>
            </w:pPr>
            <w:r w:rsidRPr="00642432">
              <w:t>226</w:t>
            </w:r>
          </w:p>
        </w:tc>
        <w:tc>
          <w:tcPr>
            <w:tcW w:w="2552" w:type="dxa"/>
            <w:tcBorders>
              <w:top w:val="nil"/>
              <w:bottom w:val="nil"/>
            </w:tcBorders>
            <w:shd w:val="clear" w:color="auto" w:fill="auto"/>
          </w:tcPr>
          <w:p w:rsidR="004659AD" w:rsidRPr="00642432" w:rsidRDefault="004659AD" w:rsidP="008069AE">
            <w:pPr>
              <w:pStyle w:val="TableText"/>
              <w:keepNext/>
              <w:tabs>
                <w:tab w:val="decimal" w:pos="1033"/>
              </w:tabs>
            </w:pPr>
            <w:r w:rsidRPr="00642432">
              <w:t>9.8 (2–31)</w:t>
            </w:r>
          </w:p>
        </w:tc>
      </w:tr>
      <w:tr w:rsidR="004659AD" w:rsidRPr="00642432" w:rsidTr="00454D07">
        <w:trPr>
          <w:cantSplit/>
        </w:trPr>
        <w:tc>
          <w:tcPr>
            <w:tcW w:w="2127" w:type="dxa"/>
            <w:tcBorders>
              <w:top w:val="nil"/>
              <w:bottom w:val="nil"/>
            </w:tcBorders>
            <w:shd w:val="clear" w:color="auto" w:fill="F2F2F2" w:themeFill="background1" w:themeFillShade="F2"/>
          </w:tcPr>
          <w:p w:rsidR="004659AD" w:rsidRPr="00642432" w:rsidRDefault="004659AD" w:rsidP="008069AE">
            <w:pPr>
              <w:pStyle w:val="TableText"/>
              <w:keepNext/>
            </w:pPr>
            <w:r w:rsidRPr="00642432">
              <w:t>Hawke’s Bay</w:t>
            </w:r>
          </w:p>
        </w:tc>
        <w:tc>
          <w:tcPr>
            <w:tcW w:w="2338" w:type="dxa"/>
            <w:tcBorders>
              <w:top w:val="nil"/>
              <w:bottom w:val="nil"/>
            </w:tcBorders>
            <w:shd w:val="clear" w:color="auto" w:fill="F2F2F2" w:themeFill="background1" w:themeFillShade="F2"/>
          </w:tcPr>
          <w:p w:rsidR="004659AD" w:rsidRPr="00642432" w:rsidRDefault="004659AD" w:rsidP="008069AE">
            <w:pPr>
              <w:pStyle w:val="TableText"/>
              <w:keepNext/>
              <w:tabs>
                <w:tab w:val="decimal" w:pos="1311"/>
              </w:tabs>
            </w:pPr>
            <w:r w:rsidRPr="00642432">
              <w:t>8</w:t>
            </w:r>
          </w:p>
        </w:tc>
        <w:tc>
          <w:tcPr>
            <w:tcW w:w="2339" w:type="dxa"/>
            <w:tcBorders>
              <w:top w:val="nil"/>
              <w:bottom w:val="nil"/>
            </w:tcBorders>
            <w:shd w:val="clear" w:color="auto" w:fill="F2F2F2" w:themeFill="background1" w:themeFillShade="F2"/>
          </w:tcPr>
          <w:p w:rsidR="004659AD" w:rsidRPr="00642432" w:rsidRDefault="004659AD" w:rsidP="008069AE">
            <w:pPr>
              <w:pStyle w:val="TableText"/>
              <w:keepNext/>
              <w:tabs>
                <w:tab w:val="decimal" w:pos="1311"/>
              </w:tabs>
            </w:pPr>
            <w:r w:rsidRPr="00642432">
              <w:t>73</w:t>
            </w:r>
          </w:p>
        </w:tc>
        <w:tc>
          <w:tcPr>
            <w:tcW w:w="2552" w:type="dxa"/>
            <w:tcBorders>
              <w:top w:val="nil"/>
              <w:bottom w:val="nil"/>
            </w:tcBorders>
            <w:shd w:val="clear" w:color="auto" w:fill="F2F2F2" w:themeFill="background1" w:themeFillShade="F2"/>
          </w:tcPr>
          <w:p w:rsidR="004659AD" w:rsidRPr="00642432" w:rsidRDefault="004659AD" w:rsidP="008069AE">
            <w:pPr>
              <w:pStyle w:val="TableText"/>
              <w:keepNext/>
              <w:tabs>
                <w:tab w:val="decimal" w:pos="1033"/>
              </w:tabs>
            </w:pPr>
            <w:r w:rsidRPr="00642432">
              <w:t>9.1 (5–19)</w:t>
            </w:r>
          </w:p>
        </w:tc>
      </w:tr>
      <w:tr w:rsidR="004659AD" w:rsidRPr="00642432" w:rsidTr="00454D07">
        <w:trPr>
          <w:cantSplit/>
        </w:trPr>
        <w:tc>
          <w:tcPr>
            <w:tcW w:w="2127" w:type="dxa"/>
            <w:tcBorders>
              <w:top w:val="nil"/>
              <w:bottom w:val="nil"/>
            </w:tcBorders>
            <w:shd w:val="clear" w:color="auto" w:fill="auto"/>
          </w:tcPr>
          <w:p w:rsidR="004659AD" w:rsidRPr="00642432" w:rsidRDefault="004659AD" w:rsidP="008069AE">
            <w:pPr>
              <w:pStyle w:val="TableText"/>
              <w:keepNext/>
            </w:pPr>
            <w:r w:rsidRPr="00642432">
              <w:t>Hutt Valley</w:t>
            </w:r>
          </w:p>
        </w:tc>
        <w:tc>
          <w:tcPr>
            <w:tcW w:w="2338" w:type="dxa"/>
            <w:tcBorders>
              <w:top w:val="nil"/>
              <w:bottom w:val="nil"/>
            </w:tcBorders>
            <w:shd w:val="clear" w:color="auto" w:fill="auto"/>
          </w:tcPr>
          <w:p w:rsidR="004659AD" w:rsidRPr="00642432" w:rsidRDefault="004659AD" w:rsidP="008069AE">
            <w:pPr>
              <w:pStyle w:val="TableText"/>
              <w:keepNext/>
              <w:tabs>
                <w:tab w:val="decimal" w:pos="1311"/>
              </w:tabs>
            </w:pPr>
            <w:r w:rsidRPr="00642432">
              <w:t>5</w:t>
            </w:r>
          </w:p>
        </w:tc>
        <w:tc>
          <w:tcPr>
            <w:tcW w:w="2339" w:type="dxa"/>
            <w:tcBorders>
              <w:top w:val="nil"/>
              <w:bottom w:val="nil"/>
            </w:tcBorders>
            <w:shd w:val="clear" w:color="auto" w:fill="auto"/>
          </w:tcPr>
          <w:p w:rsidR="004659AD" w:rsidRPr="00642432" w:rsidRDefault="004659AD" w:rsidP="008069AE">
            <w:pPr>
              <w:pStyle w:val="TableText"/>
              <w:keepNext/>
              <w:tabs>
                <w:tab w:val="decimal" w:pos="1311"/>
              </w:tabs>
            </w:pPr>
            <w:r w:rsidRPr="00642432">
              <w:t>78</w:t>
            </w:r>
          </w:p>
        </w:tc>
        <w:tc>
          <w:tcPr>
            <w:tcW w:w="2552" w:type="dxa"/>
            <w:tcBorders>
              <w:top w:val="nil"/>
              <w:bottom w:val="nil"/>
            </w:tcBorders>
            <w:shd w:val="clear" w:color="auto" w:fill="auto"/>
          </w:tcPr>
          <w:p w:rsidR="004659AD" w:rsidRPr="00642432" w:rsidRDefault="004659AD" w:rsidP="008069AE">
            <w:pPr>
              <w:pStyle w:val="TableText"/>
              <w:keepNext/>
              <w:tabs>
                <w:tab w:val="decimal" w:pos="1033"/>
              </w:tabs>
            </w:pPr>
            <w:r w:rsidRPr="00642432">
              <w:t>15.6 (11–19)</w:t>
            </w:r>
          </w:p>
        </w:tc>
      </w:tr>
      <w:tr w:rsidR="004659AD" w:rsidRPr="00642432" w:rsidTr="00454D07">
        <w:trPr>
          <w:cantSplit/>
        </w:trPr>
        <w:tc>
          <w:tcPr>
            <w:tcW w:w="2127" w:type="dxa"/>
            <w:tcBorders>
              <w:top w:val="nil"/>
              <w:bottom w:val="nil"/>
            </w:tcBorders>
            <w:shd w:val="clear" w:color="auto" w:fill="F2F2F2" w:themeFill="background1" w:themeFillShade="F2"/>
          </w:tcPr>
          <w:p w:rsidR="004659AD" w:rsidRPr="00642432" w:rsidRDefault="004659AD" w:rsidP="00454D07">
            <w:pPr>
              <w:pStyle w:val="TableText"/>
            </w:pPr>
            <w:r w:rsidRPr="00642432">
              <w:t>Lakes</w:t>
            </w:r>
          </w:p>
        </w:tc>
        <w:tc>
          <w:tcPr>
            <w:tcW w:w="2338"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24</w:t>
            </w:r>
          </w:p>
        </w:tc>
        <w:tc>
          <w:tcPr>
            <w:tcW w:w="2339"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120</w:t>
            </w:r>
          </w:p>
        </w:tc>
        <w:tc>
          <w:tcPr>
            <w:tcW w:w="2552" w:type="dxa"/>
            <w:tcBorders>
              <w:top w:val="nil"/>
              <w:bottom w:val="nil"/>
            </w:tcBorders>
            <w:shd w:val="clear" w:color="auto" w:fill="F2F2F2" w:themeFill="background1" w:themeFillShade="F2"/>
          </w:tcPr>
          <w:p w:rsidR="004659AD" w:rsidRPr="00642432" w:rsidRDefault="004659AD" w:rsidP="00454D07">
            <w:pPr>
              <w:pStyle w:val="TableText"/>
              <w:tabs>
                <w:tab w:val="decimal" w:pos="1033"/>
              </w:tabs>
            </w:pPr>
            <w:r w:rsidRPr="00642432">
              <w:t>5 (1–25)</w:t>
            </w:r>
          </w:p>
        </w:tc>
      </w:tr>
      <w:tr w:rsidR="004659AD" w:rsidRPr="00642432" w:rsidTr="00454D07">
        <w:trPr>
          <w:cantSplit/>
        </w:trPr>
        <w:tc>
          <w:tcPr>
            <w:tcW w:w="2127" w:type="dxa"/>
            <w:tcBorders>
              <w:top w:val="nil"/>
              <w:bottom w:val="nil"/>
            </w:tcBorders>
            <w:shd w:val="clear" w:color="auto" w:fill="auto"/>
          </w:tcPr>
          <w:p w:rsidR="004659AD" w:rsidRPr="00642432" w:rsidRDefault="004659AD" w:rsidP="00454D07">
            <w:pPr>
              <w:pStyle w:val="TableText"/>
            </w:pPr>
            <w:r w:rsidRPr="00642432">
              <w:t>MidCentral</w:t>
            </w:r>
          </w:p>
        </w:tc>
        <w:tc>
          <w:tcPr>
            <w:tcW w:w="2338" w:type="dxa"/>
            <w:tcBorders>
              <w:top w:val="nil"/>
              <w:bottom w:val="nil"/>
            </w:tcBorders>
            <w:shd w:val="clear" w:color="auto" w:fill="auto"/>
          </w:tcPr>
          <w:p w:rsidR="004659AD" w:rsidRPr="00642432" w:rsidRDefault="004659AD" w:rsidP="00454D07">
            <w:pPr>
              <w:pStyle w:val="TableText"/>
              <w:tabs>
                <w:tab w:val="decimal" w:pos="1311"/>
              </w:tabs>
            </w:pPr>
            <w:r w:rsidRPr="00642432">
              <w:t>13</w:t>
            </w:r>
          </w:p>
        </w:tc>
        <w:tc>
          <w:tcPr>
            <w:tcW w:w="2339" w:type="dxa"/>
            <w:tcBorders>
              <w:top w:val="nil"/>
              <w:bottom w:val="nil"/>
            </w:tcBorders>
            <w:shd w:val="clear" w:color="auto" w:fill="auto"/>
          </w:tcPr>
          <w:p w:rsidR="004659AD" w:rsidRPr="00642432" w:rsidRDefault="004659AD" w:rsidP="00454D07">
            <w:pPr>
              <w:pStyle w:val="TableText"/>
              <w:tabs>
                <w:tab w:val="decimal" w:pos="1311"/>
              </w:tabs>
            </w:pPr>
            <w:r w:rsidRPr="00642432">
              <w:t>191</w:t>
            </w:r>
          </w:p>
        </w:tc>
        <w:tc>
          <w:tcPr>
            <w:tcW w:w="2552" w:type="dxa"/>
            <w:tcBorders>
              <w:top w:val="nil"/>
              <w:bottom w:val="nil"/>
            </w:tcBorders>
            <w:shd w:val="clear" w:color="auto" w:fill="auto"/>
          </w:tcPr>
          <w:p w:rsidR="004659AD" w:rsidRPr="00642432" w:rsidRDefault="004659AD" w:rsidP="00454D07">
            <w:pPr>
              <w:pStyle w:val="TableText"/>
              <w:tabs>
                <w:tab w:val="decimal" w:pos="1033"/>
              </w:tabs>
            </w:pPr>
            <w:r w:rsidRPr="00642432">
              <w:t>14.7 (2–46)</w:t>
            </w:r>
          </w:p>
        </w:tc>
      </w:tr>
      <w:tr w:rsidR="004659AD" w:rsidRPr="00642432" w:rsidTr="00454D07">
        <w:trPr>
          <w:cantSplit/>
        </w:trPr>
        <w:tc>
          <w:tcPr>
            <w:tcW w:w="2127" w:type="dxa"/>
            <w:tcBorders>
              <w:top w:val="nil"/>
              <w:bottom w:val="nil"/>
            </w:tcBorders>
            <w:shd w:val="clear" w:color="auto" w:fill="F2F2F2" w:themeFill="background1" w:themeFillShade="F2"/>
          </w:tcPr>
          <w:p w:rsidR="004659AD" w:rsidRPr="00642432" w:rsidRDefault="004659AD" w:rsidP="00454D07">
            <w:pPr>
              <w:pStyle w:val="TableText"/>
            </w:pPr>
            <w:r w:rsidRPr="00642432">
              <w:t>Nelson Marlborough</w:t>
            </w:r>
          </w:p>
        </w:tc>
        <w:tc>
          <w:tcPr>
            <w:tcW w:w="2338"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2</w:t>
            </w:r>
          </w:p>
        </w:tc>
        <w:tc>
          <w:tcPr>
            <w:tcW w:w="2339"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13</w:t>
            </w:r>
          </w:p>
        </w:tc>
        <w:tc>
          <w:tcPr>
            <w:tcW w:w="2552" w:type="dxa"/>
            <w:tcBorders>
              <w:top w:val="nil"/>
              <w:bottom w:val="nil"/>
            </w:tcBorders>
            <w:shd w:val="clear" w:color="auto" w:fill="F2F2F2" w:themeFill="background1" w:themeFillShade="F2"/>
          </w:tcPr>
          <w:p w:rsidR="004659AD" w:rsidRPr="00642432" w:rsidRDefault="004659AD" w:rsidP="00454D07">
            <w:pPr>
              <w:pStyle w:val="TableText"/>
              <w:tabs>
                <w:tab w:val="decimal" w:pos="1033"/>
              </w:tabs>
            </w:pPr>
            <w:r w:rsidRPr="00642432">
              <w:t>6.5 (5–8)</w:t>
            </w:r>
          </w:p>
        </w:tc>
      </w:tr>
      <w:tr w:rsidR="004659AD" w:rsidRPr="00642432" w:rsidTr="00454D07">
        <w:trPr>
          <w:cantSplit/>
        </w:trPr>
        <w:tc>
          <w:tcPr>
            <w:tcW w:w="2127" w:type="dxa"/>
            <w:tcBorders>
              <w:top w:val="nil"/>
              <w:bottom w:val="nil"/>
            </w:tcBorders>
            <w:shd w:val="clear" w:color="auto" w:fill="auto"/>
          </w:tcPr>
          <w:p w:rsidR="004659AD" w:rsidRPr="00642432" w:rsidRDefault="004659AD" w:rsidP="00454D07">
            <w:pPr>
              <w:pStyle w:val="TableText"/>
            </w:pPr>
            <w:r w:rsidRPr="00642432">
              <w:t>Northland</w:t>
            </w:r>
          </w:p>
        </w:tc>
        <w:tc>
          <w:tcPr>
            <w:tcW w:w="2338" w:type="dxa"/>
            <w:tcBorders>
              <w:top w:val="nil"/>
              <w:bottom w:val="nil"/>
            </w:tcBorders>
            <w:shd w:val="clear" w:color="auto" w:fill="auto"/>
          </w:tcPr>
          <w:p w:rsidR="004659AD" w:rsidRPr="00642432" w:rsidRDefault="004659AD" w:rsidP="00454D07">
            <w:pPr>
              <w:pStyle w:val="TableText"/>
              <w:tabs>
                <w:tab w:val="decimal" w:pos="1311"/>
              </w:tabs>
            </w:pPr>
            <w:r w:rsidRPr="00642432">
              <w:t>4</w:t>
            </w:r>
          </w:p>
        </w:tc>
        <w:tc>
          <w:tcPr>
            <w:tcW w:w="2339" w:type="dxa"/>
            <w:tcBorders>
              <w:top w:val="nil"/>
              <w:bottom w:val="nil"/>
            </w:tcBorders>
            <w:shd w:val="clear" w:color="auto" w:fill="auto"/>
          </w:tcPr>
          <w:p w:rsidR="004659AD" w:rsidRPr="00642432" w:rsidRDefault="004659AD" w:rsidP="00454D07">
            <w:pPr>
              <w:pStyle w:val="TableText"/>
              <w:tabs>
                <w:tab w:val="decimal" w:pos="1311"/>
              </w:tabs>
            </w:pPr>
            <w:r w:rsidRPr="00642432">
              <w:t>40</w:t>
            </w:r>
          </w:p>
        </w:tc>
        <w:tc>
          <w:tcPr>
            <w:tcW w:w="2552" w:type="dxa"/>
            <w:tcBorders>
              <w:top w:val="nil"/>
              <w:bottom w:val="nil"/>
            </w:tcBorders>
            <w:shd w:val="clear" w:color="auto" w:fill="auto"/>
          </w:tcPr>
          <w:p w:rsidR="004659AD" w:rsidRPr="00642432" w:rsidRDefault="004659AD" w:rsidP="00454D07">
            <w:pPr>
              <w:pStyle w:val="TableText"/>
              <w:tabs>
                <w:tab w:val="decimal" w:pos="1033"/>
              </w:tabs>
            </w:pPr>
            <w:r w:rsidRPr="00642432">
              <w:t>10 (1–22)</w:t>
            </w:r>
          </w:p>
        </w:tc>
      </w:tr>
      <w:tr w:rsidR="004659AD" w:rsidRPr="00642432" w:rsidTr="00454D07">
        <w:trPr>
          <w:cantSplit/>
        </w:trPr>
        <w:tc>
          <w:tcPr>
            <w:tcW w:w="2127" w:type="dxa"/>
            <w:tcBorders>
              <w:top w:val="nil"/>
              <w:bottom w:val="nil"/>
            </w:tcBorders>
            <w:shd w:val="clear" w:color="auto" w:fill="F2F2F2" w:themeFill="background1" w:themeFillShade="F2"/>
          </w:tcPr>
          <w:p w:rsidR="004659AD" w:rsidRPr="00642432" w:rsidRDefault="004659AD" w:rsidP="00454D07">
            <w:pPr>
              <w:pStyle w:val="TableText"/>
            </w:pPr>
            <w:r w:rsidRPr="00642432">
              <w:t>South Canterbury</w:t>
            </w:r>
          </w:p>
        </w:tc>
        <w:tc>
          <w:tcPr>
            <w:tcW w:w="2338"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2</w:t>
            </w:r>
          </w:p>
        </w:tc>
        <w:tc>
          <w:tcPr>
            <w:tcW w:w="2339"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11</w:t>
            </w:r>
          </w:p>
        </w:tc>
        <w:tc>
          <w:tcPr>
            <w:tcW w:w="2552" w:type="dxa"/>
            <w:tcBorders>
              <w:top w:val="nil"/>
              <w:bottom w:val="nil"/>
            </w:tcBorders>
            <w:shd w:val="clear" w:color="auto" w:fill="F2F2F2" w:themeFill="background1" w:themeFillShade="F2"/>
          </w:tcPr>
          <w:p w:rsidR="004659AD" w:rsidRPr="00642432" w:rsidRDefault="004659AD" w:rsidP="00454D07">
            <w:pPr>
              <w:pStyle w:val="TableText"/>
              <w:tabs>
                <w:tab w:val="decimal" w:pos="1033"/>
              </w:tabs>
            </w:pPr>
            <w:r w:rsidRPr="00642432">
              <w:t>5.5 (3–8)</w:t>
            </w:r>
          </w:p>
        </w:tc>
      </w:tr>
      <w:tr w:rsidR="004659AD" w:rsidRPr="00642432" w:rsidTr="00454D07">
        <w:trPr>
          <w:cantSplit/>
        </w:trPr>
        <w:tc>
          <w:tcPr>
            <w:tcW w:w="2127" w:type="dxa"/>
            <w:tcBorders>
              <w:top w:val="nil"/>
              <w:bottom w:val="nil"/>
            </w:tcBorders>
            <w:shd w:val="clear" w:color="auto" w:fill="auto"/>
          </w:tcPr>
          <w:p w:rsidR="004659AD" w:rsidRPr="00642432" w:rsidRDefault="004659AD" w:rsidP="00454D07">
            <w:pPr>
              <w:pStyle w:val="TableText"/>
            </w:pPr>
            <w:r w:rsidRPr="00642432">
              <w:t>Southern</w:t>
            </w:r>
          </w:p>
        </w:tc>
        <w:tc>
          <w:tcPr>
            <w:tcW w:w="2338" w:type="dxa"/>
            <w:tcBorders>
              <w:top w:val="nil"/>
              <w:bottom w:val="nil"/>
            </w:tcBorders>
            <w:shd w:val="clear" w:color="auto" w:fill="auto"/>
          </w:tcPr>
          <w:p w:rsidR="004659AD" w:rsidRPr="00642432" w:rsidRDefault="004659AD" w:rsidP="00454D07">
            <w:pPr>
              <w:pStyle w:val="TableText"/>
              <w:tabs>
                <w:tab w:val="decimal" w:pos="1311"/>
              </w:tabs>
            </w:pPr>
            <w:r w:rsidRPr="00642432">
              <w:t>18</w:t>
            </w:r>
          </w:p>
        </w:tc>
        <w:tc>
          <w:tcPr>
            <w:tcW w:w="2339" w:type="dxa"/>
            <w:tcBorders>
              <w:top w:val="nil"/>
              <w:bottom w:val="nil"/>
            </w:tcBorders>
            <w:shd w:val="clear" w:color="auto" w:fill="auto"/>
          </w:tcPr>
          <w:p w:rsidR="004659AD" w:rsidRPr="00642432" w:rsidRDefault="004659AD" w:rsidP="00454D07">
            <w:pPr>
              <w:pStyle w:val="TableText"/>
              <w:tabs>
                <w:tab w:val="decimal" w:pos="1311"/>
              </w:tabs>
            </w:pPr>
            <w:r w:rsidRPr="00642432">
              <w:t>172</w:t>
            </w:r>
          </w:p>
        </w:tc>
        <w:tc>
          <w:tcPr>
            <w:tcW w:w="2552" w:type="dxa"/>
            <w:tcBorders>
              <w:top w:val="nil"/>
              <w:bottom w:val="nil"/>
            </w:tcBorders>
            <w:shd w:val="clear" w:color="auto" w:fill="auto"/>
          </w:tcPr>
          <w:p w:rsidR="004659AD" w:rsidRPr="00642432" w:rsidRDefault="004659AD" w:rsidP="00454D07">
            <w:pPr>
              <w:pStyle w:val="TableText"/>
              <w:tabs>
                <w:tab w:val="decimal" w:pos="1033"/>
              </w:tabs>
            </w:pPr>
            <w:r w:rsidRPr="00642432">
              <w:t>9.6 (1–41)</w:t>
            </w:r>
          </w:p>
        </w:tc>
      </w:tr>
      <w:tr w:rsidR="004659AD" w:rsidRPr="00642432" w:rsidTr="00454D07">
        <w:trPr>
          <w:cantSplit/>
        </w:trPr>
        <w:tc>
          <w:tcPr>
            <w:tcW w:w="2127" w:type="dxa"/>
            <w:tcBorders>
              <w:top w:val="nil"/>
              <w:bottom w:val="nil"/>
            </w:tcBorders>
            <w:shd w:val="clear" w:color="auto" w:fill="F2F2F2" w:themeFill="background1" w:themeFillShade="F2"/>
          </w:tcPr>
          <w:p w:rsidR="004659AD" w:rsidRPr="00642432" w:rsidRDefault="004659AD" w:rsidP="00454D07">
            <w:pPr>
              <w:pStyle w:val="TableText"/>
            </w:pPr>
            <w:r w:rsidRPr="00642432">
              <w:t>Tairawhiti</w:t>
            </w:r>
          </w:p>
        </w:tc>
        <w:tc>
          <w:tcPr>
            <w:tcW w:w="2338"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1</w:t>
            </w:r>
          </w:p>
        </w:tc>
        <w:tc>
          <w:tcPr>
            <w:tcW w:w="2339"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4</w:t>
            </w:r>
          </w:p>
        </w:tc>
        <w:tc>
          <w:tcPr>
            <w:tcW w:w="2552" w:type="dxa"/>
            <w:tcBorders>
              <w:top w:val="nil"/>
              <w:bottom w:val="nil"/>
            </w:tcBorders>
            <w:shd w:val="clear" w:color="auto" w:fill="F2F2F2" w:themeFill="background1" w:themeFillShade="F2"/>
          </w:tcPr>
          <w:p w:rsidR="004659AD" w:rsidRPr="00642432" w:rsidRDefault="004659AD" w:rsidP="00454D07">
            <w:pPr>
              <w:pStyle w:val="TableText"/>
              <w:tabs>
                <w:tab w:val="decimal" w:pos="1033"/>
              </w:tabs>
            </w:pPr>
            <w:r w:rsidRPr="00642432">
              <w:t>4 (4–4)</w:t>
            </w:r>
          </w:p>
        </w:tc>
      </w:tr>
      <w:tr w:rsidR="004659AD" w:rsidRPr="00642432" w:rsidTr="00454D07">
        <w:trPr>
          <w:cantSplit/>
        </w:trPr>
        <w:tc>
          <w:tcPr>
            <w:tcW w:w="2127" w:type="dxa"/>
            <w:tcBorders>
              <w:top w:val="nil"/>
              <w:bottom w:val="nil"/>
            </w:tcBorders>
            <w:shd w:val="clear" w:color="auto" w:fill="auto"/>
          </w:tcPr>
          <w:p w:rsidR="004659AD" w:rsidRPr="00642432" w:rsidRDefault="004659AD" w:rsidP="00454D07">
            <w:pPr>
              <w:pStyle w:val="TableText"/>
            </w:pPr>
            <w:r w:rsidRPr="00642432">
              <w:t>Taranaki</w:t>
            </w:r>
          </w:p>
        </w:tc>
        <w:tc>
          <w:tcPr>
            <w:tcW w:w="2338" w:type="dxa"/>
            <w:tcBorders>
              <w:top w:val="nil"/>
              <w:bottom w:val="nil"/>
            </w:tcBorders>
            <w:shd w:val="clear" w:color="auto" w:fill="auto"/>
          </w:tcPr>
          <w:p w:rsidR="004659AD" w:rsidRPr="00642432" w:rsidRDefault="004659AD" w:rsidP="00454D07">
            <w:pPr>
              <w:pStyle w:val="TableText"/>
              <w:tabs>
                <w:tab w:val="decimal" w:pos="1311"/>
              </w:tabs>
            </w:pPr>
            <w:r w:rsidRPr="00642432">
              <w:t>1</w:t>
            </w:r>
          </w:p>
        </w:tc>
        <w:tc>
          <w:tcPr>
            <w:tcW w:w="2339" w:type="dxa"/>
            <w:tcBorders>
              <w:top w:val="nil"/>
              <w:bottom w:val="nil"/>
            </w:tcBorders>
            <w:shd w:val="clear" w:color="auto" w:fill="auto"/>
          </w:tcPr>
          <w:p w:rsidR="004659AD" w:rsidRPr="00642432" w:rsidRDefault="004659AD" w:rsidP="00454D07">
            <w:pPr>
              <w:pStyle w:val="TableText"/>
              <w:tabs>
                <w:tab w:val="decimal" w:pos="1311"/>
              </w:tabs>
            </w:pPr>
            <w:r w:rsidRPr="00642432">
              <w:t>5</w:t>
            </w:r>
          </w:p>
        </w:tc>
        <w:tc>
          <w:tcPr>
            <w:tcW w:w="2552" w:type="dxa"/>
            <w:tcBorders>
              <w:top w:val="nil"/>
              <w:bottom w:val="nil"/>
            </w:tcBorders>
            <w:shd w:val="clear" w:color="auto" w:fill="auto"/>
          </w:tcPr>
          <w:p w:rsidR="004659AD" w:rsidRPr="00642432" w:rsidRDefault="004659AD" w:rsidP="00454D07">
            <w:pPr>
              <w:pStyle w:val="TableText"/>
              <w:tabs>
                <w:tab w:val="decimal" w:pos="1033"/>
              </w:tabs>
            </w:pPr>
            <w:r w:rsidRPr="00642432">
              <w:t>5 (5–5)</w:t>
            </w:r>
          </w:p>
        </w:tc>
      </w:tr>
      <w:tr w:rsidR="004659AD" w:rsidRPr="00642432" w:rsidTr="00454D07">
        <w:trPr>
          <w:cantSplit/>
        </w:trPr>
        <w:tc>
          <w:tcPr>
            <w:tcW w:w="2127" w:type="dxa"/>
            <w:tcBorders>
              <w:top w:val="nil"/>
              <w:bottom w:val="nil"/>
            </w:tcBorders>
            <w:shd w:val="clear" w:color="auto" w:fill="F2F2F2" w:themeFill="background1" w:themeFillShade="F2"/>
          </w:tcPr>
          <w:p w:rsidR="004659AD" w:rsidRPr="00642432" w:rsidRDefault="004659AD" w:rsidP="00454D07">
            <w:pPr>
              <w:pStyle w:val="TableText"/>
            </w:pPr>
            <w:r w:rsidRPr="00642432">
              <w:t>Waikato</w:t>
            </w:r>
          </w:p>
        </w:tc>
        <w:tc>
          <w:tcPr>
            <w:tcW w:w="2338"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32</w:t>
            </w:r>
          </w:p>
        </w:tc>
        <w:tc>
          <w:tcPr>
            <w:tcW w:w="2339"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388</w:t>
            </w:r>
          </w:p>
        </w:tc>
        <w:tc>
          <w:tcPr>
            <w:tcW w:w="2552" w:type="dxa"/>
            <w:tcBorders>
              <w:top w:val="nil"/>
              <w:bottom w:val="nil"/>
            </w:tcBorders>
            <w:shd w:val="clear" w:color="auto" w:fill="F2F2F2" w:themeFill="background1" w:themeFillShade="F2"/>
          </w:tcPr>
          <w:p w:rsidR="004659AD" w:rsidRPr="00642432" w:rsidRDefault="004659AD" w:rsidP="00454D07">
            <w:pPr>
              <w:pStyle w:val="TableText"/>
              <w:tabs>
                <w:tab w:val="decimal" w:pos="1033"/>
              </w:tabs>
            </w:pPr>
            <w:r w:rsidRPr="00642432">
              <w:t>12.1 (2–52)</w:t>
            </w:r>
          </w:p>
        </w:tc>
      </w:tr>
      <w:tr w:rsidR="004659AD" w:rsidRPr="00642432" w:rsidTr="00454D07">
        <w:trPr>
          <w:cantSplit/>
        </w:trPr>
        <w:tc>
          <w:tcPr>
            <w:tcW w:w="2127" w:type="dxa"/>
            <w:tcBorders>
              <w:top w:val="nil"/>
              <w:bottom w:val="nil"/>
            </w:tcBorders>
            <w:shd w:val="clear" w:color="auto" w:fill="auto"/>
          </w:tcPr>
          <w:p w:rsidR="004659AD" w:rsidRPr="00642432" w:rsidRDefault="004659AD" w:rsidP="00454D07">
            <w:pPr>
              <w:pStyle w:val="TableText"/>
            </w:pPr>
            <w:r w:rsidRPr="00642432">
              <w:t>Wairarapa</w:t>
            </w:r>
          </w:p>
        </w:tc>
        <w:tc>
          <w:tcPr>
            <w:tcW w:w="2338" w:type="dxa"/>
            <w:tcBorders>
              <w:top w:val="nil"/>
              <w:bottom w:val="nil"/>
            </w:tcBorders>
            <w:shd w:val="clear" w:color="auto" w:fill="auto"/>
          </w:tcPr>
          <w:p w:rsidR="004659AD" w:rsidRPr="00642432" w:rsidRDefault="004659AD" w:rsidP="00454D07">
            <w:pPr>
              <w:pStyle w:val="TableText"/>
              <w:tabs>
                <w:tab w:val="decimal" w:pos="1311"/>
              </w:tabs>
            </w:pPr>
            <w:r w:rsidRPr="00642432">
              <w:t>1</w:t>
            </w:r>
          </w:p>
        </w:tc>
        <w:tc>
          <w:tcPr>
            <w:tcW w:w="2339" w:type="dxa"/>
            <w:tcBorders>
              <w:top w:val="nil"/>
              <w:bottom w:val="nil"/>
            </w:tcBorders>
            <w:shd w:val="clear" w:color="auto" w:fill="auto"/>
          </w:tcPr>
          <w:p w:rsidR="004659AD" w:rsidRPr="00642432" w:rsidRDefault="004659AD" w:rsidP="00454D07">
            <w:pPr>
              <w:pStyle w:val="TableText"/>
              <w:tabs>
                <w:tab w:val="decimal" w:pos="1311"/>
              </w:tabs>
            </w:pPr>
            <w:r w:rsidRPr="00642432">
              <w:t>9</w:t>
            </w:r>
          </w:p>
        </w:tc>
        <w:tc>
          <w:tcPr>
            <w:tcW w:w="2552" w:type="dxa"/>
            <w:tcBorders>
              <w:top w:val="nil"/>
              <w:bottom w:val="nil"/>
            </w:tcBorders>
            <w:shd w:val="clear" w:color="auto" w:fill="auto"/>
          </w:tcPr>
          <w:p w:rsidR="004659AD" w:rsidRPr="00642432" w:rsidRDefault="004659AD" w:rsidP="00454D07">
            <w:pPr>
              <w:pStyle w:val="TableText"/>
              <w:tabs>
                <w:tab w:val="decimal" w:pos="1033"/>
              </w:tabs>
            </w:pPr>
            <w:r w:rsidRPr="00642432">
              <w:t>9 (9–9)</w:t>
            </w:r>
          </w:p>
        </w:tc>
      </w:tr>
      <w:tr w:rsidR="004659AD" w:rsidRPr="00642432" w:rsidTr="00454D07">
        <w:trPr>
          <w:cantSplit/>
        </w:trPr>
        <w:tc>
          <w:tcPr>
            <w:tcW w:w="2127" w:type="dxa"/>
            <w:tcBorders>
              <w:top w:val="nil"/>
              <w:bottom w:val="nil"/>
            </w:tcBorders>
            <w:shd w:val="clear" w:color="auto" w:fill="F2F2F2" w:themeFill="background1" w:themeFillShade="F2"/>
          </w:tcPr>
          <w:p w:rsidR="004659AD" w:rsidRPr="00642432" w:rsidRDefault="004659AD" w:rsidP="00454D07">
            <w:pPr>
              <w:pStyle w:val="TableText"/>
            </w:pPr>
            <w:r w:rsidRPr="00642432">
              <w:t>Waitemata</w:t>
            </w:r>
          </w:p>
        </w:tc>
        <w:tc>
          <w:tcPr>
            <w:tcW w:w="2338"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27</w:t>
            </w:r>
          </w:p>
        </w:tc>
        <w:tc>
          <w:tcPr>
            <w:tcW w:w="2339"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303</w:t>
            </w:r>
          </w:p>
        </w:tc>
        <w:tc>
          <w:tcPr>
            <w:tcW w:w="2552" w:type="dxa"/>
            <w:tcBorders>
              <w:top w:val="nil"/>
              <w:bottom w:val="nil"/>
            </w:tcBorders>
            <w:shd w:val="clear" w:color="auto" w:fill="F2F2F2" w:themeFill="background1" w:themeFillShade="F2"/>
          </w:tcPr>
          <w:p w:rsidR="004659AD" w:rsidRPr="00642432" w:rsidRDefault="004659AD" w:rsidP="00454D07">
            <w:pPr>
              <w:pStyle w:val="TableText"/>
              <w:tabs>
                <w:tab w:val="decimal" w:pos="1033"/>
              </w:tabs>
            </w:pPr>
            <w:r w:rsidRPr="00642432">
              <w:t>11.2 (1–24)</w:t>
            </w:r>
          </w:p>
        </w:tc>
      </w:tr>
      <w:tr w:rsidR="004659AD" w:rsidRPr="00642432" w:rsidTr="00454D07">
        <w:trPr>
          <w:cantSplit/>
        </w:trPr>
        <w:tc>
          <w:tcPr>
            <w:tcW w:w="2127" w:type="dxa"/>
            <w:tcBorders>
              <w:top w:val="nil"/>
              <w:bottom w:val="nil"/>
            </w:tcBorders>
            <w:shd w:val="clear" w:color="auto" w:fill="auto"/>
          </w:tcPr>
          <w:p w:rsidR="004659AD" w:rsidRPr="00642432" w:rsidRDefault="004659AD" w:rsidP="00454D07">
            <w:pPr>
              <w:pStyle w:val="TableText"/>
            </w:pPr>
            <w:r w:rsidRPr="00642432">
              <w:t>West Coast</w:t>
            </w:r>
          </w:p>
        </w:tc>
        <w:tc>
          <w:tcPr>
            <w:tcW w:w="2338" w:type="dxa"/>
            <w:tcBorders>
              <w:top w:val="nil"/>
              <w:bottom w:val="nil"/>
            </w:tcBorders>
            <w:shd w:val="clear" w:color="auto" w:fill="auto"/>
          </w:tcPr>
          <w:p w:rsidR="004659AD" w:rsidRPr="00642432" w:rsidRDefault="004659AD" w:rsidP="00454D07">
            <w:pPr>
              <w:pStyle w:val="TableText"/>
              <w:tabs>
                <w:tab w:val="decimal" w:pos="1311"/>
              </w:tabs>
            </w:pPr>
            <w:r w:rsidRPr="00642432">
              <w:t>3</w:t>
            </w:r>
          </w:p>
        </w:tc>
        <w:tc>
          <w:tcPr>
            <w:tcW w:w="2339" w:type="dxa"/>
            <w:tcBorders>
              <w:top w:val="nil"/>
              <w:bottom w:val="nil"/>
            </w:tcBorders>
            <w:shd w:val="clear" w:color="auto" w:fill="auto"/>
          </w:tcPr>
          <w:p w:rsidR="004659AD" w:rsidRPr="00642432" w:rsidRDefault="004659AD" w:rsidP="00454D07">
            <w:pPr>
              <w:pStyle w:val="TableText"/>
              <w:tabs>
                <w:tab w:val="decimal" w:pos="1311"/>
              </w:tabs>
            </w:pPr>
            <w:r w:rsidRPr="00642432">
              <w:t>26</w:t>
            </w:r>
          </w:p>
        </w:tc>
        <w:tc>
          <w:tcPr>
            <w:tcW w:w="2552" w:type="dxa"/>
            <w:tcBorders>
              <w:top w:val="nil"/>
              <w:bottom w:val="nil"/>
            </w:tcBorders>
            <w:shd w:val="clear" w:color="auto" w:fill="auto"/>
          </w:tcPr>
          <w:p w:rsidR="004659AD" w:rsidRPr="00642432" w:rsidRDefault="004659AD" w:rsidP="00454D07">
            <w:pPr>
              <w:pStyle w:val="TableText"/>
              <w:tabs>
                <w:tab w:val="decimal" w:pos="1033"/>
              </w:tabs>
            </w:pPr>
            <w:r w:rsidRPr="00642432">
              <w:t>8.7 (8–10)</w:t>
            </w:r>
          </w:p>
        </w:tc>
      </w:tr>
      <w:tr w:rsidR="004659AD" w:rsidRPr="00642432" w:rsidTr="00454D07">
        <w:trPr>
          <w:cantSplit/>
        </w:trPr>
        <w:tc>
          <w:tcPr>
            <w:tcW w:w="2127" w:type="dxa"/>
            <w:tcBorders>
              <w:top w:val="nil"/>
              <w:bottom w:val="nil"/>
            </w:tcBorders>
            <w:shd w:val="clear" w:color="auto" w:fill="F2F2F2" w:themeFill="background1" w:themeFillShade="F2"/>
          </w:tcPr>
          <w:p w:rsidR="004659AD" w:rsidRPr="00642432" w:rsidRDefault="004659AD" w:rsidP="00454D07">
            <w:pPr>
              <w:pStyle w:val="TableText"/>
            </w:pPr>
            <w:r w:rsidRPr="00642432">
              <w:t>Whanganui</w:t>
            </w:r>
          </w:p>
        </w:tc>
        <w:tc>
          <w:tcPr>
            <w:tcW w:w="2338"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2</w:t>
            </w:r>
          </w:p>
        </w:tc>
        <w:tc>
          <w:tcPr>
            <w:tcW w:w="2339" w:type="dxa"/>
            <w:tcBorders>
              <w:top w:val="nil"/>
              <w:bottom w:val="nil"/>
            </w:tcBorders>
            <w:shd w:val="clear" w:color="auto" w:fill="F2F2F2" w:themeFill="background1" w:themeFillShade="F2"/>
          </w:tcPr>
          <w:p w:rsidR="004659AD" w:rsidRPr="00642432" w:rsidRDefault="004659AD" w:rsidP="00454D07">
            <w:pPr>
              <w:pStyle w:val="TableText"/>
              <w:tabs>
                <w:tab w:val="decimal" w:pos="1311"/>
              </w:tabs>
            </w:pPr>
            <w:r w:rsidRPr="00642432">
              <w:t>3</w:t>
            </w:r>
          </w:p>
        </w:tc>
        <w:tc>
          <w:tcPr>
            <w:tcW w:w="2552" w:type="dxa"/>
            <w:tcBorders>
              <w:top w:val="nil"/>
              <w:bottom w:val="nil"/>
            </w:tcBorders>
            <w:shd w:val="clear" w:color="auto" w:fill="F2F2F2" w:themeFill="background1" w:themeFillShade="F2"/>
          </w:tcPr>
          <w:p w:rsidR="004659AD" w:rsidRPr="00642432" w:rsidRDefault="004659AD" w:rsidP="00454D07">
            <w:pPr>
              <w:pStyle w:val="TableText"/>
              <w:tabs>
                <w:tab w:val="decimal" w:pos="1033"/>
              </w:tabs>
            </w:pPr>
            <w:r w:rsidRPr="00642432">
              <w:t>1.5 (1–2)</w:t>
            </w:r>
          </w:p>
        </w:tc>
      </w:tr>
      <w:tr w:rsidR="004659AD" w:rsidRPr="00642432" w:rsidTr="00454D07">
        <w:trPr>
          <w:cantSplit/>
        </w:trPr>
        <w:tc>
          <w:tcPr>
            <w:tcW w:w="2127" w:type="dxa"/>
            <w:tcBorders>
              <w:top w:val="nil"/>
              <w:bottom w:val="nil"/>
            </w:tcBorders>
            <w:shd w:val="clear" w:color="auto" w:fill="auto"/>
          </w:tcPr>
          <w:p w:rsidR="004659AD" w:rsidRPr="00642432" w:rsidRDefault="004659AD" w:rsidP="00454D07">
            <w:pPr>
              <w:pStyle w:val="TableText"/>
            </w:pPr>
            <w:r w:rsidRPr="00642432">
              <w:t>Unknown</w:t>
            </w:r>
          </w:p>
        </w:tc>
        <w:tc>
          <w:tcPr>
            <w:tcW w:w="2338" w:type="dxa"/>
            <w:tcBorders>
              <w:top w:val="nil"/>
              <w:bottom w:val="nil"/>
            </w:tcBorders>
            <w:shd w:val="clear" w:color="auto" w:fill="auto"/>
          </w:tcPr>
          <w:p w:rsidR="004659AD" w:rsidRPr="00642432" w:rsidRDefault="004659AD" w:rsidP="00454D07">
            <w:pPr>
              <w:pStyle w:val="TableText"/>
              <w:tabs>
                <w:tab w:val="decimal" w:pos="1311"/>
              </w:tabs>
            </w:pPr>
            <w:r w:rsidRPr="00642432">
              <w:t>1</w:t>
            </w:r>
          </w:p>
        </w:tc>
        <w:tc>
          <w:tcPr>
            <w:tcW w:w="2339" w:type="dxa"/>
            <w:tcBorders>
              <w:top w:val="nil"/>
              <w:bottom w:val="nil"/>
            </w:tcBorders>
            <w:shd w:val="clear" w:color="auto" w:fill="auto"/>
          </w:tcPr>
          <w:p w:rsidR="004659AD" w:rsidRPr="00642432" w:rsidRDefault="004659AD" w:rsidP="00454D07">
            <w:pPr>
              <w:pStyle w:val="TableText"/>
              <w:tabs>
                <w:tab w:val="decimal" w:pos="1311"/>
              </w:tabs>
            </w:pPr>
            <w:r w:rsidRPr="00642432">
              <w:t>1</w:t>
            </w:r>
          </w:p>
        </w:tc>
        <w:tc>
          <w:tcPr>
            <w:tcW w:w="2552" w:type="dxa"/>
            <w:tcBorders>
              <w:top w:val="nil"/>
              <w:bottom w:val="nil"/>
            </w:tcBorders>
            <w:shd w:val="clear" w:color="auto" w:fill="auto"/>
          </w:tcPr>
          <w:p w:rsidR="004659AD" w:rsidRPr="00642432" w:rsidRDefault="004659AD" w:rsidP="00454D07">
            <w:pPr>
              <w:pStyle w:val="TableText"/>
              <w:tabs>
                <w:tab w:val="decimal" w:pos="1033"/>
              </w:tabs>
            </w:pPr>
            <w:r w:rsidRPr="00642432">
              <w:t>1 (1–1)</w:t>
            </w:r>
          </w:p>
        </w:tc>
      </w:tr>
      <w:tr w:rsidR="004659AD" w:rsidRPr="00642432" w:rsidTr="00454D07">
        <w:trPr>
          <w:cantSplit/>
        </w:trPr>
        <w:tc>
          <w:tcPr>
            <w:tcW w:w="2127" w:type="dxa"/>
            <w:tcBorders>
              <w:top w:val="nil"/>
              <w:bottom w:val="single" w:sz="4" w:space="0" w:color="auto"/>
            </w:tcBorders>
            <w:shd w:val="clear" w:color="auto" w:fill="F2F2F2" w:themeFill="background1" w:themeFillShade="F2"/>
          </w:tcPr>
          <w:p w:rsidR="004659AD" w:rsidRPr="00642432" w:rsidRDefault="004659AD" w:rsidP="00454D07">
            <w:pPr>
              <w:pStyle w:val="TableText"/>
            </w:pPr>
            <w:r w:rsidRPr="00642432">
              <w:t>New Zealand</w:t>
            </w:r>
          </w:p>
        </w:tc>
        <w:tc>
          <w:tcPr>
            <w:tcW w:w="2338" w:type="dxa"/>
            <w:tcBorders>
              <w:top w:val="nil"/>
              <w:bottom w:val="single" w:sz="4" w:space="0" w:color="auto"/>
            </w:tcBorders>
            <w:shd w:val="clear" w:color="auto" w:fill="F2F2F2" w:themeFill="background1" w:themeFillShade="F2"/>
          </w:tcPr>
          <w:p w:rsidR="004659AD" w:rsidRPr="00642432" w:rsidRDefault="004659AD" w:rsidP="00454D07">
            <w:pPr>
              <w:pStyle w:val="TableText"/>
              <w:tabs>
                <w:tab w:val="decimal" w:pos="1311"/>
              </w:tabs>
            </w:pPr>
            <w:r w:rsidRPr="00642432">
              <w:t>253</w:t>
            </w:r>
          </w:p>
        </w:tc>
        <w:tc>
          <w:tcPr>
            <w:tcW w:w="2339" w:type="dxa"/>
            <w:tcBorders>
              <w:top w:val="nil"/>
              <w:bottom w:val="single" w:sz="4" w:space="0" w:color="auto"/>
            </w:tcBorders>
            <w:shd w:val="clear" w:color="auto" w:fill="F2F2F2" w:themeFill="background1" w:themeFillShade="F2"/>
          </w:tcPr>
          <w:p w:rsidR="004659AD" w:rsidRPr="00642432" w:rsidRDefault="004659AD" w:rsidP="00454D07">
            <w:pPr>
              <w:pStyle w:val="TableText"/>
              <w:tabs>
                <w:tab w:val="decimal" w:pos="1311"/>
              </w:tabs>
            </w:pPr>
            <w:r w:rsidRPr="00642432">
              <w:t>2341</w:t>
            </w:r>
          </w:p>
        </w:tc>
        <w:tc>
          <w:tcPr>
            <w:tcW w:w="2552" w:type="dxa"/>
            <w:tcBorders>
              <w:top w:val="nil"/>
              <w:bottom w:val="single" w:sz="4" w:space="0" w:color="auto"/>
            </w:tcBorders>
            <w:shd w:val="clear" w:color="auto" w:fill="F2F2F2" w:themeFill="background1" w:themeFillShade="F2"/>
          </w:tcPr>
          <w:p w:rsidR="004659AD" w:rsidRPr="00642432" w:rsidRDefault="004659AD" w:rsidP="00454D07">
            <w:pPr>
              <w:pStyle w:val="TableText"/>
              <w:tabs>
                <w:tab w:val="decimal" w:pos="1033"/>
              </w:tabs>
            </w:pPr>
            <w:r w:rsidRPr="00642432">
              <w:t>9 (1–52)</w:t>
            </w:r>
          </w:p>
        </w:tc>
      </w:tr>
    </w:tbl>
    <w:p w:rsidR="004659AD" w:rsidRPr="00D67286" w:rsidRDefault="004659AD" w:rsidP="00D67286">
      <w:pPr>
        <w:pStyle w:val="Note"/>
        <w:pBdr>
          <w:bottom w:val="none" w:sz="0" w:space="0" w:color="auto"/>
        </w:pBdr>
        <w:ind w:left="0" w:right="0" w:firstLine="0"/>
        <w:rPr>
          <w:spacing w:val="-2"/>
        </w:rPr>
      </w:pPr>
      <w:r w:rsidRPr="00D67286">
        <w:rPr>
          <w:spacing w:val="-2"/>
        </w:rPr>
        <w:t>Notes: This</w:t>
      </w:r>
      <w:r w:rsidR="00D32DDD" w:rsidRPr="00D67286">
        <w:rPr>
          <w:spacing w:val="-2"/>
        </w:rPr>
        <w:t xml:space="preserve"> </w:t>
      </w:r>
      <w:r w:rsidRPr="00D67286">
        <w:rPr>
          <w:spacing w:val="-2"/>
        </w:rPr>
        <w:t>table does not include ECT figures for individuals receiving treatment with health services for older people in the Central and Southern regions. Health services for older people in these regions do not report to PRIMHD.</w:t>
      </w:r>
    </w:p>
    <w:p w:rsidR="004659AD" w:rsidRPr="00642432" w:rsidRDefault="004659AD" w:rsidP="00D67286">
      <w:pPr>
        <w:pStyle w:val="Note"/>
        <w:pBdr>
          <w:bottom w:val="none" w:sz="0" w:space="0" w:color="auto"/>
        </w:pBdr>
        <w:ind w:right="0"/>
      </w:pPr>
      <w:r w:rsidRPr="00642432">
        <w:t>In 2013, 16 people were</w:t>
      </w:r>
      <w:r w:rsidR="00D32DDD" w:rsidRPr="00642432">
        <w:t xml:space="preserve"> </w:t>
      </w:r>
      <w:r w:rsidRPr="00642432">
        <w:t>seen out</w:t>
      </w:r>
      <w:r w:rsidR="00D32DDD" w:rsidRPr="00642432">
        <w:t xml:space="preserve"> </w:t>
      </w:r>
      <w:r w:rsidRPr="00642432">
        <w:t>of area:</w:t>
      </w:r>
    </w:p>
    <w:p w:rsidR="004659AD" w:rsidRPr="00D67286" w:rsidRDefault="004659AD" w:rsidP="00D67286">
      <w:pPr>
        <w:pStyle w:val="Bullet"/>
        <w:spacing w:before="30"/>
        <w:rPr>
          <w:rFonts w:ascii="Arial" w:hAnsi="Arial" w:cs="Arial"/>
          <w:sz w:val="18"/>
          <w:szCs w:val="18"/>
        </w:rPr>
      </w:pPr>
      <w:r w:rsidRPr="00D67286">
        <w:rPr>
          <w:rFonts w:ascii="Arial" w:hAnsi="Arial" w:cs="Arial"/>
          <w:sz w:val="18"/>
          <w:szCs w:val="18"/>
        </w:rPr>
        <w:t>Auckland DHB saw one</w:t>
      </w:r>
      <w:r w:rsidR="00D32DDD" w:rsidRPr="00D67286">
        <w:rPr>
          <w:rFonts w:ascii="Arial" w:hAnsi="Arial" w:cs="Arial"/>
          <w:sz w:val="18"/>
          <w:szCs w:val="18"/>
        </w:rPr>
        <w:t xml:space="preserve"> </w:t>
      </w:r>
      <w:r w:rsidRPr="00D67286">
        <w:rPr>
          <w:rFonts w:ascii="Arial" w:hAnsi="Arial" w:cs="Arial"/>
          <w:sz w:val="18"/>
          <w:szCs w:val="18"/>
        </w:rPr>
        <w:t>person from Waitemata</w:t>
      </w:r>
    </w:p>
    <w:p w:rsidR="004659AD" w:rsidRPr="00D67286" w:rsidRDefault="004659AD" w:rsidP="00D67286">
      <w:pPr>
        <w:pStyle w:val="Bullet"/>
        <w:spacing w:before="30"/>
        <w:rPr>
          <w:rFonts w:ascii="Arial" w:hAnsi="Arial" w:cs="Arial"/>
          <w:sz w:val="18"/>
          <w:szCs w:val="18"/>
        </w:rPr>
      </w:pPr>
      <w:r w:rsidRPr="00D67286">
        <w:rPr>
          <w:rFonts w:ascii="Arial" w:hAnsi="Arial" w:cs="Arial"/>
          <w:sz w:val="18"/>
          <w:szCs w:val="18"/>
        </w:rPr>
        <w:t>Canterbury DHB saw two people from South Canterbury, one from Waitemata and three from</w:t>
      </w:r>
      <w:r w:rsidR="00D67286" w:rsidRPr="00D67286">
        <w:rPr>
          <w:rFonts w:ascii="Arial" w:hAnsi="Arial" w:cs="Arial"/>
          <w:sz w:val="18"/>
          <w:szCs w:val="18"/>
        </w:rPr>
        <w:t xml:space="preserve"> </w:t>
      </w:r>
      <w:r w:rsidRPr="00D67286">
        <w:rPr>
          <w:rFonts w:ascii="Arial" w:hAnsi="Arial" w:cs="Arial"/>
          <w:sz w:val="18"/>
          <w:szCs w:val="18"/>
        </w:rPr>
        <w:t>West Coast</w:t>
      </w:r>
    </w:p>
    <w:p w:rsidR="004659AD" w:rsidRPr="00D67286" w:rsidRDefault="004659AD" w:rsidP="00D67286">
      <w:pPr>
        <w:pStyle w:val="Bullet"/>
        <w:spacing w:before="30"/>
        <w:rPr>
          <w:rFonts w:ascii="Arial" w:hAnsi="Arial" w:cs="Arial"/>
          <w:sz w:val="18"/>
          <w:szCs w:val="18"/>
        </w:rPr>
      </w:pPr>
      <w:r w:rsidRPr="00D67286">
        <w:rPr>
          <w:rFonts w:ascii="Arial" w:hAnsi="Arial" w:cs="Arial"/>
          <w:sz w:val="18"/>
          <w:szCs w:val="18"/>
        </w:rPr>
        <w:t>Counties Manukau DHB saw three people from Auckland</w:t>
      </w:r>
    </w:p>
    <w:p w:rsidR="004659AD" w:rsidRPr="00D67286" w:rsidRDefault="004659AD" w:rsidP="00D67286">
      <w:pPr>
        <w:pStyle w:val="Bullet"/>
        <w:spacing w:before="30"/>
        <w:rPr>
          <w:rFonts w:ascii="Arial" w:hAnsi="Arial" w:cs="Arial"/>
          <w:sz w:val="18"/>
          <w:szCs w:val="18"/>
        </w:rPr>
      </w:pPr>
      <w:r w:rsidRPr="00D67286">
        <w:rPr>
          <w:rFonts w:ascii="Arial" w:hAnsi="Arial" w:cs="Arial"/>
          <w:sz w:val="18"/>
          <w:szCs w:val="18"/>
        </w:rPr>
        <w:t>Hutt Valley</w:t>
      </w:r>
      <w:r w:rsidR="00D32DDD" w:rsidRPr="00D67286">
        <w:rPr>
          <w:rFonts w:ascii="Arial" w:hAnsi="Arial" w:cs="Arial"/>
          <w:sz w:val="18"/>
          <w:szCs w:val="18"/>
        </w:rPr>
        <w:t xml:space="preserve"> </w:t>
      </w:r>
      <w:r w:rsidRPr="00D67286">
        <w:rPr>
          <w:rFonts w:ascii="Arial" w:hAnsi="Arial" w:cs="Arial"/>
          <w:sz w:val="18"/>
          <w:szCs w:val="18"/>
        </w:rPr>
        <w:t>DHB saw one</w:t>
      </w:r>
      <w:r w:rsidR="00D32DDD" w:rsidRPr="00D67286">
        <w:rPr>
          <w:rFonts w:ascii="Arial" w:hAnsi="Arial" w:cs="Arial"/>
          <w:sz w:val="18"/>
          <w:szCs w:val="18"/>
        </w:rPr>
        <w:t xml:space="preserve"> </w:t>
      </w:r>
      <w:r w:rsidRPr="00D67286">
        <w:rPr>
          <w:rFonts w:ascii="Arial" w:hAnsi="Arial" w:cs="Arial"/>
          <w:sz w:val="18"/>
          <w:szCs w:val="18"/>
        </w:rPr>
        <w:t>person from Capital &amp; Coast and one</w:t>
      </w:r>
      <w:r w:rsidR="00D32DDD" w:rsidRPr="00D67286">
        <w:rPr>
          <w:rFonts w:ascii="Arial" w:hAnsi="Arial" w:cs="Arial"/>
          <w:sz w:val="18"/>
          <w:szCs w:val="18"/>
        </w:rPr>
        <w:t xml:space="preserve"> </w:t>
      </w:r>
      <w:r w:rsidRPr="00D67286">
        <w:rPr>
          <w:rFonts w:ascii="Arial" w:hAnsi="Arial" w:cs="Arial"/>
          <w:sz w:val="18"/>
          <w:szCs w:val="18"/>
        </w:rPr>
        <w:t>from Wairarapa</w:t>
      </w:r>
    </w:p>
    <w:p w:rsidR="004659AD" w:rsidRPr="00D67286" w:rsidRDefault="004659AD" w:rsidP="00D67286">
      <w:pPr>
        <w:pStyle w:val="Bullet"/>
        <w:spacing w:before="30"/>
        <w:rPr>
          <w:rFonts w:ascii="Arial" w:hAnsi="Arial" w:cs="Arial"/>
          <w:sz w:val="18"/>
          <w:szCs w:val="18"/>
        </w:rPr>
      </w:pPr>
      <w:r w:rsidRPr="00D67286">
        <w:rPr>
          <w:rFonts w:ascii="Arial" w:hAnsi="Arial" w:cs="Arial"/>
          <w:sz w:val="18"/>
          <w:szCs w:val="18"/>
        </w:rPr>
        <w:t>MidCentral DHB saw one</w:t>
      </w:r>
      <w:r w:rsidR="00D32DDD" w:rsidRPr="00D67286">
        <w:rPr>
          <w:rFonts w:ascii="Arial" w:hAnsi="Arial" w:cs="Arial"/>
          <w:sz w:val="18"/>
          <w:szCs w:val="18"/>
        </w:rPr>
        <w:t xml:space="preserve"> </w:t>
      </w:r>
      <w:r w:rsidRPr="00D67286">
        <w:rPr>
          <w:rFonts w:ascii="Arial" w:hAnsi="Arial" w:cs="Arial"/>
          <w:sz w:val="18"/>
          <w:szCs w:val="18"/>
        </w:rPr>
        <w:t>person from Whanganui</w:t>
      </w:r>
    </w:p>
    <w:p w:rsidR="004659AD" w:rsidRPr="00D67286" w:rsidRDefault="004659AD" w:rsidP="00D67286">
      <w:pPr>
        <w:pStyle w:val="Bullet"/>
        <w:spacing w:before="30"/>
        <w:rPr>
          <w:rFonts w:ascii="Arial" w:hAnsi="Arial" w:cs="Arial"/>
          <w:sz w:val="18"/>
          <w:szCs w:val="18"/>
        </w:rPr>
      </w:pPr>
      <w:r w:rsidRPr="00D67286">
        <w:rPr>
          <w:rFonts w:ascii="Arial" w:hAnsi="Arial" w:cs="Arial"/>
          <w:sz w:val="18"/>
          <w:szCs w:val="18"/>
        </w:rPr>
        <w:t>Northland DHB saw one</w:t>
      </w:r>
      <w:r w:rsidR="00D32DDD" w:rsidRPr="00D67286">
        <w:rPr>
          <w:rFonts w:ascii="Arial" w:hAnsi="Arial" w:cs="Arial"/>
          <w:sz w:val="18"/>
          <w:szCs w:val="18"/>
        </w:rPr>
        <w:t xml:space="preserve"> </w:t>
      </w:r>
      <w:r w:rsidRPr="00D67286">
        <w:rPr>
          <w:rFonts w:ascii="Arial" w:hAnsi="Arial" w:cs="Arial"/>
          <w:sz w:val="18"/>
          <w:szCs w:val="18"/>
        </w:rPr>
        <w:t>person from an unknown area</w:t>
      </w:r>
    </w:p>
    <w:p w:rsidR="004659AD" w:rsidRPr="00D67286" w:rsidRDefault="004659AD" w:rsidP="00D67286">
      <w:pPr>
        <w:pStyle w:val="Bullet"/>
        <w:spacing w:before="30"/>
        <w:rPr>
          <w:rFonts w:ascii="Arial" w:hAnsi="Arial" w:cs="Arial"/>
          <w:sz w:val="18"/>
          <w:szCs w:val="18"/>
        </w:rPr>
      </w:pPr>
      <w:r w:rsidRPr="00D67286">
        <w:rPr>
          <w:rFonts w:ascii="Arial" w:hAnsi="Arial" w:cs="Arial"/>
          <w:sz w:val="18"/>
          <w:szCs w:val="18"/>
        </w:rPr>
        <w:t>Southern DHB saw one</w:t>
      </w:r>
      <w:r w:rsidR="00D32DDD" w:rsidRPr="00D67286">
        <w:rPr>
          <w:rFonts w:ascii="Arial" w:hAnsi="Arial" w:cs="Arial"/>
          <w:sz w:val="18"/>
          <w:szCs w:val="18"/>
        </w:rPr>
        <w:t xml:space="preserve"> </w:t>
      </w:r>
      <w:r w:rsidRPr="00D67286">
        <w:rPr>
          <w:rFonts w:ascii="Arial" w:hAnsi="Arial" w:cs="Arial"/>
          <w:sz w:val="18"/>
          <w:szCs w:val="18"/>
        </w:rPr>
        <w:t>person from Nelson Marlborough</w:t>
      </w:r>
    </w:p>
    <w:p w:rsidR="004659AD" w:rsidRPr="00D67286" w:rsidRDefault="00D67286" w:rsidP="00D67286">
      <w:pPr>
        <w:pStyle w:val="Bullet"/>
        <w:spacing w:before="30"/>
        <w:rPr>
          <w:rFonts w:ascii="Arial" w:hAnsi="Arial" w:cs="Arial"/>
          <w:sz w:val="18"/>
          <w:szCs w:val="18"/>
        </w:rPr>
      </w:pPr>
      <w:r w:rsidRPr="00D67286">
        <w:rPr>
          <w:rFonts w:ascii="Arial" w:hAnsi="Arial" w:cs="Arial"/>
          <w:sz w:val="18"/>
          <w:szCs w:val="18"/>
        </w:rPr>
        <w:t>W</w:t>
      </w:r>
      <w:r w:rsidR="004659AD" w:rsidRPr="00D67286">
        <w:rPr>
          <w:rFonts w:ascii="Arial" w:hAnsi="Arial" w:cs="Arial"/>
          <w:sz w:val="18"/>
          <w:szCs w:val="18"/>
        </w:rPr>
        <w:t>aikato DHB saw one</w:t>
      </w:r>
      <w:r w:rsidR="00D32DDD" w:rsidRPr="00D67286">
        <w:rPr>
          <w:rFonts w:ascii="Arial" w:hAnsi="Arial" w:cs="Arial"/>
          <w:sz w:val="18"/>
          <w:szCs w:val="18"/>
        </w:rPr>
        <w:t xml:space="preserve"> </w:t>
      </w:r>
      <w:r w:rsidR="004659AD" w:rsidRPr="00D67286">
        <w:rPr>
          <w:rFonts w:ascii="Arial" w:hAnsi="Arial" w:cs="Arial"/>
          <w:sz w:val="18"/>
          <w:szCs w:val="18"/>
        </w:rPr>
        <w:t>person from Lakes.</w:t>
      </w:r>
    </w:p>
    <w:p w:rsidR="004659AD" w:rsidRPr="00642432" w:rsidRDefault="004659AD" w:rsidP="00D67286">
      <w:pPr>
        <w:pStyle w:val="Note"/>
        <w:ind w:left="0" w:right="0" w:firstLine="0"/>
      </w:pPr>
      <w:r w:rsidRPr="00642432">
        <w:t>If a person was seen while living in two DHB areas, they were</w:t>
      </w:r>
      <w:r w:rsidR="00D32DDD" w:rsidRPr="00642432">
        <w:t xml:space="preserve"> </w:t>
      </w:r>
      <w:r w:rsidRPr="00642432">
        <w:t>counted twice. The New Zealand total of 253 is a unique count and not a sum of this column in the table as the New Zealand total excludes individuals who</w:t>
      </w:r>
      <w:r w:rsidR="00D32DDD" w:rsidRPr="00642432">
        <w:t xml:space="preserve"> </w:t>
      </w:r>
      <w:r w:rsidRPr="00642432">
        <w:t>were</w:t>
      </w:r>
      <w:r w:rsidR="00D32DDD" w:rsidRPr="00642432">
        <w:t xml:space="preserve"> </w:t>
      </w:r>
      <w:r w:rsidRPr="00642432">
        <w:t>counted by more than one</w:t>
      </w:r>
      <w:r w:rsidR="00D32DDD" w:rsidRPr="00642432">
        <w:t xml:space="preserve"> </w:t>
      </w:r>
      <w:r w:rsidRPr="00642432">
        <w:t>DHB.</w:t>
      </w:r>
    </w:p>
    <w:p w:rsidR="004659AD" w:rsidRPr="00642432" w:rsidRDefault="004659AD" w:rsidP="00EE5FE6">
      <w:pPr>
        <w:pStyle w:val="Source"/>
        <w:ind w:left="0" w:right="0" w:firstLine="0"/>
      </w:pPr>
      <w:r w:rsidRPr="00642432">
        <w:t>Source: PRIMHD data, extracted on 8 July 2014 except for Hawke’s Bay which provided manual data</w:t>
      </w:r>
      <w:r w:rsidR="00EE5FE6">
        <w:t>.</w:t>
      </w:r>
    </w:p>
    <w:p w:rsidR="004659AD" w:rsidRPr="00642432" w:rsidRDefault="004659AD" w:rsidP="00EE5FE6"/>
    <w:p w:rsidR="004659AD" w:rsidRPr="00642432" w:rsidRDefault="004659AD" w:rsidP="00EE5FE6">
      <w:r w:rsidRPr="00642432">
        <w:t>The rate of people treated with ECT by DHB of domicile is presented in Figure 22. The national rate of people receiving ECT treatment was 5.7 per 100,000 in 2013.</w:t>
      </w:r>
    </w:p>
    <w:p w:rsidR="004659AD" w:rsidRPr="00642432" w:rsidRDefault="004659AD" w:rsidP="008069AE"/>
    <w:p w:rsidR="004659AD" w:rsidRPr="00642432" w:rsidRDefault="004659AD" w:rsidP="008069AE">
      <w:pPr>
        <w:keepLines/>
      </w:pPr>
      <w:r w:rsidRPr="00642432">
        <w:t>As Figure 22 shows, the</w:t>
      </w:r>
      <w:r w:rsidR="00D32DDD" w:rsidRPr="00642432">
        <w:t xml:space="preserve"> </w:t>
      </w:r>
      <w:r w:rsidRPr="00642432">
        <w:t>rate of ECT treatments given varies regionally. Several factors contribute to such variation. First, regions with smaller populations will be more vulnerable to annual variations (according to the</w:t>
      </w:r>
      <w:r w:rsidR="00D32DDD" w:rsidRPr="00642432">
        <w:t xml:space="preserve"> </w:t>
      </w:r>
      <w:r w:rsidRPr="00642432">
        <w:t>needs of the</w:t>
      </w:r>
      <w:r w:rsidR="00D32DDD" w:rsidRPr="00642432">
        <w:t xml:space="preserve"> </w:t>
      </w:r>
      <w:r w:rsidRPr="00642432">
        <w:t>population at any given time). In addition, people receiving continuous or maintenance treatment will typically receive more treatments in a year</w:t>
      </w:r>
      <w:r w:rsidR="00D32DDD" w:rsidRPr="00642432">
        <w:t xml:space="preserve"> </w:t>
      </w:r>
      <w:r w:rsidRPr="00642432">
        <w:t>than those treated with an acute course. ECT is indicated in older people more often than in younger adults because older people are more likely</w:t>
      </w:r>
      <w:r w:rsidR="00D32DDD" w:rsidRPr="00642432">
        <w:t xml:space="preserve"> </w:t>
      </w:r>
      <w:r w:rsidRPr="00642432">
        <w:t>to have associated medical problems contraindicating medication. Finally, populations in some DHBs have better access to ECT services than others, which is likely</w:t>
      </w:r>
      <w:r w:rsidR="00D32DDD" w:rsidRPr="00642432">
        <w:t xml:space="preserve"> </w:t>
      </w:r>
      <w:r w:rsidRPr="00642432">
        <w:t>to influence the</w:t>
      </w:r>
      <w:r w:rsidR="00D32DDD" w:rsidRPr="00642432">
        <w:t xml:space="preserve"> </w:t>
      </w:r>
      <w:r w:rsidRPr="00642432">
        <w:t>rates of use.</w:t>
      </w:r>
    </w:p>
    <w:p w:rsidR="004659AD" w:rsidRPr="00642432" w:rsidRDefault="004659AD" w:rsidP="008069AE"/>
    <w:p w:rsidR="004659AD" w:rsidRPr="00642432" w:rsidRDefault="004659AD" w:rsidP="008069AE">
      <w:pPr>
        <w:pStyle w:val="Figure"/>
      </w:pPr>
      <w:bookmarkStart w:id="56" w:name="_Toc405113776"/>
      <w:r w:rsidRPr="00642432">
        <w:t>Figure 22: Rate of people treated with ECT, by DHB of domicile, 1 January to 31 December 2013</w:t>
      </w:r>
      <w:bookmarkEnd w:id="56"/>
    </w:p>
    <w:p w:rsidR="004659AD" w:rsidRPr="00642432" w:rsidRDefault="008069AE" w:rsidP="008069AE">
      <w:r w:rsidRPr="008069AE">
        <w:rPr>
          <w:noProof/>
          <w:lang w:eastAsia="en-NZ"/>
        </w:rPr>
        <w:drawing>
          <wp:inline distT="0" distB="0" distL="0" distR="0" wp14:anchorId="12BF12BD" wp14:editId="473E8D83">
            <wp:extent cx="4904509" cy="2706659"/>
            <wp:effectExtent l="0" t="0" r="0" b="0"/>
            <wp:docPr id="5516" name="Picture 5516" title="Figure 22: Rate of people treated with ECT, by DHB of domicile, 1 January to 31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grayscl/>
                    </a:blip>
                    <a:stretch>
                      <a:fillRect/>
                    </a:stretch>
                  </pic:blipFill>
                  <pic:spPr>
                    <a:xfrm>
                      <a:off x="0" y="0"/>
                      <a:ext cx="4903729" cy="2706229"/>
                    </a:xfrm>
                    <a:prstGeom prst="rect">
                      <a:avLst/>
                    </a:prstGeom>
                  </pic:spPr>
                </pic:pic>
              </a:graphicData>
            </a:graphic>
          </wp:inline>
        </w:drawing>
      </w:r>
    </w:p>
    <w:p w:rsidR="004659AD" w:rsidRPr="00642432" w:rsidRDefault="004659AD" w:rsidP="008069AE">
      <w:pPr>
        <w:pStyle w:val="Note"/>
        <w:ind w:left="0" w:firstLine="0"/>
      </w:pPr>
      <w:r w:rsidRPr="00642432">
        <w:t>Note:</w:t>
      </w:r>
      <w:r w:rsidR="00D32DDD" w:rsidRPr="00642432">
        <w:t xml:space="preserve"> </w:t>
      </w:r>
      <w:r w:rsidRPr="00642432">
        <w:t>Confidence intervals (for 99 percent confidence) have been used to aid interpretation. Where a DHB region’s confidence interval crosses the national average, this means the DHB’s rate was not statistically significantly different to the national average.</w:t>
      </w:r>
    </w:p>
    <w:p w:rsidR="004659AD" w:rsidRPr="00642432" w:rsidRDefault="004659AD" w:rsidP="008069AE">
      <w:pPr>
        <w:pStyle w:val="Note"/>
        <w:ind w:left="0" w:firstLine="0"/>
      </w:pPr>
      <w:r w:rsidRPr="00642432">
        <w:t>As the numbers of people receiving ECT by DHB are so small, it is difficult to make meaningful comparisons between DHBs as rates per 100,000 population.</w:t>
      </w:r>
    </w:p>
    <w:p w:rsidR="004659AD" w:rsidRPr="00642432" w:rsidRDefault="004659AD" w:rsidP="008069AE">
      <w:pPr>
        <w:pStyle w:val="Source"/>
        <w:ind w:left="0" w:firstLine="0"/>
      </w:pPr>
      <w:r w:rsidRPr="00642432">
        <w:t>Source: PRIMHD data, extracted on 8 July 2014 except for Hawke’s Bay which provided manual data</w:t>
      </w:r>
      <w:r w:rsidR="008069AE">
        <w:t>.</w:t>
      </w:r>
    </w:p>
    <w:p w:rsidR="004659AD" w:rsidRPr="00642432" w:rsidRDefault="004659AD" w:rsidP="008069AE"/>
    <w:p w:rsidR="004659AD" w:rsidRPr="00642432" w:rsidRDefault="004659AD" w:rsidP="008069AE">
      <w:pPr>
        <w:pStyle w:val="Heading3"/>
      </w:pPr>
      <w:r w:rsidRPr="00642432">
        <w:t>Consent to treatment</w:t>
      </w:r>
    </w:p>
    <w:p w:rsidR="004659AD" w:rsidRPr="00642432" w:rsidRDefault="004659AD" w:rsidP="008069AE">
      <w:r w:rsidRPr="00642432">
        <w:t>Section 60 of the Mental Health Act describes the process required for obtaining consent for ECT. Either the person’s consent or a second opinion from a psychiatrist appointed by the Mental Health Review Tribunal is required.</w:t>
      </w:r>
      <w:r w:rsidR="008069AE">
        <w:rPr>
          <w:rStyle w:val="FootnoteReference"/>
        </w:rPr>
        <w:footnoteReference w:id="17"/>
      </w:r>
      <w:r w:rsidR="008069AE">
        <w:t xml:space="preserve"> </w:t>
      </w:r>
      <w:r w:rsidRPr="00642432">
        <w:t>In the latter case, the treatment must be considered to be in the interests of the person.</w:t>
      </w:r>
    </w:p>
    <w:p w:rsidR="004659AD" w:rsidRPr="00642432" w:rsidRDefault="004659AD" w:rsidP="008069AE"/>
    <w:p w:rsidR="004659AD" w:rsidRPr="008069AE" w:rsidRDefault="004659AD" w:rsidP="008069AE">
      <w:r w:rsidRPr="00642432">
        <w:t>This</w:t>
      </w:r>
      <w:r w:rsidR="00D32DDD" w:rsidRPr="00642432">
        <w:t xml:space="preserve"> </w:t>
      </w:r>
      <w:r w:rsidRPr="00642432">
        <w:t>process allows for the treatment of people too unwell to consent to treatment. Clinicians are advised to make the decision about whether ECT is in the interests of the person after discussing</w:t>
      </w:r>
      <w:r w:rsidR="008069AE">
        <w:t xml:space="preserve"> </w:t>
      </w:r>
      <w:r w:rsidRPr="00642432">
        <w:t>the options with family and whānau and considering any</w:t>
      </w:r>
      <w:r w:rsidR="00D32DDD" w:rsidRPr="00642432">
        <w:t xml:space="preserve"> </w:t>
      </w:r>
      <w:r w:rsidRPr="00642432">
        <w:t>relevant advance directives the person has made.</w:t>
      </w:r>
      <w:r w:rsidR="008069AE">
        <w:rPr>
          <w:rStyle w:val="FootnoteReference"/>
        </w:rPr>
        <w:footnoteReference w:id="18"/>
      </w:r>
    </w:p>
    <w:p w:rsidR="004659AD" w:rsidRPr="00642432" w:rsidRDefault="004659AD" w:rsidP="008069AE"/>
    <w:p w:rsidR="004659AD" w:rsidRPr="00014AFF" w:rsidRDefault="004659AD" w:rsidP="008069AE">
      <w:pPr>
        <w:rPr>
          <w:spacing w:val="-2"/>
        </w:rPr>
      </w:pPr>
      <w:r w:rsidRPr="00014AFF">
        <w:rPr>
          <w:spacing w:val="-2"/>
        </w:rPr>
        <w:t>During 2013 six people were</w:t>
      </w:r>
      <w:r w:rsidR="00D32DDD" w:rsidRPr="00014AFF">
        <w:rPr>
          <w:spacing w:val="-2"/>
        </w:rPr>
        <w:t xml:space="preserve"> </w:t>
      </w:r>
      <w:r w:rsidRPr="00014AFF">
        <w:rPr>
          <w:spacing w:val="-2"/>
        </w:rPr>
        <w:t>treated with ECT who</w:t>
      </w:r>
      <w:r w:rsidR="00D32DDD" w:rsidRPr="00014AFF">
        <w:rPr>
          <w:spacing w:val="-2"/>
        </w:rPr>
        <w:t xml:space="preserve"> </w:t>
      </w:r>
      <w:r w:rsidRPr="00014AFF">
        <w:rPr>
          <w:spacing w:val="-2"/>
        </w:rPr>
        <w:t>retained decision-making capacity and refused consent. Table 8 shows the number of treatments administered without consent during 2013.</w:t>
      </w:r>
    </w:p>
    <w:p w:rsidR="004659AD" w:rsidRPr="00642432" w:rsidRDefault="004659AD" w:rsidP="008069AE"/>
    <w:p w:rsidR="004659AD" w:rsidRPr="00642432" w:rsidRDefault="004659AD" w:rsidP="008069AE">
      <w:pPr>
        <w:pStyle w:val="Table"/>
      </w:pPr>
      <w:bookmarkStart w:id="57" w:name="_Toc405113688"/>
      <w:r w:rsidRPr="00642432">
        <w:t>Table 8: ECT not consented to, by DHB of service, 1 January to 31 December 2013</w:t>
      </w:r>
      <w:bookmarkEnd w:id="57"/>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985"/>
        <w:gridCol w:w="2457"/>
        <w:gridCol w:w="2457"/>
        <w:gridCol w:w="2457"/>
      </w:tblGrid>
      <w:tr w:rsidR="008069AE" w:rsidRPr="008069AE" w:rsidTr="008069AE">
        <w:trPr>
          <w:cantSplit/>
        </w:trPr>
        <w:tc>
          <w:tcPr>
            <w:tcW w:w="1985" w:type="dxa"/>
            <w:tcBorders>
              <w:top w:val="single" w:sz="4" w:space="0" w:color="auto"/>
              <w:bottom w:val="single" w:sz="4" w:space="0" w:color="auto"/>
            </w:tcBorders>
            <w:shd w:val="clear" w:color="auto" w:fill="F2F2F2" w:themeFill="background1" w:themeFillShade="F2"/>
          </w:tcPr>
          <w:p w:rsidR="008069AE" w:rsidRPr="008069AE" w:rsidRDefault="008069AE" w:rsidP="008069AE">
            <w:pPr>
              <w:pStyle w:val="TableText"/>
              <w:rPr>
                <w:b/>
              </w:rPr>
            </w:pPr>
            <w:r w:rsidRPr="008069AE">
              <w:rPr>
                <w:b/>
              </w:rPr>
              <w:t>DHB of service</w:t>
            </w:r>
          </w:p>
        </w:tc>
        <w:tc>
          <w:tcPr>
            <w:tcW w:w="2457" w:type="dxa"/>
            <w:tcBorders>
              <w:top w:val="single" w:sz="4" w:space="0" w:color="auto"/>
              <w:bottom w:val="single" w:sz="4" w:space="0" w:color="auto"/>
            </w:tcBorders>
            <w:shd w:val="clear" w:color="auto" w:fill="F2F2F2" w:themeFill="background1" w:themeFillShade="F2"/>
          </w:tcPr>
          <w:p w:rsidR="008069AE" w:rsidRPr="008069AE" w:rsidRDefault="008069AE" w:rsidP="008069AE">
            <w:pPr>
              <w:pStyle w:val="TableText"/>
              <w:jc w:val="center"/>
              <w:rPr>
                <w:b/>
              </w:rPr>
            </w:pPr>
            <w:r w:rsidRPr="008069AE">
              <w:rPr>
                <w:b/>
              </w:rPr>
              <w:t>Number of people given ECT who did have the capa</w:t>
            </w:r>
            <w:r>
              <w:rPr>
                <w:b/>
              </w:rPr>
              <w:t>c</w:t>
            </w:r>
            <w:r w:rsidRPr="008069AE">
              <w:rPr>
                <w:b/>
              </w:rPr>
              <w:t>ity to consent</w:t>
            </w:r>
          </w:p>
        </w:tc>
        <w:tc>
          <w:tcPr>
            <w:tcW w:w="2457" w:type="dxa"/>
            <w:tcBorders>
              <w:top w:val="single" w:sz="4" w:space="0" w:color="auto"/>
              <w:bottom w:val="single" w:sz="4" w:space="0" w:color="auto"/>
            </w:tcBorders>
            <w:shd w:val="clear" w:color="auto" w:fill="F2F2F2" w:themeFill="background1" w:themeFillShade="F2"/>
          </w:tcPr>
          <w:p w:rsidR="008069AE" w:rsidRPr="008069AE" w:rsidRDefault="008069AE" w:rsidP="008069AE">
            <w:pPr>
              <w:pStyle w:val="TableText"/>
              <w:jc w:val="center"/>
              <w:rPr>
                <w:b/>
              </w:rPr>
            </w:pPr>
            <w:r w:rsidRPr="008069AE">
              <w:rPr>
                <w:b/>
              </w:rPr>
              <w:t>Number of</w:t>
            </w:r>
            <w:r>
              <w:rPr>
                <w:b/>
              </w:rPr>
              <w:br/>
            </w:r>
            <w:r w:rsidRPr="008069AE">
              <w:rPr>
                <w:b/>
              </w:rPr>
              <w:t>administrations not</w:t>
            </w:r>
            <w:r>
              <w:rPr>
                <w:b/>
              </w:rPr>
              <w:br/>
            </w:r>
            <w:r w:rsidRPr="008069AE">
              <w:rPr>
                <w:b/>
              </w:rPr>
              <w:t>able to be consented to</w:t>
            </w:r>
          </w:p>
        </w:tc>
        <w:tc>
          <w:tcPr>
            <w:tcW w:w="2457" w:type="dxa"/>
            <w:tcBorders>
              <w:top w:val="single" w:sz="4" w:space="0" w:color="auto"/>
              <w:bottom w:val="single" w:sz="4" w:space="0" w:color="auto"/>
            </w:tcBorders>
            <w:shd w:val="clear" w:color="auto" w:fill="F2F2F2" w:themeFill="background1" w:themeFillShade="F2"/>
          </w:tcPr>
          <w:p w:rsidR="008069AE" w:rsidRPr="008069AE" w:rsidRDefault="008069AE" w:rsidP="008069AE">
            <w:pPr>
              <w:pStyle w:val="TableText"/>
              <w:jc w:val="center"/>
              <w:rPr>
                <w:b/>
              </w:rPr>
            </w:pPr>
            <w:r w:rsidRPr="008069AE">
              <w:rPr>
                <w:b/>
              </w:rPr>
              <w:t>Number of people given ECT who had capacity and refused consent</w:t>
            </w:r>
          </w:p>
        </w:tc>
      </w:tr>
      <w:tr w:rsidR="004659AD" w:rsidRPr="00642432" w:rsidTr="008069AE">
        <w:trPr>
          <w:cantSplit/>
        </w:trPr>
        <w:tc>
          <w:tcPr>
            <w:tcW w:w="1985" w:type="dxa"/>
            <w:tcBorders>
              <w:top w:val="single" w:sz="4" w:space="0" w:color="auto"/>
              <w:bottom w:val="nil"/>
            </w:tcBorders>
          </w:tcPr>
          <w:p w:rsidR="004659AD" w:rsidRPr="00642432" w:rsidRDefault="004659AD" w:rsidP="008069AE">
            <w:pPr>
              <w:pStyle w:val="TableText"/>
            </w:pPr>
            <w:r w:rsidRPr="00642432">
              <w:t>Auckland</w:t>
            </w:r>
          </w:p>
        </w:tc>
        <w:tc>
          <w:tcPr>
            <w:tcW w:w="2457" w:type="dxa"/>
            <w:tcBorders>
              <w:top w:val="single" w:sz="4" w:space="0" w:color="auto"/>
              <w:bottom w:val="nil"/>
            </w:tcBorders>
          </w:tcPr>
          <w:p w:rsidR="004659AD" w:rsidRPr="00642432" w:rsidRDefault="004659AD" w:rsidP="008069AE">
            <w:pPr>
              <w:pStyle w:val="TableText"/>
              <w:tabs>
                <w:tab w:val="decimal" w:pos="1185"/>
              </w:tabs>
            </w:pPr>
            <w:r w:rsidRPr="00642432">
              <w:t>4</w:t>
            </w:r>
          </w:p>
        </w:tc>
        <w:tc>
          <w:tcPr>
            <w:tcW w:w="2457" w:type="dxa"/>
            <w:tcBorders>
              <w:top w:val="single" w:sz="4" w:space="0" w:color="auto"/>
              <w:bottom w:val="nil"/>
            </w:tcBorders>
          </w:tcPr>
          <w:p w:rsidR="004659AD" w:rsidRPr="00642432" w:rsidRDefault="004659AD" w:rsidP="008069AE">
            <w:pPr>
              <w:pStyle w:val="TableText"/>
              <w:tabs>
                <w:tab w:val="decimal" w:pos="1185"/>
              </w:tabs>
            </w:pPr>
            <w:r w:rsidRPr="00642432">
              <w:t>48</w:t>
            </w:r>
          </w:p>
        </w:tc>
        <w:tc>
          <w:tcPr>
            <w:tcW w:w="2457" w:type="dxa"/>
            <w:tcBorders>
              <w:top w:val="single" w:sz="4" w:space="0" w:color="auto"/>
              <w:bottom w:val="nil"/>
            </w:tcBorders>
          </w:tcPr>
          <w:p w:rsidR="004659AD" w:rsidRPr="00642432" w:rsidRDefault="004659AD" w:rsidP="008069AE">
            <w:pPr>
              <w:pStyle w:val="TableText"/>
              <w:tabs>
                <w:tab w:val="decimal" w:pos="1185"/>
              </w:tabs>
            </w:pPr>
            <w:r w:rsidRPr="00642432">
              <w:t>0</w:t>
            </w:r>
          </w:p>
        </w:tc>
      </w:tr>
      <w:tr w:rsidR="004659AD" w:rsidRPr="00642432" w:rsidTr="008069AE">
        <w:trPr>
          <w:cantSplit/>
        </w:trPr>
        <w:tc>
          <w:tcPr>
            <w:tcW w:w="1985" w:type="dxa"/>
            <w:tcBorders>
              <w:top w:val="nil"/>
              <w:bottom w:val="nil"/>
            </w:tcBorders>
            <w:shd w:val="clear" w:color="auto" w:fill="F2F2F2" w:themeFill="background1" w:themeFillShade="F2"/>
          </w:tcPr>
          <w:p w:rsidR="004659AD" w:rsidRPr="00642432" w:rsidRDefault="004659AD" w:rsidP="008069AE">
            <w:pPr>
              <w:pStyle w:val="TableText"/>
            </w:pPr>
            <w:r w:rsidRPr="00642432">
              <w:t>Bay of Plenty</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4</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50</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r>
      <w:tr w:rsidR="004659AD" w:rsidRPr="00642432" w:rsidTr="008069AE">
        <w:trPr>
          <w:cantSplit/>
        </w:trPr>
        <w:tc>
          <w:tcPr>
            <w:tcW w:w="1985" w:type="dxa"/>
            <w:tcBorders>
              <w:top w:val="nil"/>
              <w:bottom w:val="nil"/>
            </w:tcBorders>
          </w:tcPr>
          <w:p w:rsidR="004659AD" w:rsidRPr="00642432" w:rsidRDefault="004659AD" w:rsidP="008069AE">
            <w:pPr>
              <w:pStyle w:val="TableText"/>
            </w:pPr>
            <w:r w:rsidRPr="00642432">
              <w:t>Canterbury</w:t>
            </w:r>
          </w:p>
        </w:tc>
        <w:tc>
          <w:tcPr>
            <w:tcW w:w="2457" w:type="dxa"/>
            <w:tcBorders>
              <w:top w:val="nil"/>
              <w:bottom w:val="nil"/>
            </w:tcBorders>
          </w:tcPr>
          <w:p w:rsidR="004659AD" w:rsidRPr="00642432" w:rsidRDefault="004659AD" w:rsidP="008069AE">
            <w:pPr>
              <w:pStyle w:val="TableText"/>
              <w:tabs>
                <w:tab w:val="decimal" w:pos="1185"/>
              </w:tabs>
            </w:pPr>
            <w:r w:rsidRPr="00642432">
              <w:t>1</w:t>
            </w:r>
          </w:p>
        </w:tc>
        <w:tc>
          <w:tcPr>
            <w:tcW w:w="2457" w:type="dxa"/>
            <w:tcBorders>
              <w:top w:val="nil"/>
              <w:bottom w:val="nil"/>
            </w:tcBorders>
          </w:tcPr>
          <w:p w:rsidR="004659AD" w:rsidRPr="00642432" w:rsidRDefault="004659AD" w:rsidP="008069AE">
            <w:pPr>
              <w:pStyle w:val="TableText"/>
              <w:tabs>
                <w:tab w:val="decimal" w:pos="1185"/>
              </w:tabs>
            </w:pPr>
            <w:r w:rsidRPr="00642432">
              <w:t>17</w:t>
            </w:r>
          </w:p>
        </w:tc>
        <w:tc>
          <w:tcPr>
            <w:tcW w:w="2457" w:type="dxa"/>
            <w:tcBorders>
              <w:top w:val="nil"/>
              <w:bottom w:val="nil"/>
            </w:tcBorders>
          </w:tcPr>
          <w:p w:rsidR="004659AD" w:rsidRPr="00642432" w:rsidRDefault="004659AD" w:rsidP="008069AE">
            <w:pPr>
              <w:pStyle w:val="TableText"/>
              <w:tabs>
                <w:tab w:val="decimal" w:pos="1185"/>
              </w:tabs>
            </w:pPr>
            <w:r w:rsidRPr="00642432">
              <w:t>3</w:t>
            </w:r>
          </w:p>
        </w:tc>
      </w:tr>
      <w:tr w:rsidR="004659AD" w:rsidRPr="00642432" w:rsidTr="008069AE">
        <w:trPr>
          <w:cantSplit/>
        </w:trPr>
        <w:tc>
          <w:tcPr>
            <w:tcW w:w="1985" w:type="dxa"/>
            <w:tcBorders>
              <w:top w:val="nil"/>
              <w:bottom w:val="nil"/>
            </w:tcBorders>
            <w:shd w:val="clear" w:color="auto" w:fill="F2F2F2" w:themeFill="background1" w:themeFillShade="F2"/>
          </w:tcPr>
          <w:p w:rsidR="004659AD" w:rsidRPr="00642432" w:rsidRDefault="004659AD" w:rsidP="008069AE">
            <w:pPr>
              <w:pStyle w:val="TableText"/>
            </w:pPr>
            <w:r w:rsidRPr="00642432">
              <w:t>Capital &amp; Coast</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2</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17</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r>
      <w:tr w:rsidR="004659AD" w:rsidRPr="00642432" w:rsidTr="008069AE">
        <w:trPr>
          <w:cantSplit/>
        </w:trPr>
        <w:tc>
          <w:tcPr>
            <w:tcW w:w="1985" w:type="dxa"/>
            <w:tcBorders>
              <w:top w:val="nil"/>
              <w:bottom w:val="nil"/>
            </w:tcBorders>
          </w:tcPr>
          <w:p w:rsidR="004659AD" w:rsidRPr="00642432" w:rsidRDefault="004659AD" w:rsidP="008069AE">
            <w:pPr>
              <w:pStyle w:val="TableText"/>
            </w:pPr>
            <w:r w:rsidRPr="00642432">
              <w:t>Counties Manukau</w:t>
            </w:r>
          </w:p>
        </w:tc>
        <w:tc>
          <w:tcPr>
            <w:tcW w:w="2457" w:type="dxa"/>
            <w:tcBorders>
              <w:top w:val="nil"/>
              <w:bottom w:val="nil"/>
            </w:tcBorders>
          </w:tcPr>
          <w:p w:rsidR="004659AD" w:rsidRPr="00642432" w:rsidRDefault="004659AD" w:rsidP="008069AE">
            <w:pPr>
              <w:pStyle w:val="TableText"/>
              <w:tabs>
                <w:tab w:val="decimal" w:pos="1185"/>
              </w:tabs>
            </w:pPr>
            <w:r w:rsidRPr="00642432">
              <w:t>^</w:t>
            </w:r>
          </w:p>
        </w:tc>
        <w:tc>
          <w:tcPr>
            <w:tcW w:w="2457" w:type="dxa"/>
            <w:tcBorders>
              <w:top w:val="nil"/>
              <w:bottom w:val="nil"/>
            </w:tcBorders>
          </w:tcPr>
          <w:p w:rsidR="004659AD" w:rsidRPr="00642432" w:rsidRDefault="004659AD" w:rsidP="008069AE">
            <w:pPr>
              <w:pStyle w:val="TableText"/>
              <w:tabs>
                <w:tab w:val="decimal" w:pos="1185"/>
              </w:tabs>
            </w:pPr>
            <w:r w:rsidRPr="00642432">
              <w:t>^</w:t>
            </w:r>
          </w:p>
        </w:tc>
        <w:tc>
          <w:tcPr>
            <w:tcW w:w="2457" w:type="dxa"/>
            <w:tcBorders>
              <w:top w:val="nil"/>
              <w:bottom w:val="nil"/>
            </w:tcBorders>
          </w:tcPr>
          <w:p w:rsidR="004659AD" w:rsidRPr="00642432" w:rsidRDefault="004659AD" w:rsidP="008069AE">
            <w:pPr>
              <w:pStyle w:val="TableText"/>
              <w:tabs>
                <w:tab w:val="decimal" w:pos="1185"/>
              </w:tabs>
            </w:pPr>
            <w:r w:rsidRPr="00642432">
              <w:t>^</w:t>
            </w:r>
          </w:p>
        </w:tc>
      </w:tr>
      <w:tr w:rsidR="004659AD" w:rsidRPr="00642432" w:rsidTr="008069AE">
        <w:trPr>
          <w:cantSplit/>
        </w:trPr>
        <w:tc>
          <w:tcPr>
            <w:tcW w:w="1985" w:type="dxa"/>
            <w:tcBorders>
              <w:top w:val="nil"/>
              <w:bottom w:val="nil"/>
            </w:tcBorders>
            <w:shd w:val="clear" w:color="auto" w:fill="F2F2F2" w:themeFill="background1" w:themeFillShade="F2"/>
          </w:tcPr>
          <w:p w:rsidR="004659AD" w:rsidRPr="00642432" w:rsidRDefault="004659AD" w:rsidP="008069AE">
            <w:pPr>
              <w:pStyle w:val="TableText"/>
            </w:pPr>
            <w:r w:rsidRPr="00642432">
              <w:t>Hawke’s Bay</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2</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13</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r>
      <w:tr w:rsidR="004659AD" w:rsidRPr="00642432" w:rsidTr="008069AE">
        <w:trPr>
          <w:cantSplit/>
        </w:trPr>
        <w:tc>
          <w:tcPr>
            <w:tcW w:w="1985" w:type="dxa"/>
            <w:tcBorders>
              <w:top w:val="nil"/>
              <w:bottom w:val="nil"/>
            </w:tcBorders>
          </w:tcPr>
          <w:p w:rsidR="004659AD" w:rsidRPr="00642432" w:rsidRDefault="004659AD" w:rsidP="008069AE">
            <w:pPr>
              <w:pStyle w:val="TableText"/>
            </w:pPr>
            <w:r w:rsidRPr="00642432">
              <w:t>Hutt Valley</w:t>
            </w:r>
          </w:p>
        </w:tc>
        <w:tc>
          <w:tcPr>
            <w:tcW w:w="2457" w:type="dxa"/>
            <w:tcBorders>
              <w:top w:val="nil"/>
              <w:bottom w:val="nil"/>
            </w:tcBorders>
          </w:tcPr>
          <w:p w:rsidR="004659AD" w:rsidRPr="00642432" w:rsidRDefault="004659AD" w:rsidP="008069AE">
            <w:pPr>
              <w:pStyle w:val="TableText"/>
              <w:tabs>
                <w:tab w:val="decimal" w:pos="1185"/>
              </w:tabs>
            </w:pPr>
            <w:r w:rsidRPr="00642432">
              <w:t>2</w:t>
            </w:r>
          </w:p>
        </w:tc>
        <w:tc>
          <w:tcPr>
            <w:tcW w:w="2457" w:type="dxa"/>
            <w:tcBorders>
              <w:top w:val="nil"/>
              <w:bottom w:val="nil"/>
            </w:tcBorders>
          </w:tcPr>
          <w:p w:rsidR="004659AD" w:rsidRPr="00642432" w:rsidRDefault="004659AD" w:rsidP="008069AE">
            <w:pPr>
              <w:pStyle w:val="TableText"/>
              <w:tabs>
                <w:tab w:val="decimal" w:pos="1185"/>
              </w:tabs>
            </w:pPr>
            <w:r w:rsidRPr="00642432">
              <w:t>82</w:t>
            </w:r>
          </w:p>
        </w:tc>
        <w:tc>
          <w:tcPr>
            <w:tcW w:w="2457" w:type="dxa"/>
            <w:tcBorders>
              <w:top w:val="nil"/>
              <w:bottom w:val="nil"/>
            </w:tcBorders>
          </w:tcPr>
          <w:p w:rsidR="004659AD" w:rsidRPr="00642432" w:rsidRDefault="004659AD" w:rsidP="008069AE">
            <w:pPr>
              <w:pStyle w:val="TableText"/>
              <w:tabs>
                <w:tab w:val="decimal" w:pos="1185"/>
              </w:tabs>
            </w:pPr>
            <w:r w:rsidRPr="00642432">
              <w:t>3</w:t>
            </w:r>
          </w:p>
        </w:tc>
      </w:tr>
      <w:tr w:rsidR="004659AD" w:rsidRPr="00642432" w:rsidTr="008069AE">
        <w:trPr>
          <w:cantSplit/>
        </w:trPr>
        <w:tc>
          <w:tcPr>
            <w:tcW w:w="1985" w:type="dxa"/>
            <w:tcBorders>
              <w:top w:val="nil"/>
              <w:bottom w:val="nil"/>
            </w:tcBorders>
            <w:shd w:val="clear" w:color="auto" w:fill="F2F2F2" w:themeFill="background1" w:themeFillShade="F2"/>
          </w:tcPr>
          <w:p w:rsidR="004659AD" w:rsidRPr="00642432" w:rsidRDefault="004659AD" w:rsidP="008069AE">
            <w:pPr>
              <w:pStyle w:val="TableText"/>
            </w:pPr>
            <w:r w:rsidRPr="00642432">
              <w:t>Lakes</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4</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21</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w:t>
            </w:r>
          </w:p>
        </w:tc>
      </w:tr>
      <w:tr w:rsidR="004659AD" w:rsidRPr="00642432" w:rsidTr="008069AE">
        <w:trPr>
          <w:cantSplit/>
        </w:trPr>
        <w:tc>
          <w:tcPr>
            <w:tcW w:w="1985" w:type="dxa"/>
            <w:tcBorders>
              <w:top w:val="nil"/>
              <w:bottom w:val="nil"/>
            </w:tcBorders>
          </w:tcPr>
          <w:p w:rsidR="004659AD" w:rsidRPr="00642432" w:rsidRDefault="004659AD" w:rsidP="008069AE">
            <w:pPr>
              <w:pStyle w:val="TableText"/>
            </w:pPr>
            <w:r w:rsidRPr="00642432">
              <w:t>MidCentral</w:t>
            </w:r>
          </w:p>
        </w:tc>
        <w:tc>
          <w:tcPr>
            <w:tcW w:w="2457" w:type="dxa"/>
            <w:tcBorders>
              <w:top w:val="nil"/>
              <w:bottom w:val="nil"/>
            </w:tcBorders>
          </w:tcPr>
          <w:p w:rsidR="004659AD" w:rsidRPr="00642432" w:rsidRDefault="004659AD" w:rsidP="008069AE">
            <w:pPr>
              <w:pStyle w:val="TableText"/>
              <w:tabs>
                <w:tab w:val="decimal" w:pos="1185"/>
              </w:tabs>
            </w:pPr>
            <w:r w:rsidRPr="00642432">
              <w:t>9</w:t>
            </w:r>
          </w:p>
        </w:tc>
        <w:tc>
          <w:tcPr>
            <w:tcW w:w="2457" w:type="dxa"/>
            <w:tcBorders>
              <w:top w:val="nil"/>
              <w:bottom w:val="nil"/>
            </w:tcBorders>
          </w:tcPr>
          <w:p w:rsidR="004659AD" w:rsidRPr="00642432" w:rsidRDefault="004659AD" w:rsidP="008069AE">
            <w:pPr>
              <w:pStyle w:val="TableText"/>
              <w:tabs>
                <w:tab w:val="decimal" w:pos="1185"/>
              </w:tabs>
            </w:pPr>
            <w:r w:rsidRPr="00642432">
              <w:t>63</w:t>
            </w:r>
          </w:p>
        </w:tc>
        <w:tc>
          <w:tcPr>
            <w:tcW w:w="2457" w:type="dxa"/>
            <w:tcBorders>
              <w:top w:val="nil"/>
              <w:bottom w:val="nil"/>
            </w:tcBorders>
          </w:tcPr>
          <w:p w:rsidR="004659AD" w:rsidRPr="00642432" w:rsidRDefault="004659AD" w:rsidP="008069AE">
            <w:pPr>
              <w:pStyle w:val="TableText"/>
              <w:tabs>
                <w:tab w:val="decimal" w:pos="1185"/>
              </w:tabs>
            </w:pPr>
            <w:r w:rsidRPr="00642432">
              <w:t>0</w:t>
            </w:r>
          </w:p>
        </w:tc>
      </w:tr>
      <w:tr w:rsidR="004659AD" w:rsidRPr="00642432" w:rsidTr="008069AE">
        <w:trPr>
          <w:cantSplit/>
        </w:trPr>
        <w:tc>
          <w:tcPr>
            <w:tcW w:w="1985" w:type="dxa"/>
            <w:tcBorders>
              <w:top w:val="nil"/>
              <w:bottom w:val="nil"/>
            </w:tcBorders>
            <w:shd w:val="clear" w:color="auto" w:fill="F2F2F2" w:themeFill="background1" w:themeFillShade="F2"/>
          </w:tcPr>
          <w:p w:rsidR="004659AD" w:rsidRPr="00642432" w:rsidRDefault="004659AD" w:rsidP="008069AE">
            <w:pPr>
              <w:pStyle w:val="TableText"/>
            </w:pPr>
            <w:r w:rsidRPr="00642432">
              <w:t>Nelson Marlborough</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r>
      <w:tr w:rsidR="004659AD" w:rsidRPr="00642432" w:rsidTr="008069AE">
        <w:trPr>
          <w:cantSplit/>
        </w:trPr>
        <w:tc>
          <w:tcPr>
            <w:tcW w:w="1985" w:type="dxa"/>
            <w:tcBorders>
              <w:top w:val="nil"/>
              <w:bottom w:val="nil"/>
            </w:tcBorders>
          </w:tcPr>
          <w:p w:rsidR="004659AD" w:rsidRPr="00642432" w:rsidRDefault="004659AD" w:rsidP="008069AE">
            <w:pPr>
              <w:pStyle w:val="TableText"/>
            </w:pPr>
            <w:r w:rsidRPr="00642432">
              <w:t>Northland</w:t>
            </w:r>
          </w:p>
        </w:tc>
        <w:tc>
          <w:tcPr>
            <w:tcW w:w="2457" w:type="dxa"/>
            <w:tcBorders>
              <w:top w:val="nil"/>
              <w:bottom w:val="nil"/>
            </w:tcBorders>
          </w:tcPr>
          <w:p w:rsidR="004659AD" w:rsidRPr="00642432" w:rsidRDefault="004659AD" w:rsidP="008069AE">
            <w:pPr>
              <w:pStyle w:val="TableText"/>
              <w:tabs>
                <w:tab w:val="decimal" w:pos="1185"/>
              </w:tabs>
            </w:pPr>
            <w:r w:rsidRPr="00642432">
              <w:t>^</w:t>
            </w:r>
          </w:p>
        </w:tc>
        <w:tc>
          <w:tcPr>
            <w:tcW w:w="2457" w:type="dxa"/>
            <w:tcBorders>
              <w:top w:val="nil"/>
              <w:bottom w:val="nil"/>
            </w:tcBorders>
          </w:tcPr>
          <w:p w:rsidR="004659AD" w:rsidRPr="00642432" w:rsidRDefault="004659AD" w:rsidP="008069AE">
            <w:pPr>
              <w:pStyle w:val="TableText"/>
              <w:tabs>
                <w:tab w:val="decimal" w:pos="1185"/>
              </w:tabs>
            </w:pPr>
            <w:r w:rsidRPr="00642432">
              <w:t>^</w:t>
            </w:r>
          </w:p>
        </w:tc>
        <w:tc>
          <w:tcPr>
            <w:tcW w:w="2457" w:type="dxa"/>
            <w:tcBorders>
              <w:top w:val="nil"/>
              <w:bottom w:val="nil"/>
            </w:tcBorders>
          </w:tcPr>
          <w:p w:rsidR="004659AD" w:rsidRPr="00642432" w:rsidRDefault="004659AD" w:rsidP="008069AE">
            <w:pPr>
              <w:pStyle w:val="TableText"/>
              <w:tabs>
                <w:tab w:val="decimal" w:pos="1185"/>
              </w:tabs>
            </w:pPr>
            <w:r w:rsidRPr="00642432">
              <w:t>^</w:t>
            </w:r>
          </w:p>
        </w:tc>
      </w:tr>
      <w:tr w:rsidR="004659AD" w:rsidRPr="00642432" w:rsidTr="008069AE">
        <w:trPr>
          <w:cantSplit/>
        </w:trPr>
        <w:tc>
          <w:tcPr>
            <w:tcW w:w="1985" w:type="dxa"/>
            <w:tcBorders>
              <w:top w:val="nil"/>
              <w:bottom w:val="nil"/>
            </w:tcBorders>
            <w:shd w:val="clear" w:color="auto" w:fill="F2F2F2" w:themeFill="background1" w:themeFillShade="F2"/>
          </w:tcPr>
          <w:p w:rsidR="004659AD" w:rsidRPr="00642432" w:rsidRDefault="004659AD" w:rsidP="008069AE">
            <w:pPr>
              <w:pStyle w:val="TableText"/>
            </w:pPr>
            <w:r w:rsidRPr="00642432">
              <w:t>South Canterbury</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r>
      <w:tr w:rsidR="004659AD" w:rsidRPr="00642432" w:rsidTr="008069AE">
        <w:trPr>
          <w:cantSplit/>
        </w:trPr>
        <w:tc>
          <w:tcPr>
            <w:tcW w:w="1985" w:type="dxa"/>
            <w:tcBorders>
              <w:top w:val="nil"/>
              <w:bottom w:val="nil"/>
            </w:tcBorders>
          </w:tcPr>
          <w:p w:rsidR="004659AD" w:rsidRPr="00642432" w:rsidRDefault="004659AD" w:rsidP="008069AE">
            <w:pPr>
              <w:pStyle w:val="TableText"/>
            </w:pPr>
            <w:r w:rsidRPr="00642432">
              <w:t>Southern</w:t>
            </w:r>
          </w:p>
        </w:tc>
        <w:tc>
          <w:tcPr>
            <w:tcW w:w="2457" w:type="dxa"/>
            <w:tcBorders>
              <w:top w:val="nil"/>
              <w:bottom w:val="nil"/>
            </w:tcBorders>
          </w:tcPr>
          <w:p w:rsidR="004659AD" w:rsidRPr="00642432" w:rsidRDefault="004659AD" w:rsidP="008069AE">
            <w:pPr>
              <w:pStyle w:val="TableText"/>
              <w:tabs>
                <w:tab w:val="decimal" w:pos="1185"/>
              </w:tabs>
            </w:pPr>
            <w:r w:rsidRPr="00642432">
              <w:t>5</w:t>
            </w:r>
          </w:p>
        </w:tc>
        <w:tc>
          <w:tcPr>
            <w:tcW w:w="2457" w:type="dxa"/>
            <w:tcBorders>
              <w:top w:val="nil"/>
              <w:bottom w:val="nil"/>
            </w:tcBorders>
          </w:tcPr>
          <w:p w:rsidR="004659AD" w:rsidRPr="00642432" w:rsidRDefault="004659AD" w:rsidP="008069AE">
            <w:pPr>
              <w:pStyle w:val="TableText"/>
              <w:tabs>
                <w:tab w:val="decimal" w:pos="1185"/>
              </w:tabs>
            </w:pPr>
            <w:r w:rsidRPr="00642432">
              <w:t>79</w:t>
            </w:r>
          </w:p>
        </w:tc>
        <w:tc>
          <w:tcPr>
            <w:tcW w:w="2457" w:type="dxa"/>
            <w:tcBorders>
              <w:top w:val="nil"/>
              <w:bottom w:val="nil"/>
            </w:tcBorders>
          </w:tcPr>
          <w:p w:rsidR="004659AD" w:rsidRPr="00642432" w:rsidRDefault="004659AD" w:rsidP="008069AE">
            <w:pPr>
              <w:pStyle w:val="TableText"/>
              <w:tabs>
                <w:tab w:val="decimal" w:pos="1185"/>
              </w:tabs>
            </w:pPr>
            <w:r w:rsidRPr="00642432">
              <w:t>0</w:t>
            </w:r>
          </w:p>
        </w:tc>
      </w:tr>
      <w:tr w:rsidR="004659AD" w:rsidRPr="00642432" w:rsidTr="008069AE">
        <w:trPr>
          <w:cantSplit/>
        </w:trPr>
        <w:tc>
          <w:tcPr>
            <w:tcW w:w="1985" w:type="dxa"/>
            <w:tcBorders>
              <w:top w:val="nil"/>
              <w:bottom w:val="nil"/>
            </w:tcBorders>
            <w:shd w:val="clear" w:color="auto" w:fill="F2F2F2" w:themeFill="background1" w:themeFillShade="F2"/>
          </w:tcPr>
          <w:p w:rsidR="004659AD" w:rsidRPr="00642432" w:rsidRDefault="004659AD" w:rsidP="008069AE">
            <w:pPr>
              <w:pStyle w:val="TableText"/>
            </w:pPr>
            <w:r w:rsidRPr="00642432">
              <w:t>Tairawhiti</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r>
      <w:tr w:rsidR="004659AD" w:rsidRPr="00642432" w:rsidTr="008069AE">
        <w:trPr>
          <w:cantSplit/>
        </w:trPr>
        <w:tc>
          <w:tcPr>
            <w:tcW w:w="1985" w:type="dxa"/>
            <w:tcBorders>
              <w:top w:val="nil"/>
              <w:bottom w:val="nil"/>
            </w:tcBorders>
          </w:tcPr>
          <w:p w:rsidR="004659AD" w:rsidRPr="00642432" w:rsidRDefault="004659AD" w:rsidP="008069AE">
            <w:pPr>
              <w:pStyle w:val="TableText"/>
            </w:pPr>
            <w:r w:rsidRPr="00642432">
              <w:t>Taranaki</w:t>
            </w:r>
          </w:p>
        </w:tc>
        <w:tc>
          <w:tcPr>
            <w:tcW w:w="2457" w:type="dxa"/>
            <w:tcBorders>
              <w:top w:val="nil"/>
              <w:bottom w:val="nil"/>
            </w:tcBorders>
          </w:tcPr>
          <w:p w:rsidR="004659AD" w:rsidRPr="00642432" w:rsidRDefault="004659AD" w:rsidP="008069AE">
            <w:pPr>
              <w:pStyle w:val="TableText"/>
              <w:tabs>
                <w:tab w:val="decimal" w:pos="1185"/>
              </w:tabs>
            </w:pPr>
            <w:r w:rsidRPr="00642432">
              <w:t>1</w:t>
            </w:r>
          </w:p>
        </w:tc>
        <w:tc>
          <w:tcPr>
            <w:tcW w:w="2457" w:type="dxa"/>
            <w:tcBorders>
              <w:top w:val="nil"/>
              <w:bottom w:val="nil"/>
            </w:tcBorders>
          </w:tcPr>
          <w:p w:rsidR="004659AD" w:rsidRPr="00642432" w:rsidRDefault="004659AD" w:rsidP="008069AE">
            <w:pPr>
              <w:pStyle w:val="TableText"/>
              <w:tabs>
                <w:tab w:val="decimal" w:pos="1185"/>
              </w:tabs>
            </w:pPr>
            <w:r w:rsidRPr="00642432">
              <w:t>5</w:t>
            </w:r>
          </w:p>
        </w:tc>
        <w:tc>
          <w:tcPr>
            <w:tcW w:w="2457" w:type="dxa"/>
            <w:tcBorders>
              <w:top w:val="nil"/>
              <w:bottom w:val="nil"/>
            </w:tcBorders>
          </w:tcPr>
          <w:p w:rsidR="004659AD" w:rsidRPr="00642432" w:rsidRDefault="004659AD" w:rsidP="008069AE">
            <w:pPr>
              <w:pStyle w:val="TableText"/>
              <w:tabs>
                <w:tab w:val="decimal" w:pos="1185"/>
              </w:tabs>
            </w:pPr>
            <w:r w:rsidRPr="00642432">
              <w:t>0</w:t>
            </w:r>
          </w:p>
        </w:tc>
      </w:tr>
      <w:tr w:rsidR="004659AD" w:rsidRPr="00642432" w:rsidTr="008069AE">
        <w:trPr>
          <w:cantSplit/>
        </w:trPr>
        <w:tc>
          <w:tcPr>
            <w:tcW w:w="1985" w:type="dxa"/>
            <w:tcBorders>
              <w:top w:val="nil"/>
              <w:bottom w:val="nil"/>
            </w:tcBorders>
            <w:shd w:val="clear" w:color="auto" w:fill="F2F2F2" w:themeFill="background1" w:themeFillShade="F2"/>
          </w:tcPr>
          <w:p w:rsidR="004659AD" w:rsidRPr="00642432" w:rsidRDefault="004659AD" w:rsidP="008069AE">
            <w:pPr>
              <w:pStyle w:val="TableText"/>
            </w:pPr>
            <w:r w:rsidRPr="00642432">
              <w:t>Waikato</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14</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141</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r>
      <w:tr w:rsidR="004659AD" w:rsidRPr="00642432" w:rsidTr="008069AE">
        <w:trPr>
          <w:cantSplit/>
        </w:trPr>
        <w:tc>
          <w:tcPr>
            <w:tcW w:w="1985" w:type="dxa"/>
            <w:tcBorders>
              <w:top w:val="nil"/>
              <w:bottom w:val="nil"/>
            </w:tcBorders>
          </w:tcPr>
          <w:p w:rsidR="004659AD" w:rsidRPr="00642432" w:rsidRDefault="004659AD" w:rsidP="008069AE">
            <w:pPr>
              <w:pStyle w:val="TableText"/>
            </w:pPr>
            <w:r w:rsidRPr="00642432">
              <w:t>Wairarapa</w:t>
            </w:r>
          </w:p>
        </w:tc>
        <w:tc>
          <w:tcPr>
            <w:tcW w:w="2457" w:type="dxa"/>
            <w:tcBorders>
              <w:top w:val="nil"/>
              <w:bottom w:val="nil"/>
            </w:tcBorders>
          </w:tcPr>
          <w:p w:rsidR="004659AD" w:rsidRPr="00642432" w:rsidRDefault="004659AD" w:rsidP="008069AE">
            <w:pPr>
              <w:pStyle w:val="TableText"/>
              <w:tabs>
                <w:tab w:val="decimal" w:pos="1185"/>
              </w:tabs>
            </w:pPr>
            <w:r w:rsidRPr="00642432">
              <w:t>−</w:t>
            </w:r>
          </w:p>
        </w:tc>
        <w:tc>
          <w:tcPr>
            <w:tcW w:w="2457" w:type="dxa"/>
            <w:tcBorders>
              <w:top w:val="nil"/>
              <w:bottom w:val="nil"/>
            </w:tcBorders>
          </w:tcPr>
          <w:p w:rsidR="004659AD" w:rsidRPr="00642432" w:rsidRDefault="004659AD" w:rsidP="008069AE">
            <w:pPr>
              <w:pStyle w:val="TableText"/>
              <w:tabs>
                <w:tab w:val="decimal" w:pos="1185"/>
              </w:tabs>
            </w:pPr>
            <w:r w:rsidRPr="00642432">
              <w:t>−</w:t>
            </w:r>
          </w:p>
        </w:tc>
        <w:tc>
          <w:tcPr>
            <w:tcW w:w="2457" w:type="dxa"/>
            <w:tcBorders>
              <w:top w:val="nil"/>
              <w:bottom w:val="nil"/>
            </w:tcBorders>
          </w:tcPr>
          <w:p w:rsidR="004659AD" w:rsidRPr="00642432" w:rsidRDefault="004659AD" w:rsidP="008069AE">
            <w:pPr>
              <w:pStyle w:val="TableText"/>
              <w:tabs>
                <w:tab w:val="decimal" w:pos="1185"/>
              </w:tabs>
            </w:pPr>
            <w:r w:rsidRPr="00642432">
              <w:t>−</w:t>
            </w:r>
          </w:p>
        </w:tc>
      </w:tr>
      <w:tr w:rsidR="004659AD" w:rsidRPr="00642432" w:rsidTr="008069AE">
        <w:trPr>
          <w:cantSplit/>
        </w:trPr>
        <w:tc>
          <w:tcPr>
            <w:tcW w:w="1985" w:type="dxa"/>
            <w:tcBorders>
              <w:top w:val="nil"/>
              <w:bottom w:val="nil"/>
            </w:tcBorders>
            <w:shd w:val="clear" w:color="auto" w:fill="F2F2F2" w:themeFill="background1" w:themeFillShade="F2"/>
          </w:tcPr>
          <w:p w:rsidR="004659AD" w:rsidRPr="00642432" w:rsidRDefault="004659AD" w:rsidP="008069AE">
            <w:pPr>
              <w:pStyle w:val="TableText"/>
            </w:pPr>
            <w:r w:rsidRPr="00642432">
              <w:t>Waitemata</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12</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95</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0</w:t>
            </w:r>
          </w:p>
        </w:tc>
      </w:tr>
      <w:tr w:rsidR="004659AD" w:rsidRPr="00642432" w:rsidTr="008069AE">
        <w:trPr>
          <w:cantSplit/>
        </w:trPr>
        <w:tc>
          <w:tcPr>
            <w:tcW w:w="1985" w:type="dxa"/>
            <w:tcBorders>
              <w:top w:val="nil"/>
              <w:bottom w:val="nil"/>
            </w:tcBorders>
          </w:tcPr>
          <w:p w:rsidR="004659AD" w:rsidRPr="00642432" w:rsidRDefault="004659AD" w:rsidP="008069AE">
            <w:pPr>
              <w:pStyle w:val="TableText"/>
            </w:pPr>
            <w:r w:rsidRPr="00642432">
              <w:t>West Coast</w:t>
            </w:r>
          </w:p>
        </w:tc>
        <w:tc>
          <w:tcPr>
            <w:tcW w:w="2457" w:type="dxa"/>
            <w:tcBorders>
              <w:top w:val="nil"/>
              <w:bottom w:val="nil"/>
            </w:tcBorders>
          </w:tcPr>
          <w:p w:rsidR="004659AD" w:rsidRPr="00642432" w:rsidRDefault="004659AD" w:rsidP="008069AE">
            <w:pPr>
              <w:pStyle w:val="TableText"/>
              <w:tabs>
                <w:tab w:val="decimal" w:pos="1185"/>
              </w:tabs>
            </w:pPr>
            <w:r w:rsidRPr="00642432">
              <w:t>−</w:t>
            </w:r>
          </w:p>
        </w:tc>
        <w:tc>
          <w:tcPr>
            <w:tcW w:w="2457" w:type="dxa"/>
            <w:tcBorders>
              <w:top w:val="nil"/>
              <w:bottom w:val="nil"/>
            </w:tcBorders>
          </w:tcPr>
          <w:p w:rsidR="004659AD" w:rsidRPr="00642432" w:rsidRDefault="004659AD" w:rsidP="008069AE">
            <w:pPr>
              <w:pStyle w:val="TableText"/>
              <w:tabs>
                <w:tab w:val="decimal" w:pos="1185"/>
              </w:tabs>
            </w:pPr>
            <w:r w:rsidRPr="00642432">
              <w:t>−</w:t>
            </w:r>
          </w:p>
        </w:tc>
        <w:tc>
          <w:tcPr>
            <w:tcW w:w="2457" w:type="dxa"/>
            <w:tcBorders>
              <w:top w:val="nil"/>
              <w:bottom w:val="nil"/>
            </w:tcBorders>
          </w:tcPr>
          <w:p w:rsidR="004659AD" w:rsidRPr="00642432" w:rsidRDefault="004659AD" w:rsidP="008069AE">
            <w:pPr>
              <w:pStyle w:val="TableText"/>
              <w:tabs>
                <w:tab w:val="decimal" w:pos="1185"/>
              </w:tabs>
            </w:pPr>
            <w:r w:rsidRPr="00642432">
              <w:t>−</w:t>
            </w:r>
          </w:p>
        </w:tc>
      </w:tr>
      <w:tr w:rsidR="004659AD" w:rsidRPr="00642432" w:rsidTr="008069AE">
        <w:trPr>
          <w:cantSplit/>
        </w:trPr>
        <w:tc>
          <w:tcPr>
            <w:tcW w:w="1985" w:type="dxa"/>
            <w:tcBorders>
              <w:top w:val="nil"/>
              <w:bottom w:val="nil"/>
            </w:tcBorders>
            <w:shd w:val="clear" w:color="auto" w:fill="F2F2F2" w:themeFill="background1" w:themeFillShade="F2"/>
          </w:tcPr>
          <w:p w:rsidR="004659AD" w:rsidRPr="00642432" w:rsidRDefault="004659AD" w:rsidP="008069AE">
            <w:pPr>
              <w:pStyle w:val="TableText"/>
            </w:pPr>
            <w:r w:rsidRPr="00642432">
              <w:t>Whanganui</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w:t>
            </w:r>
          </w:p>
        </w:tc>
        <w:tc>
          <w:tcPr>
            <w:tcW w:w="2457" w:type="dxa"/>
            <w:tcBorders>
              <w:top w:val="nil"/>
              <w:bottom w:val="nil"/>
            </w:tcBorders>
            <w:shd w:val="clear" w:color="auto" w:fill="F2F2F2" w:themeFill="background1" w:themeFillShade="F2"/>
          </w:tcPr>
          <w:p w:rsidR="004659AD" w:rsidRPr="00642432" w:rsidRDefault="004659AD" w:rsidP="008069AE">
            <w:pPr>
              <w:pStyle w:val="TableText"/>
              <w:tabs>
                <w:tab w:val="decimal" w:pos="1185"/>
              </w:tabs>
            </w:pPr>
            <w:r w:rsidRPr="00642432">
              <w:t>−</w:t>
            </w:r>
          </w:p>
        </w:tc>
      </w:tr>
      <w:tr w:rsidR="004659AD" w:rsidRPr="00642432" w:rsidTr="008069AE">
        <w:trPr>
          <w:cantSplit/>
        </w:trPr>
        <w:tc>
          <w:tcPr>
            <w:tcW w:w="1985" w:type="dxa"/>
            <w:tcBorders>
              <w:top w:val="nil"/>
            </w:tcBorders>
          </w:tcPr>
          <w:p w:rsidR="004659AD" w:rsidRPr="00642432" w:rsidRDefault="004659AD" w:rsidP="008069AE">
            <w:pPr>
              <w:pStyle w:val="TableText"/>
            </w:pPr>
            <w:r w:rsidRPr="00642432">
              <w:t>New Zealand total</w:t>
            </w:r>
          </w:p>
        </w:tc>
        <w:tc>
          <w:tcPr>
            <w:tcW w:w="2457" w:type="dxa"/>
            <w:tcBorders>
              <w:top w:val="nil"/>
            </w:tcBorders>
          </w:tcPr>
          <w:p w:rsidR="004659AD" w:rsidRPr="00642432" w:rsidRDefault="004659AD" w:rsidP="008069AE">
            <w:pPr>
              <w:pStyle w:val="TableText"/>
              <w:tabs>
                <w:tab w:val="decimal" w:pos="1185"/>
              </w:tabs>
            </w:pPr>
            <w:r w:rsidRPr="00642432">
              <w:t>60</w:t>
            </w:r>
          </w:p>
        </w:tc>
        <w:tc>
          <w:tcPr>
            <w:tcW w:w="2457" w:type="dxa"/>
            <w:tcBorders>
              <w:top w:val="nil"/>
            </w:tcBorders>
          </w:tcPr>
          <w:p w:rsidR="004659AD" w:rsidRPr="00642432" w:rsidRDefault="004659AD" w:rsidP="008069AE">
            <w:pPr>
              <w:pStyle w:val="TableText"/>
              <w:tabs>
                <w:tab w:val="decimal" w:pos="1185"/>
              </w:tabs>
            </w:pPr>
            <w:r w:rsidRPr="00642432">
              <w:t>631</w:t>
            </w:r>
          </w:p>
        </w:tc>
        <w:tc>
          <w:tcPr>
            <w:tcW w:w="2457" w:type="dxa"/>
            <w:tcBorders>
              <w:top w:val="nil"/>
            </w:tcBorders>
          </w:tcPr>
          <w:p w:rsidR="004659AD" w:rsidRPr="00642432" w:rsidRDefault="004659AD" w:rsidP="008069AE">
            <w:pPr>
              <w:pStyle w:val="TableText"/>
              <w:tabs>
                <w:tab w:val="decimal" w:pos="1185"/>
              </w:tabs>
            </w:pPr>
            <w:r w:rsidRPr="00642432">
              <w:t>6</w:t>
            </w:r>
          </w:p>
        </w:tc>
      </w:tr>
    </w:tbl>
    <w:p w:rsidR="004659AD" w:rsidRPr="00642432" w:rsidRDefault="004659AD" w:rsidP="008069AE">
      <w:pPr>
        <w:pStyle w:val="Note"/>
        <w:ind w:left="0" w:right="0" w:firstLine="0"/>
      </w:pPr>
      <w:r w:rsidRPr="00642432">
        <w:t>Notes: The data in this table cannot be reliably compared with the data in Table 7 above, as this data is for DHB of service, and Table 7 presents data for DHB of domicile.</w:t>
      </w:r>
    </w:p>
    <w:p w:rsidR="004659AD" w:rsidRPr="00642432" w:rsidRDefault="004659AD" w:rsidP="008069AE">
      <w:pPr>
        <w:pStyle w:val="Note"/>
        <w:ind w:left="0" w:right="0" w:firstLine="0"/>
      </w:pPr>
      <w:r w:rsidRPr="00642432">
        <w:t>The total number of ECT treatments not able</w:t>
      </w:r>
      <w:r w:rsidR="00D32DDD" w:rsidRPr="00642432">
        <w:t xml:space="preserve"> </w:t>
      </w:r>
      <w:r w:rsidRPr="00642432">
        <w:t>to be consented to decreased from 690 treatments in 2012 to 631</w:t>
      </w:r>
      <w:r w:rsidR="008069AE">
        <w:t> </w:t>
      </w:r>
      <w:r w:rsidRPr="00642432">
        <w:t>treatments in 2013. One factor explaining this decrease is the exclusion of data from Northland and Counties Manukau who</w:t>
      </w:r>
      <w:r w:rsidR="00D32DDD" w:rsidRPr="00642432">
        <w:t xml:space="preserve"> </w:t>
      </w:r>
      <w:r w:rsidRPr="00642432">
        <w:t>did not supply this data for the 2013 Annual Report.</w:t>
      </w:r>
    </w:p>
    <w:p w:rsidR="004659AD" w:rsidRPr="00642432" w:rsidRDefault="004659AD" w:rsidP="008069AE">
      <w:pPr>
        <w:pStyle w:val="Note"/>
        <w:ind w:left="0" w:right="0" w:firstLine="0"/>
      </w:pPr>
      <w:r w:rsidRPr="00642432">
        <w:t>A dash (–) indicates the DHB does not perform ECT: people are sent to other DHBs for treatment.</w:t>
      </w:r>
    </w:p>
    <w:p w:rsidR="004659AD" w:rsidRPr="00642432" w:rsidRDefault="004659AD" w:rsidP="008069AE">
      <w:pPr>
        <w:pStyle w:val="Note"/>
        <w:ind w:left="0" w:right="0" w:firstLine="0"/>
      </w:pPr>
      <w:r w:rsidRPr="00642432">
        <w:t>^ indicates the DHB did not report its data to the Ministry for the 2013 reporting period.</w:t>
      </w:r>
    </w:p>
    <w:p w:rsidR="004659AD" w:rsidRPr="00642432" w:rsidRDefault="004659AD" w:rsidP="008069AE">
      <w:pPr>
        <w:pStyle w:val="Source"/>
        <w:ind w:left="0" w:right="0" w:firstLine="0"/>
      </w:pPr>
      <w:r w:rsidRPr="00642432">
        <w:t>Source: The Ministry of Health is currently unable to provide this data from PRIMHD. DHBs supplied manual data.</w:t>
      </w:r>
    </w:p>
    <w:p w:rsidR="004659AD" w:rsidRPr="00642432" w:rsidRDefault="004659AD" w:rsidP="008069AE"/>
    <w:p w:rsidR="004659AD" w:rsidRPr="00642432" w:rsidRDefault="004659AD" w:rsidP="008069AE">
      <w:pPr>
        <w:pStyle w:val="Heading3"/>
      </w:pPr>
      <w:r w:rsidRPr="00642432">
        <w:t>Age and gender of patients treated with ECT</w:t>
      </w:r>
    </w:p>
    <w:p w:rsidR="004659AD" w:rsidRPr="00642432" w:rsidRDefault="004659AD" w:rsidP="008069AE">
      <w:r w:rsidRPr="00642432">
        <w:t>Information on the age and gender of people who</w:t>
      </w:r>
      <w:r w:rsidR="00D32DDD" w:rsidRPr="00642432">
        <w:t xml:space="preserve"> </w:t>
      </w:r>
      <w:r w:rsidRPr="00642432">
        <w:t>were</w:t>
      </w:r>
      <w:r w:rsidR="00D32DDD" w:rsidRPr="00642432">
        <w:t xml:space="preserve"> </w:t>
      </w:r>
      <w:r w:rsidRPr="00642432">
        <w:t>treated with ECT in 2013 is presented in Table 9 and Figure 23. For this data, age group was determined by the individual’s age at the beginning of their treatment. The majority of people (61 percent) treated with ECT were</w:t>
      </w:r>
      <w:r w:rsidR="00D32DDD" w:rsidRPr="00642432">
        <w:t xml:space="preserve"> </w:t>
      </w:r>
      <w:r w:rsidRPr="00642432">
        <w:t>aged over</w:t>
      </w:r>
      <w:r w:rsidR="00D32DDD" w:rsidRPr="00642432">
        <w:t xml:space="preserve"> </w:t>
      </w:r>
      <w:r w:rsidRPr="00642432">
        <w:t>50 years in 2013.</w:t>
      </w:r>
    </w:p>
    <w:p w:rsidR="004659AD" w:rsidRPr="00642432" w:rsidRDefault="004659AD" w:rsidP="008069AE"/>
    <w:p w:rsidR="004659AD" w:rsidRPr="00642432" w:rsidRDefault="004659AD" w:rsidP="00014AFF">
      <w:r w:rsidRPr="00642432">
        <w:t>Of the 253 people who</w:t>
      </w:r>
      <w:r w:rsidR="00D32DDD" w:rsidRPr="00642432">
        <w:t xml:space="preserve"> </w:t>
      </w:r>
      <w:r w:rsidRPr="00642432">
        <w:t>received ECT treatment in 2013, 165 (65 percent) were</w:t>
      </w:r>
      <w:r w:rsidR="00D32DDD" w:rsidRPr="00642432">
        <w:t xml:space="preserve"> </w:t>
      </w:r>
      <w:r w:rsidRPr="00642432">
        <w:t>women and 88 (35 percent) were</w:t>
      </w:r>
      <w:r w:rsidR="00D32DDD" w:rsidRPr="00642432">
        <w:t xml:space="preserve"> </w:t>
      </w:r>
      <w:r w:rsidRPr="00642432">
        <w:t>men. The main reason for the gender difference is that more women present to mental health services with depressive disorders. This</w:t>
      </w:r>
      <w:r w:rsidR="00D32DDD" w:rsidRPr="00642432">
        <w:t xml:space="preserve"> </w:t>
      </w:r>
      <w:r w:rsidRPr="00642432">
        <w:t>ratio is similar to that reported in other countries.</w:t>
      </w:r>
    </w:p>
    <w:p w:rsidR="004659AD" w:rsidRPr="00642432" w:rsidRDefault="004659AD" w:rsidP="00014AFF">
      <w:pPr>
        <w:pStyle w:val="Table"/>
        <w:spacing w:before="360"/>
      </w:pPr>
      <w:bookmarkStart w:id="58" w:name="_Toc405113689"/>
      <w:r w:rsidRPr="00642432">
        <w:t>Table 9: Number of people treated with ECT, by age group and gender, 1 January to 31</w:t>
      </w:r>
      <w:r w:rsidR="008069AE">
        <w:t> </w:t>
      </w:r>
      <w:r w:rsidRPr="00642432">
        <w:t>December 2013</w:t>
      </w:r>
      <w:bookmarkEnd w:id="58"/>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410"/>
        <w:gridCol w:w="1464"/>
        <w:gridCol w:w="1465"/>
        <w:gridCol w:w="1465"/>
      </w:tblGrid>
      <w:tr w:rsidR="008069AE" w:rsidRPr="00014AFF" w:rsidTr="00014AFF">
        <w:trPr>
          <w:cantSplit/>
        </w:trPr>
        <w:tc>
          <w:tcPr>
            <w:tcW w:w="2410" w:type="dxa"/>
            <w:tcBorders>
              <w:top w:val="single" w:sz="4" w:space="0" w:color="auto"/>
              <w:bottom w:val="single" w:sz="4" w:space="0" w:color="auto"/>
            </w:tcBorders>
            <w:shd w:val="clear" w:color="auto" w:fill="F2F2F2" w:themeFill="background1" w:themeFillShade="F2"/>
          </w:tcPr>
          <w:p w:rsidR="008069AE" w:rsidRPr="00014AFF" w:rsidRDefault="008069AE" w:rsidP="00014AFF">
            <w:pPr>
              <w:pStyle w:val="TableText"/>
              <w:rPr>
                <w:b/>
              </w:rPr>
            </w:pPr>
            <w:r w:rsidRPr="00014AFF">
              <w:rPr>
                <w:b/>
              </w:rPr>
              <w:t>Age group (years)</w:t>
            </w:r>
          </w:p>
        </w:tc>
        <w:tc>
          <w:tcPr>
            <w:tcW w:w="1464" w:type="dxa"/>
            <w:tcBorders>
              <w:top w:val="single" w:sz="4" w:space="0" w:color="auto"/>
              <w:bottom w:val="single" w:sz="4" w:space="0" w:color="auto"/>
            </w:tcBorders>
            <w:shd w:val="clear" w:color="auto" w:fill="F2F2F2" w:themeFill="background1" w:themeFillShade="F2"/>
          </w:tcPr>
          <w:p w:rsidR="008069AE" w:rsidRPr="00014AFF" w:rsidRDefault="008069AE" w:rsidP="00014AFF">
            <w:pPr>
              <w:pStyle w:val="TableText"/>
              <w:jc w:val="center"/>
              <w:rPr>
                <w:b/>
              </w:rPr>
            </w:pPr>
            <w:r w:rsidRPr="00014AFF">
              <w:rPr>
                <w:b/>
              </w:rPr>
              <w:t>Female</w:t>
            </w:r>
          </w:p>
        </w:tc>
        <w:tc>
          <w:tcPr>
            <w:tcW w:w="1465" w:type="dxa"/>
            <w:tcBorders>
              <w:top w:val="single" w:sz="4" w:space="0" w:color="auto"/>
              <w:bottom w:val="single" w:sz="4" w:space="0" w:color="auto"/>
            </w:tcBorders>
            <w:shd w:val="clear" w:color="auto" w:fill="F2F2F2" w:themeFill="background1" w:themeFillShade="F2"/>
          </w:tcPr>
          <w:p w:rsidR="008069AE" w:rsidRPr="00014AFF" w:rsidRDefault="008069AE" w:rsidP="00014AFF">
            <w:pPr>
              <w:pStyle w:val="TableText"/>
              <w:jc w:val="center"/>
              <w:rPr>
                <w:b/>
              </w:rPr>
            </w:pPr>
            <w:r w:rsidRPr="00014AFF">
              <w:rPr>
                <w:b/>
              </w:rPr>
              <w:t>Male</w:t>
            </w:r>
          </w:p>
        </w:tc>
        <w:tc>
          <w:tcPr>
            <w:tcW w:w="1465" w:type="dxa"/>
            <w:tcBorders>
              <w:top w:val="single" w:sz="4" w:space="0" w:color="auto"/>
              <w:bottom w:val="single" w:sz="4" w:space="0" w:color="auto"/>
            </w:tcBorders>
            <w:shd w:val="clear" w:color="auto" w:fill="F2F2F2" w:themeFill="background1" w:themeFillShade="F2"/>
          </w:tcPr>
          <w:p w:rsidR="008069AE" w:rsidRPr="00014AFF" w:rsidRDefault="008069AE" w:rsidP="00014AFF">
            <w:pPr>
              <w:pStyle w:val="TableText"/>
              <w:jc w:val="center"/>
              <w:rPr>
                <w:b/>
              </w:rPr>
            </w:pPr>
            <w:r w:rsidRPr="00014AFF">
              <w:rPr>
                <w:b/>
              </w:rPr>
              <w:t>Total</w:t>
            </w:r>
          </w:p>
        </w:tc>
      </w:tr>
      <w:tr w:rsidR="004659AD" w:rsidRPr="00642432" w:rsidTr="00014AFF">
        <w:trPr>
          <w:cantSplit/>
        </w:trPr>
        <w:tc>
          <w:tcPr>
            <w:tcW w:w="2410" w:type="dxa"/>
            <w:tcBorders>
              <w:top w:val="single" w:sz="4" w:space="0" w:color="auto"/>
              <w:bottom w:val="nil"/>
            </w:tcBorders>
          </w:tcPr>
          <w:p w:rsidR="004659AD" w:rsidRPr="00642432" w:rsidRDefault="004659AD" w:rsidP="00014AFF">
            <w:pPr>
              <w:pStyle w:val="TableText"/>
            </w:pPr>
            <w:r w:rsidRPr="00642432">
              <w:t>15–19</w:t>
            </w:r>
          </w:p>
        </w:tc>
        <w:tc>
          <w:tcPr>
            <w:tcW w:w="1464" w:type="dxa"/>
            <w:tcBorders>
              <w:top w:val="single" w:sz="4" w:space="0" w:color="auto"/>
              <w:bottom w:val="nil"/>
            </w:tcBorders>
          </w:tcPr>
          <w:p w:rsidR="004659AD" w:rsidRPr="00642432" w:rsidRDefault="004659AD" w:rsidP="00014AFF">
            <w:pPr>
              <w:pStyle w:val="TableText"/>
              <w:tabs>
                <w:tab w:val="decimal" w:pos="794"/>
              </w:tabs>
            </w:pPr>
            <w:r w:rsidRPr="00642432">
              <w:t>3</w:t>
            </w:r>
          </w:p>
        </w:tc>
        <w:tc>
          <w:tcPr>
            <w:tcW w:w="1465" w:type="dxa"/>
            <w:tcBorders>
              <w:top w:val="single" w:sz="4" w:space="0" w:color="auto"/>
              <w:bottom w:val="nil"/>
            </w:tcBorders>
          </w:tcPr>
          <w:p w:rsidR="004659AD" w:rsidRPr="00642432" w:rsidRDefault="004659AD" w:rsidP="00014AFF">
            <w:pPr>
              <w:pStyle w:val="TableText"/>
              <w:tabs>
                <w:tab w:val="decimal" w:pos="794"/>
              </w:tabs>
            </w:pPr>
            <w:r w:rsidRPr="00642432">
              <w:t>2</w:t>
            </w:r>
          </w:p>
        </w:tc>
        <w:tc>
          <w:tcPr>
            <w:tcW w:w="1465" w:type="dxa"/>
            <w:tcBorders>
              <w:top w:val="single" w:sz="4" w:space="0" w:color="auto"/>
              <w:bottom w:val="nil"/>
            </w:tcBorders>
          </w:tcPr>
          <w:p w:rsidR="004659AD" w:rsidRPr="00642432" w:rsidRDefault="004659AD" w:rsidP="00014AFF">
            <w:pPr>
              <w:pStyle w:val="TableText"/>
              <w:tabs>
                <w:tab w:val="decimal" w:pos="794"/>
              </w:tabs>
            </w:pPr>
            <w:r w:rsidRPr="00642432">
              <w:t>5</w:t>
            </w:r>
          </w:p>
        </w:tc>
      </w:tr>
      <w:tr w:rsidR="004659AD" w:rsidRPr="00642432" w:rsidTr="00014AFF">
        <w:trPr>
          <w:cantSplit/>
        </w:trPr>
        <w:tc>
          <w:tcPr>
            <w:tcW w:w="2410" w:type="dxa"/>
            <w:tcBorders>
              <w:top w:val="nil"/>
              <w:bottom w:val="nil"/>
            </w:tcBorders>
            <w:shd w:val="clear" w:color="auto" w:fill="F2F2F2" w:themeFill="background1" w:themeFillShade="F2"/>
          </w:tcPr>
          <w:p w:rsidR="004659AD" w:rsidRPr="00642432" w:rsidRDefault="004659AD" w:rsidP="00014AFF">
            <w:pPr>
              <w:pStyle w:val="TableText"/>
            </w:pPr>
            <w:r w:rsidRPr="00642432">
              <w:t>20–24</w:t>
            </w:r>
          </w:p>
        </w:tc>
        <w:tc>
          <w:tcPr>
            <w:tcW w:w="1464"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3</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3</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6</w:t>
            </w:r>
          </w:p>
        </w:tc>
      </w:tr>
      <w:tr w:rsidR="004659AD" w:rsidRPr="00642432" w:rsidTr="00014AFF">
        <w:trPr>
          <w:cantSplit/>
        </w:trPr>
        <w:tc>
          <w:tcPr>
            <w:tcW w:w="2410" w:type="dxa"/>
            <w:tcBorders>
              <w:top w:val="nil"/>
              <w:bottom w:val="nil"/>
            </w:tcBorders>
          </w:tcPr>
          <w:p w:rsidR="004659AD" w:rsidRPr="00642432" w:rsidRDefault="004659AD" w:rsidP="00014AFF">
            <w:pPr>
              <w:pStyle w:val="TableText"/>
            </w:pPr>
            <w:r w:rsidRPr="00642432">
              <w:t>25–29</w:t>
            </w:r>
          </w:p>
        </w:tc>
        <w:tc>
          <w:tcPr>
            <w:tcW w:w="1464" w:type="dxa"/>
            <w:tcBorders>
              <w:top w:val="nil"/>
              <w:bottom w:val="nil"/>
            </w:tcBorders>
          </w:tcPr>
          <w:p w:rsidR="004659AD" w:rsidRPr="00642432" w:rsidRDefault="004659AD" w:rsidP="00014AFF">
            <w:pPr>
              <w:pStyle w:val="TableText"/>
              <w:tabs>
                <w:tab w:val="decimal" w:pos="794"/>
              </w:tabs>
            </w:pPr>
            <w:r w:rsidRPr="00642432">
              <w:t>6</w:t>
            </w:r>
          </w:p>
        </w:tc>
        <w:tc>
          <w:tcPr>
            <w:tcW w:w="1465" w:type="dxa"/>
            <w:tcBorders>
              <w:top w:val="nil"/>
              <w:bottom w:val="nil"/>
            </w:tcBorders>
          </w:tcPr>
          <w:p w:rsidR="004659AD" w:rsidRPr="00642432" w:rsidRDefault="004659AD" w:rsidP="00014AFF">
            <w:pPr>
              <w:pStyle w:val="TableText"/>
              <w:tabs>
                <w:tab w:val="decimal" w:pos="794"/>
              </w:tabs>
            </w:pPr>
            <w:r w:rsidRPr="00642432">
              <w:t>2</w:t>
            </w:r>
          </w:p>
        </w:tc>
        <w:tc>
          <w:tcPr>
            <w:tcW w:w="1465" w:type="dxa"/>
            <w:tcBorders>
              <w:top w:val="nil"/>
              <w:bottom w:val="nil"/>
            </w:tcBorders>
          </w:tcPr>
          <w:p w:rsidR="004659AD" w:rsidRPr="00642432" w:rsidRDefault="004659AD" w:rsidP="00014AFF">
            <w:pPr>
              <w:pStyle w:val="TableText"/>
              <w:tabs>
                <w:tab w:val="decimal" w:pos="794"/>
              </w:tabs>
            </w:pPr>
            <w:r w:rsidRPr="00642432">
              <w:t>8</w:t>
            </w:r>
          </w:p>
        </w:tc>
      </w:tr>
      <w:tr w:rsidR="004659AD" w:rsidRPr="00642432" w:rsidTr="00014AFF">
        <w:trPr>
          <w:cantSplit/>
        </w:trPr>
        <w:tc>
          <w:tcPr>
            <w:tcW w:w="2410" w:type="dxa"/>
            <w:tcBorders>
              <w:top w:val="nil"/>
              <w:bottom w:val="nil"/>
            </w:tcBorders>
            <w:shd w:val="clear" w:color="auto" w:fill="F2F2F2" w:themeFill="background1" w:themeFillShade="F2"/>
          </w:tcPr>
          <w:p w:rsidR="004659AD" w:rsidRPr="00642432" w:rsidRDefault="004659AD" w:rsidP="00014AFF">
            <w:pPr>
              <w:pStyle w:val="TableText"/>
            </w:pPr>
            <w:r w:rsidRPr="00642432">
              <w:t>30–34</w:t>
            </w:r>
          </w:p>
        </w:tc>
        <w:tc>
          <w:tcPr>
            <w:tcW w:w="1464"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4</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3</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7</w:t>
            </w:r>
          </w:p>
        </w:tc>
      </w:tr>
      <w:tr w:rsidR="004659AD" w:rsidRPr="00642432" w:rsidTr="00014AFF">
        <w:trPr>
          <w:cantSplit/>
        </w:trPr>
        <w:tc>
          <w:tcPr>
            <w:tcW w:w="2410" w:type="dxa"/>
            <w:tcBorders>
              <w:top w:val="nil"/>
              <w:bottom w:val="nil"/>
            </w:tcBorders>
          </w:tcPr>
          <w:p w:rsidR="004659AD" w:rsidRPr="00642432" w:rsidRDefault="004659AD" w:rsidP="00014AFF">
            <w:pPr>
              <w:pStyle w:val="TableText"/>
            </w:pPr>
            <w:r w:rsidRPr="00642432">
              <w:t>35–39</w:t>
            </w:r>
          </w:p>
        </w:tc>
        <w:tc>
          <w:tcPr>
            <w:tcW w:w="1464" w:type="dxa"/>
            <w:tcBorders>
              <w:top w:val="nil"/>
              <w:bottom w:val="nil"/>
            </w:tcBorders>
          </w:tcPr>
          <w:p w:rsidR="004659AD" w:rsidRPr="00642432" w:rsidRDefault="004659AD" w:rsidP="00014AFF">
            <w:pPr>
              <w:pStyle w:val="TableText"/>
              <w:tabs>
                <w:tab w:val="decimal" w:pos="794"/>
              </w:tabs>
            </w:pPr>
            <w:r w:rsidRPr="00642432">
              <w:t>11</w:t>
            </w:r>
          </w:p>
        </w:tc>
        <w:tc>
          <w:tcPr>
            <w:tcW w:w="1465" w:type="dxa"/>
            <w:tcBorders>
              <w:top w:val="nil"/>
              <w:bottom w:val="nil"/>
            </w:tcBorders>
          </w:tcPr>
          <w:p w:rsidR="004659AD" w:rsidRPr="00642432" w:rsidRDefault="004659AD" w:rsidP="00014AFF">
            <w:pPr>
              <w:pStyle w:val="TableText"/>
              <w:tabs>
                <w:tab w:val="decimal" w:pos="794"/>
              </w:tabs>
            </w:pPr>
            <w:r w:rsidRPr="00642432">
              <w:t>9</w:t>
            </w:r>
          </w:p>
        </w:tc>
        <w:tc>
          <w:tcPr>
            <w:tcW w:w="1465" w:type="dxa"/>
            <w:tcBorders>
              <w:top w:val="nil"/>
              <w:bottom w:val="nil"/>
            </w:tcBorders>
          </w:tcPr>
          <w:p w:rsidR="004659AD" w:rsidRPr="00642432" w:rsidRDefault="004659AD" w:rsidP="00014AFF">
            <w:pPr>
              <w:pStyle w:val="TableText"/>
              <w:tabs>
                <w:tab w:val="decimal" w:pos="794"/>
              </w:tabs>
            </w:pPr>
            <w:r w:rsidRPr="00642432">
              <w:t>20</w:t>
            </w:r>
          </w:p>
        </w:tc>
      </w:tr>
      <w:tr w:rsidR="004659AD" w:rsidRPr="00642432" w:rsidTr="00014AFF">
        <w:trPr>
          <w:cantSplit/>
        </w:trPr>
        <w:tc>
          <w:tcPr>
            <w:tcW w:w="2410" w:type="dxa"/>
            <w:tcBorders>
              <w:top w:val="nil"/>
              <w:bottom w:val="nil"/>
            </w:tcBorders>
            <w:shd w:val="clear" w:color="auto" w:fill="F2F2F2" w:themeFill="background1" w:themeFillShade="F2"/>
          </w:tcPr>
          <w:p w:rsidR="004659AD" w:rsidRPr="00642432" w:rsidRDefault="004659AD" w:rsidP="00014AFF">
            <w:pPr>
              <w:pStyle w:val="TableText"/>
            </w:pPr>
            <w:r w:rsidRPr="00642432">
              <w:t>40–44</w:t>
            </w:r>
          </w:p>
        </w:tc>
        <w:tc>
          <w:tcPr>
            <w:tcW w:w="1464"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12</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11</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23</w:t>
            </w:r>
          </w:p>
        </w:tc>
      </w:tr>
      <w:tr w:rsidR="004659AD" w:rsidRPr="00642432" w:rsidTr="00014AFF">
        <w:trPr>
          <w:cantSplit/>
        </w:trPr>
        <w:tc>
          <w:tcPr>
            <w:tcW w:w="2410" w:type="dxa"/>
            <w:tcBorders>
              <w:top w:val="nil"/>
              <w:bottom w:val="nil"/>
            </w:tcBorders>
          </w:tcPr>
          <w:p w:rsidR="004659AD" w:rsidRPr="00642432" w:rsidRDefault="004659AD" w:rsidP="00014AFF">
            <w:pPr>
              <w:pStyle w:val="TableText"/>
            </w:pPr>
            <w:r w:rsidRPr="00642432">
              <w:t>45–49</w:t>
            </w:r>
          </w:p>
        </w:tc>
        <w:tc>
          <w:tcPr>
            <w:tcW w:w="1464" w:type="dxa"/>
            <w:tcBorders>
              <w:top w:val="nil"/>
              <w:bottom w:val="nil"/>
            </w:tcBorders>
          </w:tcPr>
          <w:p w:rsidR="004659AD" w:rsidRPr="00642432" w:rsidRDefault="004659AD" w:rsidP="00014AFF">
            <w:pPr>
              <w:pStyle w:val="TableText"/>
              <w:tabs>
                <w:tab w:val="decimal" w:pos="794"/>
              </w:tabs>
            </w:pPr>
            <w:r w:rsidRPr="00642432">
              <w:t>16</w:t>
            </w:r>
          </w:p>
        </w:tc>
        <w:tc>
          <w:tcPr>
            <w:tcW w:w="1465" w:type="dxa"/>
            <w:tcBorders>
              <w:top w:val="nil"/>
              <w:bottom w:val="nil"/>
            </w:tcBorders>
          </w:tcPr>
          <w:p w:rsidR="004659AD" w:rsidRPr="00642432" w:rsidRDefault="004659AD" w:rsidP="00014AFF">
            <w:pPr>
              <w:pStyle w:val="TableText"/>
              <w:tabs>
                <w:tab w:val="decimal" w:pos="794"/>
              </w:tabs>
            </w:pPr>
            <w:r w:rsidRPr="00642432">
              <w:t>10</w:t>
            </w:r>
          </w:p>
        </w:tc>
        <w:tc>
          <w:tcPr>
            <w:tcW w:w="1465" w:type="dxa"/>
            <w:tcBorders>
              <w:top w:val="nil"/>
              <w:bottom w:val="nil"/>
            </w:tcBorders>
          </w:tcPr>
          <w:p w:rsidR="004659AD" w:rsidRPr="00642432" w:rsidRDefault="004659AD" w:rsidP="00014AFF">
            <w:pPr>
              <w:pStyle w:val="TableText"/>
              <w:tabs>
                <w:tab w:val="decimal" w:pos="794"/>
              </w:tabs>
            </w:pPr>
            <w:r w:rsidRPr="00642432">
              <w:t>26</w:t>
            </w:r>
          </w:p>
        </w:tc>
      </w:tr>
      <w:tr w:rsidR="004659AD" w:rsidRPr="00642432" w:rsidTr="00014AFF">
        <w:trPr>
          <w:cantSplit/>
        </w:trPr>
        <w:tc>
          <w:tcPr>
            <w:tcW w:w="2410" w:type="dxa"/>
            <w:tcBorders>
              <w:top w:val="nil"/>
              <w:bottom w:val="nil"/>
            </w:tcBorders>
            <w:shd w:val="clear" w:color="auto" w:fill="F2F2F2" w:themeFill="background1" w:themeFillShade="F2"/>
          </w:tcPr>
          <w:p w:rsidR="004659AD" w:rsidRPr="00642432" w:rsidRDefault="004659AD" w:rsidP="00014AFF">
            <w:pPr>
              <w:pStyle w:val="TableText"/>
            </w:pPr>
            <w:r w:rsidRPr="00642432">
              <w:t>50–54</w:t>
            </w:r>
          </w:p>
        </w:tc>
        <w:tc>
          <w:tcPr>
            <w:tcW w:w="1464"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19</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9</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28</w:t>
            </w:r>
          </w:p>
        </w:tc>
      </w:tr>
      <w:tr w:rsidR="004659AD" w:rsidRPr="00642432" w:rsidTr="00014AFF">
        <w:trPr>
          <w:cantSplit/>
        </w:trPr>
        <w:tc>
          <w:tcPr>
            <w:tcW w:w="2410" w:type="dxa"/>
            <w:tcBorders>
              <w:top w:val="nil"/>
              <w:bottom w:val="nil"/>
            </w:tcBorders>
          </w:tcPr>
          <w:p w:rsidR="004659AD" w:rsidRPr="00642432" w:rsidRDefault="004659AD" w:rsidP="00014AFF">
            <w:pPr>
              <w:pStyle w:val="TableText"/>
            </w:pPr>
            <w:r w:rsidRPr="00642432">
              <w:t>55–59</w:t>
            </w:r>
          </w:p>
        </w:tc>
        <w:tc>
          <w:tcPr>
            <w:tcW w:w="1464" w:type="dxa"/>
            <w:tcBorders>
              <w:top w:val="nil"/>
              <w:bottom w:val="nil"/>
            </w:tcBorders>
          </w:tcPr>
          <w:p w:rsidR="004659AD" w:rsidRPr="00642432" w:rsidRDefault="004659AD" w:rsidP="00014AFF">
            <w:pPr>
              <w:pStyle w:val="TableText"/>
              <w:tabs>
                <w:tab w:val="decimal" w:pos="794"/>
              </w:tabs>
            </w:pPr>
            <w:r w:rsidRPr="00642432">
              <w:t>14</w:t>
            </w:r>
          </w:p>
        </w:tc>
        <w:tc>
          <w:tcPr>
            <w:tcW w:w="1465" w:type="dxa"/>
            <w:tcBorders>
              <w:top w:val="nil"/>
              <w:bottom w:val="nil"/>
            </w:tcBorders>
          </w:tcPr>
          <w:p w:rsidR="004659AD" w:rsidRPr="00642432" w:rsidRDefault="004659AD" w:rsidP="00014AFF">
            <w:pPr>
              <w:pStyle w:val="TableText"/>
              <w:tabs>
                <w:tab w:val="decimal" w:pos="794"/>
              </w:tabs>
            </w:pPr>
            <w:r w:rsidRPr="00642432">
              <w:t>8</w:t>
            </w:r>
          </w:p>
        </w:tc>
        <w:tc>
          <w:tcPr>
            <w:tcW w:w="1465" w:type="dxa"/>
            <w:tcBorders>
              <w:top w:val="nil"/>
              <w:bottom w:val="nil"/>
            </w:tcBorders>
          </w:tcPr>
          <w:p w:rsidR="004659AD" w:rsidRPr="00642432" w:rsidRDefault="004659AD" w:rsidP="00014AFF">
            <w:pPr>
              <w:pStyle w:val="TableText"/>
              <w:tabs>
                <w:tab w:val="decimal" w:pos="794"/>
              </w:tabs>
            </w:pPr>
            <w:r w:rsidRPr="00642432">
              <w:t>22</w:t>
            </w:r>
          </w:p>
        </w:tc>
      </w:tr>
      <w:tr w:rsidR="004659AD" w:rsidRPr="00642432" w:rsidTr="00014AFF">
        <w:trPr>
          <w:cantSplit/>
        </w:trPr>
        <w:tc>
          <w:tcPr>
            <w:tcW w:w="2410" w:type="dxa"/>
            <w:tcBorders>
              <w:top w:val="nil"/>
              <w:bottom w:val="nil"/>
            </w:tcBorders>
            <w:shd w:val="clear" w:color="auto" w:fill="F2F2F2" w:themeFill="background1" w:themeFillShade="F2"/>
          </w:tcPr>
          <w:p w:rsidR="004659AD" w:rsidRPr="00642432" w:rsidRDefault="004659AD" w:rsidP="00014AFF">
            <w:pPr>
              <w:pStyle w:val="TableText"/>
            </w:pPr>
            <w:r w:rsidRPr="00642432">
              <w:t>60–64</w:t>
            </w:r>
          </w:p>
        </w:tc>
        <w:tc>
          <w:tcPr>
            <w:tcW w:w="1464"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15</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16</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31</w:t>
            </w:r>
          </w:p>
        </w:tc>
      </w:tr>
      <w:tr w:rsidR="004659AD" w:rsidRPr="00642432" w:rsidTr="00014AFF">
        <w:trPr>
          <w:cantSplit/>
        </w:trPr>
        <w:tc>
          <w:tcPr>
            <w:tcW w:w="2410" w:type="dxa"/>
            <w:tcBorders>
              <w:top w:val="nil"/>
              <w:bottom w:val="nil"/>
            </w:tcBorders>
          </w:tcPr>
          <w:p w:rsidR="004659AD" w:rsidRPr="00642432" w:rsidRDefault="004659AD" w:rsidP="00014AFF">
            <w:pPr>
              <w:pStyle w:val="TableText"/>
            </w:pPr>
            <w:r w:rsidRPr="00642432">
              <w:t>65–69</w:t>
            </w:r>
          </w:p>
        </w:tc>
        <w:tc>
          <w:tcPr>
            <w:tcW w:w="1464" w:type="dxa"/>
            <w:tcBorders>
              <w:top w:val="nil"/>
              <w:bottom w:val="nil"/>
            </w:tcBorders>
          </w:tcPr>
          <w:p w:rsidR="004659AD" w:rsidRPr="00642432" w:rsidRDefault="004659AD" w:rsidP="00014AFF">
            <w:pPr>
              <w:pStyle w:val="TableText"/>
              <w:tabs>
                <w:tab w:val="decimal" w:pos="794"/>
              </w:tabs>
            </w:pPr>
            <w:r w:rsidRPr="00642432">
              <w:t>18</w:t>
            </w:r>
          </w:p>
        </w:tc>
        <w:tc>
          <w:tcPr>
            <w:tcW w:w="1465" w:type="dxa"/>
            <w:tcBorders>
              <w:top w:val="nil"/>
              <w:bottom w:val="nil"/>
            </w:tcBorders>
          </w:tcPr>
          <w:p w:rsidR="004659AD" w:rsidRPr="00642432" w:rsidRDefault="004659AD" w:rsidP="00014AFF">
            <w:pPr>
              <w:pStyle w:val="TableText"/>
              <w:tabs>
                <w:tab w:val="decimal" w:pos="794"/>
              </w:tabs>
            </w:pPr>
            <w:r w:rsidRPr="00642432">
              <w:t>0</w:t>
            </w:r>
          </w:p>
        </w:tc>
        <w:tc>
          <w:tcPr>
            <w:tcW w:w="1465" w:type="dxa"/>
            <w:tcBorders>
              <w:top w:val="nil"/>
              <w:bottom w:val="nil"/>
            </w:tcBorders>
          </w:tcPr>
          <w:p w:rsidR="004659AD" w:rsidRPr="00642432" w:rsidRDefault="004659AD" w:rsidP="00014AFF">
            <w:pPr>
              <w:pStyle w:val="TableText"/>
              <w:tabs>
                <w:tab w:val="decimal" w:pos="794"/>
              </w:tabs>
            </w:pPr>
            <w:r w:rsidRPr="00642432">
              <w:t>18</w:t>
            </w:r>
          </w:p>
        </w:tc>
      </w:tr>
      <w:tr w:rsidR="004659AD" w:rsidRPr="00642432" w:rsidTr="00014AFF">
        <w:trPr>
          <w:cantSplit/>
        </w:trPr>
        <w:tc>
          <w:tcPr>
            <w:tcW w:w="2410" w:type="dxa"/>
            <w:tcBorders>
              <w:top w:val="nil"/>
              <w:bottom w:val="nil"/>
            </w:tcBorders>
            <w:shd w:val="clear" w:color="auto" w:fill="F2F2F2" w:themeFill="background1" w:themeFillShade="F2"/>
          </w:tcPr>
          <w:p w:rsidR="004659AD" w:rsidRPr="00642432" w:rsidRDefault="004659AD" w:rsidP="00014AFF">
            <w:pPr>
              <w:pStyle w:val="TableText"/>
            </w:pPr>
            <w:r w:rsidRPr="00642432">
              <w:t>70–74</w:t>
            </w:r>
          </w:p>
        </w:tc>
        <w:tc>
          <w:tcPr>
            <w:tcW w:w="1464"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11</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8</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19</w:t>
            </w:r>
          </w:p>
        </w:tc>
      </w:tr>
      <w:tr w:rsidR="004659AD" w:rsidRPr="00642432" w:rsidTr="00014AFF">
        <w:trPr>
          <w:cantSplit/>
        </w:trPr>
        <w:tc>
          <w:tcPr>
            <w:tcW w:w="2410" w:type="dxa"/>
            <w:tcBorders>
              <w:top w:val="nil"/>
              <w:bottom w:val="nil"/>
            </w:tcBorders>
          </w:tcPr>
          <w:p w:rsidR="004659AD" w:rsidRPr="00642432" w:rsidRDefault="004659AD" w:rsidP="00014AFF">
            <w:pPr>
              <w:pStyle w:val="TableText"/>
            </w:pPr>
            <w:r w:rsidRPr="00642432">
              <w:t>75–79</w:t>
            </w:r>
          </w:p>
        </w:tc>
        <w:tc>
          <w:tcPr>
            <w:tcW w:w="1464" w:type="dxa"/>
            <w:tcBorders>
              <w:top w:val="nil"/>
              <w:bottom w:val="nil"/>
            </w:tcBorders>
          </w:tcPr>
          <w:p w:rsidR="004659AD" w:rsidRPr="00642432" w:rsidRDefault="004659AD" w:rsidP="00014AFF">
            <w:pPr>
              <w:pStyle w:val="TableText"/>
              <w:tabs>
                <w:tab w:val="decimal" w:pos="794"/>
              </w:tabs>
            </w:pPr>
            <w:r w:rsidRPr="00642432">
              <w:t>12</w:t>
            </w:r>
          </w:p>
        </w:tc>
        <w:tc>
          <w:tcPr>
            <w:tcW w:w="1465" w:type="dxa"/>
            <w:tcBorders>
              <w:top w:val="nil"/>
              <w:bottom w:val="nil"/>
            </w:tcBorders>
          </w:tcPr>
          <w:p w:rsidR="004659AD" w:rsidRPr="00642432" w:rsidRDefault="004659AD" w:rsidP="00014AFF">
            <w:pPr>
              <w:pStyle w:val="TableText"/>
              <w:tabs>
                <w:tab w:val="decimal" w:pos="794"/>
              </w:tabs>
            </w:pPr>
            <w:r w:rsidRPr="00642432">
              <w:t>3</w:t>
            </w:r>
          </w:p>
        </w:tc>
        <w:tc>
          <w:tcPr>
            <w:tcW w:w="1465" w:type="dxa"/>
            <w:tcBorders>
              <w:top w:val="nil"/>
              <w:bottom w:val="nil"/>
            </w:tcBorders>
          </w:tcPr>
          <w:p w:rsidR="004659AD" w:rsidRPr="00642432" w:rsidRDefault="004659AD" w:rsidP="00014AFF">
            <w:pPr>
              <w:pStyle w:val="TableText"/>
              <w:tabs>
                <w:tab w:val="decimal" w:pos="794"/>
              </w:tabs>
            </w:pPr>
            <w:r w:rsidRPr="00642432">
              <w:t>15</w:t>
            </w:r>
          </w:p>
        </w:tc>
      </w:tr>
      <w:tr w:rsidR="004659AD" w:rsidRPr="00642432" w:rsidTr="00014AFF">
        <w:trPr>
          <w:cantSplit/>
        </w:trPr>
        <w:tc>
          <w:tcPr>
            <w:tcW w:w="2410" w:type="dxa"/>
            <w:tcBorders>
              <w:top w:val="nil"/>
              <w:bottom w:val="nil"/>
            </w:tcBorders>
            <w:shd w:val="clear" w:color="auto" w:fill="F2F2F2" w:themeFill="background1" w:themeFillShade="F2"/>
          </w:tcPr>
          <w:p w:rsidR="004659AD" w:rsidRPr="00642432" w:rsidRDefault="004659AD" w:rsidP="00014AFF">
            <w:pPr>
              <w:pStyle w:val="TableText"/>
            </w:pPr>
            <w:r w:rsidRPr="00642432">
              <w:t>80–84</w:t>
            </w:r>
          </w:p>
        </w:tc>
        <w:tc>
          <w:tcPr>
            <w:tcW w:w="1464"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10</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4</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14</w:t>
            </w:r>
          </w:p>
        </w:tc>
      </w:tr>
      <w:tr w:rsidR="004659AD" w:rsidRPr="00642432" w:rsidTr="00014AFF">
        <w:trPr>
          <w:cantSplit/>
        </w:trPr>
        <w:tc>
          <w:tcPr>
            <w:tcW w:w="2410" w:type="dxa"/>
            <w:tcBorders>
              <w:top w:val="nil"/>
              <w:bottom w:val="nil"/>
            </w:tcBorders>
          </w:tcPr>
          <w:p w:rsidR="004659AD" w:rsidRPr="00642432" w:rsidRDefault="004659AD" w:rsidP="00014AFF">
            <w:pPr>
              <w:pStyle w:val="TableText"/>
            </w:pPr>
            <w:r w:rsidRPr="00642432">
              <w:t>85–89</w:t>
            </w:r>
          </w:p>
        </w:tc>
        <w:tc>
          <w:tcPr>
            <w:tcW w:w="1464" w:type="dxa"/>
            <w:tcBorders>
              <w:top w:val="nil"/>
              <w:bottom w:val="nil"/>
            </w:tcBorders>
          </w:tcPr>
          <w:p w:rsidR="004659AD" w:rsidRPr="00642432" w:rsidRDefault="004659AD" w:rsidP="00014AFF">
            <w:pPr>
              <w:pStyle w:val="TableText"/>
              <w:tabs>
                <w:tab w:val="decimal" w:pos="794"/>
              </w:tabs>
            </w:pPr>
            <w:r w:rsidRPr="00642432">
              <w:t>8</w:t>
            </w:r>
          </w:p>
        </w:tc>
        <w:tc>
          <w:tcPr>
            <w:tcW w:w="1465" w:type="dxa"/>
            <w:tcBorders>
              <w:top w:val="nil"/>
              <w:bottom w:val="nil"/>
            </w:tcBorders>
          </w:tcPr>
          <w:p w:rsidR="004659AD" w:rsidRPr="00642432" w:rsidRDefault="004659AD" w:rsidP="00014AFF">
            <w:pPr>
              <w:pStyle w:val="TableText"/>
              <w:tabs>
                <w:tab w:val="decimal" w:pos="794"/>
              </w:tabs>
            </w:pPr>
            <w:r w:rsidRPr="00642432">
              <w:t>0</w:t>
            </w:r>
          </w:p>
        </w:tc>
        <w:tc>
          <w:tcPr>
            <w:tcW w:w="1465" w:type="dxa"/>
            <w:tcBorders>
              <w:top w:val="nil"/>
              <w:bottom w:val="nil"/>
            </w:tcBorders>
          </w:tcPr>
          <w:p w:rsidR="004659AD" w:rsidRPr="00642432" w:rsidRDefault="004659AD" w:rsidP="00014AFF">
            <w:pPr>
              <w:pStyle w:val="TableText"/>
              <w:tabs>
                <w:tab w:val="decimal" w:pos="794"/>
              </w:tabs>
            </w:pPr>
            <w:r w:rsidRPr="00642432">
              <w:t>8</w:t>
            </w:r>
          </w:p>
        </w:tc>
      </w:tr>
      <w:tr w:rsidR="004659AD" w:rsidRPr="00642432" w:rsidTr="00014AFF">
        <w:trPr>
          <w:cantSplit/>
        </w:trPr>
        <w:tc>
          <w:tcPr>
            <w:tcW w:w="2410" w:type="dxa"/>
            <w:tcBorders>
              <w:top w:val="nil"/>
              <w:bottom w:val="nil"/>
            </w:tcBorders>
            <w:shd w:val="clear" w:color="auto" w:fill="F2F2F2" w:themeFill="background1" w:themeFillShade="F2"/>
          </w:tcPr>
          <w:p w:rsidR="004659AD" w:rsidRPr="00642432" w:rsidRDefault="004659AD" w:rsidP="00014AFF">
            <w:pPr>
              <w:pStyle w:val="TableText"/>
            </w:pPr>
            <w:r w:rsidRPr="00642432">
              <w:t>90–95</w:t>
            </w:r>
          </w:p>
        </w:tc>
        <w:tc>
          <w:tcPr>
            <w:tcW w:w="1464"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3</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0</w:t>
            </w:r>
          </w:p>
        </w:tc>
        <w:tc>
          <w:tcPr>
            <w:tcW w:w="1465" w:type="dxa"/>
            <w:tcBorders>
              <w:top w:val="nil"/>
              <w:bottom w:val="nil"/>
            </w:tcBorders>
            <w:shd w:val="clear" w:color="auto" w:fill="F2F2F2" w:themeFill="background1" w:themeFillShade="F2"/>
          </w:tcPr>
          <w:p w:rsidR="004659AD" w:rsidRPr="00642432" w:rsidRDefault="004659AD" w:rsidP="00014AFF">
            <w:pPr>
              <w:pStyle w:val="TableText"/>
              <w:tabs>
                <w:tab w:val="decimal" w:pos="794"/>
              </w:tabs>
            </w:pPr>
            <w:r w:rsidRPr="00642432">
              <w:t>3</w:t>
            </w:r>
          </w:p>
        </w:tc>
      </w:tr>
      <w:tr w:rsidR="004659AD" w:rsidRPr="00642432" w:rsidTr="00014AFF">
        <w:trPr>
          <w:cantSplit/>
        </w:trPr>
        <w:tc>
          <w:tcPr>
            <w:tcW w:w="2410" w:type="dxa"/>
            <w:tcBorders>
              <w:top w:val="nil"/>
            </w:tcBorders>
          </w:tcPr>
          <w:p w:rsidR="004659AD" w:rsidRPr="00642432" w:rsidRDefault="004659AD" w:rsidP="00014AFF">
            <w:pPr>
              <w:pStyle w:val="TableText"/>
            </w:pPr>
            <w:r w:rsidRPr="00642432">
              <w:t>Total</w:t>
            </w:r>
          </w:p>
        </w:tc>
        <w:tc>
          <w:tcPr>
            <w:tcW w:w="1464" w:type="dxa"/>
            <w:tcBorders>
              <w:top w:val="nil"/>
            </w:tcBorders>
          </w:tcPr>
          <w:p w:rsidR="004659AD" w:rsidRPr="00642432" w:rsidRDefault="004659AD" w:rsidP="00014AFF">
            <w:pPr>
              <w:pStyle w:val="TableText"/>
              <w:tabs>
                <w:tab w:val="decimal" w:pos="794"/>
              </w:tabs>
            </w:pPr>
            <w:r w:rsidRPr="00642432">
              <w:t>165</w:t>
            </w:r>
          </w:p>
        </w:tc>
        <w:tc>
          <w:tcPr>
            <w:tcW w:w="1465" w:type="dxa"/>
            <w:tcBorders>
              <w:top w:val="nil"/>
            </w:tcBorders>
          </w:tcPr>
          <w:p w:rsidR="004659AD" w:rsidRPr="00642432" w:rsidRDefault="004659AD" w:rsidP="00014AFF">
            <w:pPr>
              <w:pStyle w:val="TableText"/>
              <w:tabs>
                <w:tab w:val="decimal" w:pos="794"/>
              </w:tabs>
            </w:pPr>
            <w:r w:rsidRPr="00642432">
              <w:t>88</w:t>
            </w:r>
          </w:p>
        </w:tc>
        <w:tc>
          <w:tcPr>
            <w:tcW w:w="1465" w:type="dxa"/>
            <w:tcBorders>
              <w:top w:val="nil"/>
            </w:tcBorders>
          </w:tcPr>
          <w:p w:rsidR="004659AD" w:rsidRPr="00642432" w:rsidRDefault="004659AD" w:rsidP="00014AFF">
            <w:pPr>
              <w:pStyle w:val="TableText"/>
              <w:tabs>
                <w:tab w:val="decimal" w:pos="794"/>
              </w:tabs>
            </w:pPr>
            <w:r w:rsidRPr="00642432">
              <w:t>253</w:t>
            </w:r>
          </w:p>
        </w:tc>
      </w:tr>
    </w:tbl>
    <w:p w:rsidR="004659AD" w:rsidRPr="00642432" w:rsidRDefault="004659AD" w:rsidP="00014AFF">
      <w:pPr>
        <w:pStyle w:val="Source"/>
        <w:ind w:left="0" w:firstLine="0"/>
      </w:pPr>
      <w:r w:rsidRPr="00642432">
        <w:t>Note:</w:t>
      </w:r>
      <w:r w:rsidR="00D32DDD" w:rsidRPr="00642432">
        <w:t xml:space="preserve"> </w:t>
      </w:r>
      <w:r w:rsidRPr="00642432">
        <w:t>This</w:t>
      </w:r>
      <w:r w:rsidR="00D32DDD" w:rsidRPr="00642432">
        <w:t xml:space="preserve"> </w:t>
      </w:r>
      <w:r w:rsidRPr="00642432">
        <w:t>table does not include ECT figures for people receiving treatment with health services for older people in the Central and Southern regions. Health services for older people in these regions do not report to PRIMHD.</w:t>
      </w:r>
    </w:p>
    <w:p w:rsidR="004659AD" w:rsidRPr="00642432" w:rsidRDefault="004659AD" w:rsidP="00014AFF">
      <w:pPr>
        <w:pStyle w:val="Source"/>
        <w:ind w:left="0" w:firstLine="0"/>
      </w:pPr>
      <w:r w:rsidRPr="00642432">
        <w:t>Source: PRIMHD data, extracted on 8 July 2014, except for Hawke’s Bay DHB, which provided manual data</w:t>
      </w:r>
      <w:r w:rsidR="00014AFF">
        <w:t>.</w:t>
      </w:r>
    </w:p>
    <w:p w:rsidR="004659AD" w:rsidRPr="00642432" w:rsidRDefault="004659AD" w:rsidP="00014AFF"/>
    <w:p w:rsidR="004659AD" w:rsidRPr="00642432" w:rsidRDefault="004659AD" w:rsidP="00014AFF">
      <w:pPr>
        <w:pStyle w:val="Figure"/>
      </w:pPr>
      <w:bookmarkStart w:id="59" w:name="_Toc405113777"/>
      <w:r w:rsidRPr="00642432">
        <w:t>Figure 23: Number of people treated with ECT, by age group and gender, 1 January to</w:t>
      </w:r>
      <w:r w:rsidR="00014AFF">
        <w:t xml:space="preserve"> </w:t>
      </w:r>
      <w:r w:rsidRPr="00642432">
        <w:t>31</w:t>
      </w:r>
      <w:r w:rsidR="00014AFF">
        <w:t> </w:t>
      </w:r>
      <w:r w:rsidRPr="00642432">
        <w:t>December 2013</w:t>
      </w:r>
      <w:bookmarkEnd w:id="59"/>
    </w:p>
    <w:p w:rsidR="004659AD" w:rsidRPr="00642432" w:rsidRDefault="00014AFF" w:rsidP="00014AFF">
      <w:r w:rsidRPr="00014AFF">
        <w:rPr>
          <w:noProof/>
          <w:lang w:eastAsia="en-NZ"/>
        </w:rPr>
        <w:drawing>
          <wp:inline distT="0" distB="0" distL="0" distR="0" wp14:anchorId="66BD432A" wp14:editId="05C685B1">
            <wp:extent cx="4788131" cy="2115868"/>
            <wp:effectExtent l="0" t="0" r="0" b="0"/>
            <wp:docPr id="5517" name="Picture 5517" title="Figure 23: Number of people treated with ECT, by age group and gender, 1 January to 31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grayscl/>
                    </a:blip>
                    <a:stretch>
                      <a:fillRect/>
                    </a:stretch>
                  </pic:blipFill>
                  <pic:spPr>
                    <a:xfrm>
                      <a:off x="0" y="0"/>
                      <a:ext cx="4787038" cy="2115385"/>
                    </a:xfrm>
                    <a:prstGeom prst="rect">
                      <a:avLst/>
                    </a:prstGeom>
                  </pic:spPr>
                </pic:pic>
              </a:graphicData>
            </a:graphic>
          </wp:inline>
        </w:drawing>
      </w:r>
    </w:p>
    <w:p w:rsidR="00014AFF" w:rsidRDefault="004659AD" w:rsidP="00014AFF">
      <w:pPr>
        <w:pStyle w:val="Note"/>
        <w:ind w:left="0" w:firstLine="0"/>
      </w:pPr>
      <w:r w:rsidRPr="00642432">
        <w:t>Note:</w:t>
      </w:r>
      <w:r w:rsidR="00D32DDD" w:rsidRPr="00642432">
        <w:t xml:space="preserve"> </w:t>
      </w:r>
      <w:r w:rsidRPr="00642432">
        <w:t>This</w:t>
      </w:r>
      <w:r w:rsidR="00D32DDD" w:rsidRPr="00642432">
        <w:t xml:space="preserve"> </w:t>
      </w:r>
      <w:r w:rsidRPr="00642432">
        <w:t>table does not include ECT figures for people receiving treatment with health services for older people in the</w:t>
      </w:r>
      <w:r w:rsidR="00014AFF">
        <w:t xml:space="preserve"> </w:t>
      </w:r>
      <w:r w:rsidRPr="00642432">
        <w:t>Central and Southern regions. Health services for older people in these regions do not report to PRIMHD.</w:t>
      </w:r>
    </w:p>
    <w:p w:rsidR="004659AD" w:rsidRPr="00642432" w:rsidRDefault="004659AD" w:rsidP="00014AFF">
      <w:pPr>
        <w:pStyle w:val="Source"/>
        <w:ind w:left="0" w:firstLine="0"/>
      </w:pPr>
      <w:r w:rsidRPr="00642432">
        <w:t>Source: PRIMHD data, extracted on 8 August 2014, except for Hawke’s Bay DHB, which provided manual data</w:t>
      </w:r>
      <w:r w:rsidR="00014AFF">
        <w:t>.</w:t>
      </w:r>
    </w:p>
    <w:p w:rsidR="004659AD" w:rsidRPr="00642432" w:rsidRDefault="004659AD" w:rsidP="00014AFF"/>
    <w:p w:rsidR="004659AD" w:rsidRPr="00642432" w:rsidRDefault="004659AD" w:rsidP="00014AFF">
      <w:pPr>
        <w:pStyle w:val="Heading3"/>
      </w:pPr>
      <w:r w:rsidRPr="00642432">
        <w:t>Ethnicity of people treated with ECT</w:t>
      </w:r>
    </w:p>
    <w:p w:rsidR="004659AD" w:rsidRPr="00642432" w:rsidRDefault="004659AD" w:rsidP="00014AFF">
      <w:r w:rsidRPr="00642432">
        <w:t>The numbers presented in Table 10 suggest that Asian, Māori and Pacific peoples are less likely to receive ECT than those of European ethnicity. However, the numbers involved are so small that it is not statistically appropriate to compare the percentages of people receiving ECT in each ethnic group with the proportion of each ethnic group in the total population of New Zealand.</w:t>
      </w:r>
    </w:p>
    <w:p w:rsidR="004659AD" w:rsidRPr="00642432" w:rsidRDefault="004659AD" w:rsidP="00014AFF"/>
    <w:p w:rsidR="004659AD" w:rsidRPr="00642432" w:rsidRDefault="004659AD" w:rsidP="00014AFF">
      <w:pPr>
        <w:pStyle w:val="Table"/>
      </w:pPr>
      <w:bookmarkStart w:id="60" w:name="_Toc405113690"/>
      <w:r w:rsidRPr="00642432">
        <w:t>Table 10: Number of people treated with ECT, by ethnicity, 1 January to 31 December 2013</w:t>
      </w:r>
      <w:bookmarkEnd w:id="60"/>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960"/>
        <w:gridCol w:w="4844"/>
      </w:tblGrid>
      <w:tr w:rsidR="00014AFF" w:rsidRPr="00014AFF" w:rsidTr="00014AFF">
        <w:trPr>
          <w:cantSplit/>
        </w:trPr>
        <w:tc>
          <w:tcPr>
            <w:tcW w:w="1960" w:type="dxa"/>
            <w:tcBorders>
              <w:top w:val="single" w:sz="4" w:space="0" w:color="auto"/>
              <w:bottom w:val="single" w:sz="4" w:space="0" w:color="auto"/>
            </w:tcBorders>
            <w:shd w:val="clear" w:color="auto" w:fill="F2F2F2" w:themeFill="background1" w:themeFillShade="F2"/>
          </w:tcPr>
          <w:p w:rsidR="00014AFF" w:rsidRPr="00014AFF" w:rsidRDefault="00014AFF" w:rsidP="00014AFF">
            <w:pPr>
              <w:pStyle w:val="TableText"/>
              <w:rPr>
                <w:b/>
              </w:rPr>
            </w:pPr>
            <w:r w:rsidRPr="00014AFF">
              <w:rPr>
                <w:b/>
              </w:rPr>
              <w:t>Ethnicity</w:t>
            </w:r>
          </w:p>
        </w:tc>
        <w:tc>
          <w:tcPr>
            <w:tcW w:w="4844" w:type="dxa"/>
            <w:tcBorders>
              <w:top w:val="single" w:sz="4" w:space="0" w:color="auto"/>
              <w:bottom w:val="single" w:sz="4" w:space="0" w:color="auto"/>
            </w:tcBorders>
            <w:shd w:val="clear" w:color="auto" w:fill="F2F2F2" w:themeFill="background1" w:themeFillShade="F2"/>
          </w:tcPr>
          <w:p w:rsidR="00014AFF" w:rsidRPr="00014AFF" w:rsidRDefault="00014AFF" w:rsidP="00014AFF">
            <w:pPr>
              <w:pStyle w:val="TableText"/>
              <w:jc w:val="center"/>
              <w:rPr>
                <w:b/>
              </w:rPr>
            </w:pPr>
            <w:r w:rsidRPr="00014AFF">
              <w:rPr>
                <w:b/>
              </w:rPr>
              <w:t>Number of people treated with ECT</w:t>
            </w:r>
          </w:p>
        </w:tc>
      </w:tr>
      <w:tr w:rsidR="004659AD" w:rsidRPr="00642432" w:rsidTr="00014AFF">
        <w:trPr>
          <w:cantSplit/>
        </w:trPr>
        <w:tc>
          <w:tcPr>
            <w:tcW w:w="1960" w:type="dxa"/>
            <w:tcBorders>
              <w:top w:val="single" w:sz="4" w:space="0" w:color="auto"/>
              <w:bottom w:val="nil"/>
            </w:tcBorders>
          </w:tcPr>
          <w:p w:rsidR="004659AD" w:rsidRPr="00642432" w:rsidRDefault="004659AD" w:rsidP="00014AFF">
            <w:pPr>
              <w:pStyle w:val="TableText"/>
            </w:pPr>
            <w:r w:rsidRPr="00642432">
              <w:t>Asian</w:t>
            </w:r>
          </w:p>
        </w:tc>
        <w:tc>
          <w:tcPr>
            <w:tcW w:w="4844" w:type="dxa"/>
            <w:tcBorders>
              <w:top w:val="single" w:sz="4" w:space="0" w:color="auto"/>
              <w:bottom w:val="nil"/>
            </w:tcBorders>
          </w:tcPr>
          <w:p w:rsidR="004659AD" w:rsidRPr="00642432" w:rsidRDefault="004659AD" w:rsidP="00014AFF">
            <w:pPr>
              <w:pStyle w:val="TableText"/>
              <w:tabs>
                <w:tab w:val="decimal" w:pos="2519"/>
              </w:tabs>
            </w:pPr>
            <w:r w:rsidRPr="00642432">
              <w:t>9</w:t>
            </w:r>
          </w:p>
        </w:tc>
      </w:tr>
      <w:tr w:rsidR="004659AD" w:rsidRPr="00642432" w:rsidTr="00014AFF">
        <w:trPr>
          <w:cantSplit/>
        </w:trPr>
        <w:tc>
          <w:tcPr>
            <w:tcW w:w="1960" w:type="dxa"/>
            <w:tcBorders>
              <w:top w:val="nil"/>
              <w:bottom w:val="nil"/>
            </w:tcBorders>
            <w:shd w:val="clear" w:color="auto" w:fill="F2F2F2" w:themeFill="background1" w:themeFillShade="F2"/>
          </w:tcPr>
          <w:p w:rsidR="004659AD" w:rsidRPr="00642432" w:rsidRDefault="004659AD" w:rsidP="00014AFF">
            <w:pPr>
              <w:pStyle w:val="TableText"/>
            </w:pPr>
            <w:r w:rsidRPr="00642432">
              <w:t>European</w:t>
            </w:r>
          </w:p>
        </w:tc>
        <w:tc>
          <w:tcPr>
            <w:tcW w:w="4844" w:type="dxa"/>
            <w:tcBorders>
              <w:top w:val="nil"/>
              <w:bottom w:val="nil"/>
            </w:tcBorders>
            <w:shd w:val="clear" w:color="auto" w:fill="F2F2F2" w:themeFill="background1" w:themeFillShade="F2"/>
          </w:tcPr>
          <w:p w:rsidR="004659AD" w:rsidRPr="00642432" w:rsidRDefault="004659AD" w:rsidP="00014AFF">
            <w:pPr>
              <w:pStyle w:val="TableText"/>
              <w:tabs>
                <w:tab w:val="decimal" w:pos="2519"/>
              </w:tabs>
            </w:pPr>
            <w:r w:rsidRPr="00642432">
              <w:t>213</w:t>
            </w:r>
          </w:p>
        </w:tc>
      </w:tr>
      <w:tr w:rsidR="004659AD" w:rsidRPr="00642432" w:rsidTr="00014AFF">
        <w:trPr>
          <w:cantSplit/>
        </w:trPr>
        <w:tc>
          <w:tcPr>
            <w:tcW w:w="1960" w:type="dxa"/>
            <w:tcBorders>
              <w:top w:val="nil"/>
              <w:bottom w:val="nil"/>
            </w:tcBorders>
          </w:tcPr>
          <w:p w:rsidR="004659AD" w:rsidRPr="00642432" w:rsidRDefault="004659AD" w:rsidP="00014AFF">
            <w:pPr>
              <w:pStyle w:val="TableText"/>
            </w:pPr>
            <w:r w:rsidRPr="00642432">
              <w:t>Māori</w:t>
            </w:r>
          </w:p>
        </w:tc>
        <w:tc>
          <w:tcPr>
            <w:tcW w:w="4844" w:type="dxa"/>
            <w:tcBorders>
              <w:top w:val="nil"/>
              <w:bottom w:val="nil"/>
            </w:tcBorders>
          </w:tcPr>
          <w:p w:rsidR="004659AD" w:rsidRPr="00642432" w:rsidRDefault="004659AD" w:rsidP="00014AFF">
            <w:pPr>
              <w:pStyle w:val="TableText"/>
              <w:tabs>
                <w:tab w:val="decimal" w:pos="2519"/>
              </w:tabs>
            </w:pPr>
            <w:r w:rsidRPr="00642432">
              <w:t>20</w:t>
            </w:r>
          </w:p>
        </w:tc>
      </w:tr>
      <w:tr w:rsidR="004659AD" w:rsidRPr="00642432" w:rsidTr="00014AFF">
        <w:trPr>
          <w:cantSplit/>
        </w:trPr>
        <w:tc>
          <w:tcPr>
            <w:tcW w:w="1960" w:type="dxa"/>
            <w:tcBorders>
              <w:top w:val="nil"/>
              <w:bottom w:val="nil"/>
            </w:tcBorders>
            <w:shd w:val="clear" w:color="auto" w:fill="F2F2F2" w:themeFill="background1" w:themeFillShade="F2"/>
          </w:tcPr>
          <w:p w:rsidR="004659AD" w:rsidRPr="00642432" w:rsidRDefault="004659AD" w:rsidP="00014AFF">
            <w:pPr>
              <w:pStyle w:val="TableText"/>
            </w:pPr>
            <w:r w:rsidRPr="00642432">
              <w:t>Pacific</w:t>
            </w:r>
          </w:p>
        </w:tc>
        <w:tc>
          <w:tcPr>
            <w:tcW w:w="4844" w:type="dxa"/>
            <w:tcBorders>
              <w:top w:val="nil"/>
              <w:bottom w:val="nil"/>
            </w:tcBorders>
            <w:shd w:val="clear" w:color="auto" w:fill="F2F2F2" w:themeFill="background1" w:themeFillShade="F2"/>
          </w:tcPr>
          <w:p w:rsidR="004659AD" w:rsidRPr="00642432" w:rsidRDefault="004659AD" w:rsidP="00014AFF">
            <w:pPr>
              <w:pStyle w:val="TableText"/>
              <w:tabs>
                <w:tab w:val="decimal" w:pos="2519"/>
              </w:tabs>
            </w:pPr>
            <w:r w:rsidRPr="00642432">
              <w:t>6</w:t>
            </w:r>
          </w:p>
        </w:tc>
      </w:tr>
      <w:tr w:rsidR="004659AD" w:rsidRPr="00642432" w:rsidTr="00014AFF">
        <w:trPr>
          <w:cantSplit/>
        </w:trPr>
        <w:tc>
          <w:tcPr>
            <w:tcW w:w="1960" w:type="dxa"/>
            <w:tcBorders>
              <w:top w:val="nil"/>
              <w:bottom w:val="nil"/>
            </w:tcBorders>
          </w:tcPr>
          <w:p w:rsidR="004659AD" w:rsidRPr="00642432" w:rsidRDefault="004659AD" w:rsidP="00014AFF">
            <w:pPr>
              <w:pStyle w:val="TableText"/>
            </w:pPr>
            <w:r w:rsidRPr="00642432">
              <w:t>Other</w:t>
            </w:r>
          </w:p>
        </w:tc>
        <w:tc>
          <w:tcPr>
            <w:tcW w:w="4844" w:type="dxa"/>
            <w:tcBorders>
              <w:top w:val="nil"/>
              <w:bottom w:val="nil"/>
            </w:tcBorders>
          </w:tcPr>
          <w:p w:rsidR="004659AD" w:rsidRPr="00642432" w:rsidRDefault="004659AD" w:rsidP="00014AFF">
            <w:pPr>
              <w:pStyle w:val="TableText"/>
              <w:tabs>
                <w:tab w:val="decimal" w:pos="2519"/>
              </w:tabs>
            </w:pPr>
            <w:r w:rsidRPr="00642432">
              <w:t>5</w:t>
            </w:r>
          </w:p>
        </w:tc>
      </w:tr>
      <w:tr w:rsidR="004659AD" w:rsidRPr="00642432" w:rsidTr="00014AFF">
        <w:trPr>
          <w:cantSplit/>
        </w:trPr>
        <w:tc>
          <w:tcPr>
            <w:tcW w:w="1960" w:type="dxa"/>
            <w:tcBorders>
              <w:top w:val="nil"/>
              <w:bottom w:val="single" w:sz="4" w:space="0" w:color="auto"/>
            </w:tcBorders>
            <w:shd w:val="clear" w:color="auto" w:fill="F2F2F2" w:themeFill="background1" w:themeFillShade="F2"/>
          </w:tcPr>
          <w:p w:rsidR="004659AD" w:rsidRPr="00642432" w:rsidRDefault="004659AD" w:rsidP="00014AFF">
            <w:pPr>
              <w:pStyle w:val="TableText"/>
            </w:pPr>
            <w:r w:rsidRPr="00642432">
              <w:t>Total</w:t>
            </w:r>
          </w:p>
        </w:tc>
        <w:tc>
          <w:tcPr>
            <w:tcW w:w="4844" w:type="dxa"/>
            <w:tcBorders>
              <w:top w:val="nil"/>
              <w:bottom w:val="single" w:sz="4" w:space="0" w:color="auto"/>
            </w:tcBorders>
            <w:shd w:val="clear" w:color="auto" w:fill="F2F2F2" w:themeFill="background1" w:themeFillShade="F2"/>
          </w:tcPr>
          <w:p w:rsidR="004659AD" w:rsidRPr="00642432" w:rsidRDefault="004659AD" w:rsidP="00014AFF">
            <w:pPr>
              <w:pStyle w:val="TableText"/>
              <w:tabs>
                <w:tab w:val="decimal" w:pos="2519"/>
              </w:tabs>
            </w:pPr>
            <w:r w:rsidRPr="00642432">
              <w:t>253</w:t>
            </w:r>
          </w:p>
        </w:tc>
      </w:tr>
    </w:tbl>
    <w:p w:rsidR="004659AD" w:rsidRPr="00642432" w:rsidRDefault="004659AD" w:rsidP="00014AFF">
      <w:pPr>
        <w:pStyle w:val="Note"/>
        <w:ind w:left="0" w:firstLine="0"/>
      </w:pPr>
      <w:r w:rsidRPr="00642432">
        <w:t>Note:</w:t>
      </w:r>
      <w:r w:rsidR="00D32DDD" w:rsidRPr="00642432">
        <w:t xml:space="preserve"> </w:t>
      </w:r>
      <w:r w:rsidRPr="00642432">
        <w:t>This</w:t>
      </w:r>
      <w:r w:rsidR="00D32DDD" w:rsidRPr="00642432">
        <w:t xml:space="preserve"> </w:t>
      </w:r>
      <w:r w:rsidRPr="00642432">
        <w:t>table does not include ECT figures for people receiving treatment with health services for older people in the Central and Southern regions. Health services for older people in these regions do not report to PRIMHD.</w:t>
      </w:r>
    </w:p>
    <w:p w:rsidR="004659AD" w:rsidRPr="00642432" w:rsidRDefault="004659AD" w:rsidP="00014AFF">
      <w:pPr>
        <w:pStyle w:val="Source"/>
        <w:ind w:left="0" w:firstLine="0"/>
      </w:pPr>
      <w:r w:rsidRPr="00642432">
        <w:t>Source: PRIMHD data, extracted on 8 July 2014, except for Hawke’s Bay DHB, which provided manual data</w:t>
      </w:r>
      <w:r w:rsidR="00014AFF">
        <w:t>.</w:t>
      </w:r>
    </w:p>
    <w:p w:rsidR="004659AD" w:rsidRPr="00642432" w:rsidRDefault="004659AD" w:rsidP="00014AFF"/>
    <w:p w:rsidR="004659AD" w:rsidRPr="00642432" w:rsidRDefault="004659AD" w:rsidP="00014AFF">
      <w:pPr>
        <w:pStyle w:val="Heading2"/>
      </w:pPr>
      <w:bookmarkStart w:id="61" w:name="_Toc405113672"/>
      <w:r w:rsidRPr="00642432">
        <w:t>Serious adverse events</w:t>
      </w:r>
      <w:bookmarkEnd w:id="61"/>
    </w:p>
    <w:p w:rsidR="004659AD" w:rsidRPr="00642432" w:rsidRDefault="004659AD" w:rsidP="00014AFF">
      <w:r w:rsidRPr="00642432">
        <w:t>Serious adverse events (SAEs) relating to clients of DHB mental health services are reported to the Health Quality and Safety Commission (HQSC) in accordance with the requirements of the national reportable events policy.</w:t>
      </w:r>
      <w:r w:rsidR="00014AFF">
        <w:rPr>
          <w:rStyle w:val="FootnoteReference"/>
        </w:rPr>
        <w:footnoteReference w:id="19"/>
      </w:r>
      <w:r w:rsidR="00014AFF">
        <w:t xml:space="preserve"> </w:t>
      </w:r>
      <w:r w:rsidRPr="00642432">
        <w:t>The Office of the Director of Mental Health collects information on serious adverse events involving people under the Mental Health Act, including deaths.</w:t>
      </w:r>
    </w:p>
    <w:p w:rsidR="004659AD" w:rsidRPr="00642432" w:rsidRDefault="004659AD" w:rsidP="00014AFF"/>
    <w:p w:rsidR="004659AD" w:rsidRPr="00642432" w:rsidRDefault="004659AD" w:rsidP="00014AFF">
      <w:r w:rsidRPr="00642432">
        <w:t>In summary, in 2013:</w:t>
      </w:r>
    </w:p>
    <w:p w:rsidR="004659AD" w:rsidRPr="00642432" w:rsidRDefault="004659AD" w:rsidP="00014AFF">
      <w:pPr>
        <w:pStyle w:val="Bullet"/>
      </w:pPr>
      <w:r w:rsidRPr="00642432">
        <w:t>161 serious adverse events were</w:t>
      </w:r>
      <w:r w:rsidR="00D32DDD" w:rsidRPr="00642432">
        <w:t xml:space="preserve"> </w:t>
      </w:r>
      <w:r w:rsidRPr="00642432">
        <w:t>reported to the HQSC by mental health and addiction services</w:t>
      </w:r>
    </w:p>
    <w:p w:rsidR="004659AD" w:rsidRPr="00642432" w:rsidRDefault="004659AD" w:rsidP="00014AFF">
      <w:pPr>
        <w:pStyle w:val="Bullet"/>
      </w:pPr>
      <w:r w:rsidRPr="00642432">
        <w:t>126 events involved suspected suicide, 18 events involved serious self-harm and 17 events involved serious adverse behaviour</w:t>
      </w:r>
    </w:p>
    <w:p w:rsidR="004659AD" w:rsidRPr="00642432" w:rsidRDefault="004659AD" w:rsidP="00014AFF">
      <w:pPr>
        <w:pStyle w:val="Bullet"/>
      </w:pPr>
      <w:r w:rsidRPr="00642432">
        <w:t>47 deaths of people under the Mental Health Act were</w:t>
      </w:r>
      <w:r w:rsidR="00D32DDD" w:rsidRPr="00642432">
        <w:t xml:space="preserve"> </w:t>
      </w:r>
      <w:r w:rsidRPr="00642432">
        <w:t>reported to the Director of Mental Health.</w:t>
      </w:r>
    </w:p>
    <w:p w:rsidR="00014AFF" w:rsidRDefault="00014AFF" w:rsidP="00014AFF"/>
    <w:p w:rsidR="004659AD" w:rsidRPr="00642432" w:rsidRDefault="004659AD" w:rsidP="00014AFF">
      <w:r w:rsidRPr="00642432">
        <w:t>Of these deaths, 9 people were</w:t>
      </w:r>
      <w:r w:rsidR="00D32DDD" w:rsidRPr="00642432">
        <w:t xml:space="preserve"> </w:t>
      </w:r>
      <w:r w:rsidRPr="00642432">
        <w:t>reported to have died by suicide or suspected suicide and 38 were reported to have died by other means, including natural causes.</w:t>
      </w:r>
    </w:p>
    <w:p w:rsidR="004659AD" w:rsidRPr="00642432" w:rsidRDefault="004659AD" w:rsidP="00014AFF"/>
    <w:p w:rsidR="004659AD" w:rsidRPr="00642432" w:rsidRDefault="004659AD" w:rsidP="00014AFF">
      <w:r w:rsidRPr="00642432">
        <w:t>The purpose behind the reporting of SAEs is to encourage DHBs to identify and review incidents with the aim</w:t>
      </w:r>
      <w:r w:rsidR="00D32DDD" w:rsidRPr="00642432">
        <w:t xml:space="preserve"> </w:t>
      </w:r>
      <w:r w:rsidRPr="00642432">
        <w:t>of preventing similar events in the future. Ultimately the reporting requirements exist</w:t>
      </w:r>
      <w:r w:rsidR="00014AFF">
        <w:t xml:space="preserve"> </w:t>
      </w:r>
      <w:r w:rsidRPr="00642432">
        <w:t>to promote a reflexive process around serious events, helping to ensure safer and better mental health care for New Zealanders into</w:t>
      </w:r>
      <w:r w:rsidR="00014AFF">
        <w:t xml:space="preserve"> </w:t>
      </w:r>
      <w:r w:rsidRPr="00642432">
        <w:t>the future.</w:t>
      </w:r>
    </w:p>
    <w:p w:rsidR="004659AD" w:rsidRPr="00642432" w:rsidRDefault="004659AD" w:rsidP="00014AFF"/>
    <w:p w:rsidR="004659AD" w:rsidRPr="00642432" w:rsidRDefault="004659AD" w:rsidP="00014AFF">
      <w:pPr>
        <w:pStyle w:val="Box"/>
      </w:pPr>
      <w:r w:rsidRPr="00642432">
        <w:t>The purpose of reporting serious events is for DHBs to review the incidents with the aim</w:t>
      </w:r>
      <w:r w:rsidR="00014AFF">
        <w:t xml:space="preserve"> </w:t>
      </w:r>
      <w:r w:rsidRPr="00642432">
        <w:t>of preventing similar incidents in the future.</w:t>
      </w:r>
    </w:p>
    <w:p w:rsidR="004659AD" w:rsidRPr="00642432" w:rsidRDefault="004659AD" w:rsidP="00014AFF"/>
    <w:p w:rsidR="004659AD" w:rsidRPr="00642432" w:rsidRDefault="004659AD" w:rsidP="00014AFF">
      <w:r w:rsidRPr="00642432">
        <w:t>In the time since the HQSC took over</w:t>
      </w:r>
      <w:r w:rsidR="00D32DDD" w:rsidRPr="00642432">
        <w:t xml:space="preserve"> </w:t>
      </w:r>
      <w:r w:rsidRPr="00642432">
        <w:t>the public reporting of SAEs, the number reported to the HQSC has grown considerably: from the first report in 2007, when 182 such events were</w:t>
      </w:r>
      <w:r w:rsidR="00D32DDD" w:rsidRPr="00642432">
        <w:t xml:space="preserve"> </w:t>
      </w:r>
      <w:r w:rsidRPr="00642432">
        <w:t>reported, to 2013, when almost 650 were</w:t>
      </w:r>
      <w:r w:rsidR="00D32DDD" w:rsidRPr="00642432">
        <w:t xml:space="preserve"> </w:t>
      </w:r>
      <w:r w:rsidRPr="00642432">
        <w:t>reported. This</w:t>
      </w:r>
      <w:r w:rsidR="00D32DDD" w:rsidRPr="00642432">
        <w:t xml:space="preserve"> </w:t>
      </w:r>
      <w:r w:rsidRPr="00642432">
        <w:t>growth is not because the frequency of SAEs has</w:t>
      </w:r>
      <w:r w:rsidR="00D32DDD" w:rsidRPr="00642432">
        <w:t xml:space="preserve"> </w:t>
      </w:r>
      <w:r w:rsidRPr="00642432">
        <w:t>increased, but rather because DHBs have improved their reporting systems and cultures, with the result that a greater</w:t>
      </w:r>
      <w:r w:rsidR="00014AFF">
        <w:t xml:space="preserve"> </w:t>
      </w:r>
      <w:r w:rsidRPr="00642432">
        <w:t>number of incidents are being reviewed.</w:t>
      </w:r>
    </w:p>
    <w:p w:rsidR="004659AD" w:rsidRPr="00642432" w:rsidRDefault="004659AD" w:rsidP="00014AFF"/>
    <w:p w:rsidR="004659AD" w:rsidRPr="00642432" w:rsidRDefault="004659AD" w:rsidP="00014AFF">
      <w:r w:rsidRPr="00642432">
        <w:t>In 2013, the HQSC released its first report specifically related to serious incidents that involved clients of mental health and addiction services.</w:t>
      </w:r>
      <w:r w:rsidR="00E76FF1">
        <w:rPr>
          <w:rStyle w:val="FootnoteReference"/>
        </w:rPr>
        <w:footnoteReference w:id="20"/>
      </w:r>
      <w:r w:rsidR="00E76FF1">
        <w:t xml:space="preserve"> </w:t>
      </w:r>
      <w:r w:rsidRPr="00642432">
        <w:t>However, both the HQSC and the Director of Mental Health recognised that it would be more appropriate for these SAEs to be included in this Annual Report, to put them in association with the wider mental health and addictions sector.</w:t>
      </w:r>
    </w:p>
    <w:p w:rsidR="004659AD" w:rsidRPr="00642432" w:rsidRDefault="004659AD" w:rsidP="00014AFF"/>
    <w:p w:rsidR="004659AD" w:rsidRPr="00642432" w:rsidRDefault="004659AD" w:rsidP="00014AFF">
      <w:r w:rsidRPr="00642432">
        <w:t>In 2013, a total of 161 serious adverse events were</w:t>
      </w:r>
      <w:r w:rsidR="00D32DDD" w:rsidRPr="00642432">
        <w:t xml:space="preserve"> </w:t>
      </w:r>
      <w:r w:rsidRPr="00642432">
        <w:t>reported to the HQSC by mental health and addiction services. Of those events, 126 (78 percent) were</w:t>
      </w:r>
      <w:r w:rsidR="00D32DDD" w:rsidRPr="00642432">
        <w:t xml:space="preserve"> </w:t>
      </w:r>
      <w:r w:rsidRPr="00642432">
        <w:t>cases of suspected suicide, 18</w:t>
      </w:r>
      <w:r w:rsidR="00014AFF">
        <w:t> </w:t>
      </w:r>
      <w:r w:rsidRPr="00642432">
        <w:t>(11</w:t>
      </w:r>
      <w:r w:rsidR="00014AFF">
        <w:t> </w:t>
      </w:r>
      <w:r w:rsidRPr="00642432">
        <w:t>percent) were</w:t>
      </w:r>
      <w:r w:rsidR="00D32DDD" w:rsidRPr="00642432">
        <w:t xml:space="preserve"> </w:t>
      </w:r>
      <w:r w:rsidRPr="00642432">
        <w:t>cases of serious self-harm and 17 (11 percent) were</w:t>
      </w:r>
      <w:r w:rsidR="00D32DDD" w:rsidRPr="00642432">
        <w:t xml:space="preserve"> </w:t>
      </w:r>
      <w:r w:rsidRPr="00642432">
        <w:t>cases of serious adverse behaviour.</w:t>
      </w:r>
    </w:p>
    <w:p w:rsidR="004659AD" w:rsidRPr="00642432" w:rsidRDefault="004659AD" w:rsidP="00014AFF"/>
    <w:p w:rsidR="004659AD" w:rsidRPr="00642432" w:rsidRDefault="004659AD" w:rsidP="00014AFF">
      <w:r w:rsidRPr="00642432">
        <w:t>Table 11 shows a breakdown of the events reported to the HQSC during 2013 and Table 12 shows the number of events reported by each DHB. It is important to note that comparisons between individual DHBs are problematic as high numbers may only indicate that a DHB has</w:t>
      </w:r>
      <w:r w:rsidR="00D32DDD" w:rsidRPr="00642432">
        <w:t xml:space="preserve"> </w:t>
      </w:r>
      <w:r w:rsidRPr="00642432">
        <w:t>a good</w:t>
      </w:r>
      <w:r w:rsidR="00D32DDD" w:rsidRPr="00642432">
        <w:t xml:space="preserve"> </w:t>
      </w:r>
      <w:r w:rsidRPr="00642432">
        <w:t>reporting culture (rather than a significantly high number of serious events). In addition, DHBs that manage larger and more complex mental health services are likely to report a higher number of adverse events.</w:t>
      </w:r>
    </w:p>
    <w:p w:rsidR="004659AD" w:rsidRPr="00642432" w:rsidRDefault="004659AD" w:rsidP="00014AFF"/>
    <w:p w:rsidR="004659AD" w:rsidRPr="00642432" w:rsidRDefault="004659AD" w:rsidP="00014AFF">
      <w:pPr>
        <w:pStyle w:val="Table"/>
      </w:pPr>
      <w:bookmarkStart w:id="62" w:name="_Toc405113691"/>
      <w:r w:rsidRPr="00642432">
        <w:t>Table 11: Number of serious adverse events reported to the HQSC, 1 January to 31</w:t>
      </w:r>
      <w:r w:rsidR="00014AFF">
        <w:t> </w:t>
      </w:r>
      <w:r w:rsidRPr="00642432">
        <w:t>December 2013</w:t>
      </w:r>
      <w:bookmarkEnd w:id="62"/>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552"/>
        <w:gridCol w:w="1360"/>
        <w:gridCol w:w="1361"/>
        <w:gridCol w:w="1361"/>
        <w:gridCol w:w="1361"/>
        <w:gridCol w:w="1361"/>
      </w:tblGrid>
      <w:tr w:rsidR="00741586" w:rsidRPr="00741586" w:rsidTr="00741586">
        <w:trPr>
          <w:cantSplit/>
        </w:trPr>
        <w:tc>
          <w:tcPr>
            <w:tcW w:w="2552" w:type="dxa"/>
            <w:tcBorders>
              <w:top w:val="single" w:sz="4" w:space="0" w:color="auto"/>
              <w:bottom w:val="single" w:sz="4" w:space="0" w:color="auto"/>
            </w:tcBorders>
            <w:shd w:val="clear" w:color="auto" w:fill="F2F2F2" w:themeFill="background1" w:themeFillShade="F2"/>
          </w:tcPr>
          <w:p w:rsidR="00741586" w:rsidRPr="00741586" w:rsidRDefault="00741586" w:rsidP="00741586">
            <w:pPr>
              <w:pStyle w:val="TableText"/>
              <w:rPr>
                <w:b/>
              </w:rPr>
            </w:pPr>
            <w:r w:rsidRPr="00741586">
              <w:rPr>
                <w:b/>
              </w:rPr>
              <w:t>Type of event</w:t>
            </w:r>
          </w:p>
        </w:tc>
        <w:tc>
          <w:tcPr>
            <w:tcW w:w="1360" w:type="dxa"/>
            <w:tcBorders>
              <w:top w:val="single" w:sz="4" w:space="0" w:color="auto"/>
              <w:bottom w:val="single" w:sz="4" w:space="0" w:color="auto"/>
            </w:tcBorders>
            <w:shd w:val="clear" w:color="auto" w:fill="F2F2F2" w:themeFill="background1" w:themeFillShade="F2"/>
          </w:tcPr>
          <w:p w:rsidR="00741586" w:rsidRPr="00741586" w:rsidRDefault="00741586" w:rsidP="00741586">
            <w:pPr>
              <w:pStyle w:val="TableText"/>
              <w:jc w:val="center"/>
              <w:rPr>
                <w:b/>
              </w:rPr>
            </w:pPr>
            <w:r w:rsidRPr="00741586">
              <w:rPr>
                <w:b/>
              </w:rPr>
              <w:t>Community</w:t>
            </w:r>
          </w:p>
        </w:tc>
        <w:tc>
          <w:tcPr>
            <w:tcW w:w="1361" w:type="dxa"/>
            <w:tcBorders>
              <w:top w:val="single" w:sz="4" w:space="0" w:color="auto"/>
              <w:bottom w:val="single" w:sz="4" w:space="0" w:color="auto"/>
            </w:tcBorders>
            <w:shd w:val="clear" w:color="auto" w:fill="F2F2F2" w:themeFill="background1" w:themeFillShade="F2"/>
          </w:tcPr>
          <w:p w:rsidR="00741586" w:rsidRPr="00741586" w:rsidRDefault="00741586" w:rsidP="00741586">
            <w:pPr>
              <w:pStyle w:val="TableText"/>
              <w:jc w:val="center"/>
              <w:rPr>
                <w:b/>
              </w:rPr>
            </w:pPr>
            <w:r w:rsidRPr="00741586">
              <w:rPr>
                <w:b/>
              </w:rPr>
              <w:t>Inpatient</w:t>
            </w:r>
            <w:r>
              <w:rPr>
                <w:b/>
              </w:rPr>
              <w:br/>
            </w:r>
            <w:r w:rsidRPr="00741586">
              <w:rPr>
                <w:b/>
              </w:rPr>
              <w:t>unit</w:t>
            </w:r>
          </w:p>
        </w:tc>
        <w:tc>
          <w:tcPr>
            <w:tcW w:w="1361" w:type="dxa"/>
            <w:tcBorders>
              <w:top w:val="single" w:sz="4" w:space="0" w:color="auto"/>
              <w:bottom w:val="single" w:sz="4" w:space="0" w:color="auto"/>
            </w:tcBorders>
            <w:shd w:val="clear" w:color="auto" w:fill="F2F2F2" w:themeFill="background1" w:themeFillShade="F2"/>
          </w:tcPr>
          <w:p w:rsidR="00741586" w:rsidRPr="00741586" w:rsidRDefault="00741586" w:rsidP="00741586">
            <w:pPr>
              <w:pStyle w:val="TableText"/>
              <w:jc w:val="center"/>
              <w:rPr>
                <w:b/>
              </w:rPr>
            </w:pPr>
            <w:r w:rsidRPr="00741586">
              <w:rPr>
                <w:b/>
              </w:rPr>
              <w:t>On approved leave</w:t>
            </w:r>
          </w:p>
        </w:tc>
        <w:tc>
          <w:tcPr>
            <w:tcW w:w="1361" w:type="dxa"/>
            <w:tcBorders>
              <w:top w:val="single" w:sz="4" w:space="0" w:color="auto"/>
              <w:bottom w:val="single" w:sz="4" w:space="0" w:color="auto"/>
            </w:tcBorders>
            <w:shd w:val="clear" w:color="auto" w:fill="F2F2F2" w:themeFill="background1" w:themeFillShade="F2"/>
          </w:tcPr>
          <w:p w:rsidR="00741586" w:rsidRPr="00741586" w:rsidRDefault="00741586" w:rsidP="00741586">
            <w:pPr>
              <w:pStyle w:val="TableText"/>
              <w:jc w:val="center"/>
              <w:rPr>
                <w:b/>
              </w:rPr>
            </w:pPr>
            <w:r w:rsidRPr="00741586">
              <w:rPr>
                <w:b/>
              </w:rPr>
              <w:t>Absent without leave</w:t>
            </w:r>
          </w:p>
        </w:tc>
        <w:tc>
          <w:tcPr>
            <w:tcW w:w="1361" w:type="dxa"/>
            <w:tcBorders>
              <w:top w:val="single" w:sz="4" w:space="0" w:color="auto"/>
              <w:bottom w:val="single" w:sz="4" w:space="0" w:color="auto"/>
            </w:tcBorders>
            <w:shd w:val="clear" w:color="auto" w:fill="F2F2F2" w:themeFill="background1" w:themeFillShade="F2"/>
          </w:tcPr>
          <w:p w:rsidR="00741586" w:rsidRPr="00741586" w:rsidRDefault="00741586" w:rsidP="00741586">
            <w:pPr>
              <w:pStyle w:val="TableText"/>
              <w:jc w:val="center"/>
              <w:rPr>
                <w:b/>
              </w:rPr>
            </w:pPr>
            <w:r w:rsidRPr="00741586">
              <w:rPr>
                <w:b/>
              </w:rPr>
              <w:t>Total</w:t>
            </w:r>
          </w:p>
        </w:tc>
      </w:tr>
      <w:tr w:rsidR="004659AD" w:rsidRPr="00642432" w:rsidTr="00741586">
        <w:trPr>
          <w:cantSplit/>
        </w:trPr>
        <w:tc>
          <w:tcPr>
            <w:tcW w:w="2552" w:type="dxa"/>
            <w:tcBorders>
              <w:top w:val="single" w:sz="4" w:space="0" w:color="auto"/>
              <w:bottom w:val="nil"/>
            </w:tcBorders>
          </w:tcPr>
          <w:p w:rsidR="004659AD" w:rsidRPr="00642432" w:rsidRDefault="004659AD" w:rsidP="00741586">
            <w:pPr>
              <w:pStyle w:val="TableText"/>
            </w:pPr>
            <w:r w:rsidRPr="00642432">
              <w:t>Suspected suicide</w:t>
            </w:r>
          </w:p>
        </w:tc>
        <w:tc>
          <w:tcPr>
            <w:tcW w:w="1360" w:type="dxa"/>
            <w:tcBorders>
              <w:top w:val="single" w:sz="4" w:space="0" w:color="auto"/>
              <w:bottom w:val="nil"/>
            </w:tcBorders>
          </w:tcPr>
          <w:p w:rsidR="004659AD" w:rsidRPr="00642432" w:rsidRDefault="004659AD" w:rsidP="00741586">
            <w:pPr>
              <w:pStyle w:val="TableText"/>
              <w:tabs>
                <w:tab w:val="decimal" w:pos="793"/>
              </w:tabs>
            </w:pPr>
            <w:r w:rsidRPr="00642432">
              <w:t>117</w:t>
            </w:r>
          </w:p>
        </w:tc>
        <w:tc>
          <w:tcPr>
            <w:tcW w:w="1361" w:type="dxa"/>
            <w:tcBorders>
              <w:top w:val="single" w:sz="4" w:space="0" w:color="auto"/>
              <w:bottom w:val="nil"/>
            </w:tcBorders>
          </w:tcPr>
          <w:p w:rsidR="004659AD" w:rsidRPr="00642432" w:rsidRDefault="004659AD" w:rsidP="00741586">
            <w:pPr>
              <w:pStyle w:val="TableText"/>
              <w:tabs>
                <w:tab w:val="decimal" w:pos="793"/>
              </w:tabs>
            </w:pPr>
            <w:r w:rsidRPr="00642432">
              <w:t>3</w:t>
            </w:r>
          </w:p>
        </w:tc>
        <w:tc>
          <w:tcPr>
            <w:tcW w:w="1361" w:type="dxa"/>
            <w:tcBorders>
              <w:top w:val="single" w:sz="4" w:space="0" w:color="auto"/>
              <w:bottom w:val="nil"/>
            </w:tcBorders>
          </w:tcPr>
          <w:p w:rsidR="004659AD" w:rsidRPr="00642432" w:rsidRDefault="004659AD" w:rsidP="00741586">
            <w:pPr>
              <w:pStyle w:val="TableText"/>
              <w:tabs>
                <w:tab w:val="decimal" w:pos="793"/>
              </w:tabs>
            </w:pPr>
            <w:r w:rsidRPr="00642432">
              <w:t>3</w:t>
            </w:r>
          </w:p>
        </w:tc>
        <w:tc>
          <w:tcPr>
            <w:tcW w:w="1361" w:type="dxa"/>
            <w:tcBorders>
              <w:top w:val="single" w:sz="4" w:space="0" w:color="auto"/>
              <w:bottom w:val="nil"/>
            </w:tcBorders>
          </w:tcPr>
          <w:p w:rsidR="004659AD" w:rsidRPr="00642432" w:rsidRDefault="004659AD" w:rsidP="00741586">
            <w:pPr>
              <w:pStyle w:val="TableText"/>
              <w:tabs>
                <w:tab w:val="decimal" w:pos="793"/>
              </w:tabs>
            </w:pPr>
            <w:r w:rsidRPr="00642432">
              <w:t>3</w:t>
            </w:r>
          </w:p>
        </w:tc>
        <w:tc>
          <w:tcPr>
            <w:tcW w:w="1361" w:type="dxa"/>
            <w:tcBorders>
              <w:top w:val="single" w:sz="4" w:space="0" w:color="auto"/>
              <w:bottom w:val="nil"/>
            </w:tcBorders>
          </w:tcPr>
          <w:p w:rsidR="004659AD" w:rsidRPr="00642432" w:rsidRDefault="004659AD" w:rsidP="00741586">
            <w:pPr>
              <w:pStyle w:val="TableText"/>
              <w:tabs>
                <w:tab w:val="decimal" w:pos="793"/>
              </w:tabs>
            </w:pPr>
            <w:r w:rsidRPr="00642432">
              <w:t>126</w:t>
            </w:r>
          </w:p>
        </w:tc>
      </w:tr>
      <w:tr w:rsidR="004659AD" w:rsidRPr="00642432" w:rsidTr="00741586">
        <w:trPr>
          <w:cantSplit/>
        </w:trPr>
        <w:tc>
          <w:tcPr>
            <w:tcW w:w="2552" w:type="dxa"/>
            <w:tcBorders>
              <w:top w:val="nil"/>
              <w:bottom w:val="nil"/>
            </w:tcBorders>
            <w:shd w:val="clear" w:color="auto" w:fill="F2F2F2" w:themeFill="background1" w:themeFillShade="F2"/>
          </w:tcPr>
          <w:p w:rsidR="004659AD" w:rsidRPr="00642432" w:rsidRDefault="004659AD" w:rsidP="00741586">
            <w:pPr>
              <w:pStyle w:val="TableText"/>
            </w:pPr>
            <w:r w:rsidRPr="00642432">
              <w:t>Serious self-harm</w:t>
            </w:r>
          </w:p>
        </w:tc>
        <w:tc>
          <w:tcPr>
            <w:tcW w:w="1360" w:type="dxa"/>
            <w:tcBorders>
              <w:top w:val="nil"/>
              <w:bottom w:val="nil"/>
            </w:tcBorders>
            <w:shd w:val="clear" w:color="auto" w:fill="F2F2F2" w:themeFill="background1" w:themeFillShade="F2"/>
          </w:tcPr>
          <w:p w:rsidR="004659AD" w:rsidRPr="00642432" w:rsidRDefault="004659AD" w:rsidP="00741586">
            <w:pPr>
              <w:pStyle w:val="TableText"/>
              <w:tabs>
                <w:tab w:val="decimal" w:pos="793"/>
              </w:tabs>
            </w:pPr>
            <w:r w:rsidRPr="00642432">
              <w:t>6</w:t>
            </w:r>
          </w:p>
        </w:tc>
        <w:tc>
          <w:tcPr>
            <w:tcW w:w="1361" w:type="dxa"/>
            <w:tcBorders>
              <w:top w:val="nil"/>
              <w:bottom w:val="nil"/>
            </w:tcBorders>
            <w:shd w:val="clear" w:color="auto" w:fill="F2F2F2" w:themeFill="background1" w:themeFillShade="F2"/>
          </w:tcPr>
          <w:p w:rsidR="004659AD" w:rsidRPr="00642432" w:rsidRDefault="004659AD" w:rsidP="00741586">
            <w:pPr>
              <w:pStyle w:val="TableText"/>
              <w:tabs>
                <w:tab w:val="decimal" w:pos="793"/>
              </w:tabs>
            </w:pPr>
            <w:r w:rsidRPr="00642432">
              <w:t>9</w:t>
            </w:r>
          </w:p>
        </w:tc>
        <w:tc>
          <w:tcPr>
            <w:tcW w:w="1361" w:type="dxa"/>
            <w:tcBorders>
              <w:top w:val="nil"/>
              <w:bottom w:val="nil"/>
            </w:tcBorders>
            <w:shd w:val="clear" w:color="auto" w:fill="F2F2F2" w:themeFill="background1" w:themeFillShade="F2"/>
          </w:tcPr>
          <w:p w:rsidR="004659AD" w:rsidRPr="00642432" w:rsidRDefault="004659AD" w:rsidP="00741586">
            <w:pPr>
              <w:pStyle w:val="TableText"/>
              <w:tabs>
                <w:tab w:val="decimal" w:pos="793"/>
              </w:tabs>
            </w:pPr>
            <w:r w:rsidRPr="00642432">
              <w:t>0</w:t>
            </w:r>
          </w:p>
        </w:tc>
        <w:tc>
          <w:tcPr>
            <w:tcW w:w="1361" w:type="dxa"/>
            <w:tcBorders>
              <w:top w:val="nil"/>
              <w:bottom w:val="nil"/>
            </w:tcBorders>
            <w:shd w:val="clear" w:color="auto" w:fill="F2F2F2" w:themeFill="background1" w:themeFillShade="F2"/>
          </w:tcPr>
          <w:p w:rsidR="004659AD" w:rsidRPr="00642432" w:rsidRDefault="004659AD" w:rsidP="00741586">
            <w:pPr>
              <w:pStyle w:val="TableText"/>
              <w:tabs>
                <w:tab w:val="decimal" w:pos="793"/>
              </w:tabs>
            </w:pPr>
            <w:r w:rsidRPr="00642432">
              <w:t>3</w:t>
            </w:r>
          </w:p>
        </w:tc>
        <w:tc>
          <w:tcPr>
            <w:tcW w:w="1361" w:type="dxa"/>
            <w:tcBorders>
              <w:top w:val="nil"/>
              <w:bottom w:val="nil"/>
            </w:tcBorders>
            <w:shd w:val="clear" w:color="auto" w:fill="F2F2F2" w:themeFill="background1" w:themeFillShade="F2"/>
          </w:tcPr>
          <w:p w:rsidR="004659AD" w:rsidRPr="00642432" w:rsidRDefault="004659AD" w:rsidP="00741586">
            <w:pPr>
              <w:pStyle w:val="TableText"/>
              <w:tabs>
                <w:tab w:val="decimal" w:pos="793"/>
              </w:tabs>
            </w:pPr>
            <w:r w:rsidRPr="00642432">
              <w:t>18</w:t>
            </w:r>
          </w:p>
        </w:tc>
      </w:tr>
      <w:tr w:rsidR="004659AD" w:rsidRPr="00642432" w:rsidTr="00741586">
        <w:trPr>
          <w:cantSplit/>
        </w:trPr>
        <w:tc>
          <w:tcPr>
            <w:tcW w:w="2552" w:type="dxa"/>
            <w:tcBorders>
              <w:top w:val="nil"/>
              <w:bottom w:val="nil"/>
            </w:tcBorders>
          </w:tcPr>
          <w:p w:rsidR="004659AD" w:rsidRPr="00642432" w:rsidRDefault="004659AD" w:rsidP="00741586">
            <w:pPr>
              <w:pStyle w:val="TableText"/>
            </w:pPr>
            <w:r w:rsidRPr="00642432">
              <w:t>Serious adverse behaviour</w:t>
            </w:r>
          </w:p>
        </w:tc>
        <w:tc>
          <w:tcPr>
            <w:tcW w:w="1360" w:type="dxa"/>
            <w:tcBorders>
              <w:top w:val="nil"/>
              <w:bottom w:val="nil"/>
            </w:tcBorders>
          </w:tcPr>
          <w:p w:rsidR="004659AD" w:rsidRPr="00642432" w:rsidRDefault="004659AD" w:rsidP="00741586">
            <w:pPr>
              <w:pStyle w:val="TableText"/>
              <w:tabs>
                <w:tab w:val="decimal" w:pos="793"/>
              </w:tabs>
            </w:pPr>
            <w:r w:rsidRPr="00642432">
              <w:t>4</w:t>
            </w:r>
          </w:p>
        </w:tc>
        <w:tc>
          <w:tcPr>
            <w:tcW w:w="1361" w:type="dxa"/>
            <w:tcBorders>
              <w:top w:val="nil"/>
              <w:bottom w:val="nil"/>
            </w:tcBorders>
          </w:tcPr>
          <w:p w:rsidR="004659AD" w:rsidRPr="00642432" w:rsidRDefault="004659AD" w:rsidP="00741586">
            <w:pPr>
              <w:pStyle w:val="TableText"/>
              <w:tabs>
                <w:tab w:val="decimal" w:pos="793"/>
              </w:tabs>
            </w:pPr>
            <w:r w:rsidRPr="00642432">
              <w:t>9</w:t>
            </w:r>
          </w:p>
        </w:tc>
        <w:tc>
          <w:tcPr>
            <w:tcW w:w="1361" w:type="dxa"/>
            <w:tcBorders>
              <w:top w:val="nil"/>
              <w:bottom w:val="nil"/>
            </w:tcBorders>
          </w:tcPr>
          <w:p w:rsidR="004659AD" w:rsidRPr="00642432" w:rsidRDefault="004659AD" w:rsidP="00741586">
            <w:pPr>
              <w:pStyle w:val="TableText"/>
              <w:tabs>
                <w:tab w:val="decimal" w:pos="793"/>
              </w:tabs>
            </w:pPr>
            <w:r w:rsidRPr="00642432">
              <w:t>0</w:t>
            </w:r>
          </w:p>
        </w:tc>
        <w:tc>
          <w:tcPr>
            <w:tcW w:w="1361" w:type="dxa"/>
            <w:tcBorders>
              <w:top w:val="nil"/>
              <w:bottom w:val="nil"/>
            </w:tcBorders>
          </w:tcPr>
          <w:p w:rsidR="004659AD" w:rsidRPr="00642432" w:rsidRDefault="004659AD" w:rsidP="00741586">
            <w:pPr>
              <w:pStyle w:val="TableText"/>
              <w:tabs>
                <w:tab w:val="decimal" w:pos="793"/>
              </w:tabs>
            </w:pPr>
            <w:r w:rsidRPr="00642432">
              <w:t>4</w:t>
            </w:r>
          </w:p>
        </w:tc>
        <w:tc>
          <w:tcPr>
            <w:tcW w:w="1361" w:type="dxa"/>
            <w:tcBorders>
              <w:top w:val="nil"/>
              <w:bottom w:val="nil"/>
            </w:tcBorders>
          </w:tcPr>
          <w:p w:rsidR="004659AD" w:rsidRPr="00642432" w:rsidRDefault="004659AD" w:rsidP="00741586">
            <w:pPr>
              <w:pStyle w:val="TableText"/>
              <w:tabs>
                <w:tab w:val="decimal" w:pos="793"/>
              </w:tabs>
            </w:pPr>
            <w:r w:rsidRPr="00642432">
              <w:t>17</w:t>
            </w:r>
          </w:p>
        </w:tc>
      </w:tr>
      <w:tr w:rsidR="004659AD" w:rsidRPr="00642432" w:rsidTr="00741586">
        <w:trPr>
          <w:cantSplit/>
        </w:trPr>
        <w:tc>
          <w:tcPr>
            <w:tcW w:w="2552" w:type="dxa"/>
            <w:tcBorders>
              <w:top w:val="nil"/>
              <w:bottom w:val="single" w:sz="4" w:space="0" w:color="auto"/>
            </w:tcBorders>
            <w:shd w:val="clear" w:color="auto" w:fill="F2F2F2" w:themeFill="background1" w:themeFillShade="F2"/>
          </w:tcPr>
          <w:p w:rsidR="004659AD" w:rsidRPr="00642432" w:rsidRDefault="004659AD" w:rsidP="00741586">
            <w:pPr>
              <w:pStyle w:val="TableText"/>
            </w:pPr>
            <w:r w:rsidRPr="00642432">
              <w:t>Total</w:t>
            </w:r>
          </w:p>
        </w:tc>
        <w:tc>
          <w:tcPr>
            <w:tcW w:w="1360" w:type="dxa"/>
            <w:tcBorders>
              <w:top w:val="nil"/>
              <w:bottom w:val="single" w:sz="4" w:space="0" w:color="auto"/>
            </w:tcBorders>
            <w:shd w:val="clear" w:color="auto" w:fill="F2F2F2" w:themeFill="background1" w:themeFillShade="F2"/>
          </w:tcPr>
          <w:p w:rsidR="004659AD" w:rsidRPr="00642432" w:rsidRDefault="004659AD" w:rsidP="00741586">
            <w:pPr>
              <w:pStyle w:val="TableText"/>
              <w:tabs>
                <w:tab w:val="decimal" w:pos="793"/>
              </w:tabs>
            </w:pPr>
            <w:r w:rsidRPr="00642432">
              <w:t>127</w:t>
            </w:r>
          </w:p>
        </w:tc>
        <w:tc>
          <w:tcPr>
            <w:tcW w:w="1361" w:type="dxa"/>
            <w:tcBorders>
              <w:top w:val="nil"/>
              <w:bottom w:val="single" w:sz="4" w:space="0" w:color="auto"/>
            </w:tcBorders>
            <w:shd w:val="clear" w:color="auto" w:fill="F2F2F2" w:themeFill="background1" w:themeFillShade="F2"/>
          </w:tcPr>
          <w:p w:rsidR="004659AD" w:rsidRPr="00642432" w:rsidRDefault="004659AD" w:rsidP="00741586">
            <w:pPr>
              <w:pStyle w:val="TableText"/>
              <w:tabs>
                <w:tab w:val="decimal" w:pos="793"/>
              </w:tabs>
            </w:pPr>
            <w:r w:rsidRPr="00642432">
              <w:t>21</w:t>
            </w:r>
          </w:p>
        </w:tc>
        <w:tc>
          <w:tcPr>
            <w:tcW w:w="1361" w:type="dxa"/>
            <w:tcBorders>
              <w:top w:val="nil"/>
              <w:bottom w:val="single" w:sz="4" w:space="0" w:color="auto"/>
            </w:tcBorders>
            <w:shd w:val="clear" w:color="auto" w:fill="F2F2F2" w:themeFill="background1" w:themeFillShade="F2"/>
          </w:tcPr>
          <w:p w:rsidR="004659AD" w:rsidRPr="00642432" w:rsidRDefault="004659AD" w:rsidP="00741586">
            <w:pPr>
              <w:pStyle w:val="TableText"/>
              <w:tabs>
                <w:tab w:val="decimal" w:pos="793"/>
              </w:tabs>
            </w:pPr>
            <w:r w:rsidRPr="00642432">
              <w:t>3</w:t>
            </w:r>
          </w:p>
        </w:tc>
        <w:tc>
          <w:tcPr>
            <w:tcW w:w="1361" w:type="dxa"/>
            <w:tcBorders>
              <w:top w:val="nil"/>
              <w:bottom w:val="single" w:sz="4" w:space="0" w:color="auto"/>
            </w:tcBorders>
            <w:shd w:val="clear" w:color="auto" w:fill="F2F2F2" w:themeFill="background1" w:themeFillShade="F2"/>
          </w:tcPr>
          <w:p w:rsidR="004659AD" w:rsidRPr="00642432" w:rsidRDefault="004659AD" w:rsidP="00741586">
            <w:pPr>
              <w:pStyle w:val="TableText"/>
              <w:tabs>
                <w:tab w:val="decimal" w:pos="793"/>
              </w:tabs>
            </w:pPr>
            <w:r w:rsidRPr="00642432">
              <w:t>10</w:t>
            </w:r>
          </w:p>
        </w:tc>
        <w:tc>
          <w:tcPr>
            <w:tcW w:w="1361" w:type="dxa"/>
            <w:tcBorders>
              <w:top w:val="nil"/>
              <w:bottom w:val="single" w:sz="4" w:space="0" w:color="auto"/>
            </w:tcBorders>
            <w:shd w:val="clear" w:color="auto" w:fill="F2F2F2" w:themeFill="background1" w:themeFillShade="F2"/>
          </w:tcPr>
          <w:p w:rsidR="004659AD" w:rsidRPr="00642432" w:rsidRDefault="004659AD" w:rsidP="00741586">
            <w:pPr>
              <w:pStyle w:val="TableText"/>
              <w:tabs>
                <w:tab w:val="decimal" w:pos="793"/>
              </w:tabs>
            </w:pPr>
            <w:r w:rsidRPr="00642432">
              <w:t>161</w:t>
            </w:r>
          </w:p>
        </w:tc>
      </w:tr>
    </w:tbl>
    <w:p w:rsidR="004659AD" w:rsidRPr="00642432" w:rsidRDefault="004659AD" w:rsidP="00D7130F">
      <w:pPr>
        <w:pStyle w:val="Source"/>
        <w:ind w:right="0"/>
      </w:pPr>
      <w:r w:rsidRPr="00642432">
        <w:t>Source: Data reported to the HQSC by DHBs</w:t>
      </w:r>
      <w:r w:rsidR="00741586">
        <w:t>.</w:t>
      </w:r>
    </w:p>
    <w:p w:rsidR="004659AD" w:rsidRPr="00642432" w:rsidRDefault="004659AD" w:rsidP="00741586"/>
    <w:p w:rsidR="004659AD" w:rsidRDefault="004659AD" w:rsidP="00741586">
      <w:pPr>
        <w:pStyle w:val="Table"/>
      </w:pPr>
      <w:bookmarkStart w:id="63" w:name="_Toc405113692"/>
      <w:r w:rsidRPr="00642432">
        <w:t>Table 12: Number of serious adverse events reported to the HQSC by DHB, 1 January to</w:t>
      </w:r>
      <w:r w:rsidR="00741586">
        <w:t xml:space="preserve"> </w:t>
      </w:r>
      <w:r w:rsidRPr="00642432">
        <w:t>31</w:t>
      </w:r>
      <w:r w:rsidR="00741586">
        <w:t> </w:t>
      </w:r>
      <w:r w:rsidRPr="00642432">
        <w:t>December 2013</w:t>
      </w:r>
      <w:bookmarkEnd w:id="63"/>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843"/>
        <w:gridCol w:w="2552"/>
        <w:gridCol w:w="567"/>
        <w:gridCol w:w="1842"/>
        <w:gridCol w:w="2552"/>
      </w:tblGrid>
      <w:tr w:rsidR="00E76FF1" w:rsidRPr="0001390D" w:rsidTr="004B69C8">
        <w:trPr>
          <w:cantSplit/>
        </w:trPr>
        <w:tc>
          <w:tcPr>
            <w:tcW w:w="1843" w:type="dxa"/>
            <w:tcBorders>
              <w:top w:val="single" w:sz="4" w:space="0" w:color="auto"/>
              <w:bottom w:val="single" w:sz="4" w:space="0" w:color="auto"/>
            </w:tcBorders>
            <w:shd w:val="clear" w:color="auto" w:fill="F2F2F2" w:themeFill="background1" w:themeFillShade="F2"/>
          </w:tcPr>
          <w:p w:rsidR="00E76FF1" w:rsidRPr="0001390D" w:rsidRDefault="00E76FF1" w:rsidP="00DD7C24">
            <w:pPr>
              <w:pStyle w:val="TableText"/>
              <w:keepNext/>
              <w:rPr>
                <w:b/>
              </w:rPr>
            </w:pPr>
            <w:r w:rsidRPr="0001390D">
              <w:rPr>
                <w:b/>
              </w:rPr>
              <w:t>DHB</w:t>
            </w:r>
          </w:p>
        </w:tc>
        <w:tc>
          <w:tcPr>
            <w:tcW w:w="2552" w:type="dxa"/>
            <w:tcBorders>
              <w:top w:val="single" w:sz="4" w:space="0" w:color="auto"/>
              <w:bottom w:val="single" w:sz="4" w:space="0" w:color="auto"/>
            </w:tcBorders>
            <w:shd w:val="clear" w:color="auto" w:fill="F2F2F2" w:themeFill="background1" w:themeFillShade="F2"/>
          </w:tcPr>
          <w:p w:rsidR="00E76FF1" w:rsidRPr="0001390D" w:rsidRDefault="00E76FF1" w:rsidP="00DD7C24">
            <w:pPr>
              <w:pStyle w:val="TableText"/>
              <w:keepNext/>
              <w:jc w:val="center"/>
              <w:rPr>
                <w:b/>
              </w:rPr>
            </w:pPr>
            <w:r>
              <w:rPr>
                <w:b/>
              </w:rPr>
              <w:t>Number of events</w:t>
            </w:r>
          </w:p>
        </w:tc>
        <w:tc>
          <w:tcPr>
            <w:tcW w:w="567" w:type="dxa"/>
            <w:tcBorders>
              <w:top w:val="nil"/>
              <w:bottom w:val="nil"/>
            </w:tcBorders>
            <w:shd w:val="clear" w:color="auto" w:fill="auto"/>
          </w:tcPr>
          <w:p w:rsidR="00E76FF1" w:rsidRPr="0001390D" w:rsidRDefault="00E76FF1" w:rsidP="00DD7C24">
            <w:pPr>
              <w:pStyle w:val="TableText"/>
              <w:keepNext/>
              <w:rPr>
                <w:b/>
              </w:rPr>
            </w:pPr>
          </w:p>
        </w:tc>
        <w:tc>
          <w:tcPr>
            <w:tcW w:w="1842" w:type="dxa"/>
            <w:tcBorders>
              <w:top w:val="single" w:sz="4" w:space="0" w:color="auto"/>
              <w:bottom w:val="single" w:sz="4" w:space="0" w:color="auto"/>
            </w:tcBorders>
            <w:shd w:val="clear" w:color="auto" w:fill="F2F2F2" w:themeFill="background1" w:themeFillShade="F2"/>
          </w:tcPr>
          <w:p w:rsidR="00E76FF1" w:rsidRPr="0001390D" w:rsidRDefault="00E76FF1" w:rsidP="00DD7C24">
            <w:pPr>
              <w:pStyle w:val="TableText"/>
              <w:keepNext/>
              <w:rPr>
                <w:b/>
              </w:rPr>
            </w:pPr>
            <w:r w:rsidRPr="0001390D">
              <w:rPr>
                <w:b/>
              </w:rPr>
              <w:t>DHB</w:t>
            </w:r>
          </w:p>
        </w:tc>
        <w:tc>
          <w:tcPr>
            <w:tcW w:w="2552" w:type="dxa"/>
            <w:tcBorders>
              <w:top w:val="single" w:sz="4" w:space="0" w:color="auto"/>
              <w:bottom w:val="single" w:sz="4" w:space="0" w:color="auto"/>
            </w:tcBorders>
            <w:shd w:val="clear" w:color="auto" w:fill="F2F2F2" w:themeFill="background1" w:themeFillShade="F2"/>
          </w:tcPr>
          <w:p w:rsidR="00E76FF1" w:rsidRPr="0001390D" w:rsidRDefault="00E76FF1" w:rsidP="00DD7C24">
            <w:pPr>
              <w:pStyle w:val="TableText"/>
              <w:keepNext/>
              <w:jc w:val="center"/>
              <w:rPr>
                <w:b/>
                <w:szCs w:val="18"/>
              </w:rPr>
            </w:pPr>
            <w:r>
              <w:rPr>
                <w:b/>
                <w:szCs w:val="18"/>
              </w:rPr>
              <w:t>Number of events</w:t>
            </w:r>
          </w:p>
        </w:tc>
      </w:tr>
      <w:tr w:rsidR="00E76FF1" w:rsidRPr="00642432" w:rsidTr="004B69C8">
        <w:trPr>
          <w:cantSplit/>
        </w:trPr>
        <w:tc>
          <w:tcPr>
            <w:tcW w:w="1843" w:type="dxa"/>
            <w:tcBorders>
              <w:top w:val="single" w:sz="4" w:space="0" w:color="auto"/>
              <w:bottom w:val="nil"/>
            </w:tcBorders>
            <w:shd w:val="clear" w:color="auto" w:fill="auto"/>
          </w:tcPr>
          <w:p w:rsidR="00E76FF1" w:rsidRPr="00642432" w:rsidRDefault="00E76FF1" w:rsidP="00DD7C24">
            <w:pPr>
              <w:pStyle w:val="TableText"/>
              <w:keepNext/>
            </w:pPr>
            <w:r>
              <w:t>Auckland</w:t>
            </w:r>
          </w:p>
        </w:tc>
        <w:tc>
          <w:tcPr>
            <w:tcW w:w="2552" w:type="dxa"/>
            <w:tcBorders>
              <w:top w:val="single" w:sz="4" w:space="0" w:color="auto"/>
              <w:bottom w:val="nil"/>
            </w:tcBorders>
            <w:shd w:val="clear" w:color="auto" w:fill="auto"/>
          </w:tcPr>
          <w:p w:rsidR="00E76FF1" w:rsidRPr="00642432" w:rsidRDefault="00E76FF1" w:rsidP="00E76FF1">
            <w:pPr>
              <w:pStyle w:val="TableText"/>
              <w:keepNext/>
              <w:tabs>
                <w:tab w:val="decimal" w:pos="1361"/>
              </w:tabs>
            </w:pPr>
            <w:r>
              <w:t>17</w:t>
            </w:r>
          </w:p>
        </w:tc>
        <w:tc>
          <w:tcPr>
            <w:tcW w:w="567" w:type="dxa"/>
            <w:tcBorders>
              <w:top w:val="nil"/>
              <w:bottom w:val="nil"/>
            </w:tcBorders>
            <w:shd w:val="clear" w:color="auto" w:fill="auto"/>
          </w:tcPr>
          <w:p w:rsidR="00E76FF1" w:rsidRPr="00642432" w:rsidRDefault="00E76FF1" w:rsidP="00DD7C24">
            <w:pPr>
              <w:pStyle w:val="TableText"/>
              <w:keepNext/>
            </w:pPr>
          </w:p>
        </w:tc>
        <w:tc>
          <w:tcPr>
            <w:tcW w:w="1842" w:type="dxa"/>
            <w:tcBorders>
              <w:top w:val="single" w:sz="4" w:space="0" w:color="auto"/>
              <w:bottom w:val="nil"/>
            </w:tcBorders>
            <w:shd w:val="clear" w:color="auto" w:fill="auto"/>
          </w:tcPr>
          <w:p w:rsidR="00E76FF1" w:rsidRPr="00642432" w:rsidRDefault="00E76FF1" w:rsidP="00DD7C24">
            <w:pPr>
              <w:pStyle w:val="TableText"/>
              <w:keepNext/>
            </w:pPr>
            <w:r w:rsidRPr="00642432">
              <w:t>Northland</w:t>
            </w:r>
          </w:p>
        </w:tc>
        <w:tc>
          <w:tcPr>
            <w:tcW w:w="2552" w:type="dxa"/>
            <w:tcBorders>
              <w:top w:val="single" w:sz="4" w:space="0" w:color="auto"/>
              <w:bottom w:val="nil"/>
            </w:tcBorders>
            <w:shd w:val="clear" w:color="auto" w:fill="auto"/>
          </w:tcPr>
          <w:p w:rsidR="00E76FF1" w:rsidRPr="00642432" w:rsidRDefault="00E76FF1" w:rsidP="00E76FF1">
            <w:pPr>
              <w:pStyle w:val="TableText"/>
              <w:keepNext/>
              <w:tabs>
                <w:tab w:val="decimal" w:pos="1503"/>
              </w:tabs>
              <w:rPr>
                <w:szCs w:val="18"/>
              </w:rPr>
            </w:pPr>
            <w:r>
              <w:rPr>
                <w:szCs w:val="18"/>
              </w:rPr>
              <w:t>2</w:t>
            </w:r>
          </w:p>
        </w:tc>
      </w:tr>
      <w:tr w:rsidR="00E76FF1" w:rsidRPr="00642432" w:rsidTr="004B69C8">
        <w:trPr>
          <w:cantSplit/>
        </w:trPr>
        <w:tc>
          <w:tcPr>
            <w:tcW w:w="1843" w:type="dxa"/>
            <w:tcBorders>
              <w:top w:val="nil"/>
              <w:bottom w:val="nil"/>
            </w:tcBorders>
            <w:shd w:val="clear" w:color="auto" w:fill="F2F2F2" w:themeFill="background1" w:themeFillShade="F2"/>
          </w:tcPr>
          <w:p w:rsidR="00E76FF1" w:rsidRPr="00642432" w:rsidRDefault="00E76FF1" w:rsidP="00DD7C24">
            <w:pPr>
              <w:pStyle w:val="TableText"/>
              <w:keepNext/>
            </w:pPr>
            <w:r>
              <w:t>Bay of Plenty</w:t>
            </w:r>
          </w:p>
        </w:tc>
        <w:tc>
          <w:tcPr>
            <w:tcW w:w="2552" w:type="dxa"/>
            <w:tcBorders>
              <w:top w:val="nil"/>
              <w:bottom w:val="nil"/>
            </w:tcBorders>
            <w:shd w:val="clear" w:color="auto" w:fill="F2F2F2" w:themeFill="background1" w:themeFillShade="F2"/>
          </w:tcPr>
          <w:p w:rsidR="00E76FF1" w:rsidRPr="00642432" w:rsidRDefault="00E76FF1" w:rsidP="00E76FF1">
            <w:pPr>
              <w:pStyle w:val="TableText"/>
              <w:keepNext/>
              <w:tabs>
                <w:tab w:val="decimal" w:pos="1361"/>
              </w:tabs>
            </w:pPr>
            <w:r>
              <w:t>1</w:t>
            </w:r>
          </w:p>
        </w:tc>
        <w:tc>
          <w:tcPr>
            <w:tcW w:w="567" w:type="dxa"/>
            <w:tcBorders>
              <w:top w:val="nil"/>
              <w:bottom w:val="nil"/>
            </w:tcBorders>
            <w:shd w:val="clear" w:color="auto" w:fill="auto"/>
          </w:tcPr>
          <w:p w:rsidR="00E76FF1" w:rsidRPr="00642432" w:rsidRDefault="00E76FF1" w:rsidP="00DD7C24">
            <w:pPr>
              <w:pStyle w:val="TableText"/>
              <w:keepNext/>
            </w:pPr>
          </w:p>
        </w:tc>
        <w:tc>
          <w:tcPr>
            <w:tcW w:w="1842" w:type="dxa"/>
            <w:tcBorders>
              <w:top w:val="nil"/>
              <w:bottom w:val="nil"/>
            </w:tcBorders>
            <w:shd w:val="clear" w:color="auto" w:fill="F2F2F2" w:themeFill="background1" w:themeFillShade="F2"/>
          </w:tcPr>
          <w:p w:rsidR="00E76FF1" w:rsidRPr="00642432" w:rsidRDefault="00E76FF1" w:rsidP="00DD7C24">
            <w:pPr>
              <w:pStyle w:val="TableText"/>
              <w:keepNext/>
            </w:pPr>
            <w:r w:rsidRPr="00642432">
              <w:t>South Canterbury</w:t>
            </w:r>
          </w:p>
        </w:tc>
        <w:tc>
          <w:tcPr>
            <w:tcW w:w="2552" w:type="dxa"/>
            <w:tcBorders>
              <w:top w:val="nil"/>
              <w:bottom w:val="nil"/>
            </w:tcBorders>
            <w:shd w:val="clear" w:color="auto" w:fill="F2F2F2" w:themeFill="background1" w:themeFillShade="F2"/>
          </w:tcPr>
          <w:p w:rsidR="00E76FF1" w:rsidRPr="00642432" w:rsidRDefault="00E76FF1" w:rsidP="00E76FF1">
            <w:pPr>
              <w:pStyle w:val="TableText"/>
              <w:keepNext/>
              <w:tabs>
                <w:tab w:val="decimal" w:pos="1503"/>
              </w:tabs>
              <w:rPr>
                <w:szCs w:val="18"/>
              </w:rPr>
            </w:pPr>
            <w:r>
              <w:rPr>
                <w:szCs w:val="18"/>
              </w:rPr>
              <w:t>0</w:t>
            </w:r>
          </w:p>
        </w:tc>
      </w:tr>
      <w:tr w:rsidR="00E76FF1" w:rsidRPr="00642432" w:rsidTr="004B69C8">
        <w:trPr>
          <w:cantSplit/>
        </w:trPr>
        <w:tc>
          <w:tcPr>
            <w:tcW w:w="1843" w:type="dxa"/>
            <w:tcBorders>
              <w:top w:val="nil"/>
              <w:bottom w:val="nil"/>
            </w:tcBorders>
            <w:shd w:val="clear" w:color="auto" w:fill="auto"/>
          </w:tcPr>
          <w:p w:rsidR="00E76FF1" w:rsidRPr="00642432" w:rsidRDefault="00E76FF1" w:rsidP="00DD7C24">
            <w:pPr>
              <w:pStyle w:val="TableText"/>
              <w:keepNext/>
            </w:pPr>
            <w:r>
              <w:t>Canterbury</w:t>
            </w:r>
          </w:p>
        </w:tc>
        <w:tc>
          <w:tcPr>
            <w:tcW w:w="2552" w:type="dxa"/>
            <w:tcBorders>
              <w:top w:val="nil"/>
              <w:bottom w:val="nil"/>
            </w:tcBorders>
            <w:shd w:val="clear" w:color="auto" w:fill="auto"/>
          </w:tcPr>
          <w:p w:rsidR="00E76FF1" w:rsidRPr="00642432" w:rsidRDefault="00E76FF1" w:rsidP="00E76FF1">
            <w:pPr>
              <w:pStyle w:val="TableText"/>
              <w:keepNext/>
              <w:tabs>
                <w:tab w:val="decimal" w:pos="1361"/>
              </w:tabs>
            </w:pPr>
            <w:r>
              <w:t>22</w:t>
            </w:r>
          </w:p>
        </w:tc>
        <w:tc>
          <w:tcPr>
            <w:tcW w:w="567" w:type="dxa"/>
            <w:tcBorders>
              <w:top w:val="nil"/>
              <w:bottom w:val="nil"/>
            </w:tcBorders>
            <w:shd w:val="clear" w:color="auto" w:fill="auto"/>
          </w:tcPr>
          <w:p w:rsidR="00E76FF1" w:rsidRPr="00642432" w:rsidRDefault="00E76FF1" w:rsidP="00DD7C24">
            <w:pPr>
              <w:pStyle w:val="TableText"/>
              <w:keepNext/>
            </w:pPr>
          </w:p>
        </w:tc>
        <w:tc>
          <w:tcPr>
            <w:tcW w:w="1842" w:type="dxa"/>
            <w:tcBorders>
              <w:top w:val="nil"/>
              <w:bottom w:val="nil"/>
            </w:tcBorders>
            <w:shd w:val="clear" w:color="auto" w:fill="auto"/>
          </w:tcPr>
          <w:p w:rsidR="00E76FF1" w:rsidRPr="00642432" w:rsidRDefault="00E76FF1" w:rsidP="00DD7C24">
            <w:pPr>
              <w:pStyle w:val="TableText"/>
              <w:keepNext/>
            </w:pPr>
            <w:r w:rsidRPr="00642432">
              <w:t>Southern</w:t>
            </w:r>
          </w:p>
        </w:tc>
        <w:tc>
          <w:tcPr>
            <w:tcW w:w="2552" w:type="dxa"/>
            <w:tcBorders>
              <w:top w:val="nil"/>
              <w:bottom w:val="nil"/>
            </w:tcBorders>
            <w:shd w:val="clear" w:color="auto" w:fill="auto"/>
          </w:tcPr>
          <w:p w:rsidR="00E76FF1" w:rsidRPr="00642432" w:rsidRDefault="00E76FF1" w:rsidP="00E76FF1">
            <w:pPr>
              <w:pStyle w:val="TableText"/>
              <w:keepNext/>
              <w:tabs>
                <w:tab w:val="decimal" w:pos="1503"/>
              </w:tabs>
              <w:rPr>
                <w:szCs w:val="18"/>
              </w:rPr>
            </w:pPr>
            <w:r>
              <w:rPr>
                <w:szCs w:val="18"/>
              </w:rPr>
              <w:t>12</w:t>
            </w:r>
          </w:p>
        </w:tc>
      </w:tr>
      <w:tr w:rsidR="00E76FF1" w:rsidRPr="00642432" w:rsidTr="004B69C8">
        <w:trPr>
          <w:cantSplit/>
        </w:trPr>
        <w:tc>
          <w:tcPr>
            <w:tcW w:w="1843" w:type="dxa"/>
            <w:tcBorders>
              <w:top w:val="nil"/>
              <w:bottom w:val="nil"/>
            </w:tcBorders>
            <w:shd w:val="clear" w:color="auto" w:fill="F2F2F2" w:themeFill="background1" w:themeFillShade="F2"/>
          </w:tcPr>
          <w:p w:rsidR="00E76FF1" w:rsidRPr="00642432" w:rsidRDefault="00E76FF1" w:rsidP="00DD7C24">
            <w:pPr>
              <w:pStyle w:val="TableText"/>
              <w:keepNext/>
            </w:pPr>
            <w:r>
              <w:t>Capital &amp; Coast</w:t>
            </w:r>
          </w:p>
        </w:tc>
        <w:tc>
          <w:tcPr>
            <w:tcW w:w="2552" w:type="dxa"/>
            <w:tcBorders>
              <w:top w:val="nil"/>
              <w:bottom w:val="nil"/>
            </w:tcBorders>
            <w:shd w:val="clear" w:color="auto" w:fill="F2F2F2" w:themeFill="background1" w:themeFillShade="F2"/>
          </w:tcPr>
          <w:p w:rsidR="00E76FF1" w:rsidRPr="00642432" w:rsidRDefault="00E76FF1" w:rsidP="00E76FF1">
            <w:pPr>
              <w:pStyle w:val="TableText"/>
              <w:keepNext/>
              <w:tabs>
                <w:tab w:val="decimal" w:pos="1361"/>
              </w:tabs>
            </w:pPr>
            <w:r>
              <w:t>12</w:t>
            </w:r>
          </w:p>
        </w:tc>
        <w:tc>
          <w:tcPr>
            <w:tcW w:w="567" w:type="dxa"/>
            <w:tcBorders>
              <w:top w:val="nil"/>
              <w:bottom w:val="nil"/>
            </w:tcBorders>
            <w:shd w:val="clear" w:color="auto" w:fill="auto"/>
          </w:tcPr>
          <w:p w:rsidR="00E76FF1" w:rsidRPr="00642432" w:rsidRDefault="00E76FF1" w:rsidP="00DD7C24">
            <w:pPr>
              <w:pStyle w:val="TableText"/>
              <w:keepNext/>
            </w:pPr>
          </w:p>
        </w:tc>
        <w:tc>
          <w:tcPr>
            <w:tcW w:w="1842" w:type="dxa"/>
            <w:tcBorders>
              <w:top w:val="nil"/>
              <w:bottom w:val="nil"/>
            </w:tcBorders>
            <w:shd w:val="clear" w:color="auto" w:fill="F2F2F2" w:themeFill="background1" w:themeFillShade="F2"/>
          </w:tcPr>
          <w:p w:rsidR="00E76FF1" w:rsidRPr="00642432" w:rsidRDefault="00E76FF1" w:rsidP="00DD7C24">
            <w:pPr>
              <w:pStyle w:val="TableText"/>
              <w:keepNext/>
            </w:pPr>
            <w:r w:rsidRPr="00642432">
              <w:t>Tairawhiti</w:t>
            </w:r>
          </w:p>
        </w:tc>
        <w:tc>
          <w:tcPr>
            <w:tcW w:w="2552" w:type="dxa"/>
            <w:tcBorders>
              <w:top w:val="nil"/>
              <w:bottom w:val="nil"/>
            </w:tcBorders>
            <w:shd w:val="clear" w:color="auto" w:fill="F2F2F2" w:themeFill="background1" w:themeFillShade="F2"/>
          </w:tcPr>
          <w:p w:rsidR="00E76FF1" w:rsidRPr="00642432" w:rsidRDefault="00E76FF1" w:rsidP="00E76FF1">
            <w:pPr>
              <w:pStyle w:val="TableText"/>
              <w:keepNext/>
              <w:tabs>
                <w:tab w:val="decimal" w:pos="1503"/>
              </w:tabs>
              <w:rPr>
                <w:szCs w:val="18"/>
              </w:rPr>
            </w:pPr>
            <w:r>
              <w:rPr>
                <w:szCs w:val="18"/>
              </w:rPr>
              <w:t>2</w:t>
            </w:r>
          </w:p>
        </w:tc>
      </w:tr>
      <w:tr w:rsidR="00E76FF1" w:rsidRPr="00642432" w:rsidTr="004B69C8">
        <w:trPr>
          <w:cantSplit/>
        </w:trPr>
        <w:tc>
          <w:tcPr>
            <w:tcW w:w="1843" w:type="dxa"/>
            <w:tcBorders>
              <w:top w:val="nil"/>
              <w:bottom w:val="nil"/>
            </w:tcBorders>
            <w:shd w:val="clear" w:color="auto" w:fill="auto"/>
          </w:tcPr>
          <w:p w:rsidR="00E76FF1" w:rsidRPr="00642432" w:rsidRDefault="00E76FF1" w:rsidP="00DD7C24">
            <w:pPr>
              <w:pStyle w:val="TableText"/>
              <w:keepNext/>
            </w:pPr>
            <w:r>
              <w:t>Counties Manukau</w:t>
            </w:r>
          </w:p>
        </w:tc>
        <w:tc>
          <w:tcPr>
            <w:tcW w:w="2552" w:type="dxa"/>
            <w:tcBorders>
              <w:top w:val="nil"/>
              <w:bottom w:val="nil"/>
            </w:tcBorders>
            <w:shd w:val="clear" w:color="auto" w:fill="auto"/>
          </w:tcPr>
          <w:p w:rsidR="00E76FF1" w:rsidRPr="00642432" w:rsidRDefault="00E76FF1" w:rsidP="00E76FF1">
            <w:pPr>
              <w:pStyle w:val="TableText"/>
              <w:keepNext/>
              <w:tabs>
                <w:tab w:val="decimal" w:pos="1361"/>
              </w:tabs>
            </w:pPr>
            <w:r>
              <w:t>14</w:t>
            </w:r>
          </w:p>
        </w:tc>
        <w:tc>
          <w:tcPr>
            <w:tcW w:w="567" w:type="dxa"/>
            <w:tcBorders>
              <w:top w:val="nil"/>
              <w:bottom w:val="nil"/>
            </w:tcBorders>
            <w:shd w:val="clear" w:color="auto" w:fill="auto"/>
          </w:tcPr>
          <w:p w:rsidR="00E76FF1" w:rsidRPr="00642432" w:rsidRDefault="00E76FF1" w:rsidP="00DD7C24">
            <w:pPr>
              <w:pStyle w:val="TableText"/>
              <w:keepNext/>
            </w:pPr>
          </w:p>
        </w:tc>
        <w:tc>
          <w:tcPr>
            <w:tcW w:w="1842" w:type="dxa"/>
            <w:tcBorders>
              <w:top w:val="nil"/>
              <w:bottom w:val="nil"/>
            </w:tcBorders>
            <w:shd w:val="clear" w:color="auto" w:fill="auto"/>
          </w:tcPr>
          <w:p w:rsidR="00E76FF1" w:rsidRPr="00642432" w:rsidRDefault="00E76FF1" w:rsidP="00DD7C24">
            <w:pPr>
              <w:pStyle w:val="TableText"/>
              <w:keepNext/>
            </w:pPr>
            <w:r w:rsidRPr="00642432">
              <w:t>Taranaki</w:t>
            </w:r>
          </w:p>
        </w:tc>
        <w:tc>
          <w:tcPr>
            <w:tcW w:w="2552" w:type="dxa"/>
            <w:tcBorders>
              <w:top w:val="nil"/>
              <w:bottom w:val="nil"/>
            </w:tcBorders>
            <w:shd w:val="clear" w:color="auto" w:fill="auto"/>
          </w:tcPr>
          <w:p w:rsidR="00E76FF1" w:rsidRPr="00642432" w:rsidRDefault="00E76FF1" w:rsidP="00E76FF1">
            <w:pPr>
              <w:pStyle w:val="TableText"/>
              <w:keepNext/>
              <w:tabs>
                <w:tab w:val="decimal" w:pos="1503"/>
              </w:tabs>
              <w:rPr>
                <w:szCs w:val="18"/>
              </w:rPr>
            </w:pPr>
            <w:r>
              <w:rPr>
                <w:szCs w:val="18"/>
              </w:rPr>
              <w:t>4</w:t>
            </w:r>
          </w:p>
        </w:tc>
      </w:tr>
      <w:tr w:rsidR="00E76FF1" w:rsidRPr="00642432" w:rsidTr="004B69C8">
        <w:trPr>
          <w:cantSplit/>
        </w:trPr>
        <w:tc>
          <w:tcPr>
            <w:tcW w:w="1843" w:type="dxa"/>
            <w:tcBorders>
              <w:top w:val="nil"/>
              <w:bottom w:val="nil"/>
            </w:tcBorders>
            <w:shd w:val="clear" w:color="auto" w:fill="F2F2F2" w:themeFill="background1" w:themeFillShade="F2"/>
          </w:tcPr>
          <w:p w:rsidR="00E76FF1" w:rsidRPr="00642432" w:rsidRDefault="00E76FF1" w:rsidP="00DD7C24">
            <w:pPr>
              <w:pStyle w:val="TableText"/>
              <w:keepNext/>
            </w:pPr>
            <w:r>
              <w:t>Hawke’s Bay</w:t>
            </w:r>
          </w:p>
        </w:tc>
        <w:tc>
          <w:tcPr>
            <w:tcW w:w="2552" w:type="dxa"/>
            <w:tcBorders>
              <w:top w:val="nil"/>
              <w:bottom w:val="nil"/>
            </w:tcBorders>
            <w:shd w:val="clear" w:color="auto" w:fill="F2F2F2" w:themeFill="background1" w:themeFillShade="F2"/>
          </w:tcPr>
          <w:p w:rsidR="00E76FF1" w:rsidRPr="00642432" w:rsidRDefault="00E76FF1" w:rsidP="00E76FF1">
            <w:pPr>
              <w:pStyle w:val="TableText"/>
              <w:keepNext/>
              <w:tabs>
                <w:tab w:val="decimal" w:pos="1361"/>
              </w:tabs>
            </w:pPr>
            <w:r>
              <w:t>9</w:t>
            </w:r>
          </w:p>
        </w:tc>
        <w:tc>
          <w:tcPr>
            <w:tcW w:w="567" w:type="dxa"/>
            <w:tcBorders>
              <w:top w:val="nil"/>
              <w:bottom w:val="nil"/>
            </w:tcBorders>
            <w:shd w:val="clear" w:color="auto" w:fill="auto"/>
          </w:tcPr>
          <w:p w:rsidR="00E76FF1" w:rsidRPr="00642432" w:rsidRDefault="00E76FF1" w:rsidP="00DD7C24">
            <w:pPr>
              <w:pStyle w:val="TableText"/>
              <w:keepNext/>
            </w:pPr>
          </w:p>
        </w:tc>
        <w:tc>
          <w:tcPr>
            <w:tcW w:w="1842" w:type="dxa"/>
            <w:tcBorders>
              <w:top w:val="nil"/>
              <w:bottom w:val="nil"/>
            </w:tcBorders>
            <w:shd w:val="clear" w:color="auto" w:fill="F2F2F2" w:themeFill="background1" w:themeFillShade="F2"/>
          </w:tcPr>
          <w:p w:rsidR="00E76FF1" w:rsidRPr="00642432" w:rsidRDefault="00E76FF1" w:rsidP="00DD7C24">
            <w:pPr>
              <w:pStyle w:val="TableText"/>
              <w:keepNext/>
            </w:pPr>
            <w:r w:rsidRPr="00642432">
              <w:t>Waikato</w:t>
            </w:r>
          </w:p>
        </w:tc>
        <w:tc>
          <w:tcPr>
            <w:tcW w:w="2552" w:type="dxa"/>
            <w:tcBorders>
              <w:top w:val="nil"/>
              <w:bottom w:val="nil"/>
            </w:tcBorders>
            <w:shd w:val="clear" w:color="auto" w:fill="F2F2F2" w:themeFill="background1" w:themeFillShade="F2"/>
          </w:tcPr>
          <w:p w:rsidR="00E76FF1" w:rsidRPr="00642432" w:rsidRDefault="00E76FF1" w:rsidP="00E76FF1">
            <w:pPr>
              <w:pStyle w:val="TableText"/>
              <w:keepNext/>
              <w:tabs>
                <w:tab w:val="decimal" w:pos="1503"/>
              </w:tabs>
              <w:rPr>
                <w:szCs w:val="18"/>
              </w:rPr>
            </w:pPr>
            <w:r>
              <w:rPr>
                <w:szCs w:val="18"/>
              </w:rPr>
              <w:t>4</w:t>
            </w:r>
          </w:p>
        </w:tc>
      </w:tr>
      <w:tr w:rsidR="00E76FF1" w:rsidRPr="00642432" w:rsidTr="004B69C8">
        <w:trPr>
          <w:cantSplit/>
        </w:trPr>
        <w:tc>
          <w:tcPr>
            <w:tcW w:w="1843" w:type="dxa"/>
            <w:tcBorders>
              <w:top w:val="nil"/>
              <w:bottom w:val="nil"/>
            </w:tcBorders>
            <w:shd w:val="clear" w:color="auto" w:fill="auto"/>
          </w:tcPr>
          <w:p w:rsidR="00E76FF1" w:rsidRPr="00642432" w:rsidRDefault="00E76FF1" w:rsidP="00DD7C24">
            <w:pPr>
              <w:pStyle w:val="TableText"/>
              <w:keepNext/>
            </w:pPr>
            <w:r>
              <w:t>Hutt Valley</w:t>
            </w:r>
          </w:p>
        </w:tc>
        <w:tc>
          <w:tcPr>
            <w:tcW w:w="2552" w:type="dxa"/>
            <w:tcBorders>
              <w:top w:val="nil"/>
              <w:bottom w:val="nil"/>
            </w:tcBorders>
            <w:shd w:val="clear" w:color="auto" w:fill="auto"/>
          </w:tcPr>
          <w:p w:rsidR="00E76FF1" w:rsidRPr="00642432" w:rsidRDefault="00E76FF1" w:rsidP="00E76FF1">
            <w:pPr>
              <w:pStyle w:val="TableText"/>
              <w:keepNext/>
              <w:tabs>
                <w:tab w:val="decimal" w:pos="1361"/>
              </w:tabs>
            </w:pPr>
            <w:r>
              <w:t>6</w:t>
            </w:r>
          </w:p>
        </w:tc>
        <w:tc>
          <w:tcPr>
            <w:tcW w:w="567" w:type="dxa"/>
            <w:tcBorders>
              <w:top w:val="nil"/>
              <w:bottom w:val="nil"/>
            </w:tcBorders>
            <w:shd w:val="clear" w:color="auto" w:fill="auto"/>
          </w:tcPr>
          <w:p w:rsidR="00E76FF1" w:rsidRPr="00642432" w:rsidRDefault="00E76FF1" w:rsidP="00DD7C24">
            <w:pPr>
              <w:pStyle w:val="TableText"/>
              <w:keepNext/>
            </w:pPr>
          </w:p>
        </w:tc>
        <w:tc>
          <w:tcPr>
            <w:tcW w:w="1842" w:type="dxa"/>
            <w:tcBorders>
              <w:top w:val="nil"/>
              <w:bottom w:val="nil"/>
            </w:tcBorders>
            <w:shd w:val="clear" w:color="auto" w:fill="auto"/>
          </w:tcPr>
          <w:p w:rsidR="00E76FF1" w:rsidRPr="00642432" w:rsidRDefault="00E76FF1" w:rsidP="00DD7C24">
            <w:pPr>
              <w:pStyle w:val="TableText"/>
              <w:keepNext/>
            </w:pPr>
            <w:r w:rsidRPr="00642432">
              <w:t>Wairarapa</w:t>
            </w:r>
          </w:p>
        </w:tc>
        <w:tc>
          <w:tcPr>
            <w:tcW w:w="2552" w:type="dxa"/>
            <w:tcBorders>
              <w:top w:val="nil"/>
              <w:bottom w:val="nil"/>
            </w:tcBorders>
            <w:shd w:val="clear" w:color="auto" w:fill="auto"/>
          </w:tcPr>
          <w:p w:rsidR="00E76FF1" w:rsidRPr="00642432" w:rsidRDefault="00E76FF1" w:rsidP="00E76FF1">
            <w:pPr>
              <w:pStyle w:val="TableText"/>
              <w:keepNext/>
              <w:tabs>
                <w:tab w:val="decimal" w:pos="1503"/>
              </w:tabs>
              <w:rPr>
                <w:szCs w:val="18"/>
              </w:rPr>
            </w:pPr>
            <w:r>
              <w:rPr>
                <w:szCs w:val="18"/>
              </w:rPr>
              <w:t>0</w:t>
            </w:r>
          </w:p>
        </w:tc>
      </w:tr>
      <w:tr w:rsidR="00E76FF1" w:rsidRPr="00642432" w:rsidTr="004B69C8">
        <w:trPr>
          <w:cantSplit/>
        </w:trPr>
        <w:tc>
          <w:tcPr>
            <w:tcW w:w="1843" w:type="dxa"/>
            <w:tcBorders>
              <w:top w:val="nil"/>
              <w:bottom w:val="nil"/>
            </w:tcBorders>
            <w:shd w:val="clear" w:color="auto" w:fill="F2F2F2" w:themeFill="background1" w:themeFillShade="F2"/>
          </w:tcPr>
          <w:p w:rsidR="00E76FF1" w:rsidRPr="00642432" w:rsidRDefault="00E76FF1" w:rsidP="004B69C8">
            <w:pPr>
              <w:pStyle w:val="TableText"/>
            </w:pPr>
            <w:r>
              <w:t>Lakes</w:t>
            </w:r>
          </w:p>
        </w:tc>
        <w:tc>
          <w:tcPr>
            <w:tcW w:w="2552" w:type="dxa"/>
            <w:tcBorders>
              <w:top w:val="nil"/>
              <w:bottom w:val="nil"/>
            </w:tcBorders>
            <w:shd w:val="clear" w:color="auto" w:fill="F2F2F2" w:themeFill="background1" w:themeFillShade="F2"/>
          </w:tcPr>
          <w:p w:rsidR="00E76FF1" w:rsidRPr="00642432" w:rsidRDefault="00E76FF1" w:rsidP="00E76FF1">
            <w:pPr>
              <w:pStyle w:val="TableText"/>
              <w:tabs>
                <w:tab w:val="decimal" w:pos="1361"/>
              </w:tabs>
            </w:pPr>
            <w:r>
              <w:t>3</w:t>
            </w:r>
          </w:p>
        </w:tc>
        <w:tc>
          <w:tcPr>
            <w:tcW w:w="567" w:type="dxa"/>
            <w:tcBorders>
              <w:top w:val="nil"/>
              <w:bottom w:val="nil"/>
            </w:tcBorders>
            <w:shd w:val="clear" w:color="auto" w:fill="auto"/>
          </w:tcPr>
          <w:p w:rsidR="00E76FF1" w:rsidRPr="00642432" w:rsidRDefault="00E76FF1" w:rsidP="004B69C8">
            <w:pPr>
              <w:pStyle w:val="TableText"/>
            </w:pPr>
          </w:p>
        </w:tc>
        <w:tc>
          <w:tcPr>
            <w:tcW w:w="1842" w:type="dxa"/>
            <w:tcBorders>
              <w:top w:val="nil"/>
              <w:bottom w:val="nil"/>
            </w:tcBorders>
            <w:shd w:val="clear" w:color="auto" w:fill="F2F2F2" w:themeFill="background1" w:themeFillShade="F2"/>
          </w:tcPr>
          <w:p w:rsidR="00E76FF1" w:rsidRPr="00642432" w:rsidRDefault="00E76FF1" w:rsidP="004B69C8">
            <w:pPr>
              <w:pStyle w:val="TableText"/>
            </w:pPr>
            <w:r w:rsidRPr="00642432">
              <w:t>Waitemata</w:t>
            </w:r>
          </w:p>
        </w:tc>
        <w:tc>
          <w:tcPr>
            <w:tcW w:w="2552" w:type="dxa"/>
            <w:tcBorders>
              <w:top w:val="nil"/>
              <w:bottom w:val="nil"/>
            </w:tcBorders>
            <w:shd w:val="clear" w:color="auto" w:fill="F2F2F2" w:themeFill="background1" w:themeFillShade="F2"/>
          </w:tcPr>
          <w:p w:rsidR="00E76FF1" w:rsidRPr="00642432" w:rsidRDefault="00E76FF1" w:rsidP="00E76FF1">
            <w:pPr>
              <w:pStyle w:val="TableText"/>
              <w:tabs>
                <w:tab w:val="decimal" w:pos="1503"/>
              </w:tabs>
              <w:rPr>
                <w:szCs w:val="18"/>
              </w:rPr>
            </w:pPr>
            <w:r>
              <w:rPr>
                <w:szCs w:val="18"/>
              </w:rPr>
              <w:t>29</w:t>
            </w:r>
          </w:p>
        </w:tc>
      </w:tr>
      <w:tr w:rsidR="00E76FF1" w:rsidRPr="00642432" w:rsidTr="004B69C8">
        <w:trPr>
          <w:cantSplit/>
        </w:trPr>
        <w:tc>
          <w:tcPr>
            <w:tcW w:w="1843" w:type="dxa"/>
            <w:tcBorders>
              <w:top w:val="nil"/>
              <w:bottom w:val="nil"/>
            </w:tcBorders>
            <w:shd w:val="clear" w:color="auto" w:fill="auto"/>
          </w:tcPr>
          <w:p w:rsidR="00E76FF1" w:rsidRPr="00642432" w:rsidRDefault="00E76FF1" w:rsidP="004B69C8">
            <w:pPr>
              <w:pStyle w:val="TableText"/>
            </w:pPr>
            <w:r>
              <w:t>MidCentral</w:t>
            </w:r>
          </w:p>
        </w:tc>
        <w:tc>
          <w:tcPr>
            <w:tcW w:w="2552" w:type="dxa"/>
            <w:tcBorders>
              <w:top w:val="nil"/>
              <w:bottom w:val="nil"/>
            </w:tcBorders>
            <w:shd w:val="clear" w:color="auto" w:fill="auto"/>
          </w:tcPr>
          <w:p w:rsidR="00E76FF1" w:rsidRPr="00642432" w:rsidRDefault="00E76FF1" w:rsidP="00E76FF1">
            <w:pPr>
              <w:pStyle w:val="TableText"/>
              <w:tabs>
                <w:tab w:val="decimal" w:pos="1361"/>
              </w:tabs>
            </w:pPr>
            <w:r>
              <w:t>8</w:t>
            </w:r>
          </w:p>
        </w:tc>
        <w:tc>
          <w:tcPr>
            <w:tcW w:w="567" w:type="dxa"/>
            <w:tcBorders>
              <w:top w:val="nil"/>
              <w:bottom w:val="nil"/>
            </w:tcBorders>
            <w:shd w:val="clear" w:color="auto" w:fill="auto"/>
          </w:tcPr>
          <w:p w:rsidR="00E76FF1" w:rsidRPr="00642432" w:rsidRDefault="00E76FF1" w:rsidP="004B69C8">
            <w:pPr>
              <w:pStyle w:val="TableText"/>
            </w:pPr>
          </w:p>
        </w:tc>
        <w:tc>
          <w:tcPr>
            <w:tcW w:w="1842" w:type="dxa"/>
            <w:tcBorders>
              <w:top w:val="nil"/>
              <w:bottom w:val="nil"/>
            </w:tcBorders>
            <w:shd w:val="clear" w:color="auto" w:fill="auto"/>
          </w:tcPr>
          <w:p w:rsidR="00E76FF1" w:rsidRPr="00642432" w:rsidRDefault="00E76FF1" w:rsidP="004B69C8">
            <w:pPr>
              <w:pStyle w:val="TableText"/>
            </w:pPr>
            <w:r w:rsidRPr="00642432">
              <w:t>West Coast</w:t>
            </w:r>
          </w:p>
        </w:tc>
        <w:tc>
          <w:tcPr>
            <w:tcW w:w="2552" w:type="dxa"/>
            <w:tcBorders>
              <w:top w:val="nil"/>
              <w:bottom w:val="nil"/>
            </w:tcBorders>
            <w:shd w:val="clear" w:color="auto" w:fill="auto"/>
          </w:tcPr>
          <w:p w:rsidR="00E76FF1" w:rsidRPr="00642432" w:rsidRDefault="00E76FF1" w:rsidP="00E76FF1">
            <w:pPr>
              <w:pStyle w:val="TableText"/>
              <w:tabs>
                <w:tab w:val="decimal" w:pos="1503"/>
              </w:tabs>
              <w:rPr>
                <w:szCs w:val="18"/>
              </w:rPr>
            </w:pPr>
            <w:r>
              <w:rPr>
                <w:szCs w:val="18"/>
              </w:rPr>
              <w:t>6</w:t>
            </w:r>
          </w:p>
        </w:tc>
      </w:tr>
      <w:tr w:rsidR="00E76FF1" w:rsidRPr="00642432" w:rsidTr="004B69C8">
        <w:trPr>
          <w:cantSplit/>
        </w:trPr>
        <w:tc>
          <w:tcPr>
            <w:tcW w:w="1843" w:type="dxa"/>
            <w:tcBorders>
              <w:top w:val="nil"/>
              <w:bottom w:val="nil"/>
            </w:tcBorders>
            <w:shd w:val="clear" w:color="auto" w:fill="F2F2F2" w:themeFill="background1" w:themeFillShade="F2"/>
          </w:tcPr>
          <w:p w:rsidR="00E76FF1" w:rsidRPr="00642432" w:rsidRDefault="00E76FF1" w:rsidP="004B69C8">
            <w:pPr>
              <w:pStyle w:val="TableText"/>
            </w:pPr>
            <w:r>
              <w:t>Nelson Marlborough</w:t>
            </w:r>
          </w:p>
        </w:tc>
        <w:tc>
          <w:tcPr>
            <w:tcW w:w="2552" w:type="dxa"/>
            <w:tcBorders>
              <w:top w:val="nil"/>
              <w:bottom w:val="nil"/>
            </w:tcBorders>
            <w:shd w:val="clear" w:color="auto" w:fill="F2F2F2" w:themeFill="background1" w:themeFillShade="F2"/>
          </w:tcPr>
          <w:p w:rsidR="00E76FF1" w:rsidRPr="00642432" w:rsidRDefault="00E76FF1" w:rsidP="00E76FF1">
            <w:pPr>
              <w:pStyle w:val="TableText"/>
              <w:tabs>
                <w:tab w:val="decimal" w:pos="1361"/>
              </w:tabs>
            </w:pPr>
            <w:r>
              <w:t>8</w:t>
            </w:r>
          </w:p>
        </w:tc>
        <w:tc>
          <w:tcPr>
            <w:tcW w:w="567" w:type="dxa"/>
            <w:tcBorders>
              <w:top w:val="nil"/>
              <w:bottom w:val="nil"/>
            </w:tcBorders>
            <w:shd w:val="clear" w:color="auto" w:fill="auto"/>
          </w:tcPr>
          <w:p w:rsidR="00E76FF1" w:rsidRPr="00642432" w:rsidRDefault="00E76FF1" w:rsidP="004B69C8">
            <w:pPr>
              <w:pStyle w:val="TableText"/>
            </w:pPr>
          </w:p>
        </w:tc>
        <w:tc>
          <w:tcPr>
            <w:tcW w:w="1842" w:type="dxa"/>
            <w:tcBorders>
              <w:top w:val="nil"/>
              <w:bottom w:val="single" w:sz="4" w:space="0" w:color="A6A6A6" w:themeColor="background1" w:themeShade="A6"/>
            </w:tcBorders>
            <w:shd w:val="clear" w:color="auto" w:fill="F2F2F2" w:themeFill="background1" w:themeFillShade="F2"/>
          </w:tcPr>
          <w:p w:rsidR="00E76FF1" w:rsidRPr="00642432" w:rsidRDefault="00E76FF1" w:rsidP="004B69C8">
            <w:pPr>
              <w:pStyle w:val="TableText"/>
            </w:pPr>
            <w:r w:rsidRPr="00642432">
              <w:t>Whanganui</w:t>
            </w:r>
          </w:p>
        </w:tc>
        <w:tc>
          <w:tcPr>
            <w:tcW w:w="2552" w:type="dxa"/>
            <w:tcBorders>
              <w:top w:val="nil"/>
              <w:bottom w:val="single" w:sz="4" w:space="0" w:color="A6A6A6" w:themeColor="background1" w:themeShade="A6"/>
            </w:tcBorders>
            <w:shd w:val="clear" w:color="auto" w:fill="F2F2F2" w:themeFill="background1" w:themeFillShade="F2"/>
          </w:tcPr>
          <w:p w:rsidR="00E76FF1" w:rsidRPr="00642432" w:rsidRDefault="00E76FF1" w:rsidP="00E76FF1">
            <w:pPr>
              <w:pStyle w:val="TableText"/>
              <w:tabs>
                <w:tab w:val="decimal" w:pos="1503"/>
              </w:tabs>
              <w:rPr>
                <w:szCs w:val="18"/>
              </w:rPr>
            </w:pPr>
            <w:r>
              <w:rPr>
                <w:szCs w:val="18"/>
              </w:rPr>
              <w:t>2</w:t>
            </w:r>
          </w:p>
        </w:tc>
      </w:tr>
      <w:tr w:rsidR="00E76FF1" w:rsidRPr="00642432" w:rsidTr="004B69C8">
        <w:trPr>
          <w:cantSplit/>
        </w:trPr>
        <w:tc>
          <w:tcPr>
            <w:tcW w:w="1843" w:type="dxa"/>
            <w:tcBorders>
              <w:top w:val="nil"/>
              <w:bottom w:val="single" w:sz="4" w:space="0" w:color="auto"/>
            </w:tcBorders>
            <w:shd w:val="clear" w:color="auto" w:fill="auto"/>
          </w:tcPr>
          <w:p w:rsidR="00E76FF1" w:rsidRPr="00642432" w:rsidRDefault="00E76FF1" w:rsidP="004B69C8">
            <w:pPr>
              <w:pStyle w:val="TableText"/>
            </w:pPr>
          </w:p>
        </w:tc>
        <w:tc>
          <w:tcPr>
            <w:tcW w:w="2552" w:type="dxa"/>
            <w:tcBorders>
              <w:top w:val="nil"/>
              <w:bottom w:val="single" w:sz="4" w:space="0" w:color="auto"/>
            </w:tcBorders>
            <w:shd w:val="clear" w:color="auto" w:fill="auto"/>
          </w:tcPr>
          <w:p w:rsidR="00E76FF1" w:rsidRPr="00642432" w:rsidRDefault="00E76FF1" w:rsidP="00E76FF1">
            <w:pPr>
              <w:pStyle w:val="TableText"/>
              <w:tabs>
                <w:tab w:val="decimal" w:pos="1361"/>
              </w:tabs>
            </w:pPr>
          </w:p>
        </w:tc>
        <w:tc>
          <w:tcPr>
            <w:tcW w:w="567" w:type="dxa"/>
            <w:tcBorders>
              <w:top w:val="nil"/>
              <w:bottom w:val="nil"/>
            </w:tcBorders>
            <w:shd w:val="clear" w:color="auto" w:fill="auto"/>
          </w:tcPr>
          <w:p w:rsidR="00E76FF1" w:rsidRPr="00642432" w:rsidRDefault="00E76FF1" w:rsidP="004B69C8">
            <w:pPr>
              <w:pStyle w:val="TableText"/>
            </w:pPr>
          </w:p>
        </w:tc>
        <w:tc>
          <w:tcPr>
            <w:tcW w:w="1842" w:type="dxa"/>
            <w:tcBorders>
              <w:top w:val="single" w:sz="4" w:space="0" w:color="A6A6A6" w:themeColor="background1" w:themeShade="A6"/>
              <w:bottom w:val="single" w:sz="4" w:space="0" w:color="auto"/>
            </w:tcBorders>
            <w:shd w:val="clear" w:color="auto" w:fill="auto"/>
          </w:tcPr>
          <w:p w:rsidR="00E76FF1" w:rsidRPr="00642432" w:rsidRDefault="00E76FF1" w:rsidP="004B69C8">
            <w:pPr>
              <w:pStyle w:val="TableText"/>
              <w:rPr>
                <w:szCs w:val="18"/>
              </w:rPr>
            </w:pPr>
            <w:r>
              <w:rPr>
                <w:szCs w:val="18"/>
              </w:rPr>
              <w:t>New Zealand total</w:t>
            </w:r>
          </w:p>
        </w:tc>
        <w:tc>
          <w:tcPr>
            <w:tcW w:w="2552" w:type="dxa"/>
            <w:tcBorders>
              <w:top w:val="single" w:sz="4" w:space="0" w:color="A6A6A6" w:themeColor="background1" w:themeShade="A6"/>
              <w:bottom w:val="single" w:sz="4" w:space="0" w:color="auto"/>
            </w:tcBorders>
            <w:shd w:val="clear" w:color="auto" w:fill="auto"/>
          </w:tcPr>
          <w:p w:rsidR="00E76FF1" w:rsidRPr="00642432" w:rsidRDefault="00E76FF1" w:rsidP="00E76FF1">
            <w:pPr>
              <w:pStyle w:val="TableText"/>
              <w:tabs>
                <w:tab w:val="decimal" w:pos="1503"/>
              </w:tabs>
              <w:rPr>
                <w:szCs w:val="18"/>
              </w:rPr>
            </w:pPr>
            <w:r>
              <w:rPr>
                <w:szCs w:val="18"/>
              </w:rPr>
              <w:t>161</w:t>
            </w:r>
          </w:p>
        </w:tc>
      </w:tr>
    </w:tbl>
    <w:p w:rsidR="004659AD" w:rsidRPr="00642432" w:rsidRDefault="004659AD" w:rsidP="00E76FF1">
      <w:pPr>
        <w:pStyle w:val="Source"/>
        <w:ind w:left="0" w:right="0" w:firstLine="0"/>
      </w:pPr>
      <w:r w:rsidRPr="00642432">
        <w:t>Source: Data reported to the HQSC by DHBs</w:t>
      </w:r>
      <w:r w:rsidR="00E76FF1">
        <w:t>.</w:t>
      </w:r>
    </w:p>
    <w:p w:rsidR="004659AD" w:rsidRPr="00642432" w:rsidRDefault="004659AD" w:rsidP="00E76FF1"/>
    <w:p w:rsidR="004659AD" w:rsidRPr="00642432" w:rsidRDefault="004659AD" w:rsidP="00BD62EA">
      <w:pPr>
        <w:pStyle w:val="Heading3"/>
      </w:pPr>
      <w:r w:rsidRPr="00642432">
        <w:t>Reportable deaths under the Mental Health Act</w:t>
      </w:r>
    </w:p>
    <w:p w:rsidR="004659AD" w:rsidRPr="00BD62EA" w:rsidRDefault="004659AD" w:rsidP="00BD62EA">
      <w:r w:rsidRPr="00642432">
        <w:t>Section 132 of the Mental Health Act requires that the Director of Mental Health be notified within</w:t>
      </w:r>
      <w:r w:rsidR="00BD62EA">
        <w:t xml:space="preserve"> </w:t>
      </w:r>
      <w:r w:rsidRPr="00642432">
        <w:t>14 days of the death of any</w:t>
      </w:r>
      <w:r w:rsidR="00D32DDD" w:rsidRPr="00642432">
        <w:t xml:space="preserve"> </w:t>
      </w:r>
      <w:r w:rsidRPr="00642432">
        <w:t>person or special patient under the Mental Health Act, and that such notification identifies the apparent cause of death.</w:t>
      </w:r>
      <w:r w:rsidR="00BD62EA">
        <w:rPr>
          <w:rStyle w:val="FootnoteReference"/>
        </w:rPr>
        <w:footnoteReference w:id="21"/>
      </w:r>
    </w:p>
    <w:p w:rsidR="004659AD" w:rsidRPr="00642432" w:rsidRDefault="004659AD" w:rsidP="00BD62EA"/>
    <w:p w:rsidR="004659AD" w:rsidRPr="00642432" w:rsidRDefault="004659AD" w:rsidP="00BD62EA">
      <w:r w:rsidRPr="00642432">
        <w:t>If the circumstances surrounding a death cause concern, the DHB may initiate an inquiry. The Director of Mental Health can</w:t>
      </w:r>
      <w:r w:rsidR="00D32DDD" w:rsidRPr="00642432">
        <w:t xml:space="preserve"> </w:t>
      </w:r>
      <w:r w:rsidRPr="00642432">
        <w:t>also initiate an investigation under section 95 of the Mental Health Act, and</w:t>
      </w:r>
      <w:r w:rsidR="00BD62EA">
        <w:t xml:space="preserve"> </w:t>
      </w:r>
      <w:r w:rsidRPr="00642432">
        <w:t>in rare cases the Minister or Director-General of Health can</w:t>
      </w:r>
      <w:r w:rsidR="00D32DDD" w:rsidRPr="00642432">
        <w:t xml:space="preserve"> </w:t>
      </w:r>
      <w:r w:rsidRPr="00642432">
        <w:t>initiate an inquiry under section 72 of the New Zealand Public Health and Disability Act 2000. The Director of Mental Health has</w:t>
      </w:r>
      <w:r w:rsidR="00D32DDD" w:rsidRPr="00642432">
        <w:t xml:space="preserve"> </w:t>
      </w:r>
      <w:r w:rsidRPr="00642432">
        <w:t>a role in ensuring that recommendations are followed up by district health boards.</w:t>
      </w:r>
    </w:p>
    <w:p w:rsidR="004659AD" w:rsidRPr="00642432" w:rsidRDefault="004659AD" w:rsidP="00BD62EA"/>
    <w:p w:rsidR="004659AD" w:rsidRPr="00642432" w:rsidRDefault="004659AD" w:rsidP="00BD62EA">
      <w:r w:rsidRPr="00642432">
        <w:t>In 2013 the Director of Mental Health received notification of 47 deaths of people who</w:t>
      </w:r>
      <w:r w:rsidR="00D32DDD" w:rsidRPr="00642432">
        <w:t xml:space="preserve"> </w:t>
      </w:r>
      <w:r w:rsidRPr="00642432">
        <w:t>were</w:t>
      </w:r>
      <w:r w:rsidR="00D32DDD" w:rsidRPr="00642432">
        <w:t xml:space="preserve"> </w:t>
      </w:r>
      <w:r w:rsidRPr="00642432">
        <w:t>under the care of the Mental Health Act at the time of death (Table 13). Nine people are reported to have died by suicide or suspected suicide, and two of these deaths have been confirmed as a suicide by the coroner at the time of writing this report. The Ministry is yet to receive coroners’ reports for the other seven people who</w:t>
      </w:r>
      <w:r w:rsidR="00D32DDD" w:rsidRPr="00642432">
        <w:t xml:space="preserve"> </w:t>
      </w:r>
      <w:r w:rsidRPr="00642432">
        <w:t>are suspected to have died by suicide.</w:t>
      </w:r>
    </w:p>
    <w:p w:rsidR="004659AD" w:rsidRPr="00642432" w:rsidRDefault="004659AD" w:rsidP="00BD62EA"/>
    <w:p w:rsidR="004659AD" w:rsidRPr="00642432" w:rsidRDefault="004659AD" w:rsidP="00BD62EA">
      <w:r w:rsidRPr="00642432">
        <w:t>In 2013, 38 people are reported to have died by other means while receiving treatment under the Mental Health Act, including by natural causes and illness unrelated to the individual’s mental health status.</w:t>
      </w:r>
    </w:p>
    <w:p w:rsidR="004659AD" w:rsidRPr="00642432" w:rsidRDefault="004659AD" w:rsidP="00BD62EA"/>
    <w:p w:rsidR="004659AD" w:rsidRPr="00642432" w:rsidRDefault="004659AD" w:rsidP="00BD62EA">
      <w:pPr>
        <w:pStyle w:val="Table"/>
      </w:pPr>
      <w:bookmarkStart w:id="64" w:name="_Toc405113693"/>
      <w:r w:rsidRPr="00642432">
        <w:t>Table 13: Outcomes of reportable death notifications under section 132 of the Mental Health Act,</w:t>
      </w:r>
      <w:r w:rsidR="00BD62EA">
        <w:t xml:space="preserve"> </w:t>
      </w:r>
      <w:r w:rsidRPr="00642432">
        <w:rPr>
          <w:rFonts w:asciiTheme="minorHAnsi" w:eastAsiaTheme="minorHAnsi" w:hAnsiTheme="minorHAnsi" w:cstheme="minorBidi"/>
          <w:noProof/>
          <w:szCs w:val="22"/>
          <w:lang w:eastAsia="en-NZ"/>
        </w:rPr>
        <mc:AlternateContent>
          <mc:Choice Requires="wpg">
            <w:drawing>
              <wp:anchor distT="0" distB="0" distL="114300" distR="114300" simplePos="0" relativeHeight="251907072" behindDoc="1" locked="0" layoutInCell="1" allowOverlap="1" wp14:anchorId="4CDFA8F8" wp14:editId="3B622290">
                <wp:simplePos x="0" y="0"/>
                <wp:positionH relativeFrom="page">
                  <wp:posOffset>2388235</wp:posOffset>
                </wp:positionH>
                <wp:positionV relativeFrom="paragraph">
                  <wp:posOffset>248920</wp:posOffset>
                </wp:positionV>
                <wp:extent cx="1270" cy="194945"/>
                <wp:effectExtent l="0" t="1270" r="10795" b="3810"/>
                <wp:wrapNone/>
                <wp:docPr id="1398"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4945"/>
                          <a:chOff x="3761" y="392"/>
                          <a:chExt cx="2" cy="307"/>
                        </a:xfrm>
                      </wpg:grpSpPr>
                      <wps:wsp>
                        <wps:cNvPr id="1399" name="Freeform 4251"/>
                        <wps:cNvSpPr>
                          <a:spLocks/>
                        </wps:cNvSpPr>
                        <wps:spPr bwMode="auto">
                          <a:xfrm>
                            <a:off x="3761" y="392"/>
                            <a:ext cx="2" cy="307"/>
                          </a:xfrm>
                          <a:custGeom>
                            <a:avLst/>
                            <a:gdLst>
                              <a:gd name="T0" fmla="+- 0 392 392"/>
                              <a:gd name="T1" fmla="*/ 392 h 307"/>
                              <a:gd name="T2" fmla="+- 0 699 392"/>
                              <a:gd name="T3" fmla="*/ 699 h 307"/>
                              <a:gd name="T4" fmla="+- 0 392 392"/>
                              <a:gd name="T5" fmla="*/ 392 h 307"/>
                            </a:gdLst>
                            <a:ahLst/>
                            <a:cxnLst>
                              <a:cxn ang="0">
                                <a:pos x="0" y="T1"/>
                              </a:cxn>
                              <a:cxn ang="0">
                                <a:pos x="0" y="T3"/>
                              </a:cxn>
                              <a:cxn ang="0">
                                <a:pos x="0" y="T5"/>
                              </a:cxn>
                            </a:cxnLst>
                            <a:rect l="0" t="0" r="r" b="b"/>
                            <a:pathLst>
                              <a:path h="307">
                                <a:moveTo>
                                  <a:pt x="0" y="0"/>
                                </a:moveTo>
                                <a:lnTo>
                                  <a:pt x="0" y="307"/>
                                </a:lnTo>
                                <a:lnTo>
                                  <a:pt x="0" y="0"/>
                                </a:lnTo>
                              </a:path>
                            </a:pathLst>
                          </a:custGeom>
                          <a:solidFill>
                            <a:srgbClr val="CB5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E9123" id="Group 1398" o:spid="_x0000_s1026" style="position:absolute;margin-left:188.05pt;margin-top:19.6pt;width:.1pt;height:15.35pt;z-index:-251409408;mso-position-horizontal-relative:page" coordorigin="3761,392" coordsize="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">
                <v:shape id="Freeform 4251" o:spid="_x0000_s1027" style="position:absolute;left:3761;top:392;width:2;height:307;visibility:visible;mso-wrap-style:square;v-text-anchor:top" coordsize="2,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Mu8MA&#10;AADdAAAADwAAAGRycy9kb3ducmV2LnhtbERPS2vCQBC+F/wPywheim60VEx0FbEKXnrwdR+zYxLc&#10;nU2za0z/fbdQ6G0+vucsVp01oqXGV44VjEcJCOLc6YoLBefTbjgD4QOyRuOYFHyTh9Wy97LATLsn&#10;H6g9hkLEEPYZKihDqDMpfV6SRT9yNXHkbq6xGCJsCqkbfMZwa+QkSabSYsWxocSaNiXl9+PDKlib&#10;z+1tv5m8p/ek5e7j9XK6fhmlBv1uPQcRqAv/4j/3Xsf5b2k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yMu8MAAADdAAAADwAAAAAAAAAAAAAAAACYAgAAZHJzL2Rv&#10;d25yZXYueG1sUEsFBgAAAAAEAAQA9QAAAIgDAAAAAA==&#10;" path="m,l,307,,e" fillcolor="#cb5936" stroked="f">
                  <v:path arrowok="t" o:connecttype="custom" o:connectlocs="0,392;0,699;0,392" o:connectangles="0,0,0"/>
                </v:shape>
                <w10:wrap anchorx="page"/>
              </v:group>
            </w:pict>
          </mc:Fallback>
        </mc:AlternateContent>
      </w:r>
      <w:r w:rsidRPr="00642432">
        <w:t>1 January to 31 December 2013</w:t>
      </w:r>
      <w:bookmarkEnd w:id="64"/>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977"/>
        <w:gridCol w:w="2693"/>
      </w:tblGrid>
      <w:tr w:rsidR="004659AD" w:rsidRPr="00BD62EA" w:rsidTr="009163FC">
        <w:trPr>
          <w:cantSplit/>
        </w:trPr>
        <w:tc>
          <w:tcPr>
            <w:tcW w:w="2977" w:type="dxa"/>
            <w:tcBorders>
              <w:top w:val="single" w:sz="4" w:space="0" w:color="auto"/>
              <w:bottom w:val="single" w:sz="4" w:space="0" w:color="auto"/>
            </w:tcBorders>
            <w:shd w:val="clear" w:color="auto" w:fill="F2F2F2" w:themeFill="background1" w:themeFillShade="F2"/>
          </w:tcPr>
          <w:p w:rsidR="004659AD" w:rsidRPr="00BD62EA" w:rsidRDefault="004659AD" w:rsidP="00BD62EA">
            <w:pPr>
              <w:pStyle w:val="TableText"/>
              <w:keepNext/>
              <w:rPr>
                <w:b/>
              </w:rPr>
            </w:pPr>
            <w:r w:rsidRPr="00BD62EA">
              <w:rPr>
                <w:b/>
              </w:rPr>
              <w:t>Reportable death outcome</w:t>
            </w:r>
          </w:p>
        </w:tc>
        <w:tc>
          <w:tcPr>
            <w:tcW w:w="2693" w:type="dxa"/>
            <w:tcBorders>
              <w:top w:val="single" w:sz="4" w:space="0" w:color="auto"/>
              <w:bottom w:val="single" w:sz="4" w:space="0" w:color="auto"/>
            </w:tcBorders>
            <w:shd w:val="clear" w:color="auto" w:fill="F2F2F2" w:themeFill="background1" w:themeFillShade="F2"/>
          </w:tcPr>
          <w:p w:rsidR="004659AD" w:rsidRPr="00BD62EA" w:rsidRDefault="004659AD" w:rsidP="00B95D64">
            <w:pPr>
              <w:pStyle w:val="TableText"/>
              <w:jc w:val="center"/>
              <w:rPr>
                <w:b/>
              </w:rPr>
            </w:pPr>
            <w:r w:rsidRPr="00BD62EA">
              <w:rPr>
                <w:b/>
              </w:rPr>
              <w:t>Number of notifications</w:t>
            </w:r>
          </w:p>
        </w:tc>
      </w:tr>
      <w:tr w:rsidR="004659AD" w:rsidRPr="00642432" w:rsidTr="009163FC">
        <w:trPr>
          <w:cantSplit/>
        </w:trPr>
        <w:tc>
          <w:tcPr>
            <w:tcW w:w="2977" w:type="dxa"/>
            <w:tcBorders>
              <w:top w:val="single" w:sz="4" w:space="0" w:color="auto"/>
              <w:bottom w:val="nil"/>
            </w:tcBorders>
            <w:shd w:val="clear" w:color="auto" w:fill="auto"/>
          </w:tcPr>
          <w:p w:rsidR="004659AD" w:rsidRPr="00642432" w:rsidRDefault="004659AD" w:rsidP="00BD62EA">
            <w:pPr>
              <w:pStyle w:val="TableText"/>
              <w:keepNext/>
            </w:pPr>
            <w:r w:rsidRPr="00642432">
              <w:t>Suicide</w:t>
            </w:r>
          </w:p>
        </w:tc>
        <w:tc>
          <w:tcPr>
            <w:tcW w:w="2693" w:type="dxa"/>
            <w:tcBorders>
              <w:top w:val="single" w:sz="4" w:space="0" w:color="auto"/>
              <w:bottom w:val="nil"/>
            </w:tcBorders>
            <w:shd w:val="clear" w:color="auto" w:fill="auto"/>
          </w:tcPr>
          <w:p w:rsidR="004659AD" w:rsidRPr="00642432" w:rsidRDefault="004659AD" w:rsidP="009163FC">
            <w:pPr>
              <w:pStyle w:val="TableText"/>
              <w:tabs>
                <w:tab w:val="decimal" w:pos="1361"/>
              </w:tabs>
            </w:pPr>
            <w:r w:rsidRPr="00642432">
              <w:t>2</w:t>
            </w:r>
          </w:p>
        </w:tc>
      </w:tr>
      <w:tr w:rsidR="004659AD" w:rsidRPr="00642432" w:rsidTr="009163FC">
        <w:trPr>
          <w:cantSplit/>
        </w:trPr>
        <w:tc>
          <w:tcPr>
            <w:tcW w:w="2977" w:type="dxa"/>
            <w:tcBorders>
              <w:top w:val="nil"/>
              <w:bottom w:val="nil"/>
            </w:tcBorders>
            <w:shd w:val="clear" w:color="auto" w:fill="F2F2F2" w:themeFill="background1" w:themeFillShade="F2"/>
          </w:tcPr>
          <w:p w:rsidR="004659AD" w:rsidRPr="00642432" w:rsidRDefault="004659AD" w:rsidP="00BD62EA">
            <w:pPr>
              <w:pStyle w:val="TableText"/>
              <w:keepNext/>
            </w:pPr>
            <w:r w:rsidRPr="00642432">
              <w:t>Suspected suicide</w:t>
            </w:r>
          </w:p>
        </w:tc>
        <w:tc>
          <w:tcPr>
            <w:tcW w:w="2693" w:type="dxa"/>
            <w:tcBorders>
              <w:top w:val="nil"/>
              <w:bottom w:val="nil"/>
            </w:tcBorders>
            <w:shd w:val="clear" w:color="auto" w:fill="F2F2F2" w:themeFill="background1" w:themeFillShade="F2"/>
          </w:tcPr>
          <w:p w:rsidR="004659AD" w:rsidRPr="00642432" w:rsidRDefault="004659AD" w:rsidP="009163FC">
            <w:pPr>
              <w:pStyle w:val="TableText"/>
              <w:tabs>
                <w:tab w:val="decimal" w:pos="1361"/>
              </w:tabs>
            </w:pPr>
            <w:r w:rsidRPr="00642432">
              <w:t>7</w:t>
            </w:r>
          </w:p>
        </w:tc>
      </w:tr>
      <w:tr w:rsidR="004659AD" w:rsidRPr="00642432" w:rsidTr="009163FC">
        <w:trPr>
          <w:cantSplit/>
        </w:trPr>
        <w:tc>
          <w:tcPr>
            <w:tcW w:w="2977" w:type="dxa"/>
            <w:tcBorders>
              <w:top w:val="nil"/>
              <w:bottom w:val="nil"/>
            </w:tcBorders>
            <w:shd w:val="clear" w:color="auto" w:fill="auto"/>
          </w:tcPr>
          <w:p w:rsidR="004659AD" w:rsidRPr="00642432" w:rsidRDefault="004659AD" w:rsidP="00BD62EA">
            <w:pPr>
              <w:pStyle w:val="TableText"/>
              <w:keepNext/>
            </w:pPr>
            <w:r w:rsidRPr="00642432">
              <w:t>Other deaths</w:t>
            </w:r>
          </w:p>
        </w:tc>
        <w:tc>
          <w:tcPr>
            <w:tcW w:w="2693" w:type="dxa"/>
            <w:tcBorders>
              <w:top w:val="nil"/>
              <w:bottom w:val="nil"/>
            </w:tcBorders>
            <w:shd w:val="clear" w:color="auto" w:fill="auto"/>
          </w:tcPr>
          <w:p w:rsidR="004659AD" w:rsidRPr="00642432" w:rsidRDefault="004659AD" w:rsidP="009163FC">
            <w:pPr>
              <w:pStyle w:val="TableText"/>
              <w:tabs>
                <w:tab w:val="decimal" w:pos="1361"/>
              </w:tabs>
            </w:pPr>
            <w:r w:rsidRPr="00642432">
              <w:t>38</w:t>
            </w:r>
          </w:p>
        </w:tc>
      </w:tr>
      <w:tr w:rsidR="004659AD" w:rsidRPr="00642432" w:rsidTr="009163FC">
        <w:trPr>
          <w:cantSplit/>
        </w:trPr>
        <w:tc>
          <w:tcPr>
            <w:tcW w:w="2977" w:type="dxa"/>
            <w:tcBorders>
              <w:top w:val="nil"/>
              <w:bottom w:val="single" w:sz="4" w:space="0" w:color="auto"/>
            </w:tcBorders>
            <w:shd w:val="clear" w:color="auto" w:fill="F2F2F2" w:themeFill="background1" w:themeFillShade="F2"/>
          </w:tcPr>
          <w:p w:rsidR="004659AD" w:rsidRPr="00642432" w:rsidRDefault="004659AD" w:rsidP="00BD62EA">
            <w:pPr>
              <w:pStyle w:val="TableText"/>
            </w:pPr>
            <w:r w:rsidRPr="00642432">
              <w:t>Total events</w:t>
            </w:r>
          </w:p>
        </w:tc>
        <w:tc>
          <w:tcPr>
            <w:tcW w:w="2693" w:type="dxa"/>
            <w:tcBorders>
              <w:top w:val="nil"/>
              <w:bottom w:val="single" w:sz="4" w:space="0" w:color="auto"/>
            </w:tcBorders>
            <w:shd w:val="clear" w:color="auto" w:fill="F2F2F2" w:themeFill="background1" w:themeFillShade="F2"/>
          </w:tcPr>
          <w:p w:rsidR="004659AD" w:rsidRPr="00642432" w:rsidRDefault="004659AD" w:rsidP="009163FC">
            <w:pPr>
              <w:pStyle w:val="TableText"/>
              <w:tabs>
                <w:tab w:val="decimal" w:pos="1361"/>
              </w:tabs>
            </w:pPr>
            <w:r w:rsidRPr="00642432">
              <w:t>47</w:t>
            </w:r>
          </w:p>
        </w:tc>
      </w:tr>
    </w:tbl>
    <w:p w:rsidR="004659AD" w:rsidRPr="00642432" w:rsidRDefault="004659AD" w:rsidP="009163FC">
      <w:pPr>
        <w:pStyle w:val="Note"/>
        <w:ind w:left="0" w:right="3686" w:firstLine="0"/>
      </w:pPr>
      <w:r w:rsidRPr="00642432">
        <w:t>Note:</w:t>
      </w:r>
      <w:r w:rsidR="00D32DDD" w:rsidRPr="00642432">
        <w:t xml:space="preserve"> </w:t>
      </w:r>
      <w:r w:rsidRPr="00642432">
        <w:t>A person is recorded as having died by suicide when the coroner has</w:t>
      </w:r>
      <w:r w:rsidR="00D32DDD" w:rsidRPr="00642432">
        <w:t xml:space="preserve"> </w:t>
      </w:r>
      <w:r w:rsidRPr="00642432">
        <w:t>made a finding of suicide.</w:t>
      </w:r>
    </w:p>
    <w:p w:rsidR="004659AD" w:rsidRPr="00642432" w:rsidRDefault="004659AD" w:rsidP="009163FC">
      <w:pPr>
        <w:pStyle w:val="Source"/>
        <w:ind w:left="0" w:right="3686" w:firstLine="0"/>
      </w:pPr>
      <w:r w:rsidRPr="00642432">
        <w:t>Source: Office of the Director of Mental Health records</w:t>
      </w:r>
      <w:r w:rsidR="009163FC">
        <w:t>.</w:t>
      </w:r>
    </w:p>
    <w:p w:rsidR="004659AD" w:rsidRPr="00642432" w:rsidRDefault="004659AD" w:rsidP="00B95D64"/>
    <w:p w:rsidR="004659AD" w:rsidRPr="00642432" w:rsidRDefault="004659AD" w:rsidP="00B95D64">
      <w:pPr>
        <w:pStyle w:val="Heading3"/>
      </w:pPr>
      <w:r w:rsidRPr="00642432">
        <w:t>Sector voices</w:t>
      </w:r>
    </w:p>
    <w:p w:rsidR="004659AD" w:rsidRPr="00642432" w:rsidRDefault="009163FC" w:rsidP="009163FC">
      <w:pPr>
        <w:pStyle w:val="Heading4"/>
      </w:pPr>
      <w:r w:rsidRPr="009163FC">
        <w:rPr>
          <w:noProof/>
          <w:lang w:eastAsia="en-NZ"/>
        </w:rPr>
        <w:drawing>
          <wp:anchor distT="0" distB="0" distL="0" distR="114300" simplePos="0" relativeHeight="251990016" behindDoc="0" locked="0" layoutInCell="1" allowOverlap="1">
            <wp:simplePos x="0" y="0"/>
            <wp:positionH relativeFrom="column">
              <wp:posOffset>-3175</wp:posOffset>
            </wp:positionH>
            <wp:positionV relativeFrom="paragraph">
              <wp:posOffset>0</wp:posOffset>
            </wp:positionV>
            <wp:extent cx="1332000" cy="1724400"/>
            <wp:effectExtent l="0" t="0" r="1905" b="0"/>
            <wp:wrapSquare wrapText="right"/>
            <wp:docPr id="5518" name="Picture 5518" descr="Photo of Janice Wilson – Chief Executive, Health Quality and Safety Commission" title=" Janice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grayscl/>
                      <a:extLst>
                        <a:ext uri="{28A0092B-C50C-407E-A947-70E740481C1C}">
                          <a14:useLocalDpi xmlns:a14="http://schemas.microsoft.com/office/drawing/2010/main" val="0"/>
                        </a:ext>
                      </a:extLst>
                    </a:blip>
                    <a:stretch>
                      <a:fillRect/>
                    </a:stretch>
                  </pic:blipFill>
                  <pic:spPr>
                    <a:xfrm>
                      <a:off x="0" y="0"/>
                      <a:ext cx="1332000" cy="1724400"/>
                    </a:xfrm>
                    <a:prstGeom prst="rect">
                      <a:avLst/>
                    </a:prstGeom>
                  </pic:spPr>
                </pic:pic>
              </a:graphicData>
            </a:graphic>
            <wp14:sizeRelH relativeFrom="margin">
              <wp14:pctWidth>0</wp14:pctWidth>
            </wp14:sizeRelH>
            <wp14:sizeRelV relativeFrom="margin">
              <wp14:pctHeight>0</wp14:pctHeight>
            </wp14:sizeRelV>
          </wp:anchor>
        </w:drawing>
      </w:r>
      <w:r w:rsidR="004659AD" w:rsidRPr="00642432">
        <w:t>Janice Wilson – Chief Executive, Health Quality and Safety Commission</w:t>
      </w:r>
    </w:p>
    <w:p w:rsidR="004659AD" w:rsidRPr="00642432" w:rsidRDefault="004659AD" w:rsidP="009163FC">
      <w:r w:rsidRPr="00642432">
        <w:t>Over the last year</w:t>
      </w:r>
      <w:r w:rsidR="00D32DDD" w:rsidRPr="00642432">
        <w:t xml:space="preserve"> </w:t>
      </w:r>
      <w:r w:rsidRPr="00642432">
        <w:t>the Health Quality and Safety Commission has</w:t>
      </w:r>
      <w:r w:rsidR="00D32DDD" w:rsidRPr="00642432">
        <w:t xml:space="preserve"> </w:t>
      </w:r>
      <w:r w:rsidRPr="00642432">
        <w:t>been increasingly working with the Director of Mental Health in order to improve the quality of services in the mental health and addictions sector. Two examples of this work</w:t>
      </w:r>
      <w:r w:rsidR="00D32DDD" w:rsidRPr="00642432">
        <w:t xml:space="preserve"> </w:t>
      </w:r>
      <w:r w:rsidRPr="00642432">
        <w:t>are the establishment of the Suicide Mortality Review Committee, and the process of learning from adverse events.</w:t>
      </w:r>
    </w:p>
    <w:p w:rsidR="004659AD" w:rsidRPr="00642432" w:rsidRDefault="004659AD" w:rsidP="009163FC"/>
    <w:p w:rsidR="004659AD" w:rsidRPr="00642432" w:rsidRDefault="004659AD" w:rsidP="009163FC">
      <w:r w:rsidRPr="00642432">
        <w:t>The Suicide Mortality Review Committee has</w:t>
      </w:r>
      <w:r w:rsidR="00D32DDD" w:rsidRPr="00642432">
        <w:t xml:space="preserve"> </w:t>
      </w:r>
      <w:r w:rsidRPr="00642432">
        <w:t>been established as an 18-month trial, with a main aim</w:t>
      </w:r>
      <w:r w:rsidR="00D32DDD" w:rsidRPr="00642432">
        <w:t xml:space="preserve"> </w:t>
      </w:r>
      <w:r w:rsidRPr="00642432">
        <w:t>of collecting a set of information on every suicide death in</w:t>
      </w:r>
      <w:r w:rsidR="009163FC">
        <w:t xml:space="preserve"> </w:t>
      </w:r>
      <w:r w:rsidRPr="00642432">
        <w:t>New Zealand, to improve our</w:t>
      </w:r>
      <w:r w:rsidR="00D32DDD" w:rsidRPr="00642432">
        <w:t xml:space="preserve"> </w:t>
      </w:r>
      <w:r w:rsidRPr="00642432">
        <w:t>knowledge about people who</w:t>
      </w:r>
      <w:r w:rsidR="00D32DDD" w:rsidRPr="00642432">
        <w:t xml:space="preserve"> </w:t>
      </w:r>
      <w:r w:rsidRPr="00642432">
        <w:t>die by suicide. The Committee will also review three sub-groups with particularly high rates of suicide: Māori youth, users of specialist mental health and addiction services, and men aged between 25 and 64 years.</w:t>
      </w:r>
    </w:p>
    <w:p w:rsidR="004659AD" w:rsidRPr="00642432" w:rsidRDefault="004659AD" w:rsidP="009163FC"/>
    <w:p w:rsidR="004659AD" w:rsidRPr="00642432" w:rsidRDefault="004659AD" w:rsidP="009163FC">
      <w:r w:rsidRPr="00642432">
        <w:t>The Director of Mental Health and the Commission are also working together on how we can</w:t>
      </w:r>
      <w:r w:rsidR="00D32DDD" w:rsidRPr="00642432">
        <w:t xml:space="preserve"> </w:t>
      </w:r>
      <w:r w:rsidRPr="00642432">
        <w:t>learn from serious adverse events that have involved users of mental health and addiction services. We are developing tools and resources to support providers in the review of these events, so that lessons can be learnt and – where possible – steps taken to prevent similar events from occurring in future.</w:t>
      </w:r>
    </w:p>
    <w:p w:rsidR="004659AD" w:rsidRPr="00642432" w:rsidRDefault="004659AD" w:rsidP="009163FC"/>
    <w:p w:rsidR="004659AD" w:rsidRPr="00642432" w:rsidRDefault="004659AD" w:rsidP="009163FC">
      <w:r w:rsidRPr="00642432">
        <w:t>As a psychiatrist myself, I acknowledge the difficulties associated with tackling these two challenging areas, but I see these as vital steps that are part of our</w:t>
      </w:r>
      <w:r w:rsidR="00D32DDD" w:rsidRPr="00642432">
        <w:t xml:space="preserve"> </w:t>
      </w:r>
      <w:r w:rsidRPr="00642432">
        <w:t>responsibilities.</w:t>
      </w:r>
    </w:p>
    <w:p w:rsidR="004659AD" w:rsidRPr="00642432" w:rsidRDefault="004659AD" w:rsidP="009163FC"/>
    <w:p w:rsidR="004659AD" w:rsidRPr="00642432" w:rsidRDefault="004659AD" w:rsidP="009163FC">
      <w:pPr>
        <w:pStyle w:val="Heading2"/>
      </w:pPr>
      <w:bookmarkStart w:id="65" w:name="_Toc405113673"/>
      <w:r w:rsidRPr="00642432">
        <w:t>Death by suicide or suspected suicide</w:t>
      </w:r>
      <w:bookmarkEnd w:id="65"/>
    </w:p>
    <w:p w:rsidR="004659AD" w:rsidRPr="00642432" w:rsidRDefault="004659AD" w:rsidP="00E43739">
      <w:pPr>
        <w:keepNext/>
      </w:pPr>
      <w:r w:rsidRPr="00642432">
        <w:t>This</w:t>
      </w:r>
      <w:r w:rsidR="00D32DDD" w:rsidRPr="00642432">
        <w:t xml:space="preserve"> </w:t>
      </w:r>
      <w:r w:rsidRPr="00642432">
        <w:t>section provides a brief overview of suicide and deaths of undetermined intent among people who use specialist mental health services for 2011. Data from 2011 is used because it can</w:t>
      </w:r>
      <w:r w:rsidR="00D32DDD" w:rsidRPr="00642432">
        <w:t xml:space="preserve"> </w:t>
      </w:r>
      <w:r w:rsidRPr="00642432">
        <w:t>take over</w:t>
      </w:r>
      <w:r w:rsidR="00D32DDD" w:rsidRPr="00642432">
        <w:t xml:space="preserve"> </w:t>
      </w:r>
      <w:r w:rsidRPr="00642432">
        <w:t>two years for a coroner’s investigation into a suicide to be completed.</w:t>
      </w:r>
    </w:p>
    <w:p w:rsidR="004659AD" w:rsidRPr="00642432" w:rsidRDefault="004659AD" w:rsidP="00E43739">
      <w:pPr>
        <w:keepNext/>
      </w:pPr>
    </w:p>
    <w:p w:rsidR="004659AD" w:rsidRPr="00642432" w:rsidRDefault="004659AD" w:rsidP="00E43739">
      <w:pPr>
        <w:keepNext/>
      </w:pPr>
      <w:r w:rsidRPr="00642432">
        <w:t>In summary, in 2011:</w:t>
      </w:r>
    </w:p>
    <w:p w:rsidR="004659AD" w:rsidRPr="00642432" w:rsidRDefault="004659AD" w:rsidP="00E43739">
      <w:pPr>
        <w:pStyle w:val="Bullet"/>
        <w:keepNext/>
      </w:pPr>
      <w:r w:rsidRPr="00642432">
        <w:t>493 suicides were</w:t>
      </w:r>
      <w:r w:rsidR="00D32DDD" w:rsidRPr="00642432">
        <w:t xml:space="preserve"> </w:t>
      </w:r>
      <w:r w:rsidRPr="00642432">
        <w:t>recorded in the mortality database</w:t>
      </w:r>
    </w:p>
    <w:p w:rsidR="004659AD" w:rsidRPr="00642432" w:rsidRDefault="004659AD" w:rsidP="00E43739">
      <w:pPr>
        <w:pStyle w:val="Bullet"/>
        <w:keepNext/>
      </w:pPr>
      <w:r w:rsidRPr="00642432">
        <w:t>approximately 40 percent of those who</w:t>
      </w:r>
      <w:r w:rsidR="00D32DDD" w:rsidRPr="00642432">
        <w:t xml:space="preserve"> </w:t>
      </w:r>
      <w:r w:rsidRPr="00642432">
        <w:t>died by suicide or undetermined intent (aged 10 to 64) were mental health service users</w:t>
      </w:r>
    </w:p>
    <w:p w:rsidR="004659AD" w:rsidRPr="00642432" w:rsidRDefault="004659AD" w:rsidP="00E43739">
      <w:pPr>
        <w:pStyle w:val="Bullet"/>
        <w:keepNext/>
      </w:pPr>
      <w:r w:rsidRPr="00642432">
        <w:t>mental disorders were</w:t>
      </w:r>
      <w:r w:rsidR="00D32DDD" w:rsidRPr="00642432">
        <w:t xml:space="preserve"> </w:t>
      </w:r>
      <w:r w:rsidRPr="00642432">
        <w:t>a significant risk factor for suicidal behaviour</w:t>
      </w:r>
    </w:p>
    <w:p w:rsidR="004659AD" w:rsidRPr="00642432" w:rsidRDefault="004659AD" w:rsidP="00C92667">
      <w:pPr>
        <w:pStyle w:val="Bullet"/>
        <w:keepNext/>
      </w:pPr>
      <w:r w:rsidRPr="00642432">
        <w:t>males were</w:t>
      </w:r>
      <w:r w:rsidR="00D32DDD" w:rsidRPr="00642432">
        <w:t xml:space="preserve"> </w:t>
      </w:r>
      <w:r w:rsidRPr="00642432">
        <w:t>more likely to commit suicide than females</w:t>
      </w:r>
    </w:p>
    <w:p w:rsidR="004659AD" w:rsidRPr="00642432" w:rsidRDefault="004659AD" w:rsidP="00C92667">
      <w:pPr>
        <w:pStyle w:val="Bullet"/>
      </w:pPr>
      <w:r w:rsidRPr="00642432">
        <w:t>younger people were</w:t>
      </w:r>
      <w:r w:rsidR="00D32DDD" w:rsidRPr="00642432">
        <w:t xml:space="preserve"> </w:t>
      </w:r>
      <w:r w:rsidRPr="00642432">
        <w:t>more likely to commit suicide than older people.</w:t>
      </w:r>
    </w:p>
    <w:p w:rsidR="004659AD" w:rsidRPr="00642432" w:rsidRDefault="004659AD" w:rsidP="00C92667"/>
    <w:p w:rsidR="004659AD" w:rsidRPr="00642432" w:rsidRDefault="004659AD" w:rsidP="00C92667">
      <w:r w:rsidRPr="00642432">
        <w:t>Suicide is a serious concern for New Zealand. Around 500</w:t>
      </w:r>
      <w:r w:rsidR="00D32DDD" w:rsidRPr="00642432">
        <w:t xml:space="preserve"> </w:t>
      </w:r>
      <w:r w:rsidRPr="00642432">
        <w:t>New Zealanders die by suicide every year;</w:t>
      </w:r>
      <w:r w:rsidR="00C92667">
        <w:t xml:space="preserve"> </w:t>
      </w:r>
      <w:r w:rsidRPr="00642432">
        <w:t>which also affects the lives of many others – families, whānau, friends, colleagues and communities.</w:t>
      </w:r>
    </w:p>
    <w:p w:rsidR="004659AD" w:rsidRPr="00642432" w:rsidRDefault="004659AD" w:rsidP="00C92667"/>
    <w:p w:rsidR="004659AD" w:rsidRPr="00642432" w:rsidRDefault="004659AD" w:rsidP="00C92667">
      <w:r w:rsidRPr="00642432">
        <w:t>New Zealand is one</w:t>
      </w:r>
      <w:r w:rsidR="00D32DDD" w:rsidRPr="00642432">
        <w:t xml:space="preserve"> </w:t>
      </w:r>
      <w:r w:rsidRPr="00642432">
        <w:t>of 28 countries with a national strategy to address suicide, the New Zealand Suicide Prevention Strategy 2006–2016 (Associate</w:t>
      </w:r>
      <w:r w:rsidR="00C92667">
        <w:t xml:space="preserve"> </w:t>
      </w:r>
      <w:r w:rsidR="00C92667" w:rsidRPr="00642432">
        <w:t xml:space="preserve">Minister of Health 2006). It also has the New Zealand </w:t>
      </w:r>
      <w:hyperlink r:id="rId63">
        <w:r w:rsidR="00C92667" w:rsidRPr="00642432">
          <w:t xml:space="preserve">Suicide Prevention Action Plan 2013–2016 </w:t>
        </w:r>
      </w:hyperlink>
      <w:r w:rsidR="00C92667" w:rsidRPr="00642432">
        <w:t>(Ministry of Health 2013a) which represents the next step in the Government’s commitment to addressing New Zealand’s unacceptably high suicide rates.</w:t>
      </w:r>
    </w:p>
    <w:p w:rsidR="004659AD" w:rsidRPr="00642432" w:rsidRDefault="004659AD" w:rsidP="00C92667"/>
    <w:p w:rsidR="004659AD" w:rsidRPr="00642432" w:rsidRDefault="004659AD" w:rsidP="00C92667">
      <w:pPr>
        <w:pStyle w:val="Box"/>
      </w:pPr>
      <w:r w:rsidRPr="00642432">
        <w:t>Around 500</w:t>
      </w:r>
      <w:r w:rsidR="00D32DDD" w:rsidRPr="00642432">
        <w:t xml:space="preserve"> </w:t>
      </w:r>
      <w:r w:rsidRPr="00642432">
        <w:t>New Zealanders die by suicide every year.</w:t>
      </w:r>
    </w:p>
    <w:p w:rsidR="004659AD" w:rsidRPr="00642432" w:rsidRDefault="004659AD" w:rsidP="00C92667"/>
    <w:p w:rsidR="004659AD" w:rsidRPr="00642432" w:rsidRDefault="004659AD" w:rsidP="00C92667">
      <w:r w:rsidRPr="00642432">
        <w:t>With</w:t>
      </w:r>
      <w:r w:rsidR="00D32DDD" w:rsidRPr="00642432">
        <w:t xml:space="preserve"> </w:t>
      </w:r>
      <w:r w:rsidRPr="00642432">
        <w:t>funding of $25 million over</w:t>
      </w:r>
      <w:r w:rsidR="00D32DDD" w:rsidRPr="00642432">
        <w:t xml:space="preserve"> </w:t>
      </w:r>
      <w:r w:rsidRPr="00642432">
        <w:t>four</w:t>
      </w:r>
      <w:r w:rsidR="00D32DDD" w:rsidRPr="00642432">
        <w:t xml:space="preserve"> </w:t>
      </w:r>
      <w:r w:rsidRPr="00642432">
        <w:t>years to implement 30 actions, the Suicide Prevention Action Plan aims to expand existing services, to make these more accessible and to support communities to prevent suicide.</w:t>
      </w:r>
    </w:p>
    <w:p w:rsidR="004659AD" w:rsidRPr="00642432" w:rsidRDefault="004659AD" w:rsidP="00C92667"/>
    <w:p w:rsidR="004659AD" w:rsidRPr="00642432" w:rsidRDefault="004659AD" w:rsidP="00C92667">
      <w:r w:rsidRPr="00642432">
        <w:t>The focus of this subsection is on people who</w:t>
      </w:r>
      <w:r w:rsidR="00D32DDD" w:rsidRPr="00642432">
        <w:t xml:space="preserve"> </w:t>
      </w:r>
      <w:r w:rsidRPr="00642432">
        <w:t>died by suicide with a history of contact with specialist mental health (including alcohol and other drug) services in the year</w:t>
      </w:r>
      <w:r w:rsidR="00D32DDD" w:rsidRPr="00642432">
        <w:t xml:space="preserve"> </w:t>
      </w:r>
      <w:r w:rsidRPr="00642432">
        <w:t>prior to their death. People with</w:t>
      </w:r>
      <w:r w:rsidR="00C92667">
        <w:t xml:space="preserve"> </w:t>
      </w:r>
      <w:r w:rsidRPr="00642432">
        <w:t>no history of mental health service use in the year</w:t>
      </w:r>
      <w:r w:rsidR="00D32DDD" w:rsidRPr="00642432">
        <w:t xml:space="preserve"> </w:t>
      </w:r>
      <w:r w:rsidRPr="00642432">
        <w:t>prior to death are referred to as ‘non-service users’, although it is acknowledged that some non-service users may have used mental health or alcohol and other drug services at some earlier time in their lives.</w:t>
      </w:r>
    </w:p>
    <w:p w:rsidR="004659AD" w:rsidRPr="00642432" w:rsidRDefault="004659AD" w:rsidP="00C92667"/>
    <w:p w:rsidR="004659AD" w:rsidRPr="00642432" w:rsidRDefault="004659AD" w:rsidP="00C92667">
      <w:pPr>
        <w:pStyle w:val="Box"/>
      </w:pPr>
      <w:r w:rsidRPr="00642432">
        <w:t>Mental disorders are a significant risk factor for suicidal behaviour.</w:t>
      </w:r>
    </w:p>
    <w:p w:rsidR="004659AD" w:rsidRPr="00642432" w:rsidRDefault="004659AD" w:rsidP="00C92667"/>
    <w:p w:rsidR="004659AD" w:rsidRPr="00C92667" w:rsidRDefault="004659AD" w:rsidP="00C92667">
      <w:pPr>
        <w:pStyle w:val="Heading3"/>
      </w:pPr>
      <w:r w:rsidRPr="00642432">
        <w:t>Prevalence of suicide in the population</w:t>
      </w:r>
      <w:r w:rsidR="00C92667">
        <w:rPr>
          <w:rStyle w:val="FootnoteReference"/>
        </w:rPr>
        <w:footnoteReference w:id="22"/>
      </w:r>
    </w:p>
    <w:p w:rsidR="004659AD" w:rsidRPr="00642432" w:rsidRDefault="004659AD" w:rsidP="00E43739">
      <w:pPr>
        <w:keepLines/>
      </w:pPr>
      <w:r w:rsidRPr="00642432">
        <w:t>At the time the data was extracted, there were</w:t>
      </w:r>
      <w:r w:rsidR="00D32DDD" w:rsidRPr="00642432">
        <w:t xml:space="preserve"> </w:t>
      </w:r>
      <w:r w:rsidRPr="00642432">
        <w:t>493 suicides recorded in the mortality database for</w:t>
      </w:r>
      <w:r w:rsidR="00C92667">
        <w:t xml:space="preserve"> </w:t>
      </w:r>
      <w:r w:rsidRPr="00642432">
        <w:t>2011.</w:t>
      </w:r>
      <w:r w:rsidR="00C92667">
        <w:rPr>
          <w:rStyle w:val="FootnoteReference"/>
        </w:rPr>
        <w:footnoteReference w:id="23"/>
      </w:r>
      <w:r w:rsidR="00C92667">
        <w:t xml:space="preserve"> </w:t>
      </w:r>
      <w:r w:rsidRPr="00642432">
        <w:t>A further 18 deaths of undetermined intent were</w:t>
      </w:r>
      <w:r w:rsidR="00D32DDD" w:rsidRPr="00642432">
        <w:t xml:space="preserve"> </w:t>
      </w:r>
      <w:r w:rsidRPr="00642432">
        <w:t>recorded and are included in this report. Of this initial total of 511 deaths, 45 involved people aged 65 years and over. These deaths are excluded from the following discussion.</w:t>
      </w:r>
    </w:p>
    <w:p w:rsidR="004659AD" w:rsidRPr="00642432" w:rsidRDefault="004659AD" w:rsidP="00C92667"/>
    <w:p w:rsidR="004659AD" w:rsidRPr="00642432" w:rsidRDefault="004659AD" w:rsidP="00C92667">
      <w:r w:rsidRPr="00642432">
        <w:t>Table 14 shows the remaining 466 deaths by suicide or deaths of undetermined intent. Within this total, 185 (40 percent) of the people had contact with specialist mental health services in the year</w:t>
      </w:r>
      <w:r w:rsidR="00C92667">
        <w:t xml:space="preserve"> </w:t>
      </w:r>
      <w:r w:rsidRPr="00642432">
        <w:t>prior to death. Mental disorders (in particular, mood disorders, substance use disorders and antisocial behaviours) are a significant risk factor for suicidal behaviour (Beautrais et al 2005).</w:t>
      </w:r>
    </w:p>
    <w:p w:rsidR="004659AD" w:rsidRPr="00642432" w:rsidRDefault="004659AD" w:rsidP="00C92667"/>
    <w:p w:rsidR="004659AD" w:rsidRPr="00901602" w:rsidRDefault="004659AD" w:rsidP="00C92667">
      <w:pPr>
        <w:pStyle w:val="Table"/>
      </w:pPr>
      <w:bookmarkStart w:id="66" w:name="_Toc405113694"/>
      <w:r w:rsidRPr="00642432">
        <w:t xml:space="preserve">Table 14: Number and age-standardised rate of suicides, by service use, ages 10 to 64 years, 1 January to 31 December </w:t>
      </w:r>
      <w:r w:rsidRPr="00901602">
        <w:t>2011</w:t>
      </w:r>
      <w:r w:rsidR="00901602" w:rsidRPr="00901602">
        <w:rPr>
          <w:vertAlign w:val="superscript"/>
        </w:rPr>
        <w:t>a</w:t>
      </w:r>
      <w:bookmarkEnd w:id="66"/>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544"/>
        <w:gridCol w:w="1134"/>
        <w:gridCol w:w="2410"/>
      </w:tblGrid>
      <w:tr w:rsidR="00901602" w:rsidRPr="00901602" w:rsidTr="00901602">
        <w:trPr>
          <w:cantSplit/>
        </w:trPr>
        <w:tc>
          <w:tcPr>
            <w:tcW w:w="3544" w:type="dxa"/>
            <w:tcBorders>
              <w:top w:val="single" w:sz="4" w:space="0" w:color="auto"/>
              <w:bottom w:val="single" w:sz="4" w:space="0" w:color="auto"/>
            </w:tcBorders>
            <w:shd w:val="clear" w:color="auto" w:fill="F2F2F2" w:themeFill="background1" w:themeFillShade="F2"/>
          </w:tcPr>
          <w:p w:rsidR="00901602" w:rsidRPr="00901602" w:rsidRDefault="00901602" w:rsidP="00901602">
            <w:pPr>
              <w:pStyle w:val="TableText"/>
              <w:rPr>
                <w:b/>
              </w:rPr>
            </w:pPr>
          </w:p>
        </w:tc>
        <w:tc>
          <w:tcPr>
            <w:tcW w:w="1134" w:type="dxa"/>
            <w:tcBorders>
              <w:top w:val="single" w:sz="4" w:space="0" w:color="auto"/>
              <w:bottom w:val="single" w:sz="4" w:space="0" w:color="auto"/>
            </w:tcBorders>
            <w:shd w:val="clear" w:color="auto" w:fill="F2F2F2" w:themeFill="background1" w:themeFillShade="F2"/>
          </w:tcPr>
          <w:p w:rsidR="00901602" w:rsidRPr="00901602" w:rsidRDefault="00901602" w:rsidP="00901602">
            <w:pPr>
              <w:pStyle w:val="TableText"/>
              <w:jc w:val="center"/>
              <w:rPr>
                <w:b/>
              </w:rPr>
            </w:pPr>
            <w:r w:rsidRPr="00901602">
              <w:rPr>
                <w:b/>
              </w:rPr>
              <w:t>Number</w:t>
            </w:r>
          </w:p>
        </w:tc>
        <w:tc>
          <w:tcPr>
            <w:tcW w:w="2410" w:type="dxa"/>
            <w:tcBorders>
              <w:top w:val="single" w:sz="4" w:space="0" w:color="auto"/>
              <w:bottom w:val="single" w:sz="4" w:space="0" w:color="auto"/>
            </w:tcBorders>
            <w:shd w:val="clear" w:color="auto" w:fill="F2F2F2" w:themeFill="background1" w:themeFillShade="F2"/>
          </w:tcPr>
          <w:p w:rsidR="00901602" w:rsidRPr="00901602" w:rsidRDefault="00901602" w:rsidP="00901602">
            <w:pPr>
              <w:pStyle w:val="TableText"/>
              <w:jc w:val="center"/>
              <w:rPr>
                <w:b/>
              </w:rPr>
            </w:pPr>
            <w:r w:rsidRPr="00901602">
              <w:rPr>
                <w:b/>
              </w:rPr>
              <w:t>Age-standardised rate</w:t>
            </w:r>
            <w:r>
              <w:rPr>
                <w:b/>
                <w:vertAlign w:val="superscript"/>
              </w:rPr>
              <w:t>b</w:t>
            </w:r>
          </w:p>
        </w:tc>
      </w:tr>
      <w:tr w:rsidR="004659AD" w:rsidRPr="00901602" w:rsidTr="00901602">
        <w:trPr>
          <w:cantSplit/>
        </w:trPr>
        <w:tc>
          <w:tcPr>
            <w:tcW w:w="7088" w:type="dxa"/>
            <w:gridSpan w:val="3"/>
            <w:tcBorders>
              <w:top w:val="single" w:sz="4" w:space="0" w:color="auto"/>
              <w:bottom w:val="nil"/>
            </w:tcBorders>
            <w:shd w:val="clear" w:color="auto" w:fill="auto"/>
          </w:tcPr>
          <w:p w:rsidR="004659AD" w:rsidRPr="00901602" w:rsidRDefault="004659AD" w:rsidP="00901602">
            <w:pPr>
              <w:pStyle w:val="TableText"/>
              <w:rPr>
                <w:b/>
              </w:rPr>
            </w:pPr>
            <w:r w:rsidRPr="00901602">
              <w:rPr>
                <w:b/>
              </w:rPr>
              <w:t>Deaths due to intentional self-harm</w:t>
            </w:r>
          </w:p>
        </w:tc>
      </w:tr>
      <w:tr w:rsidR="004659AD" w:rsidRPr="00642432" w:rsidTr="00901602">
        <w:trPr>
          <w:cantSplit/>
        </w:trPr>
        <w:tc>
          <w:tcPr>
            <w:tcW w:w="3544" w:type="dxa"/>
            <w:tcBorders>
              <w:top w:val="nil"/>
              <w:bottom w:val="nil"/>
            </w:tcBorders>
            <w:shd w:val="clear" w:color="auto" w:fill="F2F2F2" w:themeFill="background1" w:themeFillShade="F2"/>
          </w:tcPr>
          <w:p w:rsidR="004659AD" w:rsidRPr="00642432" w:rsidRDefault="004659AD" w:rsidP="00901602">
            <w:pPr>
              <w:pStyle w:val="TableText"/>
            </w:pPr>
            <w:r w:rsidRPr="00642432">
              <w:t>Service users</w:t>
            </w:r>
          </w:p>
        </w:tc>
        <w:tc>
          <w:tcPr>
            <w:tcW w:w="1134" w:type="dxa"/>
            <w:tcBorders>
              <w:top w:val="nil"/>
              <w:bottom w:val="nil"/>
            </w:tcBorders>
            <w:shd w:val="clear" w:color="auto" w:fill="F2F2F2" w:themeFill="background1" w:themeFillShade="F2"/>
          </w:tcPr>
          <w:p w:rsidR="004659AD" w:rsidRPr="00642432" w:rsidRDefault="004659AD" w:rsidP="00901602">
            <w:pPr>
              <w:pStyle w:val="TableText"/>
              <w:tabs>
                <w:tab w:val="decimal" w:pos="640"/>
              </w:tabs>
            </w:pPr>
            <w:r w:rsidRPr="00642432">
              <w:t>177</w:t>
            </w:r>
          </w:p>
        </w:tc>
        <w:tc>
          <w:tcPr>
            <w:tcW w:w="2410" w:type="dxa"/>
            <w:tcBorders>
              <w:top w:val="nil"/>
              <w:bottom w:val="nil"/>
            </w:tcBorders>
            <w:shd w:val="clear" w:color="auto" w:fill="F2F2F2" w:themeFill="background1" w:themeFillShade="F2"/>
          </w:tcPr>
          <w:p w:rsidR="004659AD" w:rsidRPr="00642432" w:rsidRDefault="004659AD" w:rsidP="00901602">
            <w:pPr>
              <w:pStyle w:val="TableText"/>
              <w:tabs>
                <w:tab w:val="decimal" w:pos="1260"/>
              </w:tabs>
            </w:pPr>
            <w:r w:rsidRPr="00642432">
              <w:t>124</w:t>
            </w:r>
          </w:p>
        </w:tc>
      </w:tr>
      <w:tr w:rsidR="004659AD" w:rsidRPr="00642432" w:rsidTr="00901602">
        <w:trPr>
          <w:cantSplit/>
        </w:trPr>
        <w:tc>
          <w:tcPr>
            <w:tcW w:w="3544" w:type="dxa"/>
            <w:tcBorders>
              <w:top w:val="nil"/>
              <w:bottom w:val="nil"/>
            </w:tcBorders>
            <w:shd w:val="clear" w:color="auto" w:fill="auto"/>
          </w:tcPr>
          <w:p w:rsidR="004659AD" w:rsidRPr="00642432" w:rsidRDefault="004659AD" w:rsidP="00901602">
            <w:pPr>
              <w:pStyle w:val="TableText"/>
            </w:pPr>
            <w:r w:rsidRPr="00642432">
              <w:t>Non-service users</w:t>
            </w:r>
          </w:p>
        </w:tc>
        <w:tc>
          <w:tcPr>
            <w:tcW w:w="1134" w:type="dxa"/>
            <w:tcBorders>
              <w:top w:val="nil"/>
              <w:bottom w:val="nil"/>
            </w:tcBorders>
            <w:shd w:val="clear" w:color="auto" w:fill="auto"/>
          </w:tcPr>
          <w:p w:rsidR="004659AD" w:rsidRPr="00642432" w:rsidRDefault="004659AD" w:rsidP="00901602">
            <w:pPr>
              <w:pStyle w:val="TableText"/>
              <w:tabs>
                <w:tab w:val="decimal" w:pos="640"/>
              </w:tabs>
            </w:pPr>
            <w:r w:rsidRPr="00642432">
              <w:t>271</w:t>
            </w:r>
          </w:p>
        </w:tc>
        <w:tc>
          <w:tcPr>
            <w:tcW w:w="2410" w:type="dxa"/>
            <w:tcBorders>
              <w:top w:val="nil"/>
              <w:bottom w:val="nil"/>
            </w:tcBorders>
            <w:shd w:val="clear" w:color="auto" w:fill="auto"/>
          </w:tcPr>
          <w:p w:rsidR="004659AD" w:rsidRPr="00642432" w:rsidRDefault="004659AD" w:rsidP="00901602">
            <w:pPr>
              <w:pStyle w:val="TableText"/>
              <w:tabs>
                <w:tab w:val="decimal" w:pos="1260"/>
              </w:tabs>
            </w:pPr>
            <w:r w:rsidRPr="00642432">
              <w:t>7</w:t>
            </w:r>
          </w:p>
        </w:tc>
      </w:tr>
      <w:tr w:rsidR="004659AD" w:rsidRPr="00642432" w:rsidTr="00901602">
        <w:trPr>
          <w:cantSplit/>
        </w:trPr>
        <w:tc>
          <w:tcPr>
            <w:tcW w:w="3544" w:type="dxa"/>
            <w:tcBorders>
              <w:top w:val="nil"/>
              <w:bottom w:val="single" w:sz="4" w:space="0" w:color="A6A6A6" w:themeColor="background1" w:themeShade="A6"/>
            </w:tcBorders>
            <w:shd w:val="clear" w:color="auto" w:fill="F2F2F2" w:themeFill="background1" w:themeFillShade="F2"/>
          </w:tcPr>
          <w:p w:rsidR="004659AD" w:rsidRPr="00642432" w:rsidRDefault="004659AD" w:rsidP="00901602">
            <w:pPr>
              <w:pStyle w:val="TableText"/>
            </w:pPr>
            <w:r w:rsidRPr="00642432">
              <w:t>Total</w:t>
            </w:r>
          </w:p>
        </w:tc>
        <w:tc>
          <w:tcPr>
            <w:tcW w:w="1134" w:type="dxa"/>
            <w:tcBorders>
              <w:top w:val="nil"/>
              <w:bottom w:val="single" w:sz="4" w:space="0" w:color="A6A6A6" w:themeColor="background1" w:themeShade="A6"/>
            </w:tcBorders>
            <w:shd w:val="clear" w:color="auto" w:fill="F2F2F2" w:themeFill="background1" w:themeFillShade="F2"/>
          </w:tcPr>
          <w:p w:rsidR="004659AD" w:rsidRPr="00642432" w:rsidRDefault="004659AD" w:rsidP="00901602">
            <w:pPr>
              <w:pStyle w:val="TableText"/>
              <w:tabs>
                <w:tab w:val="decimal" w:pos="640"/>
              </w:tabs>
            </w:pPr>
            <w:r w:rsidRPr="00642432">
              <w:t>448</w:t>
            </w:r>
          </w:p>
        </w:tc>
        <w:tc>
          <w:tcPr>
            <w:tcW w:w="2410" w:type="dxa"/>
            <w:tcBorders>
              <w:top w:val="nil"/>
              <w:bottom w:val="single" w:sz="4" w:space="0" w:color="A6A6A6" w:themeColor="background1" w:themeShade="A6"/>
            </w:tcBorders>
            <w:shd w:val="clear" w:color="auto" w:fill="F2F2F2" w:themeFill="background1" w:themeFillShade="F2"/>
          </w:tcPr>
          <w:p w:rsidR="004659AD" w:rsidRPr="00642432" w:rsidRDefault="004659AD" w:rsidP="00901602">
            <w:pPr>
              <w:pStyle w:val="TableText"/>
              <w:tabs>
                <w:tab w:val="decimal" w:pos="1260"/>
              </w:tabs>
            </w:pPr>
            <w:r w:rsidRPr="00642432">
              <w:t>12</w:t>
            </w:r>
          </w:p>
        </w:tc>
      </w:tr>
      <w:tr w:rsidR="004659AD" w:rsidRPr="00901602" w:rsidTr="00901602">
        <w:trPr>
          <w:cantSplit/>
        </w:trPr>
        <w:tc>
          <w:tcPr>
            <w:tcW w:w="7088" w:type="dxa"/>
            <w:gridSpan w:val="3"/>
            <w:tcBorders>
              <w:top w:val="single" w:sz="4" w:space="0" w:color="A6A6A6" w:themeColor="background1" w:themeShade="A6"/>
              <w:bottom w:val="nil"/>
            </w:tcBorders>
            <w:shd w:val="clear" w:color="auto" w:fill="auto"/>
          </w:tcPr>
          <w:p w:rsidR="004659AD" w:rsidRPr="00901602" w:rsidRDefault="004659AD" w:rsidP="00901602">
            <w:pPr>
              <w:pStyle w:val="TableText"/>
              <w:rPr>
                <w:b/>
              </w:rPr>
            </w:pPr>
            <w:r w:rsidRPr="00901602">
              <w:rPr>
                <w:b/>
              </w:rPr>
              <w:t>Deaths of undetermined intent</w:t>
            </w:r>
          </w:p>
        </w:tc>
      </w:tr>
      <w:tr w:rsidR="004659AD" w:rsidRPr="00642432" w:rsidTr="00901602">
        <w:trPr>
          <w:cantSplit/>
        </w:trPr>
        <w:tc>
          <w:tcPr>
            <w:tcW w:w="3544" w:type="dxa"/>
            <w:tcBorders>
              <w:top w:val="nil"/>
              <w:bottom w:val="nil"/>
            </w:tcBorders>
            <w:shd w:val="clear" w:color="auto" w:fill="F2F2F2" w:themeFill="background1" w:themeFillShade="F2"/>
          </w:tcPr>
          <w:p w:rsidR="004659AD" w:rsidRPr="00642432" w:rsidRDefault="004659AD" w:rsidP="00901602">
            <w:pPr>
              <w:pStyle w:val="TableText"/>
            </w:pPr>
            <w:r w:rsidRPr="00642432">
              <w:t>Service users</w:t>
            </w:r>
          </w:p>
        </w:tc>
        <w:tc>
          <w:tcPr>
            <w:tcW w:w="1134" w:type="dxa"/>
            <w:tcBorders>
              <w:top w:val="nil"/>
              <w:bottom w:val="nil"/>
            </w:tcBorders>
            <w:shd w:val="clear" w:color="auto" w:fill="F2F2F2" w:themeFill="background1" w:themeFillShade="F2"/>
          </w:tcPr>
          <w:p w:rsidR="004659AD" w:rsidRPr="00642432" w:rsidRDefault="004659AD" w:rsidP="00901602">
            <w:pPr>
              <w:pStyle w:val="TableText"/>
              <w:tabs>
                <w:tab w:val="decimal" w:pos="652"/>
              </w:tabs>
            </w:pPr>
            <w:r w:rsidRPr="00642432">
              <w:t>8</w:t>
            </w:r>
          </w:p>
        </w:tc>
        <w:tc>
          <w:tcPr>
            <w:tcW w:w="2410" w:type="dxa"/>
            <w:tcBorders>
              <w:top w:val="nil"/>
              <w:bottom w:val="nil"/>
            </w:tcBorders>
            <w:shd w:val="clear" w:color="auto" w:fill="F2F2F2" w:themeFill="background1" w:themeFillShade="F2"/>
          </w:tcPr>
          <w:p w:rsidR="004659AD" w:rsidRPr="00642432" w:rsidRDefault="004659AD" w:rsidP="00901602">
            <w:pPr>
              <w:pStyle w:val="TableText"/>
              <w:tabs>
                <w:tab w:val="decimal" w:pos="1219"/>
              </w:tabs>
            </w:pPr>
            <w:r w:rsidRPr="00642432">
              <w:t>6</w:t>
            </w:r>
          </w:p>
        </w:tc>
      </w:tr>
      <w:tr w:rsidR="004659AD" w:rsidRPr="00642432" w:rsidTr="00901602">
        <w:trPr>
          <w:cantSplit/>
        </w:trPr>
        <w:tc>
          <w:tcPr>
            <w:tcW w:w="3544" w:type="dxa"/>
            <w:tcBorders>
              <w:top w:val="nil"/>
              <w:bottom w:val="nil"/>
            </w:tcBorders>
            <w:shd w:val="clear" w:color="auto" w:fill="auto"/>
          </w:tcPr>
          <w:p w:rsidR="004659AD" w:rsidRPr="00642432" w:rsidRDefault="004659AD" w:rsidP="00901602">
            <w:pPr>
              <w:pStyle w:val="TableText"/>
            </w:pPr>
            <w:r w:rsidRPr="00642432">
              <w:t>Non-service users</w:t>
            </w:r>
          </w:p>
        </w:tc>
        <w:tc>
          <w:tcPr>
            <w:tcW w:w="1134" w:type="dxa"/>
            <w:tcBorders>
              <w:top w:val="nil"/>
              <w:bottom w:val="nil"/>
            </w:tcBorders>
            <w:shd w:val="clear" w:color="auto" w:fill="auto"/>
          </w:tcPr>
          <w:p w:rsidR="004659AD" w:rsidRPr="00642432" w:rsidRDefault="004659AD" w:rsidP="00901602">
            <w:pPr>
              <w:pStyle w:val="TableText"/>
              <w:tabs>
                <w:tab w:val="decimal" w:pos="652"/>
              </w:tabs>
            </w:pPr>
            <w:r w:rsidRPr="00642432">
              <w:t>10</w:t>
            </w:r>
          </w:p>
        </w:tc>
        <w:tc>
          <w:tcPr>
            <w:tcW w:w="2410" w:type="dxa"/>
            <w:tcBorders>
              <w:top w:val="nil"/>
              <w:bottom w:val="nil"/>
            </w:tcBorders>
            <w:shd w:val="clear" w:color="auto" w:fill="auto"/>
          </w:tcPr>
          <w:p w:rsidR="004659AD" w:rsidRPr="00642432" w:rsidRDefault="004659AD" w:rsidP="00901602">
            <w:pPr>
              <w:pStyle w:val="TableText"/>
              <w:tabs>
                <w:tab w:val="decimal" w:pos="1219"/>
              </w:tabs>
            </w:pPr>
            <w:r w:rsidRPr="00642432">
              <w:t>0</w:t>
            </w:r>
          </w:p>
        </w:tc>
      </w:tr>
      <w:tr w:rsidR="004659AD" w:rsidRPr="00642432" w:rsidTr="00901602">
        <w:trPr>
          <w:cantSplit/>
        </w:trPr>
        <w:tc>
          <w:tcPr>
            <w:tcW w:w="3544" w:type="dxa"/>
            <w:tcBorders>
              <w:top w:val="nil"/>
              <w:bottom w:val="single" w:sz="4" w:space="0" w:color="A6A6A6" w:themeColor="background1" w:themeShade="A6"/>
            </w:tcBorders>
            <w:shd w:val="clear" w:color="auto" w:fill="F2F2F2" w:themeFill="background1" w:themeFillShade="F2"/>
          </w:tcPr>
          <w:p w:rsidR="004659AD" w:rsidRPr="00642432" w:rsidRDefault="004659AD" w:rsidP="00901602">
            <w:pPr>
              <w:pStyle w:val="TableText"/>
            </w:pPr>
            <w:r w:rsidRPr="00642432">
              <w:t>Total</w:t>
            </w:r>
          </w:p>
        </w:tc>
        <w:tc>
          <w:tcPr>
            <w:tcW w:w="1134" w:type="dxa"/>
            <w:tcBorders>
              <w:top w:val="nil"/>
              <w:bottom w:val="single" w:sz="4" w:space="0" w:color="A6A6A6" w:themeColor="background1" w:themeShade="A6"/>
            </w:tcBorders>
            <w:shd w:val="clear" w:color="auto" w:fill="F2F2F2" w:themeFill="background1" w:themeFillShade="F2"/>
          </w:tcPr>
          <w:p w:rsidR="004659AD" w:rsidRPr="00642432" w:rsidRDefault="004659AD" w:rsidP="00901602">
            <w:pPr>
              <w:pStyle w:val="TableText"/>
              <w:tabs>
                <w:tab w:val="decimal" w:pos="652"/>
              </w:tabs>
            </w:pPr>
            <w:r w:rsidRPr="00642432">
              <w:t>18</w:t>
            </w:r>
          </w:p>
        </w:tc>
        <w:tc>
          <w:tcPr>
            <w:tcW w:w="2410" w:type="dxa"/>
            <w:tcBorders>
              <w:top w:val="nil"/>
              <w:bottom w:val="single" w:sz="4" w:space="0" w:color="A6A6A6" w:themeColor="background1" w:themeShade="A6"/>
            </w:tcBorders>
            <w:shd w:val="clear" w:color="auto" w:fill="F2F2F2" w:themeFill="background1" w:themeFillShade="F2"/>
          </w:tcPr>
          <w:p w:rsidR="004659AD" w:rsidRPr="00642432" w:rsidRDefault="004659AD" w:rsidP="00901602">
            <w:pPr>
              <w:pStyle w:val="TableText"/>
              <w:tabs>
                <w:tab w:val="decimal" w:pos="1219"/>
              </w:tabs>
            </w:pPr>
            <w:r w:rsidRPr="00642432">
              <w:t>0</w:t>
            </w:r>
          </w:p>
        </w:tc>
      </w:tr>
      <w:tr w:rsidR="004659AD" w:rsidRPr="00901602" w:rsidTr="00901602">
        <w:trPr>
          <w:cantSplit/>
        </w:trPr>
        <w:tc>
          <w:tcPr>
            <w:tcW w:w="7088" w:type="dxa"/>
            <w:gridSpan w:val="3"/>
            <w:tcBorders>
              <w:top w:val="single" w:sz="4" w:space="0" w:color="A6A6A6" w:themeColor="background1" w:themeShade="A6"/>
              <w:bottom w:val="nil"/>
            </w:tcBorders>
            <w:shd w:val="clear" w:color="auto" w:fill="auto"/>
          </w:tcPr>
          <w:p w:rsidR="004659AD" w:rsidRPr="00901602" w:rsidRDefault="004659AD" w:rsidP="00901602">
            <w:pPr>
              <w:pStyle w:val="TableText"/>
              <w:rPr>
                <w:b/>
              </w:rPr>
            </w:pPr>
            <w:r w:rsidRPr="00901602">
              <w:rPr>
                <w:b/>
              </w:rPr>
              <w:t>Total deaths</w:t>
            </w:r>
          </w:p>
        </w:tc>
      </w:tr>
      <w:tr w:rsidR="004659AD" w:rsidRPr="00642432" w:rsidTr="00901602">
        <w:trPr>
          <w:cantSplit/>
        </w:trPr>
        <w:tc>
          <w:tcPr>
            <w:tcW w:w="3544" w:type="dxa"/>
            <w:tcBorders>
              <w:top w:val="nil"/>
              <w:bottom w:val="nil"/>
            </w:tcBorders>
            <w:shd w:val="clear" w:color="auto" w:fill="F2F2F2" w:themeFill="background1" w:themeFillShade="F2"/>
          </w:tcPr>
          <w:p w:rsidR="004659AD" w:rsidRPr="00642432" w:rsidRDefault="004659AD" w:rsidP="00901602">
            <w:pPr>
              <w:pStyle w:val="TableText"/>
            </w:pPr>
            <w:r w:rsidRPr="00642432">
              <w:t>Service users</w:t>
            </w:r>
          </w:p>
        </w:tc>
        <w:tc>
          <w:tcPr>
            <w:tcW w:w="1134" w:type="dxa"/>
            <w:tcBorders>
              <w:top w:val="nil"/>
              <w:bottom w:val="nil"/>
            </w:tcBorders>
            <w:shd w:val="clear" w:color="auto" w:fill="F2F2F2" w:themeFill="background1" w:themeFillShade="F2"/>
          </w:tcPr>
          <w:p w:rsidR="004659AD" w:rsidRPr="00642432" w:rsidRDefault="004659AD" w:rsidP="00901602">
            <w:pPr>
              <w:pStyle w:val="TableText"/>
              <w:tabs>
                <w:tab w:val="decimal" w:pos="680"/>
              </w:tabs>
            </w:pPr>
            <w:r w:rsidRPr="00642432">
              <w:t>185</w:t>
            </w:r>
          </w:p>
        </w:tc>
        <w:tc>
          <w:tcPr>
            <w:tcW w:w="2410" w:type="dxa"/>
            <w:tcBorders>
              <w:top w:val="nil"/>
              <w:bottom w:val="nil"/>
            </w:tcBorders>
            <w:shd w:val="clear" w:color="auto" w:fill="F2F2F2" w:themeFill="background1" w:themeFillShade="F2"/>
          </w:tcPr>
          <w:p w:rsidR="004659AD" w:rsidRPr="00642432" w:rsidRDefault="004659AD" w:rsidP="00901602">
            <w:pPr>
              <w:pStyle w:val="TableText"/>
              <w:tabs>
                <w:tab w:val="decimal" w:pos="1219"/>
              </w:tabs>
            </w:pPr>
            <w:r w:rsidRPr="00642432">
              <w:t>129</w:t>
            </w:r>
          </w:p>
        </w:tc>
      </w:tr>
      <w:tr w:rsidR="004659AD" w:rsidRPr="00642432" w:rsidTr="00901602">
        <w:trPr>
          <w:cantSplit/>
        </w:trPr>
        <w:tc>
          <w:tcPr>
            <w:tcW w:w="3544" w:type="dxa"/>
            <w:tcBorders>
              <w:top w:val="nil"/>
              <w:bottom w:val="nil"/>
            </w:tcBorders>
            <w:shd w:val="clear" w:color="auto" w:fill="auto"/>
          </w:tcPr>
          <w:p w:rsidR="004659AD" w:rsidRPr="00642432" w:rsidRDefault="004659AD" w:rsidP="00901602">
            <w:pPr>
              <w:pStyle w:val="TableText"/>
            </w:pPr>
            <w:r w:rsidRPr="00642432">
              <w:t>Non-service users</w:t>
            </w:r>
          </w:p>
        </w:tc>
        <w:tc>
          <w:tcPr>
            <w:tcW w:w="1134" w:type="dxa"/>
            <w:tcBorders>
              <w:top w:val="nil"/>
              <w:bottom w:val="nil"/>
            </w:tcBorders>
            <w:shd w:val="clear" w:color="auto" w:fill="auto"/>
          </w:tcPr>
          <w:p w:rsidR="004659AD" w:rsidRPr="00642432" w:rsidRDefault="004659AD" w:rsidP="00901602">
            <w:pPr>
              <w:pStyle w:val="TableText"/>
              <w:tabs>
                <w:tab w:val="decimal" w:pos="680"/>
              </w:tabs>
            </w:pPr>
            <w:r w:rsidRPr="00642432">
              <w:t>281</w:t>
            </w:r>
          </w:p>
        </w:tc>
        <w:tc>
          <w:tcPr>
            <w:tcW w:w="2410" w:type="dxa"/>
            <w:tcBorders>
              <w:top w:val="nil"/>
              <w:bottom w:val="nil"/>
            </w:tcBorders>
            <w:shd w:val="clear" w:color="auto" w:fill="auto"/>
          </w:tcPr>
          <w:p w:rsidR="004659AD" w:rsidRPr="00642432" w:rsidRDefault="004659AD" w:rsidP="00901602">
            <w:pPr>
              <w:pStyle w:val="TableText"/>
              <w:tabs>
                <w:tab w:val="decimal" w:pos="1219"/>
              </w:tabs>
            </w:pPr>
            <w:r w:rsidRPr="00642432">
              <w:t>7</w:t>
            </w:r>
          </w:p>
        </w:tc>
      </w:tr>
      <w:tr w:rsidR="004659AD" w:rsidRPr="00642432" w:rsidTr="00901602">
        <w:trPr>
          <w:cantSplit/>
        </w:trPr>
        <w:tc>
          <w:tcPr>
            <w:tcW w:w="3544" w:type="dxa"/>
            <w:tcBorders>
              <w:top w:val="nil"/>
              <w:bottom w:val="single" w:sz="4" w:space="0" w:color="auto"/>
            </w:tcBorders>
            <w:shd w:val="clear" w:color="auto" w:fill="F2F2F2" w:themeFill="background1" w:themeFillShade="F2"/>
          </w:tcPr>
          <w:p w:rsidR="004659AD" w:rsidRPr="00642432" w:rsidRDefault="004659AD" w:rsidP="00901602">
            <w:pPr>
              <w:pStyle w:val="TableText"/>
            </w:pPr>
            <w:r w:rsidRPr="00642432">
              <w:t>Total</w:t>
            </w:r>
          </w:p>
        </w:tc>
        <w:tc>
          <w:tcPr>
            <w:tcW w:w="1134" w:type="dxa"/>
            <w:tcBorders>
              <w:top w:val="nil"/>
              <w:bottom w:val="single" w:sz="4" w:space="0" w:color="auto"/>
            </w:tcBorders>
            <w:shd w:val="clear" w:color="auto" w:fill="F2F2F2" w:themeFill="background1" w:themeFillShade="F2"/>
          </w:tcPr>
          <w:p w:rsidR="004659AD" w:rsidRPr="00642432" w:rsidRDefault="004659AD" w:rsidP="00901602">
            <w:pPr>
              <w:pStyle w:val="TableText"/>
              <w:tabs>
                <w:tab w:val="decimal" w:pos="680"/>
              </w:tabs>
            </w:pPr>
            <w:r w:rsidRPr="00642432">
              <w:t>466</w:t>
            </w:r>
          </w:p>
        </w:tc>
        <w:tc>
          <w:tcPr>
            <w:tcW w:w="2410" w:type="dxa"/>
            <w:tcBorders>
              <w:top w:val="nil"/>
              <w:bottom w:val="single" w:sz="4" w:space="0" w:color="auto"/>
            </w:tcBorders>
            <w:shd w:val="clear" w:color="auto" w:fill="F2F2F2" w:themeFill="background1" w:themeFillShade="F2"/>
          </w:tcPr>
          <w:p w:rsidR="004659AD" w:rsidRPr="00642432" w:rsidRDefault="004659AD" w:rsidP="00901602">
            <w:pPr>
              <w:pStyle w:val="TableText"/>
              <w:tabs>
                <w:tab w:val="decimal" w:pos="1219"/>
              </w:tabs>
            </w:pPr>
            <w:r w:rsidRPr="00642432">
              <w:t>12</w:t>
            </w:r>
          </w:p>
        </w:tc>
      </w:tr>
    </w:tbl>
    <w:p w:rsidR="00901602" w:rsidRDefault="004659AD" w:rsidP="00901602">
      <w:pPr>
        <w:pStyle w:val="Note"/>
        <w:ind w:right="2268"/>
      </w:pPr>
      <w:r w:rsidRPr="00642432">
        <w:t>Notes:</w:t>
      </w:r>
    </w:p>
    <w:p w:rsidR="004659AD" w:rsidRPr="00642432" w:rsidRDefault="004659AD" w:rsidP="00901602">
      <w:pPr>
        <w:pStyle w:val="Note"/>
        <w:ind w:right="2268"/>
      </w:pPr>
      <w:r w:rsidRPr="00901602">
        <w:t>a</w:t>
      </w:r>
      <w:r w:rsidR="00901602">
        <w:tab/>
      </w:r>
      <w:r w:rsidRPr="00642432">
        <w:t>Service user denominator excludes service users with unknown age</w:t>
      </w:r>
    </w:p>
    <w:p w:rsidR="004659AD" w:rsidRPr="00642432" w:rsidRDefault="004659AD" w:rsidP="00901602">
      <w:pPr>
        <w:pStyle w:val="Note"/>
        <w:ind w:right="2268"/>
      </w:pPr>
      <w:r w:rsidRPr="00901602">
        <w:t>b</w:t>
      </w:r>
      <w:r w:rsidR="00901602">
        <w:tab/>
      </w:r>
      <w:r w:rsidRPr="00642432">
        <w:t>Age-standardised rate is per 100,000, standardised to the WHO</w:t>
      </w:r>
      <w:r w:rsidR="00901602">
        <w:t xml:space="preserve"> </w:t>
      </w:r>
      <w:r w:rsidRPr="00642432">
        <w:t>standard population aged 0–64 years.</w:t>
      </w:r>
    </w:p>
    <w:p w:rsidR="004659AD" w:rsidRPr="00642432" w:rsidRDefault="00901602" w:rsidP="00901602">
      <w:pPr>
        <w:pStyle w:val="Source"/>
        <w:ind w:right="2268"/>
      </w:pPr>
      <w:r>
        <w:t>S</w:t>
      </w:r>
      <w:r w:rsidR="004659AD" w:rsidRPr="00642432">
        <w:t>ource: Ministry of Health mortality database, extracted on 22 July 2014</w:t>
      </w:r>
      <w:r>
        <w:t>.</w:t>
      </w:r>
    </w:p>
    <w:p w:rsidR="004659AD" w:rsidRPr="00642432" w:rsidRDefault="004659AD" w:rsidP="00AF532C"/>
    <w:p w:rsidR="004659AD" w:rsidRPr="00642432" w:rsidRDefault="004659AD" w:rsidP="00AF532C">
      <w:pPr>
        <w:pStyle w:val="Heading3"/>
      </w:pPr>
      <w:r w:rsidRPr="00642432">
        <w:t>Changes in number of suicides over time</w:t>
      </w:r>
    </w:p>
    <w:p w:rsidR="004659AD" w:rsidRPr="00642432" w:rsidRDefault="004659AD" w:rsidP="00E43739">
      <w:pPr>
        <w:keepNext/>
      </w:pPr>
      <w:r w:rsidRPr="00642432">
        <w:t>Figure 24 shows the changes in the rates of suicide by service users and non-service users between</w:t>
      </w:r>
      <w:r w:rsidR="00901602">
        <w:t xml:space="preserve"> </w:t>
      </w:r>
      <w:r w:rsidRPr="00642432">
        <w:t>2001 and 2011.</w:t>
      </w:r>
    </w:p>
    <w:p w:rsidR="00AF532C" w:rsidRDefault="00AF532C" w:rsidP="00E43739">
      <w:pPr>
        <w:keepNext/>
      </w:pPr>
    </w:p>
    <w:p w:rsidR="004659AD" w:rsidRDefault="004659AD" w:rsidP="00AF532C">
      <w:pPr>
        <w:pStyle w:val="Figure"/>
      </w:pPr>
      <w:bookmarkStart w:id="67" w:name="_Toc405113778"/>
      <w:r w:rsidRPr="00642432">
        <w:t>Figure 24: Age-standardised rate of suicides, by service users and non-service users, ages 10</w:t>
      </w:r>
      <w:r w:rsidR="00AF532C">
        <w:t> </w:t>
      </w:r>
      <w:r w:rsidRPr="00642432">
        <w:t>to 64 years, 2001 to 2011</w:t>
      </w:r>
      <w:bookmarkEnd w:id="67"/>
    </w:p>
    <w:p w:rsidR="00AF532C" w:rsidRPr="00AF532C" w:rsidRDefault="00AF532C" w:rsidP="00AF532C">
      <w:r w:rsidRPr="00AF532C">
        <w:rPr>
          <w:noProof/>
          <w:lang w:eastAsia="en-NZ"/>
        </w:rPr>
        <w:drawing>
          <wp:inline distT="0" distB="0" distL="0" distR="0" wp14:anchorId="4B5D0B73" wp14:editId="4B8D15F7">
            <wp:extent cx="5095701" cy="2627688"/>
            <wp:effectExtent l="0" t="0" r="0" b="1270"/>
            <wp:docPr id="5519" name="Picture 5519" title="Figure 24: Age-standardised rate of suicides, by service users and non-service users, ages 10 to 64 years, 2001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grayscl/>
                    </a:blip>
                    <a:stretch>
                      <a:fillRect/>
                    </a:stretch>
                  </pic:blipFill>
                  <pic:spPr>
                    <a:xfrm>
                      <a:off x="0" y="0"/>
                      <a:ext cx="5093683" cy="2626647"/>
                    </a:xfrm>
                    <a:prstGeom prst="rect">
                      <a:avLst/>
                    </a:prstGeom>
                  </pic:spPr>
                </pic:pic>
              </a:graphicData>
            </a:graphic>
          </wp:inline>
        </w:drawing>
      </w:r>
    </w:p>
    <w:p w:rsidR="004659AD" w:rsidRPr="00642432" w:rsidRDefault="004659AD" w:rsidP="00AF532C">
      <w:pPr>
        <w:pStyle w:val="Note"/>
        <w:ind w:left="0" w:firstLine="0"/>
      </w:pPr>
      <w:r w:rsidRPr="00642432">
        <w:t>Notes: Age-standardised rate is per 100,000, standardised to the WHO standard population aged under 65 years.</w:t>
      </w:r>
    </w:p>
    <w:p w:rsidR="004659AD" w:rsidRPr="00642432" w:rsidRDefault="004659AD" w:rsidP="00AF532C">
      <w:pPr>
        <w:pStyle w:val="Note"/>
        <w:ind w:left="0" w:firstLine="0"/>
      </w:pPr>
      <w:r w:rsidRPr="00642432">
        <w:t>The service-user population is much smaller than the total population of non-service users and will therefore produce rates more prone to fluctuation from year</w:t>
      </w:r>
      <w:r w:rsidR="00D32DDD" w:rsidRPr="00642432">
        <w:t xml:space="preserve"> </w:t>
      </w:r>
      <w:r w:rsidRPr="00642432">
        <w:t>to year.</w:t>
      </w:r>
    </w:p>
    <w:p w:rsidR="004659AD" w:rsidRPr="00642432" w:rsidRDefault="004659AD" w:rsidP="00AF532C">
      <w:pPr>
        <w:pStyle w:val="Source"/>
      </w:pPr>
      <w:r w:rsidRPr="00642432">
        <w:t>Source:</w:t>
      </w:r>
      <w:r w:rsidR="00D32DDD" w:rsidRPr="00642432">
        <w:t xml:space="preserve"> </w:t>
      </w:r>
      <w:r w:rsidRPr="00642432">
        <w:t>Ministry of Health mortality database</w:t>
      </w:r>
      <w:r w:rsidR="00AF532C">
        <w:t>.</w:t>
      </w:r>
    </w:p>
    <w:p w:rsidR="004659AD" w:rsidRPr="00AF532C" w:rsidRDefault="004659AD" w:rsidP="00AF532C">
      <w:pPr>
        <w:pStyle w:val="Heading3"/>
        <w:spacing w:before="360"/>
      </w:pPr>
      <w:r w:rsidRPr="00642432">
        <w:t>Sex and age in relation to suicide</w:t>
      </w:r>
      <w:r w:rsidR="00AF532C">
        <w:rPr>
          <w:rStyle w:val="FootnoteReference"/>
        </w:rPr>
        <w:footnoteReference w:id="24"/>
      </w:r>
    </w:p>
    <w:p w:rsidR="004659AD" w:rsidRPr="00642432" w:rsidRDefault="004659AD" w:rsidP="00AF532C">
      <w:r w:rsidRPr="00642432">
        <w:t>As shown in Table 15 and Figure 25, approximately 3.3 times as many males as females died by suicide in 2011. Forty percent of both females and males who</w:t>
      </w:r>
      <w:r w:rsidR="00D32DDD" w:rsidRPr="00642432">
        <w:t xml:space="preserve"> </w:t>
      </w:r>
      <w:r w:rsidRPr="00642432">
        <w:t>died by suicide in 2011 were</w:t>
      </w:r>
      <w:r w:rsidR="00D32DDD" w:rsidRPr="00642432">
        <w:t xml:space="preserve"> </w:t>
      </w:r>
      <w:r w:rsidRPr="00642432">
        <w:t>service users. Of those service users who</w:t>
      </w:r>
      <w:r w:rsidR="00D32DDD" w:rsidRPr="00642432">
        <w:t xml:space="preserve"> </w:t>
      </w:r>
      <w:r w:rsidRPr="00642432">
        <w:t>died by suicide in 2011, 24 percent were</w:t>
      </w:r>
      <w:r w:rsidR="00D32DDD" w:rsidRPr="00642432">
        <w:t xml:space="preserve"> </w:t>
      </w:r>
      <w:r w:rsidRPr="00642432">
        <w:t>female and 76</w:t>
      </w:r>
      <w:r w:rsidR="00AF532C">
        <w:t> </w:t>
      </w:r>
      <w:r w:rsidRPr="00642432">
        <w:t>percent were</w:t>
      </w:r>
      <w:r w:rsidR="00D32DDD" w:rsidRPr="00642432">
        <w:t xml:space="preserve"> </w:t>
      </w:r>
      <w:r w:rsidRPr="00642432">
        <w:t>male.</w:t>
      </w:r>
    </w:p>
    <w:p w:rsidR="004659AD" w:rsidRPr="00642432" w:rsidRDefault="004659AD" w:rsidP="00AF532C"/>
    <w:p w:rsidR="004659AD" w:rsidRPr="00642432" w:rsidRDefault="004659AD" w:rsidP="00AF532C">
      <w:pPr>
        <w:pStyle w:val="Table"/>
      </w:pPr>
      <w:bookmarkStart w:id="68" w:name="_Toc405113695"/>
      <w:r w:rsidRPr="00642432">
        <w:t>Table 15: Number and age-standardised rate of suicide, by service use and sex, ages 10 to 64</w:t>
      </w:r>
      <w:r w:rsidR="00AF532C">
        <w:t> </w:t>
      </w:r>
      <w:r w:rsidRPr="00642432">
        <w:t>years,</w:t>
      </w:r>
      <w:r w:rsidR="00AF532C">
        <w:t xml:space="preserve"> </w:t>
      </w:r>
      <w:r w:rsidRPr="00642432">
        <w:t>1 January to 31 December 2011</w:t>
      </w:r>
      <w:r w:rsidR="00AF532C" w:rsidRPr="00AF532C">
        <w:rPr>
          <w:vertAlign w:val="superscript"/>
        </w:rPr>
        <w:t>a</w:t>
      </w:r>
      <w:bookmarkEnd w:id="68"/>
    </w:p>
    <w:tbl>
      <w:tblPr>
        <w:tblStyle w:val="TableGrid"/>
        <w:tblW w:w="9356" w:type="dxa"/>
        <w:tblInd w:w="57" w:type="dxa"/>
        <w:tblLayout w:type="fixed"/>
        <w:tblCellMar>
          <w:left w:w="57" w:type="dxa"/>
          <w:right w:w="57" w:type="dxa"/>
        </w:tblCellMar>
        <w:tblLook w:val="04A0" w:firstRow="1" w:lastRow="0" w:firstColumn="1" w:lastColumn="0" w:noHBand="0" w:noVBand="1"/>
      </w:tblPr>
      <w:tblGrid>
        <w:gridCol w:w="1367"/>
        <w:gridCol w:w="1331"/>
        <w:gridCol w:w="1332"/>
        <w:gridCol w:w="1331"/>
        <w:gridCol w:w="1332"/>
        <w:gridCol w:w="1331"/>
        <w:gridCol w:w="1332"/>
      </w:tblGrid>
      <w:tr w:rsidR="00AF532C" w:rsidRPr="00AF532C" w:rsidTr="00AF532C">
        <w:trPr>
          <w:cantSplit/>
        </w:trPr>
        <w:tc>
          <w:tcPr>
            <w:tcW w:w="1367" w:type="dxa"/>
            <w:vMerge w:val="restart"/>
            <w:tcBorders>
              <w:left w:val="nil"/>
              <w:bottom w:val="nil"/>
              <w:right w:val="nil"/>
            </w:tcBorders>
            <w:shd w:val="clear" w:color="auto" w:fill="F2F2F2" w:themeFill="background1" w:themeFillShade="F2"/>
          </w:tcPr>
          <w:p w:rsidR="00AF532C" w:rsidRPr="00AF532C" w:rsidRDefault="00AF532C" w:rsidP="00AF532C">
            <w:pPr>
              <w:pStyle w:val="TableText"/>
              <w:rPr>
                <w:b/>
              </w:rPr>
            </w:pPr>
            <w:r w:rsidRPr="00AF532C">
              <w:rPr>
                <w:b/>
              </w:rPr>
              <w:t>Sex</w:t>
            </w:r>
          </w:p>
        </w:tc>
        <w:tc>
          <w:tcPr>
            <w:tcW w:w="2663" w:type="dxa"/>
            <w:gridSpan w:val="2"/>
            <w:tcBorders>
              <w:left w:val="nil"/>
              <w:bottom w:val="nil"/>
              <w:right w:val="nil"/>
            </w:tcBorders>
            <w:shd w:val="clear" w:color="auto" w:fill="F2F2F2" w:themeFill="background1" w:themeFillShade="F2"/>
          </w:tcPr>
          <w:p w:rsidR="00AF532C" w:rsidRPr="00AF532C" w:rsidRDefault="00AF532C" w:rsidP="00AF532C">
            <w:pPr>
              <w:pStyle w:val="TableText"/>
              <w:jc w:val="center"/>
              <w:rPr>
                <w:b/>
              </w:rPr>
            </w:pPr>
            <w:r w:rsidRPr="00AF532C">
              <w:rPr>
                <w:b/>
              </w:rPr>
              <w:t>Service users</w:t>
            </w:r>
            <w:r w:rsidRPr="00AF532C">
              <w:rPr>
                <w:b/>
                <w:vertAlign w:val="superscript"/>
              </w:rPr>
              <w:t>b</w:t>
            </w:r>
          </w:p>
        </w:tc>
        <w:tc>
          <w:tcPr>
            <w:tcW w:w="2663" w:type="dxa"/>
            <w:gridSpan w:val="2"/>
            <w:tcBorders>
              <w:left w:val="nil"/>
              <w:bottom w:val="nil"/>
              <w:right w:val="nil"/>
            </w:tcBorders>
            <w:shd w:val="clear" w:color="auto" w:fill="F2F2F2" w:themeFill="background1" w:themeFillShade="F2"/>
          </w:tcPr>
          <w:p w:rsidR="00AF532C" w:rsidRPr="00AF532C" w:rsidRDefault="00AF532C" w:rsidP="00AF532C">
            <w:pPr>
              <w:pStyle w:val="TableText"/>
              <w:jc w:val="center"/>
              <w:rPr>
                <w:b/>
              </w:rPr>
            </w:pPr>
            <w:r w:rsidRPr="00AF532C">
              <w:rPr>
                <w:b/>
              </w:rPr>
              <w:t>Non-service users</w:t>
            </w:r>
          </w:p>
        </w:tc>
        <w:tc>
          <w:tcPr>
            <w:tcW w:w="2663" w:type="dxa"/>
            <w:gridSpan w:val="2"/>
            <w:tcBorders>
              <w:left w:val="nil"/>
              <w:bottom w:val="nil"/>
              <w:right w:val="nil"/>
            </w:tcBorders>
            <w:shd w:val="clear" w:color="auto" w:fill="F2F2F2" w:themeFill="background1" w:themeFillShade="F2"/>
          </w:tcPr>
          <w:p w:rsidR="00AF532C" w:rsidRPr="00AF532C" w:rsidRDefault="00AF532C" w:rsidP="00AF532C">
            <w:pPr>
              <w:pStyle w:val="TableText"/>
              <w:jc w:val="center"/>
              <w:rPr>
                <w:b/>
              </w:rPr>
            </w:pPr>
            <w:r w:rsidRPr="00AF532C">
              <w:rPr>
                <w:b/>
              </w:rPr>
              <w:t>Total</w:t>
            </w:r>
          </w:p>
        </w:tc>
      </w:tr>
      <w:tr w:rsidR="00AF532C" w:rsidRPr="00AF532C" w:rsidTr="00AF532C">
        <w:trPr>
          <w:cantSplit/>
        </w:trPr>
        <w:tc>
          <w:tcPr>
            <w:tcW w:w="1367" w:type="dxa"/>
            <w:vMerge/>
            <w:tcBorders>
              <w:top w:val="nil"/>
              <w:left w:val="nil"/>
              <w:bottom w:val="single" w:sz="4" w:space="0" w:color="auto"/>
              <w:right w:val="nil"/>
            </w:tcBorders>
            <w:shd w:val="clear" w:color="auto" w:fill="F2F2F2" w:themeFill="background1" w:themeFillShade="F2"/>
          </w:tcPr>
          <w:p w:rsidR="00AF532C" w:rsidRPr="00AF532C" w:rsidRDefault="00AF532C" w:rsidP="00AF532C">
            <w:pPr>
              <w:pStyle w:val="TableText"/>
              <w:rPr>
                <w:b/>
              </w:rPr>
            </w:pPr>
          </w:p>
        </w:tc>
        <w:tc>
          <w:tcPr>
            <w:tcW w:w="1331" w:type="dxa"/>
            <w:tcBorders>
              <w:top w:val="nil"/>
              <w:left w:val="nil"/>
              <w:bottom w:val="single" w:sz="4" w:space="0" w:color="auto"/>
              <w:right w:val="nil"/>
            </w:tcBorders>
            <w:shd w:val="clear" w:color="auto" w:fill="F2F2F2" w:themeFill="background1" w:themeFillShade="F2"/>
          </w:tcPr>
          <w:p w:rsidR="00AF532C" w:rsidRPr="00AF532C" w:rsidRDefault="00AF532C" w:rsidP="00AF532C">
            <w:pPr>
              <w:pStyle w:val="TableText"/>
              <w:spacing w:before="0"/>
              <w:jc w:val="center"/>
              <w:rPr>
                <w:b/>
              </w:rPr>
            </w:pPr>
            <w:r w:rsidRPr="00AF532C">
              <w:rPr>
                <w:b/>
              </w:rPr>
              <w:t>Number</w:t>
            </w:r>
          </w:p>
        </w:tc>
        <w:tc>
          <w:tcPr>
            <w:tcW w:w="1332" w:type="dxa"/>
            <w:tcBorders>
              <w:top w:val="nil"/>
              <w:left w:val="nil"/>
              <w:bottom w:val="single" w:sz="4" w:space="0" w:color="auto"/>
              <w:right w:val="nil"/>
            </w:tcBorders>
            <w:shd w:val="clear" w:color="auto" w:fill="F2F2F2" w:themeFill="background1" w:themeFillShade="F2"/>
          </w:tcPr>
          <w:p w:rsidR="00AF532C" w:rsidRPr="00AF532C" w:rsidRDefault="00AF532C" w:rsidP="00AF532C">
            <w:pPr>
              <w:pStyle w:val="TableText"/>
              <w:spacing w:before="0"/>
              <w:jc w:val="center"/>
              <w:rPr>
                <w:b/>
              </w:rPr>
            </w:pPr>
            <w:r w:rsidRPr="00AF532C">
              <w:rPr>
                <w:b/>
              </w:rPr>
              <w:t>ASR</w:t>
            </w:r>
          </w:p>
        </w:tc>
        <w:tc>
          <w:tcPr>
            <w:tcW w:w="1331" w:type="dxa"/>
            <w:tcBorders>
              <w:top w:val="nil"/>
              <w:left w:val="nil"/>
              <w:bottom w:val="single" w:sz="4" w:space="0" w:color="auto"/>
              <w:right w:val="nil"/>
            </w:tcBorders>
            <w:shd w:val="clear" w:color="auto" w:fill="F2F2F2" w:themeFill="background1" w:themeFillShade="F2"/>
          </w:tcPr>
          <w:p w:rsidR="00AF532C" w:rsidRPr="00AF532C" w:rsidRDefault="00AF532C" w:rsidP="00AF532C">
            <w:pPr>
              <w:pStyle w:val="TableText"/>
              <w:spacing w:before="0"/>
              <w:jc w:val="center"/>
              <w:rPr>
                <w:b/>
              </w:rPr>
            </w:pPr>
            <w:r w:rsidRPr="00AF532C">
              <w:rPr>
                <w:b/>
              </w:rPr>
              <w:t>Number</w:t>
            </w:r>
          </w:p>
        </w:tc>
        <w:tc>
          <w:tcPr>
            <w:tcW w:w="1332" w:type="dxa"/>
            <w:tcBorders>
              <w:top w:val="nil"/>
              <w:left w:val="nil"/>
              <w:bottom w:val="single" w:sz="4" w:space="0" w:color="auto"/>
              <w:right w:val="nil"/>
            </w:tcBorders>
            <w:shd w:val="clear" w:color="auto" w:fill="F2F2F2" w:themeFill="background1" w:themeFillShade="F2"/>
          </w:tcPr>
          <w:p w:rsidR="00AF532C" w:rsidRPr="00AF532C" w:rsidRDefault="00AF532C" w:rsidP="00AF532C">
            <w:pPr>
              <w:pStyle w:val="TableText"/>
              <w:spacing w:before="0"/>
              <w:jc w:val="center"/>
              <w:rPr>
                <w:b/>
              </w:rPr>
            </w:pPr>
            <w:r w:rsidRPr="00AF532C">
              <w:rPr>
                <w:b/>
              </w:rPr>
              <w:t>ASR</w:t>
            </w:r>
          </w:p>
        </w:tc>
        <w:tc>
          <w:tcPr>
            <w:tcW w:w="1331" w:type="dxa"/>
            <w:tcBorders>
              <w:top w:val="nil"/>
              <w:left w:val="nil"/>
              <w:bottom w:val="single" w:sz="4" w:space="0" w:color="auto"/>
              <w:right w:val="nil"/>
            </w:tcBorders>
            <w:shd w:val="clear" w:color="auto" w:fill="F2F2F2" w:themeFill="background1" w:themeFillShade="F2"/>
          </w:tcPr>
          <w:p w:rsidR="00AF532C" w:rsidRPr="00AF532C" w:rsidRDefault="00AF532C" w:rsidP="00AF532C">
            <w:pPr>
              <w:pStyle w:val="TableText"/>
              <w:spacing w:before="0"/>
              <w:jc w:val="center"/>
              <w:rPr>
                <w:b/>
              </w:rPr>
            </w:pPr>
            <w:r w:rsidRPr="00AF532C">
              <w:rPr>
                <w:b/>
              </w:rPr>
              <w:t>Number</w:t>
            </w:r>
          </w:p>
        </w:tc>
        <w:tc>
          <w:tcPr>
            <w:tcW w:w="1332" w:type="dxa"/>
            <w:tcBorders>
              <w:top w:val="nil"/>
              <w:left w:val="nil"/>
              <w:bottom w:val="single" w:sz="4" w:space="0" w:color="auto"/>
              <w:right w:val="nil"/>
            </w:tcBorders>
            <w:shd w:val="clear" w:color="auto" w:fill="F2F2F2" w:themeFill="background1" w:themeFillShade="F2"/>
          </w:tcPr>
          <w:p w:rsidR="00AF532C" w:rsidRPr="00AF532C" w:rsidRDefault="00AF532C" w:rsidP="00AF532C">
            <w:pPr>
              <w:pStyle w:val="TableText"/>
              <w:spacing w:before="0"/>
              <w:jc w:val="center"/>
              <w:rPr>
                <w:b/>
              </w:rPr>
            </w:pPr>
            <w:r w:rsidRPr="00AF532C">
              <w:rPr>
                <w:b/>
              </w:rPr>
              <w:t>ASR</w:t>
            </w:r>
          </w:p>
        </w:tc>
      </w:tr>
      <w:tr w:rsidR="00AF532C" w:rsidRPr="00AF532C" w:rsidTr="00AF532C">
        <w:trPr>
          <w:cantSplit/>
        </w:trPr>
        <w:tc>
          <w:tcPr>
            <w:tcW w:w="1367" w:type="dxa"/>
            <w:tcBorders>
              <w:top w:val="single" w:sz="4" w:space="0" w:color="auto"/>
              <w:left w:val="nil"/>
              <w:bottom w:val="nil"/>
              <w:right w:val="nil"/>
            </w:tcBorders>
          </w:tcPr>
          <w:p w:rsidR="00AF532C" w:rsidRPr="00AF532C" w:rsidRDefault="00AF532C" w:rsidP="00AF532C">
            <w:pPr>
              <w:pStyle w:val="TableText"/>
            </w:pPr>
            <w:r w:rsidRPr="00AF532C">
              <w:t>Male</w:t>
            </w:r>
          </w:p>
        </w:tc>
        <w:tc>
          <w:tcPr>
            <w:tcW w:w="1331" w:type="dxa"/>
            <w:tcBorders>
              <w:top w:val="single" w:sz="4" w:space="0" w:color="auto"/>
              <w:left w:val="nil"/>
              <w:bottom w:val="nil"/>
              <w:right w:val="nil"/>
            </w:tcBorders>
          </w:tcPr>
          <w:p w:rsidR="00AF532C" w:rsidRPr="00AF532C" w:rsidRDefault="00AF532C" w:rsidP="00AF532C">
            <w:pPr>
              <w:pStyle w:val="TableText"/>
              <w:tabs>
                <w:tab w:val="decimal" w:pos="703"/>
              </w:tabs>
            </w:pPr>
            <w:r w:rsidRPr="00AF532C">
              <w:t>141</w:t>
            </w:r>
          </w:p>
        </w:tc>
        <w:tc>
          <w:tcPr>
            <w:tcW w:w="1332" w:type="dxa"/>
            <w:tcBorders>
              <w:top w:val="single" w:sz="4" w:space="0" w:color="auto"/>
              <w:left w:val="nil"/>
              <w:bottom w:val="nil"/>
              <w:right w:val="nil"/>
            </w:tcBorders>
          </w:tcPr>
          <w:p w:rsidR="00AF532C" w:rsidRPr="00AF532C" w:rsidRDefault="00AF532C" w:rsidP="00AF532C">
            <w:pPr>
              <w:pStyle w:val="TableText"/>
              <w:tabs>
                <w:tab w:val="decimal" w:pos="703"/>
              </w:tabs>
            </w:pPr>
            <w:r w:rsidRPr="00AF532C">
              <w:t>178.1</w:t>
            </w:r>
          </w:p>
        </w:tc>
        <w:tc>
          <w:tcPr>
            <w:tcW w:w="1331" w:type="dxa"/>
            <w:tcBorders>
              <w:top w:val="single" w:sz="4" w:space="0" w:color="auto"/>
              <w:left w:val="nil"/>
              <w:bottom w:val="nil"/>
              <w:right w:val="nil"/>
            </w:tcBorders>
          </w:tcPr>
          <w:p w:rsidR="00AF532C" w:rsidRPr="00AF532C" w:rsidRDefault="00AF532C" w:rsidP="00AF532C">
            <w:pPr>
              <w:pStyle w:val="TableText"/>
              <w:tabs>
                <w:tab w:val="decimal" w:pos="703"/>
              </w:tabs>
            </w:pPr>
            <w:r w:rsidRPr="00AF532C">
              <w:t>216</w:t>
            </w:r>
          </w:p>
        </w:tc>
        <w:tc>
          <w:tcPr>
            <w:tcW w:w="1332" w:type="dxa"/>
            <w:tcBorders>
              <w:top w:val="single" w:sz="4" w:space="0" w:color="auto"/>
              <w:left w:val="nil"/>
              <w:bottom w:val="nil"/>
              <w:right w:val="nil"/>
            </w:tcBorders>
          </w:tcPr>
          <w:p w:rsidR="00AF532C" w:rsidRPr="00AF532C" w:rsidRDefault="00AF532C" w:rsidP="00BD1E7E">
            <w:pPr>
              <w:pStyle w:val="TableText"/>
              <w:tabs>
                <w:tab w:val="decimal" w:pos="624"/>
              </w:tabs>
            </w:pPr>
            <w:r w:rsidRPr="00AF532C">
              <w:t>11.2</w:t>
            </w:r>
          </w:p>
        </w:tc>
        <w:tc>
          <w:tcPr>
            <w:tcW w:w="1331" w:type="dxa"/>
            <w:tcBorders>
              <w:top w:val="single" w:sz="4" w:space="0" w:color="auto"/>
              <w:left w:val="nil"/>
              <w:bottom w:val="nil"/>
              <w:right w:val="nil"/>
            </w:tcBorders>
          </w:tcPr>
          <w:p w:rsidR="00AF532C" w:rsidRPr="00AF532C" w:rsidRDefault="00AF532C" w:rsidP="00AF532C">
            <w:pPr>
              <w:pStyle w:val="TableText"/>
              <w:tabs>
                <w:tab w:val="decimal" w:pos="703"/>
              </w:tabs>
            </w:pPr>
            <w:r w:rsidRPr="00AF532C">
              <w:t>357</w:t>
            </w:r>
          </w:p>
        </w:tc>
        <w:tc>
          <w:tcPr>
            <w:tcW w:w="1332" w:type="dxa"/>
            <w:tcBorders>
              <w:top w:val="single" w:sz="4" w:space="0" w:color="auto"/>
              <w:left w:val="nil"/>
              <w:bottom w:val="nil"/>
              <w:right w:val="nil"/>
            </w:tcBorders>
          </w:tcPr>
          <w:p w:rsidR="00AF532C" w:rsidRPr="00AF532C" w:rsidRDefault="00AF532C" w:rsidP="00BD1E7E">
            <w:pPr>
              <w:pStyle w:val="TableText"/>
              <w:tabs>
                <w:tab w:val="decimal" w:pos="624"/>
              </w:tabs>
            </w:pPr>
            <w:r w:rsidRPr="00AF532C">
              <w:t>17.9</w:t>
            </w:r>
          </w:p>
        </w:tc>
      </w:tr>
      <w:tr w:rsidR="00AF532C" w:rsidRPr="00AF532C" w:rsidTr="00AF532C">
        <w:trPr>
          <w:cantSplit/>
        </w:trPr>
        <w:tc>
          <w:tcPr>
            <w:tcW w:w="1367" w:type="dxa"/>
            <w:tcBorders>
              <w:top w:val="nil"/>
              <w:left w:val="nil"/>
              <w:bottom w:val="nil"/>
              <w:right w:val="nil"/>
            </w:tcBorders>
            <w:shd w:val="clear" w:color="auto" w:fill="F2F2F2" w:themeFill="background1" w:themeFillShade="F2"/>
          </w:tcPr>
          <w:p w:rsidR="00AF532C" w:rsidRPr="00AF532C" w:rsidRDefault="00AF532C" w:rsidP="00AF532C">
            <w:pPr>
              <w:pStyle w:val="TableText"/>
            </w:pPr>
            <w:r w:rsidRPr="00AF532C">
              <w:t>Female</w:t>
            </w:r>
          </w:p>
        </w:tc>
        <w:tc>
          <w:tcPr>
            <w:tcW w:w="1331" w:type="dxa"/>
            <w:tcBorders>
              <w:top w:val="nil"/>
              <w:left w:val="nil"/>
              <w:bottom w:val="nil"/>
              <w:right w:val="nil"/>
            </w:tcBorders>
            <w:shd w:val="clear" w:color="auto" w:fill="F2F2F2" w:themeFill="background1" w:themeFillShade="F2"/>
          </w:tcPr>
          <w:p w:rsidR="00AF532C" w:rsidRPr="00AF532C" w:rsidRDefault="00AF532C" w:rsidP="00AF532C">
            <w:pPr>
              <w:pStyle w:val="TableText"/>
              <w:tabs>
                <w:tab w:val="decimal" w:pos="703"/>
              </w:tabs>
            </w:pPr>
            <w:r w:rsidRPr="00AF532C">
              <w:t>44</w:t>
            </w:r>
          </w:p>
        </w:tc>
        <w:tc>
          <w:tcPr>
            <w:tcW w:w="1332" w:type="dxa"/>
            <w:tcBorders>
              <w:top w:val="nil"/>
              <w:left w:val="nil"/>
              <w:bottom w:val="nil"/>
              <w:right w:val="nil"/>
            </w:tcBorders>
            <w:shd w:val="clear" w:color="auto" w:fill="F2F2F2" w:themeFill="background1" w:themeFillShade="F2"/>
          </w:tcPr>
          <w:p w:rsidR="00AF532C" w:rsidRPr="00AF532C" w:rsidRDefault="00AF532C" w:rsidP="00AF532C">
            <w:pPr>
              <w:pStyle w:val="TableText"/>
              <w:tabs>
                <w:tab w:val="decimal" w:pos="703"/>
              </w:tabs>
            </w:pPr>
            <w:r w:rsidRPr="00AF532C">
              <w:t>70.1</w:t>
            </w:r>
          </w:p>
        </w:tc>
        <w:tc>
          <w:tcPr>
            <w:tcW w:w="1331" w:type="dxa"/>
            <w:tcBorders>
              <w:top w:val="nil"/>
              <w:left w:val="nil"/>
              <w:bottom w:val="nil"/>
              <w:right w:val="nil"/>
            </w:tcBorders>
            <w:shd w:val="clear" w:color="auto" w:fill="F2F2F2" w:themeFill="background1" w:themeFillShade="F2"/>
          </w:tcPr>
          <w:p w:rsidR="00AF532C" w:rsidRPr="00AF532C" w:rsidRDefault="00AF532C" w:rsidP="00AF532C">
            <w:pPr>
              <w:pStyle w:val="TableText"/>
              <w:tabs>
                <w:tab w:val="decimal" w:pos="703"/>
              </w:tabs>
            </w:pPr>
            <w:r w:rsidRPr="00AF532C">
              <w:t>65</w:t>
            </w:r>
          </w:p>
        </w:tc>
        <w:tc>
          <w:tcPr>
            <w:tcW w:w="1332" w:type="dxa"/>
            <w:tcBorders>
              <w:top w:val="nil"/>
              <w:left w:val="nil"/>
              <w:bottom w:val="nil"/>
              <w:right w:val="nil"/>
            </w:tcBorders>
            <w:shd w:val="clear" w:color="auto" w:fill="F2F2F2" w:themeFill="background1" w:themeFillShade="F2"/>
          </w:tcPr>
          <w:p w:rsidR="00AF532C" w:rsidRPr="00AF532C" w:rsidRDefault="00AF532C" w:rsidP="00BD1E7E">
            <w:pPr>
              <w:pStyle w:val="TableText"/>
              <w:tabs>
                <w:tab w:val="decimal" w:pos="624"/>
              </w:tabs>
            </w:pPr>
            <w:r w:rsidRPr="00AF532C">
              <w:t>3.4</w:t>
            </w:r>
          </w:p>
        </w:tc>
        <w:tc>
          <w:tcPr>
            <w:tcW w:w="1331" w:type="dxa"/>
            <w:tcBorders>
              <w:top w:val="nil"/>
              <w:left w:val="nil"/>
              <w:bottom w:val="nil"/>
              <w:right w:val="nil"/>
            </w:tcBorders>
            <w:shd w:val="clear" w:color="auto" w:fill="F2F2F2" w:themeFill="background1" w:themeFillShade="F2"/>
          </w:tcPr>
          <w:p w:rsidR="00AF532C" w:rsidRPr="00AF532C" w:rsidRDefault="00AF532C" w:rsidP="00AF532C">
            <w:pPr>
              <w:pStyle w:val="TableText"/>
              <w:tabs>
                <w:tab w:val="decimal" w:pos="703"/>
              </w:tabs>
            </w:pPr>
            <w:r w:rsidRPr="00AF532C">
              <w:t>109</w:t>
            </w:r>
          </w:p>
        </w:tc>
        <w:tc>
          <w:tcPr>
            <w:tcW w:w="1332" w:type="dxa"/>
            <w:tcBorders>
              <w:top w:val="nil"/>
              <w:left w:val="nil"/>
              <w:bottom w:val="nil"/>
              <w:right w:val="nil"/>
            </w:tcBorders>
            <w:shd w:val="clear" w:color="auto" w:fill="F2F2F2" w:themeFill="background1" w:themeFillShade="F2"/>
          </w:tcPr>
          <w:p w:rsidR="00AF532C" w:rsidRPr="00AF532C" w:rsidRDefault="00AF532C" w:rsidP="00BD1E7E">
            <w:pPr>
              <w:pStyle w:val="TableText"/>
              <w:tabs>
                <w:tab w:val="decimal" w:pos="624"/>
              </w:tabs>
            </w:pPr>
            <w:r w:rsidRPr="00AF532C">
              <w:t>5.5</w:t>
            </w:r>
          </w:p>
        </w:tc>
      </w:tr>
      <w:tr w:rsidR="00AF532C" w:rsidRPr="00AF532C" w:rsidTr="00AF532C">
        <w:trPr>
          <w:cantSplit/>
        </w:trPr>
        <w:tc>
          <w:tcPr>
            <w:tcW w:w="1367" w:type="dxa"/>
            <w:tcBorders>
              <w:top w:val="nil"/>
              <w:left w:val="nil"/>
              <w:right w:val="nil"/>
            </w:tcBorders>
          </w:tcPr>
          <w:p w:rsidR="00AF532C" w:rsidRPr="00AF532C" w:rsidRDefault="00AF532C" w:rsidP="00AF532C">
            <w:pPr>
              <w:pStyle w:val="TableText"/>
            </w:pPr>
            <w:r w:rsidRPr="00AF532C">
              <w:t>Total</w:t>
            </w:r>
          </w:p>
        </w:tc>
        <w:tc>
          <w:tcPr>
            <w:tcW w:w="1331" w:type="dxa"/>
            <w:tcBorders>
              <w:top w:val="nil"/>
              <w:left w:val="nil"/>
              <w:right w:val="nil"/>
            </w:tcBorders>
          </w:tcPr>
          <w:p w:rsidR="00AF532C" w:rsidRPr="00AF532C" w:rsidRDefault="00AF532C" w:rsidP="00AF532C">
            <w:pPr>
              <w:pStyle w:val="TableText"/>
              <w:tabs>
                <w:tab w:val="decimal" w:pos="703"/>
              </w:tabs>
            </w:pPr>
            <w:r w:rsidRPr="00AF532C">
              <w:t>185</w:t>
            </w:r>
          </w:p>
        </w:tc>
        <w:tc>
          <w:tcPr>
            <w:tcW w:w="1332" w:type="dxa"/>
            <w:tcBorders>
              <w:top w:val="nil"/>
              <w:left w:val="nil"/>
              <w:right w:val="nil"/>
            </w:tcBorders>
          </w:tcPr>
          <w:p w:rsidR="00AF532C" w:rsidRPr="00AF532C" w:rsidRDefault="00AF532C" w:rsidP="00AF532C">
            <w:pPr>
              <w:pStyle w:val="TableText"/>
              <w:tabs>
                <w:tab w:val="decimal" w:pos="703"/>
              </w:tabs>
            </w:pPr>
            <w:r w:rsidRPr="00AF532C">
              <w:t>129.1</w:t>
            </w:r>
          </w:p>
        </w:tc>
        <w:tc>
          <w:tcPr>
            <w:tcW w:w="1331" w:type="dxa"/>
            <w:tcBorders>
              <w:top w:val="nil"/>
              <w:left w:val="nil"/>
              <w:right w:val="nil"/>
            </w:tcBorders>
          </w:tcPr>
          <w:p w:rsidR="00AF532C" w:rsidRPr="00AF532C" w:rsidRDefault="00AF532C" w:rsidP="00AF532C">
            <w:pPr>
              <w:pStyle w:val="TableText"/>
              <w:tabs>
                <w:tab w:val="decimal" w:pos="703"/>
              </w:tabs>
            </w:pPr>
            <w:r w:rsidRPr="00AF532C">
              <w:t>281</w:t>
            </w:r>
          </w:p>
        </w:tc>
        <w:tc>
          <w:tcPr>
            <w:tcW w:w="1332" w:type="dxa"/>
            <w:tcBorders>
              <w:top w:val="nil"/>
              <w:left w:val="nil"/>
              <w:right w:val="nil"/>
            </w:tcBorders>
          </w:tcPr>
          <w:p w:rsidR="00AF532C" w:rsidRPr="00AF532C" w:rsidRDefault="00AF532C" w:rsidP="00BD1E7E">
            <w:pPr>
              <w:pStyle w:val="TableText"/>
              <w:tabs>
                <w:tab w:val="decimal" w:pos="624"/>
              </w:tabs>
            </w:pPr>
            <w:r w:rsidRPr="00AF532C">
              <w:t>7.3</w:t>
            </w:r>
          </w:p>
        </w:tc>
        <w:tc>
          <w:tcPr>
            <w:tcW w:w="1331" w:type="dxa"/>
            <w:tcBorders>
              <w:top w:val="nil"/>
              <w:left w:val="nil"/>
              <w:right w:val="nil"/>
            </w:tcBorders>
          </w:tcPr>
          <w:p w:rsidR="00AF532C" w:rsidRPr="00AF532C" w:rsidRDefault="00AF532C" w:rsidP="00AF532C">
            <w:pPr>
              <w:pStyle w:val="TableText"/>
              <w:tabs>
                <w:tab w:val="decimal" w:pos="703"/>
              </w:tabs>
            </w:pPr>
            <w:r w:rsidRPr="00AF532C">
              <w:t>466</w:t>
            </w:r>
          </w:p>
        </w:tc>
        <w:tc>
          <w:tcPr>
            <w:tcW w:w="1332" w:type="dxa"/>
            <w:tcBorders>
              <w:top w:val="nil"/>
              <w:left w:val="nil"/>
              <w:right w:val="nil"/>
            </w:tcBorders>
          </w:tcPr>
          <w:p w:rsidR="00AF532C" w:rsidRPr="00AF532C" w:rsidRDefault="00AF532C" w:rsidP="00BD1E7E">
            <w:pPr>
              <w:pStyle w:val="TableText"/>
              <w:tabs>
                <w:tab w:val="decimal" w:pos="624"/>
              </w:tabs>
            </w:pPr>
            <w:r w:rsidRPr="00AF532C">
              <w:t>11.7</w:t>
            </w:r>
          </w:p>
        </w:tc>
      </w:tr>
    </w:tbl>
    <w:p w:rsidR="004659AD" w:rsidRPr="00642432" w:rsidRDefault="004659AD" w:rsidP="00AF532C">
      <w:pPr>
        <w:pStyle w:val="Note"/>
        <w:ind w:right="0"/>
      </w:pPr>
      <w:r w:rsidRPr="00642432">
        <w:t>Notes: ASR = age-standardised rate</w:t>
      </w:r>
      <w:r w:rsidR="00AF532C">
        <w:t>.</w:t>
      </w:r>
    </w:p>
    <w:p w:rsidR="004659AD" w:rsidRPr="00642432" w:rsidRDefault="00AF532C" w:rsidP="00AF532C">
      <w:pPr>
        <w:pStyle w:val="Note"/>
        <w:ind w:right="0"/>
      </w:pPr>
      <w:r>
        <w:t>a</w:t>
      </w:r>
      <w:r>
        <w:tab/>
      </w:r>
      <w:r w:rsidR="004659AD" w:rsidRPr="00642432">
        <w:t>Suicide includes deaths of undetermined intent. The age-standardised rate is per 100,000, standardised to the WHO standard population 0–64 years.</w:t>
      </w:r>
    </w:p>
    <w:p w:rsidR="00AF532C" w:rsidRDefault="00AF532C" w:rsidP="00AF532C">
      <w:pPr>
        <w:pStyle w:val="Note"/>
        <w:ind w:right="0"/>
      </w:pPr>
      <w:r>
        <w:t>b</w:t>
      </w:r>
      <w:r>
        <w:tab/>
      </w:r>
      <w:r w:rsidR="004659AD" w:rsidRPr="00642432">
        <w:t>Service-user denominator excludes service users of unknown age.</w:t>
      </w:r>
    </w:p>
    <w:p w:rsidR="004659AD" w:rsidRPr="00642432" w:rsidRDefault="004659AD" w:rsidP="00AF532C">
      <w:pPr>
        <w:pStyle w:val="Source"/>
        <w:ind w:right="0"/>
      </w:pPr>
      <w:r w:rsidRPr="00642432">
        <w:t>Source: Ministry of Health mortality database, extracted on 22 July 2014</w:t>
      </w:r>
      <w:r w:rsidR="00AF532C">
        <w:t>.</w:t>
      </w:r>
    </w:p>
    <w:p w:rsidR="004659AD" w:rsidRPr="00642432" w:rsidRDefault="004659AD" w:rsidP="00E43739">
      <w:pPr>
        <w:pStyle w:val="Figure"/>
        <w:spacing w:before="360"/>
      </w:pPr>
      <w:bookmarkStart w:id="69" w:name="_Toc405113779"/>
      <w:r w:rsidRPr="00642432">
        <w:t>Figure 25: Age-standardised rate of suicide, by age group, sex and service use, ages 10 to 64</w:t>
      </w:r>
      <w:r w:rsidR="00AF532C">
        <w:t> </w:t>
      </w:r>
      <w:r w:rsidRPr="00642432">
        <w:t>years,</w:t>
      </w:r>
      <w:r w:rsidR="00AF532C">
        <w:t xml:space="preserve"> </w:t>
      </w:r>
      <w:r w:rsidRPr="00642432">
        <w:t>1 January to 31 December 2011</w:t>
      </w:r>
      <w:bookmarkEnd w:id="69"/>
    </w:p>
    <w:p w:rsidR="004659AD" w:rsidRPr="00642432" w:rsidRDefault="00AF532C" w:rsidP="00AF532C">
      <w:r w:rsidRPr="00AF532C">
        <w:rPr>
          <w:noProof/>
          <w:lang w:eastAsia="en-NZ"/>
        </w:rPr>
        <w:drawing>
          <wp:inline distT="0" distB="0" distL="0" distR="0" wp14:anchorId="332A5F00" wp14:editId="7B8B58EE">
            <wp:extent cx="5461462" cy="2935404"/>
            <wp:effectExtent l="0" t="0" r="6350" b="0"/>
            <wp:docPr id="5520" name="Picture 5520" title="Figure 25: Age-standardised rate of suicide, by age group, sex and service use, ages 10 to 64 years, 1 January to 31 Dec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grayscl/>
                    </a:blip>
                    <a:stretch>
                      <a:fillRect/>
                    </a:stretch>
                  </pic:blipFill>
                  <pic:spPr>
                    <a:xfrm>
                      <a:off x="0" y="0"/>
                      <a:ext cx="5466675" cy="2938206"/>
                    </a:xfrm>
                    <a:prstGeom prst="rect">
                      <a:avLst/>
                    </a:prstGeom>
                  </pic:spPr>
                </pic:pic>
              </a:graphicData>
            </a:graphic>
          </wp:inline>
        </w:drawing>
      </w:r>
    </w:p>
    <w:p w:rsidR="004659AD" w:rsidRPr="00642432" w:rsidRDefault="004659AD" w:rsidP="00AF532C">
      <w:pPr>
        <w:pStyle w:val="Note"/>
        <w:ind w:left="0" w:firstLine="0"/>
      </w:pPr>
      <w:r w:rsidRPr="00642432">
        <w:t>Note: The age-standardised rate is the rate per 100,000 standardised to the WHO standard population under 65 years. Source: Ministry of Health mortality database</w:t>
      </w:r>
      <w:r w:rsidR="00AF532C">
        <w:t>.</w:t>
      </w:r>
    </w:p>
    <w:p w:rsidR="00AF532C" w:rsidRDefault="00AF532C" w:rsidP="00AF532C"/>
    <w:p w:rsidR="004659AD" w:rsidRPr="00642432" w:rsidRDefault="004659AD" w:rsidP="00AF532C">
      <w:r w:rsidRPr="00642432">
        <w:t>As shown in Table 16 and Figure 25, the age-standardised rate of suicide among female and male</w:t>
      </w:r>
      <w:r w:rsidR="00AF532C">
        <w:t xml:space="preserve"> </w:t>
      </w:r>
      <w:r w:rsidRPr="00642432">
        <w:t>service users in 2011 was highest for the age group of 25 to 29 years, at 167 per 100,000 ASR and 329 per</w:t>
      </w:r>
      <w:r w:rsidR="00AF532C">
        <w:t xml:space="preserve"> </w:t>
      </w:r>
      <w:r w:rsidRPr="00642432">
        <w:t>100,000 ASR respectively.</w:t>
      </w:r>
    </w:p>
    <w:p w:rsidR="004659AD" w:rsidRPr="00642432" w:rsidRDefault="004659AD" w:rsidP="00AF532C"/>
    <w:p w:rsidR="004659AD" w:rsidRPr="00642432" w:rsidRDefault="004659AD" w:rsidP="005B0ACD">
      <w:pPr>
        <w:keepNext/>
      </w:pPr>
      <w:r w:rsidRPr="00642432">
        <w:t>When considering these numbers it is important to note that because these age-standardised rates are derived from a small service-user population, they are highly variable over</w:t>
      </w:r>
      <w:r w:rsidR="00D32DDD" w:rsidRPr="00642432">
        <w:t xml:space="preserve"> </w:t>
      </w:r>
      <w:r w:rsidRPr="00642432">
        <w:t>time.</w:t>
      </w:r>
    </w:p>
    <w:p w:rsidR="004659AD" w:rsidRPr="00642432" w:rsidRDefault="004659AD" w:rsidP="004659AD">
      <w:pPr>
        <w:spacing w:before="9" w:line="220" w:lineRule="exact"/>
      </w:pPr>
    </w:p>
    <w:p w:rsidR="004659AD" w:rsidRPr="00642432" w:rsidRDefault="004659AD" w:rsidP="005B0ACD">
      <w:r w:rsidRPr="00642432">
        <w:t>For female and male non-service users, the rate of suicide was highest in the 20 to 24 years age group, at 6.6 per 100,000 ASR and 20 per 100,000 ASR respectively.</w:t>
      </w:r>
    </w:p>
    <w:p w:rsidR="004659AD" w:rsidRPr="00642432" w:rsidRDefault="004659AD" w:rsidP="005B0ACD"/>
    <w:p w:rsidR="004659AD" w:rsidRPr="00642432" w:rsidRDefault="004659AD" w:rsidP="005B0ACD">
      <w:pPr>
        <w:pStyle w:val="Table"/>
      </w:pPr>
      <w:bookmarkStart w:id="70" w:name="_Toc405113696"/>
      <w:r w:rsidRPr="00642432">
        <w:t>Table 16: Number and age-standardised rate of suicides, by sex and service use, ages 10 to 64 years,</w:t>
      </w:r>
      <w:r w:rsidR="005B0ACD">
        <w:t xml:space="preserve"> </w:t>
      </w:r>
      <w:r w:rsidRPr="00642432">
        <w:t>1 January to 31 December 2011</w:t>
      </w:r>
      <w:bookmarkEnd w:id="70"/>
    </w:p>
    <w:tbl>
      <w:tblPr>
        <w:tblStyle w:val="TableGrid"/>
        <w:tblW w:w="9413"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91"/>
        <w:gridCol w:w="1027"/>
        <w:gridCol w:w="1028"/>
        <w:gridCol w:w="1028"/>
        <w:gridCol w:w="1028"/>
        <w:gridCol w:w="1027"/>
        <w:gridCol w:w="1028"/>
        <w:gridCol w:w="1028"/>
        <w:gridCol w:w="1028"/>
      </w:tblGrid>
      <w:tr w:rsidR="005B0ACD" w:rsidRPr="005B0ACD" w:rsidTr="005B0ACD">
        <w:trPr>
          <w:cantSplit/>
        </w:trPr>
        <w:tc>
          <w:tcPr>
            <w:tcW w:w="1191" w:type="dxa"/>
            <w:vMerge w:val="restart"/>
            <w:tcBorders>
              <w:top w:val="single" w:sz="4" w:space="0" w:color="auto"/>
              <w:bottom w:val="nil"/>
              <w:right w:val="single" w:sz="4" w:space="0" w:color="auto"/>
            </w:tcBorders>
            <w:shd w:val="clear" w:color="auto" w:fill="F2F2F2" w:themeFill="background1" w:themeFillShade="F2"/>
          </w:tcPr>
          <w:p w:rsidR="005B0ACD" w:rsidRPr="005B0ACD" w:rsidRDefault="005B0ACD" w:rsidP="005B0ACD">
            <w:pPr>
              <w:pStyle w:val="TableText"/>
              <w:rPr>
                <w:b/>
              </w:rPr>
            </w:pPr>
            <w:r w:rsidRPr="005B0ACD">
              <w:rPr>
                <w:b/>
              </w:rPr>
              <w:t>Age band (years)</w:t>
            </w:r>
          </w:p>
        </w:tc>
        <w:tc>
          <w:tcPr>
            <w:tcW w:w="4111" w:type="dxa"/>
            <w:gridSpan w:val="4"/>
            <w:tcBorders>
              <w:top w:val="single" w:sz="4" w:space="0" w:color="auto"/>
              <w:left w:val="single" w:sz="4" w:space="0" w:color="auto"/>
              <w:bottom w:val="nil"/>
              <w:right w:val="single" w:sz="4" w:space="0" w:color="auto"/>
            </w:tcBorders>
            <w:shd w:val="clear" w:color="auto" w:fill="F2F2F2" w:themeFill="background1" w:themeFillShade="F2"/>
          </w:tcPr>
          <w:p w:rsidR="005B0ACD" w:rsidRPr="005B0ACD" w:rsidRDefault="005B0ACD" w:rsidP="005B0ACD">
            <w:pPr>
              <w:pStyle w:val="TableText"/>
              <w:jc w:val="center"/>
              <w:rPr>
                <w:b/>
              </w:rPr>
            </w:pPr>
            <w:r w:rsidRPr="005B0ACD">
              <w:rPr>
                <w:b/>
              </w:rPr>
              <w:t>Service users</w:t>
            </w:r>
          </w:p>
        </w:tc>
        <w:tc>
          <w:tcPr>
            <w:tcW w:w="4111" w:type="dxa"/>
            <w:gridSpan w:val="4"/>
            <w:tcBorders>
              <w:top w:val="single" w:sz="4" w:space="0" w:color="auto"/>
              <w:left w:val="single" w:sz="4" w:space="0" w:color="auto"/>
              <w:bottom w:val="nil"/>
            </w:tcBorders>
            <w:shd w:val="clear" w:color="auto" w:fill="F2F2F2" w:themeFill="background1" w:themeFillShade="F2"/>
          </w:tcPr>
          <w:p w:rsidR="005B0ACD" w:rsidRPr="005B0ACD" w:rsidRDefault="005B0ACD" w:rsidP="005B0ACD">
            <w:pPr>
              <w:pStyle w:val="TableText"/>
              <w:jc w:val="center"/>
              <w:rPr>
                <w:b/>
              </w:rPr>
            </w:pPr>
            <w:r w:rsidRPr="005B0ACD">
              <w:rPr>
                <w:b/>
              </w:rPr>
              <w:t>Non-service users</w:t>
            </w:r>
          </w:p>
        </w:tc>
      </w:tr>
      <w:tr w:rsidR="005B0ACD" w:rsidRPr="005B0ACD" w:rsidTr="005B0ACD">
        <w:trPr>
          <w:cantSplit/>
        </w:trPr>
        <w:tc>
          <w:tcPr>
            <w:tcW w:w="1191" w:type="dxa"/>
            <w:vMerge/>
            <w:tcBorders>
              <w:top w:val="nil"/>
              <w:bottom w:val="nil"/>
              <w:right w:val="single" w:sz="4" w:space="0" w:color="auto"/>
            </w:tcBorders>
            <w:shd w:val="clear" w:color="auto" w:fill="F2F2F2" w:themeFill="background1" w:themeFillShade="F2"/>
          </w:tcPr>
          <w:p w:rsidR="005B0ACD" w:rsidRPr="005B0ACD" w:rsidRDefault="005B0ACD" w:rsidP="005B0ACD">
            <w:pPr>
              <w:pStyle w:val="TableText"/>
              <w:rPr>
                <w:b/>
              </w:rPr>
            </w:pPr>
          </w:p>
        </w:tc>
        <w:tc>
          <w:tcPr>
            <w:tcW w:w="2055" w:type="dxa"/>
            <w:gridSpan w:val="2"/>
            <w:tcBorders>
              <w:top w:val="nil"/>
              <w:left w:val="single" w:sz="4" w:space="0" w:color="auto"/>
              <w:bottom w:val="nil"/>
              <w:right w:val="single" w:sz="4" w:space="0" w:color="A6A6A6" w:themeColor="background1" w:themeShade="A6"/>
            </w:tcBorders>
            <w:shd w:val="clear" w:color="auto" w:fill="F2F2F2" w:themeFill="background1" w:themeFillShade="F2"/>
          </w:tcPr>
          <w:p w:rsidR="005B0ACD" w:rsidRPr="005B0ACD" w:rsidRDefault="005B0ACD" w:rsidP="005B0ACD">
            <w:pPr>
              <w:pStyle w:val="TableText"/>
              <w:spacing w:before="0"/>
              <w:jc w:val="center"/>
              <w:rPr>
                <w:b/>
              </w:rPr>
            </w:pPr>
            <w:r w:rsidRPr="005B0ACD">
              <w:rPr>
                <w:b/>
              </w:rPr>
              <w:t>Female</w:t>
            </w:r>
          </w:p>
        </w:tc>
        <w:tc>
          <w:tcPr>
            <w:tcW w:w="2056" w:type="dxa"/>
            <w:gridSpan w:val="2"/>
            <w:tcBorders>
              <w:top w:val="nil"/>
              <w:left w:val="single" w:sz="4" w:space="0" w:color="A6A6A6" w:themeColor="background1" w:themeShade="A6"/>
              <w:bottom w:val="nil"/>
              <w:right w:val="single" w:sz="4" w:space="0" w:color="auto"/>
            </w:tcBorders>
            <w:shd w:val="clear" w:color="auto" w:fill="F2F2F2" w:themeFill="background1" w:themeFillShade="F2"/>
          </w:tcPr>
          <w:p w:rsidR="005B0ACD" w:rsidRPr="005B0ACD" w:rsidRDefault="005B0ACD" w:rsidP="005B0ACD">
            <w:pPr>
              <w:pStyle w:val="TableText"/>
              <w:spacing w:before="0"/>
              <w:jc w:val="center"/>
              <w:rPr>
                <w:b/>
              </w:rPr>
            </w:pPr>
            <w:r w:rsidRPr="005B0ACD">
              <w:rPr>
                <w:b/>
              </w:rPr>
              <w:t>Male</w:t>
            </w:r>
          </w:p>
        </w:tc>
        <w:tc>
          <w:tcPr>
            <w:tcW w:w="2055" w:type="dxa"/>
            <w:gridSpan w:val="2"/>
            <w:tcBorders>
              <w:top w:val="nil"/>
              <w:left w:val="single" w:sz="4" w:space="0" w:color="auto"/>
              <w:bottom w:val="nil"/>
              <w:right w:val="single" w:sz="4" w:space="0" w:color="A6A6A6" w:themeColor="background1" w:themeShade="A6"/>
            </w:tcBorders>
            <w:shd w:val="clear" w:color="auto" w:fill="F2F2F2" w:themeFill="background1" w:themeFillShade="F2"/>
          </w:tcPr>
          <w:p w:rsidR="005B0ACD" w:rsidRPr="005B0ACD" w:rsidRDefault="005B0ACD" w:rsidP="005B0ACD">
            <w:pPr>
              <w:pStyle w:val="TableText"/>
              <w:spacing w:before="0"/>
              <w:jc w:val="center"/>
              <w:rPr>
                <w:b/>
              </w:rPr>
            </w:pPr>
            <w:r w:rsidRPr="005B0ACD">
              <w:rPr>
                <w:b/>
              </w:rPr>
              <w:t>Female</w:t>
            </w:r>
          </w:p>
        </w:tc>
        <w:tc>
          <w:tcPr>
            <w:tcW w:w="2056" w:type="dxa"/>
            <w:gridSpan w:val="2"/>
            <w:tcBorders>
              <w:top w:val="nil"/>
              <w:left w:val="single" w:sz="4" w:space="0" w:color="A6A6A6" w:themeColor="background1" w:themeShade="A6"/>
              <w:bottom w:val="nil"/>
            </w:tcBorders>
            <w:shd w:val="clear" w:color="auto" w:fill="F2F2F2" w:themeFill="background1" w:themeFillShade="F2"/>
          </w:tcPr>
          <w:p w:rsidR="005B0ACD" w:rsidRPr="005B0ACD" w:rsidRDefault="005B0ACD" w:rsidP="005B0ACD">
            <w:pPr>
              <w:pStyle w:val="TableText"/>
              <w:spacing w:before="0"/>
              <w:jc w:val="center"/>
              <w:rPr>
                <w:b/>
              </w:rPr>
            </w:pPr>
            <w:r w:rsidRPr="005B0ACD">
              <w:rPr>
                <w:b/>
              </w:rPr>
              <w:t>Male</w:t>
            </w:r>
          </w:p>
        </w:tc>
      </w:tr>
      <w:tr w:rsidR="005B0ACD" w:rsidRPr="005B0ACD" w:rsidTr="005B0ACD">
        <w:trPr>
          <w:cantSplit/>
        </w:trPr>
        <w:tc>
          <w:tcPr>
            <w:tcW w:w="1191" w:type="dxa"/>
            <w:vMerge/>
            <w:tcBorders>
              <w:top w:val="nil"/>
              <w:bottom w:val="single" w:sz="4" w:space="0" w:color="auto"/>
              <w:right w:val="single" w:sz="4" w:space="0" w:color="auto"/>
            </w:tcBorders>
            <w:shd w:val="clear" w:color="auto" w:fill="F2F2F2" w:themeFill="background1" w:themeFillShade="F2"/>
          </w:tcPr>
          <w:p w:rsidR="005B0ACD" w:rsidRPr="005B0ACD" w:rsidRDefault="005B0ACD" w:rsidP="005B0ACD">
            <w:pPr>
              <w:pStyle w:val="TableText"/>
              <w:rPr>
                <w:b/>
              </w:rPr>
            </w:pPr>
          </w:p>
        </w:tc>
        <w:tc>
          <w:tcPr>
            <w:tcW w:w="1027" w:type="dxa"/>
            <w:tcBorders>
              <w:top w:val="nil"/>
              <w:left w:val="single" w:sz="4" w:space="0" w:color="auto"/>
              <w:bottom w:val="single" w:sz="4" w:space="0" w:color="auto"/>
            </w:tcBorders>
            <w:shd w:val="clear" w:color="auto" w:fill="F2F2F2" w:themeFill="background1" w:themeFillShade="F2"/>
          </w:tcPr>
          <w:p w:rsidR="005B0ACD" w:rsidRPr="005B0ACD" w:rsidRDefault="005B0ACD" w:rsidP="005B0ACD">
            <w:pPr>
              <w:pStyle w:val="TableText"/>
              <w:spacing w:before="0"/>
              <w:jc w:val="center"/>
              <w:rPr>
                <w:b/>
              </w:rPr>
            </w:pPr>
            <w:r w:rsidRPr="005B0ACD">
              <w:rPr>
                <w:b/>
              </w:rPr>
              <w:t>Number</w:t>
            </w:r>
          </w:p>
        </w:tc>
        <w:tc>
          <w:tcPr>
            <w:tcW w:w="1028" w:type="dxa"/>
            <w:tcBorders>
              <w:top w:val="nil"/>
              <w:bottom w:val="single" w:sz="4" w:space="0" w:color="auto"/>
              <w:right w:val="single" w:sz="4" w:space="0" w:color="A6A6A6" w:themeColor="background1" w:themeShade="A6"/>
            </w:tcBorders>
            <w:shd w:val="clear" w:color="auto" w:fill="F2F2F2" w:themeFill="background1" w:themeFillShade="F2"/>
          </w:tcPr>
          <w:p w:rsidR="005B0ACD" w:rsidRPr="005B0ACD" w:rsidRDefault="005B0ACD" w:rsidP="005B0ACD">
            <w:pPr>
              <w:pStyle w:val="TableText"/>
              <w:spacing w:before="0"/>
              <w:jc w:val="center"/>
              <w:rPr>
                <w:b/>
              </w:rPr>
            </w:pPr>
            <w:r w:rsidRPr="005B0ACD">
              <w:rPr>
                <w:b/>
              </w:rPr>
              <w:t>ASR</w:t>
            </w:r>
          </w:p>
        </w:tc>
        <w:tc>
          <w:tcPr>
            <w:tcW w:w="1028" w:type="dxa"/>
            <w:tcBorders>
              <w:top w:val="nil"/>
              <w:left w:val="single" w:sz="4" w:space="0" w:color="A6A6A6" w:themeColor="background1" w:themeShade="A6"/>
              <w:bottom w:val="single" w:sz="4" w:space="0" w:color="auto"/>
            </w:tcBorders>
            <w:shd w:val="clear" w:color="auto" w:fill="F2F2F2" w:themeFill="background1" w:themeFillShade="F2"/>
          </w:tcPr>
          <w:p w:rsidR="005B0ACD" w:rsidRPr="005B0ACD" w:rsidRDefault="005B0ACD" w:rsidP="005B0ACD">
            <w:pPr>
              <w:pStyle w:val="TableText"/>
              <w:spacing w:before="0"/>
              <w:jc w:val="center"/>
              <w:rPr>
                <w:b/>
              </w:rPr>
            </w:pPr>
            <w:r w:rsidRPr="005B0ACD">
              <w:rPr>
                <w:b/>
              </w:rPr>
              <w:t>Number</w:t>
            </w:r>
          </w:p>
        </w:tc>
        <w:tc>
          <w:tcPr>
            <w:tcW w:w="1028" w:type="dxa"/>
            <w:tcBorders>
              <w:top w:val="nil"/>
              <w:bottom w:val="single" w:sz="4" w:space="0" w:color="auto"/>
              <w:right w:val="single" w:sz="4" w:space="0" w:color="auto"/>
            </w:tcBorders>
            <w:shd w:val="clear" w:color="auto" w:fill="F2F2F2" w:themeFill="background1" w:themeFillShade="F2"/>
          </w:tcPr>
          <w:p w:rsidR="005B0ACD" w:rsidRPr="005B0ACD" w:rsidRDefault="005B0ACD" w:rsidP="005B0ACD">
            <w:pPr>
              <w:pStyle w:val="TableText"/>
              <w:spacing w:before="0"/>
              <w:jc w:val="center"/>
              <w:rPr>
                <w:b/>
              </w:rPr>
            </w:pPr>
            <w:r w:rsidRPr="005B0ACD">
              <w:rPr>
                <w:b/>
              </w:rPr>
              <w:t>ASR</w:t>
            </w:r>
          </w:p>
        </w:tc>
        <w:tc>
          <w:tcPr>
            <w:tcW w:w="1027" w:type="dxa"/>
            <w:tcBorders>
              <w:top w:val="nil"/>
              <w:left w:val="single" w:sz="4" w:space="0" w:color="auto"/>
              <w:bottom w:val="single" w:sz="4" w:space="0" w:color="auto"/>
            </w:tcBorders>
            <w:shd w:val="clear" w:color="auto" w:fill="F2F2F2" w:themeFill="background1" w:themeFillShade="F2"/>
          </w:tcPr>
          <w:p w:rsidR="005B0ACD" w:rsidRPr="005B0ACD" w:rsidRDefault="005B0ACD" w:rsidP="005B0ACD">
            <w:pPr>
              <w:pStyle w:val="TableText"/>
              <w:spacing w:before="0"/>
              <w:jc w:val="center"/>
              <w:rPr>
                <w:b/>
              </w:rPr>
            </w:pPr>
            <w:r w:rsidRPr="005B0ACD">
              <w:rPr>
                <w:b/>
              </w:rPr>
              <w:t>Number</w:t>
            </w:r>
          </w:p>
        </w:tc>
        <w:tc>
          <w:tcPr>
            <w:tcW w:w="1028" w:type="dxa"/>
            <w:tcBorders>
              <w:top w:val="nil"/>
              <w:bottom w:val="single" w:sz="4" w:space="0" w:color="auto"/>
              <w:right w:val="single" w:sz="4" w:space="0" w:color="A6A6A6" w:themeColor="background1" w:themeShade="A6"/>
            </w:tcBorders>
            <w:shd w:val="clear" w:color="auto" w:fill="F2F2F2" w:themeFill="background1" w:themeFillShade="F2"/>
          </w:tcPr>
          <w:p w:rsidR="005B0ACD" w:rsidRPr="005B0ACD" w:rsidRDefault="005B0ACD" w:rsidP="005B0ACD">
            <w:pPr>
              <w:pStyle w:val="TableText"/>
              <w:spacing w:before="0"/>
              <w:jc w:val="center"/>
              <w:rPr>
                <w:b/>
              </w:rPr>
            </w:pPr>
            <w:r w:rsidRPr="005B0ACD">
              <w:rPr>
                <w:b/>
              </w:rPr>
              <w:t>ASR</w:t>
            </w:r>
          </w:p>
        </w:tc>
        <w:tc>
          <w:tcPr>
            <w:tcW w:w="1028" w:type="dxa"/>
            <w:tcBorders>
              <w:top w:val="nil"/>
              <w:left w:val="single" w:sz="4" w:space="0" w:color="A6A6A6" w:themeColor="background1" w:themeShade="A6"/>
              <w:bottom w:val="single" w:sz="4" w:space="0" w:color="auto"/>
            </w:tcBorders>
            <w:shd w:val="clear" w:color="auto" w:fill="F2F2F2" w:themeFill="background1" w:themeFillShade="F2"/>
          </w:tcPr>
          <w:p w:rsidR="005B0ACD" w:rsidRPr="005B0ACD" w:rsidRDefault="005B0ACD" w:rsidP="005B0ACD">
            <w:pPr>
              <w:pStyle w:val="TableText"/>
              <w:spacing w:before="0"/>
              <w:jc w:val="center"/>
              <w:rPr>
                <w:b/>
              </w:rPr>
            </w:pPr>
            <w:r w:rsidRPr="005B0ACD">
              <w:rPr>
                <w:b/>
              </w:rPr>
              <w:t>Number</w:t>
            </w:r>
          </w:p>
        </w:tc>
        <w:tc>
          <w:tcPr>
            <w:tcW w:w="1028" w:type="dxa"/>
            <w:tcBorders>
              <w:top w:val="nil"/>
              <w:bottom w:val="single" w:sz="4" w:space="0" w:color="auto"/>
            </w:tcBorders>
            <w:shd w:val="clear" w:color="auto" w:fill="F2F2F2" w:themeFill="background1" w:themeFillShade="F2"/>
          </w:tcPr>
          <w:p w:rsidR="005B0ACD" w:rsidRPr="005B0ACD" w:rsidRDefault="005B0ACD" w:rsidP="005B0ACD">
            <w:pPr>
              <w:pStyle w:val="TableText"/>
              <w:spacing w:before="0"/>
              <w:jc w:val="center"/>
              <w:rPr>
                <w:b/>
              </w:rPr>
            </w:pPr>
            <w:r w:rsidRPr="005B0ACD">
              <w:rPr>
                <w:b/>
              </w:rPr>
              <w:t>ASR</w:t>
            </w:r>
          </w:p>
        </w:tc>
      </w:tr>
      <w:tr w:rsidR="00DF529C" w:rsidRPr="005B0ACD" w:rsidTr="00DF529C">
        <w:trPr>
          <w:cantSplit/>
        </w:trPr>
        <w:tc>
          <w:tcPr>
            <w:tcW w:w="1191" w:type="dxa"/>
            <w:tcBorders>
              <w:top w:val="single" w:sz="4" w:space="0" w:color="auto"/>
              <w:bottom w:val="nil"/>
              <w:right w:val="single" w:sz="4" w:space="0" w:color="auto"/>
            </w:tcBorders>
          </w:tcPr>
          <w:p w:rsidR="005B0ACD" w:rsidRPr="005B0ACD" w:rsidRDefault="005B0ACD" w:rsidP="005B0ACD">
            <w:pPr>
              <w:pStyle w:val="TableText"/>
            </w:pPr>
            <w:r w:rsidRPr="005B0ACD">
              <w:t>10–19</w:t>
            </w:r>
          </w:p>
        </w:tc>
        <w:tc>
          <w:tcPr>
            <w:tcW w:w="1027" w:type="dxa"/>
            <w:tcBorders>
              <w:top w:val="single" w:sz="4" w:space="0" w:color="auto"/>
              <w:left w:val="single" w:sz="4" w:space="0" w:color="auto"/>
              <w:bottom w:val="nil"/>
            </w:tcBorders>
          </w:tcPr>
          <w:p w:rsidR="005B0ACD" w:rsidRPr="005B0ACD" w:rsidRDefault="005B0ACD" w:rsidP="005B0ACD">
            <w:pPr>
              <w:pStyle w:val="TableText"/>
              <w:jc w:val="center"/>
            </w:pPr>
            <w:r w:rsidRPr="005B0ACD">
              <w:t>5</w:t>
            </w:r>
          </w:p>
        </w:tc>
        <w:tc>
          <w:tcPr>
            <w:tcW w:w="1028" w:type="dxa"/>
            <w:tcBorders>
              <w:top w:val="single" w:sz="4" w:space="0" w:color="auto"/>
              <w:bottom w:val="nil"/>
              <w:right w:val="single" w:sz="4" w:space="0" w:color="A6A6A6" w:themeColor="background1" w:themeShade="A6"/>
            </w:tcBorders>
          </w:tcPr>
          <w:p w:rsidR="005B0ACD" w:rsidRPr="005B0ACD" w:rsidRDefault="005B0ACD" w:rsidP="005B0ACD">
            <w:pPr>
              <w:pStyle w:val="TableText"/>
              <w:tabs>
                <w:tab w:val="decimal" w:pos="452"/>
              </w:tabs>
            </w:pPr>
            <w:r w:rsidRPr="005B0ACD">
              <w:t>45.7</w:t>
            </w:r>
          </w:p>
        </w:tc>
        <w:tc>
          <w:tcPr>
            <w:tcW w:w="1028" w:type="dxa"/>
            <w:tcBorders>
              <w:top w:val="single" w:sz="4" w:space="0" w:color="auto"/>
              <w:left w:val="single" w:sz="4" w:space="0" w:color="A6A6A6" w:themeColor="background1" w:themeShade="A6"/>
              <w:bottom w:val="nil"/>
            </w:tcBorders>
          </w:tcPr>
          <w:p w:rsidR="005B0ACD" w:rsidRPr="005B0ACD" w:rsidRDefault="005B0ACD" w:rsidP="005B0ACD">
            <w:pPr>
              <w:pStyle w:val="TableText"/>
              <w:tabs>
                <w:tab w:val="decimal" w:pos="563"/>
              </w:tabs>
            </w:pPr>
            <w:r w:rsidRPr="005B0ACD">
              <w:t>14</w:t>
            </w:r>
          </w:p>
        </w:tc>
        <w:tc>
          <w:tcPr>
            <w:tcW w:w="1028" w:type="dxa"/>
            <w:tcBorders>
              <w:top w:val="single" w:sz="4" w:space="0" w:color="auto"/>
              <w:bottom w:val="nil"/>
              <w:right w:val="single" w:sz="4" w:space="0" w:color="auto"/>
            </w:tcBorders>
          </w:tcPr>
          <w:p w:rsidR="005B0ACD" w:rsidRPr="005B0ACD" w:rsidRDefault="005B0ACD" w:rsidP="005B0ACD">
            <w:pPr>
              <w:pStyle w:val="TableText"/>
              <w:jc w:val="center"/>
            </w:pPr>
            <w:r w:rsidRPr="005B0ACD">
              <w:t>104.1</w:t>
            </w:r>
          </w:p>
        </w:tc>
        <w:tc>
          <w:tcPr>
            <w:tcW w:w="1027" w:type="dxa"/>
            <w:tcBorders>
              <w:top w:val="single" w:sz="4" w:space="0" w:color="auto"/>
              <w:left w:val="single" w:sz="4" w:space="0" w:color="auto"/>
              <w:bottom w:val="nil"/>
            </w:tcBorders>
          </w:tcPr>
          <w:p w:rsidR="005B0ACD" w:rsidRPr="005B0ACD" w:rsidRDefault="005B0ACD" w:rsidP="005B0ACD">
            <w:pPr>
              <w:pStyle w:val="TableText"/>
              <w:tabs>
                <w:tab w:val="decimal" w:pos="563"/>
              </w:tabs>
            </w:pPr>
            <w:r w:rsidRPr="005B0ACD">
              <w:t>17</w:t>
            </w:r>
          </w:p>
        </w:tc>
        <w:tc>
          <w:tcPr>
            <w:tcW w:w="1028" w:type="dxa"/>
            <w:tcBorders>
              <w:top w:val="single" w:sz="4" w:space="0" w:color="auto"/>
              <w:bottom w:val="nil"/>
              <w:right w:val="single" w:sz="4" w:space="0" w:color="A6A6A6" w:themeColor="background1" w:themeShade="A6"/>
            </w:tcBorders>
          </w:tcPr>
          <w:p w:rsidR="005B0ACD" w:rsidRPr="005B0ACD" w:rsidRDefault="005B0ACD" w:rsidP="005B0ACD">
            <w:pPr>
              <w:pStyle w:val="TableText"/>
              <w:jc w:val="center"/>
            </w:pPr>
            <w:r w:rsidRPr="005B0ACD">
              <w:t>5.9</w:t>
            </w:r>
          </w:p>
        </w:tc>
        <w:tc>
          <w:tcPr>
            <w:tcW w:w="1028" w:type="dxa"/>
            <w:tcBorders>
              <w:top w:val="single" w:sz="4" w:space="0" w:color="auto"/>
              <w:left w:val="single" w:sz="4" w:space="0" w:color="A6A6A6" w:themeColor="background1" w:themeShade="A6"/>
              <w:bottom w:val="nil"/>
            </w:tcBorders>
          </w:tcPr>
          <w:p w:rsidR="005B0ACD" w:rsidRPr="005B0ACD" w:rsidRDefault="005B0ACD" w:rsidP="005B0ACD">
            <w:pPr>
              <w:pStyle w:val="TableText"/>
              <w:jc w:val="center"/>
            </w:pPr>
            <w:r w:rsidRPr="005B0ACD">
              <w:t>33</w:t>
            </w:r>
          </w:p>
        </w:tc>
        <w:tc>
          <w:tcPr>
            <w:tcW w:w="1028" w:type="dxa"/>
            <w:tcBorders>
              <w:top w:val="single" w:sz="4" w:space="0" w:color="auto"/>
              <w:bottom w:val="nil"/>
            </w:tcBorders>
          </w:tcPr>
          <w:p w:rsidR="005B0ACD" w:rsidRPr="005B0ACD" w:rsidRDefault="005B0ACD" w:rsidP="005B0ACD">
            <w:pPr>
              <w:pStyle w:val="TableText"/>
              <w:jc w:val="center"/>
            </w:pPr>
            <w:r w:rsidRPr="005B0ACD">
              <w:t>11.0</w:t>
            </w:r>
          </w:p>
        </w:tc>
      </w:tr>
      <w:tr w:rsidR="00DF529C" w:rsidRPr="005B0ACD" w:rsidTr="00DF529C">
        <w:trPr>
          <w:cantSplit/>
        </w:trPr>
        <w:tc>
          <w:tcPr>
            <w:tcW w:w="1191" w:type="dxa"/>
            <w:tcBorders>
              <w:top w:val="nil"/>
              <w:bottom w:val="nil"/>
              <w:right w:val="single" w:sz="4" w:space="0" w:color="auto"/>
            </w:tcBorders>
            <w:shd w:val="clear" w:color="auto" w:fill="F2F2F2" w:themeFill="background1" w:themeFillShade="F2"/>
          </w:tcPr>
          <w:p w:rsidR="005B0ACD" w:rsidRPr="005B0ACD" w:rsidRDefault="005B0ACD" w:rsidP="005B0ACD">
            <w:pPr>
              <w:pStyle w:val="TableText"/>
            </w:pPr>
            <w:r w:rsidRPr="005B0ACD">
              <w:t>20–24</w:t>
            </w:r>
          </w:p>
        </w:tc>
        <w:tc>
          <w:tcPr>
            <w:tcW w:w="1027" w:type="dxa"/>
            <w:tcBorders>
              <w:top w:val="nil"/>
              <w:left w:val="single" w:sz="4" w:space="0" w:color="auto"/>
              <w:bottom w:val="nil"/>
              <w:right w:val="nil"/>
            </w:tcBorders>
            <w:shd w:val="clear" w:color="auto" w:fill="F2F2F2" w:themeFill="background1" w:themeFillShade="F2"/>
          </w:tcPr>
          <w:p w:rsidR="005B0ACD" w:rsidRPr="005B0ACD" w:rsidRDefault="005B0ACD" w:rsidP="005B0ACD">
            <w:pPr>
              <w:pStyle w:val="TableText"/>
              <w:jc w:val="center"/>
            </w:pPr>
            <w:r w:rsidRPr="005B0ACD">
              <w:t>6</w:t>
            </w:r>
          </w:p>
        </w:tc>
        <w:tc>
          <w:tcPr>
            <w:tcW w:w="1028" w:type="dxa"/>
            <w:tcBorders>
              <w:top w:val="nil"/>
              <w:left w:val="nil"/>
              <w:bottom w:val="nil"/>
              <w:right w:val="single" w:sz="4" w:space="0" w:color="A6A6A6" w:themeColor="background1" w:themeShade="A6"/>
            </w:tcBorders>
            <w:shd w:val="clear" w:color="auto" w:fill="F2F2F2" w:themeFill="background1" w:themeFillShade="F2"/>
          </w:tcPr>
          <w:p w:rsidR="005B0ACD" w:rsidRPr="005B0ACD" w:rsidRDefault="005B0ACD" w:rsidP="005B0ACD">
            <w:pPr>
              <w:pStyle w:val="TableText"/>
              <w:tabs>
                <w:tab w:val="decimal" w:pos="452"/>
              </w:tabs>
            </w:pPr>
            <w:r w:rsidRPr="005B0ACD">
              <w:t>102.2</w:t>
            </w:r>
          </w:p>
        </w:tc>
        <w:tc>
          <w:tcPr>
            <w:tcW w:w="1028" w:type="dxa"/>
            <w:tcBorders>
              <w:top w:val="nil"/>
              <w:left w:val="single" w:sz="4" w:space="0" w:color="A6A6A6" w:themeColor="background1" w:themeShade="A6"/>
              <w:bottom w:val="nil"/>
              <w:right w:val="nil"/>
            </w:tcBorders>
            <w:shd w:val="clear" w:color="auto" w:fill="F2F2F2" w:themeFill="background1" w:themeFillShade="F2"/>
          </w:tcPr>
          <w:p w:rsidR="005B0ACD" w:rsidRPr="005B0ACD" w:rsidRDefault="005B0ACD" w:rsidP="005B0ACD">
            <w:pPr>
              <w:pStyle w:val="TableText"/>
              <w:tabs>
                <w:tab w:val="decimal" w:pos="563"/>
              </w:tabs>
            </w:pPr>
            <w:r w:rsidRPr="005B0ACD">
              <w:t>22</w:t>
            </w:r>
          </w:p>
        </w:tc>
        <w:tc>
          <w:tcPr>
            <w:tcW w:w="1028" w:type="dxa"/>
            <w:tcBorders>
              <w:top w:val="nil"/>
              <w:left w:val="nil"/>
              <w:bottom w:val="nil"/>
              <w:right w:val="single" w:sz="4" w:space="0" w:color="auto"/>
            </w:tcBorders>
            <w:shd w:val="clear" w:color="auto" w:fill="F2F2F2" w:themeFill="background1" w:themeFillShade="F2"/>
          </w:tcPr>
          <w:p w:rsidR="005B0ACD" w:rsidRPr="005B0ACD" w:rsidRDefault="005B0ACD" w:rsidP="005B0ACD">
            <w:pPr>
              <w:pStyle w:val="TableText"/>
              <w:jc w:val="center"/>
            </w:pPr>
            <w:r w:rsidRPr="005B0ACD">
              <w:t>267.3</w:t>
            </w:r>
          </w:p>
        </w:tc>
        <w:tc>
          <w:tcPr>
            <w:tcW w:w="1027" w:type="dxa"/>
            <w:tcBorders>
              <w:top w:val="nil"/>
              <w:left w:val="single" w:sz="4" w:space="0" w:color="auto"/>
              <w:bottom w:val="nil"/>
              <w:right w:val="nil"/>
            </w:tcBorders>
            <w:shd w:val="clear" w:color="auto" w:fill="F2F2F2" w:themeFill="background1" w:themeFillShade="F2"/>
          </w:tcPr>
          <w:p w:rsidR="005B0ACD" w:rsidRPr="005B0ACD" w:rsidRDefault="005B0ACD" w:rsidP="005B0ACD">
            <w:pPr>
              <w:pStyle w:val="TableText"/>
              <w:tabs>
                <w:tab w:val="decimal" w:pos="563"/>
              </w:tabs>
            </w:pPr>
            <w:r w:rsidRPr="005B0ACD">
              <w:t>10</w:t>
            </w:r>
          </w:p>
        </w:tc>
        <w:tc>
          <w:tcPr>
            <w:tcW w:w="1028" w:type="dxa"/>
            <w:tcBorders>
              <w:top w:val="nil"/>
              <w:left w:val="nil"/>
              <w:bottom w:val="nil"/>
              <w:right w:val="single" w:sz="4" w:space="0" w:color="A6A6A6" w:themeColor="background1" w:themeShade="A6"/>
            </w:tcBorders>
            <w:shd w:val="clear" w:color="auto" w:fill="F2F2F2" w:themeFill="background1" w:themeFillShade="F2"/>
          </w:tcPr>
          <w:p w:rsidR="005B0ACD" w:rsidRPr="005B0ACD" w:rsidRDefault="005B0ACD" w:rsidP="005B0ACD">
            <w:pPr>
              <w:pStyle w:val="TableText"/>
              <w:jc w:val="center"/>
            </w:pPr>
            <w:r w:rsidRPr="005B0ACD">
              <w:t>6.6</w:t>
            </w:r>
          </w:p>
        </w:tc>
        <w:tc>
          <w:tcPr>
            <w:tcW w:w="1028" w:type="dxa"/>
            <w:tcBorders>
              <w:top w:val="nil"/>
              <w:left w:val="single" w:sz="4" w:space="0" w:color="A6A6A6" w:themeColor="background1" w:themeShade="A6"/>
              <w:bottom w:val="nil"/>
              <w:right w:val="nil"/>
            </w:tcBorders>
            <w:shd w:val="clear" w:color="auto" w:fill="F2F2F2" w:themeFill="background1" w:themeFillShade="F2"/>
          </w:tcPr>
          <w:p w:rsidR="005B0ACD" w:rsidRPr="005B0ACD" w:rsidRDefault="005B0ACD" w:rsidP="005B0ACD">
            <w:pPr>
              <w:pStyle w:val="TableText"/>
              <w:jc w:val="center"/>
            </w:pPr>
            <w:r w:rsidRPr="005B0ACD">
              <w:t>32</w:t>
            </w:r>
          </w:p>
        </w:tc>
        <w:tc>
          <w:tcPr>
            <w:tcW w:w="1028" w:type="dxa"/>
            <w:tcBorders>
              <w:top w:val="nil"/>
              <w:left w:val="nil"/>
              <w:bottom w:val="nil"/>
            </w:tcBorders>
            <w:shd w:val="clear" w:color="auto" w:fill="F2F2F2" w:themeFill="background1" w:themeFillShade="F2"/>
          </w:tcPr>
          <w:p w:rsidR="005B0ACD" w:rsidRPr="005B0ACD" w:rsidRDefault="005B0ACD" w:rsidP="005B0ACD">
            <w:pPr>
              <w:pStyle w:val="TableText"/>
              <w:jc w:val="center"/>
            </w:pPr>
            <w:r w:rsidRPr="005B0ACD">
              <w:t>20.0</w:t>
            </w:r>
          </w:p>
        </w:tc>
      </w:tr>
      <w:tr w:rsidR="005B0ACD" w:rsidRPr="005B0ACD" w:rsidTr="00DF529C">
        <w:trPr>
          <w:cantSplit/>
        </w:trPr>
        <w:tc>
          <w:tcPr>
            <w:tcW w:w="1191" w:type="dxa"/>
            <w:tcBorders>
              <w:top w:val="nil"/>
              <w:bottom w:val="nil"/>
              <w:right w:val="single" w:sz="4" w:space="0" w:color="auto"/>
            </w:tcBorders>
          </w:tcPr>
          <w:p w:rsidR="005B0ACD" w:rsidRPr="005B0ACD" w:rsidRDefault="005B0ACD" w:rsidP="005B0ACD">
            <w:pPr>
              <w:pStyle w:val="TableText"/>
            </w:pPr>
            <w:r w:rsidRPr="005B0ACD">
              <w:t>25–29</w:t>
            </w:r>
          </w:p>
        </w:tc>
        <w:tc>
          <w:tcPr>
            <w:tcW w:w="1027" w:type="dxa"/>
            <w:tcBorders>
              <w:top w:val="nil"/>
              <w:left w:val="single" w:sz="4" w:space="0" w:color="auto"/>
              <w:bottom w:val="nil"/>
            </w:tcBorders>
          </w:tcPr>
          <w:p w:rsidR="005B0ACD" w:rsidRPr="005B0ACD" w:rsidRDefault="005B0ACD" w:rsidP="005B0ACD">
            <w:pPr>
              <w:pStyle w:val="TableText"/>
              <w:jc w:val="center"/>
            </w:pPr>
            <w:r w:rsidRPr="005B0ACD">
              <w:t>8</w:t>
            </w:r>
          </w:p>
        </w:tc>
        <w:tc>
          <w:tcPr>
            <w:tcW w:w="1028" w:type="dxa"/>
            <w:tcBorders>
              <w:top w:val="nil"/>
              <w:bottom w:val="nil"/>
              <w:right w:val="single" w:sz="4" w:space="0" w:color="A6A6A6" w:themeColor="background1" w:themeShade="A6"/>
            </w:tcBorders>
          </w:tcPr>
          <w:p w:rsidR="005B0ACD" w:rsidRPr="005B0ACD" w:rsidRDefault="005B0ACD" w:rsidP="005B0ACD">
            <w:pPr>
              <w:pStyle w:val="TableText"/>
              <w:tabs>
                <w:tab w:val="decimal" w:pos="452"/>
              </w:tabs>
            </w:pPr>
            <w:r w:rsidRPr="005B0ACD">
              <w:t>166.7</w:t>
            </w:r>
          </w:p>
        </w:tc>
        <w:tc>
          <w:tcPr>
            <w:tcW w:w="1028" w:type="dxa"/>
            <w:tcBorders>
              <w:top w:val="nil"/>
              <w:left w:val="single" w:sz="4" w:space="0" w:color="A6A6A6" w:themeColor="background1" w:themeShade="A6"/>
              <w:bottom w:val="nil"/>
            </w:tcBorders>
          </w:tcPr>
          <w:p w:rsidR="005B0ACD" w:rsidRPr="005B0ACD" w:rsidRDefault="005B0ACD" w:rsidP="005B0ACD">
            <w:pPr>
              <w:pStyle w:val="TableText"/>
              <w:tabs>
                <w:tab w:val="decimal" w:pos="563"/>
              </w:tabs>
            </w:pPr>
            <w:r w:rsidRPr="005B0ACD">
              <w:t>22</w:t>
            </w:r>
          </w:p>
        </w:tc>
        <w:tc>
          <w:tcPr>
            <w:tcW w:w="1028" w:type="dxa"/>
            <w:tcBorders>
              <w:top w:val="nil"/>
              <w:bottom w:val="nil"/>
              <w:right w:val="single" w:sz="4" w:space="0" w:color="auto"/>
            </w:tcBorders>
          </w:tcPr>
          <w:p w:rsidR="005B0ACD" w:rsidRPr="005B0ACD" w:rsidRDefault="005B0ACD" w:rsidP="005B0ACD">
            <w:pPr>
              <w:pStyle w:val="TableText"/>
              <w:jc w:val="center"/>
            </w:pPr>
            <w:r w:rsidRPr="005B0ACD">
              <w:t>328.5</w:t>
            </w:r>
          </w:p>
        </w:tc>
        <w:tc>
          <w:tcPr>
            <w:tcW w:w="1027" w:type="dxa"/>
            <w:tcBorders>
              <w:top w:val="nil"/>
              <w:left w:val="single" w:sz="4" w:space="0" w:color="auto"/>
              <w:bottom w:val="nil"/>
            </w:tcBorders>
          </w:tcPr>
          <w:p w:rsidR="005B0ACD" w:rsidRPr="005B0ACD" w:rsidRDefault="005B0ACD" w:rsidP="005B0ACD">
            <w:pPr>
              <w:pStyle w:val="TableText"/>
              <w:tabs>
                <w:tab w:val="decimal" w:pos="563"/>
              </w:tabs>
            </w:pPr>
            <w:r w:rsidRPr="005B0ACD">
              <w:t>5</w:t>
            </w:r>
          </w:p>
        </w:tc>
        <w:tc>
          <w:tcPr>
            <w:tcW w:w="1028" w:type="dxa"/>
            <w:tcBorders>
              <w:top w:val="nil"/>
              <w:bottom w:val="nil"/>
              <w:right w:val="single" w:sz="4" w:space="0" w:color="A6A6A6" w:themeColor="background1" w:themeShade="A6"/>
            </w:tcBorders>
          </w:tcPr>
          <w:p w:rsidR="005B0ACD" w:rsidRPr="005B0ACD" w:rsidRDefault="005B0ACD" w:rsidP="005B0ACD">
            <w:pPr>
              <w:pStyle w:val="TableText"/>
              <w:jc w:val="center"/>
            </w:pPr>
            <w:r w:rsidRPr="005B0ACD">
              <w:t>3.5</w:t>
            </w:r>
          </w:p>
        </w:tc>
        <w:tc>
          <w:tcPr>
            <w:tcW w:w="1028" w:type="dxa"/>
            <w:tcBorders>
              <w:top w:val="nil"/>
              <w:left w:val="single" w:sz="4" w:space="0" w:color="A6A6A6" w:themeColor="background1" w:themeShade="A6"/>
              <w:bottom w:val="nil"/>
            </w:tcBorders>
          </w:tcPr>
          <w:p w:rsidR="005B0ACD" w:rsidRPr="005B0ACD" w:rsidRDefault="005B0ACD" w:rsidP="005B0ACD">
            <w:pPr>
              <w:pStyle w:val="TableText"/>
              <w:jc w:val="center"/>
            </w:pPr>
            <w:r w:rsidRPr="005B0ACD">
              <w:t>16</w:t>
            </w:r>
          </w:p>
        </w:tc>
        <w:tc>
          <w:tcPr>
            <w:tcW w:w="1028" w:type="dxa"/>
            <w:tcBorders>
              <w:top w:val="nil"/>
              <w:bottom w:val="nil"/>
            </w:tcBorders>
          </w:tcPr>
          <w:p w:rsidR="005B0ACD" w:rsidRPr="005B0ACD" w:rsidRDefault="005B0ACD" w:rsidP="005B0ACD">
            <w:pPr>
              <w:pStyle w:val="TableText"/>
              <w:jc w:val="center"/>
            </w:pPr>
            <w:r w:rsidRPr="005B0ACD">
              <w:t>11.4</w:t>
            </w:r>
          </w:p>
        </w:tc>
      </w:tr>
      <w:tr w:rsidR="00DF529C" w:rsidRPr="005B0ACD" w:rsidTr="00DF529C">
        <w:trPr>
          <w:cantSplit/>
        </w:trPr>
        <w:tc>
          <w:tcPr>
            <w:tcW w:w="1191" w:type="dxa"/>
            <w:tcBorders>
              <w:top w:val="nil"/>
              <w:bottom w:val="nil"/>
              <w:right w:val="single" w:sz="4" w:space="0" w:color="auto"/>
            </w:tcBorders>
            <w:shd w:val="clear" w:color="auto" w:fill="F2F2F2" w:themeFill="background1" w:themeFillShade="F2"/>
          </w:tcPr>
          <w:p w:rsidR="005B0ACD" w:rsidRPr="005B0ACD" w:rsidRDefault="005B0ACD" w:rsidP="005B0ACD">
            <w:pPr>
              <w:pStyle w:val="TableText"/>
            </w:pPr>
            <w:r w:rsidRPr="005B0ACD">
              <w:t>30–34</w:t>
            </w:r>
          </w:p>
        </w:tc>
        <w:tc>
          <w:tcPr>
            <w:tcW w:w="1027" w:type="dxa"/>
            <w:tcBorders>
              <w:top w:val="nil"/>
              <w:left w:val="single" w:sz="4" w:space="0" w:color="auto"/>
              <w:bottom w:val="nil"/>
              <w:right w:val="nil"/>
            </w:tcBorders>
            <w:shd w:val="clear" w:color="auto" w:fill="F2F2F2" w:themeFill="background1" w:themeFillShade="F2"/>
          </w:tcPr>
          <w:p w:rsidR="005B0ACD" w:rsidRPr="005B0ACD" w:rsidRDefault="005B0ACD" w:rsidP="005B0ACD">
            <w:pPr>
              <w:pStyle w:val="TableText"/>
              <w:jc w:val="center"/>
            </w:pPr>
            <w:r w:rsidRPr="005B0ACD">
              <w:t>4</w:t>
            </w:r>
          </w:p>
        </w:tc>
        <w:tc>
          <w:tcPr>
            <w:tcW w:w="1028" w:type="dxa"/>
            <w:tcBorders>
              <w:top w:val="nil"/>
              <w:left w:val="nil"/>
              <w:bottom w:val="nil"/>
              <w:right w:val="single" w:sz="4" w:space="0" w:color="A6A6A6" w:themeColor="background1" w:themeShade="A6"/>
            </w:tcBorders>
            <w:shd w:val="clear" w:color="auto" w:fill="F2F2F2" w:themeFill="background1" w:themeFillShade="F2"/>
          </w:tcPr>
          <w:p w:rsidR="005B0ACD" w:rsidRPr="005B0ACD" w:rsidRDefault="005B0ACD" w:rsidP="005B0ACD">
            <w:pPr>
              <w:pStyle w:val="TableText"/>
              <w:tabs>
                <w:tab w:val="decimal" w:pos="452"/>
              </w:tabs>
            </w:pPr>
            <w:r w:rsidRPr="005B0ACD">
              <w:t>83.4</w:t>
            </w:r>
          </w:p>
        </w:tc>
        <w:tc>
          <w:tcPr>
            <w:tcW w:w="1028" w:type="dxa"/>
            <w:tcBorders>
              <w:top w:val="nil"/>
              <w:left w:val="single" w:sz="4" w:space="0" w:color="A6A6A6" w:themeColor="background1" w:themeShade="A6"/>
              <w:bottom w:val="nil"/>
              <w:right w:val="nil"/>
            </w:tcBorders>
            <w:shd w:val="clear" w:color="auto" w:fill="F2F2F2" w:themeFill="background1" w:themeFillShade="F2"/>
          </w:tcPr>
          <w:p w:rsidR="005B0ACD" w:rsidRPr="005B0ACD" w:rsidRDefault="005B0ACD" w:rsidP="005B0ACD">
            <w:pPr>
              <w:pStyle w:val="TableText"/>
              <w:tabs>
                <w:tab w:val="decimal" w:pos="563"/>
              </w:tabs>
            </w:pPr>
            <w:r w:rsidRPr="005B0ACD">
              <w:t>14</w:t>
            </w:r>
          </w:p>
        </w:tc>
        <w:tc>
          <w:tcPr>
            <w:tcW w:w="1028" w:type="dxa"/>
            <w:tcBorders>
              <w:top w:val="nil"/>
              <w:left w:val="nil"/>
              <w:bottom w:val="nil"/>
              <w:right w:val="single" w:sz="4" w:space="0" w:color="auto"/>
            </w:tcBorders>
            <w:shd w:val="clear" w:color="auto" w:fill="F2F2F2" w:themeFill="background1" w:themeFillShade="F2"/>
          </w:tcPr>
          <w:p w:rsidR="005B0ACD" w:rsidRPr="005B0ACD" w:rsidRDefault="005B0ACD" w:rsidP="005B0ACD">
            <w:pPr>
              <w:pStyle w:val="TableText"/>
              <w:jc w:val="center"/>
            </w:pPr>
            <w:r w:rsidRPr="005B0ACD">
              <w:t>226.5</w:t>
            </w:r>
          </w:p>
        </w:tc>
        <w:tc>
          <w:tcPr>
            <w:tcW w:w="1027" w:type="dxa"/>
            <w:tcBorders>
              <w:top w:val="nil"/>
              <w:left w:val="single" w:sz="4" w:space="0" w:color="auto"/>
              <w:bottom w:val="nil"/>
              <w:right w:val="nil"/>
            </w:tcBorders>
            <w:shd w:val="clear" w:color="auto" w:fill="F2F2F2" w:themeFill="background1" w:themeFillShade="F2"/>
          </w:tcPr>
          <w:p w:rsidR="005B0ACD" w:rsidRPr="005B0ACD" w:rsidRDefault="005B0ACD" w:rsidP="005B0ACD">
            <w:pPr>
              <w:pStyle w:val="TableText"/>
              <w:tabs>
                <w:tab w:val="decimal" w:pos="563"/>
              </w:tabs>
            </w:pPr>
            <w:r w:rsidRPr="005B0ACD">
              <w:t>5</w:t>
            </w:r>
          </w:p>
        </w:tc>
        <w:tc>
          <w:tcPr>
            <w:tcW w:w="1028" w:type="dxa"/>
            <w:tcBorders>
              <w:top w:val="nil"/>
              <w:left w:val="nil"/>
              <w:bottom w:val="nil"/>
              <w:right w:val="single" w:sz="4" w:space="0" w:color="A6A6A6" w:themeColor="background1" w:themeShade="A6"/>
            </w:tcBorders>
            <w:shd w:val="clear" w:color="auto" w:fill="F2F2F2" w:themeFill="background1" w:themeFillShade="F2"/>
          </w:tcPr>
          <w:p w:rsidR="005B0ACD" w:rsidRPr="005B0ACD" w:rsidRDefault="005B0ACD" w:rsidP="005B0ACD">
            <w:pPr>
              <w:pStyle w:val="TableText"/>
              <w:jc w:val="center"/>
            </w:pPr>
            <w:r w:rsidRPr="005B0ACD">
              <w:t>3.7</w:t>
            </w:r>
          </w:p>
        </w:tc>
        <w:tc>
          <w:tcPr>
            <w:tcW w:w="1028" w:type="dxa"/>
            <w:tcBorders>
              <w:top w:val="nil"/>
              <w:left w:val="single" w:sz="4" w:space="0" w:color="A6A6A6" w:themeColor="background1" w:themeShade="A6"/>
              <w:bottom w:val="nil"/>
              <w:right w:val="nil"/>
            </w:tcBorders>
            <w:shd w:val="clear" w:color="auto" w:fill="F2F2F2" w:themeFill="background1" w:themeFillShade="F2"/>
          </w:tcPr>
          <w:p w:rsidR="005B0ACD" w:rsidRPr="005B0ACD" w:rsidRDefault="005B0ACD" w:rsidP="005B0ACD">
            <w:pPr>
              <w:pStyle w:val="TableText"/>
              <w:jc w:val="center"/>
            </w:pPr>
            <w:r w:rsidRPr="005B0ACD">
              <w:t>19</w:t>
            </w:r>
          </w:p>
        </w:tc>
        <w:tc>
          <w:tcPr>
            <w:tcW w:w="1028" w:type="dxa"/>
            <w:tcBorders>
              <w:top w:val="nil"/>
              <w:left w:val="nil"/>
              <w:bottom w:val="nil"/>
            </w:tcBorders>
            <w:shd w:val="clear" w:color="auto" w:fill="F2F2F2" w:themeFill="background1" w:themeFillShade="F2"/>
          </w:tcPr>
          <w:p w:rsidR="005B0ACD" w:rsidRPr="005B0ACD" w:rsidRDefault="005B0ACD" w:rsidP="005B0ACD">
            <w:pPr>
              <w:pStyle w:val="TableText"/>
              <w:jc w:val="center"/>
            </w:pPr>
            <w:r w:rsidRPr="005B0ACD">
              <w:t>15.2</w:t>
            </w:r>
          </w:p>
        </w:tc>
      </w:tr>
      <w:tr w:rsidR="005B0ACD" w:rsidRPr="005B0ACD" w:rsidTr="00DF529C">
        <w:trPr>
          <w:cantSplit/>
        </w:trPr>
        <w:tc>
          <w:tcPr>
            <w:tcW w:w="1191" w:type="dxa"/>
            <w:tcBorders>
              <w:top w:val="nil"/>
              <w:bottom w:val="nil"/>
              <w:right w:val="single" w:sz="4" w:space="0" w:color="auto"/>
            </w:tcBorders>
          </w:tcPr>
          <w:p w:rsidR="005B0ACD" w:rsidRPr="005B0ACD" w:rsidRDefault="005B0ACD" w:rsidP="005B0ACD">
            <w:pPr>
              <w:pStyle w:val="TableText"/>
            </w:pPr>
            <w:r w:rsidRPr="005B0ACD">
              <w:t>35–39</w:t>
            </w:r>
          </w:p>
        </w:tc>
        <w:tc>
          <w:tcPr>
            <w:tcW w:w="1027" w:type="dxa"/>
            <w:tcBorders>
              <w:top w:val="nil"/>
              <w:left w:val="single" w:sz="4" w:space="0" w:color="auto"/>
              <w:bottom w:val="nil"/>
            </w:tcBorders>
          </w:tcPr>
          <w:p w:rsidR="005B0ACD" w:rsidRPr="005B0ACD" w:rsidRDefault="005B0ACD" w:rsidP="005B0ACD">
            <w:pPr>
              <w:pStyle w:val="TableText"/>
              <w:jc w:val="center"/>
            </w:pPr>
            <w:r w:rsidRPr="005B0ACD">
              <w:t>3</w:t>
            </w:r>
          </w:p>
        </w:tc>
        <w:tc>
          <w:tcPr>
            <w:tcW w:w="1028" w:type="dxa"/>
            <w:tcBorders>
              <w:top w:val="nil"/>
              <w:bottom w:val="nil"/>
              <w:right w:val="single" w:sz="4" w:space="0" w:color="A6A6A6" w:themeColor="background1" w:themeShade="A6"/>
            </w:tcBorders>
          </w:tcPr>
          <w:p w:rsidR="005B0ACD" w:rsidRPr="005B0ACD" w:rsidRDefault="005B0ACD" w:rsidP="005B0ACD">
            <w:pPr>
              <w:pStyle w:val="TableText"/>
              <w:tabs>
                <w:tab w:val="decimal" w:pos="452"/>
              </w:tabs>
            </w:pPr>
            <w:r w:rsidRPr="005B0ACD">
              <w:t>58.5</w:t>
            </w:r>
          </w:p>
        </w:tc>
        <w:tc>
          <w:tcPr>
            <w:tcW w:w="1028" w:type="dxa"/>
            <w:tcBorders>
              <w:top w:val="nil"/>
              <w:left w:val="single" w:sz="4" w:space="0" w:color="A6A6A6" w:themeColor="background1" w:themeShade="A6"/>
              <w:bottom w:val="nil"/>
            </w:tcBorders>
          </w:tcPr>
          <w:p w:rsidR="005B0ACD" w:rsidRPr="005B0ACD" w:rsidRDefault="005B0ACD" w:rsidP="005B0ACD">
            <w:pPr>
              <w:pStyle w:val="TableText"/>
              <w:tabs>
                <w:tab w:val="decimal" w:pos="563"/>
              </w:tabs>
            </w:pPr>
            <w:r w:rsidRPr="005B0ACD">
              <w:t>11</w:t>
            </w:r>
          </w:p>
        </w:tc>
        <w:tc>
          <w:tcPr>
            <w:tcW w:w="1028" w:type="dxa"/>
            <w:tcBorders>
              <w:top w:val="nil"/>
              <w:bottom w:val="nil"/>
              <w:right w:val="single" w:sz="4" w:space="0" w:color="auto"/>
            </w:tcBorders>
          </w:tcPr>
          <w:p w:rsidR="005B0ACD" w:rsidRPr="005B0ACD" w:rsidRDefault="005B0ACD" w:rsidP="005B0ACD">
            <w:pPr>
              <w:pStyle w:val="TableText"/>
              <w:jc w:val="center"/>
            </w:pPr>
            <w:r w:rsidRPr="005B0ACD">
              <w:t>172.0</w:t>
            </w:r>
          </w:p>
        </w:tc>
        <w:tc>
          <w:tcPr>
            <w:tcW w:w="1027" w:type="dxa"/>
            <w:tcBorders>
              <w:top w:val="nil"/>
              <w:left w:val="single" w:sz="4" w:space="0" w:color="auto"/>
              <w:bottom w:val="nil"/>
            </w:tcBorders>
          </w:tcPr>
          <w:p w:rsidR="005B0ACD" w:rsidRPr="005B0ACD" w:rsidRDefault="005B0ACD" w:rsidP="005B0ACD">
            <w:pPr>
              <w:pStyle w:val="TableText"/>
              <w:tabs>
                <w:tab w:val="decimal" w:pos="563"/>
              </w:tabs>
            </w:pPr>
            <w:r w:rsidRPr="005B0ACD">
              <w:t>6</w:t>
            </w:r>
          </w:p>
        </w:tc>
        <w:tc>
          <w:tcPr>
            <w:tcW w:w="1028" w:type="dxa"/>
            <w:tcBorders>
              <w:top w:val="nil"/>
              <w:bottom w:val="nil"/>
              <w:right w:val="single" w:sz="4" w:space="0" w:color="A6A6A6" w:themeColor="background1" w:themeShade="A6"/>
            </w:tcBorders>
          </w:tcPr>
          <w:p w:rsidR="005B0ACD" w:rsidRPr="005B0ACD" w:rsidRDefault="005B0ACD" w:rsidP="005B0ACD">
            <w:pPr>
              <w:pStyle w:val="TableText"/>
              <w:jc w:val="center"/>
            </w:pPr>
            <w:r w:rsidRPr="005B0ACD">
              <w:t>4.1</w:t>
            </w:r>
          </w:p>
        </w:tc>
        <w:tc>
          <w:tcPr>
            <w:tcW w:w="1028" w:type="dxa"/>
            <w:tcBorders>
              <w:top w:val="nil"/>
              <w:left w:val="single" w:sz="4" w:space="0" w:color="A6A6A6" w:themeColor="background1" w:themeShade="A6"/>
              <w:bottom w:val="nil"/>
            </w:tcBorders>
          </w:tcPr>
          <w:p w:rsidR="005B0ACD" w:rsidRPr="005B0ACD" w:rsidRDefault="005B0ACD" w:rsidP="005B0ACD">
            <w:pPr>
              <w:pStyle w:val="TableText"/>
              <w:jc w:val="center"/>
            </w:pPr>
            <w:r w:rsidRPr="005B0ACD">
              <w:t>18</w:t>
            </w:r>
          </w:p>
        </w:tc>
        <w:tc>
          <w:tcPr>
            <w:tcW w:w="1028" w:type="dxa"/>
            <w:tcBorders>
              <w:top w:val="nil"/>
              <w:bottom w:val="nil"/>
            </w:tcBorders>
          </w:tcPr>
          <w:p w:rsidR="005B0ACD" w:rsidRPr="005B0ACD" w:rsidRDefault="005B0ACD" w:rsidP="005B0ACD">
            <w:pPr>
              <w:pStyle w:val="TableText"/>
              <w:jc w:val="center"/>
            </w:pPr>
            <w:r w:rsidRPr="005B0ACD">
              <w:t>13.7</w:t>
            </w:r>
          </w:p>
        </w:tc>
      </w:tr>
      <w:tr w:rsidR="00DF529C" w:rsidRPr="005B0ACD" w:rsidTr="00DF529C">
        <w:trPr>
          <w:cantSplit/>
        </w:trPr>
        <w:tc>
          <w:tcPr>
            <w:tcW w:w="1191" w:type="dxa"/>
            <w:tcBorders>
              <w:top w:val="nil"/>
              <w:bottom w:val="nil"/>
              <w:right w:val="single" w:sz="4" w:space="0" w:color="auto"/>
            </w:tcBorders>
            <w:shd w:val="clear" w:color="auto" w:fill="F2F2F2" w:themeFill="background1" w:themeFillShade="F2"/>
          </w:tcPr>
          <w:p w:rsidR="005B0ACD" w:rsidRPr="005B0ACD" w:rsidRDefault="005B0ACD" w:rsidP="005B0ACD">
            <w:pPr>
              <w:pStyle w:val="TableText"/>
            </w:pPr>
            <w:r w:rsidRPr="005B0ACD">
              <w:t>40–44</w:t>
            </w:r>
          </w:p>
        </w:tc>
        <w:tc>
          <w:tcPr>
            <w:tcW w:w="1027" w:type="dxa"/>
            <w:tcBorders>
              <w:top w:val="nil"/>
              <w:left w:val="single" w:sz="4" w:space="0" w:color="auto"/>
              <w:bottom w:val="nil"/>
              <w:right w:val="nil"/>
            </w:tcBorders>
            <w:shd w:val="clear" w:color="auto" w:fill="F2F2F2" w:themeFill="background1" w:themeFillShade="F2"/>
          </w:tcPr>
          <w:p w:rsidR="005B0ACD" w:rsidRPr="005B0ACD" w:rsidRDefault="005B0ACD" w:rsidP="005B0ACD">
            <w:pPr>
              <w:pStyle w:val="TableText"/>
              <w:jc w:val="center"/>
            </w:pPr>
            <w:r w:rsidRPr="005B0ACD">
              <w:t>4</w:t>
            </w:r>
          </w:p>
        </w:tc>
        <w:tc>
          <w:tcPr>
            <w:tcW w:w="1028" w:type="dxa"/>
            <w:tcBorders>
              <w:top w:val="nil"/>
              <w:left w:val="nil"/>
              <w:bottom w:val="nil"/>
              <w:right w:val="single" w:sz="4" w:space="0" w:color="A6A6A6" w:themeColor="background1" w:themeShade="A6"/>
            </w:tcBorders>
            <w:shd w:val="clear" w:color="auto" w:fill="F2F2F2" w:themeFill="background1" w:themeFillShade="F2"/>
          </w:tcPr>
          <w:p w:rsidR="005B0ACD" w:rsidRPr="005B0ACD" w:rsidRDefault="005B0ACD" w:rsidP="005B0ACD">
            <w:pPr>
              <w:pStyle w:val="TableText"/>
              <w:tabs>
                <w:tab w:val="decimal" w:pos="452"/>
              </w:tabs>
            </w:pPr>
            <w:r w:rsidRPr="005B0ACD">
              <w:t>75.4</w:t>
            </w:r>
          </w:p>
        </w:tc>
        <w:tc>
          <w:tcPr>
            <w:tcW w:w="1028" w:type="dxa"/>
            <w:tcBorders>
              <w:top w:val="nil"/>
              <w:left w:val="single" w:sz="4" w:space="0" w:color="A6A6A6" w:themeColor="background1" w:themeShade="A6"/>
              <w:bottom w:val="nil"/>
              <w:right w:val="nil"/>
            </w:tcBorders>
            <w:shd w:val="clear" w:color="auto" w:fill="F2F2F2" w:themeFill="background1" w:themeFillShade="F2"/>
          </w:tcPr>
          <w:p w:rsidR="005B0ACD" w:rsidRPr="005B0ACD" w:rsidRDefault="005B0ACD" w:rsidP="005B0ACD">
            <w:pPr>
              <w:pStyle w:val="TableText"/>
              <w:tabs>
                <w:tab w:val="decimal" w:pos="563"/>
              </w:tabs>
            </w:pPr>
            <w:r w:rsidRPr="005B0ACD">
              <w:t>14</w:t>
            </w:r>
          </w:p>
        </w:tc>
        <w:tc>
          <w:tcPr>
            <w:tcW w:w="1028" w:type="dxa"/>
            <w:tcBorders>
              <w:top w:val="nil"/>
              <w:left w:val="nil"/>
              <w:bottom w:val="nil"/>
              <w:right w:val="single" w:sz="4" w:space="0" w:color="auto"/>
            </w:tcBorders>
            <w:shd w:val="clear" w:color="auto" w:fill="F2F2F2" w:themeFill="background1" w:themeFillShade="F2"/>
          </w:tcPr>
          <w:p w:rsidR="005B0ACD" w:rsidRPr="005B0ACD" w:rsidRDefault="005B0ACD" w:rsidP="005B0ACD">
            <w:pPr>
              <w:pStyle w:val="TableText"/>
              <w:jc w:val="center"/>
            </w:pPr>
            <w:r w:rsidRPr="005B0ACD">
              <w:t>216.8</w:t>
            </w:r>
          </w:p>
        </w:tc>
        <w:tc>
          <w:tcPr>
            <w:tcW w:w="1027" w:type="dxa"/>
            <w:tcBorders>
              <w:top w:val="nil"/>
              <w:left w:val="single" w:sz="4" w:space="0" w:color="auto"/>
              <w:bottom w:val="nil"/>
              <w:right w:val="nil"/>
            </w:tcBorders>
            <w:shd w:val="clear" w:color="auto" w:fill="F2F2F2" w:themeFill="background1" w:themeFillShade="F2"/>
          </w:tcPr>
          <w:p w:rsidR="005B0ACD" w:rsidRPr="005B0ACD" w:rsidRDefault="005B0ACD" w:rsidP="005B0ACD">
            <w:pPr>
              <w:pStyle w:val="TableText"/>
              <w:tabs>
                <w:tab w:val="decimal" w:pos="563"/>
              </w:tabs>
            </w:pPr>
            <w:r w:rsidRPr="005B0ACD">
              <w:t>2</w:t>
            </w:r>
          </w:p>
        </w:tc>
        <w:tc>
          <w:tcPr>
            <w:tcW w:w="1028" w:type="dxa"/>
            <w:tcBorders>
              <w:top w:val="nil"/>
              <w:left w:val="nil"/>
              <w:bottom w:val="nil"/>
              <w:right w:val="single" w:sz="4" w:space="0" w:color="A6A6A6" w:themeColor="background1" w:themeShade="A6"/>
            </w:tcBorders>
            <w:shd w:val="clear" w:color="auto" w:fill="F2F2F2" w:themeFill="background1" w:themeFillShade="F2"/>
          </w:tcPr>
          <w:p w:rsidR="005B0ACD" w:rsidRPr="005B0ACD" w:rsidRDefault="005B0ACD" w:rsidP="005B0ACD">
            <w:pPr>
              <w:pStyle w:val="TableText"/>
              <w:jc w:val="center"/>
            </w:pPr>
            <w:r w:rsidRPr="005B0ACD">
              <w:t>1.3</w:t>
            </w:r>
          </w:p>
        </w:tc>
        <w:tc>
          <w:tcPr>
            <w:tcW w:w="1028" w:type="dxa"/>
            <w:tcBorders>
              <w:top w:val="nil"/>
              <w:left w:val="single" w:sz="4" w:space="0" w:color="A6A6A6" w:themeColor="background1" w:themeShade="A6"/>
              <w:bottom w:val="nil"/>
              <w:right w:val="nil"/>
            </w:tcBorders>
            <w:shd w:val="clear" w:color="auto" w:fill="F2F2F2" w:themeFill="background1" w:themeFillShade="F2"/>
          </w:tcPr>
          <w:p w:rsidR="005B0ACD" w:rsidRPr="005B0ACD" w:rsidRDefault="005B0ACD" w:rsidP="005B0ACD">
            <w:pPr>
              <w:pStyle w:val="TableText"/>
              <w:jc w:val="center"/>
            </w:pPr>
            <w:r w:rsidRPr="005B0ACD">
              <w:t>19</w:t>
            </w:r>
          </w:p>
        </w:tc>
        <w:tc>
          <w:tcPr>
            <w:tcW w:w="1028" w:type="dxa"/>
            <w:tcBorders>
              <w:top w:val="nil"/>
              <w:left w:val="nil"/>
              <w:bottom w:val="nil"/>
            </w:tcBorders>
            <w:shd w:val="clear" w:color="auto" w:fill="F2F2F2" w:themeFill="background1" w:themeFillShade="F2"/>
          </w:tcPr>
          <w:p w:rsidR="005B0ACD" w:rsidRPr="005B0ACD" w:rsidRDefault="005B0ACD" w:rsidP="005B0ACD">
            <w:pPr>
              <w:pStyle w:val="TableText"/>
              <w:jc w:val="center"/>
            </w:pPr>
            <w:r w:rsidRPr="005B0ACD">
              <w:t>13.3</w:t>
            </w:r>
          </w:p>
        </w:tc>
      </w:tr>
      <w:tr w:rsidR="005B0ACD" w:rsidRPr="005B0ACD" w:rsidTr="00DF529C">
        <w:trPr>
          <w:cantSplit/>
        </w:trPr>
        <w:tc>
          <w:tcPr>
            <w:tcW w:w="1191" w:type="dxa"/>
            <w:tcBorders>
              <w:top w:val="nil"/>
              <w:bottom w:val="nil"/>
              <w:right w:val="single" w:sz="4" w:space="0" w:color="auto"/>
            </w:tcBorders>
          </w:tcPr>
          <w:p w:rsidR="005B0ACD" w:rsidRPr="005B0ACD" w:rsidRDefault="005B0ACD" w:rsidP="005B0ACD">
            <w:pPr>
              <w:pStyle w:val="TableText"/>
            </w:pPr>
            <w:r w:rsidRPr="005B0ACD">
              <w:t>45–49</w:t>
            </w:r>
          </w:p>
        </w:tc>
        <w:tc>
          <w:tcPr>
            <w:tcW w:w="1027" w:type="dxa"/>
            <w:tcBorders>
              <w:top w:val="nil"/>
              <w:left w:val="single" w:sz="4" w:space="0" w:color="auto"/>
              <w:bottom w:val="nil"/>
            </w:tcBorders>
          </w:tcPr>
          <w:p w:rsidR="005B0ACD" w:rsidRPr="005B0ACD" w:rsidRDefault="005B0ACD" w:rsidP="005B0ACD">
            <w:pPr>
              <w:pStyle w:val="TableText"/>
              <w:jc w:val="center"/>
            </w:pPr>
            <w:r w:rsidRPr="005B0ACD">
              <w:t>7</w:t>
            </w:r>
          </w:p>
        </w:tc>
        <w:tc>
          <w:tcPr>
            <w:tcW w:w="1028" w:type="dxa"/>
            <w:tcBorders>
              <w:top w:val="nil"/>
              <w:bottom w:val="nil"/>
              <w:right w:val="single" w:sz="4" w:space="0" w:color="A6A6A6" w:themeColor="background1" w:themeShade="A6"/>
            </w:tcBorders>
          </w:tcPr>
          <w:p w:rsidR="005B0ACD" w:rsidRPr="005B0ACD" w:rsidRDefault="005B0ACD" w:rsidP="005B0ACD">
            <w:pPr>
              <w:pStyle w:val="TableText"/>
              <w:tabs>
                <w:tab w:val="decimal" w:pos="452"/>
              </w:tabs>
            </w:pPr>
            <w:r w:rsidRPr="005B0ACD">
              <w:t>150.9</w:t>
            </w:r>
          </w:p>
        </w:tc>
        <w:tc>
          <w:tcPr>
            <w:tcW w:w="1028" w:type="dxa"/>
            <w:tcBorders>
              <w:top w:val="nil"/>
              <w:left w:val="single" w:sz="4" w:space="0" w:color="A6A6A6" w:themeColor="background1" w:themeShade="A6"/>
              <w:bottom w:val="nil"/>
            </w:tcBorders>
          </w:tcPr>
          <w:p w:rsidR="005B0ACD" w:rsidRPr="005B0ACD" w:rsidRDefault="005B0ACD" w:rsidP="005B0ACD">
            <w:pPr>
              <w:pStyle w:val="TableText"/>
              <w:tabs>
                <w:tab w:val="decimal" w:pos="563"/>
              </w:tabs>
            </w:pPr>
            <w:r w:rsidRPr="005B0ACD">
              <w:t>17</w:t>
            </w:r>
          </w:p>
        </w:tc>
        <w:tc>
          <w:tcPr>
            <w:tcW w:w="1028" w:type="dxa"/>
            <w:tcBorders>
              <w:top w:val="nil"/>
              <w:bottom w:val="nil"/>
              <w:right w:val="single" w:sz="4" w:space="0" w:color="auto"/>
            </w:tcBorders>
          </w:tcPr>
          <w:p w:rsidR="005B0ACD" w:rsidRPr="005B0ACD" w:rsidRDefault="005B0ACD" w:rsidP="005B0ACD">
            <w:pPr>
              <w:pStyle w:val="TableText"/>
              <w:jc w:val="center"/>
            </w:pPr>
            <w:r w:rsidRPr="005B0ACD">
              <w:t>305.4</w:t>
            </w:r>
          </w:p>
        </w:tc>
        <w:tc>
          <w:tcPr>
            <w:tcW w:w="1027" w:type="dxa"/>
            <w:tcBorders>
              <w:top w:val="nil"/>
              <w:left w:val="single" w:sz="4" w:space="0" w:color="auto"/>
              <w:bottom w:val="nil"/>
            </w:tcBorders>
          </w:tcPr>
          <w:p w:rsidR="005B0ACD" w:rsidRPr="005B0ACD" w:rsidRDefault="005B0ACD" w:rsidP="005B0ACD">
            <w:pPr>
              <w:pStyle w:val="TableText"/>
              <w:tabs>
                <w:tab w:val="decimal" w:pos="563"/>
              </w:tabs>
            </w:pPr>
            <w:r w:rsidRPr="005B0ACD">
              <w:t>3</w:t>
            </w:r>
          </w:p>
        </w:tc>
        <w:tc>
          <w:tcPr>
            <w:tcW w:w="1028" w:type="dxa"/>
            <w:tcBorders>
              <w:top w:val="nil"/>
              <w:bottom w:val="nil"/>
              <w:right w:val="single" w:sz="4" w:space="0" w:color="A6A6A6" w:themeColor="background1" w:themeShade="A6"/>
            </w:tcBorders>
          </w:tcPr>
          <w:p w:rsidR="005B0ACD" w:rsidRPr="005B0ACD" w:rsidRDefault="005B0ACD" w:rsidP="005B0ACD">
            <w:pPr>
              <w:pStyle w:val="TableText"/>
              <w:jc w:val="center"/>
            </w:pPr>
            <w:r w:rsidRPr="005B0ACD">
              <w:t>1.9</w:t>
            </w:r>
          </w:p>
        </w:tc>
        <w:tc>
          <w:tcPr>
            <w:tcW w:w="1028" w:type="dxa"/>
            <w:tcBorders>
              <w:top w:val="nil"/>
              <w:left w:val="single" w:sz="4" w:space="0" w:color="A6A6A6" w:themeColor="background1" w:themeShade="A6"/>
              <w:bottom w:val="nil"/>
            </w:tcBorders>
          </w:tcPr>
          <w:p w:rsidR="005B0ACD" w:rsidRPr="005B0ACD" w:rsidRDefault="005B0ACD" w:rsidP="005B0ACD">
            <w:pPr>
              <w:pStyle w:val="TableText"/>
              <w:jc w:val="center"/>
            </w:pPr>
            <w:r w:rsidRPr="005B0ACD">
              <w:t>24</w:t>
            </w:r>
          </w:p>
        </w:tc>
        <w:tc>
          <w:tcPr>
            <w:tcW w:w="1028" w:type="dxa"/>
            <w:tcBorders>
              <w:top w:val="nil"/>
              <w:bottom w:val="nil"/>
            </w:tcBorders>
          </w:tcPr>
          <w:p w:rsidR="005B0ACD" w:rsidRPr="005B0ACD" w:rsidRDefault="005B0ACD" w:rsidP="005B0ACD">
            <w:pPr>
              <w:pStyle w:val="TableText"/>
              <w:jc w:val="center"/>
            </w:pPr>
            <w:r w:rsidRPr="005B0ACD">
              <w:t>16.1</w:t>
            </w:r>
          </w:p>
        </w:tc>
      </w:tr>
      <w:tr w:rsidR="00DF529C" w:rsidRPr="005B0ACD" w:rsidTr="00DF529C">
        <w:trPr>
          <w:cantSplit/>
        </w:trPr>
        <w:tc>
          <w:tcPr>
            <w:tcW w:w="1191" w:type="dxa"/>
            <w:tcBorders>
              <w:top w:val="nil"/>
              <w:bottom w:val="nil"/>
              <w:right w:val="single" w:sz="4" w:space="0" w:color="auto"/>
            </w:tcBorders>
            <w:shd w:val="clear" w:color="auto" w:fill="F2F2F2" w:themeFill="background1" w:themeFillShade="F2"/>
          </w:tcPr>
          <w:p w:rsidR="005B0ACD" w:rsidRPr="005B0ACD" w:rsidRDefault="005B0ACD" w:rsidP="005B0ACD">
            <w:pPr>
              <w:pStyle w:val="TableText"/>
            </w:pPr>
            <w:r w:rsidRPr="005B0ACD">
              <w:t>50–54</w:t>
            </w:r>
          </w:p>
        </w:tc>
        <w:tc>
          <w:tcPr>
            <w:tcW w:w="1027" w:type="dxa"/>
            <w:tcBorders>
              <w:top w:val="nil"/>
              <w:left w:val="single" w:sz="4" w:space="0" w:color="auto"/>
              <w:bottom w:val="nil"/>
              <w:right w:val="nil"/>
            </w:tcBorders>
            <w:shd w:val="clear" w:color="auto" w:fill="F2F2F2" w:themeFill="background1" w:themeFillShade="F2"/>
          </w:tcPr>
          <w:p w:rsidR="005B0ACD" w:rsidRPr="005B0ACD" w:rsidRDefault="005B0ACD" w:rsidP="005B0ACD">
            <w:pPr>
              <w:pStyle w:val="TableText"/>
              <w:jc w:val="center"/>
            </w:pPr>
            <w:r w:rsidRPr="005B0ACD">
              <w:t>3</w:t>
            </w:r>
          </w:p>
        </w:tc>
        <w:tc>
          <w:tcPr>
            <w:tcW w:w="1028" w:type="dxa"/>
            <w:tcBorders>
              <w:top w:val="nil"/>
              <w:left w:val="nil"/>
              <w:bottom w:val="nil"/>
              <w:right w:val="single" w:sz="4" w:space="0" w:color="A6A6A6" w:themeColor="background1" w:themeShade="A6"/>
            </w:tcBorders>
            <w:shd w:val="clear" w:color="auto" w:fill="F2F2F2" w:themeFill="background1" w:themeFillShade="F2"/>
          </w:tcPr>
          <w:p w:rsidR="005B0ACD" w:rsidRPr="005B0ACD" w:rsidRDefault="005B0ACD" w:rsidP="005B0ACD">
            <w:pPr>
              <w:pStyle w:val="TableText"/>
              <w:tabs>
                <w:tab w:val="decimal" w:pos="452"/>
              </w:tabs>
            </w:pPr>
            <w:r w:rsidRPr="005B0ACD">
              <w:t>79.6</w:t>
            </w:r>
          </w:p>
        </w:tc>
        <w:tc>
          <w:tcPr>
            <w:tcW w:w="1028" w:type="dxa"/>
            <w:tcBorders>
              <w:top w:val="nil"/>
              <w:left w:val="single" w:sz="4" w:space="0" w:color="A6A6A6" w:themeColor="background1" w:themeShade="A6"/>
              <w:bottom w:val="nil"/>
              <w:right w:val="nil"/>
            </w:tcBorders>
            <w:shd w:val="clear" w:color="auto" w:fill="F2F2F2" w:themeFill="background1" w:themeFillShade="F2"/>
          </w:tcPr>
          <w:p w:rsidR="005B0ACD" w:rsidRPr="005B0ACD" w:rsidRDefault="005B0ACD" w:rsidP="005B0ACD">
            <w:pPr>
              <w:pStyle w:val="TableText"/>
              <w:tabs>
                <w:tab w:val="decimal" w:pos="563"/>
              </w:tabs>
            </w:pPr>
            <w:r w:rsidRPr="005B0ACD">
              <w:t>12</w:t>
            </w:r>
          </w:p>
        </w:tc>
        <w:tc>
          <w:tcPr>
            <w:tcW w:w="1028" w:type="dxa"/>
            <w:tcBorders>
              <w:top w:val="nil"/>
              <w:left w:val="nil"/>
              <w:bottom w:val="nil"/>
              <w:right w:val="single" w:sz="4" w:space="0" w:color="auto"/>
            </w:tcBorders>
            <w:shd w:val="clear" w:color="auto" w:fill="F2F2F2" w:themeFill="background1" w:themeFillShade="F2"/>
          </w:tcPr>
          <w:p w:rsidR="005B0ACD" w:rsidRPr="005B0ACD" w:rsidRDefault="005B0ACD" w:rsidP="005B0ACD">
            <w:pPr>
              <w:pStyle w:val="TableText"/>
              <w:jc w:val="center"/>
            </w:pPr>
            <w:r w:rsidRPr="005B0ACD">
              <w:t>276.2</w:t>
            </w:r>
          </w:p>
        </w:tc>
        <w:tc>
          <w:tcPr>
            <w:tcW w:w="1027" w:type="dxa"/>
            <w:tcBorders>
              <w:top w:val="nil"/>
              <w:left w:val="single" w:sz="4" w:space="0" w:color="auto"/>
              <w:bottom w:val="nil"/>
              <w:right w:val="nil"/>
            </w:tcBorders>
            <w:shd w:val="clear" w:color="auto" w:fill="F2F2F2" w:themeFill="background1" w:themeFillShade="F2"/>
          </w:tcPr>
          <w:p w:rsidR="005B0ACD" w:rsidRPr="005B0ACD" w:rsidRDefault="005B0ACD" w:rsidP="005B0ACD">
            <w:pPr>
              <w:pStyle w:val="TableText"/>
              <w:tabs>
                <w:tab w:val="decimal" w:pos="563"/>
              </w:tabs>
            </w:pPr>
            <w:r w:rsidRPr="005B0ACD">
              <w:t>7</w:t>
            </w:r>
          </w:p>
        </w:tc>
        <w:tc>
          <w:tcPr>
            <w:tcW w:w="1028" w:type="dxa"/>
            <w:tcBorders>
              <w:top w:val="nil"/>
              <w:left w:val="nil"/>
              <w:bottom w:val="nil"/>
              <w:right w:val="single" w:sz="4" w:space="0" w:color="A6A6A6" w:themeColor="background1" w:themeShade="A6"/>
            </w:tcBorders>
            <w:shd w:val="clear" w:color="auto" w:fill="F2F2F2" w:themeFill="background1" w:themeFillShade="F2"/>
          </w:tcPr>
          <w:p w:rsidR="005B0ACD" w:rsidRPr="005B0ACD" w:rsidRDefault="005B0ACD" w:rsidP="005B0ACD">
            <w:pPr>
              <w:pStyle w:val="TableText"/>
              <w:jc w:val="center"/>
            </w:pPr>
            <w:r w:rsidRPr="005B0ACD">
              <w:t>4.7</w:t>
            </w:r>
          </w:p>
        </w:tc>
        <w:tc>
          <w:tcPr>
            <w:tcW w:w="1028" w:type="dxa"/>
            <w:tcBorders>
              <w:top w:val="nil"/>
              <w:left w:val="single" w:sz="4" w:space="0" w:color="A6A6A6" w:themeColor="background1" w:themeShade="A6"/>
              <w:bottom w:val="nil"/>
              <w:right w:val="nil"/>
            </w:tcBorders>
            <w:shd w:val="clear" w:color="auto" w:fill="F2F2F2" w:themeFill="background1" w:themeFillShade="F2"/>
          </w:tcPr>
          <w:p w:rsidR="005B0ACD" w:rsidRPr="005B0ACD" w:rsidRDefault="005B0ACD" w:rsidP="005B0ACD">
            <w:pPr>
              <w:pStyle w:val="TableText"/>
              <w:jc w:val="center"/>
            </w:pPr>
            <w:r w:rsidRPr="005B0ACD">
              <w:t>20</w:t>
            </w:r>
          </w:p>
        </w:tc>
        <w:tc>
          <w:tcPr>
            <w:tcW w:w="1028" w:type="dxa"/>
            <w:tcBorders>
              <w:top w:val="nil"/>
              <w:left w:val="nil"/>
              <w:bottom w:val="nil"/>
            </w:tcBorders>
            <w:shd w:val="clear" w:color="auto" w:fill="F2F2F2" w:themeFill="background1" w:themeFillShade="F2"/>
          </w:tcPr>
          <w:p w:rsidR="005B0ACD" w:rsidRPr="005B0ACD" w:rsidRDefault="005B0ACD" w:rsidP="005B0ACD">
            <w:pPr>
              <w:pStyle w:val="TableText"/>
              <w:jc w:val="center"/>
            </w:pPr>
            <w:r w:rsidRPr="005B0ACD">
              <w:t>14.2</w:t>
            </w:r>
          </w:p>
        </w:tc>
      </w:tr>
      <w:tr w:rsidR="005B0ACD" w:rsidRPr="005B0ACD" w:rsidTr="00DF529C">
        <w:trPr>
          <w:cantSplit/>
        </w:trPr>
        <w:tc>
          <w:tcPr>
            <w:tcW w:w="1191" w:type="dxa"/>
            <w:tcBorders>
              <w:top w:val="nil"/>
              <w:bottom w:val="nil"/>
              <w:right w:val="single" w:sz="4" w:space="0" w:color="auto"/>
            </w:tcBorders>
          </w:tcPr>
          <w:p w:rsidR="005B0ACD" w:rsidRPr="005B0ACD" w:rsidRDefault="005B0ACD" w:rsidP="005B0ACD">
            <w:pPr>
              <w:pStyle w:val="TableText"/>
            </w:pPr>
            <w:r w:rsidRPr="005B0ACD">
              <w:t>55–59</w:t>
            </w:r>
          </w:p>
        </w:tc>
        <w:tc>
          <w:tcPr>
            <w:tcW w:w="1027" w:type="dxa"/>
            <w:tcBorders>
              <w:top w:val="nil"/>
              <w:left w:val="single" w:sz="4" w:space="0" w:color="auto"/>
              <w:bottom w:val="nil"/>
            </w:tcBorders>
          </w:tcPr>
          <w:p w:rsidR="005B0ACD" w:rsidRPr="005B0ACD" w:rsidRDefault="005B0ACD" w:rsidP="005B0ACD">
            <w:pPr>
              <w:pStyle w:val="TableText"/>
              <w:jc w:val="center"/>
            </w:pPr>
            <w:r w:rsidRPr="005B0ACD">
              <w:t>3</w:t>
            </w:r>
          </w:p>
        </w:tc>
        <w:tc>
          <w:tcPr>
            <w:tcW w:w="1028" w:type="dxa"/>
            <w:tcBorders>
              <w:top w:val="nil"/>
              <w:bottom w:val="nil"/>
              <w:right w:val="single" w:sz="4" w:space="0" w:color="A6A6A6" w:themeColor="background1" w:themeShade="A6"/>
            </w:tcBorders>
          </w:tcPr>
          <w:p w:rsidR="005B0ACD" w:rsidRPr="005B0ACD" w:rsidRDefault="005B0ACD" w:rsidP="005B0ACD">
            <w:pPr>
              <w:pStyle w:val="TableText"/>
              <w:tabs>
                <w:tab w:val="decimal" w:pos="452"/>
              </w:tabs>
            </w:pPr>
            <w:r w:rsidRPr="005B0ACD">
              <w:t>108.7</w:t>
            </w:r>
          </w:p>
        </w:tc>
        <w:tc>
          <w:tcPr>
            <w:tcW w:w="1028" w:type="dxa"/>
            <w:tcBorders>
              <w:top w:val="nil"/>
              <w:left w:val="single" w:sz="4" w:space="0" w:color="A6A6A6" w:themeColor="background1" w:themeShade="A6"/>
              <w:bottom w:val="nil"/>
            </w:tcBorders>
          </w:tcPr>
          <w:p w:rsidR="005B0ACD" w:rsidRPr="005B0ACD" w:rsidRDefault="005B0ACD" w:rsidP="005B0ACD">
            <w:pPr>
              <w:pStyle w:val="TableText"/>
              <w:tabs>
                <w:tab w:val="decimal" w:pos="563"/>
              </w:tabs>
            </w:pPr>
            <w:r w:rsidRPr="005B0ACD">
              <w:t>9</w:t>
            </w:r>
          </w:p>
        </w:tc>
        <w:tc>
          <w:tcPr>
            <w:tcW w:w="1028" w:type="dxa"/>
            <w:tcBorders>
              <w:top w:val="nil"/>
              <w:bottom w:val="nil"/>
              <w:right w:val="single" w:sz="4" w:space="0" w:color="auto"/>
            </w:tcBorders>
          </w:tcPr>
          <w:p w:rsidR="005B0ACD" w:rsidRPr="005B0ACD" w:rsidRDefault="005B0ACD" w:rsidP="005B0ACD">
            <w:pPr>
              <w:pStyle w:val="TableText"/>
              <w:jc w:val="center"/>
            </w:pPr>
            <w:r w:rsidRPr="005B0ACD">
              <w:t>311.0</w:t>
            </w:r>
          </w:p>
        </w:tc>
        <w:tc>
          <w:tcPr>
            <w:tcW w:w="1027" w:type="dxa"/>
            <w:tcBorders>
              <w:top w:val="nil"/>
              <w:left w:val="single" w:sz="4" w:space="0" w:color="auto"/>
              <w:bottom w:val="nil"/>
            </w:tcBorders>
          </w:tcPr>
          <w:p w:rsidR="005B0ACD" w:rsidRPr="005B0ACD" w:rsidRDefault="005B0ACD" w:rsidP="005B0ACD">
            <w:pPr>
              <w:pStyle w:val="TableText"/>
              <w:tabs>
                <w:tab w:val="decimal" w:pos="563"/>
              </w:tabs>
            </w:pPr>
            <w:r w:rsidRPr="005B0ACD">
              <w:t>6</w:t>
            </w:r>
          </w:p>
        </w:tc>
        <w:tc>
          <w:tcPr>
            <w:tcW w:w="1028" w:type="dxa"/>
            <w:tcBorders>
              <w:top w:val="nil"/>
              <w:bottom w:val="nil"/>
              <w:right w:val="single" w:sz="4" w:space="0" w:color="A6A6A6" w:themeColor="background1" w:themeShade="A6"/>
            </w:tcBorders>
          </w:tcPr>
          <w:p w:rsidR="005B0ACD" w:rsidRPr="005B0ACD" w:rsidRDefault="005B0ACD" w:rsidP="005B0ACD">
            <w:pPr>
              <w:pStyle w:val="TableText"/>
              <w:jc w:val="center"/>
            </w:pPr>
            <w:r w:rsidRPr="005B0ACD">
              <w:t>4.7</w:t>
            </w:r>
          </w:p>
        </w:tc>
        <w:tc>
          <w:tcPr>
            <w:tcW w:w="1028" w:type="dxa"/>
            <w:tcBorders>
              <w:top w:val="nil"/>
              <w:left w:val="single" w:sz="4" w:space="0" w:color="A6A6A6" w:themeColor="background1" w:themeShade="A6"/>
              <w:bottom w:val="nil"/>
            </w:tcBorders>
          </w:tcPr>
          <w:p w:rsidR="005B0ACD" w:rsidRPr="005B0ACD" w:rsidRDefault="005B0ACD" w:rsidP="005B0ACD">
            <w:pPr>
              <w:pStyle w:val="TableText"/>
              <w:jc w:val="center"/>
            </w:pPr>
            <w:r w:rsidRPr="005B0ACD">
              <w:t>19</w:t>
            </w:r>
          </w:p>
        </w:tc>
        <w:tc>
          <w:tcPr>
            <w:tcW w:w="1028" w:type="dxa"/>
            <w:tcBorders>
              <w:top w:val="nil"/>
              <w:bottom w:val="nil"/>
            </w:tcBorders>
          </w:tcPr>
          <w:p w:rsidR="005B0ACD" w:rsidRPr="005B0ACD" w:rsidRDefault="005B0ACD" w:rsidP="005B0ACD">
            <w:pPr>
              <w:pStyle w:val="TableText"/>
              <w:jc w:val="center"/>
            </w:pPr>
            <w:r w:rsidRPr="005B0ACD">
              <w:t>15.4</w:t>
            </w:r>
          </w:p>
        </w:tc>
      </w:tr>
      <w:tr w:rsidR="00DF529C" w:rsidRPr="005B0ACD" w:rsidTr="00DF529C">
        <w:trPr>
          <w:cantSplit/>
        </w:trPr>
        <w:tc>
          <w:tcPr>
            <w:tcW w:w="1191" w:type="dxa"/>
            <w:tcBorders>
              <w:top w:val="nil"/>
              <w:bottom w:val="single" w:sz="4" w:space="0" w:color="auto"/>
              <w:right w:val="single" w:sz="4" w:space="0" w:color="auto"/>
            </w:tcBorders>
            <w:shd w:val="clear" w:color="auto" w:fill="F2F2F2" w:themeFill="background1" w:themeFillShade="F2"/>
          </w:tcPr>
          <w:p w:rsidR="005B0ACD" w:rsidRPr="005B0ACD" w:rsidRDefault="005B0ACD" w:rsidP="005B0ACD">
            <w:pPr>
              <w:pStyle w:val="TableText"/>
            </w:pPr>
            <w:r w:rsidRPr="005B0ACD">
              <w:t>60–64</w:t>
            </w:r>
          </w:p>
        </w:tc>
        <w:tc>
          <w:tcPr>
            <w:tcW w:w="1027" w:type="dxa"/>
            <w:tcBorders>
              <w:top w:val="nil"/>
              <w:left w:val="single" w:sz="4" w:space="0" w:color="auto"/>
              <w:bottom w:val="single" w:sz="4" w:space="0" w:color="auto"/>
            </w:tcBorders>
            <w:shd w:val="clear" w:color="auto" w:fill="F2F2F2" w:themeFill="background1" w:themeFillShade="F2"/>
          </w:tcPr>
          <w:p w:rsidR="005B0ACD" w:rsidRPr="005B0ACD" w:rsidRDefault="005B0ACD" w:rsidP="005B0ACD">
            <w:pPr>
              <w:pStyle w:val="TableText"/>
              <w:jc w:val="center"/>
            </w:pPr>
            <w:r w:rsidRPr="005B0ACD">
              <w:t>1</w:t>
            </w:r>
          </w:p>
        </w:tc>
        <w:tc>
          <w:tcPr>
            <w:tcW w:w="1028" w:type="dxa"/>
            <w:tcBorders>
              <w:top w:val="nil"/>
              <w:bottom w:val="single" w:sz="4" w:space="0" w:color="auto"/>
              <w:right w:val="single" w:sz="4" w:space="0" w:color="A6A6A6" w:themeColor="background1" w:themeShade="A6"/>
            </w:tcBorders>
            <w:shd w:val="clear" w:color="auto" w:fill="F2F2F2" w:themeFill="background1" w:themeFillShade="F2"/>
          </w:tcPr>
          <w:p w:rsidR="005B0ACD" w:rsidRPr="005B0ACD" w:rsidRDefault="005B0ACD" w:rsidP="005B0ACD">
            <w:pPr>
              <w:pStyle w:val="TableText"/>
              <w:tabs>
                <w:tab w:val="decimal" w:pos="452"/>
              </w:tabs>
            </w:pPr>
            <w:r w:rsidRPr="005B0ACD">
              <w:t>50.9</w:t>
            </w:r>
          </w:p>
        </w:tc>
        <w:tc>
          <w:tcPr>
            <w:tcW w:w="1028" w:type="dxa"/>
            <w:tcBorders>
              <w:top w:val="nil"/>
              <w:left w:val="single" w:sz="4" w:space="0" w:color="A6A6A6" w:themeColor="background1" w:themeShade="A6"/>
              <w:bottom w:val="single" w:sz="4" w:space="0" w:color="auto"/>
            </w:tcBorders>
            <w:shd w:val="clear" w:color="auto" w:fill="F2F2F2" w:themeFill="background1" w:themeFillShade="F2"/>
          </w:tcPr>
          <w:p w:rsidR="005B0ACD" w:rsidRPr="005B0ACD" w:rsidRDefault="005B0ACD" w:rsidP="005B0ACD">
            <w:pPr>
              <w:pStyle w:val="TableText"/>
              <w:tabs>
                <w:tab w:val="decimal" w:pos="563"/>
              </w:tabs>
            </w:pPr>
            <w:r w:rsidRPr="005B0ACD">
              <w:t>6</w:t>
            </w:r>
          </w:p>
        </w:tc>
        <w:tc>
          <w:tcPr>
            <w:tcW w:w="1028" w:type="dxa"/>
            <w:tcBorders>
              <w:top w:val="nil"/>
              <w:bottom w:val="single" w:sz="4" w:space="0" w:color="auto"/>
              <w:right w:val="single" w:sz="4" w:space="0" w:color="auto"/>
            </w:tcBorders>
            <w:shd w:val="clear" w:color="auto" w:fill="F2F2F2" w:themeFill="background1" w:themeFillShade="F2"/>
          </w:tcPr>
          <w:p w:rsidR="005B0ACD" w:rsidRPr="005B0ACD" w:rsidRDefault="005B0ACD" w:rsidP="005B0ACD">
            <w:pPr>
              <w:pStyle w:val="TableText"/>
              <w:jc w:val="center"/>
            </w:pPr>
            <w:r w:rsidRPr="005B0ACD">
              <w:t>304.4</w:t>
            </w:r>
          </w:p>
        </w:tc>
        <w:tc>
          <w:tcPr>
            <w:tcW w:w="1027" w:type="dxa"/>
            <w:tcBorders>
              <w:top w:val="nil"/>
              <w:left w:val="single" w:sz="4" w:space="0" w:color="auto"/>
              <w:bottom w:val="single" w:sz="4" w:space="0" w:color="auto"/>
            </w:tcBorders>
            <w:shd w:val="clear" w:color="auto" w:fill="F2F2F2" w:themeFill="background1" w:themeFillShade="F2"/>
          </w:tcPr>
          <w:p w:rsidR="005B0ACD" w:rsidRPr="005B0ACD" w:rsidRDefault="005B0ACD" w:rsidP="005B0ACD">
            <w:pPr>
              <w:pStyle w:val="TableText"/>
              <w:tabs>
                <w:tab w:val="decimal" w:pos="563"/>
              </w:tabs>
            </w:pPr>
            <w:r w:rsidRPr="005B0ACD">
              <w:t>4</w:t>
            </w:r>
          </w:p>
        </w:tc>
        <w:tc>
          <w:tcPr>
            <w:tcW w:w="1028" w:type="dxa"/>
            <w:tcBorders>
              <w:top w:val="nil"/>
              <w:bottom w:val="single" w:sz="4" w:space="0" w:color="auto"/>
              <w:right w:val="single" w:sz="4" w:space="0" w:color="A6A6A6" w:themeColor="background1" w:themeShade="A6"/>
            </w:tcBorders>
            <w:shd w:val="clear" w:color="auto" w:fill="F2F2F2" w:themeFill="background1" w:themeFillShade="F2"/>
          </w:tcPr>
          <w:p w:rsidR="005B0ACD" w:rsidRPr="005B0ACD" w:rsidRDefault="005B0ACD" w:rsidP="005B0ACD">
            <w:pPr>
              <w:pStyle w:val="TableText"/>
              <w:jc w:val="center"/>
            </w:pPr>
            <w:r w:rsidRPr="005B0ACD">
              <w:t>3.4</w:t>
            </w:r>
          </w:p>
        </w:tc>
        <w:tc>
          <w:tcPr>
            <w:tcW w:w="1028" w:type="dxa"/>
            <w:tcBorders>
              <w:top w:val="nil"/>
              <w:left w:val="single" w:sz="4" w:space="0" w:color="A6A6A6" w:themeColor="background1" w:themeShade="A6"/>
              <w:bottom w:val="single" w:sz="4" w:space="0" w:color="auto"/>
            </w:tcBorders>
            <w:shd w:val="clear" w:color="auto" w:fill="F2F2F2" w:themeFill="background1" w:themeFillShade="F2"/>
          </w:tcPr>
          <w:p w:rsidR="005B0ACD" w:rsidRPr="005B0ACD" w:rsidRDefault="005B0ACD" w:rsidP="005B0ACD">
            <w:pPr>
              <w:pStyle w:val="TableText"/>
              <w:jc w:val="center"/>
            </w:pPr>
            <w:r w:rsidRPr="005B0ACD">
              <w:t>16</w:t>
            </w:r>
          </w:p>
        </w:tc>
        <w:tc>
          <w:tcPr>
            <w:tcW w:w="1028" w:type="dxa"/>
            <w:tcBorders>
              <w:top w:val="nil"/>
              <w:bottom w:val="single" w:sz="4" w:space="0" w:color="auto"/>
            </w:tcBorders>
            <w:shd w:val="clear" w:color="auto" w:fill="F2F2F2" w:themeFill="background1" w:themeFillShade="F2"/>
          </w:tcPr>
          <w:p w:rsidR="005B0ACD" w:rsidRPr="005B0ACD" w:rsidRDefault="005B0ACD" w:rsidP="005B0ACD">
            <w:pPr>
              <w:pStyle w:val="TableText"/>
              <w:jc w:val="center"/>
            </w:pPr>
            <w:r w:rsidRPr="005B0ACD">
              <w:t>14.0</w:t>
            </w:r>
          </w:p>
        </w:tc>
      </w:tr>
    </w:tbl>
    <w:p w:rsidR="004659AD" w:rsidRPr="00642432" w:rsidRDefault="004659AD" w:rsidP="005B0ACD">
      <w:pPr>
        <w:pStyle w:val="Note"/>
        <w:ind w:right="0"/>
      </w:pPr>
      <w:r w:rsidRPr="00642432">
        <w:t>Notes: Includes deaths of undetermined intent. ASR = age-standardised rate</w:t>
      </w:r>
      <w:r w:rsidR="005B0ACD">
        <w:t>.</w:t>
      </w:r>
    </w:p>
    <w:p w:rsidR="004659AD" w:rsidRPr="00642432" w:rsidRDefault="004659AD" w:rsidP="005B0ACD">
      <w:pPr>
        <w:pStyle w:val="Source"/>
        <w:ind w:right="0"/>
      </w:pPr>
      <w:r w:rsidRPr="00642432">
        <w:t>Source: Ministry of Health mortality database, extracted on 22 July 2014</w:t>
      </w:r>
      <w:r w:rsidR="005B0ACD">
        <w:t>.</w:t>
      </w:r>
    </w:p>
    <w:p w:rsidR="004659AD" w:rsidRPr="00642432" w:rsidRDefault="004659AD" w:rsidP="005E2C2B"/>
    <w:p w:rsidR="004659AD" w:rsidRPr="00642432" w:rsidRDefault="004659AD" w:rsidP="005E2C2B">
      <w:pPr>
        <w:pStyle w:val="Heading3"/>
      </w:pPr>
      <w:r w:rsidRPr="00642432">
        <w:t>Ethnicity and suicide</w:t>
      </w:r>
    </w:p>
    <w:p w:rsidR="004659AD" w:rsidRPr="00642432" w:rsidRDefault="004659AD" w:rsidP="005E2C2B">
      <w:r w:rsidRPr="00642432">
        <w:t>As Table 17 indicates, among people using mental health services in 2011, the age-standardised rate of suicide was higher for Māori (116 per 100,000 service users) compared with Pacific peoples</w:t>
      </w:r>
      <w:r w:rsidR="005E2C2B">
        <w:t xml:space="preserve"> </w:t>
      </w:r>
      <w:r w:rsidRPr="00642432">
        <w:t>(74 per 100,000 service users). The age-standardised rate of suicide for those in the category of other ethnicities was 133 per 100,000 service users.</w:t>
      </w:r>
    </w:p>
    <w:p w:rsidR="004659AD" w:rsidRPr="00642432" w:rsidRDefault="004659AD" w:rsidP="005E2C2B"/>
    <w:p w:rsidR="004659AD" w:rsidRPr="00642432" w:rsidRDefault="004659AD" w:rsidP="005E2C2B">
      <w:pPr>
        <w:pStyle w:val="Table"/>
      </w:pPr>
      <w:bookmarkStart w:id="71" w:name="_Toc405113697"/>
      <w:r w:rsidRPr="00642432">
        <w:t>Table 17: Number and age-standardised rate of suicides and deaths of undetermined intent, by ethnicity and service use, ages 10 to 64 years, 1 January to 31 December 2011</w:t>
      </w:r>
      <w:bookmarkEnd w:id="71"/>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367"/>
        <w:gridCol w:w="1752"/>
        <w:gridCol w:w="911"/>
        <w:gridCol w:w="1782"/>
        <w:gridCol w:w="881"/>
        <w:gridCol w:w="1812"/>
        <w:gridCol w:w="851"/>
      </w:tblGrid>
      <w:tr w:rsidR="00583CE8" w:rsidRPr="00583CE8" w:rsidTr="00583CE8">
        <w:trPr>
          <w:cantSplit/>
        </w:trPr>
        <w:tc>
          <w:tcPr>
            <w:tcW w:w="1367" w:type="dxa"/>
            <w:vMerge w:val="restart"/>
            <w:tcBorders>
              <w:top w:val="single" w:sz="4" w:space="0" w:color="auto"/>
              <w:bottom w:val="nil"/>
              <w:right w:val="single" w:sz="4" w:space="0" w:color="A6A6A6" w:themeColor="background1" w:themeShade="A6"/>
            </w:tcBorders>
            <w:shd w:val="clear" w:color="auto" w:fill="F2F2F2" w:themeFill="background1" w:themeFillShade="F2"/>
          </w:tcPr>
          <w:p w:rsidR="00583CE8" w:rsidRPr="00583CE8" w:rsidRDefault="00583CE8" w:rsidP="00583CE8">
            <w:pPr>
              <w:pStyle w:val="TableText"/>
              <w:rPr>
                <w:b/>
              </w:rPr>
            </w:pPr>
            <w:r w:rsidRPr="00583CE8">
              <w:rPr>
                <w:b/>
              </w:rPr>
              <w:t>Ethnicity</w:t>
            </w:r>
          </w:p>
        </w:tc>
        <w:tc>
          <w:tcPr>
            <w:tcW w:w="2663" w:type="dxa"/>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F2F2F2" w:themeFill="background1" w:themeFillShade="F2"/>
          </w:tcPr>
          <w:p w:rsidR="00583CE8" w:rsidRPr="00583CE8" w:rsidRDefault="00583CE8" w:rsidP="00583CE8">
            <w:pPr>
              <w:pStyle w:val="TableText"/>
              <w:jc w:val="center"/>
              <w:rPr>
                <w:b/>
              </w:rPr>
            </w:pPr>
            <w:r w:rsidRPr="00583CE8">
              <w:rPr>
                <w:b/>
              </w:rPr>
              <w:t>Service users</w:t>
            </w:r>
          </w:p>
        </w:tc>
        <w:tc>
          <w:tcPr>
            <w:tcW w:w="2663" w:type="dxa"/>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F2F2F2" w:themeFill="background1" w:themeFillShade="F2"/>
          </w:tcPr>
          <w:p w:rsidR="00583CE8" w:rsidRPr="00583CE8" w:rsidRDefault="00583CE8" w:rsidP="00583CE8">
            <w:pPr>
              <w:pStyle w:val="TableText"/>
              <w:jc w:val="center"/>
              <w:rPr>
                <w:b/>
              </w:rPr>
            </w:pPr>
            <w:r w:rsidRPr="00583CE8">
              <w:rPr>
                <w:b/>
              </w:rPr>
              <w:t>Non-service users</w:t>
            </w:r>
          </w:p>
        </w:tc>
        <w:tc>
          <w:tcPr>
            <w:tcW w:w="2663" w:type="dxa"/>
            <w:gridSpan w:val="2"/>
            <w:tcBorders>
              <w:top w:val="single" w:sz="4" w:space="0" w:color="auto"/>
              <w:left w:val="single" w:sz="4" w:space="0" w:color="A6A6A6" w:themeColor="background1" w:themeShade="A6"/>
              <w:bottom w:val="nil"/>
            </w:tcBorders>
            <w:shd w:val="clear" w:color="auto" w:fill="F2F2F2" w:themeFill="background1" w:themeFillShade="F2"/>
          </w:tcPr>
          <w:p w:rsidR="00583CE8" w:rsidRPr="00583CE8" w:rsidRDefault="00583CE8" w:rsidP="00583CE8">
            <w:pPr>
              <w:pStyle w:val="TableText"/>
              <w:jc w:val="center"/>
              <w:rPr>
                <w:b/>
              </w:rPr>
            </w:pPr>
            <w:r w:rsidRPr="00583CE8">
              <w:rPr>
                <w:b/>
              </w:rPr>
              <w:t>Total</w:t>
            </w:r>
          </w:p>
        </w:tc>
      </w:tr>
      <w:tr w:rsidR="00F97FBF" w:rsidRPr="00583CE8" w:rsidTr="00F97FBF">
        <w:trPr>
          <w:cantSplit/>
        </w:trPr>
        <w:tc>
          <w:tcPr>
            <w:tcW w:w="1367" w:type="dxa"/>
            <w:vMerge/>
            <w:tcBorders>
              <w:top w:val="nil"/>
              <w:bottom w:val="single" w:sz="4" w:space="0" w:color="auto"/>
              <w:right w:val="single" w:sz="4" w:space="0" w:color="A6A6A6" w:themeColor="background1" w:themeShade="A6"/>
            </w:tcBorders>
            <w:shd w:val="clear" w:color="auto" w:fill="F2F2F2" w:themeFill="background1" w:themeFillShade="F2"/>
          </w:tcPr>
          <w:p w:rsidR="00583CE8" w:rsidRPr="00583CE8" w:rsidRDefault="00583CE8" w:rsidP="00583CE8">
            <w:pPr>
              <w:pStyle w:val="TableText"/>
              <w:rPr>
                <w:b/>
              </w:rPr>
            </w:pPr>
          </w:p>
        </w:tc>
        <w:tc>
          <w:tcPr>
            <w:tcW w:w="1752" w:type="dxa"/>
            <w:tcBorders>
              <w:top w:val="nil"/>
              <w:left w:val="single" w:sz="4" w:space="0" w:color="A6A6A6" w:themeColor="background1" w:themeShade="A6"/>
              <w:bottom w:val="single" w:sz="4" w:space="0" w:color="auto"/>
            </w:tcBorders>
            <w:shd w:val="clear" w:color="auto" w:fill="F2F2F2" w:themeFill="background1" w:themeFillShade="F2"/>
          </w:tcPr>
          <w:p w:rsidR="00583CE8" w:rsidRPr="00583CE8" w:rsidRDefault="00583CE8" w:rsidP="00583CE8">
            <w:pPr>
              <w:pStyle w:val="TableText"/>
              <w:spacing w:before="0"/>
              <w:jc w:val="center"/>
              <w:rPr>
                <w:b/>
              </w:rPr>
            </w:pPr>
            <w:r w:rsidRPr="00583CE8">
              <w:rPr>
                <w:b/>
              </w:rPr>
              <w:t>Number of deaths</w:t>
            </w:r>
          </w:p>
        </w:tc>
        <w:tc>
          <w:tcPr>
            <w:tcW w:w="911" w:type="dxa"/>
            <w:tcBorders>
              <w:top w:val="nil"/>
              <w:bottom w:val="single" w:sz="4" w:space="0" w:color="auto"/>
              <w:right w:val="single" w:sz="4" w:space="0" w:color="A6A6A6" w:themeColor="background1" w:themeShade="A6"/>
            </w:tcBorders>
            <w:shd w:val="clear" w:color="auto" w:fill="F2F2F2" w:themeFill="background1" w:themeFillShade="F2"/>
          </w:tcPr>
          <w:p w:rsidR="00583CE8" w:rsidRPr="00583CE8" w:rsidRDefault="00583CE8" w:rsidP="00583CE8">
            <w:pPr>
              <w:pStyle w:val="TableText"/>
              <w:spacing w:before="0"/>
              <w:jc w:val="center"/>
              <w:rPr>
                <w:b/>
              </w:rPr>
            </w:pPr>
            <w:r w:rsidRPr="00583CE8">
              <w:rPr>
                <w:b/>
              </w:rPr>
              <w:t>ASR</w:t>
            </w:r>
          </w:p>
        </w:tc>
        <w:tc>
          <w:tcPr>
            <w:tcW w:w="1782" w:type="dxa"/>
            <w:tcBorders>
              <w:top w:val="nil"/>
              <w:left w:val="single" w:sz="4" w:space="0" w:color="A6A6A6" w:themeColor="background1" w:themeShade="A6"/>
              <w:bottom w:val="single" w:sz="4" w:space="0" w:color="auto"/>
            </w:tcBorders>
            <w:shd w:val="clear" w:color="auto" w:fill="F2F2F2" w:themeFill="background1" w:themeFillShade="F2"/>
          </w:tcPr>
          <w:p w:rsidR="00583CE8" w:rsidRPr="00583CE8" w:rsidRDefault="00583CE8" w:rsidP="00583CE8">
            <w:pPr>
              <w:pStyle w:val="TableText"/>
              <w:spacing w:before="0"/>
              <w:jc w:val="center"/>
              <w:rPr>
                <w:b/>
              </w:rPr>
            </w:pPr>
            <w:r w:rsidRPr="00583CE8">
              <w:rPr>
                <w:b/>
              </w:rPr>
              <w:t>Number of deaths</w:t>
            </w:r>
          </w:p>
        </w:tc>
        <w:tc>
          <w:tcPr>
            <w:tcW w:w="881" w:type="dxa"/>
            <w:tcBorders>
              <w:top w:val="nil"/>
              <w:bottom w:val="single" w:sz="4" w:space="0" w:color="auto"/>
              <w:right w:val="single" w:sz="4" w:space="0" w:color="A6A6A6" w:themeColor="background1" w:themeShade="A6"/>
            </w:tcBorders>
            <w:shd w:val="clear" w:color="auto" w:fill="F2F2F2" w:themeFill="background1" w:themeFillShade="F2"/>
          </w:tcPr>
          <w:p w:rsidR="00583CE8" w:rsidRPr="00583CE8" w:rsidRDefault="00583CE8" w:rsidP="00583CE8">
            <w:pPr>
              <w:pStyle w:val="TableText"/>
              <w:spacing w:before="0"/>
              <w:jc w:val="center"/>
              <w:rPr>
                <w:b/>
              </w:rPr>
            </w:pPr>
            <w:r w:rsidRPr="00583CE8">
              <w:rPr>
                <w:b/>
              </w:rPr>
              <w:t>ASR</w:t>
            </w:r>
          </w:p>
        </w:tc>
        <w:tc>
          <w:tcPr>
            <w:tcW w:w="1812" w:type="dxa"/>
            <w:tcBorders>
              <w:top w:val="nil"/>
              <w:left w:val="single" w:sz="4" w:space="0" w:color="A6A6A6" w:themeColor="background1" w:themeShade="A6"/>
              <w:bottom w:val="single" w:sz="4" w:space="0" w:color="auto"/>
            </w:tcBorders>
            <w:shd w:val="clear" w:color="auto" w:fill="F2F2F2" w:themeFill="background1" w:themeFillShade="F2"/>
          </w:tcPr>
          <w:p w:rsidR="00583CE8" w:rsidRPr="00583CE8" w:rsidRDefault="00583CE8" w:rsidP="00583CE8">
            <w:pPr>
              <w:pStyle w:val="TableText"/>
              <w:spacing w:before="0"/>
              <w:jc w:val="center"/>
              <w:rPr>
                <w:b/>
              </w:rPr>
            </w:pPr>
            <w:r w:rsidRPr="00583CE8">
              <w:rPr>
                <w:b/>
              </w:rPr>
              <w:t>Number of deaths</w:t>
            </w:r>
          </w:p>
        </w:tc>
        <w:tc>
          <w:tcPr>
            <w:tcW w:w="851" w:type="dxa"/>
            <w:tcBorders>
              <w:top w:val="nil"/>
              <w:bottom w:val="single" w:sz="4" w:space="0" w:color="auto"/>
            </w:tcBorders>
            <w:shd w:val="clear" w:color="auto" w:fill="F2F2F2" w:themeFill="background1" w:themeFillShade="F2"/>
          </w:tcPr>
          <w:p w:rsidR="00583CE8" w:rsidRPr="00583CE8" w:rsidRDefault="00583CE8" w:rsidP="00583CE8">
            <w:pPr>
              <w:pStyle w:val="TableText"/>
              <w:spacing w:before="0"/>
              <w:jc w:val="center"/>
              <w:rPr>
                <w:b/>
              </w:rPr>
            </w:pPr>
            <w:r w:rsidRPr="00583CE8">
              <w:rPr>
                <w:b/>
              </w:rPr>
              <w:t>ASR</w:t>
            </w:r>
          </w:p>
        </w:tc>
      </w:tr>
      <w:tr w:rsidR="00583CE8" w:rsidRPr="0088577E" w:rsidTr="00F97FBF">
        <w:trPr>
          <w:cantSplit/>
        </w:trPr>
        <w:tc>
          <w:tcPr>
            <w:tcW w:w="1367" w:type="dxa"/>
            <w:tcBorders>
              <w:top w:val="single" w:sz="4" w:space="0" w:color="auto"/>
              <w:bottom w:val="nil"/>
              <w:right w:val="single" w:sz="4" w:space="0" w:color="A6A6A6" w:themeColor="background1" w:themeShade="A6"/>
            </w:tcBorders>
          </w:tcPr>
          <w:p w:rsidR="00583CE8" w:rsidRPr="0088577E" w:rsidRDefault="00583CE8" w:rsidP="00583CE8">
            <w:pPr>
              <w:pStyle w:val="TableText"/>
            </w:pPr>
            <w:r w:rsidRPr="0088577E">
              <w:t>Māori</w:t>
            </w:r>
          </w:p>
        </w:tc>
        <w:tc>
          <w:tcPr>
            <w:tcW w:w="1752" w:type="dxa"/>
            <w:tcBorders>
              <w:top w:val="single" w:sz="4" w:space="0" w:color="auto"/>
              <w:left w:val="single" w:sz="4" w:space="0" w:color="A6A6A6" w:themeColor="background1" w:themeShade="A6"/>
              <w:bottom w:val="nil"/>
            </w:tcBorders>
          </w:tcPr>
          <w:p w:rsidR="00583CE8" w:rsidRPr="0088577E" w:rsidRDefault="00583CE8" w:rsidP="00F97FBF">
            <w:pPr>
              <w:pStyle w:val="TableText"/>
              <w:tabs>
                <w:tab w:val="decimal" w:pos="906"/>
              </w:tabs>
            </w:pPr>
            <w:r w:rsidRPr="0088577E">
              <w:t>48</w:t>
            </w:r>
          </w:p>
        </w:tc>
        <w:tc>
          <w:tcPr>
            <w:tcW w:w="911" w:type="dxa"/>
            <w:tcBorders>
              <w:top w:val="single" w:sz="4" w:space="0" w:color="auto"/>
              <w:bottom w:val="nil"/>
              <w:right w:val="single" w:sz="4" w:space="0" w:color="A6A6A6" w:themeColor="background1" w:themeShade="A6"/>
            </w:tcBorders>
          </w:tcPr>
          <w:p w:rsidR="00583CE8" w:rsidRPr="0088577E" w:rsidRDefault="00583CE8" w:rsidP="00F97FBF">
            <w:pPr>
              <w:pStyle w:val="TableText"/>
              <w:tabs>
                <w:tab w:val="decimal" w:pos="411"/>
              </w:tabs>
            </w:pPr>
            <w:r w:rsidRPr="0088577E">
              <w:t>115.6</w:t>
            </w:r>
          </w:p>
        </w:tc>
        <w:tc>
          <w:tcPr>
            <w:tcW w:w="1782" w:type="dxa"/>
            <w:tcBorders>
              <w:top w:val="single" w:sz="4" w:space="0" w:color="auto"/>
              <w:left w:val="single" w:sz="4" w:space="0" w:color="A6A6A6" w:themeColor="background1" w:themeShade="A6"/>
              <w:bottom w:val="nil"/>
            </w:tcBorders>
          </w:tcPr>
          <w:p w:rsidR="00583CE8" w:rsidRPr="0088577E" w:rsidRDefault="00583CE8" w:rsidP="00F97FBF">
            <w:pPr>
              <w:pStyle w:val="TableText"/>
              <w:tabs>
                <w:tab w:val="decimal" w:pos="900"/>
              </w:tabs>
            </w:pPr>
            <w:r w:rsidRPr="0088577E">
              <w:t>71</w:t>
            </w:r>
          </w:p>
        </w:tc>
        <w:tc>
          <w:tcPr>
            <w:tcW w:w="881" w:type="dxa"/>
            <w:tcBorders>
              <w:top w:val="single" w:sz="4" w:space="0" w:color="auto"/>
              <w:bottom w:val="nil"/>
              <w:right w:val="single" w:sz="4" w:space="0" w:color="A6A6A6" w:themeColor="background1" w:themeShade="A6"/>
            </w:tcBorders>
          </w:tcPr>
          <w:p w:rsidR="00583CE8" w:rsidRPr="0088577E" w:rsidRDefault="00583CE8" w:rsidP="00F97FBF">
            <w:pPr>
              <w:pStyle w:val="TableText"/>
              <w:tabs>
                <w:tab w:val="decimal" w:pos="388"/>
              </w:tabs>
            </w:pPr>
            <w:r w:rsidRPr="0088577E">
              <w:t>12.3</w:t>
            </w:r>
          </w:p>
        </w:tc>
        <w:tc>
          <w:tcPr>
            <w:tcW w:w="1812" w:type="dxa"/>
            <w:tcBorders>
              <w:top w:val="single" w:sz="4" w:space="0" w:color="auto"/>
              <w:left w:val="single" w:sz="4" w:space="0" w:color="A6A6A6" w:themeColor="background1" w:themeShade="A6"/>
              <w:bottom w:val="nil"/>
            </w:tcBorders>
          </w:tcPr>
          <w:p w:rsidR="00583CE8" w:rsidRPr="0088577E" w:rsidRDefault="00583CE8" w:rsidP="00F97FBF">
            <w:pPr>
              <w:pStyle w:val="TableText"/>
              <w:tabs>
                <w:tab w:val="decimal" w:pos="1047"/>
              </w:tabs>
            </w:pPr>
            <w:r w:rsidRPr="0088577E">
              <w:t>119</w:t>
            </w:r>
          </w:p>
        </w:tc>
        <w:tc>
          <w:tcPr>
            <w:tcW w:w="851" w:type="dxa"/>
            <w:tcBorders>
              <w:top w:val="single" w:sz="4" w:space="0" w:color="auto"/>
              <w:bottom w:val="nil"/>
            </w:tcBorders>
          </w:tcPr>
          <w:p w:rsidR="00583CE8" w:rsidRPr="0088577E" w:rsidRDefault="00583CE8" w:rsidP="00F97FBF">
            <w:pPr>
              <w:pStyle w:val="TableText"/>
              <w:jc w:val="center"/>
            </w:pPr>
            <w:r w:rsidRPr="0088577E">
              <w:t>22.9</w:t>
            </w:r>
          </w:p>
        </w:tc>
      </w:tr>
      <w:tr w:rsidR="00F97FBF" w:rsidRPr="0088577E" w:rsidTr="00F97FBF">
        <w:trPr>
          <w:cantSplit/>
        </w:trPr>
        <w:tc>
          <w:tcPr>
            <w:tcW w:w="1367" w:type="dxa"/>
            <w:tcBorders>
              <w:top w:val="nil"/>
              <w:bottom w:val="nil"/>
              <w:right w:val="single" w:sz="4" w:space="0" w:color="A6A6A6" w:themeColor="background1" w:themeShade="A6"/>
            </w:tcBorders>
            <w:shd w:val="clear" w:color="auto" w:fill="F2F2F2" w:themeFill="background1" w:themeFillShade="F2"/>
          </w:tcPr>
          <w:p w:rsidR="00583CE8" w:rsidRPr="0088577E" w:rsidRDefault="00583CE8" w:rsidP="00583CE8">
            <w:pPr>
              <w:pStyle w:val="TableText"/>
            </w:pPr>
            <w:r w:rsidRPr="0088577E">
              <w:t>Pacific</w:t>
            </w:r>
          </w:p>
        </w:tc>
        <w:tc>
          <w:tcPr>
            <w:tcW w:w="1752" w:type="dxa"/>
            <w:tcBorders>
              <w:top w:val="nil"/>
              <w:left w:val="single" w:sz="4" w:space="0" w:color="A6A6A6" w:themeColor="background1" w:themeShade="A6"/>
              <w:bottom w:val="nil"/>
            </w:tcBorders>
            <w:shd w:val="clear" w:color="auto" w:fill="F2F2F2" w:themeFill="background1" w:themeFillShade="F2"/>
          </w:tcPr>
          <w:p w:rsidR="00583CE8" w:rsidRPr="0088577E" w:rsidRDefault="00583CE8" w:rsidP="00F97FBF">
            <w:pPr>
              <w:pStyle w:val="TableText"/>
              <w:tabs>
                <w:tab w:val="decimal" w:pos="906"/>
              </w:tabs>
            </w:pPr>
            <w:r w:rsidRPr="0088577E">
              <w:t>7</w:t>
            </w:r>
          </w:p>
        </w:tc>
        <w:tc>
          <w:tcPr>
            <w:tcW w:w="911" w:type="dxa"/>
            <w:tcBorders>
              <w:top w:val="nil"/>
              <w:bottom w:val="nil"/>
              <w:right w:val="single" w:sz="4" w:space="0" w:color="A6A6A6" w:themeColor="background1" w:themeShade="A6"/>
            </w:tcBorders>
            <w:shd w:val="clear" w:color="auto" w:fill="F2F2F2" w:themeFill="background1" w:themeFillShade="F2"/>
          </w:tcPr>
          <w:p w:rsidR="00583CE8" w:rsidRPr="0088577E" w:rsidRDefault="00583CE8" w:rsidP="00F97FBF">
            <w:pPr>
              <w:pStyle w:val="TableText"/>
              <w:tabs>
                <w:tab w:val="decimal" w:pos="411"/>
              </w:tabs>
            </w:pPr>
            <w:r w:rsidRPr="0088577E">
              <w:t>74.0</w:t>
            </w:r>
          </w:p>
        </w:tc>
        <w:tc>
          <w:tcPr>
            <w:tcW w:w="1782" w:type="dxa"/>
            <w:tcBorders>
              <w:top w:val="nil"/>
              <w:left w:val="single" w:sz="4" w:space="0" w:color="A6A6A6" w:themeColor="background1" w:themeShade="A6"/>
              <w:bottom w:val="nil"/>
            </w:tcBorders>
            <w:shd w:val="clear" w:color="auto" w:fill="F2F2F2" w:themeFill="background1" w:themeFillShade="F2"/>
          </w:tcPr>
          <w:p w:rsidR="00583CE8" w:rsidRPr="0088577E" w:rsidRDefault="00583CE8" w:rsidP="00F97FBF">
            <w:pPr>
              <w:pStyle w:val="TableText"/>
              <w:tabs>
                <w:tab w:val="decimal" w:pos="900"/>
              </w:tabs>
            </w:pPr>
            <w:r w:rsidRPr="0088577E">
              <w:t>20</w:t>
            </w:r>
          </w:p>
        </w:tc>
        <w:tc>
          <w:tcPr>
            <w:tcW w:w="881" w:type="dxa"/>
            <w:tcBorders>
              <w:top w:val="nil"/>
              <w:bottom w:val="nil"/>
              <w:right w:val="single" w:sz="4" w:space="0" w:color="A6A6A6" w:themeColor="background1" w:themeShade="A6"/>
            </w:tcBorders>
            <w:shd w:val="clear" w:color="auto" w:fill="F2F2F2" w:themeFill="background1" w:themeFillShade="F2"/>
          </w:tcPr>
          <w:p w:rsidR="00583CE8" w:rsidRPr="0088577E" w:rsidRDefault="00583CE8" w:rsidP="00F97FBF">
            <w:pPr>
              <w:pStyle w:val="TableText"/>
              <w:tabs>
                <w:tab w:val="decimal" w:pos="388"/>
              </w:tabs>
            </w:pPr>
            <w:r w:rsidRPr="0088577E">
              <w:t>7.8</w:t>
            </w:r>
          </w:p>
        </w:tc>
        <w:tc>
          <w:tcPr>
            <w:tcW w:w="1812" w:type="dxa"/>
            <w:tcBorders>
              <w:top w:val="nil"/>
              <w:left w:val="single" w:sz="4" w:space="0" w:color="A6A6A6" w:themeColor="background1" w:themeShade="A6"/>
              <w:bottom w:val="nil"/>
            </w:tcBorders>
            <w:shd w:val="clear" w:color="auto" w:fill="F2F2F2" w:themeFill="background1" w:themeFillShade="F2"/>
          </w:tcPr>
          <w:p w:rsidR="00583CE8" w:rsidRPr="0088577E" w:rsidRDefault="00583CE8" w:rsidP="00F97FBF">
            <w:pPr>
              <w:pStyle w:val="TableText"/>
              <w:tabs>
                <w:tab w:val="decimal" w:pos="1047"/>
              </w:tabs>
            </w:pPr>
            <w:r w:rsidRPr="0088577E">
              <w:t>27</w:t>
            </w:r>
          </w:p>
        </w:tc>
        <w:tc>
          <w:tcPr>
            <w:tcW w:w="851" w:type="dxa"/>
            <w:tcBorders>
              <w:top w:val="nil"/>
              <w:bottom w:val="nil"/>
            </w:tcBorders>
            <w:shd w:val="clear" w:color="auto" w:fill="F2F2F2" w:themeFill="background1" w:themeFillShade="F2"/>
          </w:tcPr>
          <w:p w:rsidR="00583CE8" w:rsidRPr="0088577E" w:rsidRDefault="00583CE8" w:rsidP="00F97FBF">
            <w:pPr>
              <w:pStyle w:val="TableText"/>
              <w:jc w:val="center"/>
            </w:pPr>
            <w:r w:rsidRPr="0088577E">
              <w:t>11.7</w:t>
            </w:r>
          </w:p>
        </w:tc>
      </w:tr>
      <w:tr w:rsidR="00583CE8" w:rsidRPr="0088577E" w:rsidTr="00F97FBF">
        <w:trPr>
          <w:cantSplit/>
        </w:trPr>
        <w:tc>
          <w:tcPr>
            <w:tcW w:w="1367" w:type="dxa"/>
            <w:tcBorders>
              <w:top w:val="nil"/>
              <w:bottom w:val="nil"/>
              <w:right w:val="single" w:sz="4" w:space="0" w:color="A6A6A6" w:themeColor="background1" w:themeShade="A6"/>
            </w:tcBorders>
          </w:tcPr>
          <w:p w:rsidR="00583CE8" w:rsidRPr="0088577E" w:rsidRDefault="00583CE8" w:rsidP="00583CE8">
            <w:pPr>
              <w:pStyle w:val="TableText"/>
            </w:pPr>
            <w:r w:rsidRPr="0088577E">
              <w:t>Other</w:t>
            </w:r>
          </w:p>
        </w:tc>
        <w:tc>
          <w:tcPr>
            <w:tcW w:w="1752" w:type="dxa"/>
            <w:tcBorders>
              <w:top w:val="nil"/>
              <w:left w:val="single" w:sz="4" w:space="0" w:color="A6A6A6" w:themeColor="background1" w:themeShade="A6"/>
              <w:bottom w:val="nil"/>
            </w:tcBorders>
          </w:tcPr>
          <w:p w:rsidR="00583CE8" w:rsidRPr="0088577E" w:rsidRDefault="00583CE8" w:rsidP="00F97FBF">
            <w:pPr>
              <w:pStyle w:val="TableText"/>
              <w:tabs>
                <w:tab w:val="decimal" w:pos="906"/>
              </w:tabs>
            </w:pPr>
            <w:r w:rsidRPr="0088577E">
              <w:t>130</w:t>
            </w:r>
          </w:p>
        </w:tc>
        <w:tc>
          <w:tcPr>
            <w:tcW w:w="911" w:type="dxa"/>
            <w:tcBorders>
              <w:top w:val="nil"/>
              <w:bottom w:val="nil"/>
              <w:right w:val="single" w:sz="4" w:space="0" w:color="A6A6A6" w:themeColor="background1" w:themeShade="A6"/>
            </w:tcBorders>
          </w:tcPr>
          <w:p w:rsidR="00583CE8" w:rsidRPr="0088577E" w:rsidRDefault="00583CE8" w:rsidP="00F97FBF">
            <w:pPr>
              <w:pStyle w:val="TableText"/>
              <w:tabs>
                <w:tab w:val="decimal" w:pos="411"/>
              </w:tabs>
            </w:pPr>
            <w:r w:rsidRPr="0088577E">
              <w:t>133.2</w:t>
            </w:r>
          </w:p>
        </w:tc>
        <w:tc>
          <w:tcPr>
            <w:tcW w:w="1782" w:type="dxa"/>
            <w:tcBorders>
              <w:top w:val="nil"/>
              <w:left w:val="single" w:sz="4" w:space="0" w:color="A6A6A6" w:themeColor="background1" w:themeShade="A6"/>
              <w:bottom w:val="nil"/>
            </w:tcBorders>
          </w:tcPr>
          <w:p w:rsidR="00583CE8" w:rsidRPr="0088577E" w:rsidRDefault="00583CE8" w:rsidP="00F97FBF">
            <w:pPr>
              <w:pStyle w:val="TableText"/>
              <w:tabs>
                <w:tab w:val="decimal" w:pos="900"/>
              </w:tabs>
            </w:pPr>
            <w:r w:rsidRPr="0088577E">
              <w:t>190</w:t>
            </w:r>
          </w:p>
        </w:tc>
        <w:tc>
          <w:tcPr>
            <w:tcW w:w="881" w:type="dxa"/>
            <w:tcBorders>
              <w:top w:val="nil"/>
              <w:bottom w:val="nil"/>
              <w:right w:val="single" w:sz="4" w:space="0" w:color="A6A6A6" w:themeColor="background1" w:themeShade="A6"/>
            </w:tcBorders>
          </w:tcPr>
          <w:p w:rsidR="00583CE8" w:rsidRPr="0088577E" w:rsidRDefault="00583CE8" w:rsidP="00F97FBF">
            <w:pPr>
              <w:pStyle w:val="TableText"/>
              <w:tabs>
                <w:tab w:val="decimal" w:pos="388"/>
              </w:tabs>
            </w:pPr>
            <w:r w:rsidRPr="0088577E">
              <w:t>5.9</w:t>
            </w:r>
          </w:p>
        </w:tc>
        <w:tc>
          <w:tcPr>
            <w:tcW w:w="1812" w:type="dxa"/>
            <w:tcBorders>
              <w:top w:val="nil"/>
              <w:left w:val="single" w:sz="4" w:space="0" w:color="A6A6A6" w:themeColor="background1" w:themeShade="A6"/>
              <w:bottom w:val="nil"/>
            </w:tcBorders>
          </w:tcPr>
          <w:p w:rsidR="00583CE8" w:rsidRPr="0088577E" w:rsidRDefault="00583CE8" w:rsidP="00F97FBF">
            <w:pPr>
              <w:pStyle w:val="TableText"/>
              <w:tabs>
                <w:tab w:val="decimal" w:pos="1047"/>
              </w:tabs>
            </w:pPr>
            <w:r w:rsidRPr="0088577E">
              <w:t>320</w:t>
            </w:r>
          </w:p>
        </w:tc>
        <w:tc>
          <w:tcPr>
            <w:tcW w:w="851" w:type="dxa"/>
            <w:tcBorders>
              <w:top w:val="nil"/>
              <w:bottom w:val="nil"/>
            </w:tcBorders>
          </w:tcPr>
          <w:p w:rsidR="00583CE8" w:rsidRPr="0088577E" w:rsidRDefault="00583CE8" w:rsidP="00F97FBF">
            <w:pPr>
              <w:pStyle w:val="TableText"/>
              <w:jc w:val="center"/>
            </w:pPr>
            <w:r w:rsidRPr="0088577E">
              <w:t>10.0</w:t>
            </w:r>
          </w:p>
        </w:tc>
      </w:tr>
      <w:tr w:rsidR="00F97FBF" w:rsidRPr="0088577E" w:rsidTr="00F97FBF">
        <w:trPr>
          <w:cantSplit/>
        </w:trPr>
        <w:tc>
          <w:tcPr>
            <w:tcW w:w="1367" w:type="dxa"/>
            <w:tcBorders>
              <w:top w:val="nil"/>
              <w:bottom w:val="single" w:sz="4" w:space="0" w:color="auto"/>
              <w:right w:val="single" w:sz="4" w:space="0" w:color="A6A6A6" w:themeColor="background1" w:themeShade="A6"/>
            </w:tcBorders>
            <w:shd w:val="clear" w:color="auto" w:fill="F2F2F2" w:themeFill="background1" w:themeFillShade="F2"/>
          </w:tcPr>
          <w:p w:rsidR="00583CE8" w:rsidRPr="0088577E" w:rsidRDefault="00583CE8" w:rsidP="00583CE8">
            <w:pPr>
              <w:pStyle w:val="TableText"/>
            </w:pPr>
            <w:r w:rsidRPr="0088577E">
              <w:t>Total</w:t>
            </w:r>
          </w:p>
        </w:tc>
        <w:tc>
          <w:tcPr>
            <w:tcW w:w="1752" w:type="dxa"/>
            <w:tcBorders>
              <w:top w:val="nil"/>
              <w:left w:val="single" w:sz="4" w:space="0" w:color="A6A6A6" w:themeColor="background1" w:themeShade="A6"/>
              <w:bottom w:val="single" w:sz="4" w:space="0" w:color="auto"/>
            </w:tcBorders>
            <w:shd w:val="clear" w:color="auto" w:fill="F2F2F2" w:themeFill="background1" w:themeFillShade="F2"/>
          </w:tcPr>
          <w:p w:rsidR="00583CE8" w:rsidRPr="0088577E" w:rsidRDefault="00583CE8" w:rsidP="00F97FBF">
            <w:pPr>
              <w:pStyle w:val="TableText"/>
              <w:tabs>
                <w:tab w:val="decimal" w:pos="906"/>
              </w:tabs>
            </w:pPr>
            <w:r w:rsidRPr="0088577E">
              <w:t>185</w:t>
            </w:r>
          </w:p>
        </w:tc>
        <w:tc>
          <w:tcPr>
            <w:tcW w:w="911" w:type="dxa"/>
            <w:tcBorders>
              <w:top w:val="nil"/>
              <w:bottom w:val="single" w:sz="4" w:space="0" w:color="auto"/>
              <w:right w:val="single" w:sz="4" w:space="0" w:color="A6A6A6" w:themeColor="background1" w:themeShade="A6"/>
            </w:tcBorders>
            <w:shd w:val="clear" w:color="auto" w:fill="F2F2F2" w:themeFill="background1" w:themeFillShade="F2"/>
          </w:tcPr>
          <w:p w:rsidR="00583CE8" w:rsidRPr="0088577E" w:rsidRDefault="00583CE8" w:rsidP="00F97FBF">
            <w:pPr>
              <w:pStyle w:val="TableText"/>
              <w:tabs>
                <w:tab w:val="decimal" w:pos="411"/>
              </w:tabs>
            </w:pPr>
            <w:r w:rsidRPr="0088577E">
              <w:t>129.1</w:t>
            </w:r>
          </w:p>
        </w:tc>
        <w:tc>
          <w:tcPr>
            <w:tcW w:w="1782" w:type="dxa"/>
            <w:tcBorders>
              <w:top w:val="nil"/>
              <w:left w:val="single" w:sz="4" w:space="0" w:color="A6A6A6" w:themeColor="background1" w:themeShade="A6"/>
              <w:bottom w:val="single" w:sz="4" w:space="0" w:color="auto"/>
            </w:tcBorders>
            <w:shd w:val="clear" w:color="auto" w:fill="F2F2F2" w:themeFill="background1" w:themeFillShade="F2"/>
          </w:tcPr>
          <w:p w:rsidR="00583CE8" w:rsidRPr="0088577E" w:rsidRDefault="00583CE8" w:rsidP="00F97FBF">
            <w:pPr>
              <w:pStyle w:val="TableText"/>
              <w:tabs>
                <w:tab w:val="decimal" w:pos="900"/>
              </w:tabs>
            </w:pPr>
            <w:r w:rsidRPr="0088577E">
              <w:t>281</w:t>
            </w:r>
          </w:p>
        </w:tc>
        <w:tc>
          <w:tcPr>
            <w:tcW w:w="881" w:type="dxa"/>
            <w:tcBorders>
              <w:top w:val="nil"/>
              <w:bottom w:val="single" w:sz="4" w:space="0" w:color="auto"/>
              <w:right w:val="single" w:sz="4" w:space="0" w:color="A6A6A6" w:themeColor="background1" w:themeShade="A6"/>
            </w:tcBorders>
            <w:shd w:val="clear" w:color="auto" w:fill="F2F2F2" w:themeFill="background1" w:themeFillShade="F2"/>
          </w:tcPr>
          <w:p w:rsidR="00583CE8" w:rsidRPr="0088577E" w:rsidRDefault="00583CE8" w:rsidP="00F97FBF">
            <w:pPr>
              <w:pStyle w:val="TableText"/>
              <w:tabs>
                <w:tab w:val="decimal" w:pos="388"/>
              </w:tabs>
            </w:pPr>
            <w:r w:rsidRPr="0088577E">
              <w:t>7.3</w:t>
            </w:r>
          </w:p>
        </w:tc>
        <w:tc>
          <w:tcPr>
            <w:tcW w:w="1812" w:type="dxa"/>
            <w:tcBorders>
              <w:top w:val="nil"/>
              <w:left w:val="single" w:sz="4" w:space="0" w:color="A6A6A6" w:themeColor="background1" w:themeShade="A6"/>
              <w:bottom w:val="single" w:sz="4" w:space="0" w:color="auto"/>
            </w:tcBorders>
            <w:shd w:val="clear" w:color="auto" w:fill="F2F2F2" w:themeFill="background1" w:themeFillShade="F2"/>
          </w:tcPr>
          <w:p w:rsidR="00583CE8" w:rsidRPr="0088577E" w:rsidRDefault="00583CE8" w:rsidP="00F97FBF">
            <w:pPr>
              <w:pStyle w:val="TableText"/>
              <w:tabs>
                <w:tab w:val="decimal" w:pos="1047"/>
              </w:tabs>
            </w:pPr>
            <w:r w:rsidRPr="0088577E">
              <w:t>466</w:t>
            </w:r>
          </w:p>
        </w:tc>
        <w:tc>
          <w:tcPr>
            <w:tcW w:w="851" w:type="dxa"/>
            <w:tcBorders>
              <w:top w:val="nil"/>
              <w:bottom w:val="single" w:sz="4" w:space="0" w:color="auto"/>
            </w:tcBorders>
            <w:shd w:val="clear" w:color="auto" w:fill="F2F2F2" w:themeFill="background1" w:themeFillShade="F2"/>
          </w:tcPr>
          <w:p w:rsidR="00583CE8" w:rsidRPr="0088577E" w:rsidRDefault="00583CE8" w:rsidP="00F97FBF">
            <w:pPr>
              <w:pStyle w:val="TableText"/>
              <w:jc w:val="center"/>
            </w:pPr>
            <w:r w:rsidRPr="0088577E">
              <w:t>11.7</w:t>
            </w:r>
          </w:p>
        </w:tc>
      </w:tr>
    </w:tbl>
    <w:p w:rsidR="004659AD" w:rsidRPr="005E2C2B" w:rsidRDefault="004659AD" w:rsidP="00451EFA">
      <w:pPr>
        <w:pStyle w:val="Note"/>
        <w:ind w:right="0"/>
      </w:pPr>
      <w:r w:rsidRPr="005E2C2B">
        <w:t>Note: ASR = age-standardised rate</w:t>
      </w:r>
      <w:r w:rsidR="005E2C2B">
        <w:t>.</w:t>
      </w:r>
    </w:p>
    <w:p w:rsidR="004659AD" w:rsidRPr="00642432" w:rsidRDefault="004659AD" w:rsidP="00451EFA">
      <w:pPr>
        <w:pStyle w:val="Source"/>
        <w:ind w:right="0"/>
      </w:pPr>
      <w:r w:rsidRPr="00642432">
        <w:t>Source: Ministry of Health mortality database</w:t>
      </w:r>
      <w:r w:rsidR="005E2C2B">
        <w:t>.</w:t>
      </w:r>
    </w:p>
    <w:p w:rsidR="004659AD" w:rsidRPr="00642432" w:rsidRDefault="004659AD" w:rsidP="005E2C2B"/>
    <w:p w:rsidR="004659AD" w:rsidRPr="00642432" w:rsidRDefault="004659AD" w:rsidP="005E2C2B">
      <w:pPr>
        <w:pStyle w:val="Heading3"/>
      </w:pPr>
      <w:r w:rsidRPr="00642432">
        <w:t>Service users who died by suicide during 2011</w:t>
      </w:r>
    </w:p>
    <w:p w:rsidR="004659AD" w:rsidRPr="005E2C2B" w:rsidRDefault="004659AD" w:rsidP="005E2C2B">
      <w:r w:rsidRPr="00642432">
        <w:t xml:space="preserve">During 2011, 185 service users died by suicide. Of this total, </w:t>
      </w:r>
      <w:r w:rsidR="001B5391">
        <w:t>four</w:t>
      </w:r>
      <w:r w:rsidRPr="00642432">
        <w:t xml:space="preserve"> service users died while an inpatient,</w:t>
      </w:r>
      <w:r w:rsidR="005E2C2B">
        <w:rPr>
          <w:rStyle w:val="FootnoteReference"/>
        </w:rPr>
        <w:footnoteReference w:id="25"/>
      </w:r>
      <w:r w:rsidR="005E2C2B">
        <w:t xml:space="preserve"> </w:t>
      </w:r>
      <w:r w:rsidR="001B5391">
        <w:t>seven</w:t>
      </w:r>
      <w:r w:rsidRPr="00642432">
        <w:t xml:space="preserve"> died within a week</w:t>
      </w:r>
      <w:r w:rsidR="00D32DDD" w:rsidRPr="00642432">
        <w:t xml:space="preserve"> </w:t>
      </w:r>
      <w:r w:rsidRPr="00642432">
        <w:t>of being discharged</w:t>
      </w:r>
      <w:r w:rsidR="005E2C2B">
        <w:rPr>
          <w:rStyle w:val="FootnoteReference"/>
        </w:rPr>
        <w:footnoteReference w:id="26"/>
      </w:r>
      <w:r w:rsidR="005E2C2B">
        <w:t xml:space="preserve"> </w:t>
      </w:r>
      <w:r w:rsidRPr="00642432">
        <w:t>and 39 died within 12 months of discharge.</w:t>
      </w:r>
      <w:r w:rsidR="005E2C2B">
        <w:rPr>
          <w:rStyle w:val="FootnoteReference"/>
        </w:rPr>
        <w:footnoteReference w:id="27"/>
      </w:r>
    </w:p>
    <w:p w:rsidR="004659AD" w:rsidRPr="00642432" w:rsidRDefault="004659AD" w:rsidP="005E2C2B"/>
    <w:p w:rsidR="004659AD" w:rsidRPr="00642432" w:rsidRDefault="004659AD" w:rsidP="005E2C2B">
      <w:pPr>
        <w:pStyle w:val="Heading3"/>
      </w:pPr>
      <w:r w:rsidRPr="00642432">
        <w:t>An overview of service users dying by suicide, 2001 to 2011</w:t>
      </w:r>
    </w:p>
    <w:p w:rsidR="004659AD" w:rsidRPr="00642432" w:rsidRDefault="004659AD" w:rsidP="005E2C2B">
      <w:r w:rsidRPr="00642432">
        <w:t>Over the 10-year period from 2001 to 2011, 1793 service users died by suicide.</w:t>
      </w:r>
      <w:r w:rsidR="005E2C2B">
        <w:rPr>
          <w:rStyle w:val="FootnoteReference"/>
        </w:rPr>
        <w:footnoteReference w:id="28"/>
      </w:r>
      <w:r w:rsidR="005E2C2B">
        <w:t xml:space="preserve"> </w:t>
      </w:r>
      <w:r w:rsidRPr="00642432">
        <w:t>Of this total, 23</w:t>
      </w:r>
      <w:r w:rsidR="005E2C2B">
        <w:t> </w:t>
      </w:r>
      <w:r w:rsidRPr="00642432">
        <w:t>service users (1 percent) died while an inpatient, 111(6 percent) died within a week</w:t>
      </w:r>
      <w:r w:rsidR="00D32DDD" w:rsidRPr="00642432">
        <w:t xml:space="preserve"> </w:t>
      </w:r>
      <w:r w:rsidRPr="00642432">
        <w:t>of being discharged and 462 (26 percent) died within 12 months of discharge.</w:t>
      </w:r>
    </w:p>
    <w:p w:rsidR="004659AD" w:rsidRPr="00642432" w:rsidRDefault="004659AD" w:rsidP="005E2C2B"/>
    <w:p w:rsidR="004659AD" w:rsidRPr="00642432" w:rsidRDefault="004659AD" w:rsidP="005E2C2B">
      <w:r w:rsidRPr="00642432">
        <w:t>Of the 1793 service user suicides from 2001 to 2011, 1525 service users were</w:t>
      </w:r>
      <w:r w:rsidR="00D32DDD" w:rsidRPr="00642432">
        <w:t xml:space="preserve"> </w:t>
      </w:r>
      <w:r w:rsidRPr="00642432">
        <w:t>receiving treatment from a specialist service community team in the 12 months before death, and 387 patients were</w:t>
      </w:r>
      <w:r w:rsidR="00D32DDD" w:rsidRPr="00642432">
        <w:t xml:space="preserve"> </w:t>
      </w:r>
      <w:r w:rsidRPr="00642432">
        <w:t>receiving treatment from a specialist alcohol and drug team in the 12 months before death.</w:t>
      </w:r>
    </w:p>
    <w:p w:rsidR="004659AD" w:rsidRPr="00642432" w:rsidRDefault="004659AD" w:rsidP="005E2C2B"/>
    <w:p w:rsidR="004659AD" w:rsidRPr="00642432" w:rsidRDefault="004659AD" w:rsidP="005E2C2B">
      <w:pPr>
        <w:pStyle w:val="Heading2"/>
      </w:pPr>
      <w:bookmarkStart w:id="72" w:name="_Toc405113674"/>
      <w:r w:rsidRPr="00642432">
        <w:t>The Alcoholism and Drug Addiction Act</w:t>
      </w:r>
      <w:bookmarkEnd w:id="72"/>
    </w:p>
    <w:p w:rsidR="004659AD" w:rsidRPr="00642432" w:rsidRDefault="004659AD" w:rsidP="00E43739">
      <w:pPr>
        <w:keepNext/>
      </w:pPr>
      <w:r w:rsidRPr="00642432">
        <w:t>The Alcoholism and Drug Addiction Act 1966 (ADA Act) provides for the compulsory detention and treatment of people with severe substance dependence for up to two years at certified institutions.</w:t>
      </w:r>
    </w:p>
    <w:p w:rsidR="004659AD" w:rsidRPr="00642432" w:rsidRDefault="004659AD" w:rsidP="00E43739">
      <w:pPr>
        <w:keepNext/>
      </w:pPr>
    </w:p>
    <w:p w:rsidR="004659AD" w:rsidRPr="00642432" w:rsidRDefault="004659AD" w:rsidP="00E43739">
      <w:pPr>
        <w:keepNext/>
      </w:pPr>
      <w:r w:rsidRPr="00642432">
        <w:t>In summary, in 2013:</w:t>
      </w:r>
    </w:p>
    <w:p w:rsidR="004659AD" w:rsidRPr="00642432" w:rsidRDefault="004659AD" w:rsidP="00E43739">
      <w:pPr>
        <w:pStyle w:val="Bullet"/>
        <w:keepNext/>
      </w:pPr>
      <w:r w:rsidRPr="00642432">
        <w:t>75 orders were</w:t>
      </w:r>
      <w:r w:rsidR="00D32DDD" w:rsidRPr="00642432">
        <w:t xml:space="preserve"> </w:t>
      </w:r>
      <w:r w:rsidRPr="00642432">
        <w:t>granted by the Family Court for either detention or committal under the ADA Act</w:t>
      </w:r>
    </w:p>
    <w:p w:rsidR="004659AD" w:rsidRPr="00642432" w:rsidRDefault="004659AD" w:rsidP="005E2C2B">
      <w:pPr>
        <w:pStyle w:val="Bullet"/>
      </w:pPr>
      <w:r w:rsidRPr="00642432">
        <w:t>59 of the granted orders were</w:t>
      </w:r>
      <w:r w:rsidR="00D32DDD" w:rsidRPr="00642432">
        <w:t xml:space="preserve"> </w:t>
      </w:r>
      <w:r w:rsidRPr="00642432">
        <w:t>for voluntary detention (section 8) and 16 were</w:t>
      </w:r>
      <w:r w:rsidR="00D32DDD" w:rsidRPr="00642432">
        <w:t xml:space="preserve"> </w:t>
      </w:r>
      <w:r w:rsidRPr="00642432">
        <w:t>for involuntary committal (section 9).</w:t>
      </w:r>
    </w:p>
    <w:p w:rsidR="004659AD" w:rsidRPr="00642432" w:rsidRDefault="004659AD" w:rsidP="005E2C2B"/>
    <w:p w:rsidR="004659AD" w:rsidRPr="00642432" w:rsidRDefault="004659AD" w:rsidP="005E2C2B">
      <w:r w:rsidRPr="00642432">
        <w:t xml:space="preserve">In October 2009 the Prime Minister announced a review of the ADA Act as part of a range of initiatives to reduce harm from methamphetamine. The Law Commission released its report </w:t>
      </w:r>
      <w:r w:rsidRPr="00642432">
        <w:rPr>
          <w:i/>
        </w:rPr>
        <w:t>Compulsory</w:t>
      </w:r>
      <w:r w:rsidR="005E2C2B">
        <w:rPr>
          <w:i/>
        </w:rPr>
        <w:t xml:space="preserve"> </w:t>
      </w:r>
      <w:r w:rsidRPr="005E2C2B">
        <w:rPr>
          <w:i/>
        </w:rPr>
        <w:t>Treatment for Substance Dependence: A review of the Alcoholism and Drug Addiction Act 1966</w:t>
      </w:r>
      <w:r w:rsidRPr="00642432">
        <w:t xml:space="preserve"> in</w:t>
      </w:r>
      <w:r w:rsidR="005E2C2B">
        <w:t xml:space="preserve"> </w:t>
      </w:r>
      <w:r w:rsidRPr="00642432">
        <w:t>October 2012 (New Zealand Law Commission 2012). In 2012 a bill to repeal and replace the ADA Act was developed.</w:t>
      </w:r>
    </w:p>
    <w:p w:rsidR="004659AD" w:rsidRPr="00642432" w:rsidRDefault="004659AD" w:rsidP="005E2C2B"/>
    <w:p w:rsidR="004659AD" w:rsidRPr="00642432" w:rsidRDefault="004659AD" w:rsidP="005E2C2B">
      <w:r w:rsidRPr="00642432">
        <w:t>Section 8 of the ADA Act allows a person who</w:t>
      </w:r>
      <w:r w:rsidR="00D32DDD" w:rsidRPr="00642432">
        <w:t xml:space="preserve"> </w:t>
      </w:r>
      <w:r w:rsidRPr="00642432">
        <w:t>is dependent on alcohol or another drug to voluntarily apply to the Family Court for detention in a specified institution that is certified under the ADA Act (detention). Section 9 of the ADA Act applies when another person (such as a relative or the police) makes an application to the Family Court for the person to be committed to a specified institution that is certified under the ADA Act (committal). Section 9 applications must be accompanied by two medical certificates.</w:t>
      </w:r>
    </w:p>
    <w:p w:rsidR="004659AD" w:rsidRPr="00642432" w:rsidRDefault="004659AD" w:rsidP="005E2C2B"/>
    <w:p w:rsidR="004659AD" w:rsidRPr="00642432" w:rsidRDefault="004659AD" w:rsidP="005E2C2B">
      <w:r w:rsidRPr="00642432">
        <w:t>Ministry of Justice statistics on the use of the ADA Act are available from</w:t>
      </w:r>
      <w:r w:rsidR="00D32DDD" w:rsidRPr="00642432">
        <w:t xml:space="preserve"> </w:t>
      </w:r>
      <w:r w:rsidRPr="00642432">
        <w:t>the beginning of 2004. Table</w:t>
      </w:r>
      <w:r w:rsidR="00D32DDD" w:rsidRPr="00642432">
        <w:t xml:space="preserve"> </w:t>
      </w:r>
      <w:r w:rsidRPr="00642432">
        <w:t>18 details the outcomes of applications under the ADA Act to the Family Court. Table</w:t>
      </w:r>
      <w:r w:rsidR="00D32DDD" w:rsidRPr="00642432">
        <w:t xml:space="preserve"> </w:t>
      </w:r>
      <w:r w:rsidRPr="00642432">
        <w:t>19 shows the number of orders granted for detention under section 8 and for committal under section 9 of the ADA Act.</w:t>
      </w:r>
    </w:p>
    <w:p w:rsidR="004659AD" w:rsidRPr="00642432" w:rsidRDefault="004659AD" w:rsidP="001B5391">
      <w:pPr>
        <w:pStyle w:val="Table"/>
        <w:spacing w:before="360"/>
      </w:pPr>
      <w:bookmarkStart w:id="73" w:name="_Toc405113698"/>
      <w:r w:rsidRPr="00642432">
        <w:t>Table 18: Number and outcomes of applications for detention and committal, 2004 to 2013</w:t>
      </w:r>
      <w:bookmarkEnd w:id="73"/>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544"/>
        <w:gridCol w:w="581"/>
        <w:gridCol w:w="581"/>
        <w:gridCol w:w="581"/>
        <w:gridCol w:w="581"/>
        <w:gridCol w:w="582"/>
        <w:gridCol w:w="581"/>
        <w:gridCol w:w="581"/>
        <w:gridCol w:w="581"/>
        <w:gridCol w:w="581"/>
        <w:gridCol w:w="582"/>
      </w:tblGrid>
      <w:tr w:rsidR="0078108F" w:rsidRPr="0078108F" w:rsidTr="0078108F">
        <w:trPr>
          <w:cantSplit/>
        </w:trPr>
        <w:tc>
          <w:tcPr>
            <w:tcW w:w="3544" w:type="dxa"/>
            <w:tcBorders>
              <w:top w:val="single" w:sz="4" w:space="0" w:color="auto"/>
              <w:bottom w:val="single" w:sz="4" w:space="0" w:color="auto"/>
            </w:tcBorders>
            <w:shd w:val="clear" w:color="auto" w:fill="F2F2F2" w:themeFill="background1" w:themeFillShade="F2"/>
          </w:tcPr>
          <w:p w:rsidR="0078108F" w:rsidRPr="0078108F" w:rsidRDefault="0078108F" w:rsidP="0078108F">
            <w:pPr>
              <w:pStyle w:val="TableText"/>
              <w:rPr>
                <w:b/>
              </w:rPr>
            </w:pPr>
            <w:r w:rsidRPr="0078108F">
              <w:rPr>
                <w:b/>
              </w:rPr>
              <w:t>Application outcome</w:t>
            </w:r>
          </w:p>
        </w:tc>
        <w:tc>
          <w:tcPr>
            <w:tcW w:w="581" w:type="dxa"/>
            <w:tcBorders>
              <w:top w:val="single" w:sz="4" w:space="0" w:color="auto"/>
              <w:bottom w:val="single" w:sz="4" w:space="0" w:color="auto"/>
            </w:tcBorders>
            <w:shd w:val="clear" w:color="auto" w:fill="F2F2F2" w:themeFill="background1" w:themeFillShade="F2"/>
          </w:tcPr>
          <w:p w:rsidR="0078108F" w:rsidRPr="0078108F" w:rsidRDefault="0078108F" w:rsidP="0078108F">
            <w:pPr>
              <w:pStyle w:val="TableText"/>
              <w:jc w:val="center"/>
              <w:rPr>
                <w:b/>
              </w:rPr>
            </w:pPr>
            <w:r w:rsidRPr="0078108F">
              <w:rPr>
                <w:b/>
              </w:rPr>
              <w:t>2004</w:t>
            </w:r>
          </w:p>
        </w:tc>
        <w:tc>
          <w:tcPr>
            <w:tcW w:w="581" w:type="dxa"/>
            <w:tcBorders>
              <w:top w:val="single" w:sz="4" w:space="0" w:color="auto"/>
              <w:bottom w:val="single" w:sz="4" w:space="0" w:color="auto"/>
            </w:tcBorders>
            <w:shd w:val="clear" w:color="auto" w:fill="F2F2F2" w:themeFill="background1" w:themeFillShade="F2"/>
          </w:tcPr>
          <w:p w:rsidR="0078108F" w:rsidRPr="0078108F" w:rsidRDefault="0078108F" w:rsidP="0078108F">
            <w:pPr>
              <w:pStyle w:val="TableText"/>
              <w:jc w:val="center"/>
              <w:rPr>
                <w:b/>
              </w:rPr>
            </w:pPr>
            <w:r w:rsidRPr="0078108F">
              <w:rPr>
                <w:b/>
              </w:rPr>
              <w:t>2005</w:t>
            </w:r>
          </w:p>
        </w:tc>
        <w:tc>
          <w:tcPr>
            <w:tcW w:w="581" w:type="dxa"/>
            <w:tcBorders>
              <w:top w:val="single" w:sz="4" w:space="0" w:color="auto"/>
              <w:bottom w:val="single" w:sz="4" w:space="0" w:color="auto"/>
            </w:tcBorders>
            <w:shd w:val="clear" w:color="auto" w:fill="F2F2F2" w:themeFill="background1" w:themeFillShade="F2"/>
          </w:tcPr>
          <w:p w:rsidR="0078108F" w:rsidRPr="0078108F" w:rsidRDefault="0078108F" w:rsidP="0078108F">
            <w:pPr>
              <w:pStyle w:val="TableText"/>
              <w:jc w:val="center"/>
              <w:rPr>
                <w:b/>
              </w:rPr>
            </w:pPr>
            <w:r w:rsidRPr="0078108F">
              <w:rPr>
                <w:b/>
              </w:rPr>
              <w:t>2006</w:t>
            </w:r>
          </w:p>
        </w:tc>
        <w:tc>
          <w:tcPr>
            <w:tcW w:w="581" w:type="dxa"/>
            <w:tcBorders>
              <w:top w:val="single" w:sz="4" w:space="0" w:color="auto"/>
              <w:bottom w:val="single" w:sz="4" w:space="0" w:color="auto"/>
            </w:tcBorders>
            <w:shd w:val="clear" w:color="auto" w:fill="F2F2F2" w:themeFill="background1" w:themeFillShade="F2"/>
          </w:tcPr>
          <w:p w:rsidR="0078108F" w:rsidRPr="0078108F" w:rsidRDefault="0078108F" w:rsidP="0078108F">
            <w:pPr>
              <w:pStyle w:val="TableText"/>
              <w:jc w:val="center"/>
              <w:rPr>
                <w:b/>
              </w:rPr>
            </w:pPr>
            <w:r w:rsidRPr="0078108F">
              <w:rPr>
                <w:b/>
              </w:rPr>
              <w:t>2007</w:t>
            </w:r>
          </w:p>
        </w:tc>
        <w:tc>
          <w:tcPr>
            <w:tcW w:w="582" w:type="dxa"/>
            <w:tcBorders>
              <w:top w:val="single" w:sz="4" w:space="0" w:color="auto"/>
              <w:bottom w:val="single" w:sz="4" w:space="0" w:color="auto"/>
            </w:tcBorders>
            <w:shd w:val="clear" w:color="auto" w:fill="F2F2F2" w:themeFill="background1" w:themeFillShade="F2"/>
          </w:tcPr>
          <w:p w:rsidR="0078108F" w:rsidRPr="0078108F" w:rsidRDefault="0078108F" w:rsidP="0078108F">
            <w:pPr>
              <w:pStyle w:val="TableText"/>
              <w:jc w:val="center"/>
              <w:rPr>
                <w:b/>
              </w:rPr>
            </w:pPr>
            <w:r w:rsidRPr="0078108F">
              <w:rPr>
                <w:b/>
              </w:rPr>
              <w:t>2008</w:t>
            </w:r>
          </w:p>
        </w:tc>
        <w:tc>
          <w:tcPr>
            <w:tcW w:w="581" w:type="dxa"/>
            <w:tcBorders>
              <w:top w:val="single" w:sz="4" w:space="0" w:color="auto"/>
              <w:bottom w:val="single" w:sz="4" w:space="0" w:color="auto"/>
            </w:tcBorders>
            <w:shd w:val="clear" w:color="auto" w:fill="F2F2F2" w:themeFill="background1" w:themeFillShade="F2"/>
          </w:tcPr>
          <w:p w:rsidR="0078108F" w:rsidRPr="0078108F" w:rsidRDefault="0078108F" w:rsidP="0078108F">
            <w:pPr>
              <w:pStyle w:val="TableText"/>
              <w:jc w:val="center"/>
              <w:rPr>
                <w:b/>
              </w:rPr>
            </w:pPr>
            <w:r w:rsidRPr="0078108F">
              <w:rPr>
                <w:b/>
              </w:rPr>
              <w:t>2009</w:t>
            </w:r>
          </w:p>
        </w:tc>
        <w:tc>
          <w:tcPr>
            <w:tcW w:w="581" w:type="dxa"/>
            <w:tcBorders>
              <w:top w:val="single" w:sz="4" w:space="0" w:color="auto"/>
              <w:bottom w:val="single" w:sz="4" w:space="0" w:color="auto"/>
            </w:tcBorders>
            <w:shd w:val="clear" w:color="auto" w:fill="F2F2F2" w:themeFill="background1" w:themeFillShade="F2"/>
          </w:tcPr>
          <w:p w:rsidR="0078108F" w:rsidRPr="0078108F" w:rsidRDefault="0078108F" w:rsidP="0078108F">
            <w:pPr>
              <w:pStyle w:val="TableText"/>
              <w:jc w:val="center"/>
              <w:rPr>
                <w:b/>
              </w:rPr>
            </w:pPr>
            <w:r w:rsidRPr="0078108F">
              <w:rPr>
                <w:b/>
              </w:rPr>
              <w:t>2010</w:t>
            </w:r>
          </w:p>
        </w:tc>
        <w:tc>
          <w:tcPr>
            <w:tcW w:w="581" w:type="dxa"/>
            <w:tcBorders>
              <w:top w:val="single" w:sz="4" w:space="0" w:color="auto"/>
              <w:bottom w:val="single" w:sz="4" w:space="0" w:color="auto"/>
            </w:tcBorders>
            <w:shd w:val="clear" w:color="auto" w:fill="F2F2F2" w:themeFill="background1" w:themeFillShade="F2"/>
          </w:tcPr>
          <w:p w:rsidR="0078108F" w:rsidRPr="0078108F" w:rsidRDefault="0078108F" w:rsidP="0078108F">
            <w:pPr>
              <w:pStyle w:val="TableText"/>
              <w:jc w:val="center"/>
              <w:rPr>
                <w:b/>
              </w:rPr>
            </w:pPr>
            <w:r w:rsidRPr="0078108F">
              <w:rPr>
                <w:b/>
              </w:rPr>
              <w:t>2011</w:t>
            </w:r>
          </w:p>
        </w:tc>
        <w:tc>
          <w:tcPr>
            <w:tcW w:w="581" w:type="dxa"/>
            <w:tcBorders>
              <w:top w:val="single" w:sz="4" w:space="0" w:color="auto"/>
              <w:bottom w:val="single" w:sz="4" w:space="0" w:color="auto"/>
            </w:tcBorders>
            <w:shd w:val="clear" w:color="auto" w:fill="F2F2F2" w:themeFill="background1" w:themeFillShade="F2"/>
          </w:tcPr>
          <w:p w:rsidR="0078108F" w:rsidRPr="0078108F" w:rsidRDefault="0078108F" w:rsidP="0078108F">
            <w:pPr>
              <w:pStyle w:val="TableText"/>
              <w:jc w:val="center"/>
              <w:rPr>
                <w:b/>
              </w:rPr>
            </w:pPr>
            <w:r w:rsidRPr="0078108F">
              <w:rPr>
                <w:b/>
              </w:rPr>
              <w:t>2012</w:t>
            </w:r>
          </w:p>
        </w:tc>
        <w:tc>
          <w:tcPr>
            <w:tcW w:w="582" w:type="dxa"/>
            <w:tcBorders>
              <w:top w:val="single" w:sz="4" w:space="0" w:color="auto"/>
              <w:bottom w:val="single" w:sz="4" w:space="0" w:color="auto"/>
            </w:tcBorders>
            <w:shd w:val="clear" w:color="auto" w:fill="F2F2F2" w:themeFill="background1" w:themeFillShade="F2"/>
          </w:tcPr>
          <w:p w:rsidR="0078108F" w:rsidRPr="0078108F" w:rsidRDefault="0078108F" w:rsidP="0078108F">
            <w:pPr>
              <w:pStyle w:val="TableText"/>
              <w:jc w:val="center"/>
              <w:rPr>
                <w:b/>
              </w:rPr>
            </w:pPr>
            <w:r w:rsidRPr="0078108F">
              <w:rPr>
                <w:b/>
              </w:rPr>
              <w:t>2013</w:t>
            </w:r>
          </w:p>
        </w:tc>
      </w:tr>
      <w:tr w:rsidR="004659AD" w:rsidRPr="00642432" w:rsidTr="0078108F">
        <w:trPr>
          <w:cantSplit/>
        </w:trPr>
        <w:tc>
          <w:tcPr>
            <w:tcW w:w="3544" w:type="dxa"/>
            <w:tcBorders>
              <w:top w:val="single" w:sz="4" w:space="0" w:color="auto"/>
              <w:bottom w:val="nil"/>
            </w:tcBorders>
          </w:tcPr>
          <w:p w:rsidR="004659AD" w:rsidRPr="00642432" w:rsidRDefault="004659AD" w:rsidP="0078108F">
            <w:pPr>
              <w:pStyle w:val="TableText"/>
            </w:pPr>
            <w:r w:rsidRPr="00642432">
              <w:t>Application granted or granted with consent</w:t>
            </w:r>
          </w:p>
        </w:tc>
        <w:tc>
          <w:tcPr>
            <w:tcW w:w="581" w:type="dxa"/>
            <w:tcBorders>
              <w:top w:val="single" w:sz="4" w:space="0" w:color="auto"/>
              <w:bottom w:val="nil"/>
            </w:tcBorders>
          </w:tcPr>
          <w:p w:rsidR="004659AD" w:rsidRPr="00642432" w:rsidRDefault="004659AD" w:rsidP="0078108F">
            <w:pPr>
              <w:pStyle w:val="TableText"/>
              <w:tabs>
                <w:tab w:val="decimal" w:pos="368"/>
              </w:tabs>
            </w:pPr>
            <w:r w:rsidRPr="00642432">
              <w:t>72</w:t>
            </w:r>
          </w:p>
        </w:tc>
        <w:tc>
          <w:tcPr>
            <w:tcW w:w="581" w:type="dxa"/>
            <w:tcBorders>
              <w:top w:val="single" w:sz="4" w:space="0" w:color="auto"/>
              <w:bottom w:val="nil"/>
            </w:tcBorders>
          </w:tcPr>
          <w:p w:rsidR="004659AD" w:rsidRPr="00642432" w:rsidRDefault="004659AD" w:rsidP="0078108F">
            <w:pPr>
              <w:pStyle w:val="TableText"/>
              <w:tabs>
                <w:tab w:val="decimal" w:pos="368"/>
              </w:tabs>
            </w:pPr>
            <w:r w:rsidRPr="00642432">
              <w:t>79</w:t>
            </w:r>
          </w:p>
        </w:tc>
        <w:tc>
          <w:tcPr>
            <w:tcW w:w="581" w:type="dxa"/>
            <w:tcBorders>
              <w:top w:val="single" w:sz="4" w:space="0" w:color="auto"/>
              <w:bottom w:val="nil"/>
            </w:tcBorders>
          </w:tcPr>
          <w:p w:rsidR="004659AD" w:rsidRPr="00642432" w:rsidRDefault="004659AD" w:rsidP="0078108F">
            <w:pPr>
              <w:pStyle w:val="TableText"/>
              <w:tabs>
                <w:tab w:val="decimal" w:pos="368"/>
              </w:tabs>
            </w:pPr>
            <w:r w:rsidRPr="00642432">
              <w:t>77</w:t>
            </w:r>
          </w:p>
        </w:tc>
        <w:tc>
          <w:tcPr>
            <w:tcW w:w="581" w:type="dxa"/>
            <w:tcBorders>
              <w:top w:val="single" w:sz="4" w:space="0" w:color="auto"/>
              <w:bottom w:val="nil"/>
            </w:tcBorders>
          </w:tcPr>
          <w:p w:rsidR="004659AD" w:rsidRPr="00642432" w:rsidRDefault="004659AD" w:rsidP="0078108F">
            <w:pPr>
              <w:pStyle w:val="TableText"/>
              <w:tabs>
                <w:tab w:val="decimal" w:pos="368"/>
              </w:tabs>
            </w:pPr>
            <w:r w:rsidRPr="00642432">
              <w:t>71</w:t>
            </w:r>
          </w:p>
        </w:tc>
        <w:tc>
          <w:tcPr>
            <w:tcW w:w="582" w:type="dxa"/>
            <w:tcBorders>
              <w:top w:val="single" w:sz="4" w:space="0" w:color="auto"/>
              <w:bottom w:val="nil"/>
            </w:tcBorders>
          </w:tcPr>
          <w:p w:rsidR="004659AD" w:rsidRPr="00642432" w:rsidRDefault="004659AD" w:rsidP="0078108F">
            <w:pPr>
              <w:pStyle w:val="TableText"/>
              <w:tabs>
                <w:tab w:val="decimal" w:pos="368"/>
              </w:tabs>
            </w:pPr>
            <w:r w:rsidRPr="00642432">
              <w:t>75</w:t>
            </w:r>
          </w:p>
        </w:tc>
        <w:tc>
          <w:tcPr>
            <w:tcW w:w="581" w:type="dxa"/>
            <w:tcBorders>
              <w:top w:val="single" w:sz="4" w:space="0" w:color="auto"/>
              <w:bottom w:val="nil"/>
            </w:tcBorders>
          </w:tcPr>
          <w:p w:rsidR="004659AD" w:rsidRPr="00642432" w:rsidRDefault="004659AD" w:rsidP="0078108F">
            <w:pPr>
              <w:pStyle w:val="TableText"/>
              <w:tabs>
                <w:tab w:val="decimal" w:pos="368"/>
              </w:tabs>
            </w:pPr>
            <w:r w:rsidRPr="00642432">
              <w:t>71</w:t>
            </w:r>
          </w:p>
        </w:tc>
        <w:tc>
          <w:tcPr>
            <w:tcW w:w="581" w:type="dxa"/>
            <w:tcBorders>
              <w:top w:val="single" w:sz="4" w:space="0" w:color="auto"/>
              <w:bottom w:val="nil"/>
            </w:tcBorders>
          </w:tcPr>
          <w:p w:rsidR="004659AD" w:rsidRPr="00642432" w:rsidRDefault="004659AD" w:rsidP="0078108F">
            <w:pPr>
              <w:pStyle w:val="TableText"/>
              <w:tabs>
                <w:tab w:val="decimal" w:pos="368"/>
              </w:tabs>
            </w:pPr>
            <w:r w:rsidRPr="00642432">
              <w:t>69</w:t>
            </w:r>
          </w:p>
        </w:tc>
        <w:tc>
          <w:tcPr>
            <w:tcW w:w="581" w:type="dxa"/>
            <w:tcBorders>
              <w:top w:val="single" w:sz="4" w:space="0" w:color="auto"/>
              <w:bottom w:val="nil"/>
            </w:tcBorders>
          </w:tcPr>
          <w:p w:rsidR="004659AD" w:rsidRPr="00642432" w:rsidRDefault="004659AD" w:rsidP="0078108F">
            <w:pPr>
              <w:pStyle w:val="TableText"/>
              <w:tabs>
                <w:tab w:val="decimal" w:pos="368"/>
              </w:tabs>
            </w:pPr>
            <w:r w:rsidRPr="00642432">
              <w:t>74</w:t>
            </w:r>
          </w:p>
        </w:tc>
        <w:tc>
          <w:tcPr>
            <w:tcW w:w="581" w:type="dxa"/>
            <w:tcBorders>
              <w:top w:val="single" w:sz="4" w:space="0" w:color="auto"/>
              <w:bottom w:val="nil"/>
            </w:tcBorders>
          </w:tcPr>
          <w:p w:rsidR="004659AD" w:rsidRPr="00642432" w:rsidRDefault="004659AD" w:rsidP="0078108F">
            <w:pPr>
              <w:pStyle w:val="TableText"/>
              <w:tabs>
                <w:tab w:val="decimal" w:pos="368"/>
              </w:tabs>
            </w:pPr>
            <w:r w:rsidRPr="00642432">
              <w:t>72</w:t>
            </w:r>
          </w:p>
        </w:tc>
        <w:tc>
          <w:tcPr>
            <w:tcW w:w="582" w:type="dxa"/>
            <w:tcBorders>
              <w:top w:val="single" w:sz="4" w:space="0" w:color="auto"/>
              <w:bottom w:val="nil"/>
            </w:tcBorders>
          </w:tcPr>
          <w:p w:rsidR="004659AD" w:rsidRPr="00642432" w:rsidRDefault="004659AD" w:rsidP="0078108F">
            <w:pPr>
              <w:pStyle w:val="TableText"/>
              <w:tabs>
                <w:tab w:val="decimal" w:pos="368"/>
              </w:tabs>
            </w:pPr>
            <w:r w:rsidRPr="00642432">
              <w:t>75</w:t>
            </w:r>
          </w:p>
        </w:tc>
      </w:tr>
      <w:tr w:rsidR="004659AD" w:rsidRPr="00642432" w:rsidTr="0078108F">
        <w:trPr>
          <w:cantSplit/>
        </w:trPr>
        <w:tc>
          <w:tcPr>
            <w:tcW w:w="3544" w:type="dxa"/>
            <w:tcBorders>
              <w:top w:val="nil"/>
              <w:bottom w:val="nil"/>
            </w:tcBorders>
            <w:shd w:val="clear" w:color="auto" w:fill="F2F2F2" w:themeFill="background1" w:themeFillShade="F2"/>
          </w:tcPr>
          <w:p w:rsidR="004659AD" w:rsidRPr="00642432" w:rsidRDefault="004659AD" w:rsidP="0078108F">
            <w:pPr>
              <w:pStyle w:val="TableText"/>
            </w:pPr>
            <w:r w:rsidRPr="00642432">
              <w:t>Application dismissed or struck out</w:t>
            </w:r>
          </w:p>
        </w:tc>
        <w:tc>
          <w:tcPr>
            <w:tcW w:w="581" w:type="dxa"/>
            <w:tcBorders>
              <w:top w:val="nil"/>
              <w:bottom w:val="nil"/>
            </w:tcBorders>
            <w:shd w:val="clear" w:color="auto" w:fill="F2F2F2" w:themeFill="background1" w:themeFillShade="F2"/>
          </w:tcPr>
          <w:p w:rsidR="004659AD" w:rsidRPr="00642432" w:rsidRDefault="004659AD" w:rsidP="0078108F">
            <w:pPr>
              <w:pStyle w:val="TableText"/>
              <w:tabs>
                <w:tab w:val="decimal" w:pos="368"/>
              </w:tabs>
            </w:pPr>
            <w:r w:rsidRPr="00642432">
              <w:t>5</w:t>
            </w:r>
          </w:p>
        </w:tc>
        <w:tc>
          <w:tcPr>
            <w:tcW w:w="581" w:type="dxa"/>
            <w:tcBorders>
              <w:top w:val="nil"/>
              <w:bottom w:val="nil"/>
            </w:tcBorders>
            <w:shd w:val="clear" w:color="auto" w:fill="F2F2F2" w:themeFill="background1" w:themeFillShade="F2"/>
          </w:tcPr>
          <w:p w:rsidR="004659AD" w:rsidRPr="00642432" w:rsidRDefault="004659AD" w:rsidP="0078108F">
            <w:pPr>
              <w:pStyle w:val="TableText"/>
              <w:tabs>
                <w:tab w:val="decimal" w:pos="368"/>
              </w:tabs>
            </w:pPr>
            <w:r w:rsidRPr="00642432">
              <w:t>3</w:t>
            </w:r>
          </w:p>
        </w:tc>
        <w:tc>
          <w:tcPr>
            <w:tcW w:w="581" w:type="dxa"/>
            <w:tcBorders>
              <w:top w:val="nil"/>
              <w:bottom w:val="nil"/>
            </w:tcBorders>
            <w:shd w:val="clear" w:color="auto" w:fill="F2F2F2" w:themeFill="background1" w:themeFillShade="F2"/>
          </w:tcPr>
          <w:p w:rsidR="004659AD" w:rsidRPr="00642432" w:rsidRDefault="004659AD" w:rsidP="0078108F">
            <w:pPr>
              <w:pStyle w:val="TableText"/>
              <w:tabs>
                <w:tab w:val="decimal" w:pos="368"/>
              </w:tabs>
            </w:pPr>
            <w:r w:rsidRPr="00642432">
              <w:t>4</w:t>
            </w:r>
          </w:p>
        </w:tc>
        <w:tc>
          <w:tcPr>
            <w:tcW w:w="581" w:type="dxa"/>
            <w:tcBorders>
              <w:top w:val="nil"/>
              <w:bottom w:val="nil"/>
            </w:tcBorders>
            <w:shd w:val="clear" w:color="auto" w:fill="F2F2F2" w:themeFill="background1" w:themeFillShade="F2"/>
          </w:tcPr>
          <w:p w:rsidR="004659AD" w:rsidRPr="00642432" w:rsidRDefault="004659AD" w:rsidP="0078108F">
            <w:pPr>
              <w:pStyle w:val="TableText"/>
              <w:tabs>
                <w:tab w:val="decimal" w:pos="368"/>
              </w:tabs>
            </w:pPr>
            <w:r w:rsidRPr="00642432">
              <w:t>1</w:t>
            </w:r>
          </w:p>
        </w:tc>
        <w:tc>
          <w:tcPr>
            <w:tcW w:w="582" w:type="dxa"/>
            <w:tcBorders>
              <w:top w:val="nil"/>
              <w:bottom w:val="nil"/>
            </w:tcBorders>
            <w:shd w:val="clear" w:color="auto" w:fill="F2F2F2" w:themeFill="background1" w:themeFillShade="F2"/>
          </w:tcPr>
          <w:p w:rsidR="004659AD" w:rsidRPr="00642432" w:rsidRDefault="004659AD" w:rsidP="0078108F">
            <w:pPr>
              <w:pStyle w:val="TableText"/>
              <w:tabs>
                <w:tab w:val="decimal" w:pos="368"/>
              </w:tabs>
            </w:pPr>
            <w:r w:rsidRPr="00642432">
              <w:t>2</w:t>
            </w:r>
          </w:p>
        </w:tc>
        <w:tc>
          <w:tcPr>
            <w:tcW w:w="581" w:type="dxa"/>
            <w:tcBorders>
              <w:top w:val="nil"/>
              <w:bottom w:val="nil"/>
            </w:tcBorders>
            <w:shd w:val="clear" w:color="auto" w:fill="F2F2F2" w:themeFill="background1" w:themeFillShade="F2"/>
          </w:tcPr>
          <w:p w:rsidR="004659AD" w:rsidRPr="00642432" w:rsidRDefault="004659AD" w:rsidP="0078108F">
            <w:pPr>
              <w:pStyle w:val="TableText"/>
              <w:tabs>
                <w:tab w:val="decimal" w:pos="368"/>
              </w:tabs>
            </w:pPr>
            <w:r w:rsidRPr="00642432">
              <w:t>3</w:t>
            </w:r>
          </w:p>
        </w:tc>
        <w:tc>
          <w:tcPr>
            <w:tcW w:w="581" w:type="dxa"/>
            <w:tcBorders>
              <w:top w:val="nil"/>
              <w:bottom w:val="nil"/>
            </w:tcBorders>
            <w:shd w:val="clear" w:color="auto" w:fill="F2F2F2" w:themeFill="background1" w:themeFillShade="F2"/>
          </w:tcPr>
          <w:p w:rsidR="004659AD" w:rsidRPr="00642432" w:rsidRDefault="004659AD" w:rsidP="0078108F">
            <w:pPr>
              <w:pStyle w:val="TableText"/>
              <w:tabs>
                <w:tab w:val="decimal" w:pos="368"/>
              </w:tabs>
            </w:pPr>
            <w:r w:rsidRPr="00642432">
              <w:t>3</w:t>
            </w:r>
          </w:p>
        </w:tc>
        <w:tc>
          <w:tcPr>
            <w:tcW w:w="581" w:type="dxa"/>
            <w:tcBorders>
              <w:top w:val="nil"/>
              <w:bottom w:val="nil"/>
            </w:tcBorders>
            <w:shd w:val="clear" w:color="auto" w:fill="F2F2F2" w:themeFill="background1" w:themeFillShade="F2"/>
          </w:tcPr>
          <w:p w:rsidR="004659AD" w:rsidRPr="00642432" w:rsidRDefault="004659AD" w:rsidP="0078108F">
            <w:pPr>
              <w:pStyle w:val="TableText"/>
              <w:tabs>
                <w:tab w:val="decimal" w:pos="368"/>
              </w:tabs>
            </w:pPr>
            <w:r w:rsidRPr="00642432">
              <w:t>1</w:t>
            </w:r>
          </w:p>
        </w:tc>
        <w:tc>
          <w:tcPr>
            <w:tcW w:w="581" w:type="dxa"/>
            <w:tcBorders>
              <w:top w:val="nil"/>
              <w:bottom w:val="nil"/>
            </w:tcBorders>
            <w:shd w:val="clear" w:color="auto" w:fill="F2F2F2" w:themeFill="background1" w:themeFillShade="F2"/>
          </w:tcPr>
          <w:p w:rsidR="004659AD" w:rsidRPr="00642432" w:rsidRDefault="004659AD" w:rsidP="0078108F">
            <w:pPr>
              <w:pStyle w:val="TableText"/>
              <w:tabs>
                <w:tab w:val="decimal" w:pos="368"/>
              </w:tabs>
            </w:pPr>
            <w:r w:rsidRPr="00642432">
              <w:t>2</w:t>
            </w:r>
          </w:p>
        </w:tc>
        <w:tc>
          <w:tcPr>
            <w:tcW w:w="582" w:type="dxa"/>
            <w:tcBorders>
              <w:top w:val="nil"/>
              <w:bottom w:val="nil"/>
            </w:tcBorders>
            <w:shd w:val="clear" w:color="auto" w:fill="F2F2F2" w:themeFill="background1" w:themeFillShade="F2"/>
          </w:tcPr>
          <w:p w:rsidR="004659AD" w:rsidRPr="00642432" w:rsidRDefault="004659AD" w:rsidP="0078108F">
            <w:pPr>
              <w:pStyle w:val="TableText"/>
              <w:tabs>
                <w:tab w:val="decimal" w:pos="368"/>
              </w:tabs>
            </w:pPr>
            <w:r w:rsidRPr="00642432">
              <w:t>3</w:t>
            </w:r>
          </w:p>
        </w:tc>
      </w:tr>
      <w:tr w:rsidR="004659AD" w:rsidRPr="00642432" w:rsidTr="0078108F">
        <w:trPr>
          <w:cantSplit/>
        </w:trPr>
        <w:tc>
          <w:tcPr>
            <w:tcW w:w="3544" w:type="dxa"/>
            <w:tcBorders>
              <w:top w:val="nil"/>
              <w:bottom w:val="nil"/>
            </w:tcBorders>
          </w:tcPr>
          <w:p w:rsidR="004659AD" w:rsidRPr="00642432" w:rsidRDefault="004659AD" w:rsidP="0078108F">
            <w:pPr>
              <w:pStyle w:val="TableText"/>
            </w:pPr>
            <w:r w:rsidRPr="00642432">
              <w:t>Application withdrawn, lapsed or discontinued</w:t>
            </w:r>
          </w:p>
        </w:tc>
        <w:tc>
          <w:tcPr>
            <w:tcW w:w="581" w:type="dxa"/>
            <w:tcBorders>
              <w:top w:val="nil"/>
              <w:bottom w:val="nil"/>
            </w:tcBorders>
          </w:tcPr>
          <w:p w:rsidR="004659AD" w:rsidRPr="00642432" w:rsidRDefault="004659AD" w:rsidP="0078108F">
            <w:pPr>
              <w:pStyle w:val="TableText"/>
              <w:tabs>
                <w:tab w:val="decimal" w:pos="368"/>
              </w:tabs>
            </w:pPr>
            <w:r w:rsidRPr="00642432">
              <w:t>3</w:t>
            </w:r>
          </w:p>
        </w:tc>
        <w:tc>
          <w:tcPr>
            <w:tcW w:w="581" w:type="dxa"/>
            <w:tcBorders>
              <w:top w:val="nil"/>
              <w:bottom w:val="nil"/>
            </w:tcBorders>
          </w:tcPr>
          <w:p w:rsidR="004659AD" w:rsidRPr="00642432" w:rsidRDefault="004659AD" w:rsidP="0078108F">
            <w:pPr>
              <w:pStyle w:val="TableText"/>
              <w:tabs>
                <w:tab w:val="decimal" w:pos="368"/>
              </w:tabs>
            </w:pPr>
            <w:r w:rsidRPr="00642432">
              <w:t>9</w:t>
            </w:r>
          </w:p>
        </w:tc>
        <w:tc>
          <w:tcPr>
            <w:tcW w:w="581" w:type="dxa"/>
            <w:tcBorders>
              <w:top w:val="nil"/>
              <w:bottom w:val="nil"/>
            </w:tcBorders>
          </w:tcPr>
          <w:p w:rsidR="004659AD" w:rsidRPr="00642432" w:rsidRDefault="004659AD" w:rsidP="0078108F">
            <w:pPr>
              <w:pStyle w:val="TableText"/>
              <w:tabs>
                <w:tab w:val="decimal" w:pos="368"/>
              </w:tabs>
            </w:pPr>
            <w:r w:rsidRPr="00642432">
              <w:t>2</w:t>
            </w:r>
          </w:p>
        </w:tc>
        <w:tc>
          <w:tcPr>
            <w:tcW w:w="581" w:type="dxa"/>
            <w:tcBorders>
              <w:top w:val="nil"/>
              <w:bottom w:val="nil"/>
            </w:tcBorders>
          </w:tcPr>
          <w:p w:rsidR="004659AD" w:rsidRPr="00642432" w:rsidRDefault="004659AD" w:rsidP="0078108F">
            <w:pPr>
              <w:pStyle w:val="TableText"/>
              <w:tabs>
                <w:tab w:val="decimal" w:pos="368"/>
              </w:tabs>
            </w:pPr>
            <w:r w:rsidRPr="00642432">
              <w:t>6</w:t>
            </w:r>
          </w:p>
        </w:tc>
        <w:tc>
          <w:tcPr>
            <w:tcW w:w="582" w:type="dxa"/>
            <w:tcBorders>
              <w:top w:val="nil"/>
              <w:bottom w:val="nil"/>
            </w:tcBorders>
          </w:tcPr>
          <w:p w:rsidR="004659AD" w:rsidRPr="00642432" w:rsidRDefault="004659AD" w:rsidP="0078108F">
            <w:pPr>
              <w:pStyle w:val="TableText"/>
              <w:tabs>
                <w:tab w:val="decimal" w:pos="368"/>
              </w:tabs>
            </w:pPr>
            <w:r w:rsidRPr="00642432">
              <w:t>1</w:t>
            </w:r>
          </w:p>
        </w:tc>
        <w:tc>
          <w:tcPr>
            <w:tcW w:w="581" w:type="dxa"/>
            <w:tcBorders>
              <w:top w:val="nil"/>
              <w:bottom w:val="nil"/>
            </w:tcBorders>
          </w:tcPr>
          <w:p w:rsidR="004659AD" w:rsidRPr="00642432" w:rsidRDefault="004659AD" w:rsidP="0078108F">
            <w:pPr>
              <w:pStyle w:val="TableText"/>
              <w:tabs>
                <w:tab w:val="decimal" w:pos="368"/>
              </w:tabs>
            </w:pPr>
            <w:r w:rsidRPr="00642432">
              <w:t>4</w:t>
            </w:r>
          </w:p>
        </w:tc>
        <w:tc>
          <w:tcPr>
            <w:tcW w:w="581" w:type="dxa"/>
            <w:tcBorders>
              <w:top w:val="nil"/>
              <w:bottom w:val="nil"/>
            </w:tcBorders>
          </w:tcPr>
          <w:p w:rsidR="004659AD" w:rsidRPr="00642432" w:rsidRDefault="004659AD" w:rsidP="0078108F">
            <w:pPr>
              <w:pStyle w:val="TableText"/>
              <w:tabs>
                <w:tab w:val="decimal" w:pos="368"/>
              </w:tabs>
            </w:pPr>
            <w:r w:rsidRPr="00642432">
              <w:t>9</w:t>
            </w:r>
          </w:p>
        </w:tc>
        <w:tc>
          <w:tcPr>
            <w:tcW w:w="581" w:type="dxa"/>
            <w:tcBorders>
              <w:top w:val="nil"/>
              <w:bottom w:val="nil"/>
            </w:tcBorders>
          </w:tcPr>
          <w:p w:rsidR="004659AD" w:rsidRPr="00642432" w:rsidRDefault="004659AD" w:rsidP="0078108F">
            <w:pPr>
              <w:pStyle w:val="TableText"/>
              <w:tabs>
                <w:tab w:val="decimal" w:pos="368"/>
              </w:tabs>
            </w:pPr>
            <w:r w:rsidRPr="00642432">
              <w:t>5</w:t>
            </w:r>
          </w:p>
        </w:tc>
        <w:tc>
          <w:tcPr>
            <w:tcW w:w="581" w:type="dxa"/>
            <w:tcBorders>
              <w:top w:val="nil"/>
              <w:bottom w:val="nil"/>
            </w:tcBorders>
          </w:tcPr>
          <w:p w:rsidR="004659AD" w:rsidRPr="00642432" w:rsidRDefault="004659AD" w:rsidP="0078108F">
            <w:pPr>
              <w:pStyle w:val="TableText"/>
              <w:tabs>
                <w:tab w:val="decimal" w:pos="368"/>
              </w:tabs>
            </w:pPr>
            <w:r w:rsidRPr="00642432">
              <w:t>9</w:t>
            </w:r>
          </w:p>
        </w:tc>
        <w:tc>
          <w:tcPr>
            <w:tcW w:w="582" w:type="dxa"/>
            <w:tcBorders>
              <w:top w:val="nil"/>
              <w:bottom w:val="nil"/>
            </w:tcBorders>
          </w:tcPr>
          <w:p w:rsidR="004659AD" w:rsidRPr="00642432" w:rsidRDefault="004659AD" w:rsidP="0078108F">
            <w:pPr>
              <w:pStyle w:val="TableText"/>
              <w:tabs>
                <w:tab w:val="decimal" w:pos="368"/>
              </w:tabs>
            </w:pPr>
            <w:r w:rsidRPr="00642432">
              <w:t>8</w:t>
            </w:r>
          </w:p>
        </w:tc>
      </w:tr>
      <w:tr w:rsidR="004659AD" w:rsidRPr="00642432" w:rsidTr="0078108F">
        <w:trPr>
          <w:cantSplit/>
        </w:trPr>
        <w:tc>
          <w:tcPr>
            <w:tcW w:w="3544" w:type="dxa"/>
            <w:tcBorders>
              <w:top w:val="nil"/>
              <w:bottom w:val="single" w:sz="4" w:space="0" w:color="auto"/>
            </w:tcBorders>
            <w:shd w:val="clear" w:color="auto" w:fill="F2F2F2" w:themeFill="background1" w:themeFillShade="F2"/>
          </w:tcPr>
          <w:p w:rsidR="004659AD" w:rsidRPr="00642432" w:rsidRDefault="004659AD" w:rsidP="0078108F">
            <w:pPr>
              <w:pStyle w:val="TableText"/>
            </w:pPr>
            <w:r w:rsidRPr="00642432">
              <w:t>Total applications for s 8 and s 9 orders</w:t>
            </w:r>
          </w:p>
        </w:tc>
        <w:tc>
          <w:tcPr>
            <w:tcW w:w="581" w:type="dxa"/>
            <w:tcBorders>
              <w:top w:val="nil"/>
              <w:bottom w:val="single" w:sz="4" w:space="0" w:color="auto"/>
            </w:tcBorders>
            <w:shd w:val="clear" w:color="auto" w:fill="F2F2F2" w:themeFill="background1" w:themeFillShade="F2"/>
          </w:tcPr>
          <w:p w:rsidR="004659AD" w:rsidRPr="00642432" w:rsidRDefault="004659AD" w:rsidP="0078108F">
            <w:pPr>
              <w:pStyle w:val="TableText"/>
              <w:tabs>
                <w:tab w:val="decimal" w:pos="368"/>
              </w:tabs>
            </w:pPr>
            <w:r w:rsidRPr="00642432">
              <w:t>80</w:t>
            </w:r>
          </w:p>
        </w:tc>
        <w:tc>
          <w:tcPr>
            <w:tcW w:w="581" w:type="dxa"/>
            <w:tcBorders>
              <w:top w:val="nil"/>
              <w:bottom w:val="single" w:sz="4" w:space="0" w:color="auto"/>
            </w:tcBorders>
            <w:shd w:val="clear" w:color="auto" w:fill="F2F2F2" w:themeFill="background1" w:themeFillShade="F2"/>
          </w:tcPr>
          <w:p w:rsidR="004659AD" w:rsidRPr="00642432" w:rsidRDefault="004659AD" w:rsidP="0078108F">
            <w:pPr>
              <w:pStyle w:val="TableText"/>
              <w:tabs>
                <w:tab w:val="decimal" w:pos="368"/>
              </w:tabs>
            </w:pPr>
            <w:r w:rsidRPr="00642432">
              <w:t>91</w:t>
            </w:r>
          </w:p>
        </w:tc>
        <w:tc>
          <w:tcPr>
            <w:tcW w:w="581" w:type="dxa"/>
            <w:tcBorders>
              <w:top w:val="nil"/>
              <w:bottom w:val="single" w:sz="4" w:space="0" w:color="auto"/>
            </w:tcBorders>
            <w:shd w:val="clear" w:color="auto" w:fill="F2F2F2" w:themeFill="background1" w:themeFillShade="F2"/>
          </w:tcPr>
          <w:p w:rsidR="004659AD" w:rsidRPr="00642432" w:rsidRDefault="004659AD" w:rsidP="0078108F">
            <w:pPr>
              <w:pStyle w:val="TableText"/>
              <w:tabs>
                <w:tab w:val="decimal" w:pos="368"/>
              </w:tabs>
            </w:pPr>
            <w:r w:rsidRPr="00642432">
              <w:t>83</w:t>
            </w:r>
          </w:p>
        </w:tc>
        <w:tc>
          <w:tcPr>
            <w:tcW w:w="581" w:type="dxa"/>
            <w:tcBorders>
              <w:top w:val="nil"/>
              <w:bottom w:val="single" w:sz="4" w:space="0" w:color="auto"/>
            </w:tcBorders>
            <w:shd w:val="clear" w:color="auto" w:fill="F2F2F2" w:themeFill="background1" w:themeFillShade="F2"/>
          </w:tcPr>
          <w:p w:rsidR="004659AD" w:rsidRPr="00642432" w:rsidRDefault="004659AD" w:rsidP="0078108F">
            <w:pPr>
              <w:pStyle w:val="TableText"/>
              <w:tabs>
                <w:tab w:val="decimal" w:pos="368"/>
              </w:tabs>
            </w:pPr>
            <w:r w:rsidRPr="00642432">
              <w:t>78</w:t>
            </w:r>
          </w:p>
        </w:tc>
        <w:tc>
          <w:tcPr>
            <w:tcW w:w="582" w:type="dxa"/>
            <w:tcBorders>
              <w:top w:val="nil"/>
              <w:bottom w:val="single" w:sz="4" w:space="0" w:color="auto"/>
            </w:tcBorders>
            <w:shd w:val="clear" w:color="auto" w:fill="F2F2F2" w:themeFill="background1" w:themeFillShade="F2"/>
          </w:tcPr>
          <w:p w:rsidR="004659AD" w:rsidRPr="00642432" w:rsidRDefault="004659AD" w:rsidP="0078108F">
            <w:pPr>
              <w:pStyle w:val="TableText"/>
              <w:tabs>
                <w:tab w:val="decimal" w:pos="368"/>
              </w:tabs>
            </w:pPr>
            <w:r w:rsidRPr="00642432">
              <w:t>78</w:t>
            </w:r>
          </w:p>
        </w:tc>
        <w:tc>
          <w:tcPr>
            <w:tcW w:w="581" w:type="dxa"/>
            <w:tcBorders>
              <w:top w:val="nil"/>
              <w:bottom w:val="single" w:sz="4" w:space="0" w:color="auto"/>
            </w:tcBorders>
            <w:shd w:val="clear" w:color="auto" w:fill="F2F2F2" w:themeFill="background1" w:themeFillShade="F2"/>
          </w:tcPr>
          <w:p w:rsidR="004659AD" w:rsidRPr="00642432" w:rsidRDefault="004659AD" w:rsidP="0078108F">
            <w:pPr>
              <w:pStyle w:val="TableText"/>
              <w:tabs>
                <w:tab w:val="decimal" w:pos="368"/>
              </w:tabs>
            </w:pPr>
            <w:r w:rsidRPr="00642432">
              <w:t>78</w:t>
            </w:r>
          </w:p>
        </w:tc>
        <w:tc>
          <w:tcPr>
            <w:tcW w:w="581" w:type="dxa"/>
            <w:tcBorders>
              <w:top w:val="nil"/>
              <w:bottom w:val="single" w:sz="4" w:space="0" w:color="auto"/>
            </w:tcBorders>
            <w:shd w:val="clear" w:color="auto" w:fill="F2F2F2" w:themeFill="background1" w:themeFillShade="F2"/>
          </w:tcPr>
          <w:p w:rsidR="004659AD" w:rsidRPr="00642432" w:rsidRDefault="004659AD" w:rsidP="0078108F">
            <w:pPr>
              <w:pStyle w:val="TableText"/>
              <w:tabs>
                <w:tab w:val="decimal" w:pos="368"/>
              </w:tabs>
            </w:pPr>
            <w:r w:rsidRPr="00642432">
              <w:t>81</w:t>
            </w:r>
          </w:p>
        </w:tc>
        <w:tc>
          <w:tcPr>
            <w:tcW w:w="581" w:type="dxa"/>
            <w:tcBorders>
              <w:top w:val="nil"/>
              <w:bottom w:val="single" w:sz="4" w:space="0" w:color="auto"/>
            </w:tcBorders>
            <w:shd w:val="clear" w:color="auto" w:fill="F2F2F2" w:themeFill="background1" w:themeFillShade="F2"/>
          </w:tcPr>
          <w:p w:rsidR="004659AD" w:rsidRPr="00642432" w:rsidRDefault="004659AD" w:rsidP="0078108F">
            <w:pPr>
              <w:pStyle w:val="TableText"/>
              <w:tabs>
                <w:tab w:val="decimal" w:pos="368"/>
              </w:tabs>
            </w:pPr>
            <w:r w:rsidRPr="00642432">
              <w:t>80</w:t>
            </w:r>
          </w:p>
        </w:tc>
        <w:tc>
          <w:tcPr>
            <w:tcW w:w="581" w:type="dxa"/>
            <w:tcBorders>
              <w:top w:val="nil"/>
              <w:bottom w:val="single" w:sz="4" w:space="0" w:color="auto"/>
            </w:tcBorders>
            <w:shd w:val="clear" w:color="auto" w:fill="F2F2F2" w:themeFill="background1" w:themeFillShade="F2"/>
          </w:tcPr>
          <w:p w:rsidR="004659AD" w:rsidRPr="00642432" w:rsidRDefault="004659AD" w:rsidP="0078108F">
            <w:pPr>
              <w:pStyle w:val="TableText"/>
              <w:tabs>
                <w:tab w:val="decimal" w:pos="368"/>
              </w:tabs>
            </w:pPr>
            <w:r w:rsidRPr="00642432">
              <w:t>83</w:t>
            </w:r>
          </w:p>
        </w:tc>
        <w:tc>
          <w:tcPr>
            <w:tcW w:w="582" w:type="dxa"/>
            <w:tcBorders>
              <w:top w:val="nil"/>
              <w:bottom w:val="single" w:sz="4" w:space="0" w:color="auto"/>
            </w:tcBorders>
            <w:shd w:val="clear" w:color="auto" w:fill="F2F2F2" w:themeFill="background1" w:themeFillShade="F2"/>
          </w:tcPr>
          <w:p w:rsidR="004659AD" w:rsidRPr="00642432" w:rsidRDefault="004659AD" w:rsidP="0078108F">
            <w:pPr>
              <w:pStyle w:val="TableText"/>
              <w:tabs>
                <w:tab w:val="decimal" w:pos="368"/>
              </w:tabs>
            </w:pPr>
            <w:r w:rsidRPr="00642432">
              <w:t>86</w:t>
            </w:r>
          </w:p>
        </w:tc>
      </w:tr>
    </w:tbl>
    <w:p w:rsidR="004659AD" w:rsidRPr="00642432" w:rsidRDefault="004659AD" w:rsidP="0078108F">
      <w:pPr>
        <w:pStyle w:val="Note"/>
        <w:ind w:left="0" w:right="0" w:firstLine="0"/>
      </w:pPr>
      <w:r w:rsidRPr="00642432">
        <w:t>Note: The table presents applications that were</w:t>
      </w:r>
      <w:r w:rsidR="00D32DDD" w:rsidRPr="00642432">
        <w:t xml:space="preserve"> </w:t>
      </w:r>
      <w:r w:rsidRPr="00642432">
        <w:t>disposed at the time of data extraction at 26 June 2014.</w:t>
      </w:r>
    </w:p>
    <w:p w:rsidR="004659AD" w:rsidRPr="00642432" w:rsidRDefault="004659AD" w:rsidP="0078108F">
      <w:pPr>
        <w:pStyle w:val="Source"/>
        <w:ind w:left="0" w:right="0" w:firstLine="0"/>
      </w:pPr>
      <w:r w:rsidRPr="00642432">
        <w:t>Source: Ministry of Justice’s Case Management System (CMS). The CMS is a live operational database. Figures are subject to minor changes at any</w:t>
      </w:r>
      <w:r w:rsidR="00D32DDD" w:rsidRPr="00642432">
        <w:t xml:space="preserve"> </w:t>
      </w:r>
      <w:r w:rsidRPr="00642432">
        <w:t>time.</w:t>
      </w:r>
    </w:p>
    <w:p w:rsidR="004659AD" w:rsidRPr="00642432" w:rsidRDefault="004659AD" w:rsidP="0078108F"/>
    <w:p w:rsidR="004659AD" w:rsidRPr="00642432" w:rsidRDefault="004659AD" w:rsidP="005E2C2B">
      <w:pPr>
        <w:pStyle w:val="Table"/>
      </w:pPr>
      <w:bookmarkStart w:id="74" w:name="_Toc405113699"/>
      <w:r w:rsidRPr="00642432">
        <w:t>Table 19: Outcomes of applications for granted orders for detention and committal, 2004 to 2013</w:t>
      </w:r>
      <w:bookmarkEnd w:id="74"/>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709"/>
        <w:gridCol w:w="3331"/>
        <w:gridCol w:w="3331"/>
        <w:gridCol w:w="1985"/>
      </w:tblGrid>
      <w:tr w:rsidR="008E4B29" w:rsidRPr="008E4B29" w:rsidTr="008E4B29">
        <w:trPr>
          <w:cantSplit/>
        </w:trPr>
        <w:tc>
          <w:tcPr>
            <w:tcW w:w="709" w:type="dxa"/>
            <w:tcBorders>
              <w:top w:val="single" w:sz="4" w:space="0" w:color="auto"/>
              <w:bottom w:val="single" w:sz="4" w:space="0" w:color="auto"/>
            </w:tcBorders>
            <w:shd w:val="clear" w:color="auto" w:fill="F2F2F2" w:themeFill="background1" w:themeFillShade="F2"/>
          </w:tcPr>
          <w:p w:rsidR="008E4B29" w:rsidRPr="008E4B29" w:rsidRDefault="008E4B29" w:rsidP="00E43739">
            <w:pPr>
              <w:pStyle w:val="TableText"/>
              <w:keepNext/>
              <w:jc w:val="center"/>
              <w:rPr>
                <w:b/>
              </w:rPr>
            </w:pPr>
            <w:r w:rsidRPr="008E4B29">
              <w:rPr>
                <w:b/>
              </w:rPr>
              <w:t>Year</w:t>
            </w:r>
          </w:p>
        </w:tc>
        <w:tc>
          <w:tcPr>
            <w:tcW w:w="3331" w:type="dxa"/>
            <w:tcBorders>
              <w:top w:val="single" w:sz="4" w:space="0" w:color="auto"/>
              <w:bottom w:val="single" w:sz="4" w:space="0" w:color="auto"/>
            </w:tcBorders>
            <w:shd w:val="clear" w:color="auto" w:fill="F2F2F2" w:themeFill="background1" w:themeFillShade="F2"/>
          </w:tcPr>
          <w:p w:rsidR="008E4B29" w:rsidRPr="008E4B29" w:rsidRDefault="008E4B29" w:rsidP="00E43739">
            <w:pPr>
              <w:pStyle w:val="TableText"/>
              <w:keepNext/>
              <w:jc w:val="center"/>
              <w:rPr>
                <w:b/>
              </w:rPr>
            </w:pPr>
            <w:r w:rsidRPr="008E4B29">
              <w:rPr>
                <w:b/>
              </w:rPr>
              <w:t>Number (and percentage)</w:t>
            </w:r>
            <w:r>
              <w:rPr>
                <w:b/>
              </w:rPr>
              <w:br/>
            </w:r>
            <w:r w:rsidRPr="008E4B29">
              <w:rPr>
                <w:b/>
              </w:rPr>
              <w:t>of section</w:t>
            </w:r>
            <w:r>
              <w:rPr>
                <w:b/>
              </w:rPr>
              <w:t> </w:t>
            </w:r>
            <w:r w:rsidRPr="008E4B29">
              <w:rPr>
                <w:b/>
              </w:rPr>
              <w:t>8 applications</w:t>
            </w:r>
            <w:r>
              <w:rPr>
                <w:b/>
              </w:rPr>
              <w:br/>
            </w:r>
            <w:r w:rsidRPr="008E4B29">
              <w:rPr>
                <w:b/>
              </w:rPr>
              <w:t>granted for detention</w:t>
            </w:r>
          </w:p>
        </w:tc>
        <w:tc>
          <w:tcPr>
            <w:tcW w:w="3331" w:type="dxa"/>
            <w:tcBorders>
              <w:top w:val="single" w:sz="4" w:space="0" w:color="auto"/>
              <w:bottom w:val="single" w:sz="4" w:space="0" w:color="auto"/>
            </w:tcBorders>
            <w:shd w:val="clear" w:color="auto" w:fill="F2F2F2" w:themeFill="background1" w:themeFillShade="F2"/>
          </w:tcPr>
          <w:p w:rsidR="008E4B29" w:rsidRPr="008E4B29" w:rsidRDefault="008E4B29" w:rsidP="00E43739">
            <w:pPr>
              <w:pStyle w:val="TableText"/>
              <w:keepNext/>
              <w:jc w:val="center"/>
              <w:rPr>
                <w:b/>
              </w:rPr>
            </w:pPr>
            <w:r w:rsidRPr="008E4B29">
              <w:rPr>
                <w:b/>
              </w:rPr>
              <w:t>Number (and percentage)</w:t>
            </w:r>
            <w:r>
              <w:rPr>
                <w:b/>
              </w:rPr>
              <w:br/>
            </w:r>
            <w:r w:rsidRPr="008E4B29">
              <w:rPr>
                <w:b/>
              </w:rPr>
              <w:t>of section</w:t>
            </w:r>
            <w:r>
              <w:rPr>
                <w:b/>
              </w:rPr>
              <w:t> </w:t>
            </w:r>
            <w:r w:rsidRPr="008E4B29">
              <w:rPr>
                <w:b/>
              </w:rPr>
              <w:t>9 applications</w:t>
            </w:r>
            <w:r>
              <w:rPr>
                <w:b/>
              </w:rPr>
              <w:br/>
            </w:r>
            <w:r w:rsidRPr="008E4B29">
              <w:rPr>
                <w:b/>
              </w:rPr>
              <w:t>granted for committal</w:t>
            </w:r>
          </w:p>
        </w:tc>
        <w:tc>
          <w:tcPr>
            <w:tcW w:w="1985" w:type="dxa"/>
            <w:tcBorders>
              <w:top w:val="single" w:sz="4" w:space="0" w:color="auto"/>
              <w:bottom w:val="single" w:sz="4" w:space="0" w:color="auto"/>
            </w:tcBorders>
            <w:shd w:val="clear" w:color="auto" w:fill="F2F2F2" w:themeFill="background1" w:themeFillShade="F2"/>
          </w:tcPr>
          <w:p w:rsidR="008E4B29" w:rsidRPr="008E4B29" w:rsidRDefault="008E4B29" w:rsidP="00E43739">
            <w:pPr>
              <w:pStyle w:val="TableText"/>
              <w:keepNext/>
              <w:jc w:val="center"/>
              <w:rPr>
                <w:b/>
              </w:rPr>
            </w:pPr>
            <w:r w:rsidRPr="008E4B29">
              <w:rPr>
                <w:b/>
              </w:rPr>
              <w:t>Total number</w:t>
            </w:r>
            <w:r>
              <w:rPr>
                <w:b/>
              </w:rPr>
              <w:br/>
            </w:r>
            <w:r w:rsidRPr="008E4B29">
              <w:rPr>
                <w:b/>
              </w:rPr>
              <w:t>of applications granted</w:t>
            </w:r>
          </w:p>
        </w:tc>
      </w:tr>
      <w:tr w:rsidR="004659AD" w:rsidRPr="00642432" w:rsidTr="008E4B29">
        <w:trPr>
          <w:cantSplit/>
        </w:trPr>
        <w:tc>
          <w:tcPr>
            <w:tcW w:w="709" w:type="dxa"/>
            <w:tcBorders>
              <w:top w:val="single" w:sz="4" w:space="0" w:color="auto"/>
              <w:bottom w:val="nil"/>
            </w:tcBorders>
          </w:tcPr>
          <w:p w:rsidR="004659AD" w:rsidRPr="00642432" w:rsidRDefault="004659AD" w:rsidP="00E43739">
            <w:pPr>
              <w:pStyle w:val="TableText"/>
              <w:keepNext/>
              <w:jc w:val="center"/>
            </w:pPr>
            <w:r w:rsidRPr="00642432">
              <w:t>2004</w:t>
            </w:r>
          </w:p>
        </w:tc>
        <w:tc>
          <w:tcPr>
            <w:tcW w:w="3331" w:type="dxa"/>
            <w:tcBorders>
              <w:top w:val="single" w:sz="4" w:space="0" w:color="auto"/>
              <w:bottom w:val="nil"/>
            </w:tcBorders>
          </w:tcPr>
          <w:p w:rsidR="004659AD" w:rsidRPr="00642432" w:rsidRDefault="004659AD" w:rsidP="00E43739">
            <w:pPr>
              <w:pStyle w:val="TableText"/>
              <w:keepNext/>
              <w:tabs>
                <w:tab w:val="decimal" w:pos="1394"/>
              </w:tabs>
            </w:pPr>
            <w:r w:rsidRPr="00642432">
              <w:t>44 (92%)</w:t>
            </w:r>
          </w:p>
        </w:tc>
        <w:tc>
          <w:tcPr>
            <w:tcW w:w="3331" w:type="dxa"/>
            <w:tcBorders>
              <w:top w:val="single" w:sz="4" w:space="0" w:color="auto"/>
              <w:bottom w:val="nil"/>
            </w:tcBorders>
          </w:tcPr>
          <w:p w:rsidR="004659AD" w:rsidRPr="00642432" w:rsidRDefault="004659AD" w:rsidP="00E43739">
            <w:pPr>
              <w:pStyle w:val="TableText"/>
              <w:keepNext/>
              <w:jc w:val="center"/>
            </w:pPr>
            <w:r w:rsidRPr="00642432">
              <w:t>28 (85%)</w:t>
            </w:r>
          </w:p>
        </w:tc>
        <w:tc>
          <w:tcPr>
            <w:tcW w:w="1985" w:type="dxa"/>
            <w:tcBorders>
              <w:top w:val="single" w:sz="4" w:space="0" w:color="auto"/>
              <w:bottom w:val="nil"/>
            </w:tcBorders>
          </w:tcPr>
          <w:p w:rsidR="004659AD" w:rsidRPr="00642432" w:rsidRDefault="004659AD" w:rsidP="00E43739">
            <w:pPr>
              <w:pStyle w:val="TableText"/>
              <w:keepNext/>
              <w:jc w:val="center"/>
            </w:pPr>
            <w:r w:rsidRPr="00642432">
              <w:t>72</w:t>
            </w:r>
          </w:p>
        </w:tc>
      </w:tr>
      <w:tr w:rsidR="004659AD" w:rsidRPr="00642432" w:rsidTr="008E4B29">
        <w:trPr>
          <w:cantSplit/>
        </w:trPr>
        <w:tc>
          <w:tcPr>
            <w:tcW w:w="709" w:type="dxa"/>
            <w:tcBorders>
              <w:top w:val="nil"/>
              <w:bottom w:val="nil"/>
            </w:tcBorders>
            <w:shd w:val="clear" w:color="auto" w:fill="F2F2F2" w:themeFill="background1" w:themeFillShade="F2"/>
          </w:tcPr>
          <w:p w:rsidR="004659AD" w:rsidRPr="00642432" w:rsidRDefault="004659AD" w:rsidP="00E43739">
            <w:pPr>
              <w:pStyle w:val="TableText"/>
              <w:keepNext/>
              <w:jc w:val="center"/>
            </w:pPr>
            <w:r w:rsidRPr="00642432">
              <w:t>2005</w:t>
            </w:r>
          </w:p>
        </w:tc>
        <w:tc>
          <w:tcPr>
            <w:tcW w:w="3331" w:type="dxa"/>
            <w:tcBorders>
              <w:top w:val="nil"/>
              <w:bottom w:val="nil"/>
            </w:tcBorders>
            <w:shd w:val="clear" w:color="auto" w:fill="F2F2F2" w:themeFill="background1" w:themeFillShade="F2"/>
          </w:tcPr>
          <w:p w:rsidR="004659AD" w:rsidRPr="00642432" w:rsidRDefault="004659AD" w:rsidP="00E43739">
            <w:pPr>
              <w:pStyle w:val="TableText"/>
              <w:keepNext/>
              <w:tabs>
                <w:tab w:val="decimal" w:pos="1394"/>
              </w:tabs>
            </w:pPr>
            <w:r w:rsidRPr="00642432">
              <w:t>49 (96%)</w:t>
            </w:r>
          </w:p>
        </w:tc>
        <w:tc>
          <w:tcPr>
            <w:tcW w:w="3331" w:type="dxa"/>
            <w:tcBorders>
              <w:top w:val="nil"/>
              <w:bottom w:val="nil"/>
            </w:tcBorders>
            <w:shd w:val="clear" w:color="auto" w:fill="F2F2F2" w:themeFill="background1" w:themeFillShade="F2"/>
          </w:tcPr>
          <w:p w:rsidR="004659AD" w:rsidRPr="00642432" w:rsidRDefault="004659AD" w:rsidP="00E43739">
            <w:pPr>
              <w:pStyle w:val="TableText"/>
              <w:keepNext/>
              <w:jc w:val="center"/>
            </w:pPr>
            <w:r w:rsidRPr="00642432">
              <w:t>30 (79%)</w:t>
            </w:r>
          </w:p>
        </w:tc>
        <w:tc>
          <w:tcPr>
            <w:tcW w:w="1985" w:type="dxa"/>
            <w:tcBorders>
              <w:top w:val="nil"/>
              <w:bottom w:val="nil"/>
            </w:tcBorders>
            <w:shd w:val="clear" w:color="auto" w:fill="F2F2F2" w:themeFill="background1" w:themeFillShade="F2"/>
          </w:tcPr>
          <w:p w:rsidR="004659AD" w:rsidRPr="00642432" w:rsidRDefault="004659AD" w:rsidP="00E43739">
            <w:pPr>
              <w:pStyle w:val="TableText"/>
              <w:keepNext/>
              <w:jc w:val="center"/>
            </w:pPr>
            <w:r w:rsidRPr="00642432">
              <w:t>79</w:t>
            </w:r>
          </w:p>
        </w:tc>
      </w:tr>
      <w:tr w:rsidR="004659AD" w:rsidRPr="00642432" w:rsidTr="008E4B29">
        <w:trPr>
          <w:cantSplit/>
        </w:trPr>
        <w:tc>
          <w:tcPr>
            <w:tcW w:w="709" w:type="dxa"/>
            <w:tcBorders>
              <w:top w:val="nil"/>
              <w:bottom w:val="nil"/>
            </w:tcBorders>
          </w:tcPr>
          <w:p w:rsidR="004659AD" w:rsidRPr="00642432" w:rsidRDefault="004659AD" w:rsidP="00E43739">
            <w:pPr>
              <w:pStyle w:val="TableText"/>
              <w:keepNext/>
              <w:jc w:val="center"/>
            </w:pPr>
            <w:r w:rsidRPr="00642432">
              <w:t>2006</w:t>
            </w:r>
          </w:p>
        </w:tc>
        <w:tc>
          <w:tcPr>
            <w:tcW w:w="3331" w:type="dxa"/>
            <w:tcBorders>
              <w:top w:val="nil"/>
              <w:bottom w:val="nil"/>
            </w:tcBorders>
          </w:tcPr>
          <w:p w:rsidR="004659AD" w:rsidRPr="00642432" w:rsidRDefault="004659AD" w:rsidP="00E43739">
            <w:pPr>
              <w:pStyle w:val="TableText"/>
              <w:keepNext/>
              <w:tabs>
                <w:tab w:val="decimal" w:pos="1394"/>
              </w:tabs>
            </w:pPr>
            <w:r w:rsidRPr="00642432">
              <w:t>60 (98%)</w:t>
            </w:r>
          </w:p>
        </w:tc>
        <w:tc>
          <w:tcPr>
            <w:tcW w:w="3331" w:type="dxa"/>
            <w:tcBorders>
              <w:top w:val="nil"/>
              <w:bottom w:val="nil"/>
            </w:tcBorders>
          </w:tcPr>
          <w:p w:rsidR="004659AD" w:rsidRPr="00642432" w:rsidRDefault="004659AD" w:rsidP="00E43739">
            <w:pPr>
              <w:pStyle w:val="TableText"/>
              <w:keepNext/>
              <w:jc w:val="center"/>
            </w:pPr>
            <w:r w:rsidRPr="00642432">
              <w:t>17 (77%)</w:t>
            </w:r>
          </w:p>
        </w:tc>
        <w:tc>
          <w:tcPr>
            <w:tcW w:w="1985" w:type="dxa"/>
            <w:tcBorders>
              <w:top w:val="nil"/>
              <w:bottom w:val="nil"/>
            </w:tcBorders>
          </w:tcPr>
          <w:p w:rsidR="004659AD" w:rsidRPr="00642432" w:rsidRDefault="004659AD" w:rsidP="00E43739">
            <w:pPr>
              <w:pStyle w:val="TableText"/>
              <w:keepNext/>
              <w:jc w:val="center"/>
            </w:pPr>
            <w:r w:rsidRPr="00642432">
              <w:t>77</w:t>
            </w:r>
          </w:p>
        </w:tc>
      </w:tr>
      <w:tr w:rsidR="004659AD" w:rsidRPr="00642432" w:rsidTr="008E4B29">
        <w:trPr>
          <w:cantSplit/>
        </w:trPr>
        <w:tc>
          <w:tcPr>
            <w:tcW w:w="709" w:type="dxa"/>
            <w:tcBorders>
              <w:top w:val="nil"/>
              <w:bottom w:val="nil"/>
            </w:tcBorders>
            <w:shd w:val="clear" w:color="auto" w:fill="F2F2F2" w:themeFill="background1" w:themeFillShade="F2"/>
          </w:tcPr>
          <w:p w:rsidR="004659AD" w:rsidRPr="00642432" w:rsidRDefault="004659AD" w:rsidP="008E4B29">
            <w:pPr>
              <w:pStyle w:val="TableText"/>
              <w:jc w:val="center"/>
            </w:pPr>
            <w:r w:rsidRPr="00642432">
              <w:t>2007</w:t>
            </w:r>
          </w:p>
        </w:tc>
        <w:tc>
          <w:tcPr>
            <w:tcW w:w="3331" w:type="dxa"/>
            <w:tcBorders>
              <w:top w:val="nil"/>
              <w:bottom w:val="nil"/>
            </w:tcBorders>
            <w:shd w:val="clear" w:color="auto" w:fill="F2F2F2" w:themeFill="background1" w:themeFillShade="F2"/>
          </w:tcPr>
          <w:p w:rsidR="004659AD" w:rsidRPr="00642432" w:rsidRDefault="004659AD" w:rsidP="008E4B29">
            <w:pPr>
              <w:pStyle w:val="TableText"/>
              <w:tabs>
                <w:tab w:val="decimal" w:pos="1394"/>
              </w:tabs>
            </w:pPr>
            <w:r w:rsidRPr="00642432">
              <w:t>52 (100%)</w:t>
            </w:r>
          </w:p>
        </w:tc>
        <w:tc>
          <w:tcPr>
            <w:tcW w:w="3331" w:type="dxa"/>
            <w:tcBorders>
              <w:top w:val="nil"/>
              <w:bottom w:val="nil"/>
            </w:tcBorders>
            <w:shd w:val="clear" w:color="auto" w:fill="F2F2F2" w:themeFill="background1" w:themeFillShade="F2"/>
          </w:tcPr>
          <w:p w:rsidR="004659AD" w:rsidRPr="00642432" w:rsidRDefault="004659AD" w:rsidP="008E4B29">
            <w:pPr>
              <w:pStyle w:val="TableText"/>
              <w:jc w:val="center"/>
            </w:pPr>
            <w:r w:rsidRPr="00642432">
              <w:t>19 (76%)</w:t>
            </w:r>
          </w:p>
        </w:tc>
        <w:tc>
          <w:tcPr>
            <w:tcW w:w="1985" w:type="dxa"/>
            <w:tcBorders>
              <w:top w:val="nil"/>
              <w:bottom w:val="nil"/>
            </w:tcBorders>
            <w:shd w:val="clear" w:color="auto" w:fill="F2F2F2" w:themeFill="background1" w:themeFillShade="F2"/>
          </w:tcPr>
          <w:p w:rsidR="004659AD" w:rsidRPr="00642432" w:rsidRDefault="004659AD" w:rsidP="008E4B29">
            <w:pPr>
              <w:pStyle w:val="TableText"/>
              <w:jc w:val="center"/>
            </w:pPr>
            <w:r w:rsidRPr="00642432">
              <w:t>71</w:t>
            </w:r>
          </w:p>
        </w:tc>
      </w:tr>
      <w:tr w:rsidR="004659AD" w:rsidRPr="00642432" w:rsidTr="008E4B29">
        <w:trPr>
          <w:cantSplit/>
        </w:trPr>
        <w:tc>
          <w:tcPr>
            <w:tcW w:w="709" w:type="dxa"/>
            <w:tcBorders>
              <w:top w:val="nil"/>
              <w:bottom w:val="nil"/>
            </w:tcBorders>
          </w:tcPr>
          <w:p w:rsidR="004659AD" w:rsidRPr="00642432" w:rsidRDefault="004659AD" w:rsidP="008E4B29">
            <w:pPr>
              <w:pStyle w:val="TableText"/>
              <w:jc w:val="center"/>
            </w:pPr>
            <w:r w:rsidRPr="00642432">
              <w:t>2008</w:t>
            </w:r>
          </w:p>
        </w:tc>
        <w:tc>
          <w:tcPr>
            <w:tcW w:w="3331" w:type="dxa"/>
            <w:tcBorders>
              <w:top w:val="nil"/>
              <w:bottom w:val="nil"/>
            </w:tcBorders>
          </w:tcPr>
          <w:p w:rsidR="004659AD" w:rsidRPr="00642432" w:rsidRDefault="004659AD" w:rsidP="008E4B29">
            <w:pPr>
              <w:pStyle w:val="TableText"/>
              <w:tabs>
                <w:tab w:val="decimal" w:pos="1394"/>
              </w:tabs>
            </w:pPr>
            <w:r w:rsidRPr="00642432">
              <w:t>63 (98%)</w:t>
            </w:r>
          </w:p>
        </w:tc>
        <w:tc>
          <w:tcPr>
            <w:tcW w:w="3331" w:type="dxa"/>
            <w:tcBorders>
              <w:top w:val="nil"/>
              <w:bottom w:val="nil"/>
            </w:tcBorders>
          </w:tcPr>
          <w:p w:rsidR="004659AD" w:rsidRPr="00642432" w:rsidRDefault="004659AD" w:rsidP="008E4B29">
            <w:pPr>
              <w:pStyle w:val="TableText"/>
              <w:jc w:val="center"/>
            </w:pPr>
            <w:r w:rsidRPr="00642432">
              <w:t>12 (86%)</w:t>
            </w:r>
          </w:p>
        </w:tc>
        <w:tc>
          <w:tcPr>
            <w:tcW w:w="1985" w:type="dxa"/>
            <w:tcBorders>
              <w:top w:val="nil"/>
              <w:bottom w:val="nil"/>
            </w:tcBorders>
          </w:tcPr>
          <w:p w:rsidR="004659AD" w:rsidRPr="00642432" w:rsidRDefault="004659AD" w:rsidP="008E4B29">
            <w:pPr>
              <w:pStyle w:val="TableText"/>
              <w:jc w:val="center"/>
            </w:pPr>
            <w:r w:rsidRPr="00642432">
              <w:t>75</w:t>
            </w:r>
          </w:p>
        </w:tc>
      </w:tr>
      <w:tr w:rsidR="004659AD" w:rsidRPr="00642432" w:rsidTr="008E4B29">
        <w:trPr>
          <w:cantSplit/>
        </w:trPr>
        <w:tc>
          <w:tcPr>
            <w:tcW w:w="709" w:type="dxa"/>
            <w:tcBorders>
              <w:top w:val="nil"/>
              <w:bottom w:val="nil"/>
            </w:tcBorders>
            <w:shd w:val="clear" w:color="auto" w:fill="F2F2F2" w:themeFill="background1" w:themeFillShade="F2"/>
          </w:tcPr>
          <w:p w:rsidR="004659AD" w:rsidRPr="00642432" w:rsidRDefault="004659AD" w:rsidP="008E4B29">
            <w:pPr>
              <w:pStyle w:val="TableText"/>
              <w:jc w:val="center"/>
            </w:pPr>
            <w:r w:rsidRPr="00642432">
              <w:t>2009</w:t>
            </w:r>
          </w:p>
        </w:tc>
        <w:tc>
          <w:tcPr>
            <w:tcW w:w="3331" w:type="dxa"/>
            <w:tcBorders>
              <w:top w:val="nil"/>
              <w:bottom w:val="nil"/>
            </w:tcBorders>
            <w:shd w:val="clear" w:color="auto" w:fill="F2F2F2" w:themeFill="background1" w:themeFillShade="F2"/>
          </w:tcPr>
          <w:p w:rsidR="004659AD" w:rsidRPr="00642432" w:rsidRDefault="004659AD" w:rsidP="008E4B29">
            <w:pPr>
              <w:pStyle w:val="TableText"/>
              <w:tabs>
                <w:tab w:val="decimal" w:pos="1394"/>
              </w:tabs>
            </w:pPr>
            <w:r w:rsidRPr="00642432">
              <w:t>49(98%)</w:t>
            </w:r>
          </w:p>
        </w:tc>
        <w:tc>
          <w:tcPr>
            <w:tcW w:w="3331" w:type="dxa"/>
            <w:tcBorders>
              <w:top w:val="nil"/>
              <w:bottom w:val="nil"/>
            </w:tcBorders>
            <w:shd w:val="clear" w:color="auto" w:fill="F2F2F2" w:themeFill="background1" w:themeFillShade="F2"/>
          </w:tcPr>
          <w:p w:rsidR="004659AD" w:rsidRPr="00642432" w:rsidRDefault="004659AD" w:rsidP="008E4B29">
            <w:pPr>
              <w:pStyle w:val="TableText"/>
              <w:jc w:val="center"/>
            </w:pPr>
            <w:r w:rsidRPr="00642432">
              <w:t>22 (81%)</w:t>
            </w:r>
          </w:p>
        </w:tc>
        <w:tc>
          <w:tcPr>
            <w:tcW w:w="1985" w:type="dxa"/>
            <w:tcBorders>
              <w:top w:val="nil"/>
              <w:bottom w:val="nil"/>
            </w:tcBorders>
            <w:shd w:val="clear" w:color="auto" w:fill="F2F2F2" w:themeFill="background1" w:themeFillShade="F2"/>
          </w:tcPr>
          <w:p w:rsidR="004659AD" w:rsidRPr="00642432" w:rsidRDefault="004659AD" w:rsidP="008E4B29">
            <w:pPr>
              <w:pStyle w:val="TableText"/>
              <w:jc w:val="center"/>
            </w:pPr>
            <w:r w:rsidRPr="00642432">
              <w:t>71</w:t>
            </w:r>
          </w:p>
        </w:tc>
      </w:tr>
      <w:tr w:rsidR="004659AD" w:rsidRPr="00642432" w:rsidTr="008E4B29">
        <w:trPr>
          <w:cantSplit/>
        </w:trPr>
        <w:tc>
          <w:tcPr>
            <w:tcW w:w="709" w:type="dxa"/>
            <w:tcBorders>
              <w:top w:val="nil"/>
              <w:bottom w:val="nil"/>
            </w:tcBorders>
          </w:tcPr>
          <w:p w:rsidR="004659AD" w:rsidRPr="00642432" w:rsidRDefault="004659AD" w:rsidP="008E4B29">
            <w:pPr>
              <w:pStyle w:val="TableText"/>
              <w:jc w:val="center"/>
            </w:pPr>
            <w:r w:rsidRPr="00642432">
              <w:t>2010</w:t>
            </w:r>
          </w:p>
        </w:tc>
        <w:tc>
          <w:tcPr>
            <w:tcW w:w="3331" w:type="dxa"/>
            <w:tcBorders>
              <w:top w:val="nil"/>
              <w:bottom w:val="nil"/>
            </w:tcBorders>
          </w:tcPr>
          <w:p w:rsidR="004659AD" w:rsidRPr="00642432" w:rsidRDefault="004659AD" w:rsidP="008E4B29">
            <w:pPr>
              <w:pStyle w:val="TableText"/>
              <w:tabs>
                <w:tab w:val="decimal" w:pos="1394"/>
              </w:tabs>
            </w:pPr>
            <w:r w:rsidRPr="00642432">
              <w:t>55 (96%)</w:t>
            </w:r>
          </w:p>
        </w:tc>
        <w:tc>
          <w:tcPr>
            <w:tcW w:w="3331" w:type="dxa"/>
            <w:tcBorders>
              <w:top w:val="nil"/>
              <w:bottom w:val="nil"/>
            </w:tcBorders>
          </w:tcPr>
          <w:p w:rsidR="004659AD" w:rsidRPr="00642432" w:rsidRDefault="004659AD" w:rsidP="008E4B29">
            <w:pPr>
              <w:pStyle w:val="TableText"/>
              <w:jc w:val="center"/>
            </w:pPr>
            <w:r w:rsidRPr="00642432">
              <w:t>14 (58%)</w:t>
            </w:r>
          </w:p>
        </w:tc>
        <w:tc>
          <w:tcPr>
            <w:tcW w:w="1985" w:type="dxa"/>
            <w:tcBorders>
              <w:top w:val="nil"/>
              <w:bottom w:val="nil"/>
            </w:tcBorders>
          </w:tcPr>
          <w:p w:rsidR="004659AD" w:rsidRPr="00642432" w:rsidRDefault="004659AD" w:rsidP="008E4B29">
            <w:pPr>
              <w:pStyle w:val="TableText"/>
              <w:jc w:val="center"/>
            </w:pPr>
            <w:r w:rsidRPr="00642432">
              <w:t>69</w:t>
            </w:r>
          </w:p>
        </w:tc>
      </w:tr>
      <w:tr w:rsidR="004659AD" w:rsidRPr="00642432" w:rsidTr="008E4B29">
        <w:trPr>
          <w:cantSplit/>
        </w:trPr>
        <w:tc>
          <w:tcPr>
            <w:tcW w:w="709" w:type="dxa"/>
            <w:tcBorders>
              <w:top w:val="nil"/>
              <w:bottom w:val="nil"/>
            </w:tcBorders>
            <w:shd w:val="clear" w:color="auto" w:fill="F2F2F2" w:themeFill="background1" w:themeFillShade="F2"/>
          </w:tcPr>
          <w:p w:rsidR="004659AD" w:rsidRPr="00642432" w:rsidRDefault="004659AD" w:rsidP="008E4B29">
            <w:pPr>
              <w:pStyle w:val="TableText"/>
              <w:jc w:val="center"/>
            </w:pPr>
            <w:r w:rsidRPr="00642432">
              <w:t>2011</w:t>
            </w:r>
          </w:p>
        </w:tc>
        <w:tc>
          <w:tcPr>
            <w:tcW w:w="3331" w:type="dxa"/>
            <w:tcBorders>
              <w:top w:val="nil"/>
              <w:bottom w:val="nil"/>
            </w:tcBorders>
            <w:shd w:val="clear" w:color="auto" w:fill="F2F2F2" w:themeFill="background1" w:themeFillShade="F2"/>
          </w:tcPr>
          <w:p w:rsidR="004659AD" w:rsidRPr="00642432" w:rsidRDefault="004659AD" w:rsidP="008E4B29">
            <w:pPr>
              <w:pStyle w:val="TableText"/>
              <w:tabs>
                <w:tab w:val="decimal" w:pos="1394"/>
              </w:tabs>
            </w:pPr>
            <w:r w:rsidRPr="00642432">
              <w:t>59 (97%)</w:t>
            </w:r>
          </w:p>
        </w:tc>
        <w:tc>
          <w:tcPr>
            <w:tcW w:w="3331" w:type="dxa"/>
            <w:tcBorders>
              <w:top w:val="nil"/>
              <w:bottom w:val="nil"/>
            </w:tcBorders>
            <w:shd w:val="clear" w:color="auto" w:fill="F2F2F2" w:themeFill="background1" w:themeFillShade="F2"/>
          </w:tcPr>
          <w:p w:rsidR="004659AD" w:rsidRPr="00642432" w:rsidRDefault="004659AD" w:rsidP="008E4B29">
            <w:pPr>
              <w:pStyle w:val="TableText"/>
              <w:jc w:val="center"/>
            </w:pPr>
            <w:r w:rsidRPr="00642432">
              <w:t>15 (75%)</w:t>
            </w:r>
          </w:p>
        </w:tc>
        <w:tc>
          <w:tcPr>
            <w:tcW w:w="1985" w:type="dxa"/>
            <w:tcBorders>
              <w:top w:val="nil"/>
              <w:bottom w:val="nil"/>
            </w:tcBorders>
            <w:shd w:val="clear" w:color="auto" w:fill="F2F2F2" w:themeFill="background1" w:themeFillShade="F2"/>
          </w:tcPr>
          <w:p w:rsidR="004659AD" w:rsidRPr="00642432" w:rsidRDefault="004659AD" w:rsidP="008E4B29">
            <w:pPr>
              <w:pStyle w:val="TableText"/>
              <w:jc w:val="center"/>
            </w:pPr>
            <w:r w:rsidRPr="00642432">
              <w:t>74</w:t>
            </w:r>
          </w:p>
        </w:tc>
      </w:tr>
      <w:tr w:rsidR="004659AD" w:rsidRPr="00642432" w:rsidTr="008E4B29">
        <w:trPr>
          <w:cantSplit/>
        </w:trPr>
        <w:tc>
          <w:tcPr>
            <w:tcW w:w="709" w:type="dxa"/>
            <w:tcBorders>
              <w:top w:val="nil"/>
              <w:bottom w:val="nil"/>
            </w:tcBorders>
          </w:tcPr>
          <w:p w:rsidR="004659AD" w:rsidRPr="00642432" w:rsidRDefault="004659AD" w:rsidP="008E4B29">
            <w:pPr>
              <w:pStyle w:val="TableText"/>
              <w:jc w:val="center"/>
            </w:pPr>
            <w:r w:rsidRPr="00642432">
              <w:t>2012</w:t>
            </w:r>
          </w:p>
        </w:tc>
        <w:tc>
          <w:tcPr>
            <w:tcW w:w="3331" w:type="dxa"/>
            <w:tcBorders>
              <w:top w:val="nil"/>
              <w:bottom w:val="nil"/>
            </w:tcBorders>
          </w:tcPr>
          <w:p w:rsidR="004659AD" w:rsidRPr="00642432" w:rsidRDefault="004659AD" w:rsidP="008E4B29">
            <w:pPr>
              <w:pStyle w:val="TableText"/>
              <w:tabs>
                <w:tab w:val="decimal" w:pos="1394"/>
              </w:tabs>
            </w:pPr>
            <w:r w:rsidRPr="00642432">
              <w:t>61 (97%)</w:t>
            </w:r>
          </w:p>
        </w:tc>
        <w:tc>
          <w:tcPr>
            <w:tcW w:w="3331" w:type="dxa"/>
            <w:tcBorders>
              <w:top w:val="nil"/>
              <w:bottom w:val="nil"/>
            </w:tcBorders>
          </w:tcPr>
          <w:p w:rsidR="004659AD" w:rsidRPr="00642432" w:rsidRDefault="004659AD" w:rsidP="008E4B29">
            <w:pPr>
              <w:pStyle w:val="TableText"/>
              <w:jc w:val="center"/>
            </w:pPr>
            <w:r w:rsidRPr="00642432">
              <w:t>11 (58%)</w:t>
            </w:r>
          </w:p>
        </w:tc>
        <w:tc>
          <w:tcPr>
            <w:tcW w:w="1985" w:type="dxa"/>
            <w:tcBorders>
              <w:top w:val="nil"/>
              <w:bottom w:val="nil"/>
            </w:tcBorders>
          </w:tcPr>
          <w:p w:rsidR="004659AD" w:rsidRPr="00642432" w:rsidRDefault="004659AD" w:rsidP="008E4B29">
            <w:pPr>
              <w:pStyle w:val="TableText"/>
              <w:jc w:val="center"/>
            </w:pPr>
            <w:r w:rsidRPr="00642432">
              <w:t>72</w:t>
            </w:r>
          </w:p>
        </w:tc>
      </w:tr>
      <w:tr w:rsidR="004659AD" w:rsidRPr="00642432" w:rsidTr="008E4B29">
        <w:trPr>
          <w:cantSplit/>
        </w:trPr>
        <w:tc>
          <w:tcPr>
            <w:tcW w:w="709" w:type="dxa"/>
            <w:tcBorders>
              <w:top w:val="nil"/>
              <w:bottom w:val="single" w:sz="4" w:space="0" w:color="auto"/>
            </w:tcBorders>
            <w:shd w:val="clear" w:color="auto" w:fill="F2F2F2" w:themeFill="background1" w:themeFillShade="F2"/>
          </w:tcPr>
          <w:p w:rsidR="004659AD" w:rsidRPr="00642432" w:rsidRDefault="004659AD" w:rsidP="008E4B29">
            <w:pPr>
              <w:pStyle w:val="TableText"/>
              <w:jc w:val="center"/>
            </w:pPr>
            <w:r w:rsidRPr="00642432">
              <w:t>2013</w:t>
            </w:r>
          </w:p>
        </w:tc>
        <w:tc>
          <w:tcPr>
            <w:tcW w:w="3331" w:type="dxa"/>
            <w:tcBorders>
              <w:top w:val="nil"/>
              <w:bottom w:val="single" w:sz="4" w:space="0" w:color="auto"/>
            </w:tcBorders>
            <w:shd w:val="clear" w:color="auto" w:fill="F2F2F2" w:themeFill="background1" w:themeFillShade="F2"/>
          </w:tcPr>
          <w:p w:rsidR="004659AD" w:rsidRPr="00642432" w:rsidRDefault="004659AD" w:rsidP="008E4B29">
            <w:pPr>
              <w:pStyle w:val="TableText"/>
              <w:tabs>
                <w:tab w:val="decimal" w:pos="1394"/>
              </w:tabs>
            </w:pPr>
            <w:r w:rsidRPr="00642432">
              <w:t>59 (95%)</w:t>
            </w:r>
          </w:p>
        </w:tc>
        <w:tc>
          <w:tcPr>
            <w:tcW w:w="3331" w:type="dxa"/>
            <w:tcBorders>
              <w:top w:val="nil"/>
              <w:bottom w:val="single" w:sz="4" w:space="0" w:color="auto"/>
            </w:tcBorders>
            <w:shd w:val="clear" w:color="auto" w:fill="F2F2F2" w:themeFill="background1" w:themeFillShade="F2"/>
          </w:tcPr>
          <w:p w:rsidR="004659AD" w:rsidRPr="00642432" w:rsidRDefault="004659AD" w:rsidP="008E4B29">
            <w:pPr>
              <w:pStyle w:val="TableText"/>
              <w:jc w:val="center"/>
            </w:pPr>
            <w:r w:rsidRPr="00642432">
              <w:t>16 (64%)</w:t>
            </w:r>
          </w:p>
        </w:tc>
        <w:tc>
          <w:tcPr>
            <w:tcW w:w="1985" w:type="dxa"/>
            <w:tcBorders>
              <w:top w:val="nil"/>
              <w:bottom w:val="single" w:sz="4" w:space="0" w:color="auto"/>
            </w:tcBorders>
            <w:shd w:val="clear" w:color="auto" w:fill="F2F2F2" w:themeFill="background1" w:themeFillShade="F2"/>
          </w:tcPr>
          <w:p w:rsidR="004659AD" w:rsidRPr="00642432" w:rsidRDefault="004659AD" w:rsidP="008E4B29">
            <w:pPr>
              <w:pStyle w:val="TableText"/>
              <w:jc w:val="center"/>
            </w:pPr>
            <w:r w:rsidRPr="00642432">
              <w:t>75</w:t>
            </w:r>
          </w:p>
        </w:tc>
      </w:tr>
    </w:tbl>
    <w:p w:rsidR="004659AD" w:rsidRPr="00642432" w:rsidRDefault="004659AD" w:rsidP="008E4B29">
      <w:pPr>
        <w:pStyle w:val="Note"/>
        <w:ind w:left="0" w:right="0" w:firstLine="0"/>
      </w:pPr>
      <w:r w:rsidRPr="00642432">
        <w:t>Note:</w:t>
      </w:r>
      <w:r w:rsidR="00D32DDD" w:rsidRPr="00642432">
        <w:t xml:space="preserve"> </w:t>
      </w:r>
      <w:r w:rsidRPr="00642432">
        <w:t>The table presents applications that were</w:t>
      </w:r>
      <w:r w:rsidR="00D32DDD" w:rsidRPr="00642432">
        <w:t xml:space="preserve"> </w:t>
      </w:r>
      <w:r w:rsidRPr="00642432">
        <w:t>disposed at the time of data extraction on 26 June 2014.</w:t>
      </w:r>
    </w:p>
    <w:p w:rsidR="004659AD" w:rsidRPr="00642432" w:rsidRDefault="004659AD" w:rsidP="008E4B29">
      <w:pPr>
        <w:pStyle w:val="Source"/>
        <w:ind w:left="0" w:right="0" w:firstLine="0"/>
      </w:pPr>
      <w:r w:rsidRPr="00642432">
        <w:t>Source: Ministry of Justice’s Case Management System (CMS). The CMS is a live operational database. Figures are subject to minor changes at any</w:t>
      </w:r>
      <w:r w:rsidR="00D32DDD" w:rsidRPr="00642432">
        <w:t xml:space="preserve"> </w:t>
      </w:r>
      <w:r w:rsidRPr="00642432">
        <w:t>time hereafter.</w:t>
      </w:r>
    </w:p>
    <w:p w:rsidR="004659AD" w:rsidRPr="00642432" w:rsidRDefault="004659AD" w:rsidP="004659AD"/>
    <w:p w:rsidR="004659AD" w:rsidRPr="00642432" w:rsidRDefault="004659AD" w:rsidP="005E2C2B">
      <w:pPr>
        <w:pStyle w:val="Heading3"/>
      </w:pPr>
      <w:r w:rsidRPr="00642432">
        <w:t>Sector voices</w:t>
      </w:r>
    </w:p>
    <w:p w:rsidR="004659AD" w:rsidRPr="00642432" w:rsidRDefault="00FF5E23" w:rsidP="00FF5E23">
      <w:pPr>
        <w:pStyle w:val="Heading4"/>
      </w:pPr>
      <w:r w:rsidRPr="00FF5E23">
        <w:rPr>
          <w:noProof/>
          <w:lang w:eastAsia="en-NZ"/>
        </w:rPr>
        <w:drawing>
          <wp:anchor distT="0" distB="0" distL="0" distR="114300" simplePos="0" relativeHeight="251991040" behindDoc="0" locked="0" layoutInCell="1" allowOverlap="1">
            <wp:simplePos x="0" y="0"/>
            <wp:positionH relativeFrom="column">
              <wp:posOffset>-3175</wp:posOffset>
            </wp:positionH>
            <wp:positionV relativeFrom="paragraph">
              <wp:posOffset>4445</wp:posOffset>
            </wp:positionV>
            <wp:extent cx="2656205" cy="1799590"/>
            <wp:effectExtent l="0" t="0" r="0" b="0"/>
            <wp:wrapSquare wrapText="right"/>
            <wp:docPr id="5521" name="Picture 5521" descr="Photo of Erin Watts and Brighid Galvin – Mental health nurses" title="Erin Watts and Brighid Ga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grayscl/>
                      <a:extLst>
                        <a:ext uri="{28A0092B-C50C-407E-A947-70E740481C1C}">
                          <a14:useLocalDpi xmlns:a14="http://schemas.microsoft.com/office/drawing/2010/main" val="0"/>
                        </a:ext>
                      </a:extLst>
                    </a:blip>
                    <a:stretch>
                      <a:fillRect/>
                    </a:stretch>
                  </pic:blipFill>
                  <pic:spPr>
                    <a:xfrm>
                      <a:off x="0" y="0"/>
                      <a:ext cx="2656205" cy="1799590"/>
                    </a:xfrm>
                    <a:prstGeom prst="rect">
                      <a:avLst/>
                    </a:prstGeom>
                  </pic:spPr>
                </pic:pic>
              </a:graphicData>
            </a:graphic>
            <wp14:sizeRelH relativeFrom="margin">
              <wp14:pctWidth>0</wp14:pctWidth>
            </wp14:sizeRelH>
            <wp14:sizeRelV relativeFrom="margin">
              <wp14:pctHeight>0</wp14:pctHeight>
            </wp14:sizeRelV>
          </wp:anchor>
        </w:drawing>
      </w:r>
      <w:r w:rsidR="004659AD" w:rsidRPr="00642432">
        <w:t>Erin Watts and Brighid Galvin</w:t>
      </w:r>
      <w:r>
        <w:t xml:space="preserve"> </w:t>
      </w:r>
      <w:r w:rsidR="004659AD" w:rsidRPr="00642432">
        <w:t>– Mental health nurses</w:t>
      </w:r>
    </w:p>
    <w:p w:rsidR="004659AD" w:rsidRPr="00642432" w:rsidRDefault="004659AD" w:rsidP="00FF5E23">
      <w:r w:rsidRPr="00642432">
        <w:t>Hello, my name is Erin Watts (left) and my colleague’s name is Brighid Galvin (right). We are both registered nurses practising within the scope of mental health.</w:t>
      </w:r>
    </w:p>
    <w:p w:rsidR="004659AD" w:rsidRPr="00642432" w:rsidRDefault="004659AD" w:rsidP="00FF5E23"/>
    <w:p w:rsidR="004659AD" w:rsidRPr="00642432" w:rsidRDefault="004659AD" w:rsidP="00FF5E23">
      <w:r w:rsidRPr="00642432">
        <w:t>Together we provide a home-based detox service in Dunedin. The aim</w:t>
      </w:r>
      <w:r w:rsidR="00D32DDD" w:rsidRPr="00642432">
        <w:t xml:space="preserve"> </w:t>
      </w:r>
      <w:r w:rsidRPr="00642432">
        <w:t>of the service is to provide safe,</w:t>
      </w:r>
      <w:r w:rsidR="00D32DDD" w:rsidRPr="00642432">
        <w:t xml:space="preserve"> </w:t>
      </w:r>
      <w:r w:rsidRPr="00642432">
        <w:t>managed withdrawal for people who</w:t>
      </w:r>
      <w:r w:rsidR="00D32DDD" w:rsidRPr="00642432">
        <w:t xml:space="preserve"> </w:t>
      </w:r>
      <w:r w:rsidRPr="00642432">
        <w:t>are substance dependent. As mental health nurses we are holistic in our</w:t>
      </w:r>
      <w:r w:rsidR="00D32DDD" w:rsidRPr="00642432">
        <w:t xml:space="preserve"> </w:t>
      </w:r>
      <w:r w:rsidRPr="00642432">
        <w:t>approach and offer a brief</w:t>
      </w:r>
      <w:r w:rsidR="00FF5E23">
        <w:t xml:space="preserve"> </w:t>
      </w:r>
      <w:r w:rsidRPr="00642432">
        <w:t>intervention service that is recovery and strengths based.</w:t>
      </w:r>
    </w:p>
    <w:p w:rsidR="004659AD" w:rsidRPr="00642432" w:rsidRDefault="004659AD" w:rsidP="00FF5E23"/>
    <w:p w:rsidR="004659AD" w:rsidRPr="00642432" w:rsidRDefault="004659AD" w:rsidP="00FF5E23">
      <w:r w:rsidRPr="00642432">
        <w:t>To receive support from the detox service, people can</w:t>
      </w:r>
      <w:r w:rsidR="00D32DDD" w:rsidRPr="00642432">
        <w:t xml:space="preserve"> </w:t>
      </w:r>
      <w:r w:rsidRPr="00642432">
        <w:t>self-refer or be referred by GPs, community mental health teams or other alcohol and other drug services. We work</w:t>
      </w:r>
      <w:r w:rsidR="00D32DDD" w:rsidRPr="00642432">
        <w:t xml:space="preserve"> </w:t>
      </w:r>
      <w:r w:rsidRPr="00642432">
        <w:t>in partnership with people’s GPs who</w:t>
      </w:r>
      <w:r w:rsidR="00D32DDD" w:rsidRPr="00642432">
        <w:t xml:space="preserve"> </w:t>
      </w:r>
      <w:r w:rsidRPr="00642432">
        <w:t>provide us with medical support.</w:t>
      </w:r>
    </w:p>
    <w:p w:rsidR="004659AD" w:rsidRPr="00642432" w:rsidRDefault="004659AD" w:rsidP="005C193E">
      <w:pPr>
        <w:spacing w:before="240"/>
      </w:pPr>
      <w:r w:rsidRPr="00642432">
        <w:t>With</w:t>
      </w:r>
      <w:r w:rsidR="00D32DDD" w:rsidRPr="00642432">
        <w:t xml:space="preserve"> </w:t>
      </w:r>
      <w:r w:rsidRPr="00642432">
        <w:t>detox it is not always appropriate to treat people in their home environment (ie, when there’s no support person at home, when the environment is not suitable or when the person has</w:t>
      </w:r>
      <w:r w:rsidR="00D32DDD" w:rsidRPr="00642432">
        <w:t xml:space="preserve"> </w:t>
      </w:r>
      <w:r w:rsidRPr="00642432">
        <w:t>a past history of withdrawal seizures). In these cases it is possible for people to be treated in a respite setting and we purchase these beds from the Ashburn Clinic.</w:t>
      </w:r>
    </w:p>
    <w:p w:rsidR="004659AD" w:rsidRPr="00642432" w:rsidRDefault="004659AD" w:rsidP="00FF5E23"/>
    <w:p w:rsidR="004659AD" w:rsidRPr="00642432" w:rsidRDefault="004659AD" w:rsidP="00FF5E23">
      <w:r w:rsidRPr="00642432">
        <w:t>Things we love about being mental health nurses are the wide</w:t>
      </w:r>
      <w:r w:rsidR="00D32DDD" w:rsidRPr="00642432">
        <w:t xml:space="preserve"> </w:t>
      </w:r>
      <w:r w:rsidRPr="00642432">
        <w:t>variety of people we work</w:t>
      </w:r>
      <w:r w:rsidR="00D32DDD" w:rsidRPr="00642432">
        <w:t xml:space="preserve"> </w:t>
      </w:r>
      <w:r w:rsidRPr="00642432">
        <w:t>with, the privilege of going into people’s homes and the autonomy of the role.</w:t>
      </w:r>
      <w:r w:rsidR="00D32DDD" w:rsidRPr="00642432">
        <w:t xml:space="preserve"> </w:t>
      </w:r>
      <w:r w:rsidRPr="00642432">
        <w:t>Mental health nurses work</w:t>
      </w:r>
      <w:r w:rsidR="00D32DDD" w:rsidRPr="00642432">
        <w:t xml:space="preserve"> </w:t>
      </w:r>
      <w:r w:rsidRPr="00642432">
        <w:t>across a variety of settings, from inpatient to community. Over the years there has</w:t>
      </w:r>
      <w:r w:rsidR="00D32DDD" w:rsidRPr="00642432">
        <w:t xml:space="preserve"> </w:t>
      </w:r>
      <w:r w:rsidRPr="00642432">
        <w:t>been a big shift in where services are provided, with most mental health nurses now caring for people in the community.</w:t>
      </w:r>
    </w:p>
    <w:p w:rsidR="004659AD" w:rsidRPr="00642432" w:rsidRDefault="004659AD" w:rsidP="00FF5E23"/>
    <w:p w:rsidR="004659AD" w:rsidRPr="00642432" w:rsidRDefault="004659AD" w:rsidP="00E43739">
      <w:pPr>
        <w:keepLines/>
      </w:pPr>
      <w:r w:rsidRPr="00642432">
        <w:t>Some of the challenges include the frustrations of clients not being able</w:t>
      </w:r>
      <w:r w:rsidR="00D32DDD" w:rsidRPr="00642432">
        <w:t xml:space="preserve"> </w:t>
      </w:r>
      <w:r w:rsidRPr="00642432">
        <w:t>to be attended to now (managed withdrawal is a planned intervention which requires careful steps in order to be safely implemented) and the difficulty of providing a service for the homeless. It is a great job which allows us to work</w:t>
      </w:r>
      <w:r w:rsidR="00D32DDD" w:rsidRPr="00642432">
        <w:t xml:space="preserve"> </w:t>
      </w:r>
      <w:r w:rsidRPr="00642432">
        <w:t>alongside clients towards their experience of wellbeing.</w:t>
      </w:r>
    </w:p>
    <w:p w:rsidR="004659AD" w:rsidRPr="00642432" w:rsidRDefault="004659AD" w:rsidP="00FF5E23"/>
    <w:p w:rsidR="004659AD" w:rsidRPr="00642432" w:rsidRDefault="004659AD" w:rsidP="00FF5E23">
      <w:pPr>
        <w:pStyle w:val="Heading2"/>
      </w:pPr>
      <w:bookmarkStart w:id="75" w:name="_Toc405113675"/>
      <w:r w:rsidRPr="00642432">
        <w:t>Opioid substitution treatment</w:t>
      </w:r>
      <w:bookmarkEnd w:id="75"/>
    </w:p>
    <w:p w:rsidR="004659AD" w:rsidRPr="00642432" w:rsidRDefault="004659AD" w:rsidP="00FF5E23">
      <w:r w:rsidRPr="00642432">
        <w:t>Opioid substitution treatment (OST) is a well-established treatment that involves prescribing opioids such as methadone and buprenorphine with naloxone (suboxone) as a substitute for illicit opioids.</w:t>
      </w:r>
    </w:p>
    <w:p w:rsidR="004659AD" w:rsidRPr="00642432" w:rsidRDefault="004659AD" w:rsidP="00FF5E23"/>
    <w:p w:rsidR="004659AD" w:rsidRPr="00642432" w:rsidRDefault="004659AD" w:rsidP="00FF5E23">
      <w:r w:rsidRPr="00642432">
        <w:t>In summary:</w:t>
      </w:r>
    </w:p>
    <w:p w:rsidR="004659AD" w:rsidRPr="00642432" w:rsidRDefault="004659AD" w:rsidP="00FF5E23">
      <w:pPr>
        <w:pStyle w:val="Bullet"/>
      </w:pPr>
      <w:r w:rsidRPr="00642432">
        <w:t>during 2013 over</w:t>
      </w:r>
      <w:r w:rsidR="00D32DDD" w:rsidRPr="00642432">
        <w:t xml:space="preserve"> </w:t>
      </w:r>
      <w:r w:rsidRPr="00642432">
        <w:t>5000 people were</w:t>
      </w:r>
      <w:r w:rsidR="00D32DDD" w:rsidRPr="00642432">
        <w:t xml:space="preserve"> </w:t>
      </w:r>
      <w:r w:rsidRPr="00642432">
        <w:t>being treated in New Zealand for opioid dependence</w:t>
      </w:r>
    </w:p>
    <w:p w:rsidR="004659AD" w:rsidRPr="00642432" w:rsidRDefault="004659AD" w:rsidP="00FF5E23">
      <w:pPr>
        <w:pStyle w:val="Bullet"/>
      </w:pPr>
      <w:r w:rsidRPr="00642432">
        <w:t>most people (73 percent) received treatment from specialist addiction services in 2013</w:t>
      </w:r>
    </w:p>
    <w:p w:rsidR="004659AD" w:rsidRPr="00642432" w:rsidRDefault="004659AD" w:rsidP="00FF5E23">
      <w:pPr>
        <w:pStyle w:val="Bullet"/>
      </w:pPr>
      <w:r w:rsidRPr="00642432">
        <w:t>the Ministry would like more people to be receiving treatment from their GP</w:t>
      </w:r>
    </w:p>
    <w:p w:rsidR="004659AD" w:rsidRPr="00642432" w:rsidRDefault="004659AD" w:rsidP="00FF5E23">
      <w:pPr>
        <w:pStyle w:val="Bullet"/>
      </w:pPr>
      <w:r w:rsidRPr="00642432">
        <w:t>in 2013, approximately 26 percent of OST patients were</w:t>
      </w:r>
      <w:r w:rsidR="00D32DDD" w:rsidRPr="00642432">
        <w:t xml:space="preserve"> </w:t>
      </w:r>
      <w:r w:rsidRPr="00642432">
        <w:t>in GP care</w:t>
      </w:r>
    </w:p>
    <w:p w:rsidR="004659AD" w:rsidRPr="00642432" w:rsidRDefault="00FF5E23" w:rsidP="00FF5E23">
      <w:pPr>
        <w:pStyle w:val="Bullet"/>
      </w:pPr>
      <w:r>
        <w:t>s</w:t>
      </w:r>
      <w:r w:rsidR="004659AD" w:rsidRPr="00642432">
        <w:t>uboxone is increasingly being used in New Zealand to treat opioid dependence</w:t>
      </w:r>
    </w:p>
    <w:p w:rsidR="004659AD" w:rsidRPr="00642432" w:rsidRDefault="004659AD" w:rsidP="00FF5E23">
      <w:pPr>
        <w:pStyle w:val="Bullet"/>
      </w:pPr>
      <w:r w:rsidRPr="00642432">
        <w:t>people aged 30 to 60 years are the most likely to be receiving OST.</w:t>
      </w:r>
    </w:p>
    <w:p w:rsidR="004659AD" w:rsidRPr="00642432" w:rsidRDefault="004659AD" w:rsidP="00FF5E23"/>
    <w:p w:rsidR="004659AD" w:rsidRPr="00642432" w:rsidRDefault="004659AD" w:rsidP="00FF5E23">
      <w:r w:rsidRPr="00642432">
        <w:t>The Director of Mental Health is responsible for approving qualified</w:t>
      </w:r>
      <w:r w:rsidR="00FF5E23">
        <w:t xml:space="preserve"> </w:t>
      </w:r>
      <w:r w:rsidR="00FF5E23" w:rsidRPr="00642432">
        <w:t>practitioners to prescribe controlled drugs for the treatment of drug dependence under section 24 of the Misuse of Drugs Act 1975.</w:t>
      </w:r>
    </w:p>
    <w:p w:rsidR="004659AD" w:rsidRPr="00642432" w:rsidRDefault="004659AD" w:rsidP="00FF5E23"/>
    <w:p w:rsidR="004659AD" w:rsidRPr="00642432" w:rsidRDefault="004659AD" w:rsidP="00FF5E23">
      <w:pPr>
        <w:pStyle w:val="Box"/>
      </w:pPr>
      <w:r w:rsidRPr="00642432">
        <w:t>At the end of 2013,</w:t>
      </w:r>
      <w:r w:rsidR="00FF5E23">
        <w:t xml:space="preserve"> </w:t>
      </w:r>
      <w:r w:rsidRPr="00642432">
        <w:t>5158 people were</w:t>
      </w:r>
      <w:r w:rsidR="00D32DDD" w:rsidRPr="00642432">
        <w:t xml:space="preserve"> </w:t>
      </w:r>
      <w:r w:rsidRPr="00642432">
        <w:t>being treated in New Zealand for opioid dependence.</w:t>
      </w:r>
    </w:p>
    <w:p w:rsidR="004659AD" w:rsidRPr="00642432" w:rsidRDefault="004659AD" w:rsidP="004659AD">
      <w:pPr>
        <w:jc w:val="both"/>
      </w:pPr>
    </w:p>
    <w:p w:rsidR="004659AD" w:rsidRPr="00642432" w:rsidRDefault="004659AD" w:rsidP="00FF5E23">
      <w:r w:rsidRPr="00642432">
        <w:t>In 2012 the Director of Mental Health began a review of the process and criteria for prescribing controlled drugs under section 24. This</w:t>
      </w:r>
      <w:r w:rsidR="00D32DDD" w:rsidRPr="00642432">
        <w:t xml:space="preserve"> </w:t>
      </w:r>
      <w:r w:rsidRPr="00642432">
        <w:t>work</w:t>
      </w:r>
      <w:r w:rsidR="00D32DDD" w:rsidRPr="00642432">
        <w:t xml:space="preserve"> </w:t>
      </w:r>
      <w:r w:rsidRPr="00642432">
        <w:t>aims to:</w:t>
      </w:r>
    </w:p>
    <w:p w:rsidR="004659AD" w:rsidRPr="00642432" w:rsidRDefault="004659AD" w:rsidP="00FF5E23">
      <w:pPr>
        <w:pStyle w:val="Bullet"/>
      </w:pPr>
      <w:r w:rsidRPr="00642432">
        <w:t>establish greater governance and oversight around prescribing</w:t>
      </w:r>
    </w:p>
    <w:p w:rsidR="004659AD" w:rsidRPr="00642432" w:rsidRDefault="004659AD" w:rsidP="00FF5E23">
      <w:pPr>
        <w:pStyle w:val="Bullet"/>
      </w:pPr>
      <w:r w:rsidRPr="00642432">
        <w:t>ensure all prescribers are appropriately qualified</w:t>
      </w:r>
    </w:p>
    <w:p w:rsidR="004659AD" w:rsidRPr="00642432" w:rsidRDefault="004659AD" w:rsidP="00FF5E23">
      <w:pPr>
        <w:pStyle w:val="Bullet"/>
      </w:pPr>
      <w:r w:rsidRPr="00642432">
        <w:t>mitigate drug diversion.</w:t>
      </w:r>
    </w:p>
    <w:p w:rsidR="004659AD" w:rsidRPr="00642432" w:rsidRDefault="004659AD" w:rsidP="00FF5E23"/>
    <w:p w:rsidR="004659AD" w:rsidRPr="00642432" w:rsidRDefault="004659AD" w:rsidP="00FF5E23">
      <w:r w:rsidRPr="00642432">
        <w:t>This</w:t>
      </w:r>
      <w:r w:rsidR="00D32DDD" w:rsidRPr="00642432">
        <w:t xml:space="preserve"> </w:t>
      </w:r>
      <w:r w:rsidRPr="00642432">
        <w:t>work</w:t>
      </w:r>
      <w:r w:rsidR="00D32DDD" w:rsidRPr="00642432">
        <w:t xml:space="preserve"> </w:t>
      </w:r>
      <w:r w:rsidRPr="00642432">
        <w:t>continued through 2013 and is expected to be completed in early 2014.</w:t>
      </w:r>
    </w:p>
    <w:p w:rsidR="004659AD" w:rsidRPr="00642432" w:rsidRDefault="004659AD" w:rsidP="00FF5E23"/>
    <w:p w:rsidR="004659AD" w:rsidRPr="00642432" w:rsidRDefault="004659AD" w:rsidP="00FF5E23">
      <w:r w:rsidRPr="00642432">
        <w:t>The Director of Mental Health undertakes regular site visits to opioid substitution services. The Director’s role in OST service quality and safety is supported by regular meetings with the National Association of Opioid Treatment Providers and other Ministry of Health teams with an involvement in OST.</w:t>
      </w:r>
    </w:p>
    <w:p w:rsidR="004659AD" w:rsidRPr="00642432" w:rsidRDefault="004659AD" w:rsidP="00BC64B2">
      <w:pPr>
        <w:spacing w:before="240"/>
      </w:pPr>
      <w:r w:rsidRPr="00642432">
        <w:t>In 2013, 16 DHBs, one</w:t>
      </w:r>
      <w:r w:rsidR="00D32DDD" w:rsidRPr="00642432">
        <w:t xml:space="preserve"> </w:t>
      </w:r>
      <w:r w:rsidRPr="00642432">
        <w:t>NGO, one</w:t>
      </w:r>
      <w:r w:rsidR="00D32DDD" w:rsidRPr="00642432">
        <w:t xml:space="preserve"> </w:t>
      </w:r>
      <w:r w:rsidRPr="00642432">
        <w:t>primary health organisation and one general practice provided specialist OST services for national coverage. In addition, a number of individual GPs were</w:t>
      </w:r>
      <w:r w:rsidR="00D32DDD" w:rsidRPr="00642432">
        <w:t xml:space="preserve"> </w:t>
      </w:r>
      <w:r w:rsidRPr="00642432">
        <w:t>authorised to provide OST to clients stabilised in treatment.</w:t>
      </w:r>
    </w:p>
    <w:p w:rsidR="004659AD" w:rsidRPr="00642432" w:rsidRDefault="004659AD" w:rsidP="00FF5E23"/>
    <w:p w:rsidR="004659AD" w:rsidRPr="00FF5E23" w:rsidRDefault="004659AD" w:rsidP="00E43739">
      <w:pPr>
        <w:keepLines/>
      </w:pPr>
      <w:r w:rsidRPr="00642432">
        <w:t>At the end of 2013, 5158 people were</w:t>
      </w:r>
      <w:r w:rsidR="00D32DDD" w:rsidRPr="00642432">
        <w:t xml:space="preserve"> </w:t>
      </w:r>
      <w:r w:rsidRPr="00642432">
        <w:t>being treated in New Zealand for opioid dependence. Of this total, 3745 (73 percent) were</w:t>
      </w:r>
      <w:r w:rsidR="00D32DDD" w:rsidRPr="00642432">
        <w:t xml:space="preserve"> </w:t>
      </w:r>
      <w:r w:rsidRPr="00642432">
        <w:t>at specialist</w:t>
      </w:r>
      <w:r w:rsidR="00FF5E23">
        <w:t xml:space="preserve"> </w:t>
      </w:r>
      <w:r w:rsidR="00FF5E23" w:rsidRPr="00642432">
        <w:t>services 1362 (26 percent) were in GP care and 51 (1 percent) were in prison. There has been a</w:t>
      </w:r>
      <w:r w:rsidR="00FF5E23">
        <w:t xml:space="preserve"> </w:t>
      </w:r>
      <w:r w:rsidR="00FF5E23" w:rsidRPr="00642432">
        <w:t>17.4 percent increase in the number of clients reported to be receiving OST since 2007.</w:t>
      </w:r>
      <w:r w:rsidR="00FF5E23">
        <w:rPr>
          <w:rStyle w:val="FootnoteReference"/>
        </w:rPr>
        <w:footnoteReference w:id="29"/>
      </w:r>
    </w:p>
    <w:p w:rsidR="004659AD" w:rsidRPr="00642432" w:rsidRDefault="004659AD" w:rsidP="00FF5E23"/>
    <w:p w:rsidR="004659AD" w:rsidRPr="00642432" w:rsidRDefault="004659AD" w:rsidP="00FF5E23">
      <w:pPr>
        <w:pStyle w:val="Box"/>
      </w:pPr>
      <w:r w:rsidRPr="00642432">
        <w:t>Opioid dependence is a complex health condition that often requires long-term treatment and care.</w:t>
      </w:r>
    </w:p>
    <w:p w:rsidR="004659AD" w:rsidRPr="00642432" w:rsidRDefault="004659AD" w:rsidP="00FF5E23"/>
    <w:p w:rsidR="00FF5E23" w:rsidRDefault="004659AD" w:rsidP="00FF5E23">
      <w:pPr>
        <w:pStyle w:val="Heading3"/>
      </w:pPr>
      <w:r w:rsidRPr="00642432">
        <w:t>The use of buprenorphine with naloxone (suboxone) for OST</w:t>
      </w:r>
    </w:p>
    <w:p w:rsidR="004659AD" w:rsidRPr="00642432" w:rsidRDefault="004659AD" w:rsidP="00FF5E23">
      <w:r w:rsidRPr="00642432">
        <w:t>Since 1 July 2012 PHARMAC has</w:t>
      </w:r>
      <w:r w:rsidR="00D32DDD" w:rsidRPr="00642432">
        <w:t xml:space="preserve"> </w:t>
      </w:r>
      <w:r w:rsidRPr="00642432">
        <w:t>funded buprenorphine with naloxone (suboxone) for both detoxification and maintenance for people who</w:t>
      </w:r>
      <w:r w:rsidR="00D32DDD" w:rsidRPr="00642432">
        <w:t xml:space="preserve"> </w:t>
      </w:r>
      <w:r w:rsidRPr="00642432">
        <w:t>are dependent on opioids. This</w:t>
      </w:r>
      <w:r w:rsidR="00D32DDD" w:rsidRPr="00642432">
        <w:t xml:space="preserve"> </w:t>
      </w:r>
      <w:r w:rsidRPr="00642432">
        <w:t>funding has</w:t>
      </w:r>
      <w:r w:rsidR="00D32DDD" w:rsidRPr="00642432">
        <w:t xml:space="preserve"> </w:t>
      </w:r>
      <w:r w:rsidRPr="00642432">
        <w:t>given a welcome choice in opioid substitution treatment. With</w:t>
      </w:r>
      <w:r w:rsidR="00D32DDD" w:rsidRPr="00642432">
        <w:t xml:space="preserve"> </w:t>
      </w:r>
      <w:r w:rsidRPr="00642432">
        <w:t>suboxone the risk of diversion and misuse is lower than for methadone. In addition, suboxone is safer in overdose and can</w:t>
      </w:r>
      <w:r w:rsidR="00D32DDD" w:rsidRPr="00642432">
        <w:t xml:space="preserve"> </w:t>
      </w:r>
      <w:r w:rsidRPr="00642432">
        <w:t>be given in cumulative</w:t>
      </w:r>
      <w:r w:rsidR="00FF5E23">
        <w:t xml:space="preserve"> </w:t>
      </w:r>
      <w:r w:rsidRPr="00642432">
        <w:t>doses lasting several days, rather than the daily dosing regimen required for methadone.</w:t>
      </w:r>
    </w:p>
    <w:p w:rsidR="004659AD" w:rsidRPr="00642432" w:rsidRDefault="004659AD" w:rsidP="00FF5E23"/>
    <w:p w:rsidR="004659AD" w:rsidRPr="00642432" w:rsidRDefault="004659AD" w:rsidP="00FF5E23">
      <w:r w:rsidRPr="00642432">
        <w:t>The number of people being prescribed suboxone has</w:t>
      </w:r>
      <w:r w:rsidR="00D32DDD" w:rsidRPr="00642432">
        <w:t xml:space="preserve"> </w:t>
      </w:r>
      <w:r w:rsidRPr="00642432">
        <w:t>more</w:t>
      </w:r>
      <w:r w:rsidR="00FF5E23">
        <w:t xml:space="preserve"> </w:t>
      </w:r>
      <w:r w:rsidRPr="00642432">
        <w:t>than tripled over</w:t>
      </w:r>
      <w:r w:rsidR="00D32DDD" w:rsidRPr="00642432">
        <w:t xml:space="preserve"> </w:t>
      </w:r>
      <w:r w:rsidRPr="00642432">
        <w:t>the last two years, increasing from 71 people in</w:t>
      </w:r>
      <w:r w:rsidR="00FF5E23">
        <w:t xml:space="preserve"> </w:t>
      </w:r>
      <w:r w:rsidRPr="00642432">
        <w:t>December 2011 to 360 at the end of 2013 (Figure 26).</w:t>
      </w:r>
    </w:p>
    <w:p w:rsidR="004659AD" w:rsidRPr="00642432" w:rsidRDefault="004659AD" w:rsidP="00FF5E23"/>
    <w:p w:rsidR="004659AD" w:rsidRPr="00642432" w:rsidRDefault="004659AD" w:rsidP="00FF5E23">
      <w:pPr>
        <w:pStyle w:val="Box"/>
      </w:pPr>
      <w:r w:rsidRPr="00642432">
        <w:t>The number of people being prescribed suboxone has</w:t>
      </w:r>
      <w:r w:rsidR="00D32DDD" w:rsidRPr="00642432">
        <w:t xml:space="preserve"> </w:t>
      </w:r>
      <w:r w:rsidRPr="00642432">
        <w:t>more than tripled</w:t>
      </w:r>
      <w:r w:rsidR="00FF5E23">
        <w:t xml:space="preserve"> </w:t>
      </w:r>
      <w:r w:rsidRPr="00642432">
        <w:t>since 2011.</w:t>
      </w:r>
    </w:p>
    <w:p w:rsidR="004659AD" w:rsidRDefault="004659AD" w:rsidP="00FF5E23"/>
    <w:p w:rsidR="00FF5E23" w:rsidRPr="00642432" w:rsidRDefault="00FF5E23" w:rsidP="00FF5E23">
      <w:pPr>
        <w:pStyle w:val="Figure"/>
      </w:pPr>
      <w:bookmarkStart w:id="76" w:name="_Toc405113780"/>
      <w:r w:rsidRPr="00642432">
        <w:t>Figure 26: Number of people prescribed suboxone, 2008 to 2013</w:t>
      </w:r>
      <w:bookmarkEnd w:id="76"/>
    </w:p>
    <w:p w:rsidR="00FF5E23" w:rsidRPr="00642432" w:rsidRDefault="00FF5E23" w:rsidP="00FF5E23">
      <w:r w:rsidRPr="00FF5E23">
        <w:rPr>
          <w:noProof/>
          <w:lang w:eastAsia="en-NZ"/>
        </w:rPr>
        <w:drawing>
          <wp:inline distT="0" distB="0" distL="0" distR="0" wp14:anchorId="72945C4B" wp14:editId="40A5AFE4">
            <wp:extent cx="4397433" cy="2592282"/>
            <wp:effectExtent l="0" t="0" r="3175" b="0"/>
            <wp:docPr id="5522" name="Picture 5522" title="Figure 26: Number of people prescribed suboxone, 2008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grayscl/>
                    </a:blip>
                    <a:stretch>
                      <a:fillRect/>
                    </a:stretch>
                  </pic:blipFill>
                  <pic:spPr>
                    <a:xfrm>
                      <a:off x="0" y="0"/>
                      <a:ext cx="4400424" cy="2594045"/>
                    </a:xfrm>
                    <a:prstGeom prst="rect">
                      <a:avLst/>
                    </a:prstGeom>
                  </pic:spPr>
                </pic:pic>
              </a:graphicData>
            </a:graphic>
          </wp:inline>
        </w:drawing>
      </w:r>
    </w:p>
    <w:p w:rsidR="004659AD" w:rsidRPr="00642432" w:rsidRDefault="004659AD" w:rsidP="00FF5E23">
      <w:pPr>
        <w:pStyle w:val="Source"/>
      </w:pPr>
      <w:r w:rsidRPr="00642432">
        <w:t>Source: Data provided by OST services in six-monthly reports</w:t>
      </w:r>
      <w:r w:rsidR="00FF5E23">
        <w:t>.</w:t>
      </w:r>
    </w:p>
    <w:p w:rsidR="004659AD" w:rsidRPr="00642432" w:rsidRDefault="004659AD" w:rsidP="00FF5E23"/>
    <w:p w:rsidR="004659AD" w:rsidRPr="00642432" w:rsidRDefault="004659AD" w:rsidP="00FF5E23">
      <w:pPr>
        <w:pStyle w:val="Heading3"/>
      </w:pPr>
      <w:r w:rsidRPr="00642432">
        <w:t>The ageing population of OST clients</w:t>
      </w:r>
    </w:p>
    <w:p w:rsidR="004659AD" w:rsidRPr="00642432" w:rsidRDefault="004659AD" w:rsidP="00E43739">
      <w:pPr>
        <w:keepNext/>
      </w:pPr>
      <w:r w:rsidRPr="00642432">
        <w:t>Opioid dependence is a complex health condition that often requires long-term treatment and care. People aged 30 to 60 years are the biggest client group for OST services.</w:t>
      </w:r>
    </w:p>
    <w:p w:rsidR="004659AD" w:rsidRPr="00642432" w:rsidRDefault="004659AD" w:rsidP="00FF5E23"/>
    <w:p w:rsidR="004659AD" w:rsidRPr="00642432" w:rsidRDefault="004659AD" w:rsidP="00FF5E23">
      <w:r w:rsidRPr="00642432">
        <w:t>OST clients are an ageing population. The number of people aged between 45 and 59 years who</w:t>
      </w:r>
      <w:r w:rsidR="00D32DDD" w:rsidRPr="00642432">
        <w:t xml:space="preserve"> </w:t>
      </w:r>
      <w:r w:rsidRPr="00642432">
        <w:t>are receiving OST has</w:t>
      </w:r>
      <w:r w:rsidR="00D32DDD" w:rsidRPr="00642432">
        <w:t xml:space="preserve"> </w:t>
      </w:r>
      <w:r w:rsidRPr="00642432">
        <w:t>increased by</w:t>
      </w:r>
      <w:r w:rsidR="00FF5E23">
        <w:t xml:space="preserve"> </w:t>
      </w:r>
      <w:r w:rsidRPr="00642432">
        <w:t>52 percent since 2007</w:t>
      </w:r>
      <w:r w:rsidR="00D32DDD" w:rsidRPr="00642432">
        <w:t xml:space="preserve"> </w:t>
      </w:r>
      <w:r w:rsidRPr="00642432">
        <w:t>and is now larger than the age group of</w:t>
      </w:r>
      <w:r w:rsidR="00FF5E23">
        <w:t xml:space="preserve"> </w:t>
      </w:r>
      <w:r w:rsidRPr="00642432">
        <w:t>30 to 44 years (previously the largest group of OST clients)(Figure 27).</w:t>
      </w:r>
    </w:p>
    <w:p w:rsidR="004659AD" w:rsidRPr="00642432" w:rsidRDefault="004659AD" w:rsidP="00FF5E23"/>
    <w:p w:rsidR="004659AD" w:rsidRPr="00642432" w:rsidRDefault="004659AD" w:rsidP="00FF5E23">
      <w:r w:rsidRPr="00642432">
        <w:t>In addition, there is now more emphasis on managing co-existing medical and mental health problems for OST clients. This</w:t>
      </w:r>
      <w:r w:rsidR="00D32DDD" w:rsidRPr="00642432">
        <w:t xml:space="preserve"> </w:t>
      </w:r>
      <w:r w:rsidRPr="00642432">
        <w:t>more</w:t>
      </w:r>
      <w:r w:rsidR="00FF5E23">
        <w:t xml:space="preserve"> </w:t>
      </w:r>
      <w:r w:rsidR="00FF5E23" w:rsidRPr="00642432">
        <w:t>holistic approach will help improve outcomes for people who are opioid dependent.</w:t>
      </w:r>
    </w:p>
    <w:p w:rsidR="004659AD" w:rsidRPr="00642432" w:rsidRDefault="004659AD" w:rsidP="00FF5E23"/>
    <w:p w:rsidR="004659AD" w:rsidRPr="00642432" w:rsidRDefault="004659AD" w:rsidP="00FF5E23">
      <w:pPr>
        <w:pStyle w:val="Box"/>
      </w:pPr>
      <w:r w:rsidRPr="00642432">
        <w:t>A more holistic approach to recovery will help to improve outcomes for people who</w:t>
      </w:r>
      <w:r w:rsidR="00D32DDD" w:rsidRPr="00642432">
        <w:t xml:space="preserve"> </w:t>
      </w:r>
      <w:r w:rsidRPr="00642432">
        <w:t>are opioid dependent.</w:t>
      </w:r>
    </w:p>
    <w:p w:rsidR="004659AD" w:rsidRPr="00642432" w:rsidRDefault="004659AD" w:rsidP="00FF5E23"/>
    <w:p w:rsidR="004659AD" w:rsidRPr="00642432" w:rsidRDefault="004659AD" w:rsidP="00FF5E23">
      <w:pPr>
        <w:pStyle w:val="Figure"/>
      </w:pPr>
      <w:bookmarkStart w:id="77" w:name="_Toc405113781"/>
      <w:r w:rsidRPr="00642432">
        <w:t>Figure 27: Number of OST clients, by age group, 2008 to 2013</w:t>
      </w:r>
      <w:bookmarkEnd w:id="77"/>
    </w:p>
    <w:p w:rsidR="004659AD" w:rsidRPr="00642432" w:rsidRDefault="00561B5D" w:rsidP="00561B5D">
      <w:r w:rsidRPr="00561B5D">
        <w:rPr>
          <w:noProof/>
          <w:lang w:eastAsia="en-NZ"/>
        </w:rPr>
        <w:drawing>
          <wp:inline distT="0" distB="0" distL="0" distR="0" wp14:anchorId="258957E6" wp14:editId="20FDCBBA">
            <wp:extent cx="4738254" cy="2536884"/>
            <wp:effectExtent l="0" t="0" r="5715" b="0"/>
            <wp:docPr id="5523" name="Picture 5523" title="Figure 27: Number of OST clients, by age group, 2008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grayscl/>
                    </a:blip>
                    <a:stretch>
                      <a:fillRect/>
                    </a:stretch>
                  </pic:blipFill>
                  <pic:spPr>
                    <a:xfrm>
                      <a:off x="0" y="0"/>
                      <a:ext cx="4741182" cy="2538452"/>
                    </a:xfrm>
                    <a:prstGeom prst="rect">
                      <a:avLst/>
                    </a:prstGeom>
                  </pic:spPr>
                </pic:pic>
              </a:graphicData>
            </a:graphic>
          </wp:inline>
        </w:drawing>
      </w:r>
    </w:p>
    <w:p w:rsidR="004659AD" w:rsidRPr="00642432" w:rsidRDefault="004659AD" w:rsidP="00561B5D">
      <w:pPr>
        <w:pStyle w:val="Source"/>
      </w:pPr>
      <w:r w:rsidRPr="00642432">
        <w:t>Source: Data provided by OST services in six-monthly reports</w:t>
      </w:r>
      <w:r w:rsidR="00561B5D">
        <w:t>.</w:t>
      </w:r>
    </w:p>
    <w:p w:rsidR="004659AD" w:rsidRPr="00642432" w:rsidRDefault="004659AD" w:rsidP="00561B5D"/>
    <w:p w:rsidR="004659AD" w:rsidRPr="00642432" w:rsidRDefault="004659AD" w:rsidP="00561B5D">
      <w:pPr>
        <w:pStyle w:val="Heading3"/>
      </w:pPr>
      <w:r w:rsidRPr="00642432">
        <w:t>Shared care with GPs</w:t>
      </w:r>
    </w:p>
    <w:p w:rsidR="004659AD" w:rsidRPr="00642432" w:rsidRDefault="004659AD" w:rsidP="00561B5D">
      <w:r w:rsidRPr="00642432">
        <w:t>OST services in New Zealand are provided by specialist addiction services and primary health care teams. Opioid substitution treatment aims to support clients to lead a life that is as normal as possible within the constraints of treatment. For this reason, the primary health care setting is regarded as the best environment for the long-term management of stable clients receiving OST.</w:t>
      </w:r>
    </w:p>
    <w:p w:rsidR="004659AD" w:rsidRPr="00642432" w:rsidRDefault="004659AD" w:rsidP="00561B5D"/>
    <w:p w:rsidR="004659AD" w:rsidRPr="00642432" w:rsidRDefault="004659AD" w:rsidP="00561B5D">
      <w:pPr>
        <w:pStyle w:val="Box"/>
      </w:pPr>
      <w:r w:rsidRPr="00642432">
        <w:t>Primary health care is preferred for the long-term management of stable clients receiving OST.</w:t>
      </w:r>
    </w:p>
    <w:p w:rsidR="004659AD" w:rsidRPr="00642432" w:rsidRDefault="004659AD" w:rsidP="00561B5D"/>
    <w:p w:rsidR="004659AD" w:rsidRPr="00642432" w:rsidRDefault="004659AD" w:rsidP="00561B5D">
      <w:pPr>
        <w:pStyle w:val="Figure"/>
      </w:pPr>
      <w:bookmarkStart w:id="78" w:name="_Toc405113782"/>
      <w:r w:rsidRPr="00642432">
        <w:t>Figure 28: Number of people receiving treatment from a specialist service, GP or prison service,</w:t>
      </w:r>
      <w:r w:rsidR="00561B5D">
        <w:t xml:space="preserve"> </w:t>
      </w:r>
      <w:r w:rsidRPr="00642432">
        <w:t>2008 to 2013</w:t>
      </w:r>
      <w:bookmarkEnd w:id="78"/>
    </w:p>
    <w:p w:rsidR="004659AD" w:rsidRPr="00642432" w:rsidRDefault="005837E5" w:rsidP="005837E5">
      <w:r w:rsidRPr="005837E5">
        <w:rPr>
          <w:noProof/>
          <w:lang w:eastAsia="en-NZ"/>
        </w:rPr>
        <w:drawing>
          <wp:inline distT="0" distB="0" distL="0" distR="0" wp14:anchorId="077EF1C3" wp14:editId="2C0D73C6">
            <wp:extent cx="6001789" cy="2533862"/>
            <wp:effectExtent l="0" t="0" r="0" b="0"/>
            <wp:docPr id="5524" name="Picture 5524" title="Figure 28: Number of people receiving treatment from a specialist service, GP or prison service, 2008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grayscl/>
                    </a:blip>
                    <a:stretch>
                      <a:fillRect/>
                    </a:stretch>
                  </pic:blipFill>
                  <pic:spPr>
                    <a:xfrm>
                      <a:off x="0" y="0"/>
                      <a:ext cx="6003643" cy="2534645"/>
                    </a:xfrm>
                    <a:prstGeom prst="rect">
                      <a:avLst/>
                    </a:prstGeom>
                  </pic:spPr>
                </pic:pic>
              </a:graphicData>
            </a:graphic>
          </wp:inline>
        </w:drawing>
      </w:r>
    </w:p>
    <w:p w:rsidR="004659AD" w:rsidRPr="00642432" w:rsidRDefault="004659AD" w:rsidP="005837E5">
      <w:pPr>
        <w:pStyle w:val="Source"/>
      </w:pPr>
      <w:r w:rsidRPr="00642432">
        <w:t>Source: Data provided by OST services in six-monthly reports</w:t>
      </w:r>
      <w:r w:rsidR="005837E5">
        <w:t>.</w:t>
      </w:r>
    </w:p>
    <w:p w:rsidR="004659AD" w:rsidRPr="00642432" w:rsidRDefault="004659AD" w:rsidP="005837E5"/>
    <w:p w:rsidR="004659AD" w:rsidRPr="00642432" w:rsidRDefault="004659AD" w:rsidP="005837E5">
      <w:r w:rsidRPr="00642432">
        <w:t>Ideally, the Ministry would like to see a service provision of 50:50 between specialist care and primary care, with more people being seen in general practice (as for any</w:t>
      </w:r>
      <w:r w:rsidR="00D32DDD" w:rsidRPr="00642432">
        <w:t xml:space="preserve"> </w:t>
      </w:r>
      <w:r w:rsidRPr="00642432">
        <w:t>other long-term chronic condition such as diabetes or asthma). This</w:t>
      </w:r>
      <w:r w:rsidR="00D32DDD" w:rsidRPr="00642432">
        <w:t xml:space="preserve"> </w:t>
      </w:r>
      <w:r w:rsidRPr="00642432">
        <w:t>would enable specialist services to concentrate on initiating</w:t>
      </w:r>
      <w:r w:rsidR="005837E5">
        <w:t xml:space="preserve"> </w:t>
      </w:r>
      <w:r w:rsidRPr="00642432">
        <w:t>people onto OST and on treating those with complex co-morbid health issues and those in high-risk situations.</w:t>
      </w:r>
    </w:p>
    <w:p w:rsidR="004659AD" w:rsidRPr="00642432" w:rsidRDefault="004659AD" w:rsidP="005837E5"/>
    <w:p w:rsidR="004659AD" w:rsidRPr="00642432" w:rsidRDefault="004659AD" w:rsidP="005837E5">
      <w:r w:rsidRPr="00642432">
        <w:t>Metro Auckland and Canterbury DHBs continue to get closer to this goal (Figure 29). In 2013 Bay of Plenty and Northland joined Capital &amp; Coast, Nelson Marlborough, South Canterbury and Waikato DHBs in attaining 25 percent or more people receiving OST in primary care.</w:t>
      </w:r>
    </w:p>
    <w:p w:rsidR="004659AD" w:rsidRPr="00642432" w:rsidRDefault="004659AD" w:rsidP="005837E5"/>
    <w:p w:rsidR="004659AD" w:rsidRPr="00642432" w:rsidRDefault="004659AD" w:rsidP="005837E5">
      <w:pPr>
        <w:pStyle w:val="Figure"/>
      </w:pPr>
      <w:bookmarkStart w:id="79" w:name="_Toc405113783"/>
      <w:r w:rsidRPr="00642432">
        <w:t>Figure 29: Percentage of people receiving OST treatment with specialist services and GPs, by DHB, 2013</w:t>
      </w:r>
      <w:bookmarkEnd w:id="79"/>
    </w:p>
    <w:p w:rsidR="004659AD" w:rsidRPr="00642432" w:rsidRDefault="004B69C8" w:rsidP="004B69C8">
      <w:r w:rsidRPr="004B69C8">
        <w:rPr>
          <w:noProof/>
          <w:lang w:eastAsia="en-NZ"/>
        </w:rPr>
        <w:drawing>
          <wp:inline distT="0" distB="0" distL="0" distR="0" wp14:anchorId="55D20EAC" wp14:editId="7689C036">
            <wp:extent cx="5052004" cy="2618510"/>
            <wp:effectExtent l="0" t="0" r="0" b="0"/>
            <wp:docPr id="5525" name="Picture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grayscl/>
                    </a:blip>
                    <a:stretch>
                      <a:fillRect/>
                    </a:stretch>
                  </pic:blipFill>
                  <pic:spPr>
                    <a:xfrm>
                      <a:off x="0" y="0"/>
                      <a:ext cx="5063467" cy="2624451"/>
                    </a:xfrm>
                    <a:prstGeom prst="rect">
                      <a:avLst/>
                    </a:prstGeom>
                  </pic:spPr>
                </pic:pic>
              </a:graphicData>
            </a:graphic>
          </wp:inline>
        </w:drawing>
      </w:r>
    </w:p>
    <w:p w:rsidR="004659AD" w:rsidRPr="00642432" w:rsidRDefault="004659AD" w:rsidP="004B69C8">
      <w:pPr>
        <w:pStyle w:val="Source"/>
      </w:pPr>
      <w:r w:rsidRPr="00642432">
        <w:t>Source: Data provided by OST services in six-monthly reports</w:t>
      </w:r>
      <w:r w:rsidR="004B69C8">
        <w:t>.</w:t>
      </w:r>
    </w:p>
    <w:p w:rsidR="004659AD" w:rsidRPr="00642432" w:rsidRDefault="004659AD" w:rsidP="004B69C8"/>
    <w:p w:rsidR="004659AD" w:rsidRPr="00642432" w:rsidRDefault="004659AD" w:rsidP="00BC64B2">
      <w:pPr>
        <w:keepLines/>
      </w:pPr>
      <w:r w:rsidRPr="00642432">
        <w:t>Nationally the number of general practitioners authorised to prescribe OST dropped by 10</w:t>
      </w:r>
      <w:r w:rsidR="004B69C8">
        <w:t> </w:t>
      </w:r>
      <w:r w:rsidRPr="00642432">
        <w:t>percent from 666 in 2012 to 596 in 2013. Although the number of clients being transferred to GP care remains consistent,</w:t>
      </w:r>
      <w:r w:rsidR="004B69C8">
        <w:rPr>
          <w:rStyle w:val="FootnoteReference"/>
        </w:rPr>
        <w:footnoteReference w:id="30"/>
      </w:r>
      <w:r w:rsidR="004B69C8">
        <w:t xml:space="preserve"> </w:t>
      </w:r>
      <w:r w:rsidRPr="00642432">
        <w:t>from time to time clients de-stabilise and return to the specialist service. In addition, a number of clients remain at specialist services, even though they are ready for GP care, for one</w:t>
      </w:r>
      <w:r w:rsidR="00D32DDD" w:rsidRPr="00642432">
        <w:t xml:space="preserve"> </w:t>
      </w:r>
      <w:r w:rsidRPr="00642432">
        <w:t>of three possible reasons: a general lack of GPs means that a position is unavailable; GPs are not keen to take on OST clients; or clients want to stay</w:t>
      </w:r>
      <w:r w:rsidR="00D32DDD" w:rsidRPr="00642432">
        <w:t xml:space="preserve"> </w:t>
      </w:r>
      <w:r w:rsidRPr="00642432">
        <w:t>with the specialist service due to the financial benefit.</w:t>
      </w:r>
    </w:p>
    <w:p w:rsidR="004659AD" w:rsidRPr="00642432" w:rsidRDefault="004659AD" w:rsidP="004B69C8"/>
    <w:p w:rsidR="004659AD" w:rsidRPr="00642432" w:rsidRDefault="004659AD" w:rsidP="004B69C8">
      <w:pPr>
        <w:pStyle w:val="Heading3"/>
      </w:pPr>
      <w:r w:rsidRPr="00642432">
        <w:t>OST in prison</w:t>
      </w:r>
    </w:p>
    <w:p w:rsidR="004659AD" w:rsidRPr="004B69C8" w:rsidRDefault="004659AD" w:rsidP="004B69C8">
      <w:r w:rsidRPr="00642432">
        <w:t>In 2006 the Department of Corrections revised its Methadone Maintenance Treatment Policy to allow</w:t>
      </w:r>
      <w:r w:rsidR="00D32DDD" w:rsidRPr="00642432">
        <w:t xml:space="preserve"> </w:t>
      </w:r>
      <w:r w:rsidRPr="00642432">
        <w:t>all people who</w:t>
      </w:r>
      <w:r w:rsidR="00D32DDD" w:rsidRPr="00642432">
        <w:t xml:space="preserve"> </w:t>
      </w:r>
      <w:r w:rsidRPr="00642432">
        <w:t>were</w:t>
      </w:r>
      <w:r w:rsidR="00D32DDD" w:rsidRPr="00642432">
        <w:t xml:space="preserve"> </w:t>
      </w:r>
      <w:r w:rsidRPr="00642432">
        <w:t>on an opioid substitution programme before they were</w:t>
      </w:r>
      <w:r w:rsidR="00D32DDD" w:rsidRPr="00642432">
        <w:t xml:space="preserve"> </w:t>
      </w:r>
      <w:r w:rsidRPr="00642432">
        <w:t>imprisoned to be maintained on treatment while in prison.</w:t>
      </w:r>
      <w:r w:rsidR="004B69C8">
        <w:rPr>
          <w:rStyle w:val="FootnoteReference"/>
        </w:rPr>
        <w:footnoteReference w:id="31"/>
      </w:r>
    </w:p>
    <w:p w:rsidR="004659AD" w:rsidRPr="00642432" w:rsidRDefault="004659AD" w:rsidP="004B69C8"/>
    <w:p w:rsidR="004659AD" w:rsidRPr="004B69C8" w:rsidRDefault="004659AD" w:rsidP="004B69C8">
      <w:r w:rsidRPr="00642432">
        <w:t>The number of people receiving treatment for opioid dependency in prison has</w:t>
      </w:r>
      <w:r w:rsidR="00D32DDD" w:rsidRPr="00642432">
        <w:t xml:space="preserve"> </w:t>
      </w:r>
      <w:r w:rsidRPr="00642432">
        <w:t>reduced from 83</w:t>
      </w:r>
      <w:r w:rsidR="004B69C8">
        <w:t> </w:t>
      </w:r>
      <w:r w:rsidRPr="00642432">
        <w:t>in</w:t>
      </w:r>
      <w:r w:rsidR="004B69C8">
        <w:t xml:space="preserve"> </w:t>
      </w:r>
      <w:r w:rsidRPr="00642432">
        <w:t>2010 to 64 in 2013.</w:t>
      </w:r>
      <w:r w:rsidR="004B69C8">
        <w:rPr>
          <w:rStyle w:val="FootnoteReference"/>
        </w:rPr>
        <w:footnoteReference w:id="32"/>
      </w:r>
    </w:p>
    <w:p w:rsidR="004659AD" w:rsidRPr="00642432" w:rsidRDefault="004659AD" w:rsidP="004B69C8"/>
    <w:p w:rsidR="004659AD" w:rsidRPr="00642432" w:rsidRDefault="004659AD" w:rsidP="004B69C8">
      <w:pPr>
        <w:pStyle w:val="Heading3"/>
      </w:pPr>
      <w:r w:rsidRPr="00642432">
        <w:t>Entry to and exit from OST</w:t>
      </w:r>
    </w:p>
    <w:p w:rsidR="004659AD" w:rsidRPr="00642432" w:rsidRDefault="004659AD" w:rsidP="004B69C8">
      <w:r w:rsidRPr="00642432">
        <w:t>Entering, staying in and exiting opioid substitution treatment are important indicators of an individual’s recovery journey, but reaching each of these points does not in itself constitute recovery.</w:t>
      </w:r>
    </w:p>
    <w:p w:rsidR="004659AD" w:rsidRPr="00642432" w:rsidRDefault="004659AD" w:rsidP="004B69C8"/>
    <w:p w:rsidR="004659AD" w:rsidRPr="00642432" w:rsidRDefault="004659AD" w:rsidP="004B69C8">
      <w:r w:rsidRPr="00642432">
        <w:t>Recovery is a process rather than a single event, which takes time to achieve and effort to maintain. Recovery involves accruing positive benefits as well as reducing harms, and moving away from uncontrolled substance use and its associated problems around health, wellbeing and participation in society.</w:t>
      </w:r>
    </w:p>
    <w:p w:rsidR="004659AD" w:rsidRPr="00642432" w:rsidRDefault="004659AD" w:rsidP="004B69C8"/>
    <w:p w:rsidR="004659AD" w:rsidRPr="00642432" w:rsidRDefault="004659AD" w:rsidP="004B69C8">
      <w:r w:rsidRPr="00642432">
        <w:t>At the end of 2013 there were</w:t>
      </w:r>
      <w:r w:rsidR="00D32DDD" w:rsidRPr="00642432">
        <w:t xml:space="preserve"> </w:t>
      </w:r>
      <w:r w:rsidRPr="00642432">
        <w:t>40 people waiting for OST compared with 60 in 2012 and 80 in 2011. However, the number of people on a waiting list is not a good</w:t>
      </w:r>
      <w:r w:rsidR="00D32DDD" w:rsidRPr="00642432">
        <w:t xml:space="preserve"> </w:t>
      </w:r>
      <w:r w:rsidRPr="00642432">
        <w:t>measure of unmet demand, as people tend not to seek</w:t>
      </w:r>
      <w:r w:rsidR="00D32DDD" w:rsidRPr="00642432">
        <w:t xml:space="preserve"> </w:t>
      </w:r>
      <w:r w:rsidRPr="00642432">
        <w:t>treatment if they perceive there is little chance</w:t>
      </w:r>
      <w:r w:rsidR="004B69C8">
        <w:t xml:space="preserve"> </w:t>
      </w:r>
      <w:r w:rsidRPr="00642432">
        <w:t>of accessing it in the foreseeable future. The Ministry continues</w:t>
      </w:r>
      <w:r w:rsidR="004B69C8">
        <w:t xml:space="preserve"> </w:t>
      </w:r>
      <w:r w:rsidR="004B69C8" w:rsidRPr="00642432">
        <w:t>to work closely with specialist services and DHB planners and funders to resolve the issue of waiting times for people who require specialist service interventions.</w:t>
      </w:r>
    </w:p>
    <w:p w:rsidR="004659AD" w:rsidRPr="00642432" w:rsidRDefault="004659AD" w:rsidP="004659AD">
      <w:pPr>
        <w:spacing w:line="220" w:lineRule="exact"/>
        <w:ind w:right="-20"/>
      </w:pPr>
    </w:p>
    <w:p w:rsidR="004659AD" w:rsidRPr="00642432" w:rsidRDefault="004659AD" w:rsidP="004B69C8">
      <w:pPr>
        <w:pStyle w:val="Box"/>
      </w:pPr>
      <w:r w:rsidRPr="00642432">
        <w:t>Recovery is a process rather</w:t>
      </w:r>
      <w:r w:rsidR="004B69C8">
        <w:t xml:space="preserve"> </w:t>
      </w:r>
      <w:r w:rsidRPr="00642432">
        <w:t>than a single event, which takes time to achieve and effort to maintain.</w:t>
      </w:r>
    </w:p>
    <w:p w:rsidR="004659AD" w:rsidRPr="00642432" w:rsidRDefault="004659AD" w:rsidP="004659AD"/>
    <w:p w:rsidR="004659AD" w:rsidRPr="00642432" w:rsidRDefault="004659AD" w:rsidP="004B69C8">
      <w:r w:rsidRPr="00642432">
        <w:t>The year</w:t>
      </w:r>
      <w:r w:rsidR="00D32DDD" w:rsidRPr="00642432">
        <w:t xml:space="preserve"> </w:t>
      </w:r>
      <w:r w:rsidRPr="00642432">
        <w:t>2013 saw a record number of people choosing to withdraw from OST programmes (see Figure 30 below). It was also the year</w:t>
      </w:r>
      <w:r w:rsidR="00D32DDD" w:rsidRPr="00642432">
        <w:t xml:space="preserve"> </w:t>
      </w:r>
      <w:r w:rsidRPr="00642432">
        <w:t>in which the lowest number of people were</w:t>
      </w:r>
      <w:r w:rsidR="00D32DDD" w:rsidRPr="00642432">
        <w:t xml:space="preserve"> </w:t>
      </w:r>
      <w:r w:rsidRPr="00642432">
        <w:t>involuntarily withdrawn from OST due to behaviour that jeopardised the safety of the individual concerned or others (including staff).</w:t>
      </w:r>
    </w:p>
    <w:p w:rsidR="004659AD" w:rsidRPr="00642432" w:rsidRDefault="004659AD" w:rsidP="00243759"/>
    <w:p w:rsidR="004659AD" w:rsidRPr="00642432" w:rsidRDefault="004659AD" w:rsidP="00BC64B2">
      <w:pPr>
        <w:keepLines/>
      </w:pPr>
      <w:r w:rsidRPr="00642432">
        <w:t>In 2013, 36 people receiving OST treatment from specialist services died from a range of causes, including natural causes and accidents. Two clients died as a</w:t>
      </w:r>
      <w:r w:rsidR="00243759">
        <w:t xml:space="preserve"> </w:t>
      </w:r>
      <w:r w:rsidRPr="00642432">
        <w:t>consequence of an overdose related to the use of other substances. The use of other substances, particularly sedatives (such as alcohol and benzodiazepines), in combination with opioids significantly increases the risk of death by respiratory depression and overdose. However, this risk is usually less than the risk arising from</w:t>
      </w:r>
      <w:r w:rsidR="00243759">
        <w:t xml:space="preserve"> </w:t>
      </w:r>
      <w:r w:rsidR="00243759" w:rsidRPr="00642432">
        <w:t>increasing substance use if a client is withdrawn from OST medication against their wishes.</w:t>
      </w:r>
    </w:p>
    <w:p w:rsidR="004659AD" w:rsidRPr="00642432" w:rsidRDefault="004659AD" w:rsidP="00243759"/>
    <w:p w:rsidR="004659AD" w:rsidRPr="00642432" w:rsidRDefault="004659AD" w:rsidP="00243759">
      <w:pPr>
        <w:pStyle w:val="Box"/>
      </w:pPr>
      <w:r w:rsidRPr="00642432">
        <w:t>2013 saw a record number</w:t>
      </w:r>
      <w:r w:rsidR="00243759">
        <w:t xml:space="preserve"> </w:t>
      </w:r>
      <w:r w:rsidRPr="00642432">
        <w:t>of people choosing to withdraw from OST programmes.</w:t>
      </w:r>
    </w:p>
    <w:p w:rsidR="004659AD" w:rsidRPr="00642432" w:rsidRDefault="004659AD" w:rsidP="00243759"/>
    <w:p w:rsidR="004659AD" w:rsidRPr="00642432" w:rsidRDefault="004659AD" w:rsidP="00243759">
      <w:r w:rsidRPr="00642432">
        <w:t>Figure 30 shows the reasons why clients withdrew from OST specialist services from 2008 to 2013.</w:t>
      </w:r>
    </w:p>
    <w:p w:rsidR="004659AD" w:rsidRPr="00642432" w:rsidRDefault="004659AD" w:rsidP="00243759"/>
    <w:p w:rsidR="004659AD" w:rsidRPr="00642432" w:rsidRDefault="004659AD" w:rsidP="00243759">
      <w:pPr>
        <w:pStyle w:val="Figure"/>
      </w:pPr>
      <w:bookmarkStart w:id="80" w:name="_Toc405113784"/>
      <w:r w:rsidRPr="00642432">
        <w:t>Figure 30: Client withdrawal from OST programmes, voluntary, involuntary or death, 2008 to 2013</w:t>
      </w:r>
      <w:bookmarkEnd w:id="80"/>
    </w:p>
    <w:p w:rsidR="004659AD" w:rsidRPr="00642432" w:rsidRDefault="00243759" w:rsidP="00243759">
      <w:r w:rsidRPr="00243759">
        <w:rPr>
          <w:noProof/>
          <w:lang w:eastAsia="en-NZ"/>
        </w:rPr>
        <w:drawing>
          <wp:inline distT="0" distB="0" distL="0" distR="0" wp14:anchorId="47FEFBE0" wp14:editId="1C119652">
            <wp:extent cx="5818909" cy="2588495"/>
            <wp:effectExtent l="0" t="0" r="0" b="2540"/>
            <wp:docPr id="5526" name="Picture 5526" title="Figure 30: Client withdrawal from OST programmes, voluntary, involuntary or death, 2008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grayscl/>
                    </a:blip>
                    <a:stretch>
                      <a:fillRect/>
                    </a:stretch>
                  </pic:blipFill>
                  <pic:spPr>
                    <a:xfrm>
                      <a:off x="0" y="0"/>
                      <a:ext cx="5820992" cy="2589421"/>
                    </a:xfrm>
                    <a:prstGeom prst="rect">
                      <a:avLst/>
                    </a:prstGeom>
                  </pic:spPr>
                </pic:pic>
              </a:graphicData>
            </a:graphic>
          </wp:inline>
        </w:drawing>
      </w:r>
    </w:p>
    <w:p w:rsidR="004659AD" w:rsidRPr="00642432" w:rsidRDefault="004659AD" w:rsidP="00243759">
      <w:pPr>
        <w:pStyle w:val="Source"/>
      </w:pPr>
      <w:r w:rsidRPr="00642432">
        <w:t>Source: Data provided by OST services in six-monthly reports</w:t>
      </w:r>
      <w:r w:rsidR="00243759">
        <w:t>.</w:t>
      </w:r>
    </w:p>
    <w:p w:rsidR="004659AD" w:rsidRPr="00642432" w:rsidRDefault="004659AD" w:rsidP="00243759"/>
    <w:p w:rsidR="00BC64B2" w:rsidRDefault="00BC64B2" w:rsidP="00BC64B2">
      <w:r>
        <w:br w:type="page"/>
      </w:r>
    </w:p>
    <w:p w:rsidR="004659AD" w:rsidRPr="00642432" w:rsidRDefault="004659AD" w:rsidP="00243759">
      <w:pPr>
        <w:pStyle w:val="Heading3"/>
      </w:pPr>
      <w:r w:rsidRPr="00642432">
        <w:t>Sector voices</w:t>
      </w:r>
    </w:p>
    <w:p w:rsidR="004659AD" w:rsidRPr="00642432" w:rsidRDefault="00243759" w:rsidP="00243759">
      <w:pPr>
        <w:pStyle w:val="Heading4"/>
      </w:pPr>
      <w:r w:rsidRPr="00243759">
        <w:rPr>
          <w:noProof/>
          <w:lang w:eastAsia="en-NZ"/>
        </w:rPr>
        <w:drawing>
          <wp:anchor distT="0" distB="0" distL="0" distR="114300" simplePos="0" relativeHeight="251992064" behindDoc="0" locked="0" layoutInCell="1" allowOverlap="1">
            <wp:simplePos x="0" y="0"/>
            <wp:positionH relativeFrom="column">
              <wp:posOffset>2540</wp:posOffset>
            </wp:positionH>
            <wp:positionV relativeFrom="paragraph">
              <wp:posOffset>635</wp:posOffset>
            </wp:positionV>
            <wp:extent cx="1332000" cy="1771200"/>
            <wp:effectExtent l="0" t="0" r="1905" b="635"/>
            <wp:wrapSquare wrapText="right"/>
            <wp:docPr id="5527" name="Picture 5527" descr="Photo of Jeremy McMinn – Consultant psychiatrist and addiction specialist" title="Jeremy McM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grayscl/>
                      <a:extLst>
                        <a:ext uri="{28A0092B-C50C-407E-A947-70E740481C1C}">
                          <a14:useLocalDpi xmlns:a14="http://schemas.microsoft.com/office/drawing/2010/main" val="0"/>
                        </a:ext>
                      </a:extLst>
                    </a:blip>
                    <a:stretch>
                      <a:fillRect/>
                    </a:stretch>
                  </pic:blipFill>
                  <pic:spPr>
                    <a:xfrm>
                      <a:off x="0" y="0"/>
                      <a:ext cx="1332000" cy="1771200"/>
                    </a:xfrm>
                    <a:prstGeom prst="rect">
                      <a:avLst/>
                    </a:prstGeom>
                  </pic:spPr>
                </pic:pic>
              </a:graphicData>
            </a:graphic>
            <wp14:sizeRelH relativeFrom="margin">
              <wp14:pctWidth>0</wp14:pctWidth>
            </wp14:sizeRelH>
            <wp14:sizeRelV relativeFrom="margin">
              <wp14:pctHeight>0</wp14:pctHeight>
            </wp14:sizeRelV>
          </wp:anchor>
        </w:drawing>
      </w:r>
      <w:r w:rsidR="004659AD" w:rsidRPr="00642432">
        <w:t>Jeremy McMinn – Consultant psychiatrist and addiction specialist</w:t>
      </w:r>
    </w:p>
    <w:p w:rsidR="004659AD" w:rsidRPr="00642432" w:rsidRDefault="004659AD" w:rsidP="00243759">
      <w:r w:rsidRPr="00642432">
        <w:t>I’m Jeremy McMinn, the current clinical lead for opioid substitution in Lakes DHB, Rotorua. I also work</w:t>
      </w:r>
      <w:r w:rsidR="00D32DDD" w:rsidRPr="00642432">
        <w:t xml:space="preserve"> </w:t>
      </w:r>
      <w:r w:rsidRPr="00642432">
        <w:t>as a psychiatric advisor for the Accident Compensation Corporation.</w:t>
      </w:r>
    </w:p>
    <w:p w:rsidR="004659AD" w:rsidRPr="00642432" w:rsidRDefault="004659AD" w:rsidP="00243759"/>
    <w:p w:rsidR="004659AD" w:rsidRPr="00642432" w:rsidRDefault="004659AD" w:rsidP="00243759">
      <w:r w:rsidRPr="00642432">
        <w:t>Addiction is a fascinating field.</w:t>
      </w:r>
      <w:r w:rsidR="00D32DDD" w:rsidRPr="00642432">
        <w:t xml:space="preserve"> </w:t>
      </w:r>
      <w:r w:rsidRPr="00642432">
        <w:t>Treatment involves both mental and physical health care challenges. There are often complex ethical dimensions around risk/benefit and autonomy/paternalism.</w:t>
      </w:r>
    </w:p>
    <w:p w:rsidR="004659AD" w:rsidRPr="00642432" w:rsidRDefault="004659AD" w:rsidP="00243759"/>
    <w:p w:rsidR="004659AD" w:rsidRPr="00642432" w:rsidRDefault="004659AD" w:rsidP="00243759">
      <w:r w:rsidRPr="00642432">
        <w:t>This</w:t>
      </w:r>
      <w:r w:rsidR="00D32DDD" w:rsidRPr="00642432">
        <w:t xml:space="preserve"> </w:t>
      </w:r>
      <w:r w:rsidRPr="00642432">
        <w:t>is particularly the case</w:t>
      </w:r>
      <w:r w:rsidR="00D32DDD" w:rsidRPr="00642432">
        <w:t xml:space="preserve"> </w:t>
      </w:r>
      <w:r w:rsidRPr="00642432">
        <w:t>in the treatment of opioid dependence – where for most people, giving up the drug habit is rarely successful without a period of substitution using methadone or buprenorphine.</w:t>
      </w:r>
    </w:p>
    <w:p w:rsidR="004659AD" w:rsidRPr="00642432" w:rsidRDefault="004659AD" w:rsidP="00243759"/>
    <w:p w:rsidR="004659AD" w:rsidRPr="00642432" w:rsidRDefault="004659AD" w:rsidP="00BC64B2">
      <w:pPr>
        <w:keepLines/>
      </w:pPr>
      <w:r w:rsidRPr="00642432">
        <w:t>Care that is provided well dramatically changes lives in ways that go far beyond just the individual person’s health. Families can</w:t>
      </w:r>
      <w:r w:rsidR="00D32DDD" w:rsidRPr="00642432">
        <w:t xml:space="preserve"> </w:t>
      </w:r>
      <w:r w:rsidRPr="00642432">
        <w:t>be reconstituted; children thrive with their parents’ stability; employment rises and crime falls.</w:t>
      </w:r>
      <w:r w:rsidR="00D32DDD" w:rsidRPr="00642432">
        <w:t xml:space="preserve"> </w:t>
      </w:r>
      <w:r w:rsidRPr="00642432">
        <w:t>Treatment is a great combination of being effective and cheap – it even pays itself back with an estimated $6 gain for every $1 spent.</w:t>
      </w:r>
    </w:p>
    <w:p w:rsidR="004659AD" w:rsidRPr="00642432" w:rsidRDefault="004659AD" w:rsidP="00243759"/>
    <w:p w:rsidR="004659AD" w:rsidRPr="00642432" w:rsidRDefault="004659AD" w:rsidP="00243759">
      <w:r w:rsidRPr="00642432">
        <w:t>I have worked in addiction for over</w:t>
      </w:r>
      <w:r w:rsidR="00D32DDD" w:rsidRPr="00642432">
        <w:t xml:space="preserve"> </w:t>
      </w:r>
      <w:r w:rsidRPr="00642432">
        <w:t>10 years, most of this in Wellington. I am a certified consultant psychiatrist through the College of Psychiatrists and addiction specialist through the College of Physicians.</w:t>
      </w:r>
    </w:p>
    <w:p w:rsidR="004659AD" w:rsidRPr="00642432" w:rsidRDefault="004659AD" w:rsidP="00243759"/>
    <w:p w:rsidR="004659AD" w:rsidRPr="00642432" w:rsidRDefault="004659AD" w:rsidP="00243759">
      <w:r w:rsidRPr="00642432">
        <w:t>For the last two years I have co-chaired the National Association of Opioid Treatment Providers. The Association works hard to advocate for our</w:t>
      </w:r>
      <w:r w:rsidR="00D32DDD" w:rsidRPr="00642432">
        <w:t xml:space="preserve"> </w:t>
      </w:r>
      <w:r w:rsidRPr="00642432">
        <w:t>patients while making sure treatment is provided wisely (within the right dose ranges and sensible dispensing restrictions).</w:t>
      </w:r>
    </w:p>
    <w:p w:rsidR="004659AD" w:rsidRPr="00642432" w:rsidRDefault="004659AD" w:rsidP="00243759"/>
    <w:p w:rsidR="004659AD" w:rsidRPr="00642432" w:rsidRDefault="004659AD" w:rsidP="00243759">
      <w:r w:rsidRPr="00642432">
        <w:t>The immediate future for opioid addiction is to achieve better prescribing of opioids by all doctors</w:t>
      </w:r>
      <w:r w:rsidR="00243759">
        <w:t xml:space="preserve"> </w:t>
      </w:r>
      <w:r w:rsidRPr="00642432">
        <w:t>– pres</w:t>
      </w:r>
      <w:r w:rsidRPr="00243759">
        <w:t>c</w:t>
      </w:r>
      <w:r w:rsidRPr="00642432">
        <w:t>ribing that includes safeguards to prevent new</w:t>
      </w:r>
      <w:r w:rsidR="00D32DDD" w:rsidRPr="00642432">
        <w:t xml:space="preserve"> </w:t>
      </w:r>
      <w:r w:rsidRPr="00642432">
        <w:t>cases of addiction. Our collective medical professio</w:t>
      </w:r>
      <w:r w:rsidRPr="00243759">
        <w:t>n</w:t>
      </w:r>
      <w:r w:rsidRPr="00642432">
        <w:t>alism and the ability of New Zealand’s health systems to rise to challenges stand us in good stead to respond to this opportunity.</w:t>
      </w:r>
    </w:p>
    <w:p w:rsidR="004659AD" w:rsidRPr="00642432" w:rsidRDefault="004659AD" w:rsidP="00243759"/>
    <w:p w:rsidR="002E6538" w:rsidRDefault="002E6538" w:rsidP="002E6538">
      <w:r>
        <w:br w:type="page"/>
      </w:r>
    </w:p>
    <w:p w:rsidR="004659AD" w:rsidRPr="00642432" w:rsidRDefault="004659AD" w:rsidP="002E6538">
      <w:pPr>
        <w:pStyle w:val="Heading1"/>
      </w:pPr>
      <w:bookmarkStart w:id="81" w:name="_Toc405113676"/>
      <w:r w:rsidRPr="00642432">
        <w:t>References</w:t>
      </w:r>
      <w:bookmarkEnd w:id="81"/>
    </w:p>
    <w:p w:rsidR="004659AD" w:rsidRPr="00642432" w:rsidRDefault="004659AD" w:rsidP="002E6538">
      <w:pPr>
        <w:pStyle w:val="References"/>
      </w:pPr>
      <w:r w:rsidRPr="00642432">
        <w:t xml:space="preserve">American Psychiatric Association. 2001. </w:t>
      </w:r>
      <w:r w:rsidRPr="00642432">
        <w:rPr>
          <w:i/>
        </w:rPr>
        <w:t xml:space="preserve">The Practice of ECT: A task force report </w:t>
      </w:r>
      <w:r w:rsidRPr="00642432">
        <w:t>(2nd</w:t>
      </w:r>
      <w:r w:rsidR="00D32DDD" w:rsidRPr="00642432">
        <w:t xml:space="preserve"> </w:t>
      </w:r>
      <w:r w:rsidRPr="00642432">
        <w:t>ed.). Washington, DC: American Psychiatric Association.</w:t>
      </w:r>
    </w:p>
    <w:p w:rsidR="004659AD" w:rsidRPr="00642432" w:rsidRDefault="004659AD" w:rsidP="002E6538">
      <w:pPr>
        <w:pStyle w:val="References"/>
      </w:pPr>
      <w:r w:rsidRPr="00642432">
        <w:t xml:space="preserve">Associate Minister of Health. 2006. </w:t>
      </w:r>
      <w:r w:rsidRPr="00642432">
        <w:rPr>
          <w:i/>
        </w:rPr>
        <w:t>New Zealand Suicide Prevention Strategy 2006–2016</w:t>
      </w:r>
      <w:r w:rsidRPr="00642432">
        <w:t>. Wellington: Ministry of</w:t>
      </w:r>
      <w:r w:rsidR="002E6538">
        <w:t xml:space="preserve"> </w:t>
      </w:r>
      <w:r w:rsidRPr="00642432">
        <w:t>Health.</w:t>
      </w:r>
    </w:p>
    <w:p w:rsidR="004659AD" w:rsidRPr="00642432" w:rsidRDefault="004659AD" w:rsidP="002E6538">
      <w:pPr>
        <w:pStyle w:val="References"/>
      </w:pPr>
      <w:r w:rsidRPr="00642432">
        <w:t xml:space="preserve">Beautrais AL, Collings SCD, Ehrhardt P, et al. 2005. </w:t>
      </w:r>
      <w:r w:rsidRPr="00642432">
        <w:rPr>
          <w:i/>
        </w:rPr>
        <w:t>Suicide Prevention: A review of evidence of risk and protective factors, and points of effective intervention</w:t>
      </w:r>
      <w:r w:rsidRPr="00642432">
        <w:t>. Wellington: Ministry of Health.</w:t>
      </w:r>
    </w:p>
    <w:p w:rsidR="004659AD" w:rsidRPr="00642432" w:rsidRDefault="004659AD" w:rsidP="002E6538">
      <w:pPr>
        <w:pStyle w:val="References"/>
      </w:pPr>
      <w:r w:rsidRPr="00642432">
        <w:t xml:space="preserve">Department of Corrections. 2007. </w:t>
      </w:r>
      <w:r w:rsidRPr="00642432">
        <w:rPr>
          <w:i/>
        </w:rPr>
        <w:t xml:space="preserve">Over-representation of Māori in the Criminal Justice System: An exploratory report. </w:t>
      </w:r>
      <w:r w:rsidRPr="00642432">
        <w:t>Wellington: Department of Corrections.</w:t>
      </w:r>
    </w:p>
    <w:p w:rsidR="004659AD" w:rsidRPr="00642432" w:rsidRDefault="004659AD" w:rsidP="002E6538">
      <w:pPr>
        <w:pStyle w:val="References"/>
      </w:pPr>
      <w:r w:rsidRPr="00642432">
        <w:t xml:space="preserve">Elder H, Tapsell R. 2013. </w:t>
      </w:r>
      <w:r w:rsidRPr="00642432">
        <w:rPr>
          <w:i/>
        </w:rPr>
        <w:t xml:space="preserve">Māori and the Mental Health Act. </w:t>
      </w:r>
      <w:r w:rsidRPr="00642432">
        <w:t>In J Dawson and K Gledhill (eds),</w:t>
      </w:r>
      <w:r w:rsidR="00D32DDD" w:rsidRPr="00642432">
        <w:t xml:space="preserve"> </w:t>
      </w:r>
      <w:r w:rsidRPr="00642432">
        <w:rPr>
          <w:i/>
        </w:rPr>
        <w:t>New Zealand’s Mental</w:t>
      </w:r>
      <w:r w:rsidR="002E6538">
        <w:rPr>
          <w:i/>
        </w:rPr>
        <w:t xml:space="preserve"> </w:t>
      </w:r>
      <w:r w:rsidRPr="00642432">
        <w:rPr>
          <w:i/>
        </w:rPr>
        <w:t xml:space="preserve">Health Act in Practice. </w:t>
      </w:r>
      <w:r w:rsidRPr="00642432">
        <w:t>Wellington: Victoria University Press.</w:t>
      </w:r>
    </w:p>
    <w:p w:rsidR="004659AD" w:rsidRPr="00642432" w:rsidRDefault="004659AD" w:rsidP="002E6538">
      <w:pPr>
        <w:pStyle w:val="References"/>
      </w:pPr>
      <w:r w:rsidRPr="00642432">
        <w:t xml:space="preserve">Huckshorn KA. 2005. </w:t>
      </w:r>
      <w:r w:rsidRPr="00642432">
        <w:rPr>
          <w:i/>
        </w:rPr>
        <w:t>Six Core Strategies to Reduce the Use of Seclusion and Restraint Planning Tool</w:t>
      </w:r>
      <w:r w:rsidRPr="00642432">
        <w:t>. National</w:t>
      </w:r>
      <w:r w:rsidR="002E6538">
        <w:t xml:space="preserve"> </w:t>
      </w:r>
      <w:r w:rsidRPr="00642432">
        <w:t>Association of State Mental Health Program Directors. URL: www.wafca. org (accessed 23 September 2013).</w:t>
      </w:r>
    </w:p>
    <w:p w:rsidR="004659AD" w:rsidRPr="00642432" w:rsidRDefault="004659AD" w:rsidP="002E6538">
      <w:pPr>
        <w:pStyle w:val="References"/>
      </w:pPr>
      <w:r w:rsidRPr="00642432">
        <w:t xml:space="preserve">Ministry of Health. 1996. </w:t>
      </w:r>
      <w:r w:rsidRPr="00642432">
        <w:rPr>
          <w:i/>
        </w:rPr>
        <w:t>Inquiry under Section 47 of the Health and Disability Services Act 1993 in Respect of Certain</w:t>
      </w:r>
      <w:r w:rsidR="002E6538">
        <w:rPr>
          <w:i/>
        </w:rPr>
        <w:t xml:space="preserve"> </w:t>
      </w:r>
      <w:r w:rsidRPr="00642432">
        <w:rPr>
          <w:i/>
        </w:rPr>
        <w:t>Mental Health Services</w:t>
      </w:r>
      <w:r w:rsidRPr="00642432">
        <w:t>. Wellington: Ministry of Health.</w:t>
      </w:r>
    </w:p>
    <w:p w:rsidR="004659AD" w:rsidRPr="00642432" w:rsidRDefault="004659AD" w:rsidP="002E6538">
      <w:pPr>
        <w:pStyle w:val="References"/>
      </w:pPr>
      <w:r w:rsidRPr="00642432">
        <w:t xml:space="preserve">Ministry of Health. 2004. </w:t>
      </w:r>
      <w:r w:rsidRPr="00642432">
        <w:rPr>
          <w:i/>
        </w:rPr>
        <w:t xml:space="preserve">Use of Electroconvulsive Therapy (ECT) in New Zealand: A review of efficacy, safety, and regulatory controls. </w:t>
      </w:r>
      <w:r w:rsidRPr="00642432">
        <w:t>Wellington: Ministry of Health.</w:t>
      </w:r>
    </w:p>
    <w:p w:rsidR="004659AD" w:rsidRPr="00642432" w:rsidRDefault="004659AD" w:rsidP="002E6538">
      <w:pPr>
        <w:pStyle w:val="References"/>
      </w:pPr>
      <w:r w:rsidRPr="00642432">
        <w:t xml:space="preserve">Ministry of Health. 2009. </w:t>
      </w:r>
      <w:r w:rsidRPr="00642432">
        <w:rPr>
          <w:i/>
        </w:rPr>
        <w:t xml:space="preserve">Electroconvulsive Therapy (ECT) in New Zealand: What you and your family and whānau need to know. </w:t>
      </w:r>
      <w:r w:rsidRPr="00642432">
        <w:t>Wellington: Ministry of Health.</w:t>
      </w:r>
    </w:p>
    <w:p w:rsidR="004659AD" w:rsidRPr="00642432" w:rsidRDefault="004659AD" w:rsidP="002E6538">
      <w:pPr>
        <w:pStyle w:val="References"/>
      </w:pPr>
      <w:r w:rsidRPr="00642432">
        <w:t xml:space="preserve">Ministry of Health. 2010 </w:t>
      </w:r>
      <w:r w:rsidRPr="00642432">
        <w:rPr>
          <w:i/>
        </w:rPr>
        <w:t>Seclusion under the Mental Health (Compulsory Assessment and Treatment) Act 1992</w:t>
      </w:r>
      <w:r w:rsidRPr="00642432">
        <w:t>. Wellington: Ministry of Health.</w:t>
      </w:r>
    </w:p>
    <w:p w:rsidR="004659AD" w:rsidRPr="00642432" w:rsidRDefault="004659AD" w:rsidP="002E6538">
      <w:pPr>
        <w:pStyle w:val="References"/>
      </w:pPr>
      <w:r w:rsidRPr="00642432">
        <w:t xml:space="preserve">Ministry of Health. 2012a. </w:t>
      </w:r>
      <w:r w:rsidRPr="00642432">
        <w:rPr>
          <w:i/>
        </w:rPr>
        <w:t>Guidelines for the Role and Function of Directors of Area Mental Health Services.</w:t>
      </w:r>
      <w:r w:rsidR="002E6538">
        <w:t xml:space="preserve"> </w:t>
      </w:r>
      <w:r w:rsidRPr="00642432">
        <w:t>Wellington: Ministry of Health.</w:t>
      </w:r>
    </w:p>
    <w:p w:rsidR="004659AD" w:rsidRPr="00642432" w:rsidRDefault="004659AD" w:rsidP="002E6538">
      <w:pPr>
        <w:pStyle w:val="References"/>
      </w:pPr>
      <w:r w:rsidRPr="00642432">
        <w:t xml:space="preserve">Ministry of Health. 2012b. </w:t>
      </w:r>
      <w:r w:rsidRPr="00642432">
        <w:rPr>
          <w:i/>
        </w:rPr>
        <w:t>Guidelines for the Role and Function of District Inspectors Appointed under the Mental</w:t>
      </w:r>
      <w:r w:rsidR="002E6538">
        <w:rPr>
          <w:i/>
        </w:rPr>
        <w:t xml:space="preserve"> </w:t>
      </w:r>
      <w:r w:rsidRPr="00642432">
        <w:rPr>
          <w:i/>
        </w:rPr>
        <w:t>Health (Compulsory Assessment and Treatment) Act 1992</w:t>
      </w:r>
      <w:r w:rsidRPr="00642432">
        <w:t>. Wellington: Ministry of Health.</w:t>
      </w:r>
    </w:p>
    <w:p w:rsidR="004659AD" w:rsidRPr="00642432" w:rsidRDefault="004659AD" w:rsidP="002E6538">
      <w:pPr>
        <w:pStyle w:val="References"/>
      </w:pPr>
      <w:r w:rsidRPr="00642432">
        <w:t xml:space="preserve">Ministry of Health. 2012c. </w:t>
      </w:r>
      <w:r w:rsidRPr="00642432">
        <w:rPr>
          <w:i/>
        </w:rPr>
        <w:t>Guidelines for the Role and Function of Duly Authorised Officers under the Mental Health</w:t>
      </w:r>
      <w:r w:rsidR="002E6538">
        <w:rPr>
          <w:i/>
        </w:rPr>
        <w:t xml:space="preserve"> </w:t>
      </w:r>
      <w:r w:rsidRPr="00642432">
        <w:rPr>
          <w:i/>
        </w:rPr>
        <w:t xml:space="preserve">Act 1992. </w:t>
      </w:r>
      <w:r w:rsidRPr="00642432">
        <w:t>Wellington: Ministry of Health.</w:t>
      </w:r>
    </w:p>
    <w:p w:rsidR="004659AD" w:rsidRPr="00642432" w:rsidRDefault="004659AD" w:rsidP="002E6538">
      <w:pPr>
        <w:pStyle w:val="References"/>
      </w:pPr>
      <w:r w:rsidRPr="00642432">
        <w:t xml:space="preserve">Ministry of Health. 2012d. </w:t>
      </w:r>
      <w:r w:rsidRPr="00642432">
        <w:rPr>
          <w:i/>
        </w:rPr>
        <w:t>Guidelines to the Mental Health (Compulsory Assessment and Treatment) Act 1992.</w:t>
      </w:r>
      <w:r w:rsidR="002E6538">
        <w:t xml:space="preserve"> </w:t>
      </w:r>
      <w:r w:rsidRPr="00642432">
        <w:t>Wellington: Ministry of Health.</w:t>
      </w:r>
    </w:p>
    <w:p w:rsidR="004659AD" w:rsidRPr="00642432" w:rsidRDefault="004659AD" w:rsidP="002E6538">
      <w:pPr>
        <w:pStyle w:val="References"/>
      </w:pPr>
      <w:r w:rsidRPr="00642432">
        <w:t xml:space="preserve">Ministry of Health. 2012e. </w:t>
      </w:r>
      <w:r w:rsidRPr="00642432">
        <w:rPr>
          <w:i/>
        </w:rPr>
        <w:t>Rising to the Challenge: The Mental Health and Addiction Service Development Plan</w:t>
      </w:r>
      <w:r w:rsidR="002E6538">
        <w:rPr>
          <w:i/>
        </w:rPr>
        <w:t xml:space="preserve"> </w:t>
      </w:r>
      <w:r w:rsidRPr="00642432">
        <w:rPr>
          <w:i/>
        </w:rPr>
        <w:t>2012–2017</w:t>
      </w:r>
      <w:r w:rsidRPr="00642432">
        <w:t>. Wellington: Ministry of Health.</w:t>
      </w:r>
    </w:p>
    <w:p w:rsidR="004659AD" w:rsidRPr="00642432" w:rsidRDefault="004659AD" w:rsidP="002E6538">
      <w:pPr>
        <w:pStyle w:val="References"/>
      </w:pPr>
      <w:r w:rsidRPr="00642432">
        <w:t xml:space="preserve">Ministry of Health. 2013a. </w:t>
      </w:r>
      <w:r w:rsidRPr="00642432">
        <w:rPr>
          <w:i/>
        </w:rPr>
        <w:t xml:space="preserve">New Zealand Suicide Prevention Action Plan 2013–2016. </w:t>
      </w:r>
      <w:r w:rsidRPr="00642432">
        <w:t xml:space="preserve">Wellington: Ministry of Health. Ministry of Health. 2013b. </w:t>
      </w:r>
      <w:r w:rsidRPr="00642432">
        <w:rPr>
          <w:i/>
        </w:rPr>
        <w:t>PRIMHD: Mental health data</w:t>
      </w:r>
      <w:r w:rsidRPr="00642432">
        <w:t xml:space="preserve">. URL: </w:t>
      </w:r>
      <w:hyperlink r:id="rId73">
        <w:r w:rsidRPr="00642432">
          <w:t>www.health.govt.nz/nz-health-statistics/national-</w:t>
        </w:r>
      </w:hyperlink>
      <w:hyperlink r:id="rId74">
        <w:r w:rsidRPr="00642432">
          <w:t xml:space="preserve">collections-and-surveys/collections/primhd-mental-health-data </w:t>
        </w:r>
      </w:hyperlink>
      <w:r w:rsidRPr="00642432">
        <w:t>(accessed 16 September 2013).</w:t>
      </w:r>
    </w:p>
    <w:p w:rsidR="004659AD" w:rsidRPr="00642432" w:rsidRDefault="004659AD" w:rsidP="002E6538">
      <w:pPr>
        <w:pStyle w:val="References"/>
      </w:pPr>
      <w:r w:rsidRPr="00642432">
        <w:t xml:space="preserve">New Zealand Law Commission. 2012. </w:t>
      </w:r>
      <w:r w:rsidRPr="00642432">
        <w:rPr>
          <w:i/>
        </w:rPr>
        <w:t xml:space="preserve">Compulsory Treatment for Substance Dependence: A review of the Alcoholism and Drug Addiction Act 1966. </w:t>
      </w:r>
      <w:r w:rsidRPr="00642432">
        <w:t>Wellington: New Zealand Law Commission.</w:t>
      </w:r>
    </w:p>
    <w:p w:rsidR="004659AD" w:rsidRPr="00642432" w:rsidRDefault="004659AD" w:rsidP="002E6538">
      <w:pPr>
        <w:pStyle w:val="References"/>
      </w:pPr>
      <w:r w:rsidRPr="00642432">
        <w:t>Oakley Browne MA, Wells JE, Scott KM (eds).</w:t>
      </w:r>
      <w:r w:rsidR="00D32DDD" w:rsidRPr="00642432">
        <w:t xml:space="preserve"> </w:t>
      </w:r>
      <w:r w:rsidRPr="00642432">
        <w:t xml:space="preserve">2006. </w:t>
      </w:r>
      <w:r w:rsidRPr="00642432">
        <w:rPr>
          <w:i/>
        </w:rPr>
        <w:t>Te Rau Hinengaro: The New Zealand Mental Health Survey</w:t>
      </w:r>
      <w:r w:rsidRPr="00642432">
        <w:t>. Wellington: Ministry of Health.</w:t>
      </w:r>
    </w:p>
    <w:p w:rsidR="004659AD" w:rsidRPr="00642432" w:rsidRDefault="004659AD" w:rsidP="002E6538">
      <w:pPr>
        <w:pStyle w:val="References"/>
      </w:pPr>
      <w:r w:rsidRPr="00642432">
        <w:t xml:space="preserve">Platform Charitable Trust. 2013. </w:t>
      </w:r>
      <w:r w:rsidRPr="00642432">
        <w:rPr>
          <w:i/>
        </w:rPr>
        <w:t>NGO Stories &amp; Statistics</w:t>
      </w:r>
      <w:r w:rsidRPr="00642432">
        <w:t>. Wellington: Platform Charitable Trust.</w:t>
      </w:r>
    </w:p>
    <w:p w:rsidR="004659AD" w:rsidRPr="00642432" w:rsidRDefault="004659AD" w:rsidP="002E6538">
      <w:pPr>
        <w:pStyle w:val="References"/>
      </w:pPr>
      <w:r w:rsidRPr="00642432">
        <w:t xml:space="preserve">Standards New Zealand. 2008a. </w:t>
      </w:r>
      <w:r w:rsidRPr="00642432">
        <w:rPr>
          <w:i/>
        </w:rPr>
        <w:t>Health and Disability Services (General) Standard</w:t>
      </w:r>
      <w:r w:rsidRPr="00642432">
        <w:t xml:space="preserve">. Wellington: Standards Council. Standards New Zealand. 2008b. </w:t>
      </w:r>
      <w:r w:rsidRPr="00642432">
        <w:rPr>
          <w:i/>
        </w:rPr>
        <w:t>Health and Disability Services (Restraint Minimisation and Safe Practices)</w:t>
      </w:r>
      <w:r w:rsidR="002E6538">
        <w:rPr>
          <w:i/>
        </w:rPr>
        <w:t xml:space="preserve"> </w:t>
      </w:r>
      <w:r w:rsidRPr="00642432">
        <w:rPr>
          <w:i/>
        </w:rPr>
        <w:t>Standards</w:t>
      </w:r>
      <w:r w:rsidRPr="00642432">
        <w:t>. Wellington: Standards Council.</w:t>
      </w:r>
    </w:p>
    <w:p w:rsidR="004659AD" w:rsidRPr="00642432" w:rsidRDefault="004659AD" w:rsidP="002E6538"/>
    <w:p w:rsidR="002E6538" w:rsidRDefault="002E6538" w:rsidP="002E6538">
      <w:r>
        <w:br w:type="page"/>
      </w:r>
    </w:p>
    <w:p w:rsidR="004659AD" w:rsidRPr="00642432" w:rsidRDefault="004659AD" w:rsidP="002E6538">
      <w:pPr>
        <w:pStyle w:val="Heading1"/>
      </w:pPr>
      <w:bookmarkStart w:id="82" w:name="_Toc405113677"/>
      <w:r w:rsidRPr="00642432">
        <w:t>Appendix 1: Additional statistics</w:t>
      </w:r>
      <w:bookmarkEnd w:id="82"/>
    </w:p>
    <w:p w:rsidR="004659AD" w:rsidRPr="00642432" w:rsidRDefault="004659AD" w:rsidP="002E6538">
      <w:pPr>
        <w:pStyle w:val="Heading2"/>
      </w:pPr>
      <w:bookmarkStart w:id="83" w:name="_Toc405113678"/>
      <w:r w:rsidRPr="00642432">
        <w:t>The Mental Health Review Tribunal</w:t>
      </w:r>
      <w:bookmarkEnd w:id="83"/>
    </w:p>
    <w:p w:rsidR="004659AD" w:rsidRPr="00642432" w:rsidRDefault="004659AD" w:rsidP="002E6538">
      <w:r w:rsidRPr="00642432">
        <w:t>During the year</w:t>
      </w:r>
      <w:r w:rsidR="00D32DDD" w:rsidRPr="00642432">
        <w:t xml:space="preserve"> </w:t>
      </w:r>
      <w:r w:rsidRPr="00642432">
        <w:t>ended 30 June 2013, the Tribunal received 207 applications under the Mental Health</w:t>
      </w:r>
      <w:r w:rsidR="002E6538">
        <w:t xml:space="preserve"> </w:t>
      </w:r>
      <w:r w:rsidRPr="00642432">
        <w:t>Act. Table A1 presents both the types of applications received and the outcomes of these applications.</w:t>
      </w:r>
    </w:p>
    <w:p w:rsidR="004659AD" w:rsidRPr="00642432" w:rsidRDefault="004659AD" w:rsidP="002E6538"/>
    <w:p w:rsidR="004659AD" w:rsidRPr="00642432" w:rsidRDefault="004659AD" w:rsidP="002E6538">
      <w:pPr>
        <w:pStyle w:val="Table"/>
      </w:pPr>
      <w:bookmarkStart w:id="84" w:name="_Toc405113700"/>
      <w:r w:rsidRPr="00642432">
        <w:t>Table A1: Outcome of Mental Health Act applications received by the Mental Health Review Tribunal,</w:t>
      </w:r>
      <w:r w:rsidR="002E6538">
        <w:t xml:space="preserve"> </w:t>
      </w:r>
      <w:r w:rsidRPr="00642432">
        <w:t>1 July 2012 to 30 June 2013</w:t>
      </w:r>
      <w:bookmarkEnd w:id="84"/>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891"/>
        <w:gridCol w:w="782"/>
        <w:gridCol w:w="783"/>
        <w:gridCol w:w="782"/>
        <w:gridCol w:w="783"/>
        <w:gridCol w:w="783"/>
      </w:tblGrid>
      <w:tr w:rsidR="00BC64B2" w:rsidRPr="00BC64B2" w:rsidTr="00BC64B2">
        <w:trPr>
          <w:cantSplit/>
        </w:trPr>
        <w:tc>
          <w:tcPr>
            <w:tcW w:w="2891" w:type="dxa"/>
            <w:tcBorders>
              <w:top w:val="single" w:sz="4" w:space="0" w:color="auto"/>
              <w:bottom w:val="single" w:sz="4" w:space="0" w:color="auto"/>
            </w:tcBorders>
            <w:shd w:val="clear" w:color="auto" w:fill="F2F2F2" w:themeFill="background1" w:themeFillShade="F2"/>
          </w:tcPr>
          <w:p w:rsidR="00BC64B2" w:rsidRPr="00BC64B2" w:rsidRDefault="00BC64B2" w:rsidP="00BC64B2">
            <w:pPr>
              <w:pStyle w:val="TableText"/>
              <w:rPr>
                <w:b/>
              </w:rPr>
            </w:pPr>
            <w:r w:rsidRPr="00BC64B2">
              <w:rPr>
                <w:b/>
              </w:rPr>
              <w:t>Case outcome</w:t>
            </w:r>
          </w:p>
        </w:tc>
        <w:tc>
          <w:tcPr>
            <w:tcW w:w="782" w:type="dxa"/>
            <w:tcBorders>
              <w:top w:val="single" w:sz="4" w:space="0" w:color="auto"/>
              <w:bottom w:val="single" w:sz="4" w:space="0" w:color="auto"/>
            </w:tcBorders>
            <w:shd w:val="clear" w:color="auto" w:fill="F2F2F2" w:themeFill="background1" w:themeFillShade="F2"/>
          </w:tcPr>
          <w:p w:rsidR="00BC64B2" w:rsidRPr="00BC64B2" w:rsidRDefault="00BC64B2" w:rsidP="00BC64B2">
            <w:pPr>
              <w:pStyle w:val="TableText"/>
              <w:jc w:val="center"/>
              <w:rPr>
                <w:b/>
              </w:rPr>
            </w:pPr>
            <w:r w:rsidRPr="00BC64B2">
              <w:rPr>
                <w:b/>
              </w:rPr>
              <w:t>Section 79</w:t>
            </w:r>
          </w:p>
        </w:tc>
        <w:tc>
          <w:tcPr>
            <w:tcW w:w="783" w:type="dxa"/>
            <w:tcBorders>
              <w:top w:val="single" w:sz="4" w:space="0" w:color="auto"/>
              <w:bottom w:val="single" w:sz="4" w:space="0" w:color="auto"/>
            </w:tcBorders>
            <w:shd w:val="clear" w:color="auto" w:fill="F2F2F2" w:themeFill="background1" w:themeFillShade="F2"/>
          </w:tcPr>
          <w:p w:rsidR="00BC64B2" w:rsidRPr="00BC64B2" w:rsidRDefault="00BC64B2" w:rsidP="00BC64B2">
            <w:pPr>
              <w:pStyle w:val="TableText"/>
              <w:jc w:val="center"/>
              <w:rPr>
                <w:b/>
              </w:rPr>
            </w:pPr>
            <w:r w:rsidRPr="00BC64B2">
              <w:rPr>
                <w:b/>
              </w:rPr>
              <w:t>Section 80</w:t>
            </w:r>
          </w:p>
        </w:tc>
        <w:tc>
          <w:tcPr>
            <w:tcW w:w="782" w:type="dxa"/>
            <w:tcBorders>
              <w:top w:val="single" w:sz="4" w:space="0" w:color="auto"/>
              <w:bottom w:val="single" w:sz="4" w:space="0" w:color="auto"/>
            </w:tcBorders>
            <w:shd w:val="clear" w:color="auto" w:fill="F2F2F2" w:themeFill="background1" w:themeFillShade="F2"/>
          </w:tcPr>
          <w:p w:rsidR="00BC64B2" w:rsidRPr="00BC64B2" w:rsidRDefault="00BC64B2" w:rsidP="00BC64B2">
            <w:pPr>
              <w:pStyle w:val="TableText"/>
              <w:jc w:val="center"/>
              <w:rPr>
                <w:b/>
              </w:rPr>
            </w:pPr>
            <w:r w:rsidRPr="00BC64B2">
              <w:rPr>
                <w:b/>
              </w:rPr>
              <w:t>Section 81</w:t>
            </w:r>
          </w:p>
        </w:tc>
        <w:tc>
          <w:tcPr>
            <w:tcW w:w="783" w:type="dxa"/>
            <w:tcBorders>
              <w:top w:val="single" w:sz="4" w:space="0" w:color="auto"/>
              <w:bottom w:val="single" w:sz="4" w:space="0" w:color="auto"/>
            </w:tcBorders>
            <w:shd w:val="clear" w:color="auto" w:fill="F2F2F2" w:themeFill="background1" w:themeFillShade="F2"/>
          </w:tcPr>
          <w:p w:rsidR="00BC64B2" w:rsidRPr="00BC64B2" w:rsidRDefault="00BC64B2" w:rsidP="00BC64B2">
            <w:pPr>
              <w:pStyle w:val="TableText"/>
              <w:jc w:val="center"/>
              <w:rPr>
                <w:b/>
              </w:rPr>
            </w:pPr>
            <w:r w:rsidRPr="00BC64B2">
              <w:rPr>
                <w:b/>
              </w:rPr>
              <w:t>Section 75</w:t>
            </w:r>
          </w:p>
        </w:tc>
        <w:tc>
          <w:tcPr>
            <w:tcW w:w="783" w:type="dxa"/>
            <w:tcBorders>
              <w:top w:val="single" w:sz="4" w:space="0" w:color="auto"/>
              <w:bottom w:val="single" w:sz="4" w:space="0" w:color="auto"/>
            </w:tcBorders>
            <w:shd w:val="clear" w:color="auto" w:fill="F2F2F2" w:themeFill="background1" w:themeFillShade="F2"/>
          </w:tcPr>
          <w:p w:rsidR="00BC64B2" w:rsidRPr="00BC64B2" w:rsidRDefault="00BC64B2" w:rsidP="00BC64B2">
            <w:pPr>
              <w:pStyle w:val="TableText"/>
              <w:jc w:val="center"/>
              <w:rPr>
                <w:b/>
              </w:rPr>
            </w:pPr>
            <w:r w:rsidRPr="00BC64B2">
              <w:rPr>
                <w:b/>
              </w:rPr>
              <w:t>Total</w:t>
            </w:r>
          </w:p>
        </w:tc>
      </w:tr>
      <w:tr w:rsidR="004659AD" w:rsidRPr="00642432" w:rsidTr="00BC64B2">
        <w:trPr>
          <w:cantSplit/>
        </w:trPr>
        <w:tc>
          <w:tcPr>
            <w:tcW w:w="2891" w:type="dxa"/>
            <w:tcBorders>
              <w:top w:val="single" w:sz="4" w:space="0" w:color="auto"/>
              <w:bottom w:val="nil"/>
            </w:tcBorders>
          </w:tcPr>
          <w:p w:rsidR="004659AD" w:rsidRPr="00642432" w:rsidRDefault="004659AD" w:rsidP="00BC64B2">
            <w:pPr>
              <w:pStyle w:val="TableText"/>
            </w:pPr>
            <w:r w:rsidRPr="00642432">
              <w:t>Deemed ineligible</w:t>
            </w:r>
          </w:p>
        </w:tc>
        <w:tc>
          <w:tcPr>
            <w:tcW w:w="782" w:type="dxa"/>
            <w:tcBorders>
              <w:top w:val="single" w:sz="4" w:space="0" w:color="auto"/>
              <w:bottom w:val="nil"/>
            </w:tcBorders>
          </w:tcPr>
          <w:p w:rsidR="004659AD" w:rsidRPr="00642432" w:rsidRDefault="004659AD" w:rsidP="00BC64B2">
            <w:pPr>
              <w:pStyle w:val="TableText"/>
              <w:tabs>
                <w:tab w:val="decimal" w:pos="425"/>
              </w:tabs>
            </w:pPr>
            <w:r w:rsidRPr="00642432">
              <w:t>8</w:t>
            </w:r>
          </w:p>
        </w:tc>
        <w:tc>
          <w:tcPr>
            <w:tcW w:w="783" w:type="dxa"/>
            <w:tcBorders>
              <w:top w:val="single" w:sz="4" w:space="0" w:color="auto"/>
              <w:bottom w:val="nil"/>
            </w:tcBorders>
          </w:tcPr>
          <w:p w:rsidR="004659AD" w:rsidRPr="00642432" w:rsidRDefault="004659AD" w:rsidP="00BC64B2">
            <w:pPr>
              <w:pStyle w:val="TableText"/>
              <w:tabs>
                <w:tab w:val="decimal" w:pos="425"/>
              </w:tabs>
            </w:pPr>
            <w:r w:rsidRPr="00642432">
              <w:t>0</w:t>
            </w:r>
          </w:p>
        </w:tc>
        <w:tc>
          <w:tcPr>
            <w:tcW w:w="782" w:type="dxa"/>
            <w:tcBorders>
              <w:top w:val="single" w:sz="4" w:space="0" w:color="auto"/>
              <w:bottom w:val="nil"/>
            </w:tcBorders>
          </w:tcPr>
          <w:p w:rsidR="004659AD" w:rsidRPr="00642432" w:rsidRDefault="004659AD" w:rsidP="00BC64B2">
            <w:pPr>
              <w:pStyle w:val="TableText"/>
              <w:jc w:val="center"/>
            </w:pPr>
            <w:r w:rsidRPr="00642432">
              <w:t>0</w:t>
            </w:r>
          </w:p>
        </w:tc>
        <w:tc>
          <w:tcPr>
            <w:tcW w:w="783" w:type="dxa"/>
            <w:tcBorders>
              <w:top w:val="single" w:sz="4" w:space="0" w:color="auto"/>
              <w:bottom w:val="nil"/>
            </w:tcBorders>
          </w:tcPr>
          <w:p w:rsidR="004659AD" w:rsidRPr="00642432" w:rsidRDefault="004659AD" w:rsidP="00BC64B2">
            <w:pPr>
              <w:pStyle w:val="TableText"/>
              <w:jc w:val="center"/>
            </w:pPr>
            <w:r w:rsidRPr="00642432">
              <w:t>0</w:t>
            </w:r>
          </w:p>
        </w:tc>
        <w:tc>
          <w:tcPr>
            <w:tcW w:w="783" w:type="dxa"/>
            <w:tcBorders>
              <w:top w:val="single" w:sz="4" w:space="0" w:color="auto"/>
              <w:bottom w:val="nil"/>
            </w:tcBorders>
          </w:tcPr>
          <w:p w:rsidR="004659AD" w:rsidRPr="00642432" w:rsidRDefault="004659AD" w:rsidP="00BC64B2">
            <w:pPr>
              <w:pStyle w:val="TableText"/>
              <w:tabs>
                <w:tab w:val="decimal" w:pos="425"/>
              </w:tabs>
            </w:pPr>
            <w:r w:rsidRPr="00642432">
              <w:t>8</w:t>
            </w:r>
          </w:p>
        </w:tc>
      </w:tr>
      <w:tr w:rsidR="004659AD" w:rsidRPr="00642432" w:rsidTr="00BC64B2">
        <w:trPr>
          <w:cantSplit/>
        </w:trPr>
        <w:tc>
          <w:tcPr>
            <w:tcW w:w="2891" w:type="dxa"/>
            <w:tcBorders>
              <w:top w:val="nil"/>
              <w:bottom w:val="nil"/>
            </w:tcBorders>
            <w:shd w:val="clear" w:color="auto" w:fill="F2F2F2" w:themeFill="background1" w:themeFillShade="F2"/>
          </w:tcPr>
          <w:p w:rsidR="004659AD" w:rsidRPr="00642432" w:rsidRDefault="004659AD" w:rsidP="00BC64B2">
            <w:pPr>
              <w:pStyle w:val="TableText"/>
            </w:pPr>
            <w:r w:rsidRPr="00642432">
              <w:t>Withdrawn</w:t>
            </w:r>
          </w:p>
        </w:tc>
        <w:tc>
          <w:tcPr>
            <w:tcW w:w="782" w:type="dxa"/>
            <w:tcBorders>
              <w:top w:val="nil"/>
              <w:bottom w:val="nil"/>
            </w:tcBorders>
            <w:shd w:val="clear" w:color="auto" w:fill="F2F2F2" w:themeFill="background1" w:themeFillShade="F2"/>
          </w:tcPr>
          <w:p w:rsidR="004659AD" w:rsidRPr="00642432" w:rsidRDefault="004659AD" w:rsidP="00BC64B2">
            <w:pPr>
              <w:pStyle w:val="TableText"/>
              <w:tabs>
                <w:tab w:val="decimal" w:pos="425"/>
              </w:tabs>
            </w:pPr>
            <w:r w:rsidRPr="00642432">
              <w:t>78</w:t>
            </w:r>
          </w:p>
        </w:tc>
        <w:tc>
          <w:tcPr>
            <w:tcW w:w="783" w:type="dxa"/>
            <w:tcBorders>
              <w:top w:val="nil"/>
              <w:bottom w:val="nil"/>
            </w:tcBorders>
            <w:shd w:val="clear" w:color="auto" w:fill="F2F2F2" w:themeFill="background1" w:themeFillShade="F2"/>
          </w:tcPr>
          <w:p w:rsidR="004659AD" w:rsidRPr="00642432" w:rsidRDefault="004659AD" w:rsidP="00BC64B2">
            <w:pPr>
              <w:pStyle w:val="TableText"/>
              <w:tabs>
                <w:tab w:val="decimal" w:pos="425"/>
              </w:tabs>
            </w:pPr>
            <w:r w:rsidRPr="00642432">
              <w:t>4</w:t>
            </w:r>
          </w:p>
        </w:tc>
        <w:tc>
          <w:tcPr>
            <w:tcW w:w="782" w:type="dxa"/>
            <w:tcBorders>
              <w:top w:val="nil"/>
              <w:bottom w:val="nil"/>
            </w:tcBorders>
            <w:shd w:val="clear" w:color="auto" w:fill="F2F2F2" w:themeFill="background1" w:themeFillShade="F2"/>
          </w:tcPr>
          <w:p w:rsidR="004659AD" w:rsidRPr="00642432" w:rsidRDefault="004659AD" w:rsidP="00BC64B2">
            <w:pPr>
              <w:pStyle w:val="TableText"/>
              <w:jc w:val="center"/>
            </w:pPr>
            <w:r w:rsidRPr="00642432">
              <w:t>0</w:t>
            </w:r>
          </w:p>
        </w:tc>
        <w:tc>
          <w:tcPr>
            <w:tcW w:w="783" w:type="dxa"/>
            <w:tcBorders>
              <w:top w:val="nil"/>
              <w:bottom w:val="nil"/>
            </w:tcBorders>
            <w:shd w:val="clear" w:color="auto" w:fill="F2F2F2" w:themeFill="background1" w:themeFillShade="F2"/>
          </w:tcPr>
          <w:p w:rsidR="004659AD" w:rsidRPr="00642432" w:rsidRDefault="004659AD" w:rsidP="00BC64B2">
            <w:pPr>
              <w:pStyle w:val="TableText"/>
              <w:jc w:val="center"/>
            </w:pPr>
            <w:r w:rsidRPr="00642432">
              <w:t>0</w:t>
            </w:r>
          </w:p>
        </w:tc>
        <w:tc>
          <w:tcPr>
            <w:tcW w:w="783" w:type="dxa"/>
            <w:tcBorders>
              <w:top w:val="nil"/>
              <w:bottom w:val="nil"/>
            </w:tcBorders>
            <w:shd w:val="clear" w:color="auto" w:fill="F2F2F2" w:themeFill="background1" w:themeFillShade="F2"/>
          </w:tcPr>
          <w:p w:rsidR="004659AD" w:rsidRPr="00642432" w:rsidRDefault="004659AD" w:rsidP="00BC64B2">
            <w:pPr>
              <w:pStyle w:val="TableText"/>
              <w:tabs>
                <w:tab w:val="decimal" w:pos="425"/>
              </w:tabs>
            </w:pPr>
            <w:r w:rsidRPr="00642432">
              <w:t>82</w:t>
            </w:r>
          </w:p>
        </w:tc>
      </w:tr>
      <w:tr w:rsidR="004659AD" w:rsidRPr="00642432" w:rsidTr="00BC64B2">
        <w:trPr>
          <w:cantSplit/>
        </w:trPr>
        <w:tc>
          <w:tcPr>
            <w:tcW w:w="2891" w:type="dxa"/>
            <w:tcBorders>
              <w:top w:val="nil"/>
              <w:bottom w:val="nil"/>
            </w:tcBorders>
          </w:tcPr>
          <w:p w:rsidR="004659AD" w:rsidRPr="00642432" w:rsidRDefault="004659AD" w:rsidP="00BC64B2">
            <w:pPr>
              <w:pStyle w:val="TableText"/>
            </w:pPr>
            <w:r w:rsidRPr="00642432">
              <w:t>Held over to the next report year</w:t>
            </w:r>
          </w:p>
        </w:tc>
        <w:tc>
          <w:tcPr>
            <w:tcW w:w="782" w:type="dxa"/>
            <w:tcBorders>
              <w:top w:val="nil"/>
              <w:bottom w:val="nil"/>
            </w:tcBorders>
          </w:tcPr>
          <w:p w:rsidR="004659AD" w:rsidRPr="00642432" w:rsidRDefault="004659AD" w:rsidP="00BC64B2">
            <w:pPr>
              <w:pStyle w:val="TableText"/>
              <w:tabs>
                <w:tab w:val="decimal" w:pos="425"/>
              </w:tabs>
            </w:pPr>
            <w:r w:rsidRPr="00642432">
              <w:t>15</w:t>
            </w:r>
          </w:p>
        </w:tc>
        <w:tc>
          <w:tcPr>
            <w:tcW w:w="783" w:type="dxa"/>
            <w:tcBorders>
              <w:top w:val="nil"/>
              <w:bottom w:val="nil"/>
            </w:tcBorders>
          </w:tcPr>
          <w:p w:rsidR="004659AD" w:rsidRPr="00642432" w:rsidRDefault="004659AD" w:rsidP="00BC64B2">
            <w:pPr>
              <w:pStyle w:val="TableText"/>
              <w:tabs>
                <w:tab w:val="decimal" w:pos="425"/>
              </w:tabs>
            </w:pPr>
            <w:r w:rsidRPr="00642432">
              <w:t>2</w:t>
            </w:r>
          </w:p>
        </w:tc>
        <w:tc>
          <w:tcPr>
            <w:tcW w:w="782" w:type="dxa"/>
            <w:tcBorders>
              <w:top w:val="nil"/>
              <w:bottom w:val="nil"/>
            </w:tcBorders>
          </w:tcPr>
          <w:p w:rsidR="004659AD" w:rsidRPr="00642432" w:rsidRDefault="004659AD" w:rsidP="00BC64B2">
            <w:pPr>
              <w:pStyle w:val="TableText"/>
              <w:jc w:val="center"/>
            </w:pPr>
            <w:r w:rsidRPr="00642432">
              <w:t>1</w:t>
            </w:r>
          </w:p>
        </w:tc>
        <w:tc>
          <w:tcPr>
            <w:tcW w:w="783" w:type="dxa"/>
            <w:tcBorders>
              <w:top w:val="nil"/>
              <w:bottom w:val="nil"/>
            </w:tcBorders>
          </w:tcPr>
          <w:p w:rsidR="004659AD" w:rsidRPr="00642432" w:rsidRDefault="004659AD" w:rsidP="00BC64B2">
            <w:pPr>
              <w:pStyle w:val="TableText"/>
              <w:jc w:val="center"/>
            </w:pPr>
            <w:r w:rsidRPr="00642432">
              <w:t>0</w:t>
            </w:r>
          </w:p>
        </w:tc>
        <w:tc>
          <w:tcPr>
            <w:tcW w:w="783" w:type="dxa"/>
            <w:tcBorders>
              <w:top w:val="nil"/>
              <w:bottom w:val="nil"/>
            </w:tcBorders>
          </w:tcPr>
          <w:p w:rsidR="004659AD" w:rsidRPr="00642432" w:rsidRDefault="004659AD" w:rsidP="00BC64B2">
            <w:pPr>
              <w:pStyle w:val="TableText"/>
              <w:tabs>
                <w:tab w:val="decimal" w:pos="425"/>
              </w:tabs>
            </w:pPr>
            <w:r w:rsidRPr="00642432">
              <w:t>18</w:t>
            </w:r>
          </w:p>
        </w:tc>
      </w:tr>
      <w:tr w:rsidR="004659AD" w:rsidRPr="00642432" w:rsidTr="00BC64B2">
        <w:trPr>
          <w:cantSplit/>
        </w:trPr>
        <w:tc>
          <w:tcPr>
            <w:tcW w:w="2891" w:type="dxa"/>
            <w:tcBorders>
              <w:top w:val="nil"/>
              <w:bottom w:val="nil"/>
            </w:tcBorders>
            <w:shd w:val="clear" w:color="auto" w:fill="F2F2F2" w:themeFill="background1" w:themeFillShade="F2"/>
          </w:tcPr>
          <w:p w:rsidR="004659AD" w:rsidRPr="00642432" w:rsidRDefault="004659AD" w:rsidP="00BC64B2">
            <w:pPr>
              <w:pStyle w:val="TableText"/>
            </w:pPr>
            <w:r w:rsidRPr="00642432">
              <w:t>Heard in the report year</w:t>
            </w:r>
          </w:p>
        </w:tc>
        <w:tc>
          <w:tcPr>
            <w:tcW w:w="782" w:type="dxa"/>
            <w:tcBorders>
              <w:top w:val="nil"/>
              <w:bottom w:val="nil"/>
            </w:tcBorders>
            <w:shd w:val="clear" w:color="auto" w:fill="F2F2F2" w:themeFill="background1" w:themeFillShade="F2"/>
          </w:tcPr>
          <w:p w:rsidR="004659AD" w:rsidRPr="00642432" w:rsidRDefault="004659AD" w:rsidP="00BC64B2">
            <w:pPr>
              <w:pStyle w:val="TableText"/>
              <w:tabs>
                <w:tab w:val="decimal" w:pos="425"/>
              </w:tabs>
            </w:pPr>
            <w:r w:rsidRPr="00642432">
              <w:t>93</w:t>
            </w:r>
          </w:p>
        </w:tc>
        <w:tc>
          <w:tcPr>
            <w:tcW w:w="783" w:type="dxa"/>
            <w:tcBorders>
              <w:top w:val="nil"/>
              <w:bottom w:val="nil"/>
            </w:tcBorders>
            <w:shd w:val="clear" w:color="auto" w:fill="F2F2F2" w:themeFill="background1" w:themeFillShade="F2"/>
          </w:tcPr>
          <w:p w:rsidR="004659AD" w:rsidRPr="00642432" w:rsidRDefault="004659AD" w:rsidP="00BC64B2">
            <w:pPr>
              <w:pStyle w:val="TableText"/>
              <w:tabs>
                <w:tab w:val="decimal" w:pos="425"/>
              </w:tabs>
            </w:pPr>
            <w:r w:rsidRPr="00642432">
              <w:t>6</w:t>
            </w:r>
          </w:p>
        </w:tc>
        <w:tc>
          <w:tcPr>
            <w:tcW w:w="782" w:type="dxa"/>
            <w:tcBorders>
              <w:top w:val="nil"/>
              <w:bottom w:val="nil"/>
            </w:tcBorders>
            <w:shd w:val="clear" w:color="auto" w:fill="F2F2F2" w:themeFill="background1" w:themeFillShade="F2"/>
          </w:tcPr>
          <w:p w:rsidR="004659AD" w:rsidRPr="00642432" w:rsidRDefault="004659AD" w:rsidP="00BC64B2">
            <w:pPr>
              <w:pStyle w:val="TableText"/>
              <w:jc w:val="center"/>
            </w:pPr>
            <w:r w:rsidRPr="00642432">
              <w:t>0</w:t>
            </w:r>
          </w:p>
        </w:tc>
        <w:tc>
          <w:tcPr>
            <w:tcW w:w="783" w:type="dxa"/>
            <w:tcBorders>
              <w:top w:val="nil"/>
              <w:bottom w:val="nil"/>
            </w:tcBorders>
            <w:shd w:val="clear" w:color="auto" w:fill="F2F2F2" w:themeFill="background1" w:themeFillShade="F2"/>
          </w:tcPr>
          <w:p w:rsidR="004659AD" w:rsidRPr="00642432" w:rsidRDefault="004659AD" w:rsidP="00BC64B2">
            <w:pPr>
              <w:pStyle w:val="TableText"/>
              <w:jc w:val="center"/>
            </w:pPr>
            <w:r w:rsidRPr="00642432">
              <w:t>0</w:t>
            </w:r>
          </w:p>
        </w:tc>
        <w:tc>
          <w:tcPr>
            <w:tcW w:w="783" w:type="dxa"/>
            <w:tcBorders>
              <w:top w:val="nil"/>
              <w:bottom w:val="nil"/>
            </w:tcBorders>
            <w:shd w:val="clear" w:color="auto" w:fill="F2F2F2" w:themeFill="background1" w:themeFillShade="F2"/>
          </w:tcPr>
          <w:p w:rsidR="004659AD" w:rsidRPr="00642432" w:rsidRDefault="004659AD" w:rsidP="00BC64B2">
            <w:pPr>
              <w:pStyle w:val="TableText"/>
              <w:tabs>
                <w:tab w:val="decimal" w:pos="425"/>
              </w:tabs>
            </w:pPr>
            <w:r w:rsidRPr="00642432">
              <w:t>99</w:t>
            </w:r>
          </w:p>
        </w:tc>
      </w:tr>
      <w:tr w:rsidR="004659AD" w:rsidRPr="00642432" w:rsidTr="00BC64B2">
        <w:trPr>
          <w:cantSplit/>
        </w:trPr>
        <w:tc>
          <w:tcPr>
            <w:tcW w:w="2891" w:type="dxa"/>
            <w:tcBorders>
              <w:top w:val="nil"/>
            </w:tcBorders>
          </w:tcPr>
          <w:p w:rsidR="004659AD" w:rsidRPr="00642432" w:rsidRDefault="004659AD" w:rsidP="00BC64B2">
            <w:pPr>
              <w:pStyle w:val="TableText"/>
            </w:pPr>
            <w:r w:rsidRPr="00642432">
              <w:t>Total number of cases</w:t>
            </w:r>
          </w:p>
        </w:tc>
        <w:tc>
          <w:tcPr>
            <w:tcW w:w="782" w:type="dxa"/>
            <w:tcBorders>
              <w:top w:val="nil"/>
            </w:tcBorders>
          </w:tcPr>
          <w:p w:rsidR="004659AD" w:rsidRPr="00642432" w:rsidRDefault="004659AD" w:rsidP="00BC64B2">
            <w:pPr>
              <w:pStyle w:val="TableText"/>
              <w:tabs>
                <w:tab w:val="decimal" w:pos="425"/>
              </w:tabs>
            </w:pPr>
            <w:r w:rsidRPr="00642432">
              <w:t>194</w:t>
            </w:r>
          </w:p>
        </w:tc>
        <w:tc>
          <w:tcPr>
            <w:tcW w:w="783" w:type="dxa"/>
            <w:tcBorders>
              <w:top w:val="nil"/>
            </w:tcBorders>
          </w:tcPr>
          <w:p w:rsidR="004659AD" w:rsidRPr="00642432" w:rsidRDefault="004659AD" w:rsidP="00BC64B2">
            <w:pPr>
              <w:pStyle w:val="TableText"/>
              <w:tabs>
                <w:tab w:val="decimal" w:pos="425"/>
              </w:tabs>
            </w:pPr>
            <w:r w:rsidRPr="00642432">
              <w:t>12</w:t>
            </w:r>
          </w:p>
        </w:tc>
        <w:tc>
          <w:tcPr>
            <w:tcW w:w="782" w:type="dxa"/>
            <w:tcBorders>
              <w:top w:val="nil"/>
            </w:tcBorders>
          </w:tcPr>
          <w:p w:rsidR="004659AD" w:rsidRPr="00642432" w:rsidRDefault="004659AD" w:rsidP="00BC64B2">
            <w:pPr>
              <w:pStyle w:val="TableText"/>
              <w:jc w:val="center"/>
            </w:pPr>
            <w:r w:rsidRPr="00642432">
              <w:t>1</w:t>
            </w:r>
          </w:p>
        </w:tc>
        <w:tc>
          <w:tcPr>
            <w:tcW w:w="783" w:type="dxa"/>
            <w:tcBorders>
              <w:top w:val="nil"/>
            </w:tcBorders>
          </w:tcPr>
          <w:p w:rsidR="004659AD" w:rsidRPr="00642432" w:rsidRDefault="004659AD" w:rsidP="00BC64B2">
            <w:pPr>
              <w:pStyle w:val="TableText"/>
              <w:jc w:val="center"/>
            </w:pPr>
            <w:r w:rsidRPr="00642432">
              <w:t>0</w:t>
            </w:r>
          </w:p>
        </w:tc>
        <w:tc>
          <w:tcPr>
            <w:tcW w:w="783" w:type="dxa"/>
            <w:tcBorders>
              <w:top w:val="nil"/>
            </w:tcBorders>
          </w:tcPr>
          <w:p w:rsidR="004659AD" w:rsidRPr="00642432" w:rsidRDefault="004659AD" w:rsidP="00BC64B2">
            <w:pPr>
              <w:pStyle w:val="TableText"/>
              <w:tabs>
                <w:tab w:val="decimal" w:pos="425"/>
              </w:tabs>
            </w:pPr>
            <w:r w:rsidRPr="00642432">
              <w:t>207</w:t>
            </w:r>
          </w:p>
        </w:tc>
      </w:tr>
    </w:tbl>
    <w:p w:rsidR="004659AD" w:rsidRPr="00642432" w:rsidRDefault="004659AD" w:rsidP="002E6538">
      <w:pPr>
        <w:pStyle w:val="Source"/>
        <w:ind w:left="0" w:firstLine="0"/>
      </w:pPr>
      <w:r w:rsidRPr="00642432">
        <w:t>Source: Annual Report of Mental Health Review Tribunal, 1 July 2012 to 30 June 2013</w:t>
      </w:r>
      <w:r w:rsidR="002E6538">
        <w:t>.</w:t>
      </w:r>
    </w:p>
    <w:p w:rsidR="004659AD" w:rsidRPr="00642432" w:rsidRDefault="004659AD" w:rsidP="002E6538"/>
    <w:p w:rsidR="004659AD" w:rsidRPr="00642432" w:rsidRDefault="004659AD" w:rsidP="002E6538">
      <w:r w:rsidRPr="00642432">
        <w:t>During the year</w:t>
      </w:r>
      <w:r w:rsidR="00D32DDD" w:rsidRPr="00642432">
        <w:t xml:space="preserve"> </w:t>
      </w:r>
      <w:r w:rsidRPr="00642432">
        <w:t>ended 30 June 2013, the Tribunal heard 99 applications that had been received during the reporting year, and 9 applications held over</w:t>
      </w:r>
      <w:r w:rsidR="00D32DDD" w:rsidRPr="00642432">
        <w:t xml:space="preserve"> </w:t>
      </w:r>
      <w:r w:rsidRPr="00642432">
        <w:t>from the previous reporting year, under section 79 of the Mental Health Act. The results of those cases are reported in Table A2.</w:t>
      </w:r>
    </w:p>
    <w:p w:rsidR="004659AD" w:rsidRPr="00642432" w:rsidRDefault="004659AD" w:rsidP="002E6538"/>
    <w:p w:rsidR="004659AD" w:rsidRPr="00642432" w:rsidRDefault="004659AD" w:rsidP="002E6538">
      <w:pPr>
        <w:pStyle w:val="Table"/>
      </w:pPr>
      <w:bookmarkStart w:id="85" w:name="_Toc405113701"/>
      <w:r w:rsidRPr="00642432">
        <w:t>Table A2: Results of inquiries under section 79 of the Mental Health Act held by the Mental Health</w:t>
      </w:r>
      <w:r w:rsidR="002E6538">
        <w:t xml:space="preserve"> </w:t>
      </w:r>
      <w:r w:rsidRPr="00642432">
        <w:rPr>
          <w:rFonts w:asciiTheme="minorHAnsi" w:eastAsiaTheme="minorHAnsi" w:hAnsiTheme="minorHAnsi" w:cstheme="minorBidi"/>
          <w:noProof/>
          <w:szCs w:val="22"/>
          <w:lang w:eastAsia="en-NZ"/>
        </w:rPr>
        <mc:AlternateContent>
          <mc:Choice Requires="wpg">
            <w:drawing>
              <wp:anchor distT="0" distB="0" distL="114300" distR="114300" simplePos="0" relativeHeight="251973632" behindDoc="1" locked="0" layoutInCell="1" allowOverlap="1" wp14:anchorId="25117934" wp14:editId="2A638487">
                <wp:simplePos x="0" y="0"/>
                <wp:positionH relativeFrom="page">
                  <wp:posOffset>3354070</wp:posOffset>
                </wp:positionH>
                <wp:positionV relativeFrom="paragraph">
                  <wp:posOffset>248920</wp:posOffset>
                </wp:positionV>
                <wp:extent cx="1270" cy="231775"/>
                <wp:effectExtent l="1270" t="1270" r="698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31775"/>
                          <a:chOff x="5282" y="392"/>
                          <a:chExt cx="2" cy="365"/>
                        </a:xfrm>
                      </wpg:grpSpPr>
                      <wps:wsp>
                        <wps:cNvPr id="12" name="Freeform 5638"/>
                        <wps:cNvSpPr>
                          <a:spLocks/>
                        </wps:cNvSpPr>
                        <wps:spPr bwMode="auto">
                          <a:xfrm>
                            <a:off x="5282" y="392"/>
                            <a:ext cx="2" cy="365"/>
                          </a:xfrm>
                          <a:custGeom>
                            <a:avLst/>
                            <a:gdLst>
                              <a:gd name="T0" fmla="+- 0 392 392"/>
                              <a:gd name="T1" fmla="*/ 392 h 365"/>
                              <a:gd name="T2" fmla="+- 0 757 392"/>
                              <a:gd name="T3" fmla="*/ 757 h 365"/>
                              <a:gd name="T4" fmla="+- 0 392 392"/>
                              <a:gd name="T5" fmla="*/ 392 h 365"/>
                            </a:gdLst>
                            <a:ahLst/>
                            <a:cxnLst>
                              <a:cxn ang="0">
                                <a:pos x="0" y="T1"/>
                              </a:cxn>
                              <a:cxn ang="0">
                                <a:pos x="0" y="T3"/>
                              </a:cxn>
                              <a:cxn ang="0">
                                <a:pos x="0" y="T5"/>
                              </a:cxn>
                            </a:cxnLst>
                            <a:rect l="0" t="0" r="r" b="b"/>
                            <a:pathLst>
                              <a:path h="365">
                                <a:moveTo>
                                  <a:pt x="0" y="0"/>
                                </a:moveTo>
                                <a:lnTo>
                                  <a:pt x="0" y="365"/>
                                </a:lnTo>
                                <a:lnTo>
                                  <a:pt x="0" y="0"/>
                                </a:lnTo>
                              </a:path>
                            </a:pathLst>
                          </a:custGeom>
                          <a:solidFill>
                            <a:srgbClr val="CB5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7AA07" id="Group 11" o:spid="_x0000_s1026" style="position:absolute;margin-left:264.1pt;margin-top:19.6pt;width:.1pt;height:18.25pt;z-index:-251342848;mso-position-horizontal-relative:page" coordorigin="5282,392" coordsize="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">
                <v:shape id="Freeform 5638" o:spid="_x0000_s1027" style="position:absolute;left:5282;top:392;width:2;height:365;visibility:visible;mso-wrap-style:square;v-text-anchor:top" coordsize="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9HsIA&#10;AADbAAAADwAAAGRycy9kb3ducmV2LnhtbERPTWsCMRC9C/6HMEIvotkK2rI1ShEEe5Fqi+Bt2EyT&#10;6GaybKKu/74pFLzN433OfNn5WlypjS6wgudxAYK4CtqxUfD9tR69gogJWWMdmBTcKcJy0e/NsdTh&#10;xju67pMROYRjiQpsSk0pZawseYzj0BBn7ie0HlOGrZG6xVsO97WcFMVMenScGyw2tLJUnfcXr2BY&#10;T812uF65ozMvH6f4ebCz+0Gpp0H3/gYiUZce4n/3Ruf5E/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70ewgAAANsAAAAPAAAAAAAAAAAAAAAAAJgCAABkcnMvZG93&#10;bnJldi54bWxQSwUGAAAAAAQABAD1AAAAhwMAAAAA&#10;" path="m,l,365,,e" fillcolor="#cb5936" stroked="f">
                  <v:path arrowok="t" o:connecttype="custom" o:connectlocs="0,392;0,757;0,392" o:connectangles="0,0,0"/>
                </v:shape>
                <w10:wrap anchorx="page"/>
              </v:group>
            </w:pict>
          </mc:Fallback>
        </mc:AlternateContent>
      </w:r>
      <w:r w:rsidRPr="00642432">
        <w:t>Review Tribunal, 1 July 2012 to 30 June 2013</w:t>
      </w:r>
      <w:bookmarkEnd w:id="85"/>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176"/>
        <w:gridCol w:w="2628"/>
      </w:tblGrid>
      <w:tr w:rsidR="00F22755" w:rsidRPr="00F22755" w:rsidTr="00F22755">
        <w:trPr>
          <w:cantSplit/>
        </w:trPr>
        <w:tc>
          <w:tcPr>
            <w:tcW w:w="4176" w:type="dxa"/>
            <w:tcBorders>
              <w:top w:val="single" w:sz="4" w:space="0" w:color="auto"/>
              <w:bottom w:val="single" w:sz="4" w:space="0" w:color="auto"/>
            </w:tcBorders>
            <w:shd w:val="clear" w:color="auto" w:fill="F2F2F2" w:themeFill="background1" w:themeFillShade="F2"/>
          </w:tcPr>
          <w:p w:rsidR="00F22755" w:rsidRPr="00F22755" w:rsidRDefault="00F22755" w:rsidP="00F22755">
            <w:pPr>
              <w:pStyle w:val="TableText"/>
              <w:rPr>
                <w:b/>
              </w:rPr>
            </w:pPr>
            <w:r w:rsidRPr="00F22755">
              <w:rPr>
                <w:b/>
              </w:rPr>
              <w:t>Result of Mental Health Act section 79 inquiry</w:t>
            </w:r>
          </w:p>
        </w:tc>
        <w:tc>
          <w:tcPr>
            <w:tcW w:w="2628" w:type="dxa"/>
            <w:tcBorders>
              <w:top w:val="single" w:sz="4" w:space="0" w:color="auto"/>
              <w:bottom w:val="single" w:sz="4" w:space="0" w:color="auto"/>
            </w:tcBorders>
            <w:shd w:val="clear" w:color="auto" w:fill="F2F2F2" w:themeFill="background1" w:themeFillShade="F2"/>
          </w:tcPr>
          <w:p w:rsidR="00F22755" w:rsidRPr="00F22755" w:rsidRDefault="00F22755" w:rsidP="00F22755">
            <w:pPr>
              <w:pStyle w:val="TableText"/>
              <w:jc w:val="center"/>
              <w:rPr>
                <w:b/>
              </w:rPr>
            </w:pPr>
            <w:r w:rsidRPr="00F22755">
              <w:rPr>
                <w:b/>
              </w:rPr>
              <w:t>Number of cases</w:t>
            </w:r>
          </w:p>
        </w:tc>
      </w:tr>
      <w:tr w:rsidR="004659AD" w:rsidRPr="00642432" w:rsidTr="00F22755">
        <w:trPr>
          <w:cantSplit/>
        </w:trPr>
        <w:tc>
          <w:tcPr>
            <w:tcW w:w="4176" w:type="dxa"/>
            <w:tcBorders>
              <w:top w:val="single" w:sz="4" w:space="0" w:color="auto"/>
              <w:bottom w:val="nil"/>
            </w:tcBorders>
          </w:tcPr>
          <w:p w:rsidR="004659AD" w:rsidRPr="00642432" w:rsidRDefault="004659AD" w:rsidP="00F22755">
            <w:pPr>
              <w:pStyle w:val="TableText"/>
            </w:pPr>
            <w:r w:rsidRPr="00642432">
              <w:t>Not fit to be released from compulsory status</w:t>
            </w:r>
          </w:p>
        </w:tc>
        <w:tc>
          <w:tcPr>
            <w:tcW w:w="2628" w:type="dxa"/>
            <w:tcBorders>
              <w:top w:val="single" w:sz="4" w:space="0" w:color="auto"/>
              <w:bottom w:val="nil"/>
            </w:tcBorders>
          </w:tcPr>
          <w:p w:rsidR="004659AD" w:rsidRPr="00642432" w:rsidRDefault="004659AD" w:rsidP="00F22755">
            <w:pPr>
              <w:pStyle w:val="TableText"/>
              <w:tabs>
                <w:tab w:val="decimal" w:pos="1437"/>
              </w:tabs>
            </w:pPr>
            <w:r w:rsidRPr="00642432">
              <w:t>97</w:t>
            </w:r>
          </w:p>
        </w:tc>
      </w:tr>
      <w:tr w:rsidR="004659AD" w:rsidRPr="00642432" w:rsidTr="00F22755">
        <w:trPr>
          <w:cantSplit/>
        </w:trPr>
        <w:tc>
          <w:tcPr>
            <w:tcW w:w="4176" w:type="dxa"/>
            <w:tcBorders>
              <w:top w:val="nil"/>
              <w:bottom w:val="nil"/>
            </w:tcBorders>
            <w:shd w:val="clear" w:color="auto" w:fill="F2F2F2" w:themeFill="background1" w:themeFillShade="F2"/>
          </w:tcPr>
          <w:p w:rsidR="004659AD" w:rsidRPr="00642432" w:rsidRDefault="004659AD" w:rsidP="00F22755">
            <w:pPr>
              <w:pStyle w:val="TableText"/>
            </w:pPr>
            <w:r w:rsidRPr="00642432">
              <w:t>Fit to be released from compulsory status</w:t>
            </w:r>
          </w:p>
        </w:tc>
        <w:tc>
          <w:tcPr>
            <w:tcW w:w="2628" w:type="dxa"/>
            <w:tcBorders>
              <w:top w:val="nil"/>
              <w:bottom w:val="nil"/>
            </w:tcBorders>
            <w:shd w:val="clear" w:color="auto" w:fill="F2F2F2" w:themeFill="background1" w:themeFillShade="F2"/>
          </w:tcPr>
          <w:p w:rsidR="004659AD" w:rsidRPr="00642432" w:rsidRDefault="004659AD" w:rsidP="00F22755">
            <w:pPr>
              <w:pStyle w:val="TableText"/>
              <w:tabs>
                <w:tab w:val="decimal" w:pos="1437"/>
              </w:tabs>
            </w:pPr>
            <w:r w:rsidRPr="00642432">
              <w:t>5</w:t>
            </w:r>
          </w:p>
        </w:tc>
      </w:tr>
      <w:tr w:rsidR="004659AD" w:rsidRPr="00642432" w:rsidTr="00F22755">
        <w:trPr>
          <w:cantSplit/>
        </w:trPr>
        <w:tc>
          <w:tcPr>
            <w:tcW w:w="4176" w:type="dxa"/>
            <w:tcBorders>
              <w:top w:val="nil"/>
            </w:tcBorders>
          </w:tcPr>
          <w:p w:rsidR="004659AD" w:rsidRPr="00642432" w:rsidRDefault="004659AD" w:rsidP="00F22755">
            <w:pPr>
              <w:pStyle w:val="TableText"/>
            </w:pPr>
            <w:r w:rsidRPr="00642432">
              <w:t>Total</w:t>
            </w:r>
          </w:p>
        </w:tc>
        <w:tc>
          <w:tcPr>
            <w:tcW w:w="2628" w:type="dxa"/>
            <w:tcBorders>
              <w:top w:val="nil"/>
            </w:tcBorders>
          </w:tcPr>
          <w:p w:rsidR="004659AD" w:rsidRPr="00642432" w:rsidRDefault="004659AD" w:rsidP="00F22755">
            <w:pPr>
              <w:pStyle w:val="TableText"/>
              <w:tabs>
                <w:tab w:val="decimal" w:pos="1437"/>
              </w:tabs>
            </w:pPr>
            <w:r w:rsidRPr="00642432">
              <w:t>102</w:t>
            </w:r>
          </w:p>
        </w:tc>
      </w:tr>
    </w:tbl>
    <w:p w:rsidR="004659AD" w:rsidRPr="00642432" w:rsidRDefault="004659AD" w:rsidP="002E6538">
      <w:pPr>
        <w:pStyle w:val="Source"/>
        <w:ind w:left="0" w:firstLine="0"/>
      </w:pPr>
      <w:r w:rsidRPr="00642432">
        <w:t>Source: Annual Report of Mental Health Review Tribunal, 1 July 2012 to 30 June 2013</w:t>
      </w:r>
      <w:r w:rsidR="002E6538">
        <w:t>.</w:t>
      </w:r>
    </w:p>
    <w:p w:rsidR="004659AD" w:rsidRPr="00642432" w:rsidRDefault="004659AD" w:rsidP="002E6538"/>
    <w:p w:rsidR="004659AD" w:rsidRPr="00642432" w:rsidRDefault="004659AD" w:rsidP="002E6538">
      <w:r w:rsidRPr="00642432">
        <w:t>Table A3 shows the ethnicity of the 176 people for whom ethnicity was identified in an application to the Tribunal in the year</w:t>
      </w:r>
      <w:r w:rsidR="00D32DDD" w:rsidRPr="00642432">
        <w:t xml:space="preserve"> </w:t>
      </w:r>
      <w:r w:rsidRPr="00642432">
        <w:t>ended 30 June 2013.</w:t>
      </w:r>
    </w:p>
    <w:p w:rsidR="004659AD" w:rsidRPr="00642432" w:rsidRDefault="004659AD" w:rsidP="002E6538"/>
    <w:p w:rsidR="004659AD" w:rsidRPr="00642432" w:rsidRDefault="004659AD" w:rsidP="002E6538">
      <w:pPr>
        <w:pStyle w:val="Table"/>
      </w:pPr>
      <w:bookmarkStart w:id="86" w:name="_Toc405113702"/>
      <w:r w:rsidRPr="00642432">
        <w:rPr>
          <w:rFonts w:asciiTheme="minorHAnsi" w:eastAsiaTheme="minorHAnsi" w:hAnsiTheme="minorHAnsi" w:cstheme="minorBidi"/>
          <w:noProof/>
          <w:szCs w:val="22"/>
          <w:lang w:eastAsia="en-NZ"/>
        </w:rPr>
        <mc:AlternateContent>
          <mc:Choice Requires="wpg">
            <w:drawing>
              <wp:anchor distT="0" distB="0" distL="114300" distR="114300" simplePos="0" relativeHeight="251974656" behindDoc="1" locked="0" layoutInCell="1" allowOverlap="1" wp14:anchorId="14A52D4B" wp14:editId="1FC752F1">
                <wp:simplePos x="0" y="0"/>
                <wp:positionH relativeFrom="page">
                  <wp:posOffset>1661795</wp:posOffset>
                </wp:positionH>
                <wp:positionV relativeFrom="paragraph">
                  <wp:posOffset>387985</wp:posOffset>
                </wp:positionV>
                <wp:extent cx="1270" cy="194945"/>
                <wp:effectExtent l="4445" t="0" r="381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4945"/>
                          <a:chOff x="2617" y="611"/>
                          <a:chExt cx="2" cy="307"/>
                        </a:xfrm>
                      </wpg:grpSpPr>
                      <wps:wsp>
                        <wps:cNvPr id="10" name="Freeform 5640"/>
                        <wps:cNvSpPr>
                          <a:spLocks/>
                        </wps:cNvSpPr>
                        <wps:spPr bwMode="auto">
                          <a:xfrm>
                            <a:off x="2617" y="611"/>
                            <a:ext cx="2" cy="307"/>
                          </a:xfrm>
                          <a:custGeom>
                            <a:avLst/>
                            <a:gdLst>
                              <a:gd name="T0" fmla="+- 0 611 611"/>
                              <a:gd name="T1" fmla="*/ 611 h 307"/>
                              <a:gd name="T2" fmla="+- 0 918 611"/>
                              <a:gd name="T3" fmla="*/ 918 h 307"/>
                              <a:gd name="T4" fmla="+- 0 611 611"/>
                              <a:gd name="T5" fmla="*/ 611 h 307"/>
                            </a:gdLst>
                            <a:ahLst/>
                            <a:cxnLst>
                              <a:cxn ang="0">
                                <a:pos x="0" y="T1"/>
                              </a:cxn>
                              <a:cxn ang="0">
                                <a:pos x="0" y="T3"/>
                              </a:cxn>
                              <a:cxn ang="0">
                                <a:pos x="0" y="T5"/>
                              </a:cxn>
                            </a:cxnLst>
                            <a:rect l="0" t="0" r="r" b="b"/>
                            <a:pathLst>
                              <a:path h="307">
                                <a:moveTo>
                                  <a:pt x="0" y="0"/>
                                </a:moveTo>
                                <a:lnTo>
                                  <a:pt x="0" y="307"/>
                                </a:lnTo>
                                <a:lnTo>
                                  <a:pt x="0" y="0"/>
                                </a:lnTo>
                              </a:path>
                            </a:pathLst>
                          </a:custGeom>
                          <a:solidFill>
                            <a:srgbClr val="CB5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5C301" id="Group 9" o:spid="_x0000_s1026" style="position:absolute;margin-left:130.85pt;margin-top:30.55pt;width:.1pt;height:15.35pt;z-index:-251341824;mso-position-horizontal-relative:page" coordorigin="2617,611" coordsize="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">
                <v:shape id="Freeform 5640" o:spid="_x0000_s1027" style="position:absolute;left:2617;top:611;width:2;height:307;visibility:visible;mso-wrap-style:square;v-text-anchor:top" coordsize="2,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g78QA&#10;AADbAAAADwAAAGRycy9kb3ducmV2LnhtbESPQW/CMAyF75P4D5EncZlGOiSm0REQYiBx2WEw7l5j&#10;2orEKU0o5d/PByRutt7ze59ni9471VEb68AG3kYZKOIi2JpLA7/7zesHqJiQLbrAZOBGERbzwdMM&#10;cxuu/EPdLpVKQjjmaKBKqcm1jkVFHuMoNMSiHUPrMcnaltq2eJVw7/Q4y961x5qlocKGVhUVp93F&#10;G1i67/VxuxpPpqes4/7r5bD/Oztjhs/98hNUoj49zPfrrRV8oZdfZAA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oO/EAAAA2wAAAA8AAAAAAAAAAAAAAAAAmAIAAGRycy9k&#10;b3ducmV2LnhtbFBLBQYAAAAABAAEAPUAAACJAwAAAAA=&#10;" path="m,l,307,,e" fillcolor="#cb5936" stroked="f">
                  <v:path arrowok="t" o:connecttype="custom" o:connectlocs="0,611;0,918;0,611" o:connectangles="0,0,0"/>
                </v:shape>
                <w10:wrap anchorx="page"/>
              </v:group>
            </w:pict>
          </mc:Fallback>
        </mc:AlternateContent>
      </w:r>
      <w:r w:rsidRPr="00642432">
        <w:t>Table A3: Ethnicity of people who identified their ethnicity in Mental Health Review Tribunal applications, 1 July 2012 to 30 June 2013</w:t>
      </w:r>
      <w:bookmarkEnd w:id="86"/>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843"/>
        <w:gridCol w:w="1417"/>
        <w:gridCol w:w="1418"/>
      </w:tblGrid>
      <w:tr w:rsidR="00C46DD0" w:rsidRPr="00C46DD0" w:rsidTr="00C46DD0">
        <w:trPr>
          <w:cantSplit/>
        </w:trPr>
        <w:tc>
          <w:tcPr>
            <w:tcW w:w="1843" w:type="dxa"/>
            <w:tcBorders>
              <w:top w:val="single" w:sz="4" w:space="0" w:color="auto"/>
              <w:bottom w:val="single" w:sz="4" w:space="0" w:color="auto"/>
            </w:tcBorders>
            <w:shd w:val="clear" w:color="auto" w:fill="F2F2F2" w:themeFill="background1" w:themeFillShade="F2"/>
          </w:tcPr>
          <w:p w:rsidR="00C46DD0" w:rsidRPr="00C46DD0" w:rsidRDefault="00C46DD0" w:rsidP="00C46DD0">
            <w:pPr>
              <w:pStyle w:val="TableText"/>
              <w:keepNext/>
              <w:rPr>
                <w:b/>
              </w:rPr>
            </w:pPr>
            <w:r w:rsidRPr="00C46DD0">
              <w:rPr>
                <w:b/>
              </w:rPr>
              <w:t>Ethnicity</w:t>
            </w:r>
          </w:p>
        </w:tc>
        <w:tc>
          <w:tcPr>
            <w:tcW w:w="1417" w:type="dxa"/>
            <w:tcBorders>
              <w:top w:val="single" w:sz="4" w:space="0" w:color="auto"/>
              <w:bottom w:val="single" w:sz="4" w:space="0" w:color="auto"/>
            </w:tcBorders>
            <w:shd w:val="clear" w:color="auto" w:fill="F2F2F2" w:themeFill="background1" w:themeFillShade="F2"/>
          </w:tcPr>
          <w:p w:rsidR="00C46DD0" w:rsidRPr="00C46DD0" w:rsidRDefault="00C46DD0" w:rsidP="00C46DD0">
            <w:pPr>
              <w:pStyle w:val="TableText"/>
              <w:keepNext/>
              <w:jc w:val="center"/>
              <w:rPr>
                <w:b/>
              </w:rPr>
            </w:pPr>
            <w:r w:rsidRPr="00C46DD0">
              <w:rPr>
                <w:b/>
              </w:rPr>
              <w:t>Number</w:t>
            </w:r>
          </w:p>
        </w:tc>
        <w:tc>
          <w:tcPr>
            <w:tcW w:w="1418" w:type="dxa"/>
            <w:tcBorders>
              <w:top w:val="single" w:sz="4" w:space="0" w:color="auto"/>
              <w:bottom w:val="single" w:sz="4" w:space="0" w:color="auto"/>
            </w:tcBorders>
            <w:shd w:val="clear" w:color="auto" w:fill="F2F2F2" w:themeFill="background1" w:themeFillShade="F2"/>
          </w:tcPr>
          <w:p w:rsidR="00C46DD0" w:rsidRPr="00C46DD0" w:rsidRDefault="00C46DD0" w:rsidP="00C46DD0">
            <w:pPr>
              <w:pStyle w:val="TableText"/>
              <w:keepNext/>
              <w:jc w:val="center"/>
              <w:rPr>
                <w:b/>
              </w:rPr>
            </w:pPr>
            <w:r w:rsidRPr="00C46DD0">
              <w:rPr>
                <w:b/>
              </w:rPr>
              <w:t>Percentage</w:t>
            </w:r>
          </w:p>
        </w:tc>
      </w:tr>
      <w:tr w:rsidR="004659AD" w:rsidRPr="00642432" w:rsidTr="00C46DD0">
        <w:trPr>
          <w:cantSplit/>
        </w:trPr>
        <w:tc>
          <w:tcPr>
            <w:tcW w:w="1843" w:type="dxa"/>
            <w:tcBorders>
              <w:top w:val="single" w:sz="4" w:space="0" w:color="auto"/>
              <w:bottom w:val="nil"/>
            </w:tcBorders>
          </w:tcPr>
          <w:p w:rsidR="004659AD" w:rsidRPr="00642432" w:rsidRDefault="004659AD" w:rsidP="00C46DD0">
            <w:pPr>
              <w:pStyle w:val="TableText"/>
              <w:keepNext/>
            </w:pPr>
            <w:r w:rsidRPr="00642432">
              <w:t>NZ European</w:t>
            </w:r>
          </w:p>
        </w:tc>
        <w:tc>
          <w:tcPr>
            <w:tcW w:w="1417" w:type="dxa"/>
            <w:tcBorders>
              <w:top w:val="single" w:sz="4" w:space="0" w:color="auto"/>
              <w:bottom w:val="nil"/>
            </w:tcBorders>
          </w:tcPr>
          <w:p w:rsidR="004659AD" w:rsidRPr="00642432" w:rsidRDefault="004659AD" w:rsidP="00C46DD0">
            <w:pPr>
              <w:pStyle w:val="TableText"/>
              <w:keepNext/>
              <w:tabs>
                <w:tab w:val="decimal" w:pos="797"/>
              </w:tabs>
            </w:pPr>
            <w:r w:rsidRPr="00642432">
              <w:t>119</w:t>
            </w:r>
          </w:p>
        </w:tc>
        <w:tc>
          <w:tcPr>
            <w:tcW w:w="1418" w:type="dxa"/>
            <w:tcBorders>
              <w:top w:val="single" w:sz="4" w:space="0" w:color="auto"/>
              <w:bottom w:val="nil"/>
            </w:tcBorders>
          </w:tcPr>
          <w:p w:rsidR="004659AD" w:rsidRPr="00642432" w:rsidRDefault="004659AD" w:rsidP="00C46DD0">
            <w:pPr>
              <w:pStyle w:val="TableText"/>
              <w:keepNext/>
              <w:tabs>
                <w:tab w:val="decimal" w:pos="794"/>
              </w:tabs>
            </w:pPr>
            <w:r w:rsidRPr="00642432">
              <w:t>68</w:t>
            </w:r>
          </w:p>
        </w:tc>
      </w:tr>
      <w:tr w:rsidR="004659AD" w:rsidRPr="00642432" w:rsidTr="00C46DD0">
        <w:trPr>
          <w:cantSplit/>
        </w:trPr>
        <w:tc>
          <w:tcPr>
            <w:tcW w:w="1843" w:type="dxa"/>
            <w:tcBorders>
              <w:top w:val="nil"/>
              <w:bottom w:val="nil"/>
            </w:tcBorders>
            <w:shd w:val="clear" w:color="auto" w:fill="F2F2F2" w:themeFill="background1" w:themeFillShade="F2"/>
          </w:tcPr>
          <w:p w:rsidR="004659AD" w:rsidRPr="00642432" w:rsidRDefault="004659AD" w:rsidP="00C46DD0">
            <w:pPr>
              <w:pStyle w:val="TableText"/>
              <w:keepNext/>
            </w:pPr>
            <w:r w:rsidRPr="00642432">
              <w:t>Māori</w:t>
            </w:r>
          </w:p>
        </w:tc>
        <w:tc>
          <w:tcPr>
            <w:tcW w:w="1417" w:type="dxa"/>
            <w:tcBorders>
              <w:top w:val="nil"/>
              <w:bottom w:val="nil"/>
            </w:tcBorders>
            <w:shd w:val="clear" w:color="auto" w:fill="F2F2F2" w:themeFill="background1" w:themeFillShade="F2"/>
          </w:tcPr>
          <w:p w:rsidR="004659AD" w:rsidRPr="00642432" w:rsidRDefault="004659AD" w:rsidP="00C46DD0">
            <w:pPr>
              <w:pStyle w:val="TableText"/>
              <w:keepNext/>
              <w:tabs>
                <w:tab w:val="decimal" w:pos="797"/>
              </w:tabs>
            </w:pPr>
            <w:r w:rsidRPr="00642432">
              <w:t>40</w:t>
            </w:r>
          </w:p>
        </w:tc>
        <w:tc>
          <w:tcPr>
            <w:tcW w:w="1418" w:type="dxa"/>
            <w:tcBorders>
              <w:top w:val="nil"/>
              <w:bottom w:val="nil"/>
            </w:tcBorders>
            <w:shd w:val="clear" w:color="auto" w:fill="F2F2F2" w:themeFill="background1" w:themeFillShade="F2"/>
          </w:tcPr>
          <w:p w:rsidR="004659AD" w:rsidRPr="00642432" w:rsidRDefault="004659AD" w:rsidP="00C46DD0">
            <w:pPr>
              <w:pStyle w:val="TableText"/>
              <w:keepNext/>
              <w:tabs>
                <w:tab w:val="decimal" w:pos="794"/>
              </w:tabs>
            </w:pPr>
            <w:r w:rsidRPr="00642432">
              <w:t>23</w:t>
            </w:r>
          </w:p>
        </w:tc>
      </w:tr>
      <w:tr w:rsidR="004659AD" w:rsidRPr="00642432" w:rsidTr="00C46DD0">
        <w:trPr>
          <w:cantSplit/>
        </w:trPr>
        <w:tc>
          <w:tcPr>
            <w:tcW w:w="1843" w:type="dxa"/>
            <w:tcBorders>
              <w:top w:val="nil"/>
              <w:bottom w:val="nil"/>
            </w:tcBorders>
          </w:tcPr>
          <w:p w:rsidR="004659AD" w:rsidRPr="00642432" w:rsidRDefault="004659AD" w:rsidP="00C46DD0">
            <w:pPr>
              <w:pStyle w:val="TableText"/>
            </w:pPr>
            <w:r w:rsidRPr="00642432">
              <w:t>Pacific</w:t>
            </w:r>
          </w:p>
        </w:tc>
        <w:tc>
          <w:tcPr>
            <w:tcW w:w="1417" w:type="dxa"/>
            <w:tcBorders>
              <w:top w:val="nil"/>
              <w:bottom w:val="nil"/>
            </w:tcBorders>
          </w:tcPr>
          <w:p w:rsidR="004659AD" w:rsidRPr="00642432" w:rsidRDefault="004659AD" w:rsidP="00C46DD0">
            <w:pPr>
              <w:pStyle w:val="TableText"/>
              <w:tabs>
                <w:tab w:val="decimal" w:pos="797"/>
              </w:tabs>
            </w:pPr>
            <w:r w:rsidRPr="00642432">
              <w:t>6</w:t>
            </w:r>
          </w:p>
        </w:tc>
        <w:tc>
          <w:tcPr>
            <w:tcW w:w="1418" w:type="dxa"/>
            <w:tcBorders>
              <w:top w:val="nil"/>
              <w:bottom w:val="nil"/>
            </w:tcBorders>
          </w:tcPr>
          <w:p w:rsidR="004659AD" w:rsidRPr="00642432" w:rsidRDefault="004659AD" w:rsidP="00C46DD0">
            <w:pPr>
              <w:pStyle w:val="TableText"/>
              <w:tabs>
                <w:tab w:val="decimal" w:pos="794"/>
              </w:tabs>
            </w:pPr>
            <w:r w:rsidRPr="00642432">
              <w:t>3</w:t>
            </w:r>
          </w:p>
        </w:tc>
      </w:tr>
      <w:tr w:rsidR="004659AD" w:rsidRPr="00642432" w:rsidTr="00C46DD0">
        <w:trPr>
          <w:cantSplit/>
        </w:trPr>
        <w:tc>
          <w:tcPr>
            <w:tcW w:w="1843" w:type="dxa"/>
            <w:tcBorders>
              <w:top w:val="nil"/>
              <w:bottom w:val="nil"/>
            </w:tcBorders>
            <w:shd w:val="clear" w:color="auto" w:fill="F2F2F2" w:themeFill="background1" w:themeFillShade="F2"/>
          </w:tcPr>
          <w:p w:rsidR="004659AD" w:rsidRPr="00642432" w:rsidRDefault="004659AD" w:rsidP="00C46DD0">
            <w:pPr>
              <w:pStyle w:val="TableText"/>
            </w:pPr>
            <w:r w:rsidRPr="00642432">
              <w:t>Asian</w:t>
            </w:r>
          </w:p>
        </w:tc>
        <w:tc>
          <w:tcPr>
            <w:tcW w:w="1417" w:type="dxa"/>
            <w:tcBorders>
              <w:top w:val="nil"/>
              <w:bottom w:val="nil"/>
            </w:tcBorders>
            <w:shd w:val="clear" w:color="auto" w:fill="F2F2F2" w:themeFill="background1" w:themeFillShade="F2"/>
          </w:tcPr>
          <w:p w:rsidR="004659AD" w:rsidRPr="00642432" w:rsidRDefault="004659AD" w:rsidP="00C46DD0">
            <w:pPr>
              <w:pStyle w:val="TableText"/>
              <w:tabs>
                <w:tab w:val="decimal" w:pos="797"/>
              </w:tabs>
            </w:pPr>
            <w:r w:rsidRPr="00642432">
              <w:t>4</w:t>
            </w:r>
          </w:p>
        </w:tc>
        <w:tc>
          <w:tcPr>
            <w:tcW w:w="1418" w:type="dxa"/>
            <w:tcBorders>
              <w:top w:val="nil"/>
              <w:bottom w:val="nil"/>
            </w:tcBorders>
            <w:shd w:val="clear" w:color="auto" w:fill="F2F2F2" w:themeFill="background1" w:themeFillShade="F2"/>
          </w:tcPr>
          <w:p w:rsidR="004659AD" w:rsidRPr="00642432" w:rsidRDefault="004659AD" w:rsidP="00C46DD0">
            <w:pPr>
              <w:pStyle w:val="TableText"/>
              <w:tabs>
                <w:tab w:val="decimal" w:pos="794"/>
              </w:tabs>
            </w:pPr>
            <w:r w:rsidRPr="00642432">
              <w:t>2</w:t>
            </w:r>
          </w:p>
        </w:tc>
      </w:tr>
      <w:tr w:rsidR="004659AD" w:rsidRPr="00642432" w:rsidTr="00C46DD0">
        <w:trPr>
          <w:cantSplit/>
        </w:trPr>
        <w:tc>
          <w:tcPr>
            <w:tcW w:w="1843" w:type="dxa"/>
            <w:tcBorders>
              <w:top w:val="nil"/>
              <w:bottom w:val="nil"/>
            </w:tcBorders>
          </w:tcPr>
          <w:p w:rsidR="004659AD" w:rsidRPr="00642432" w:rsidRDefault="004659AD" w:rsidP="00C46DD0">
            <w:pPr>
              <w:pStyle w:val="TableText"/>
            </w:pPr>
            <w:r w:rsidRPr="00642432">
              <w:t>Other</w:t>
            </w:r>
          </w:p>
        </w:tc>
        <w:tc>
          <w:tcPr>
            <w:tcW w:w="1417" w:type="dxa"/>
            <w:tcBorders>
              <w:top w:val="nil"/>
              <w:bottom w:val="nil"/>
            </w:tcBorders>
          </w:tcPr>
          <w:p w:rsidR="004659AD" w:rsidRPr="00642432" w:rsidRDefault="004659AD" w:rsidP="00C46DD0">
            <w:pPr>
              <w:pStyle w:val="TableText"/>
              <w:tabs>
                <w:tab w:val="decimal" w:pos="797"/>
              </w:tabs>
            </w:pPr>
            <w:r w:rsidRPr="00642432">
              <w:t>7</w:t>
            </w:r>
          </w:p>
        </w:tc>
        <w:tc>
          <w:tcPr>
            <w:tcW w:w="1418" w:type="dxa"/>
            <w:tcBorders>
              <w:top w:val="nil"/>
              <w:bottom w:val="nil"/>
            </w:tcBorders>
          </w:tcPr>
          <w:p w:rsidR="004659AD" w:rsidRPr="00642432" w:rsidRDefault="004659AD" w:rsidP="00C46DD0">
            <w:pPr>
              <w:pStyle w:val="TableText"/>
              <w:tabs>
                <w:tab w:val="decimal" w:pos="794"/>
              </w:tabs>
            </w:pPr>
            <w:r w:rsidRPr="00642432">
              <w:t>4</w:t>
            </w:r>
          </w:p>
        </w:tc>
      </w:tr>
      <w:tr w:rsidR="004659AD" w:rsidRPr="00642432" w:rsidTr="00C46DD0">
        <w:trPr>
          <w:cantSplit/>
        </w:trPr>
        <w:tc>
          <w:tcPr>
            <w:tcW w:w="1843" w:type="dxa"/>
            <w:tcBorders>
              <w:top w:val="nil"/>
              <w:bottom w:val="single" w:sz="4" w:space="0" w:color="auto"/>
            </w:tcBorders>
            <w:shd w:val="clear" w:color="auto" w:fill="F2F2F2" w:themeFill="background1" w:themeFillShade="F2"/>
          </w:tcPr>
          <w:p w:rsidR="004659AD" w:rsidRPr="00642432" w:rsidRDefault="004659AD" w:rsidP="00C46DD0">
            <w:pPr>
              <w:pStyle w:val="TableText"/>
            </w:pPr>
            <w:r w:rsidRPr="00642432">
              <w:t>Total</w:t>
            </w:r>
          </w:p>
        </w:tc>
        <w:tc>
          <w:tcPr>
            <w:tcW w:w="1417" w:type="dxa"/>
            <w:tcBorders>
              <w:top w:val="nil"/>
              <w:bottom w:val="single" w:sz="4" w:space="0" w:color="auto"/>
            </w:tcBorders>
            <w:shd w:val="clear" w:color="auto" w:fill="F2F2F2" w:themeFill="background1" w:themeFillShade="F2"/>
          </w:tcPr>
          <w:p w:rsidR="004659AD" w:rsidRPr="00642432" w:rsidRDefault="004659AD" w:rsidP="00C46DD0">
            <w:pPr>
              <w:pStyle w:val="TableText"/>
              <w:tabs>
                <w:tab w:val="decimal" w:pos="797"/>
              </w:tabs>
            </w:pPr>
            <w:r w:rsidRPr="00642432">
              <w:t>176</w:t>
            </w:r>
          </w:p>
        </w:tc>
        <w:tc>
          <w:tcPr>
            <w:tcW w:w="1418" w:type="dxa"/>
            <w:tcBorders>
              <w:top w:val="nil"/>
              <w:bottom w:val="single" w:sz="4" w:space="0" w:color="auto"/>
            </w:tcBorders>
            <w:shd w:val="clear" w:color="auto" w:fill="F2F2F2" w:themeFill="background1" w:themeFillShade="F2"/>
          </w:tcPr>
          <w:p w:rsidR="004659AD" w:rsidRPr="00642432" w:rsidRDefault="004659AD" w:rsidP="00C46DD0">
            <w:pPr>
              <w:pStyle w:val="TableText"/>
              <w:tabs>
                <w:tab w:val="decimal" w:pos="794"/>
              </w:tabs>
            </w:pPr>
            <w:r w:rsidRPr="00642432">
              <w:t>100</w:t>
            </w:r>
          </w:p>
        </w:tc>
      </w:tr>
    </w:tbl>
    <w:p w:rsidR="004659AD" w:rsidRPr="00642432" w:rsidRDefault="004659AD" w:rsidP="00D77048">
      <w:pPr>
        <w:pStyle w:val="Source"/>
        <w:ind w:left="0" w:right="4678" w:firstLine="0"/>
      </w:pPr>
      <w:r w:rsidRPr="00642432">
        <w:t>Source: Annual Report of Mental Health Review Tribunal, 1</w:t>
      </w:r>
      <w:r w:rsidR="00D77048">
        <w:t> </w:t>
      </w:r>
      <w:r w:rsidRPr="00642432">
        <w:t>July 2012 to 30 June 2013</w:t>
      </w:r>
      <w:r w:rsidR="002E6538">
        <w:t>.</w:t>
      </w:r>
    </w:p>
    <w:p w:rsidR="004659AD" w:rsidRPr="00642432" w:rsidRDefault="004659AD" w:rsidP="002E6538"/>
    <w:p w:rsidR="004659AD" w:rsidRPr="00642432" w:rsidRDefault="004659AD" w:rsidP="002E6538">
      <w:r w:rsidRPr="00642432">
        <w:t>Of the 207 Mental Health Act applications received by the Tribunal during the year</w:t>
      </w:r>
      <w:r w:rsidR="00D32DDD" w:rsidRPr="00642432">
        <w:t xml:space="preserve"> </w:t>
      </w:r>
      <w:r w:rsidRPr="00642432">
        <w:t>ended 30 June</w:t>
      </w:r>
      <w:r w:rsidR="002E6538">
        <w:t xml:space="preserve"> </w:t>
      </w:r>
      <w:r w:rsidRPr="00642432">
        <w:t>2013, 126 (61%) were</w:t>
      </w:r>
      <w:r w:rsidR="00D32DDD" w:rsidRPr="00642432">
        <w:t xml:space="preserve"> </w:t>
      </w:r>
      <w:r w:rsidRPr="00642432">
        <w:t>from males and 81(39%) from females. These gender figures are broken down in</w:t>
      </w:r>
      <w:r w:rsidR="002E6538">
        <w:t xml:space="preserve"> </w:t>
      </w:r>
      <w:r w:rsidRPr="00642432">
        <w:t>Table A4.</w:t>
      </w:r>
    </w:p>
    <w:p w:rsidR="004659AD" w:rsidRPr="00642432" w:rsidRDefault="004659AD" w:rsidP="002E6538"/>
    <w:p w:rsidR="004659AD" w:rsidRPr="00642432" w:rsidRDefault="004659AD" w:rsidP="002E6538">
      <w:pPr>
        <w:pStyle w:val="Table"/>
      </w:pPr>
      <w:bookmarkStart w:id="87" w:name="_Toc405113703"/>
      <w:r w:rsidRPr="00642432">
        <w:t>Table A4: Gender of people making Mental Health Review Tribunal applications, 1 July 2012 to</w:t>
      </w:r>
      <w:r w:rsidR="002E6538">
        <w:t xml:space="preserve"> </w:t>
      </w:r>
      <w:r w:rsidRPr="00642432">
        <w:t>30 June 2013</w:t>
      </w:r>
      <w:bookmarkEnd w:id="87"/>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5245"/>
        <w:gridCol w:w="1843"/>
        <w:gridCol w:w="1134"/>
        <w:gridCol w:w="1134"/>
      </w:tblGrid>
      <w:tr w:rsidR="006554CA" w:rsidRPr="006554CA" w:rsidTr="006554CA">
        <w:trPr>
          <w:cantSplit/>
        </w:trPr>
        <w:tc>
          <w:tcPr>
            <w:tcW w:w="5245" w:type="dxa"/>
            <w:tcBorders>
              <w:top w:val="single" w:sz="4" w:space="0" w:color="auto"/>
              <w:bottom w:val="single" w:sz="4" w:space="0" w:color="auto"/>
            </w:tcBorders>
            <w:shd w:val="clear" w:color="auto" w:fill="F2F2F2" w:themeFill="background1" w:themeFillShade="F2"/>
          </w:tcPr>
          <w:p w:rsidR="006554CA" w:rsidRPr="006554CA" w:rsidRDefault="006554CA" w:rsidP="006554CA">
            <w:pPr>
              <w:pStyle w:val="TableText"/>
              <w:rPr>
                <w:b/>
              </w:rPr>
            </w:pPr>
            <w:r w:rsidRPr="006554CA">
              <w:rPr>
                <w:b/>
              </w:rPr>
              <w:t>Type of application submitted to the Tribunal</w:t>
            </w:r>
          </w:p>
        </w:tc>
        <w:tc>
          <w:tcPr>
            <w:tcW w:w="1843" w:type="dxa"/>
            <w:tcBorders>
              <w:top w:val="single" w:sz="4" w:space="0" w:color="auto"/>
              <w:bottom w:val="single" w:sz="4" w:space="0" w:color="auto"/>
            </w:tcBorders>
            <w:shd w:val="clear" w:color="auto" w:fill="F2F2F2" w:themeFill="background1" w:themeFillShade="F2"/>
          </w:tcPr>
          <w:p w:rsidR="006554CA" w:rsidRPr="006554CA" w:rsidRDefault="006554CA" w:rsidP="006554CA">
            <w:pPr>
              <w:pStyle w:val="TableText"/>
              <w:jc w:val="center"/>
              <w:rPr>
                <w:b/>
              </w:rPr>
            </w:pPr>
            <w:r w:rsidRPr="006554CA">
              <w:rPr>
                <w:b/>
              </w:rPr>
              <w:t>Total number</w:t>
            </w:r>
            <w:r>
              <w:rPr>
                <w:b/>
              </w:rPr>
              <w:br/>
            </w:r>
            <w:r w:rsidRPr="006554CA">
              <w:rPr>
                <w:b/>
              </w:rPr>
              <w:t>(and percentage)</w:t>
            </w:r>
          </w:p>
        </w:tc>
        <w:tc>
          <w:tcPr>
            <w:tcW w:w="1134" w:type="dxa"/>
            <w:tcBorders>
              <w:top w:val="single" w:sz="4" w:space="0" w:color="auto"/>
              <w:bottom w:val="single" w:sz="4" w:space="0" w:color="auto"/>
            </w:tcBorders>
            <w:shd w:val="clear" w:color="auto" w:fill="F2F2F2" w:themeFill="background1" w:themeFillShade="F2"/>
          </w:tcPr>
          <w:p w:rsidR="006554CA" w:rsidRPr="006554CA" w:rsidRDefault="006554CA" w:rsidP="006554CA">
            <w:pPr>
              <w:pStyle w:val="TableText"/>
              <w:jc w:val="center"/>
              <w:rPr>
                <w:b/>
              </w:rPr>
            </w:pPr>
            <w:r w:rsidRPr="006554CA">
              <w:rPr>
                <w:b/>
              </w:rPr>
              <w:t>Gender</w:t>
            </w:r>
          </w:p>
        </w:tc>
        <w:tc>
          <w:tcPr>
            <w:tcW w:w="1134" w:type="dxa"/>
            <w:tcBorders>
              <w:top w:val="single" w:sz="4" w:space="0" w:color="auto"/>
              <w:bottom w:val="single" w:sz="4" w:space="0" w:color="auto"/>
            </w:tcBorders>
            <w:shd w:val="clear" w:color="auto" w:fill="F2F2F2" w:themeFill="background1" w:themeFillShade="F2"/>
          </w:tcPr>
          <w:p w:rsidR="006554CA" w:rsidRPr="006554CA" w:rsidRDefault="006554CA" w:rsidP="006554CA">
            <w:pPr>
              <w:pStyle w:val="TableText"/>
              <w:jc w:val="center"/>
              <w:rPr>
                <w:b/>
              </w:rPr>
            </w:pPr>
            <w:r w:rsidRPr="006554CA">
              <w:rPr>
                <w:b/>
              </w:rPr>
              <w:t>Number</w:t>
            </w:r>
          </w:p>
        </w:tc>
      </w:tr>
      <w:tr w:rsidR="004659AD" w:rsidRPr="00642432" w:rsidTr="006554CA">
        <w:trPr>
          <w:cantSplit/>
        </w:trPr>
        <w:tc>
          <w:tcPr>
            <w:tcW w:w="5245" w:type="dxa"/>
            <w:tcBorders>
              <w:top w:val="single" w:sz="4" w:space="0" w:color="auto"/>
              <w:bottom w:val="nil"/>
            </w:tcBorders>
          </w:tcPr>
          <w:p w:rsidR="004659AD" w:rsidRPr="00642432" w:rsidRDefault="004659AD" w:rsidP="006554CA">
            <w:pPr>
              <w:pStyle w:val="TableText"/>
            </w:pPr>
            <w:r w:rsidRPr="00642432">
              <w:t>Applications by people subject to community treatment orders</w:t>
            </w:r>
          </w:p>
        </w:tc>
        <w:tc>
          <w:tcPr>
            <w:tcW w:w="1843" w:type="dxa"/>
            <w:tcBorders>
              <w:top w:val="single" w:sz="4" w:space="0" w:color="auto"/>
              <w:bottom w:val="nil"/>
            </w:tcBorders>
          </w:tcPr>
          <w:p w:rsidR="004659AD" w:rsidRPr="00642432" w:rsidRDefault="004659AD" w:rsidP="006554CA">
            <w:pPr>
              <w:pStyle w:val="TableText"/>
              <w:tabs>
                <w:tab w:val="decimal" w:pos="794"/>
              </w:tabs>
            </w:pPr>
            <w:r w:rsidRPr="00642432">
              <w:t>140 (68%)</w:t>
            </w:r>
          </w:p>
        </w:tc>
        <w:tc>
          <w:tcPr>
            <w:tcW w:w="1134" w:type="dxa"/>
            <w:tcBorders>
              <w:top w:val="single" w:sz="4" w:space="0" w:color="auto"/>
              <w:bottom w:val="nil"/>
            </w:tcBorders>
          </w:tcPr>
          <w:p w:rsidR="004659AD" w:rsidRPr="00642432" w:rsidRDefault="004659AD" w:rsidP="006554CA">
            <w:pPr>
              <w:pStyle w:val="TableText"/>
            </w:pPr>
            <w:r w:rsidRPr="00642432">
              <w:t>Female</w:t>
            </w:r>
          </w:p>
          <w:p w:rsidR="004659AD" w:rsidRPr="00642432" w:rsidRDefault="004659AD" w:rsidP="006554CA">
            <w:pPr>
              <w:pStyle w:val="TableText"/>
            </w:pPr>
            <w:r w:rsidRPr="00642432">
              <w:t>Male</w:t>
            </w:r>
          </w:p>
        </w:tc>
        <w:tc>
          <w:tcPr>
            <w:tcW w:w="1134" w:type="dxa"/>
            <w:tcBorders>
              <w:top w:val="single" w:sz="4" w:space="0" w:color="auto"/>
              <w:bottom w:val="nil"/>
            </w:tcBorders>
          </w:tcPr>
          <w:p w:rsidR="004659AD" w:rsidRPr="00642432" w:rsidRDefault="004659AD" w:rsidP="006554CA">
            <w:pPr>
              <w:pStyle w:val="TableText"/>
              <w:tabs>
                <w:tab w:val="decimal" w:pos="649"/>
              </w:tabs>
            </w:pPr>
            <w:r w:rsidRPr="00642432">
              <w:t>63</w:t>
            </w:r>
          </w:p>
          <w:p w:rsidR="004659AD" w:rsidRPr="00642432" w:rsidRDefault="004659AD" w:rsidP="006554CA">
            <w:pPr>
              <w:pStyle w:val="TableText"/>
              <w:tabs>
                <w:tab w:val="decimal" w:pos="649"/>
              </w:tabs>
            </w:pPr>
            <w:r w:rsidRPr="00642432">
              <w:t>77</w:t>
            </w:r>
          </w:p>
        </w:tc>
      </w:tr>
      <w:tr w:rsidR="004659AD" w:rsidRPr="00642432" w:rsidTr="006554CA">
        <w:trPr>
          <w:cantSplit/>
        </w:trPr>
        <w:tc>
          <w:tcPr>
            <w:tcW w:w="5245" w:type="dxa"/>
            <w:tcBorders>
              <w:top w:val="nil"/>
              <w:bottom w:val="nil"/>
            </w:tcBorders>
            <w:shd w:val="clear" w:color="auto" w:fill="F2F2F2" w:themeFill="background1" w:themeFillShade="F2"/>
          </w:tcPr>
          <w:p w:rsidR="004659AD" w:rsidRPr="00642432" w:rsidRDefault="004659AD" w:rsidP="006554CA">
            <w:pPr>
              <w:pStyle w:val="TableText"/>
            </w:pPr>
            <w:r w:rsidRPr="00642432">
              <w:t>Applications by people subject to inpatient treatment orders</w:t>
            </w:r>
          </w:p>
        </w:tc>
        <w:tc>
          <w:tcPr>
            <w:tcW w:w="1843" w:type="dxa"/>
            <w:tcBorders>
              <w:top w:val="nil"/>
              <w:bottom w:val="nil"/>
            </w:tcBorders>
            <w:shd w:val="clear" w:color="auto" w:fill="F2F2F2" w:themeFill="background1" w:themeFillShade="F2"/>
          </w:tcPr>
          <w:p w:rsidR="004659AD" w:rsidRPr="00642432" w:rsidRDefault="004659AD" w:rsidP="006554CA">
            <w:pPr>
              <w:pStyle w:val="TableText"/>
              <w:tabs>
                <w:tab w:val="decimal" w:pos="794"/>
              </w:tabs>
            </w:pPr>
            <w:r w:rsidRPr="00642432">
              <w:t>54 (26%)</w:t>
            </w:r>
          </w:p>
        </w:tc>
        <w:tc>
          <w:tcPr>
            <w:tcW w:w="1134" w:type="dxa"/>
            <w:tcBorders>
              <w:top w:val="nil"/>
              <w:bottom w:val="nil"/>
            </w:tcBorders>
            <w:shd w:val="clear" w:color="auto" w:fill="F2F2F2" w:themeFill="background1" w:themeFillShade="F2"/>
          </w:tcPr>
          <w:p w:rsidR="004659AD" w:rsidRPr="00642432" w:rsidRDefault="004659AD" w:rsidP="006554CA">
            <w:pPr>
              <w:pStyle w:val="TableText"/>
            </w:pPr>
            <w:r w:rsidRPr="00642432">
              <w:t>Female</w:t>
            </w:r>
          </w:p>
          <w:p w:rsidR="004659AD" w:rsidRPr="00642432" w:rsidRDefault="004659AD" w:rsidP="006554CA">
            <w:pPr>
              <w:pStyle w:val="TableText"/>
            </w:pPr>
            <w:r w:rsidRPr="00642432">
              <w:t>Male</w:t>
            </w:r>
          </w:p>
        </w:tc>
        <w:tc>
          <w:tcPr>
            <w:tcW w:w="1134" w:type="dxa"/>
            <w:tcBorders>
              <w:top w:val="nil"/>
              <w:bottom w:val="nil"/>
            </w:tcBorders>
            <w:shd w:val="clear" w:color="auto" w:fill="F2F2F2" w:themeFill="background1" w:themeFillShade="F2"/>
          </w:tcPr>
          <w:p w:rsidR="004659AD" w:rsidRPr="00642432" w:rsidRDefault="004659AD" w:rsidP="006554CA">
            <w:pPr>
              <w:pStyle w:val="TableText"/>
              <w:tabs>
                <w:tab w:val="decimal" w:pos="649"/>
              </w:tabs>
            </w:pPr>
            <w:r w:rsidRPr="00642432">
              <w:t>16</w:t>
            </w:r>
          </w:p>
          <w:p w:rsidR="004659AD" w:rsidRPr="00642432" w:rsidRDefault="004659AD" w:rsidP="006554CA">
            <w:pPr>
              <w:pStyle w:val="TableText"/>
              <w:tabs>
                <w:tab w:val="decimal" w:pos="649"/>
              </w:tabs>
            </w:pPr>
            <w:r w:rsidRPr="00642432">
              <w:t>38</w:t>
            </w:r>
          </w:p>
        </w:tc>
      </w:tr>
      <w:tr w:rsidR="004659AD" w:rsidRPr="00642432" w:rsidTr="006554CA">
        <w:trPr>
          <w:cantSplit/>
        </w:trPr>
        <w:tc>
          <w:tcPr>
            <w:tcW w:w="5245" w:type="dxa"/>
            <w:tcBorders>
              <w:top w:val="nil"/>
              <w:bottom w:val="nil"/>
            </w:tcBorders>
          </w:tcPr>
          <w:p w:rsidR="004659AD" w:rsidRPr="00642432" w:rsidRDefault="004659AD" w:rsidP="006554CA">
            <w:pPr>
              <w:pStyle w:val="TableText"/>
            </w:pPr>
            <w:r w:rsidRPr="00642432">
              <w:t>Applications by people subject to special patient orders</w:t>
            </w:r>
          </w:p>
        </w:tc>
        <w:tc>
          <w:tcPr>
            <w:tcW w:w="1843" w:type="dxa"/>
            <w:tcBorders>
              <w:top w:val="nil"/>
              <w:bottom w:val="nil"/>
            </w:tcBorders>
          </w:tcPr>
          <w:p w:rsidR="004659AD" w:rsidRPr="00642432" w:rsidRDefault="004659AD" w:rsidP="006554CA">
            <w:pPr>
              <w:pStyle w:val="TableText"/>
              <w:tabs>
                <w:tab w:val="decimal" w:pos="794"/>
              </w:tabs>
            </w:pPr>
            <w:r w:rsidRPr="00642432">
              <w:t>12 (6%)</w:t>
            </w:r>
          </w:p>
        </w:tc>
        <w:tc>
          <w:tcPr>
            <w:tcW w:w="1134" w:type="dxa"/>
            <w:tcBorders>
              <w:top w:val="nil"/>
              <w:bottom w:val="nil"/>
            </w:tcBorders>
          </w:tcPr>
          <w:p w:rsidR="004659AD" w:rsidRPr="00642432" w:rsidRDefault="004659AD" w:rsidP="006554CA">
            <w:pPr>
              <w:pStyle w:val="TableText"/>
            </w:pPr>
            <w:r w:rsidRPr="00642432">
              <w:t>Female</w:t>
            </w:r>
          </w:p>
          <w:p w:rsidR="004659AD" w:rsidRPr="00642432" w:rsidRDefault="004659AD" w:rsidP="006554CA">
            <w:pPr>
              <w:pStyle w:val="TableText"/>
            </w:pPr>
            <w:r w:rsidRPr="00642432">
              <w:t>Male</w:t>
            </w:r>
          </w:p>
        </w:tc>
        <w:tc>
          <w:tcPr>
            <w:tcW w:w="1134" w:type="dxa"/>
            <w:tcBorders>
              <w:top w:val="nil"/>
              <w:bottom w:val="nil"/>
            </w:tcBorders>
          </w:tcPr>
          <w:p w:rsidR="004659AD" w:rsidRPr="00642432" w:rsidRDefault="004659AD" w:rsidP="006554CA">
            <w:pPr>
              <w:pStyle w:val="TableText"/>
              <w:tabs>
                <w:tab w:val="decimal" w:pos="649"/>
              </w:tabs>
            </w:pPr>
            <w:r w:rsidRPr="00642432">
              <w:t>2</w:t>
            </w:r>
          </w:p>
          <w:p w:rsidR="004659AD" w:rsidRPr="00642432" w:rsidRDefault="004659AD" w:rsidP="006554CA">
            <w:pPr>
              <w:pStyle w:val="TableText"/>
              <w:tabs>
                <w:tab w:val="decimal" w:pos="649"/>
              </w:tabs>
            </w:pPr>
            <w:r w:rsidRPr="00642432">
              <w:t>10</w:t>
            </w:r>
          </w:p>
        </w:tc>
      </w:tr>
      <w:tr w:rsidR="004659AD" w:rsidRPr="00642432" w:rsidTr="006554CA">
        <w:trPr>
          <w:cantSplit/>
        </w:trPr>
        <w:tc>
          <w:tcPr>
            <w:tcW w:w="5245" w:type="dxa"/>
            <w:tcBorders>
              <w:top w:val="nil"/>
              <w:bottom w:val="single" w:sz="4" w:space="0" w:color="auto"/>
            </w:tcBorders>
            <w:shd w:val="clear" w:color="auto" w:fill="F2F2F2" w:themeFill="background1" w:themeFillShade="F2"/>
          </w:tcPr>
          <w:p w:rsidR="004659AD" w:rsidRPr="00642432" w:rsidRDefault="004659AD" w:rsidP="006554CA">
            <w:pPr>
              <w:pStyle w:val="TableText"/>
            </w:pPr>
            <w:r w:rsidRPr="00642432">
              <w:t>Applications by people subject to restricted person orders</w:t>
            </w:r>
          </w:p>
        </w:tc>
        <w:tc>
          <w:tcPr>
            <w:tcW w:w="1843" w:type="dxa"/>
            <w:tcBorders>
              <w:top w:val="nil"/>
              <w:bottom w:val="single" w:sz="4" w:space="0" w:color="auto"/>
            </w:tcBorders>
            <w:shd w:val="clear" w:color="auto" w:fill="F2F2F2" w:themeFill="background1" w:themeFillShade="F2"/>
          </w:tcPr>
          <w:p w:rsidR="004659AD" w:rsidRPr="00642432" w:rsidRDefault="004659AD" w:rsidP="006554CA">
            <w:pPr>
              <w:pStyle w:val="TableText"/>
              <w:tabs>
                <w:tab w:val="decimal" w:pos="794"/>
              </w:tabs>
            </w:pPr>
            <w:r w:rsidRPr="00642432">
              <w:t>1 (0%)</w:t>
            </w:r>
          </w:p>
        </w:tc>
        <w:tc>
          <w:tcPr>
            <w:tcW w:w="1134" w:type="dxa"/>
            <w:tcBorders>
              <w:top w:val="nil"/>
              <w:bottom w:val="single" w:sz="4" w:space="0" w:color="auto"/>
            </w:tcBorders>
            <w:shd w:val="clear" w:color="auto" w:fill="F2F2F2" w:themeFill="background1" w:themeFillShade="F2"/>
          </w:tcPr>
          <w:p w:rsidR="004659AD" w:rsidRPr="00642432" w:rsidRDefault="004659AD" w:rsidP="006554CA">
            <w:pPr>
              <w:pStyle w:val="TableText"/>
            </w:pPr>
            <w:r w:rsidRPr="00642432">
              <w:t>Female</w:t>
            </w:r>
          </w:p>
          <w:p w:rsidR="004659AD" w:rsidRPr="00642432" w:rsidRDefault="004659AD" w:rsidP="006554CA">
            <w:pPr>
              <w:pStyle w:val="TableText"/>
            </w:pPr>
            <w:r w:rsidRPr="00642432">
              <w:t>Male</w:t>
            </w:r>
          </w:p>
        </w:tc>
        <w:tc>
          <w:tcPr>
            <w:tcW w:w="1134" w:type="dxa"/>
            <w:tcBorders>
              <w:top w:val="nil"/>
              <w:bottom w:val="single" w:sz="4" w:space="0" w:color="auto"/>
            </w:tcBorders>
            <w:shd w:val="clear" w:color="auto" w:fill="F2F2F2" w:themeFill="background1" w:themeFillShade="F2"/>
          </w:tcPr>
          <w:p w:rsidR="004659AD" w:rsidRPr="00642432" w:rsidRDefault="004659AD" w:rsidP="006554CA">
            <w:pPr>
              <w:pStyle w:val="TableText"/>
              <w:tabs>
                <w:tab w:val="decimal" w:pos="649"/>
              </w:tabs>
            </w:pPr>
            <w:r w:rsidRPr="00642432">
              <w:t>0</w:t>
            </w:r>
          </w:p>
          <w:p w:rsidR="004659AD" w:rsidRPr="00642432" w:rsidRDefault="004659AD" w:rsidP="006554CA">
            <w:pPr>
              <w:pStyle w:val="TableText"/>
              <w:tabs>
                <w:tab w:val="decimal" w:pos="649"/>
              </w:tabs>
            </w:pPr>
            <w:r w:rsidRPr="00642432">
              <w:t>1</w:t>
            </w:r>
          </w:p>
        </w:tc>
      </w:tr>
    </w:tbl>
    <w:p w:rsidR="004659AD" w:rsidRPr="00642432" w:rsidRDefault="004659AD" w:rsidP="006554CA">
      <w:pPr>
        <w:pStyle w:val="Source"/>
        <w:ind w:left="0" w:right="0" w:firstLine="0"/>
      </w:pPr>
      <w:r w:rsidRPr="00642432">
        <w:t>Source: Annual Report of Mental Health Review Tribunal, 1 July 2012 to 30 June 2013</w:t>
      </w:r>
      <w:r w:rsidR="002E6538">
        <w:t>.</w:t>
      </w:r>
    </w:p>
    <w:p w:rsidR="004659AD" w:rsidRPr="00642432" w:rsidRDefault="004659AD" w:rsidP="002E6538"/>
    <w:p w:rsidR="004659AD" w:rsidRPr="00642432" w:rsidRDefault="004659AD" w:rsidP="002E6538">
      <w:pPr>
        <w:pStyle w:val="Heading2"/>
      </w:pPr>
      <w:bookmarkStart w:id="88" w:name="_Toc405113679"/>
      <w:r w:rsidRPr="00642432">
        <w:t>Ministry of Justice statistics</w:t>
      </w:r>
      <w:bookmarkEnd w:id="88"/>
    </w:p>
    <w:p w:rsidR="004659AD" w:rsidRPr="00642432" w:rsidRDefault="004659AD" w:rsidP="00B3754C">
      <w:pPr>
        <w:keepNext/>
      </w:pPr>
      <w:r w:rsidRPr="00642432">
        <w:t>Table A5 presents data on applications for a compulsory treatment order from 2004 through to 2013. Table A6 shows the types of orders granted over</w:t>
      </w:r>
      <w:r w:rsidR="00D32DDD" w:rsidRPr="00642432">
        <w:t xml:space="preserve"> </w:t>
      </w:r>
      <w:r w:rsidRPr="00642432">
        <w:t>the same period.</w:t>
      </w:r>
    </w:p>
    <w:p w:rsidR="004659AD" w:rsidRPr="00642432" w:rsidRDefault="004659AD" w:rsidP="00B3754C">
      <w:pPr>
        <w:keepNext/>
      </w:pPr>
    </w:p>
    <w:p w:rsidR="004659AD" w:rsidRPr="00642432" w:rsidRDefault="004659AD" w:rsidP="00B3754C">
      <w:pPr>
        <w:pStyle w:val="Table"/>
      </w:pPr>
      <w:bookmarkStart w:id="89" w:name="_Toc405113704"/>
      <w:r w:rsidRPr="00642432">
        <w:t>Table A5: Applications for compulsory treatment orders (or extensions), 2004 to 2013</w:t>
      </w:r>
      <w:bookmarkEnd w:id="89"/>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709"/>
        <w:gridCol w:w="1729"/>
        <w:gridCol w:w="1729"/>
        <w:gridCol w:w="1730"/>
        <w:gridCol w:w="1729"/>
        <w:gridCol w:w="1730"/>
      </w:tblGrid>
      <w:tr w:rsidR="00B3754C" w:rsidRPr="00B3754C" w:rsidTr="00B3754C">
        <w:trPr>
          <w:cantSplit/>
        </w:trPr>
        <w:tc>
          <w:tcPr>
            <w:tcW w:w="709" w:type="dxa"/>
            <w:tcBorders>
              <w:top w:val="single" w:sz="4" w:space="0" w:color="auto"/>
              <w:bottom w:val="single" w:sz="4" w:space="0" w:color="auto"/>
            </w:tcBorders>
            <w:shd w:val="clear" w:color="auto" w:fill="F2F2F2" w:themeFill="background1" w:themeFillShade="F2"/>
          </w:tcPr>
          <w:p w:rsidR="00B3754C" w:rsidRPr="00B3754C" w:rsidRDefault="00B3754C" w:rsidP="00B3754C">
            <w:pPr>
              <w:pStyle w:val="TableText"/>
              <w:keepNext/>
              <w:rPr>
                <w:b/>
              </w:rPr>
            </w:pPr>
            <w:r w:rsidRPr="00B3754C">
              <w:rPr>
                <w:b/>
              </w:rPr>
              <w:t>Year</w:t>
            </w:r>
          </w:p>
        </w:tc>
        <w:tc>
          <w:tcPr>
            <w:tcW w:w="1729" w:type="dxa"/>
            <w:tcBorders>
              <w:top w:val="single" w:sz="4" w:space="0" w:color="auto"/>
              <w:bottom w:val="single" w:sz="4" w:space="0" w:color="auto"/>
            </w:tcBorders>
            <w:shd w:val="clear" w:color="auto" w:fill="F2F2F2" w:themeFill="background1" w:themeFillShade="F2"/>
          </w:tcPr>
          <w:p w:rsidR="00B3754C" w:rsidRPr="00B3754C" w:rsidRDefault="00B3754C" w:rsidP="00B3754C">
            <w:pPr>
              <w:pStyle w:val="TableText"/>
              <w:keepNext/>
              <w:jc w:val="center"/>
              <w:rPr>
                <w:b/>
              </w:rPr>
            </w:pPr>
            <w:r w:rsidRPr="00B3754C">
              <w:rPr>
                <w:b/>
              </w:rPr>
              <w:t>Number of applications</w:t>
            </w:r>
            <w:r>
              <w:rPr>
                <w:b/>
              </w:rPr>
              <w:br/>
            </w:r>
            <w:r w:rsidRPr="00B3754C">
              <w:rPr>
                <w:b/>
              </w:rPr>
              <w:t>for a CTO,</w:t>
            </w:r>
            <w:r>
              <w:rPr>
                <w:b/>
              </w:rPr>
              <w:br/>
            </w:r>
            <w:r w:rsidRPr="00B3754C">
              <w:rPr>
                <w:b/>
              </w:rPr>
              <w:t>or extension</w:t>
            </w:r>
            <w:r>
              <w:rPr>
                <w:b/>
              </w:rPr>
              <w:br/>
            </w:r>
            <w:r w:rsidRPr="00B3754C">
              <w:rPr>
                <w:b/>
              </w:rPr>
              <w:t>to a CTO</w:t>
            </w:r>
          </w:p>
        </w:tc>
        <w:tc>
          <w:tcPr>
            <w:tcW w:w="1729" w:type="dxa"/>
            <w:tcBorders>
              <w:top w:val="single" w:sz="4" w:space="0" w:color="auto"/>
              <w:bottom w:val="single" w:sz="4" w:space="0" w:color="auto"/>
            </w:tcBorders>
            <w:shd w:val="clear" w:color="auto" w:fill="F2F2F2" w:themeFill="background1" w:themeFillShade="F2"/>
          </w:tcPr>
          <w:p w:rsidR="00B3754C" w:rsidRPr="00B3754C" w:rsidRDefault="00B3754C" w:rsidP="00B3754C">
            <w:pPr>
              <w:pStyle w:val="TableText"/>
              <w:keepNext/>
              <w:jc w:val="center"/>
              <w:rPr>
                <w:b/>
              </w:rPr>
            </w:pPr>
            <w:r w:rsidRPr="00B3754C">
              <w:rPr>
                <w:b/>
              </w:rPr>
              <w:t>Number of applications granted, or granted with consent</w:t>
            </w:r>
          </w:p>
        </w:tc>
        <w:tc>
          <w:tcPr>
            <w:tcW w:w="1730" w:type="dxa"/>
            <w:tcBorders>
              <w:top w:val="single" w:sz="4" w:space="0" w:color="auto"/>
              <w:bottom w:val="single" w:sz="4" w:space="0" w:color="auto"/>
            </w:tcBorders>
            <w:shd w:val="clear" w:color="auto" w:fill="F2F2F2" w:themeFill="background1" w:themeFillShade="F2"/>
          </w:tcPr>
          <w:p w:rsidR="00B3754C" w:rsidRPr="00B3754C" w:rsidRDefault="00B3754C" w:rsidP="00B3754C">
            <w:pPr>
              <w:pStyle w:val="TableText"/>
              <w:keepNext/>
              <w:jc w:val="center"/>
              <w:rPr>
                <w:b/>
              </w:rPr>
            </w:pPr>
            <w:r w:rsidRPr="00B3754C">
              <w:rPr>
                <w:b/>
              </w:rPr>
              <w:t>Number</w:t>
            </w:r>
            <w:r>
              <w:rPr>
                <w:b/>
              </w:rPr>
              <w:t xml:space="preserve"> </w:t>
            </w:r>
            <w:r w:rsidRPr="00B3754C">
              <w:rPr>
                <w:b/>
              </w:rPr>
              <w:t>of applications dismissed or struck out</w:t>
            </w:r>
          </w:p>
        </w:tc>
        <w:tc>
          <w:tcPr>
            <w:tcW w:w="1729" w:type="dxa"/>
            <w:tcBorders>
              <w:top w:val="single" w:sz="4" w:space="0" w:color="auto"/>
              <w:bottom w:val="single" w:sz="4" w:space="0" w:color="auto"/>
            </w:tcBorders>
            <w:shd w:val="clear" w:color="auto" w:fill="F2F2F2" w:themeFill="background1" w:themeFillShade="F2"/>
          </w:tcPr>
          <w:p w:rsidR="00B3754C" w:rsidRPr="00B3754C" w:rsidRDefault="00B3754C" w:rsidP="00B3754C">
            <w:pPr>
              <w:pStyle w:val="TableText"/>
              <w:keepNext/>
              <w:jc w:val="center"/>
              <w:rPr>
                <w:b/>
              </w:rPr>
            </w:pPr>
            <w:r w:rsidRPr="00B3754C">
              <w:rPr>
                <w:b/>
              </w:rPr>
              <w:t>Number</w:t>
            </w:r>
            <w:r>
              <w:rPr>
                <w:b/>
              </w:rPr>
              <w:t xml:space="preserve"> </w:t>
            </w:r>
            <w:r w:rsidRPr="00B3754C">
              <w:rPr>
                <w:b/>
              </w:rPr>
              <w:t>of application</w:t>
            </w:r>
            <w:r>
              <w:rPr>
                <w:b/>
              </w:rPr>
              <w:t>s</w:t>
            </w:r>
            <w:r w:rsidRPr="00B3754C">
              <w:rPr>
                <w:b/>
              </w:rPr>
              <w:t xml:space="preserve"> withdrawn,</w:t>
            </w:r>
            <w:r>
              <w:rPr>
                <w:b/>
              </w:rPr>
              <w:br/>
            </w:r>
            <w:r w:rsidRPr="00B3754C">
              <w:rPr>
                <w:b/>
              </w:rPr>
              <w:t>lapsed or discon</w:t>
            </w:r>
            <w:r>
              <w:rPr>
                <w:b/>
              </w:rPr>
              <w:t>t</w:t>
            </w:r>
            <w:r w:rsidRPr="00B3754C">
              <w:rPr>
                <w:b/>
              </w:rPr>
              <w:t>inued</w:t>
            </w:r>
          </w:p>
        </w:tc>
        <w:tc>
          <w:tcPr>
            <w:tcW w:w="1730" w:type="dxa"/>
            <w:tcBorders>
              <w:top w:val="single" w:sz="4" w:space="0" w:color="auto"/>
              <w:bottom w:val="single" w:sz="4" w:space="0" w:color="auto"/>
            </w:tcBorders>
            <w:shd w:val="clear" w:color="auto" w:fill="F2F2F2" w:themeFill="background1" w:themeFillShade="F2"/>
          </w:tcPr>
          <w:p w:rsidR="00B3754C" w:rsidRPr="00B3754C" w:rsidRDefault="00B3754C" w:rsidP="00B3754C">
            <w:pPr>
              <w:pStyle w:val="TableText"/>
              <w:keepNext/>
              <w:jc w:val="center"/>
              <w:rPr>
                <w:b/>
              </w:rPr>
            </w:pPr>
            <w:r w:rsidRPr="00B3754C">
              <w:rPr>
                <w:b/>
              </w:rPr>
              <w:t>Number of applications transferred to</w:t>
            </w:r>
            <w:r>
              <w:rPr>
                <w:b/>
              </w:rPr>
              <w:br/>
            </w:r>
            <w:r w:rsidRPr="00B3754C">
              <w:rPr>
                <w:b/>
              </w:rPr>
              <w:t>the High Court</w:t>
            </w:r>
          </w:p>
        </w:tc>
      </w:tr>
      <w:tr w:rsidR="004659AD" w:rsidRPr="00642432" w:rsidTr="00B3754C">
        <w:trPr>
          <w:cantSplit/>
        </w:trPr>
        <w:tc>
          <w:tcPr>
            <w:tcW w:w="709" w:type="dxa"/>
            <w:tcBorders>
              <w:top w:val="single" w:sz="4" w:space="0" w:color="auto"/>
              <w:bottom w:val="nil"/>
            </w:tcBorders>
          </w:tcPr>
          <w:p w:rsidR="004659AD" w:rsidRPr="00642432" w:rsidRDefault="004659AD" w:rsidP="00B3754C">
            <w:pPr>
              <w:pStyle w:val="TableText"/>
              <w:keepNext/>
            </w:pPr>
            <w:r w:rsidRPr="00642432">
              <w:t>2004</w:t>
            </w:r>
          </w:p>
        </w:tc>
        <w:tc>
          <w:tcPr>
            <w:tcW w:w="1729" w:type="dxa"/>
            <w:tcBorders>
              <w:top w:val="single" w:sz="4" w:space="0" w:color="auto"/>
              <w:bottom w:val="nil"/>
            </w:tcBorders>
          </w:tcPr>
          <w:p w:rsidR="004659AD" w:rsidRPr="00642432" w:rsidRDefault="004659AD" w:rsidP="00B3754C">
            <w:pPr>
              <w:pStyle w:val="TableText"/>
              <w:keepNext/>
              <w:jc w:val="center"/>
            </w:pPr>
            <w:r w:rsidRPr="00642432">
              <w:t>4423</w:t>
            </w:r>
          </w:p>
        </w:tc>
        <w:tc>
          <w:tcPr>
            <w:tcW w:w="1729" w:type="dxa"/>
            <w:tcBorders>
              <w:top w:val="single" w:sz="4" w:space="0" w:color="auto"/>
              <w:bottom w:val="nil"/>
            </w:tcBorders>
          </w:tcPr>
          <w:p w:rsidR="004659AD" w:rsidRPr="00642432" w:rsidRDefault="004659AD" w:rsidP="00B3754C">
            <w:pPr>
              <w:pStyle w:val="TableText"/>
              <w:keepNext/>
              <w:jc w:val="center"/>
            </w:pPr>
            <w:r w:rsidRPr="00642432">
              <w:t>3863</w:t>
            </w:r>
          </w:p>
        </w:tc>
        <w:tc>
          <w:tcPr>
            <w:tcW w:w="1730" w:type="dxa"/>
            <w:tcBorders>
              <w:top w:val="single" w:sz="4" w:space="0" w:color="auto"/>
              <w:bottom w:val="nil"/>
            </w:tcBorders>
          </w:tcPr>
          <w:p w:rsidR="004659AD" w:rsidRPr="00642432" w:rsidRDefault="004659AD" w:rsidP="00B3754C">
            <w:pPr>
              <w:pStyle w:val="TableText"/>
              <w:keepNext/>
              <w:tabs>
                <w:tab w:val="decimal" w:pos="907"/>
              </w:tabs>
            </w:pPr>
            <w:r w:rsidRPr="00642432">
              <w:t>100</w:t>
            </w:r>
          </w:p>
        </w:tc>
        <w:tc>
          <w:tcPr>
            <w:tcW w:w="1729" w:type="dxa"/>
            <w:tcBorders>
              <w:top w:val="single" w:sz="4" w:space="0" w:color="auto"/>
              <w:bottom w:val="nil"/>
            </w:tcBorders>
          </w:tcPr>
          <w:p w:rsidR="004659AD" w:rsidRPr="00642432" w:rsidRDefault="004659AD" w:rsidP="00B3754C">
            <w:pPr>
              <w:pStyle w:val="TableText"/>
              <w:keepNext/>
              <w:jc w:val="center"/>
            </w:pPr>
            <w:r w:rsidRPr="00642432">
              <w:t>460</w:t>
            </w:r>
          </w:p>
        </w:tc>
        <w:tc>
          <w:tcPr>
            <w:tcW w:w="1730" w:type="dxa"/>
            <w:tcBorders>
              <w:top w:val="single" w:sz="4" w:space="0" w:color="auto"/>
              <w:bottom w:val="nil"/>
            </w:tcBorders>
          </w:tcPr>
          <w:p w:rsidR="004659AD" w:rsidRPr="00642432" w:rsidRDefault="004659AD" w:rsidP="00B3754C">
            <w:pPr>
              <w:pStyle w:val="TableText"/>
              <w:keepNext/>
              <w:jc w:val="center"/>
            </w:pPr>
            <w:r w:rsidRPr="00642432">
              <w:t>0</w:t>
            </w:r>
          </w:p>
        </w:tc>
      </w:tr>
      <w:tr w:rsidR="004659AD" w:rsidRPr="00642432" w:rsidTr="00B3754C">
        <w:trPr>
          <w:cantSplit/>
        </w:trPr>
        <w:tc>
          <w:tcPr>
            <w:tcW w:w="709" w:type="dxa"/>
            <w:tcBorders>
              <w:top w:val="nil"/>
              <w:bottom w:val="nil"/>
            </w:tcBorders>
            <w:shd w:val="clear" w:color="auto" w:fill="F2F2F2" w:themeFill="background1" w:themeFillShade="F2"/>
          </w:tcPr>
          <w:p w:rsidR="004659AD" w:rsidRPr="00642432" w:rsidRDefault="004659AD" w:rsidP="00B3754C">
            <w:pPr>
              <w:pStyle w:val="TableText"/>
              <w:keepNext/>
            </w:pPr>
            <w:r w:rsidRPr="00642432">
              <w:t>2005</w:t>
            </w:r>
          </w:p>
        </w:tc>
        <w:tc>
          <w:tcPr>
            <w:tcW w:w="1729" w:type="dxa"/>
            <w:tcBorders>
              <w:top w:val="nil"/>
              <w:bottom w:val="nil"/>
            </w:tcBorders>
            <w:shd w:val="clear" w:color="auto" w:fill="F2F2F2" w:themeFill="background1" w:themeFillShade="F2"/>
          </w:tcPr>
          <w:p w:rsidR="004659AD" w:rsidRPr="00642432" w:rsidRDefault="004659AD" w:rsidP="00B3754C">
            <w:pPr>
              <w:pStyle w:val="TableText"/>
              <w:keepNext/>
              <w:jc w:val="center"/>
            </w:pPr>
            <w:r w:rsidRPr="00642432">
              <w:t>4302</w:t>
            </w:r>
          </w:p>
        </w:tc>
        <w:tc>
          <w:tcPr>
            <w:tcW w:w="1729" w:type="dxa"/>
            <w:tcBorders>
              <w:top w:val="nil"/>
              <w:bottom w:val="nil"/>
            </w:tcBorders>
            <w:shd w:val="clear" w:color="auto" w:fill="F2F2F2" w:themeFill="background1" w:themeFillShade="F2"/>
          </w:tcPr>
          <w:p w:rsidR="004659AD" w:rsidRPr="00642432" w:rsidRDefault="004659AD" w:rsidP="00B3754C">
            <w:pPr>
              <w:pStyle w:val="TableText"/>
              <w:keepNext/>
              <w:jc w:val="center"/>
            </w:pPr>
            <w:r w:rsidRPr="00642432">
              <w:t>3682</w:t>
            </w:r>
          </w:p>
        </w:tc>
        <w:tc>
          <w:tcPr>
            <w:tcW w:w="1730" w:type="dxa"/>
            <w:tcBorders>
              <w:top w:val="nil"/>
              <w:bottom w:val="nil"/>
            </w:tcBorders>
            <w:shd w:val="clear" w:color="auto" w:fill="F2F2F2" w:themeFill="background1" w:themeFillShade="F2"/>
          </w:tcPr>
          <w:p w:rsidR="004659AD" w:rsidRPr="00642432" w:rsidRDefault="004659AD" w:rsidP="00B3754C">
            <w:pPr>
              <w:pStyle w:val="TableText"/>
              <w:keepNext/>
              <w:tabs>
                <w:tab w:val="decimal" w:pos="907"/>
              </w:tabs>
            </w:pPr>
            <w:r w:rsidRPr="00642432">
              <w:t>100</w:t>
            </w:r>
          </w:p>
        </w:tc>
        <w:tc>
          <w:tcPr>
            <w:tcW w:w="1729" w:type="dxa"/>
            <w:tcBorders>
              <w:top w:val="nil"/>
              <w:bottom w:val="nil"/>
            </w:tcBorders>
            <w:shd w:val="clear" w:color="auto" w:fill="F2F2F2" w:themeFill="background1" w:themeFillShade="F2"/>
          </w:tcPr>
          <w:p w:rsidR="004659AD" w:rsidRPr="00642432" w:rsidRDefault="004659AD" w:rsidP="00B3754C">
            <w:pPr>
              <w:pStyle w:val="TableText"/>
              <w:keepNext/>
              <w:jc w:val="center"/>
            </w:pPr>
            <w:r w:rsidRPr="00642432">
              <w:t>520</w:t>
            </w:r>
          </w:p>
        </w:tc>
        <w:tc>
          <w:tcPr>
            <w:tcW w:w="1730" w:type="dxa"/>
            <w:tcBorders>
              <w:top w:val="nil"/>
              <w:bottom w:val="nil"/>
            </w:tcBorders>
            <w:shd w:val="clear" w:color="auto" w:fill="F2F2F2" w:themeFill="background1" w:themeFillShade="F2"/>
          </w:tcPr>
          <w:p w:rsidR="004659AD" w:rsidRPr="00642432" w:rsidRDefault="004659AD" w:rsidP="00B3754C">
            <w:pPr>
              <w:pStyle w:val="TableText"/>
              <w:keepNext/>
              <w:jc w:val="center"/>
            </w:pPr>
            <w:r w:rsidRPr="00642432">
              <w:t>0</w:t>
            </w:r>
          </w:p>
        </w:tc>
      </w:tr>
      <w:tr w:rsidR="004659AD" w:rsidRPr="00642432" w:rsidTr="00B3754C">
        <w:trPr>
          <w:cantSplit/>
        </w:trPr>
        <w:tc>
          <w:tcPr>
            <w:tcW w:w="709" w:type="dxa"/>
            <w:tcBorders>
              <w:top w:val="nil"/>
              <w:bottom w:val="nil"/>
            </w:tcBorders>
          </w:tcPr>
          <w:p w:rsidR="004659AD" w:rsidRPr="00642432" w:rsidRDefault="004659AD" w:rsidP="00B3754C">
            <w:pPr>
              <w:pStyle w:val="TableText"/>
              <w:keepNext/>
            </w:pPr>
            <w:r w:rsidRPr="00642432">
              <w:t>2006</w:t>
            </w:r>
          </w:p>
        </w:tc>
        <w:tc>
          <w:tcPr>
            <w:tcW w:w="1729" w:type="dxa"/>
            <w:tcBorders>
              <w:top w:val="nil"/>
              <w:bottom w:val="nil"/>
            </w:tcBorders>
          </w:tcPr>
          <w:p w:rsidR="004659AD" w:rsidRPr="00642432" w:rsidRDefault="004659AD" w:rsidP="00B3754C">
            <w:pPr>
              <w:pStyle w:val="TableText"/>
              <w:keepNext/>
              <w:jc w:val="center"/>
            </w:pPr>
            <w:r w:rsidRPr="00642432">
              <w:t>4268</w:t>
            </w:r>
          </w:p>
        </w:tc>
        <w:tc>
          <w:tcPr>
            <w:tcW w:w="1729" w:type="dxa"/>
            <w:tcBorders>
              <w:top w:val="nil"/>
              <w:bottom w:val="nil"/>
            </w:tcBorders>
          </w:tcPr>
          <w:p w:rsidR="004659AD" w:rsidRPr="00642432" w:rsidRDefault="004659AD" w:rsidP="00B3754C">
            <w:pPr>
              <w:pStyle w:val="TableText"/>
              <w:keepNext/>
              <w:jc w:val="center"/>
            </w:pPr>
            <w:r w:rsidRPr="00642432">
              <w:t>3643</w:t>
            </w:r>
          </w:p>
        </w:tc>
        <w:tc>
          <w:tcPr>
            <w:tcW w:w="1730" w:type="dxa"/>
            <w:tcBorders>
              <w:top w:val="nil"/>
              <w:bottom w:val="nil"/>
            </w:tcBorders>
          </w:tcPr>
          <w:p w:rsidR="004659AD" w:rsidRPr="00642432" w:rsidRDefault="004659AD" w:rsidP="00B3754C">
            <w:pPr>
              <w:pStyle w:val="TableText"/>
              <w:keepNext/>
              <w:tabs>
                <w:tab w:val="decimal" w:pos="907"/>
              </w:tabs>
            </w:pPr>
            <w:r w:rsidRPr="00642432">
              <w:t>109</w:t>
            </w:r>
          </w:p>
        </w:tc>
        <w:tc>
          <w:tcPr>
            <w:tcW w:w="1729" w:type="dxa"/>
            <w:tcBorders>
              <w:top w:val="nil"/>
              <w:bottom w:val="nil"/>
            </w:tcBorders>
          </w:tcPr>
          <w:p w:rsidR="004659AD" w:rsidRPr="00642432" w:rsidRDefault="004659AD" w:rsidP="00B3754C">
            <w:pPr>
              <w:pStyle w:val="TableText"/>
              <w:keepNext/>
              <w:jc w:val="center"/>
            </w:pPr>
            <w:r w:rsidRPr="00642432">
              <w:t>515</w:t>
            </w:r>
          </w:p>
        </w:tc>
        <w:tc>
          <w:tcPr>
            <w:tcW w:w="1730" w:type="dxa"/>
            <w:tcBorders>
              <w:top w:val="nil"/>
              <w:bottom w:val="nil"/>
            </w:tcBorders>
          </w:tcPr>
          <w:p w:rsidR="004659AD" w:rsidRPr="00642432" w:rsidRDefault="004659AD" w:rsidP="00B3754C">
            <w:pPr>
              <w:pStyle w:val="TableText"/>
              <w:keepNext/>
              <w:jc w:val="center"/>
            </w:pPr>
            <w:r w:rsidRPr="00642432">
              <w:t>1</w:t>
            </w:r>
          </w:p>
        </w:tc>
      </w:tr>
      <w:tr w:rsidR="004659AD" w:rsidRPr="00642432" w:rsidTr="00B3754C">
        <w:trPr>
          <w:cantSplit/>
        </w:trPr>
        <w:tc>
          <w:tcPr>
            <w:tcW w:w="709" w:type="dxa"/>
            <w:tcBorders>
              <w:top w:val="nil"/>
              <w:bottom w:val="nil"/>
            </w:tcBorders>
            <w:shd w:val="clear" w:color="auto" w:fill="F2F2F2" w:themeFill="background1" w:themeFillShade="F2"/>
          </w:tcPr>
          <w:p w:rsidR="004659AD" w:rsidRPr="00642432" w:rsidRDefault="004659AD" w:rsidP="00B3754C">
            <w:pPr>
              <w:pStyle w:val="TableText"/>
              <w:keepNext/>
            </w:pPr>
            <w:r w:rsidRPr="00642432">
              <w:t>2007</w:t>
            </w:r>
          </w:p>
        </w:tc>
        <w:tc>
          <w:tcPr>
            <w:tcW w:w="1729" w:type="dxa"/>
            <w:tcBorders>
              <w:top w:val="nil"/>
              <w:bottom w:val="nil"/>
            </w:tcBorders>
            <w:shd w:val="clear" w:color="auto" w:fill="F2F2F2" w:themeFill="background1" w:themeFillShade="F2"/>
          </w:tcPr>
          <w:p w:rsidR="004659AD" w:rsidRPr="00642432" w:rsidRDefault="004659AD" w:rsidP="00B3754C">
            <w:pPr>
              <w:pStyle w:val="TableText"/>
              <w:keepNext/>
              <w:jc w:val="center"/>
            </w:pPr>
            <w:r w:rsidRPr="00642432">
              <w:t>4557</w:t>
            </w:r>
          </w:p>
        </w:tc>
        <w:tc>
          <w:tcPr>
            <w:tcW w:w="1729" w:type="dxa"/>
            <w:tcBorders>
              <w:top w:val="nil"/>
              <w:bottom w:val="nil"/>
            </w:tcBorders>
            <w:shd w:val="clear" w:color="auto" w:fill="F2F2F2" w:themeFill="background1" w:themeFillShade="F2"/>
          </w:tcPr>
          <w:p w:rsidR="004659AD" w:rsidRPr="00642432" w:rsidRDefault="004659AD" w:rsidP="00B3754C">
            <w:pPr>
              <w:pStyle w:val="TableText"/>
              <w:keepNext/>
              <w:jc w:val="center"/>
            </w:pPr>
            <w:r w:rsidRPr="00642432">
              <w:t>3916</w:t>
            </w:r>
          </w:p>
        </w:tc>
        <w:tc>
          <w:tcPr>
            <w:tcW w:w="1730" w:type="dxa"/>
            <w:tcBorders>
              <w:top w:val="nil"/>
              <w:bottom w:val="nil"/>
            </w:tcBorders>
            <w:shd w:val="clear" w:color="auto" w:fill="F2F2F2" w:themeFill="background1" w:themeFillShade="F2"/>
          </w:tcPr>
          <w:p w:rsidR="004659AD" w:rsidRPr="00642432" w:rsidRDefault="004659AD" w:rsidP="00B3754C">
            <w:pPr>
              <w:pStyle w:val="TableText"/>
              <w:keepNext/>
              <w:tabs>
                <w:tab w:val="decimal" w:pos="907"/>
              </w:tabs>
            </w:pPr>
            <w:r w:rsidRPr="00642432">
              <w:t>99</w:t>
            </w:r>
          </w:p>
        </w:tc>
        <w:tc>
          <w:tcPr>
            <w:tcW w:w="1729" w:type="dxa"/>
            <w:tcBorders>
              <w:top w:val="nil"/>
              <w:bottom w:val="nil"/>
            </w:tcBorders>
            <w:shd w:val="clear" w:color="auto" w:fill="F2F2F2" w:themeFill="background1" w:themeFillShade="F2"/>
          </w:tcPr>
          <w:p w:rsidR="004659AD" w:rsidRPr="00642432" w:rsidRDefault="004659AD" w:rsidP="00B3754C">
            <w:pPr>
              <w:pStyle w:val="TableText"/>
              <w:keepNext/>
              <w:jc w:val="center"/>
            </w:pPr>
            <w:r w:rsidRPr="00642432">
              <w:t>542</w:t>
            </w:r>
          </w:p>
        </w:tc>
        <w:tc>
          <w:tcPr>
            <w:tcW w:w="1730" w:type="dxa"/>
            <w:tcBorders>
              <w:top w:val="nil"/>
              <w:bottom w:val="nil"/>
            </w:tcBorders>
            <w:shd w:val="clear" w:color="auto" w:fill="F2F2F2" w:themeFill="background1" w:themeFillShade="F2"/>
          </w:tcPr>
          <w:p w:rsidR="004659AD" w:rsidRPr="00642432" w:rsidRDefault="004659AD" w:rsidP="00B3754C">
            <w:pPr>
              <w:pStyle w:val="TableText"/>
              <w:keepNext/>
              <w:jc w:val="center"/>
            </w:pPr>
            <w:r w:rsidRPr="00642432">
              <w:t>0</w:t>
            </w:r>
          </w:p>
        </w:tc>
      </w:tr>
      <w:tr w:rsidR="004659AD" w:rsidRPr="00642432" w:rsidTr="00B3754C">
        <w:trPr>
          <w:cantSplit/>
        </w:trPr>
        <w:tc>
          <w:tcPr>
            <w:tcW w:w="709" w:type="dxa"/>
            <w:tcBorders>
              <w:top w:val="nil"/>
              <w:bottom w:val="nil"/>
            </w:tcBorders>
          </w:tcPr>
          <w:p w:rsidR="004659AD" w:rsidRPr="00642432" w:rsidRDefault="004659AD" w:rsidP="00B3754C">
            <w:pPr>
              <w:pStyle w:val="TableText"/>
              <w:keepNext/>
            </w:pPr>
            <w:r w:rsidRPr="00642432">
              <w:t>2008</w:t>
            </w:r>
          </w:p>
        </w:tc>
        <w:tc>
          <w:tcPr>
            <w:tcW w:w="1729" w:type="dxa"/>
            <w:tcBorders>
              <w:top w:val="nil"/>
              <w:bottom w:val="nil"/>
            </w:tcBorders>
          </w:tcPr>
          <w:p w:rsidR="004659AD" w:rsidRPr="00642432" w:rsidRDefault="004659AD" w:rsidP="00B3754C">
            <w:pPr>
              <w:pStyle w:val="TableText"/>
              <w:keepNext/>
              <w:jc w:val="center"/>
            </w:pPr>
            <w:r w:rsidRPr="00642432">
              <w:t>4557</w:t>
            </w:r>
          </w:p>
        </w:tc>
        <w:tc>
          <w:tcPr>
            <w:tcW w:w="1729" w:type="dxa"/>
            <w:tcBorders>
              <w:top w:val="nil"/>
              <w:bottom w:val="nil"/>
            </w:tcBorders>
          </w:tcPr>
          <w:p w:rsidR="004659AD" w:rsidRPr="00642432" w:rsidRDefault="004659AD" w:rsidP="00B3754C">
            <w:pPr>
              <w:pStyle w:val="TableText"/>
              <w:keepNext/>
              <w:jc w:val="center"/>
            </w:pPr>
            <w:r w:rsidRPr="00642432">
              <w:t>3969</w:t>
            </w:r>
          </w:p>
        </w:tc>
        <w:tc>
          <w:tcPr>
            <w:tcW w:w="1730" w:type="dxa"/>
            <w:tcBorders>
              <w:top w:val="nil"/>
              <w:bottom w:val="nil"/>
            </w:tcBorders>
          </w:tcPr>
          <w:p w:rsidR="004659AD" w:rsidRPr="00642432" w:rsidRDefault="004659AD" w:rsidP="00B3754C">
            <w:pPr>
              <w:pStyle w:val="TableText"/>
              <w:keepNext/>
              <w:tabs>
                <w:tab w:val="decimal" w:pos="907"/>
              </w:tabs>
            </w:pPr>
            <w:r w:rsidRPr="00642432">
              <w:t>103</w:t>
            </w:r>
          </w:p>
        </w:tc>
        <w:tc>
          <w:tcPr>
            <w:tcW w:w="1729" w:type="dxa"/>
            <w:tcBorders>
              <w:top w:val="nil"/>
              <w:bottom w:val="nil"/>
            </w:tcBorders>
          </w:tcPr>
          <w:p w:rsidR="004659AD" w:rsidRPr="00642432" w:rsidRDefault="004659AD" w:rsidP="00B3754C">
            <w:pPr>
              <w:pStyle w:val="TableText"/>
              <w:keepNext/>
              <w:jc w:val="center"/>
            </w:pPr>
            <w:r w:rsidRPr="00642432">
              <w:t>485</w:t>
            </w:r>
          </w:p>
        </w:tc>
        <w:tc>
          <w:tcPr>
            <w:tcW w:w="1730" w:type="dxa"/>
            <w:tcBorders>
              <w:top w:val="nil"/>
              <w:bottom w:val="nil"/>
            </w:tcBorders>
          </w:tcPr>
          <w:p w:rsidR="004659AD" w:rsidRPr="00642432" w:rsidRDefault="004659AD" w:rsidP="00B3754C">
            <w:pPr>
              <w:pStyle w:val="TableText"/>
              <w:keepNext/>
              <w:jc w:val="center"/>
            </w:pPr>
            <w:r w:rsidRPr="00642432">
              <w:t>0</w:t>
            </w:r>
          </w:p>
        </w:tc>
      </w:tr>
      <w:tr w:rsidR="004659AD" w:rsidRPr="00642432" w:rsidTr="00B3754C">
        <w:trPr>
          <w:cantSplit/>
        </w:trPr>
        <w:tc>
          <w:tcPr>
            <w:tcW w:w="709" w:type="dxa"/>
            <w:tcBorders>
              <w:top w:val="nil"/>
              <w:bottom w:val="nil"/>
            </w:tcBorders>
            <w:shd w:val="clear" w:color="auto" w:fill="F2F2F2" w:themeFill="background1" w:themeFillShade="F2"/>
          </w:tcPr>
          <w:p w:rsidR="004659AD" w:rsidRPr="00642432" w:rsidRDefault="004659AD" w:rsidP="00B3754C">
            <w:pPr>
              <w:pStyle w:val="TableText"/>
              <w:keepNext/>
            </w:pPr>
            <w:r w:rsidRPr="00642432">
              <w:t>2009</w:t>
            </w:r>
          </w:p>
        </w:tc>
        <w:tc>
          <w:tcPr>
            <w:tcW w:w="1729" w:type="dxa"/>
            <w:tcBorders>
              <w:top w:val="nil"/>
              <w:bottom w:val="nil"/>
            </w:tcBorders>
            <w:shd w:val="clear" w:color="auto" w:fill="F2F2F2" w:themeFill="background1" w:themeFillShade="F2"/>
          </w:tcPr>
          <w:p w:rsidR="004659AD" w:rsidRPr="00642432" w:rsidRDefault="004659AD" w:rsidP="00B3754C">
            <w:pPr>
              <w:pStyle w:val="TableText"/>
              <w:keepNext/>
              <w:jc w:val="center"/>
            </w:pPr>
            <w:r w:rsidRPr="00642432">
              <w:t>4586</w:t>
            </w:r>
          </w:p>
        </w:tc>
        <w:tc>
          <w:tcPr>
            <w:tcW w:w="1729" w:type="dxa"/>
            <w:tcBorders>
              <w:top w:val="nil"/>
              <w:bottom w:val="nil"/>
            </w:tcBorders>
            <w:shd w:val="clear" w:color="auto" w:fill="F2F2F2" w:themeFill="background1" w:themeFillShade="F2"/>
          </w:tcPr>
          <w:p w:rsidR="004659AD" w:rsidRPr="00642432" w:rsidRDefault="004659AD" w:rsidP="00B3754C">
            <w:pPr>
              <w:pStyle w:val="TableText"/>
              <w:keepNext/>
              <w:jc w:val="center"/>
            </w:pPr>
            <w:r w:rsidRPr="00642432">
              <w:t>4038</w:t>
            </w:r>
          </w:p>
        </w:tc>
        <w:tc>
          <w:tcPr>
            <w:tcW w:w="1730" w:type="dxa"/>
            <w:tcBorders>
              <w:top w:val="nil"/>
              <w:bottom w:val="nil"/>
            </w:tcBorders>
            <w:shd w:val="clear" w:color="auto" w:fill="F2F2F2" w:themeFill="background1" w:themeFillShade="F2"/>
          </w:tcPr>
          <w:p w:rsidR="004659AD" w:rsidRPr="00642432" w:rsidRDefault="004659AD" w:rsidP="00B3754C">
            <w:pPr>
              <w:pStyle w:val="TableText"/>
              <w:keepNext/>
              <w:tabs>
                <w:tab w:val="decimal" w:pos="907"/>
              </w:tabs>
            </w:pPr>
            <w:r w:rsidRPr="00642432">
              <w:t>54</w:t>
            </w:r>
          </w:p>
        </w:tc>
        <w:tc>
          <w:tcPr>
            <w:tcW w:w="1729" w:type="dxa"/>
            <w:tcBorders>
              <w:top w:val="nil"/>
              <w:bottom w:val="nil"/>
            </w:tcBorders>
            <w:shd w:val="clear" w:color="auto" w:fill="F2F2F2" w:themeFill="background1" w:themeFillShade="F2"/>
          </w:tcPr>
          <w:p w:rsidR="004659AD" w:rsidRPr="00642432" w:rsidRDefault="004659AD" w:rsidP="00B3754C">
            <w:pPr>
              <w:pStyle w:val="TableText"/>
              <w:keepNext/>
              <w:jc w:val="center"/>
            </w:pPr>
            <w:r w:rsidRPr="00642432">
              <w:t>494</w:t>
            </w:r>
          </w:p>
        </w:tc>
        <w:tc>
          <w:tcPr>
            <w:tcW w:w="1730" w:type="dxa"/>
            <w:tcBorders>
              <w:top w:val="nil"/>
              <w:bottom w:val="nil"/>
            </w:tcBorders>
            <w:shd w:val="clear" w:color="auto" w:fill="F2F2F2" w:themeFill="background1" w:themeFillShade="F2"/>
          </w:tcPr>
          <w:p w:rsidR="004659AD" w:rsidRPr="00642432" w:rsidRDefault="004659AD" w:rsidP="00B3754C">
            <w:pPr>
              <w:pStyle w:val="TableText"/>
              <w:keepNext/>
              <w:jc w:val="center"/>
            </w:pPr>
            <w:r w:rsidRPr="00642432">
              <w:t>0</w:t>
            </w:r>
          </w:p>
        </w:tc>
      </w:tr>
      <w:tr w:rsidR="004659AD" w:rsidRPr="00642432" w:rsidTr="00B3754C">
        <w:trPr>
          <w:cantSplit/>
        </w:trPr>
        <w:tc>
          <w:tcPr>
            <w:tcW w:w="709" w:type="dxa"/>
            <w:tcBorders>
              <w:top w:val="nil"/>
              <w:bottom w:val="nil"/>
            </w:tcBorders>
          </w:tcPr>
          <w:p w:rsidR="004659AD" w:rsidRPr="00642432" w:rsidRDefault="004659AD" w:rsidP="00B3754C">
            <w:pPr>
              <w:pStyle w:val="TableText"/>
            </w:pPr>
            <w:r w:rsidRPr="00642432">
              <w:t>2010</w:t>
            </w:r>
          </w:p>
        </w:tc>
        <w:tc>
          <w:tcPr>
            <w:tcW w:w="1729" w:type="dxa"/>
            <w:tcBorders>
              <w:top w:val="nil"/>
              <w:bottom w:val="nil"/>
            </w:tcBorders>
          </w:tcPr>
          <w:p w:rsidR="004659AD" w:rsidRPr="00642432" w:rsidRDefault="004659AD" w:rsidP="00B3754C">
            <w:pPr>
              <w:pStyle w:val="TableText"/>
              <w:jc w:val="center"/>
            </w:pPr>
            <w:r w:rsidRPr="00642432">
              <w:t>4751</w:t>
            </w:r>
          </w:p>
        </w:tc>
        <w:tc>
          <w:tcPr>
            <w:tcW w:w="1729" w:type="dxa"/>
            <w:tcBorders>
              <w:top w:val="nil"/>
              <w:bottom w:val="nil"/>
            </w:tcBorders>
          </w:tcPr>
          <w:p w:rsidR="004659AD" w:rsidRPr="00642432" w:rsidRDefault="004659AD" w:rsidP="00B3754C">
            <w:pPr>
              <w:pStyle w:val="TableText"/>
              <w:jc w:val="center"/>
            </w:pPr>
            <w:r w:rsidRPr="00642432">
              <w:t>4156</w:t>
            </w:r>
          </w:p>
        </w:tc>
        <w:tc>
          <w:tcPr>
            <w:tcW w:w="1730" w:type="dxa"/>
            <w:tcBorders>
              <w:top w:val="nil"/>
              <w:bottom w:val="nil"/>
            </w:tcBorders>
          </w:tcPr>
          <w:p w:rsidR="004659AD" w:rsidRPr="00642432" w:rsidRDefault="004659AD" w:rsidP="00B3754C">
            <w:pPr>
              <w:pStyle w:val="TableText"/>
              <w:tabs>
                <w:tab w:val="decimal" w:pos="907"/>
              </w:tabs>
            </w:pPr>
            <w:r w:rsidRPr="00642432">
              <w:t>74</w:t>
            </w:r>
          </w:p>
        </w:tc>
        <w:tc>
          <w:tcPr>
            <w:tcW w:w="1729" w:type="dxa"/>
            <w:tcBorders>
              <w:top w:val="nil"/>
              <w:bottom w:val="nil"/>
            </w:tcBorders>
          </w:tcPr>
          <w:p w:rsidR="004659AD" w:rsidRPr="00642432" w:rsidRDefault="004659AD" w:rsidP="00B3754C">
            <w:pPr>
              <w:pStyle w:val="TableText"/>
              <w:jc w:val="center"/>
            </w:pPr>
            <w:r w:rsidRPr="00642432">
              <w:t>520</w:t>
            </w:r>
          </w:p>
        </w:tc>
        <w:tc>
          <w:tcPr>
            <w:tcW w:w="1730" w:type="dxa"/>
            <w:tcBorders>
              <w:top w:val="nil"/>
              <w:bottom w:val="nil"/>
            </w:tcBorders>
          </w:tcPr>
          <w:p w:rsidR="004659AD" w:rsidRPr="00642432" w:rsidRDefault="004659AD" w:rsidP="00B3754C">
            <w:pPr>
              <w:pStyle w:val="TableText"/>
              <w:jc w:val="center"/>
            </w:pPr>
            <w:r w:rsidRPr="00642432">
              <w:t>1</w:t>
            </w:r>
          </w:p>
        </w:tc>
      </w:tr>
      <w:tr w:rsidR="004659AD" w:rsidRPr="00642432" w:rsidTr="00B3754C">
        <w:trPr>
          <w:cantSplit/>
        </w:trPr>
        <w:tc>
          <w:tcPr>
            <w:tcW w:w="709" w:type="dxa"/>
            <w:tcBorders>
              <w:top w:val="nil"/>
              <w:bottom w:val="nil"/>
            </w:tcBorders>
            <w:shd w:val="clear" w:color="auto" w:fill="F2F2F2" w:themeFill="background1" w:themeFillShade="F2"/>
          </w:tcPr>
          <w:p w:rsidR="004659AD" w:rsidRPr="00642432" w:rsidRDefault="004659AD" w:rsidP="00B3754C">
            <w:pPr>
              <w:pStyle w:val="TableText"/>
            </w:pPr>
            <w:r w:rsidRPr="00642432">
              <w:t>2011</w:t>
            </w:r>
          </w:p>
        </w:tc>
        <w:tc>
          <w:tcPr>
            <w:tcW w:w="1729"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4801</w:t>
            </w:r>
          </w:p>
        </w:tc>
        <w:tc>
          <w:tcPr>
            <w:tcW w:w="1729"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4215</w:t>
            </w:r>
          </w:p>
        </w:tc>
        <w:tc>
          <w:tcPr>
            <w:tcW w:w="1730" w:type="dxa"/>
            <w:tcBorders>
              <w:top w:val="nil"/>
              <w:bottom w:val="nil"/>
            </w:tcBorders>
            <w:shd w:val="clear" w:color="auto" w:fill="F2F2F2" w:themeFill="background1" w:themeFillShade="F2"/>
          </w:tcPr>
          <w:p w:rsidR="004659AD" w:rsidRPr="00642432" w:rsidRDefault="004659AD" w:rsidP="00B3754C">
            <w:pPr>
              <w:pStyle w:val="TableText"/>
              <w:tabs>
                <w:tab w:val="decimal" w:pos="907"/>
              </w:tabs>
            </w:pPr>
            <w:r w:rsidRPr="00642432">
              <w:t>70</w:t>
            </w:r>
          </w:p>
        </w:tc>
        <w:tc>
          <w:tcPr>
            <w:tcW w:w="1729"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516</w:t>
            </w:r>
          </w:p>
        </w:tc>
        <w:tc>
          <w:tcPr>
            <w:tcW w:w="1730"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0</w:t>
            </w:r>
          </w:p>
        </w:tc>
      </w:tr>
      <w:tr w:rsidR="004659AD" w:rsidRPr="00642432" w:rsidTr="00B3754C">
        <w:trPr>
          <w:cantSplit/>
        </w:trPr>
        <w:tc>
          <w:tcPr>
            <w:tcW w:w="709" w:type="dxa"/>
            <w:tcBorders>
              <w:top w:val="nil"/>
              <w:bottom w:val="nil"/>
            </w:tcBorders>
          </w:tcPr>
          <w:p w:rsidR="004659AD" w:rsidRPr="00642432" w:rsidRDefault="004659AD" w:rsidP="00B3754C">
            <w:pPr>
              <w:pStyle w:val="TableText"/>
            </w:pPr>
            <w:r w:rsidRPr="00642432">
              <w:t>2012</w:t>
            </w:r>
          </w:p>
        </w:tc>
        <w:tc>
          <w:tcPr>
            <w:tcW w:w="1729" w:type="dxa"/>
            <w:tcBorders>
              <w:top w:val="nil"/>
              <w:bottom w:val="nil"/>
            </w:tcBorders>
          </w:tcPr>
          <w:p w:rsidR="004659AD" w:rsidRPr="00642432" w:rsidRDefault="004659AD" w:rsidP="00B3754C">
            <w:pPr>
              <w:pStyle w:val="TableText"/>
              <w:jc w:val="center"/>
            </w:pPr>
            <w:r w:rsidRPr="00642432">
              <w:t>4843</w:t>
            </w:r>
          </w:p>
        </w:tc>
        <w:tc>
          <w:tcPr>
            <w:tcW w:w="1729" w:type="dxa"/>
            <w:tcBorders>
              <w:top w:val="nil"/>
              <w:bottom w:val="nil"/>
            </w:tcBorders>
          </w:tcPr>
          <w:p w:rsidR="004659AD" w:rsidRPr="00642432" w:rsidRDefault="004659AD" w:rsidP="00B3754C">
            <w:pPr>
              <w:pStyle w:val="TableText"/>
              <w:jc w:val="center"/>
            </w:pPr>
            <w:r w:rsidRPr="00642432">
              <w:t>4331</w:t>
            </w:r>
          </w:p>
        </w:tc>
        <w:tc>
          <w:tcPr>
            <w:tcW w:w="1730" w:type="dxa"/>
            <w:tcBorders>
              <w:top w:val="nil"/>
              <w:bottom w:val="nil"/>
            </w:tcBorders>
          </w:tcPr>
          <w:p w:rsidR="004659AD" w:rsidRPr="00642432" w:rsidRDefault="004659AD" w:rsidP="00B3754C">
            <w:pPr>
              <w:pStyle w:val="TableText"/>
              <w:tabs>
                <w:tab w:val="decimal" w:pos="907"/>
              </w:tabs>
            </w:pPr>
            <w:r w:rsidRPr="00642432">
              <w:t>71</w:t>
            </w:r>
          </w:p>
        </w:tc>
        <w:tc>
          <w:tcPr>
            <w:tcW w:w="1729" w:type="dxa"/>
            <w:tcBorders>
              <w:top w:val="nil"/>
              <w:bottom w:val="nil"/>
            </w:tcBorders>
          </w:tcPr>
          <w:p w:rsidR="004659AD" w:rsidRPr="00642432" w:rsidRDefault="004659AD" w:rsidP="00B3754C">
            <w:pPr>
              <w:pStyle w:val="TableText"/>
              <w:jc w:val="center"/>
            </w:pPr>
            <w:r w:rsidRPr="00642432">
              <w:t>441</w:t>
            </w:r>
          </w:p>
        </w:tc>
        <w:tc>
          <w:tcPr>
            <w:tcW w:w="1730" w:type="dxa"/>
            <w:tcBorders>
              <w:top w:val="nil"/>
              <w:bottom w:val="nil"/>
            </w:tcBorders>
          </w:tcPr>
          <w:p w:rsidR="004659AD" w:rsidRPr="00642432" w:rsidRDefault="004659AD" w:rsidP="00B3754C">
            <w:pPr>
              <w:pStyle w:val="TableText"/>
              <w:jc w:val="center"/>
            </w:pPr>
            <w:r w:rsidRPr="00642432">
              <w:t>0</w:t>
            </w:r>
          </w:p>
        </w:tc>
      </w:tr>
      <w:tr w:rsidR="004659AD" w:rsidRPr="00642432" w:rsidTr="00B3754C">
        <w:trPr>
          <w:cantSplit/>
        </w:trPr>
        <w:tc>
          <w:tcPr>
            <w:tcW w:w="709" w:type="dxa"/>
            <w:tcBorders>
              <w:top w:val="nil"/>
              <w:bottom w:val="single" w:sz="4" w:space="0" w:color="auto"/>
            </w:tcBorders>
            <w:shd w:val="clear" w:color="auto" w:fill="F2F2F2" w:themeFill="background1" w:themeFillShade="F2"/>
          </w:tcPr>
          <w:p w:rsidR="004659AD" w:rsidRPr="00642432" w:rsidRDefault="004659AD" w:rsidP="00B3754C">
            <w:pPr>
              <w:pStyle w:val="TableText"/>
            </w:pPr>
            <w:r w:rsidRPr="00642432">
              <w:t>2013</w:t>
            </w:r>
          </w:p>
        </w:tc>
        <w:tc>
          <w:tcPr>
            <w:tcW w:w="1729" w:type="dxa"/>
            <w:tcBorders>
              <w:top w:val="nil"/>
              <w:bottom w:val="single" w:sz="4" w:space="0" w:color="auto"/>
            </w:tcBorders>
            <w:shd w:val="clear" w:color="auto" w:fill="F2F2F2" w:themeFill="background1" w:themeFillShade="F2"/>
          </w:tcPr>
          <w:p w:rsidR="004659AD" w:rsidRPr="00642432" w:rsidRDefault="004659AD" w:rsidP="00B3754C">
            <w:pPr>
              <w:pStyle w:val="TableText"/>
              <w:jc w:val="center"/>
            </w:pPr>
            <w:r w:rsidRPr="00642432">
              <w:t>5038</w:t>
            </w:r>
          </w:p>
        </w:tc>
        <w:tc>
          <w:tcPr>
            <w:tcW w:w="1729" w:type="dxa"/>
            <w:tcBorders>
              <w:top w:val="nil"/>
              <w:bottom w:val="single" w:sz="4" w:space="0" w:color="auto"/>
            </w:tcBorders>
            <w:shd w:val="clear" w:color="auto" w:fill="F2F2F2" w:themeFill="background1" w:themeFillShade="F2"/>
          </w:tcPr>
          <w:p w:rsidR="004659AD" w:rsidRPr="00642432" w:rsidRDefault="004659AD" w:rsidP="00B3754C">
            <w:pPr>
              <w:pStyle w:val="TableText"/>
              <w:jc w:val="center"/>
            </w:pPr>
            <w:r w:rsidRPr="00642432">
              <w:t>4578</w:t>
            </w:r>
          </w:p>
        </w:tc>
        <w:tc>
          <w:tcPr>
            <w:tcW w:w="1730" w:type="dxa"/>
            <w:tcBorders>
              <w:top w:val="nil"/>
              <w:bottom w:val="single" w:sz="4" w:space="0" w:color="auto"/>
            </w:tcBorders>
            <w:shd w:val="clear" w:color="auto" w:fill="F2F2F2" w:themeFill="background1" w:themeFillShade="F2"/>
          </w:tcPr>
          <w:p w:rsidR="004659AD" w:rsidRPr="00642432" w:rsidRDefault="004659AD" w:rsidP="00B3754C">
            <w:pPr>
              <w:pStyle w:val="TableText"/>
              <w:tabs>
                <w:tab w:val="decimal" w:pos="907"/>
              </w:tabs>
            </w:pPr>
            <w:r w:rsidRPr="00642432">
              <w:t>66</w:t>
            </w:r>
          </w:p>
        </w:tc>
        <w:tc>
          <w:tcPr>
            <w:tcW w:w="1729" w:type="dxa"/>
            <w:tcBorders>
              <w:top w:val="nil"/>
              <w:bottom w:val="single" w:sz="4" w:space="0" w:color="auto"/>
            </w:tcBorders>
            <w:shd w:val="clear" w:color="auto" w:fill="F2F2F2" w:themeFill="background1" w:themeFillShade="F2"/>
          </w:tcPr>
          <w:p w:rsidR="004659AD" w:rsidRPr="00642432" w:rsidRDefault="004659AD" w:rsidP="00B3754C">
            <w:pPr>
              <w:pStyle w:val="TableText"/>
              <w:jc w:val="center"/>
            </w:pPr>
            <w:r w:rsidRPr="00642432">
              <w:t>394</w:t>
            </w:r>
          </w:p>
        </w:tc>
        <w:tc>
          <w:tcPr>
            <w:tcW w:w="1730" w:type="dxa"/>
            <w:tcBorders>
              <w:top w:val="nil"/>
              <w:bottom w:val="single" w:sz="4" w:space="0" w:color="auto"/>
            </w:tcBorders>
            <w:shd w:val="clear" w:color="auto" w:fill="F2F2F2" w:themeFill="background1" w:themeFillShade="F2"/>
          </w:tcPr>
          <w:p w:rsidR="004659AD" w:rsidRPr="00642432" w:rsidRDefault="004659AD" w:rsidP="00B3754C">
            <w:pPr>
              <w:pStyle w:val="TableText"/>
              <w:jc w:val="center"/>
            </w:pPr>
            <w:r w:rsidRPr="00642432">
              <w:t>0</w:t>
            </w:r>
          </w:p>
        </w:tc>
      </w:tr>
    </w:tbl>
    <w:p w:rsidR="004659AD" w:rsidRPr="00642432" w:rsidRDefault="004659AD" w:rsidP="00B3754C">
      <w:pPr>
        <w:pStyle w:val="Note"/>
        <w:ind w:left="0" w:right="0" w:firstLine="0"/>
      </w:pPr>
      <w:r w:rsidRPr="00642432">
        <w:t>Note:</w:t>
      </w:r>
      <w:r w:rsidR="00D32DDD" w:rsidRPr="00642432">
        <w:t xml:space="preserve"> </w:t>
      </w:r>
      <w:r w:rsidRPr="00642432">
        <w:t>The table presents applications that had been processed at the time of data extraction on 26 June 2014. The year</w:t>
      </w:r>
      <w:r w:rsidR="00D32DDD" w:rsidRPr="00642432">
        <w:t xml:space="preserve"> </w:t>
      </w:r>
      <w:r w:rsidRPr="00642432">
        <w:t>is determined by the final</w:t>
      </w:r>
      <w:r w:rsidR="00D32DDD" w:rsidRPr="00642432">
        <w:t xml:space="preserve"> </w:t>
      </w:r>
      <w:r w:rsidRPr="00642432">
        <w:t>outcome date.</w:t>
      </w:r>
    </w:p>
    <w:p w:rsidR="004659AD" w:rsidRPr="00642432" w:rsidRDefault="004659AD" w:rsidP="00B3754C">
      <w:pPr>
        <w:pStyle w:val="Note"/>
        <w:ind w:right="0"/>
      </w:pPr>
      <w:r w:rsidRPr="00642432">
        <w:t>CTO = compulsory treatment order</w:t>
      </w:r>
      <w:r w:rsidR="002E6538">
        <w:t>.</w:t>
      </w:r>
    </w:p>
    <w:p w:rsidR="004659AD" w:rsidRPr="001C61FF" w:rsidRDefault="004659AD" w:rsidP="00B3754C">
      <w:pPr>
        <w:pStyle w:val="Source"/>
        <w:ind w:left="0" w:right="0" w:firstLine="0"/>
        <w:rPr>
          <w:spacing w:val="-2"/>
        </w:rPr>
      </w:pPr>
      <w:r w:rsidRPr="001C61FF">
        <w:rPr>
          <w:spacing w:val="-2"/>
        </w:rPr>
        <w:t>Source: Ministry of Justice’s Integrated Sector Intelligence System, which uses data entered into the Case Management</w:t>
      </w:r>
      <w:r w:rsidR="002E6538" w:rsidRPr="001C61FF">
        <w:rPr>
          <w:spacing w:val="-2"/>
        </w:rPr>
        <w:t xml:space="preserve"> </w:t>
      </w:r>
      <w:r w:rsidRPr="001C61FF">
        <w:rPr>
          <w:spacing w:val="-2"/>
        </w:rPr>
        <w:t>System (CMS). The CMS is a live operational database, and figures are subject to minor changes at any</w:t>
      </w:r>
      <w:r w:rsidR="00D32DDD" w:rsidRPr="001C61FF">
        <w:rPr>
          <w:spacing w:val="-2"/>
        </w:rPr>
        <w:t xml:space="preserve"> </w:t>
      </w:r>
      <w:r w:rsidRPr="001C61FF">
        <w:rPr>
          <w:spacing w:val="-2"/>
        </w:rPr>
        <w:t>time.</w:t>
      </w:r>
    </w:p>
    <w:p w:rsidR="004659AD" w:rsidRPr="00642432" w:rsidRDefault="004659AD" w:rsidP="002E6538"/>
    <w:p w:rsidR="004659AD" w:rsidRPr="001C61FF" w:rsidRDefault="004659AD" w:rsidP="002E6538">
      <w:pPr>
        <w:pStyle w:val="Table"/>
        <w:rPr>
          <w:spacing w:val="-2"/>
        </w:rPr>
      </w:pPr>
      <w:bookmarkStart w:id="90" w:name="_Toc405113705"/>
      <w:r w:rsidRPr="001C61FF">
        <w:rPr>
          <w:spacing w:val="-2"/>
        </w:rPr>
        <w:t>Table A6: Types of compulsory treatment orders made on granted applications, 2004 to 2013</w:t>
      </w:r>
      <w:bookmarkEnd w:id="90"/>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737"/>
        <w:gridCol w:w="1390"/>
        <w:gridCol w:w="1701"/>
        <w:gridCol w:w="1701"/>
        <w:gridCol w:w="2409"/>
        <w:gridCol w:w="1418"/>
      </w:tblGrid>
      <w:tr w:rsidR="00B3754C" w:rsidRPr="00B3754C" w:rsidTr="001C61FF">
        <w:trPr>
          <w:cantSplit/>
        </w:trPr>
        <w:tc>
          <w:tcPr>
            <w:tcW w:w="737" w:type="dxa"/>
            <w:tcBorders>
              <w:top w:val="single" w:sz="4" w:space="0" w:color="auto"/>
              <w:bottom w:val="single" w:sz="4" w:space="0" w:color="auto"/>
            </w:tcBorders>
            <w:shd w:val="clear" w:color="auto" w:fill="F2F2F2" w:themeFill="background1" w:themeFillShade="F2"/>
          </w:tcPr>
          <w:p w:rsidR="00B3754C" w:rsidRPr="00B3754C" w:rsidRDefault="00B3754C" w:rsidP="00B3754C">
            <w:pPr>
              <w:pStyle w:val="TableText"/>
              <w:rPr>
                <w:b/>
              </w:rPr>
            </w:pPr>
            <w:r w:rsidRPr="00B3754C">
              <w:rPr>
                <w:b/>
              </w:rPr>
              <w:t>Year</w:t>
            </w:r>
          </w:p>
        </w:tc>
        <w:tc>
          <w:tcPr>
            <w:tcW w:w="1390" w:type="dxa"/>
            <w:tcBorders>
              <w:top w:val="single" w:sz="4" w:space="0" w:color="auto"/>
              <w:bottom w:val="single" w:sz="4" w:space="0" w:color="auto"/>
            </w:tcBorders>
            <w:shd w:val="clear" w:color="auto" w:fill="F2F2F2" w:themeFill="background1" w:themeFillShade="F2"/>
          </w:tcPr>
          <w:p w:rsidR="00B3754C" w:rsidRPr="00B3754C" w:rsidRDefault="00B3754C" w:rsidP="00B3754C">
            <w:pPr>
              <w:pStyle w:val="TableText"/>
              <w:jc w:val="center"/>
              <w:rPr>
                <w:b/>
              </w:rPr>
            </w:pPr>
            <w:r w:rsidRPr="00B3754C">
              <w:rPr>
                <w:b/>
              </w:rPr>
              <w:t>Number of granted applications</w:t>
            </w:r>
            <w:r>
              <w:rPr>
                <w:b/>
              </w:rPr>
              <w:br/>
            </w:r>
            <w:r w:rsidRPr="00B3754C">
              <w:rPr>
                <w:b/>
              </w:rPr>
              <w:t>for orders</w:t>
            </w:r>
          </w:p>
        </w:tc>
        <w:tc>
          <w:tcPr>
            <w:tcW w:w="1701" w:type="dxa"/>
            <w:tcBorders>
              <w:top w:val="single" w:sz="4" w:space="0" w:color="auto"/>
              <w:bottom w:val="single" w:sz="4" w:space="0" w:color="auto"/>
            </w:tcBorders>
            <w:shd w:val="clear" w:color="auto" w:fill="F2F2F2" w:themeFill="background1" w:themeFillShade="F2"/>
          </w:tcPr>
          <w:p w:rsidR="00B3754C" w:rsidRPr="00B3754C" w:rsidRDefault="00B3754C" w:rsidP="00B3754C">
            <w:pPr>
              <w:pStyle w:val="TableText"/>
              <w:jc w:val="center"/>
              <w:rPr>
                <w:b/>
              </w:rPr>
            </w:pPr>
            <w:r w:rsidRPr="00B3754C">
              <w:rPr>
                <w:b/>
              </w:rPr>
              <w:t>Number of compulsory communi</w:t>
            </w:r>
            <w:r>
              <w:rPr>
                <w:b/>
              </w:rPr>
              <w:t>t</w:t>
            </w:r>
            <w:r w:rsidRPr="00B3754C">
              <w:rPr>
                <w:b/>
              </w:rPr>
              <w:t>y treatment o</w:t>
            </w:r>
            <w:r>
              <w:rPr>
                <w:b/>
              </w:rPr>
              <w:t>r</w:t>
            </w:r>
            <w:r w:rsidRPr="00B3754C">
              <w:rPr>
                <w:b/>
              </w:rPr>
              <w:t>ders (or extensions)</w:t>
            </w:r>
          </w:p>
        </w:tc>
        <w:tc>
          <w:tcPr>
            <w:tcW w:w="1701" w:type="dxa"/>
            <w:tcBorders>
              <w:top w:val="single" w:sz="4" w:space="0" w:color="auto"/>
              <w:bottom w:val="single" w:sz="4" w:space="0" w:color="auto"/>
            </w:tcBorders>
            <w:shd w:val="clear" w:color="auto" w:fill="F2F2F2" w:themeFill="background1" w:themeFillShade="F2"/>
          </w:tcPr>
          <w:p w:rsidR="00B3754C" w:rsidRPr="00B3754C" w:rsidRDefault="00B3754C" w:rsidP="00B3754C">
            <w:pPr>
              <w:pStyle w:val="TableText"/>
              <w:jc w:val="center"/>
              <w:rPr>
                <w:b/>
              </w:rPr>
            </w:pPr>
            <w:r w:rsidRPr="00B3754C">
              <w:rPr>
                <w:b/>
              </w:rPr>
              <w:t>Number o</w:t>
            </w:r>
            <w:r>
              <w:rPr>
                <w:b/>
              </w:rPr>
              <w:t>f</w:t>
            </w:r>
            <w:r w:rsidRPr="00B3754C">
              <w:rPr>
                <w:b/>
              </w:rPr>
              <w:t xml:space="preserve"> compul</w:t>
            </w:r>
            <w:r>
              <w:rPr>
                <w:b/>
              </w:rPr>
              <w:t>s</w:t>
            </w:r>
            <w:r w:rsidRPr="00B3754C">
              <w:rPr>
                <w:b/>
              </w:rPr>
              <w:t>ory inpatient treatment orders (or extensions)</w:t>
            </w:r>
          </w:p>
        </w:tc>
        <w:tc>
          <w:tcPr>
            <w:tcW w:w="2409" w:type="dxa"/>
            <w:tcBorders>
              <w:top w:val="single" w:sz="4" w:space="0" w:color="auto"/>
              <w:bottom w:val="single" w:sz="4" w:space="0" w:color="auto"/>
            </w:tcBorders>
            <w:shd w:val="clear" w:color="auto" w:fill="F2F2F2" w:themeFill="background1" w:themeFillShade="F2"/>
          </w:tcPr>
          <w:p w:rsidR="00B3754C" w:rsidRPr="00B3754C" w:rsidRDefault="00B3754C" w:rsidP="00B3754C">
            <w:pPr>
              <w:pStyle w:val="TableText"/>
              <w:jc w:val="center"/>
              <w:rPr>
                <w:b/>
              </w:rPr>
            </w:pPr>
            <w:r w:rsidRPr="00B3754C">
              <w:rPr>
                <w:b/>
              </w:rPr>
              <w:t>Number</w:t>
            </w:r>
            <w:r>
              <w:rPr>
                <w:b/>
              </w:rPr>
              <w:t xml:space="preserve"> </w:t>
            </w:r>
            <w:r w:rsidRPr="00B3754C">
              <w:rPr>
                <w:b/>
              </w:rPr>
              <w:t>of orders recorded as both compulsory community a</w:t>
            </w:r>
            <w:r>
              <w:rPr>
                <w:b/>
              </w:rPr>
              <w:t>n</w:t>
            </w:r>
            <w:r w:rsidRPr="00B3754C">
              <w:rPr>
                <w:b/>
              </w:rPr>
              <w:t>d inpa</w:t>
            </w:r>
            <w:r>
              <w:rPr>
                <w:b/>
              </w:rPr>
              <w:t>t</w:t>
            </w:r>
            <w:r w:rsidRPr="00B3754C">
              <w:rPr>
                <w:b/>
              </w:rPr>
              <w:t>i</w:t>
            </w:r>
            <w:r>
              <w:rPr>
                <w:b/>
              </w:rPr>
              <w:t>e</w:t>
            </w:r>
            <w:r w:rsidRPr="00B3754C">
              <w:rPr>
                <w:b/>
              </w:rPr>
              <w:t>nt treatment orders (or extensions)</w:t>
            </w:r>
          </w:p>
        </w:tc>
        <w:tc>
          <w:tcPr>
            <w:tcW w:w="1418" w:type="dxa"/>
            <w:tcBorders>
              <w:top w:val="single" w:sz="4" w:space="0" w:color="auto"/>
              <w:bottom w:val="single" w:sz="4" w:space="0" w:color="auto"/>
            </w:tcBorders>
            <w:shd w:val="clear" w:color="auto" w:fill="F2F2F2" w:themeFill="background1" w:themeFillShade="F2"/>
          </w:tcPr>
          <w:p w:rsidR="00B3754C" w:rsidRPr="00B3754C" w:rsidRDefault="00B3754C" w:rsidP="00B3754C">
            <w:pPr>
              <w:pStyle w:val="TableText"/>
              <w:jc w:val="center"/>
              <w:rPr>
                <w:b/>
              </w:rPr>
            </w:pPr>
            <w:r w:rsidRPr="00B3754C">
              <w:rPr>
                <w:b/>
              </w:rPr>
              <w:t>Number of applications where type of order not recorded</w:t>
            </w:r>
          </w:p>
        </w:tc>
      </w:tr>
      <w:tr w:rsidR="004659AD" w:rsidRPr="00642432" w:rsidTr="001C61FF">
        <w:trPr>
          <w:cantSplit/>
        </w:trPr>
        <w:tc>
          <w:tcPr>
            <w:tcW w:w="737" w:type="dxa"/>
            <w:tcBorders>
              <w:top w:val="single" w:sz="4" w:space="0" w:color="auto"/>
              <w:bottom w:val="nil"/>
            </w:tcBorders>
          </w:tcPr>
          <w:p w:rsidR="004659AD" w:rsidRPr="00642432" w:rsidRDefault="004659AD" w:rsidP="00B3754C">
            <w:pPr>
              <w:pStyle w:val="TableText"/>
            </w:pPr>
            <w:r w:rsidRPr="00642432">
              <w:t>2004</w:t>
            </w:r>
          </w:p>
        </w:tc>
        <w:tc>
          <w:tcPr>
            <w:tcW w:w="1390" w:type="dxa"/>
            <w:tcBorders>
              <w:top w:val="single" w:sz="4" w:space="0" w:color="auto"/>
              <w:bottom w:val="nil"/>
            </w:tcBorders>
          </w:tcPr>
          <w:p w:rsidR="004659AD" w:rsidRPr="00642432" w:rsidRDefault="004659AD" w:rsidP="00B3754C">
            <w:pPr>
              <w:pStyle w:val="TableText"/>
              <w:jc w:val="center"/>
            </w:pPr>
            <w:r w:rsidRPr="00642432">
              <w:t>3863</w:t>
            </w:r>
          </w:p>
        </w:tc>
        <w:tc>
          <w:tcPr>
            <w:tcW w:w="1701" w:type="dxa"/>
            <w:tcBorders>
              <w:top w:val="single" w:sz="4" w:space="0" w:color="auto"/>
              <w:bottom w:val="nil"/>
            </w:tcBorders>
          </w:tcPr>
          <w:p w:rsidR="004659AD" w:rsidRPr="00642432" w:rsidRDefault="004659AD" w:rsidP="00B3754C">
            <w:pPr>
              <w:pStyle w:val="TableText"/>
              <w:jc w:val="center"/>
            </w:pPr>
            <w:r w:rsidRPr="00642432">
              <w:t>1832</w:t>
            </w:r>
          </w:p>
        </w:tc>
        <w:tc>
          <w:tcPr>
            <w:tcW w:w="1701" w:type="dxa"/>
            <w:tcBorders>
              <w:top w:val="single" w:sz="4" w:space="0" w:color="auto"/>
              <w:bottom w:val="nil"/>
            </w:tcBorders>
          </w:tcPr>
          <w:p w:rsidR="004659AD" w:rsidRPr="00642432" w:rsidRDefault="004659AD" w:rsidP="00B3754C">
            <w:pPr>
              <w:pStyle w:val="TableText"/>
              <w:jc w:val="center"/>
            </w:pPr>
            <w:r w:rsidRPr="00642432">
              <w:t>1534</w:t>
            </w:r>
          </w:p>
        </w:tc>
        <w:tc>
          <w:tcPr>
            <w:tcW w:w="2409" w:type="dxa"/>
            <w:tcBorders>
              <w:top w:val="single" w:sz="4" w:space="0" w:color="auto"/>
              <w:bottom w:val="nil"/>
            </w:tcBorders>
          </w:tcPr>
          <w:p w:rsidR="004659AD" w:rsidRPr="00642432" w:rsidRDefault="004659AD" w:rsidP="00B3754C">
            <w:pPr>
              <w:pStyle w:val="TableText"/>
              <w:tabs>
                <w:tab w:val="decimal" w:pos="1172"/>
              </w:tabs>
            </w:pPr>
            <w:r w:rsidRPr="00642432">
              <w:t>117</w:t>
            </w:r>
          </w:p>
        </w:tc>
        <w:tc>
          <w:tcPr>
            <w:tcW w:w="1418" w:type="dxa"/>
            <w:tcBorders>
              <w:top w:val="single" w:sz="4" w:space="0" w:color="auto"/>
              <w:bottom w:val="nil"/>
            </w:tcBorders>
          </w:tcPr>
          <w:p w:rsidR="004659AD" w:rsidRPr="00642432" w:rsidRDefault="004659AD" w:rsidP="00B3754C">
            <w:pPr>
              <w:pStyle w:val="TableText"/>
              <w:jc w:val="center"/>
            </w:pPr>
            <w:r w:rsidRPr="00642432">
              <w:t>380</w:t>
            </w:r>
          </w:p>
        </w:tc>
      </w:tr>
      <w:tr w:rsidR="004659AD" w:rsidRPr="00642432" w:rsidTr="001C61FF">
        <w:trPr>
          <w:cantSplit/>
        </w:trPr>
        <w:tc>
          <w:tcPr>
            <w:tcW w:w="737" w:type="dxa"/>
            <w:tcBorders>
              <w:top w:val="nil"/>
              <w:bottom w:val="nil"/>
            </w:tcBorders>
            <w:shd w:val="clear" w:color="auto" w:fill="F2F2F2" w:themeFill="background1" w:themeFillShade="F2"/>
          </w:tcPr>
          <w:p w:rsidR="004659AD" w:rsidRPr="00642432" w:rsidRDefault="004659AD" w:rsidP="00B3754C">
            <w:pPr>
              <w:pStyle w:val="TableText"/>
            </w:pPr>
            <w:r w:rsidRPr="00642432">
              <w:t>2005</w:t>
            </w:r>
          </w:p>
        </w:tc>
        <w:tc>
          <w:tcPr>
            <w:tcW w:w="1390"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3682</w:t>
            </w:r>
          </w:p>
        </w:tc>
        <w:tc>
          <w:tcPr>
            <w:tcW w:w="1701"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1575</w:t>
            </w:r>
          </w:p>
        </w:tc>
        <w:tc>
          <w:tcPr>
            <w:tcW w:w="1701"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1439</w:t>
            </w:r>
          </w:p>
        </w:tc>
        <w:tc>
          <w:tcPr>
            <w:tcW w:w="2409" w:type="dxa"/>
            <w:tcBorders>
              <w:top w:val="nil"/>
              <w:bottom w:val="nil"/>
            </w:tcBorders>
            <w:shd w:val="clear" w:color="auto" w:fill="F2F2F2" w:themeFill="background1" w:themeFillShade="F2"/>
          </w:tcPr>
          <w:p w:rsidR="004659AD" w:rsidRPr="00642432" w:rsidRDefault="004659AD" w:rsidP="00B3754C">
            <w:pPr>
              <w:pStyle w:val="TableText"/>
              <w:tabs>
                <w:tab w:val="decimal" w:pos="1172"/>
              </w:tabs>
            </w:pPr>
            <w:r w:rsidRPr="00642432">
              <w:t>92</w:t>
            </w:r>
          </w:p>
        </w:tc>
        <w:tc>
          <w:tcPr>
            <w:tcW w:w="1418"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576</w:t>
            </w:r>
          </w:p>
        </w:tc>
      </w:tr>
      <w:tr w:rsidR="004659AD" w:rsidRPr="00642432" w:rsidTr="001C61FF">
        <w:trPr>
          <w:cantSplit/>
        </w:trPr>
        <w:tc>
          <w:tcPr>
            <w:tcW w:w="737" w:type="dxa"/>
            <w:tcBorders>
              <w:top w:val="nil"/>
              <w:bottom w:val="nil"/>
            </w:tcBorders>
          </w:tcPr>
          <w:p w:rsidR="004659AD" w:rsidRPr="00642432" w:rsidRDefault="004659AD" w:rsidP="00B3754C">
            <w:pPr>
              <w:pStyle w:val="TableText"/>
            </w:pPr>
            <w:r w:rsidRPr="00642432">
              <w:t>2006</w:t>
            </w:r>
          </w:p>
        </w:tc>
        <w:tc>
          <w:tcPr>
            <w:tcW w:w="1390" w:type="dxa"/>
            <w:tcBorders>
              <w:top w:val="nil"/>
              <w:bottom w:val="nil"/>
            </w:tcBorders>
          </w:tcPr>
          <w:p w:rsidR="004659AD" w:rsidRPr="00642432" w:rsidRDefault="004659AD" w:rsidP="00B3754C">
            <w:pPr>
              <w:pStyle w:val="TableText"/>
              <w:jc w:val="center"/>
            </w:pPr>
            <w:r w:rsidRPr="00642432">
              <w:t>3643</w:t>
            </w:r>
          </w:p>
        </w:tc>
        <w:tc>
          <w:tcPr>
            <w:tcW w:w="1701" w:type="dxa"/>
            <w:tcBorders>
              <w:top w:val="nil"/>
              <w:bottom w:val="nil"/>
            </w:tcBorders>
          </w:tcPr>
          <w:p w:rsidR="004659AD" w:rsidRPr="00642432" w:rsidRDefault="004659AD" w:rsidP="00B3754C">
            <w:pPr>
              <w:pStyle w:val="TableText"/>
              <w:jc w:val="center"/>
            </w:pPr>
            <w:r w:rsidRPr="00642432">
              <w:t>1614</w:t>
            </w:r>
          </w:p>
        </w:tc>
        <w:tc>
          <w:tcPr>
            <w:tcW w:w="1701" w:type="dxa"/>
            <w:tcBorders>
              <w:top w:val="nil"/>
              <w:bottom w:val="nil"/>
            </w:tcBorders>
          </w:tcPr>
          <w:p w:rsidR="004659AD" w:rsidRPr="00642432" w:rsidRDefault="004659AD" w:rsidP="00B3754C">
            <w:pPr>
              <w:pStyle w:val="TableText"/>
              <w:jc w:val="center"/>
            </w:pPr>
            <w:r w:rsidRPr="00642432">
              <w:t>1384</w:t>
            </w:r>
          </w:p>
        </w:tc>
        <w:tc>
          <w:tcPr>
            <w:tcW w:w="2409" w:type="dxa"/>
            <w:tcBorders>
              <w:top w:val="nil"/>
              <w:bottom w:val="nil"/>
            </w:tcBorders>
          </w:tcPr>
          <w:p w:rsidR="004659AD" w:rsidRPr="00642432" w:rsidRDefault="004659AD" w:rsidP="00B3754C">
            <w:pPr>
              <w:pStyle w:val="TableText"/>
              <w:tabs>
                <w:tab w:val="decimal" w:pos="1172"/>
              </w:tabs>
            </w:pPr>
            <w:r w:rsidRPr="00642432">
              <w:t>91</w:t>
            </w:r>
          </w:p>
        </w:tc>
        <w:tc>
          <w:tcPr>
            <w:tcW w:w="1418" w:type="dxa"/>
            <w:tcBorders>
              <w:top w:val="nil"/>
              <w:bottom w:val="nil"/>
            </w:tcBorders>
          </w:tcPr>
          <w:p w:rsidR="004659AD" w:rsidRPr="00642432" w:rsidRDefault="004659AD" w:rsidP="00B3754C">
            <w:pPr>
              <w:pStyle w:val="TableText"/>
              <w:jc w:val="center"/>
            </w:pPr>
            <w:r w:rsidRPr="00642432">
              <w:t>554</w:t>
            </w:r>
          </w:p>
        </w:tc>
      </w:tr>
      <w:tr w:rsidR="004659AD" w:rsidRPr="00642432" w:rsidTr="001C61FF">
        <w:trPr>
          <w:cantSplit/>
        </w:trPr>
        <w:tc>
          <w:tcPr>
            <w:tcW w:w="737" w:type="dxa"/>
            <w:tcBorders>
              <w:top w:val="nil"/>
              <w:bottom w:val="nil"/>
            </w:tcBorders>
            <w:shd w:val="clear" w:color="auto" w:fill="F2F2F2" w:themeFill="background1" w:themeFillShade="F2"/>
          </w:tcPr>
          <w:p w:rsidR="004659AD" w:rsidRPr="00642432" w:rsidRDefault="004659AD" w:rsidP="00B3754C">
            <w:pPr>
              <w:pStyle w:val="TableText"/>
            </w:pPr>
            <w:r w:rsidRPr="00642432">
              <w:t>2007</w:t>
            </w:r>
          </w:p>
        </w:tc>
        <w:tc>
          <w:tcPr>
            <w:tcW w:w="1390"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3916</w:t>
            </w:r>
          </w:p>
        </w:tc>
        <w:tc>
          <w:tcPr>
            <w:tcW w:w="1701"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1713</w:t>
            </w:r>
          </w:p>
        </w:tc>
        <w:tc>
          <w:tcPr>
            <w:tcW w:w="1701"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1335</w:t>
            </w:r>
          </w:p>
        </w:tc>
        <w:tc>
          <w:tcPr>
            <w:tcW w:w="2409" w:type="dxa"/>
            <w:tcBorders>
              <w:top w:val="nil"/>
              <w:bottom w:val="nil"/>
            </w:tcBorders>
            <w:shd w:val="clear" w:color="auto" w:fill="F2F2F2" w:themeFill="background1" w:themeFillShade="F2"/>
          </w:tcPr>
          <w:p w:rsidR="004659AD" w:rsidRPr="00642432" w:rsidRDefault="004659AD" w:rsidP="00B3754C">
            <w:pPr>
              <w:pStyle w:val="TableText"/>
              <w:tabs>
                <w:tab w:val="decimal" w:pos="1172"/>
              </w:tabs>
            </w:pPr>
            <w:r w:rsidRPr="00642432">
              <w:t>116</w:t>
            </w:r>
          </w:p>
        </w:tc>
        <w:tc>
          <w:tcPr>
            <w:tcW w:w="1418"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752</w:t>
            </w:r>
          </w:p>
        </w:tc>
      </w:tr>
      <w:tr w:rsidR="004659AD" w:rsidRPr="00642432" w:rsidTr="001C61FF">
        <w:trPr>
          <w:cantSplit/>
        </w:trPr>
        <w:tc>
          <w:tcPr>
            <w:tcW w:w="737" w:type="dxa"/>
            <w:tcBorders>
              <w:top w:val="nil"/>
              <w:bottom w:val="nil"/>
            </w:tcBorders>
          </w:tcPr>
          <w:p w:rsidR="004659AD" w:rsidRPr="00642432" w:rsidRDefault="004659AD" w:rsidP="00B3754C">
            <w:pPr>
              <w:pStyle w:val="TableText"/>
            </w:pPr>
            <w:r w:rsidRPr="00642432">
              <w:t>2008</w:t>
            </w:r>
          </w:p>
        </w:tc>
        <w:tc>
          <w:tcPr>
            <w:tcW w:w="1390" w:type="dxa"/>
            <w:tcBorders>
              <w:top w:val="nil"/>
              <w:bottom w:val="nil"/>
            </w:tcBorders>
          </w:tcPr>
          <w:p w:rsidR="004659AD" w:rsidRPr="00642432" w:rsidRDefault="004659AD" w:rsidP="00B3754C">
            <w:pPr>
              <w:pStyle w:val="TableText"/>
              <w:jc w:val="center"/>
            </w:pPr>
            <w:r w:rsidRPr="00642432">
              <w:t>3969</w:t>
            </w:r>
          </w:p>
        </w:tc>
        <w:tc>
          <w:tcPr>
            <w:tcW w:w="1701" w:type="dxa"/>
            <w:tcBorders>
              <w:top w:val="nil"/>
              <w:bottom w:val="nil"/>
            </w:tcBorders>
          </w:tcPr>
          <w:p w:rsidR="004659AD" w:rsidRPr="00642432" w:rsidRDefault="004659AD" w:rsidP="00B3754C">
            <w:pPr>
              <w:pStyle w:val="TableText"/>
              <w:jc w:val="center"/>
            </w:pPr>
            <w:r w:rsidRPr="00642432">
              <w:t>1841</w:t>
            </w:r>
          </w:p>
        </w:tc>
        <w:tc>
          <w:tcPr>
            <w:tcW w:w="1701" w:type="dxa"/>
            <w:tcBorders>
              <w:top w:val="nil"/>
              <w:bottom w:val="nil"/>
            </w:tcBorders>
          </w:tcPr>
          <w:p w:rsidR="004659AD" w:rsidRPr="00642432" w:rsidRDefault="004659AD" w:rsidP="00B3754C">
            <w:pPr>
              <w:pStyle w:val="TableText"/>
              <w:jc w:val="center"/>
            </w:pPr>
            <w:r w:rsidRPr="00642432">
              <w:t>1429</w:t>
            </w:r>
          </w:p>
        </w:tc>
        <w:tc>
          <w:tcPr>
            <w:tcW w:w="2409" w:type="dxa"/>
            <w:tcBorders>
              <w:top w:val="nil"/>
              <w:bottom w:val="nil"/>
            </w:tcBorders>
          </w:tcPr>
          <w:p w:rsidR="004659AD" w:rsidRPr="00642432" w:rsidRDefault="004659AD" w:rsidP="00B3754C">
            <w:pPr>
              <w:pStyle w:val="TableText"/>
              <w:tabs>
                <w:tab w:val="decimal" w:pos="1172"/>
              </w:tabs>
            </w:pPr>
            <w:r w:rsidRPr="00642432">
              <w:t>119</w:t>
            </w:r>
          </w:p>
        </w:tc>
        <w:tc>
          <w:tcPr>
            <w:tcW w:w="1418" w:type="dxa"/>
            <w:tcBorders>
              <w:top w:val="nil"/>
              <w:bottom w:val="nil"/>
            </w:tcBorders>
          </w:tcPr>
          <w:p w:rsidR="004659AD" w:rsidRPr="00642432" w:rsidRDefault="004659AD" w:rsidP="00B3754C">
            <w:pPr>
              <w:pStyle w:val="TableText"/>
              <w:jc w:val="center"/>
            </w:pPr>
            <w:r w:rsidRPr="00642432">
              <w:t>580</w:t>
            </w:r>
          </w:p>
        </w:tc>
      </w:tr>
      <w:tr w:rsidR="004659AD" w:rsidRPr="00642432" w:rsidTr="001C61FF">
        <w:trPr>
          <w:cantSplit/>
        </w:trPr>
        <w:tc>
          <w:tcPr>
            <w:tcW w:w="737" w:type="dxa"/>
            <w:tcBorders>
              <w:top w:val="nil"/>
              <w:bottom w:val="nil"/>
            </w:tcBorders>
            <w:shd w:val="clear" w:color="auto" w:fill="F2F2F2" w:themeFill="background1" w:themeFillShade="F2"/>
          </w:tcPr>
          <w:p w:rsidR="004659AD" w:rsidRPr="00642432" w:rsidRDefault="004659AD" w:rsidP="00B3754C">
            <w:pPr>
              <w:pStyle w:val="TableText"/>
            </w:pPr>
            <w:r w:rsidRPr="00642432">
              <w:t>2009</w:t>
            </w:r>
          </w:p>
        </w:tc>
        <w:tc>
          <w:tcPr>
            <w:tcW w:w="1390"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4038</w:t>
            </w:r>
          </w:p>
        </w:tc>
        <w:tc>
          <w:tcPr>
            <w:tcW w:w="1701"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2086</w:t>
            </w:r>
          </w:p>
        </w:tc>
        <w:tc>
          <w:tcPr>
            <w:tcW w:w="1701"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1565</w:t>
            </w:r>
          </w:p>
        </w:tc>
        <w:tc>
          <w:tcPr>
            <w:tcW w:w="2409" w:type="dxa"/>
            <w:tcBorders>
              <w:top w:val="nil"/>
              <w:bottom w:val="nil"/>
            </w:tcBorders>
            <w:shd w:val="clear" w:color="auto" w:fill="F2F2F2" w:themeFill="background1" w:themeFillShade="F2"/>
          </w:tcPr>
          <w:p w:rsidR="004659AD" w:rsidRPr="00642432" w:rsidRDefault="004659AD" w:rsidP="00B3754C">
            <w:pPr>
              <w:pStyle w:val="TableText"/>
              <w:tabs>
                <w:tab w:val="decimal" w:pos="1172"/>
              </w:tabs>
            </w:pPr>
            <w:r w:rsidRPr="00642432">
              <w:t>104</w:t>
            </w:r>
          </w:p>
        </w:tc>
        <w:tc>
          <w:tcPr>
            <w:tcW w:w="1418"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283</w:t>
            </w:r>
          </w:p>
        </w:tc>
      </w:tr>
      <w:tr w:rsidR="004659AD" w:rsidRPr="00642432" w:rsidTr="001C61FF">
        <w:trPr>
          <w:cantSplit/>
        </w:trPr>
        <w:tc>
          <w:tcPr>
            <w:tcW w:w="737" w:type="dxa"/>
            <w:tcBorders>
              <w:top w:val="nil"/>
              <w:bottom w:val="nil"/>
            </w:tcBorders>
          </w:tcPr>
          <w:p w:rsidR="004659AD" w:rsidRPr="00642432" w:rsidRDefault="004659AD" w:rsidP="00B3754C">
            <w:pPr>
              <w:pStyle w:val="TableText"/>
            </w:pPr>
            <w:r w:rsidRPr="00642432">
              <w:t>2010</w:t>
            </w:r>
          </w:p>
        </w:tc>
        <w:tc>
          <w:tcPr>
            <w:tcW w:w="1390" w:type="dxa"/>
            <w:tcBorders>
              <w:top w:val="nil"/>
              <w:bottom w:val="nil"/>
            </w:tcBorders>
          </w:tcPr>
          <w:p w:rsidR="004659AD" w:rsidRPr="00642432" w:rsidRDefault="004659AD" w:rsidP="00B3754C">
            <w:pPr>
              <w:pStyle w:val="TableText"/>
              <w:jc w:val="center"/>
            </w:pPr>
            <w:r w:rsidRPr="00642432">
              <w:t>4156</w:t>
            </w:r>
          </w:p>
        </w:tc>
        <w:tc>
          <w:tcPr>
            <w:tcW w:w="1701" w:type="dxa"/>
            <w:tcBorders>
              <w:top w:val="nil"/>
              <w:bottom w:val="nil"/>
            </w:tcBorders>
          </w:tcPr>
          <w:p w:rsidR="004659AD" w:rsidRPr="00642432" w:rsidRDefault="004659AD" w:rsidP="00B3754C">
            <w:pPr>
              <w:pStyle w:val="TableText"/>
              <w:jc w:val="center"/>
            </w:pPr>
            <w:r w:rsidRPr="00642432">
              <w:t>2239</w:t>
            </w:r>
          </w:p>
        </w:tc>
        <w:tc>
          <w:tcPr>
            <w:tcW w:w="1701" w:type="dxa"/>
            <w:tcBorders>
              <w:top w:val="nil"/>
              <w:bottom w:val="nil"/>
            </w:tcBorders>
          </w:tcPr>
          <w:p w:rsidR="004659AD" w:rsidRPr="00642432" w:rsidRDefault="004659AD" w:rsidP="00B3754C">
            <w:pPr>
              <w:pStyle w:val="TableText"/>
              <w:jc w:val="center"/>
            </w:pPr>
            <w:r w:rsidRPr="00642432">
              <w:t>1614</w:t>
            </w:r>
          </w:p>
        </w:tc>
        <w:tc>
          <w:tcPr>
            <w:tcW w:w="2409" w:type="dxa"/>
            <w:tcBorders>
              <w:top w:val="nil"/>
              <w:bottom w:val="nil"/>
            </w:tcBorders>
          </w:tcPr>
          <w:p w:rsidR="004659AD" w:rsidRPr="00642432" w:rsidRDefault="004659AD" w:rsidP="00B3754C">
            <w:pPr>
              <w:pStyle w:val="TableText"/>
              <w:tabs>
                <w:tab w:val="decimal" w:pos="1172"/>
              </w:tabs>
            </w:pPr>
            <w:r w:rsidRPr="00642432">
              <w:t>105</w:t>
            </w:r>
          </w:p>
        </w:tc>
        <w:tc>
          <w:tcPr>
            <w:tcW w:w="1418" w:type="dxa"/>
            <w:tcBorders>
              <w:top w:val="nil"/>
              <w:bottom w:val="nil"/>
            </w:tcBorders>
          </w:tcPr>
          <w:p w:rsidR="004659AD" w:rsidRPr="00642432" w:rsidRDefault="004659AD" w:rsidP="00B3754C">
            <w:pPr>
              <w:pStyle w:val="TableText"/>
              <w:jc w:val="center"/>
            </w:pPr>
            <w:r w:rsidRPr="00642432">
              <w:t>198</w:t>
            </w:r>
          </w:p>
        </w:tc>
      </w:tr>
      <w:tr w:rsidR="004659AD" w:rsidRPr="00642432" w:rsidTr="001C61FF">
        <w:trPr>
          <w:cantSplit/>
        </w:trPr>
        <w:tc>
          <w:tcPr>
            <w:tcW w:w="737" w:type="dxa"/>
            <w:tcBorders>
              <w:top w:val="nil"/>
              <w:bottom w:val="nil"/>
            </w:tcBorders>
            <w:shd w:val="clear" w:color="auto" w:fill="F2F2F2" w:themeFill="background1" w:themeFillShade="F2"/>
          </w:tcPr>
          <w:p w:rsidR="004659AD" w:rsidRPr="00642432" w:rsidRDefault="004659AD" w:rsidP="00B3754C">
            <w:pPr>
              <w:pStyle w:val="TableText"/>
            </w:pPr>
            <w:r w:rsidRPr="00642432">
              <w:t>2011</w:t>
            </w:r>
          </w:p>
        </w:tc>
        <w:tc>
          <w:tcPr>
            <w:tcW w:w="1390"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4215</w:t>
            </w:r>
          </w:p>
        </w:tc>
        <w:tc>
          <w:tcPr>
            <w:tcW w:w="1701"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2255</w:t>
            </w:r>
          </w:p>
        </w:tc>
        <w:tc>
          <w:tcPr>
            <w:tcW w:w="1701"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1677</w:t>
            </w:r>
          </w:p>
        </w:tc>
        <w:tc>
          <w:tcPr>
            <w:tcW w:w="2409" w:type="dxa"/>
            <w:tcBorders>
              <w:top w:val="nil"/>
              <w:bottom w:val="nil"/>
            </w:tcBorders>
            <w:shd w:val="clear" w:color="auto" w:fill="F2F2F2" w:themeFill="background1" w:themeFillShade="F2"/>
          </w:tcPr>
          <w:p w:rsidR="004659AD" w:rsidRPr="00642432" w:rsidRDefault="004659AD" w:rsidP="00B3754C">
            <w:pPr>
              <w:pStyle w:val="TableText"/>
              <w:tabs>
                <w:tab w:val="decimal" w:pos="1172"/>
              </w:tabs>
            </w:pPr>
            <w:r w:rsidRPr="00642432">
              <w:t>89</w:t>
            </w:r>
          </w:p>
        </w:tc>
        <w:tc>
          <w:tcPr>
            <w:tcW w:w="1418" w:type="dxa"/>
            <w:tcBorders>
              <w:top w:val="nil"/>
              <w:bottom w:val="nil"/>
            </w:tcBorders>
            <w:shd w:val="clear" w:color="auto" w:fill="F2F2F2" w:themeFill="background1" w:themeFillShade="F2"/>
          </w:tcPr>
          <w:p w:rsidR="004659AD" w:rsidRPr="00642432" w:rsidRDefault="004659AD" w:rsidP="00B3754C">
            <w:pPr>
              <w:pStyle w:val="TableText"/>
              <w:jc w:val="center"/>
            </w:pPr>
            <w:r w:rsidRPr="00642432">
              <w:t>194</w:t>
            </w:r>
          </w:p>
        </w:tc>
      </w:tr>
      <w:tr w:rsidR="004659AD" w:rsidRPr="00642432" w:rsidTr="001C61FF">
        <w:trPr>
          <w:cantSplit/>
        </w:trPr>
        <w:tc>
          <w:tcPr>
            <w:tcW w:w="737" w:type="dxa"/>
            <w:tcBorders>
              <w:top w:val="nil"/>
              <w:bottom w:val="nil"/>
            </w:tcBorders>
          </w:tcPr>
          <w:p w:rsidR="004659AD" w:rsidRPr="00642432" w:rsidRDefault="004659AD" w:rsidP="00B3754C">
            <w:pPr>
              <w:pStyle w:val="TableText"/>
            </w:pPr>
            <w:r w:rsidRPr="00642432">
              <w:t>2012</w:t>
            </w:r>
          </w:p>
        </w:tc>
        <w:tc>
          <w:tcPr>
            <w:tcW w:w="1390" w:type="dxa"/>
            <w:tcBorders>
              <w:top w:val="nil"/>
              <w:bottom w:val="nil"/>
            </w:tcBorders>
          </w:tcPr>
          <w:p w:rsidR="004659AD" w:rsidRPr="00642432" w:rsidRDefault="004659AD" w:rsidP="00B3754C">
            <w:pPr>
              <w:pStyle w:val="TableText"/>
              <w:jc w:val="center"/>
            </w:pPr>
            <w:r w:rsidRPr="00642432">
              <w:t>4331</w:t>
            </w:r>
          </w:p>
        </w:tc>
        <w:tc>
          <w:tcPr>
            <w:tcW w:w="1701" w:type="dxa"/>
            <w:tcBorders>
              <w:top w:val="nil"/>
              <w:bottom w:val="nil"/>
            </w:tcBorders>
          </w:tcPr>
          <w:p w:rsidR="004659AD" w:rsidRPr="00642432" w:rsidRDefault="004659AD" w:rsidP="00B3754C">
            <w:pPr>
              <w:pStyle w:val="TableText"/>
              <w:jc w:val="center"/>
            </w:pPr>
            <w:r w:rsidRPr="00642432">
              <w:t>2427</w:t>
            </w:r>
          </w:p>
        </w:tc>
        <w:tc>
          <w:tcPr>
            <w:tcW w:w="1701" w:type="dxa"/>
            <w:tcBorders>
              <w:top w:val="nil"/>
              <w:bottom w:val="nil"/>
            </w:tcBorders>
          </w:tcPr>
          <w:p w:rsidR="004659AD" w:rsidRPr="00642432" w:rsidRDefault="004659AD" w:rsidP="00B3754C">
            <w:pPr>
              <w:pStyle w:val="TableText"/>
              <w:jc w:val="center"/>
            </w:pPr>
            <w:r w:rsidRPr="00642432">
              <w:t>1680</w:t>
            </w:r>
          </w:p>
        </w:tc>
        <w:tc>
          <w:tcPr>
            <w:tcW w:w="2409" w:type="dxa"/>
            <w:tcBorders>
              <w:top w:val="nil"/>
              <w:bottom w:val="nil"/>
            </w:tcBorders>
          </w:tcPr>
          <w:p w:rsidR="004659AD" w:rsidRPr="00642432" w:rsidRDefault="004659AD" w:rsidP="00B3754C">
            <w:pPr>
              <w:pStyle w:val="TableText"/>
              <w:tabs>
                <w:tab w:val="decimal" w:pos="1172"/>
              </w:tabs>
            </w:pPr>
            <w:r w:rsidRPr="00642432">
              <w:t>75</w:t>
            </w:r>
          </w:p>
        </w:tc>
        <w:tc>
          <w:tcPr>
            <w:tcW w:w="1418" w:type="dxa"/>
            <w:tcBorders>
              <w:top w:val="nil"/>
              <w:bottom w:val="nil"/>
            </w:tcBorders>
          </w:tcPr>
          <w:p w:rsidR="004659AD" w:rsidRPr="00642432" w:rsidRDefault="004659AD" w:rsidP="00B3754C">
            <w:pPr>
              <w:pStyle w:val="TableText"/>
              <w:jc w:val="center"/>
            </w:pPr>
            <w:r w:rsidRPr="00642432">
              <w:t>149</w:t>
            </w:r>
          </w:p>
        </w:tc>
      </w:tr>
      <w:tr w:rsidR="004659AD" w:rsidRPr="00642432" w:rsidTr="001C61FF">
        <w:trPr>
          <w:cantSplit/>
        </w:trPr>
        <w:tc>
          <w:tcPr>
            <w:tcW w:w="737" w:type="dxa"/>
            <w:tcBorders>
              <w:top w:val="nil"/>
              <w:bottom w:val="single" w:sz="4" w:space="0" w:color="auto"/>
            </w:tcBorders>
            <w:shd w:val="clear" w:color="auto" w:fill="F2F2F2" w:themeFill="background1" w:themeFillShade="F2"/>
          </w:tcPr>
          <w:p w:rsidR="004659AD" w:rsidRPr="00642432" w:rsidRDefault="004659AD" w:rsidP="00B3754C">
            <w:pPr>
              <w:pStyle w:val="TableText"/>
            </w:pPr>
            <w:r w:rsidRPr="00642432">
              <w:t>2013</w:t>
            </w:r>
          </w:p>
        </w:tc>
        <w:tc>
          <w:tcPr>
            <w:tcW w:w="1390" w:type="dxa"/>
            <w:tcBorders>
              <w:top w:val="nil"/>
              <w:bottom w:val="single" w:sz="4" w:space="0" w:color="auto"/>
            </w:tcBorders>
            <w:shd w:val="clear" w:color="auto" w:fill="F2F2F2" w:themeFill="background1" w:themeFillShade="F2"/>
          </w:tcPr>
          <w:p w:rsidR="004659AD" w:rsidRPr="00642432" w:rsidRDefault="004659AD" w:rsidP="00B3754C">
            <w:pPr>
              <w:pStyle w:val="TableText"/>
              <w:jc w:val="center"/>
            </w:pPr>
            <w:r w:rsidRPr="00642432">
              <w:t>4578</w:t>
            </w:r>
          </w:p>
        </w:tc>
        <w:tc>
          <w:tcPr>
            <w:tcW w:w="1701" w:type="dxa"/>
            <w:tcBorders>
              <w:top w:val="nil"/>
              <w:bottom w:val="single" w:sz="4" w:space="0" w:color="auto"/>
            </w:tcBorders>
            <w:shd w:val="clear" w:color="auto" w:fill="F2F2F2" w:themeFill="background1" w:themeFillShade="F2"/>
          </w:tcPr>
          <w:p w:rsidR="004659AD" w:rsidRPr="00642432" w:rsidRDefault="004659AD" w:rsidP="00B3754C">
            <w:pPr>
              <w:pStyle w:val="TableText"/>
              <w:jc w:val="center"/>
            </w:pPr>
            <w:r w:rsidRPr="00642432">
              <w:t>2630</w:t>
            </w:r>
          </w:p>
        </w:tc>
        <w:tc>
          <w:tcPr>
            <w:tcW w:w="1701" w:type="dxa"/>
            <w:tcBorders>
              <w:top w:val="nil"/>
              <w:bottom w:val="single" w:sz="4" w:space="0" w:color="auto"/>
            </w:tcBorders>
            <w:shd w:val="clear" w:color="auto" w:fill="F2F2F2" w:themeFill="background1" w:themeFillShade="F2"/>
          </w:tcPr>
          <w:p w:rsidR="004659AD" w:rsidRPr="00642432" w:rsidRDefault="004659AD" w:rsidP="00B3754C">
            <w:pPr>
              <w:pStyle w:val="TableText"/>
              <w:jc w:val="center"/>
            </w:pPr>
            <w:r w:rsidRPr="00642432">
              <w:t>1752</w:t>
            </w:r>
          </w:p>
        </w:tc>
        <w:tc>
          <w:tcPr>
            <w:tcW w:w="2409" w:type="dxa"/>
            <w:tcBorders>
              <w:top w:val="nil"/>
              <w:bottom w:val="single" w:sz="4" w:space="0" w:color="auto"/>
            </w:tcBorders>
            <w:shd w:val="clear" w:color="auto" w:fill="F2F2F2" w:themeFill="background1" w:themeFillShade="F2"/>
          </w:tcPr>
          <w:p w:rsidR="004659AD" w:rsidRPr="00642432" w:rsidRDefault="004659AD" w:rsidP="00B3754C">
            <w:pPr>
              <w:pStyle w:val="TableText"/>
              <w:tabs>
                <w:tab w:val="decimal" w:pos="1172"/>
              </w:tabs>
            </w:pPr>
            <w:r w:rsidRPr="00642432">
              <w:t>62</w:t>
            </w:r>
          </w:p>
        </w:tc>
        <w:tc>
          <w:tcPr>
            <w:tcW w:w="1418" w:type="dxa"/>
            <w:tcBorders>
              <w:top w:val="nil"/>
              <w:bottom w:val="single" w:sz="4" w:space="0" w:color="auto"/>
            </w:tcBorders>
            <w:shd w:val="clear" w:color="auto" w:fill="F2F2F2" w:themeFill="background1" w:themeFillShade="F2"/>
          </w:tcPr>
          <w:p w:rsidR="004659AD" w:rsidRPr="00642432" w:rsidRDefault="004659AD" w:rsidP="00B3754C">
            <w:pPr>
              <w:pStyle w:val="TableText"/>
              <w:jc w:val="center"/>
            </w:pPr>
            <w:r w:rsidRPr="00642432">
              <w:t>134</w:t>
            </w:r>
          </w:p>
        </w:tc>
      </w:tr>
    </w:tbl>
    <w:p w:rsidR="004659AD" w:rsidRPr="00642432" w:rsidRDefault="004659AD" w:rsidP="001C61FF">
      <w:pPr>
        <w:pStyle w:val="Note"/>
        <w:ind w:left="0" w:right="0" w:firstLine="0"/>
      </w:pPr>
      <w:r w:rsidRPr="00642432">
        <w:t>Notes: The table presents applications that had been processed at the time of data extraction on 26</w:t>
      </w:r>
      <w:r w:rsidR="002E6538">
        <w:t xml:space="preserve"> </w:t>
      </w:r>
      <w:r w:rsidRPr="00642432">
        <w:t>June 2014. The year</w:t>
      </w:r>
      <w:r w:rsidR="00D32DDD" w:rsidRPr="00642432">
        <w:t xml:space="preserve"> </w:t>
      </w:r>
      <w:r w:rsidRPr="00642432">
        <w:t>is determined by the final</w:t>
      </w:r>
      <w:r w:rsidR="00D32DDD" w:rsidRPr="00642432">
        <w:t xml:space="preserve"> </w:t>
      </w:r>
      <w:r w:rsidRPr="00642432">
        <w:t>outcome date.</w:t>
      </w:r>
      <w:r w:rsidR="001C61FF">
        <w:t xml:space="preserve"> </w:t>
      </w:r>
      <w:r w:rsidRPr="00642432">
        <w:t>Where more than one</w:t>
      </w:r>
      <w:r w:rsidR="00D32DDD" w:rsidRPr="00642432">
        <w:t xml:space="preserve"> </w:t>
      </w:r>
      <w:r w:rsidRPr="00642432">
        <w:t>order type is shown, it is likely to be because new</w:t>
      </w:r>
      <w:r w:rsidR="00D32DDD" w:rsidRPr="00642432">
        <w:t xml:space="preserve"> </w:t>
      </w:r>
      <w:r w:rsidRPr="00642432">
        <w:t>orders are being linked to a previous application in the Case Management System.</w:t>
      </w:r>
    </w:p>
    <w:p w:rsidR="004659AD" w:rsidRPr="001C61FF" w:rsidRDefault="004659AD" w:rsidP="001C61FF">
      <w:pPr>
        <w:pStyle w:val="Source"/>
        <w:ind w:left="0" w:right="0" w:firstLine="0"/>
        <w:rPr>
          <w:spacing w:val="-2"/>
        </w:rPr>
      </w:pPr>
      <w:r w:rsidRPr="001C61FF">
        <w:rPr>
          <w:spacing w:val="-2"/>
        </w:rPr>
        <w:t>Source: Ministry of Justice’s Integrated Sector Intelligence System, which uses data entered into the Case Management</w:t>
      </w:r>
      <w:r w:rsidR="002E6538" w:rsidRPr="001C61FF">
        <w:rPr>
          <w:spacing w:val="-2"/>
        </w:rPr>
        <w:t xml:space="preserve"> </w:t>
      </w:r>
      <w:r w:rsidRPr="001C61FF">
        <w:rPr>
          <w:spacing w:val="-2"/>
        </w:rPr>
        <w:t>System (CMS). The CMS is a live operational database, and figures are subject to minor changes at any</w:t>
      </w:r>
      <w:r w:rsidR="00D32DDD" w:rsidRPr="001C61FF">
        <w:rPr>
          <w:spacing w:val="-2"/>
        </w:rPr>
        <w:t xml:space="preserve"> </w:t>
      </w:r>
      <w:r w:rsidRPr="001C61FF">
        <w:rPr>
          <w:spacing w:val="-2"/>
        </w:rPr>
        <w:t>time.</w:t>
      </w:r>
    </w:p>
    <w:p w:rsidR="004659AD" w:rsidRPr="00642432" w:rsidRDefault="004659AD" w:rsidP="0052433D">
      <w:pPr>
        <w:spacing w:before="240"/>
      </w:pPr>
      <w:r w:rsidRPr="00642432">
        <w:t>In 2013, 5038 applications for a compulsory treatment order or extension to a compulsory treatment order were</w:t>
      </w:r>
      <w:r w:rsidR="00D32DDD" w:rsidRPr="00642432">
        <w:t xml:space="preserve"> </w:t>
      </w:r>
      <w:r w:rsidRPr="00642432">
        <w:t>dealt with in the Family Court. Of these applications, 4578 (91 percent) were</w:t>
      </w:r>
      <w:r w:rsidR="00D32DDD" w:rsidRPr="00642432">
        <w:t xml:space="preserve"> </w:t>
      </w:r>
      <w:r w:rsidRPr="00642432">
        <w:t>granted,</w:t>
      </w:r>
      <w:r w:rsidR="002E6538">
        <w:t xml:space="preserve"> </w:t>
      </w:r>
      <w:r w:rsidRPr="00642432">
        <w:t>66 (1 percent) were</w:t>
      </w:r>
      <w:r w:rsidR="00D32DDD" w:rsidRPr="00642432">
        <w:t xml:space="preserve"> </w:t>
      </w:r>
      <w:r w:rsidRPr="00642432">
        <w:t>dismissed and 394 (8 percent) were</w:t>
      </w:r>
      <w:r w:rsidR="00D32DDD" w:rsidRPr="00642432">
        <w:t xml:space="preserve"> </w:t>
      </w:r>
      <w:r w:rsidRPr="00642432">
        <w:t>withdrawn.</w:t>
      </w:r>
    </w:p>
    <w:p w:rsidR="004659AD" w:rsidRPr="00642432" w:rsidRDefault="004659AD" w:rsidP="002E6538"/>
    <w:p w:rsidR="004659AD" w:rsidRPr="00642432" w:rsidRDefault="004659AD" w:rsidP="002E6538">
      <w:r w:rsidRPr="00642432">
        <w:t>Of the 4578 applications granted, 2630 (57 percent) resulted in compulsory community treatment orders and 1752 (38 percent) in compulsory inpatient treatment orders. A</w:t>
      </w:r>
      <w:r w:rsidR="0052433D">
        <w:t> </w:t>
      </w:r>
      <w:r w:rsidRPr="00642432">
        <w:t>combination of compulsory community and compulsory inpatient treatment orders was made for an additional 62 (1 percent) applications. For the remaining 134 (3 percent) applications, the type of compulsory treatment order is not recorded in the Case Management System.</w:t>
      </w:r>
    </w:p>
    <w:p w:rsidR="004659AD" w:rsidRPr="00642432" w:rsidRDefault="004659AD" w:rsidP="002E6538"/>
    <w:p w:rsidR="002E6538" w:rsidRDefault="002E6538" w:rsidP="002E6538">
      <w:r>
        <w:br w:type="page"/>
      </w:r>
    </w:p>
    <w:p w:rsidR="004659AD" w:rsidRPr="00642432" w:rsidRDefault="004659AD" w:rsidP="002E6538">
      <w:pPr>
        <w:pStyle w:val="Heading1"/>
      </w:pPr>
      <w:bookmarkStart w:id="91" w:name="_Toc405113680"/>
      <w:r w:rsidRPr="00642432">
        <w:t>Appendix 2:</w:t>
      </w:r>
      <w:r w:rsidR="002E6538">
        <w:t xml:space="preserve"> </w:t>
      </w:r>
      <w:r w:rsidRPr="00642432">
        <w:t>Caveats relating to PRIMHD</w:t>
      </w:r>
      <w:bookmarkEnd w:id="91"/>
    </w:p>
    <w:p w:rsidR="004659AD" w:rsidRPr="00642432" w:rsidRDefault="004659AD" w:rsidP="002E6538">
      <w:r w:rsidRPr="00642432">
        <w:t>The Programme for the Integration of Mental Health Data, or PRIMHD (pronounced ‘primed’), is the Ministry of Health’s national collection for mental health and addiction service activity and outcome data for mental health consumers. PRIMHD data is used to report on what services are being provided, who</w:t>
      </w:r>
      <w:r w:rsidR="00D32DDD" w:rsidRPr="00642432">
        <w:t xml:space="preserve"> </w:t>
      </w:r>
      <w:r w:rsidRPr="00642432">
        <w:t>is providing the services, and what outcomes are being achieved for health consumers across New Zealand’s mental health sector. These reports enable mental health and addiction service providers to undertake better-quality service planning and decision-making, at the local, regional and national levels (Ministry of Health 2013b). PRIMHD reports are invaluable for facilitating important conversations and debates about mental health issues in New Zealand.</w:t>
      </w:r>
    </w:p>
    <w:p w:rsidR="004659AD" w:rsidRPr="00642432" w:rsidRDefault="004659AD" w:rsidP="002E6538"/>
    <w:p w:rsidR="004659AD" w:rsidRPr="00642432" w:rsidRDefault="004659AD" w:rsidP="002E6538">
      <w:r w:rsidRPr="00642432">
        <w:t>In 2008, reporting to PRIMHD became mandatory for DHBs. In addition, from this date an increasing number of NGOs began reporting to the PRIMHD database. As of December 2012, 228 NGOs were reporting to PRIMHD, representing 90 percent of all NGO funding (Platform Charitable Trust 2013).</w:t>
      </w:r>
    </w:p>
    <w:p w:rsidR="004659AD" w:rsidRPr="00642432" w:rsidRDefault="004659AD" w:rsidP="002E6538"/>
    <w:p w:rsidR="004659AD" w:rsidRPr="00642432" w:rsidRDefault="004659AD" w:rsidP="002E6538">
      <w:r w:rsidRPr="00642432">
        <w:t>Because of both its recent introduction and the enormous complexities of creating and maintaining a national data collection, the following caveats need to be kept in mind when reviewing the statistics generated using PRIMHD data.</w:t>
      </w:r>
    </w:p>
    <w:p w:rsidR="004659AD" w:rsidRPr="00642432" w:rsidRDefault="004659AD" w:rsidP="002E6538">
      <w:pPr>
        <w:pStyle w:val="Bullet"/>
      </w:pPr>
      <w:r w:rsidRPr="00642432">
        <w:t>Shifts or patterns in the data after 2008 may reflect the gradual adaptation of service providers to the PRIMHD system, in addition to, or instead of, any</w:t>
      </w:r>
      <w:r w:rsidR="00D32DDD" w:rsidRPr="00642432">
        <w:t xml:space="preserve"> </w:t>
      </w:r>
      <w:r w:rsidRPr="00642432">
        <w:t>trend in mental health service use or consumer outcomes.</w:t>
      </w:r>
    </w:p>
    <w:p w:rsidR="004659AD" w:rsidRPr="00642432" w:rsidRDefault="004659AD" w:rsidP="002E6538">
      <w:pPr>
        <w:pStyle w:val="Bullet"/>
      </w:pPr>
      <w:r w:rsidRPr="00642432">
        <w:t>PRIMHD is a living data collection, which continues to be revised and updated as data reporting processes are improved. For this reason, previously published data may be liable to amendments.</w:t>
      </w:r>
    </w:p>
    <w:p w:rsidR="004659AD" w:rsidRPr="00642432" w:rsidRDefault="004659AD" w:rsidP="002E6538">
      <w:pPr>
        <w:pStyle w:val="Bullet"/>
      </w:pPr>
      <w:r w:rsidRPr="00642432">
        <w:t>Statistical variance between services may reflect different models of practice and different consumer populations. However, inter-service variance may also result from differences in data entry</w:t>
      </w:r>
      <w:r w:rsidR="002E6538">
        <w:t xml:space="preserve"> </w:t>
      </w:r>
      <w:r w:rsidRPr="00642432">
        <w:t>processes and information management.</w:t>
      </w:r>
    </w:p>
    <w:p w:rsidR="004659AD" w:rsidRPr="00642432" w:rsidRDefault="004659AD" w:rsidP="002E6538">
      <w:pPr>
        <w:pStyle w:val="Bullet"/>
      </w:pPr>
      <w:r w:rsidRPr="00642432">
        <w:t>To function as a national collection, PRIMHD requires integration with a wide</w:t>
      </w:r>
      <w:r w:rsidR="00D32DDD" w:rsidRPr="00642432">
        <w:t xml:space="preserve"> </w:t>
      </w:r>
      <w:r w:rsidRPr="00642432">
        <w:t>range of person management systems across hundreds of unique service providers. As the services adjust to PRIMHD, it is expected that the quality of the data will improve.</w:t>
      </w:r>
    </w:p>
    <w:p w:rsidR="004659AD" w:rsidRPr="00642432" w:rsidRDefault="004659AD" w:rsidP="002E6538">
      <w:pPr>
        <w:pStyle w:val="Bullet"/>
      </w:pPr>
      <w:r w:rsidRPr="00642432">
        <w:t>For the 2013 Annual Report, manual data supplied by DHBs has</w:t>
      </w:r>
      <w:r w:rsidR="00D32DDD" w:rsidRPr="00642432">
        <w:t xml:space="preserve"> </w:t>
      </w:r>
      <w:r w:rsidRPr="00642432">
        <w:t>been used for 15 of the 20</w:t>
      </w:r>
      <w:r w:rsidR="002E6538">
        <w:t> </w:t>
      </w:r>
      <w:r w:rsidRPr="00642432">
        <w:t>DHBs for reporting compulsory assessment and treatment under the Mental Health Act. This</w:t>
      </w:r>
      <w:r w:rsidR="00D32DDD" w:rsidRPr="00642432">
        <w:t xml:space="preserve"> </w:t>
      </w:r>
      <w:r w:rsidRPr="00642432">
        <w:t>decision was made after issues with 2013 PRIMHD data were</w:t>
      </w:r>
      <w:r w:rsidR="00D32DDD" w:rsidRPr="00642432">
        <w:t xml:space="preserve"> </w:t>
      </w:r>
      <w:r w:rsidRPr="00642432">
        <w:t>identified. These issues will be addressed, with the intention of returning to PRIMHD for future Annual Reports.</w:t>
      </w:r>
    </w:p>
    <w:p w:rsidR="004659AD" w:rsidRPr="00642432" w:rsidRDefault="004659AD" w:rsidP="002E6538">
      <w:pPr>
        <w:pStyle w:val="Bullet"/>
      </w:pPr>
      <w:r w:rsidRPr="00642432">
        <w:t>Mental health and addiction services for older people are funded as mental health and addiction services in the Northern and Midland regions but as health services for older people in the Southern and Central regions. PRIMHD mainly captures mental health and addiction services and occasionally captures data on health services for older people, which means that data on clients aged over</w:t>
      </w:r>
      <w:r w:rsidR="00D32DDD" w:rsidRPr="00642432">
        <w:t xml:space="preserve"> </w:t>
      </w:r>
      <w:r w:rsidRPr="00642432">
        <w:t>65 years (including services for older people) is incomplete.</w:t>
      </w:r>
    </w:p>
    <w:p w:rsidR="004659AD" w:rsidRPr="00642432" w:rsidRDefault="004659AD" w:rsidP="002E6538">
      <w:pPr>
        <w:pStyle w:val="Bullet"/>
      </w:pPr>
      <w:r w:rsidRPr="00642432">
        <w:t>The quality and accuracy of statistical reporting relies on consistent, correct and timely data entry by the services that report to PRIMHD.</w:t>
      </w:r>
    </w:p>
    <w:p w:rsidR="004659AD" w:rsidRPr="00642432" w:rsidRDefault="004659AD" w:rsidP="002E6538">
      <w:pPr>
        <w:pStyle w:val="Bullet"/>
      </w:pPr>
      <w:r w:rsidRPr="00642432">
        <w:t>The Ministry of Health is actively engaged in a continuing project to review and improve the data quality of PRIMHD. This</w:t>
      </w:r>
      <w:r w:rsidR="00D32DDD" w:rsidRPr="00642432">
        <w:t xml:space="preserve"> </w:t>
      </w:r>
      <w:r w:rsidRPr="00642432">
        <w:t>project is considered a priority given the importance of mental health data in providing information about mental health service use and outcomes, and in generating conversations and public debate about how to improve mental health care for New Zealanders.</w:t>
      </w:r>
    </w:p>
    <w:p w:rsidR="00863117" w:rsidRPr="00642432" w:rsidRDefault="00863117" w:rsidP="002E6538"/>
    <w:sectPr w:rsidR="00863117" w:rsidRPr="00642432" w:rsidSect="009D5125">
      <w:headerReference w:type="default" r:id="rId75"/>
      <w:footerReference w:type="default" r:id="rId76"/>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041" w:rsidRDefault="00587041">
      <w:pPr>
        <w:spacing w:line="240" w:lineRule="auto"/>
      </w:pPr>
      <w:r>
        <w:separator/>
      </w:r>
    </w:p>
  </w:endnote>
  <w:endnote w:type="continuationSeparator" w:id="0">
    <w:p w:rsidR="00587041" w:rsidRDefault="005870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41" w:rsidRPr="003648EF" w:rsidRDefault="00587041"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41" w:rsidRDefault="00587041"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41" w:rsidRDefault="0058704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41" w:rsidRPr="00275D08" w:rsidRDefault="00587041"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6A1D2C">
      <w:rPr>
        <w:rStyle w:val="PageNumber"/>
        <w:noProof/>
      </w:rPr>
      <w:t>iv</w:t>
    </w:r>
    <w:r w:rsidRPr="00FC46E7">
      <w:rPr>
        <w:rStyle w:val="PageNumber"/>
      </w:rPr>
      <w:fldChar w:fldCharType="end"/>
    </w:r>
    <w:r>
      <w:tab/>
      <w:t>Office of the Director of Mental Health Annual Report 2013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41" w:rsidRDefault="00587041" w:rsidP="00533B90">
    <w:pPr>
      <w:pStyle w:val="RectoFooter"/>
    </w:pPr>
    <w:r>
      <w:tab/>
      <w:t>Office of the Director of Mental Health Annual Report 2013</w:t>
    </w:r>
    <w:r>
      <w:tab/>
    </w:r>
    <w:r>
      <w:rPr>
        <w:rStyle w:val="PageNumber"/>
      </w:rPr>
      <w:fldChar w:fldCharType="begin"/>
    </w:r>
    <w:r>
      <w:rPr>
        <w:rStyle w:val="PageNumber"/>
      </w:rPr>
      <w:instrText xml:space="preserve"> PAGE </w:instrText>
    </w:r>
    <w:r>
      <w:rPr>
        <w:rStyle w:val="PageNumber"/>
      </w:rPr>
      <w:fldChar w:fldCharType="separate"/>
    </w:r>
    <w:r w:rsidR="006A1D2C">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41" w:rsidRDefault="00587041" w:rsidP="00533B90">
    <w:pPr>
      <w:pStyle w:val="RectoFooter"/>
    </w:pPr>
    <w:r>
      <w:tab/>
      <w:t>Office of the Director of Mental Health Annual Report 2013</w:t>
    </w:r>
    <w:r>
      <w:tab/>
    </w:r>
    <w:r>
      <w:rPr>
        <w:rStyle w:val="PageNumber"/>
      </w:rPr>
      <w:fldChar w:fldCharType="begin"/>
    </w:r>
    <w:r>
      <w:rPr>
        <w:rStyle w:val="PageNumber"/>
      </w:rPr>
      <w:instrText xml:space="preserve"> PAGE </w:instrText>
    </w:r>
    <w:r>
      <w:rPr>
        <w:rStyle w:val="PageNumber"/>
      </w:rPr>
      <w:fldChar w:fldCharType="separate"/>
    </w:r>
    <w:r w:rsidR="006A1D2C">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041" w:rsidRPr="00E460B6" w:rsidRDefault="00587041" w:rsidP="007B4D3E"/>
  </w:footnote>
  <w:footnote w:type="continuationSeparator" w:id="0">
    <w:p w:rsidR="00587041" w:rsidRDefault="00587041">
      <w:pPr>
        <w:spacing w:line="240" w:lineRule="auto"/>
      </w:pPr>
      <w:r>
        <w:continuationSeparator/>
      </w:r>
    </w:p>
  </w:footnote>
  <w:footnote w:id="1">
    <w:p w:rsidR="00587041" w:rsidRDefault="00587041" w:rsidP="00E876AC">
      <w:pPr>
        <w:pStyle w:val="FootnoteText"/>
      </w:pPr>
      <w:r>
        <w:rPr>
          <w:rStyle w:val="FootnoteReference"/>
        </w:rPr>
        <w:footnoteRef/>
      </w:r>
      <w:r>
        <w:tab/>
      </w:r>
      <w:r w:rsidRPr="00642432">
        <w:t xml:space="preserve">If </w:t>
      </w:r>
      <w:r w:rsidRPr="00E876AC">
        <w:t>people</w:t>
      </w:r>
      <w:r w:rsidRPr="00642432">
        <w:t xml:space="preserve"> seen by addiction services only are excluded, the total number of people who engaged with a specialist mental health service was 122,438. Source: PRIMHD, extracted 23 October 2014.</w:t>
      </w:r>
    </w:p>
    <w:p w:rsidR="00587041" w:rsidRDefault="00587041" w:rsidP="00E876AC">
      <w:pPr>
        <w:pStyle w:val="FootnoteText"/>
        <w:ind w:firstLine="0"/>
      </w:pPr>
      <w:r w:rsidRPr="00642432">
        <w:t xml:space="preserve">In addition, data on clients aged over 65 years is incomplete as health services for older people in the Central and Southern regions do not report </w:t>
      </w:r>
      <w:r w:rsidRPr="00E876AC">
        <w:t>to</w:t>
      </w:r>
      <w:r w:rsidRPr="00642432">
        <w:t xml:space="preserve"> PRIMHD.</w:t>
      </w:r>
    </w:p>
  </w:footnote>
  <w:footnote w:id="2">
    <w:p w:rsidR="00587041" w:rsidRPr="00E876AC" w:rsidRDefault="00587041" w:rsidP="00E876AC">
      <w:pPr>
        <w:pStyle w:val="FootnoteText"/>
      </w:pPr>
      <w:r>
        <w:rPr>
          <w:rStyle w:val="FootnoteReference"/>
        </w:rPr>
        <w:footnoteRef/>
      </w:r>
      <w:r>
        <w:tab/>
      </w:r>
      <w:r w:rsidRPr="00642432">
        <w:t>Between 2002 and 2013, the total New Zealand population increased by approximately 13.4 percent.</w:t>
      </w:r>
    </w:p>
  </w:footnote>
  <w:footnote w:id="3">
    <w:p w:rsidR="00587041" w:rsidRDefault="00587041" w:rsidP="00606748">
      <w:pPr>
        <w:pStyle w:val="FootnoteText"/>
      </w:pPr>
      <w:r>
        <w:rPr>
          <w:rStyle w:val="FootnoteReference"/>
        </w:rPr>
        <w:footnoteRef/>
      </w:r>
      <w:r>
        <w:tab/>
      </w:r>
      <w:r w:rsidRPr="00642432">
        <w:t xml:space="preserve">Mental Health (Compulsory </w:t>
      </w:r>
      <w:r w:rsidRPr="00606748">
        <w:t>Assessment</w:t>
      </w:r>
      <w:r w:rsidRPr="00642432">
        <w:t xml:space="preserve"> and Treatment) Act 1992, long title.</w:t>
      </w:r>
    </w:p>
  </w:footnote>
  <w:footnote w:id="4">
    <w:p w:rsidR="00587041" w:rsidRDefault="00587041" w:rsidP="008D2336">
      <w:pPr>
        <w:pStyle w:val="FootnoteText"/>
      </w:pPr>
      <w:r w:rsidRPr="008D2336">
        <w:rPr>
          <w:rStyle w:val="FootnoteReference"/>
        </w:rPr>
        <w:footnoteRef/>
      </w:r>
      <w:r>
        <w:tab/>
      </w:r>
      <w:r w:rsidRPr="00642432">
        <w:t>Data extracted from the Ministry of Justice’s Case Management System as at 26 June 2014.</w:t>
      </w:r>
    </w:p>
  </w:footnote>
  <w:footnote w:id="5">
    <w:p w:rsidR="00587041" w:rsidRDefault="00587041" w:rsidP="00D4169E">
      <w:pPr>
        <w:pStyle w:val="FootnoteText"/>
      </w:pPr>
      <w:r w:rsidRPr="00D4169E">
        <w:rPr>
          <w:rStyle w:val="FootnoteReference"/>
        </w:rPr>
        <w:footnoteRef/>
      </w:r>
      <w:r>
        <w:tab/>
      </w:r>
      <w:r w:rsidRPr="00642432">
        <w:t>PRIMHD data, extracted on 21 July 2014.</w:t>
      </w:r>
    </w:p>
  </w:footnote>
  <w:footnote w:id="6">
    <w:p w:rsidR="00587041" w:rsidRDefault="00587041" w:rsidP="00D4169E">
      <w:pPr>
        <w:pStyle w:val="FootnoteText"/>
      </w:pPr>
      <w:r>
        <w:rPr>
          <w:rStyle w:val="FootnoteReference"/>
        </w:rPr>
        <w:footnoteRef/>
      </w:r>
      <w:r>
        <w:tab/>
      </w:r>
      <w:r w:rsidRPr="00642432">
        <w:t>Manual data provided by DHBs, except for Auckland, Counties Manukau, Southern, Taranaki and West Coast, which is</w:t>
      </w:r>
      <w:r>
        <w:t xml:space="preserve"> </w:t>
      </w:r>
      <w:r w:rsidRPr="00642432">
        <w:t>PRIMHD data, extracted on 8 August 2014.</w:t>
      </w:r>
    </w:p>
  </w:footnote>
  <w:footnote w:id="7">
    <w:p w:rsidR="00587041" w:rsidRDefault="00587041" w:rsidP="00D4169E">
      <w:pPr>
        <w:pStyle w:val="FootnoteText"/>
      </w:pPr>
      <w:r>
        <w:rPr>
          <w:rStyle w:val="FootnoteReference"/>
        </w:rPr>
        <w:footnoteRef/>
      </w:r>
      <w:r>
        <w:tab/>
      </w:r>
      <w:r w:rsidRPr="00642432">
        <w:t>Manual data provided by DHBs, except for Auckland, Counties Manukau, Southern, Taranaki and West Coast, which is</w:t>
      </w:r>
      <w:r>
        <w:t xml:space="preserve"> </w:t>
      </w:r>
      <w:r w:rsidRPr="00642432">
        <w:t>PRIMHD data, extracted on 14 August 2014.</w:t>
      </w:r>
    </w:p>
  </w:footnote>
  <w:footnote w:id="8">
    <w:p w:rsidR="00587041" w:rsidRDefault="00587041" w:rsidP="00C95A59">
      <w:pPr>
        <w:pStyle w:val="FootnoteText"/>
      </w:pPr>
      <w:r>
        <w:rPr>
          <w:rStyle w:val="FootnoteReference"/>
        </w:rPr>
        <w:footnoteRef/>
      </w:r>
      <w:r>
        <w:tab/>
      </w:r>
      <w:r w:rsidRPr="00642432">
        <w:t>This action is outlined in Rising to the Challenge (Ministry of Health 2012f ). In addition, reducing the number of Māori subject to section 29 of the Mental Health Act will be an indicator in forthcoming 2014/15 Māori Health Plans for every DHB.</w:t>
      </w:r>
    </w:p>
  </w:footnote>
  <w:footnote w:id="9">
    <w:p w:rsidR="00587041" w:rsidRDefault="00587041" w:rsidP="00C95A59">
      <w:pPr>
        <w:pStyle w:val="FootnoteText"/>
      </w:pPr>
      <w:r>
        <w:rPr>
          <w:rStyle w:val="FootnoteReference"/>
        </w:rPr>
        <w:footnoteRef/>
      </w:r>
      <w:r>
        <w:tab/>
      </w:r>
      <w:r w:rsidRPr="00642432">
        <w:t>PRIMHD data, extracted on 19 March 2014. This priority applies to both voluntary service users and those under the Mental</w:t>
      </w:r>
      <w:r>
        <w:t xml:space="preserve"> </w:t>
      </w:r>
      <w:r w:rsidRPr="00642432">
        <w:t>Health Act.</w:t>
      </w:r>
    </w:p>
  </w:footnote>
  <w:footnote w:id="10">
    <w:p w:rsidR="00587041" w:rsidRDefault="00587041" w:rsidP="00C95A59">
      <w:pPr>
        <w:pStyle w:val="FootnoteText"/>
      </w:pPr>
      <w:r>
        <w:rPr>
          <w:rStyle w:val="FootnoteReference"/>
        </w:rPr>
        <w:footnoteRef/>
      </w:r>
      <w:r>
        <w:tab/>
      </w:r>
      <w:r w:rsidRPr="00642432">
        <w:t>PRIMHD data, extracted on 19 March 2014.</w:t>
      </w:r>
    </w:p>
  </w:footnote>
  <w:footnote w:id="11">
    <w:p w:rsidR="00587041" w:rsidRDefault="00587041" w:rsidP="00C95A59">
      <w:pPr>
        <w:pStyle w:val="FootnoteText"/>
      </w:pPr>
      <w:r>
        <w:rPr>
          <w:rStyle w:val="FootnoteReference"/>
        </w:rPr>
        <w:footnoteRef/>
      </w:r>
      <w:r>
        <w:tab/>
      </w:r>
      <w:r w:rsidRPr="00642432">
        <w:t>Statistical difference was calculated with a 99 percent confidence interval.</w:t>
      </w:r>
    </w:p>
  </w:footnote>
  <w:footnote w:id="12">
    <w:p w:rsidR="00587041" w:rsidRDefault="00587041" w:rsidP="00BF5C9E">
      <w:pPr>
        <w:pStyle w:val="FootnoteText"/>
      </w:pPr>
      <w:r>
        <w:rPr>
          <w:rStyle w:val="FootnoteReference"/>
        </w:rPr>
        <w:footnoteRef/>
      </w:r>
      <w:r>
        <w:tab/>
      </w:r>
      <w:r w:rsidRPr="00642432">
        <w:t>The Health and Disability Services (General) Standard (Standards New Zealand 2008a).</w:t>
      </w:r>
    </w:p>
  </w:footnote>
  <w:footnote w:id="13">
    <w:p w:rsidR="00587041" w:rsidRDefault="00587041" w:rsidP="00BF5C9E">
      <w:pPr>
        <w:pStyle w:val="FootnoteText"/>
      </w:pPr>
      <w:r>
        <w:rPr>
          <w:rStyle w:val="FootnoteReference"/>
        </w:rPr>
        <w:footnoteRef/>
      </w:r>
      <w:r>
        <w:tab/>
      </w:r>
      <w:r w:rsidRPr="00642432">
        <w:t>A total of 37 young people were secluded in the country’s specialist facilities for children and young people (in Christchurch, Auckland and Wellington). There were 143 seclusion events reported for this group of young people.</w:t>
      </w:r>
    </w:p>
  </w:footnote>
  <w:footnote w:id="14">
    <w:p w:rsidR="00587041" w:rsidRDefault="00587041" w:rsidP="00BF5C9E">
      <w:pPr>
        <w:pStyle w:val="FootnoteText"/>
      </w:pPr>
      <w:r>
        <w:rPr>
          <w:rStyle w:val="FootnoteReference"/>
        </w:rPr>
        <w:footnoteRef/>
      </w:r>
      <w:r>
        <w:tab/>
      </w:r>
      <w:r w:rsidRPr="00642432">
        <w:t>If a person in Wairarapa requires admission, they are transported to Hutt Valley or MidCentral DHB, and any seclusion statistics in relation to these patients appear on the corresponding DHB’s database.</w:t>
      </w:r>
    </w:p>
  </w:footnote>
  <w:footnote w:id="15">
    <w:p w:rsidR="00587041" w:rsidRDefault="00587041" w:rsidP="00650B85">
      <w:pPr>
        <w:pStyle w:val="FootnoteText"/>
      </w:pPr>
      <w:r>
        <w:rPr>
          <w:rStyle w:val="FootnoteReference"/>
        </w:rPr>
        <w:footnoteRef/>
      </w:r>
      <w:r>
        <w:tab/>
      </w:r>
      <w:r w:rsidRPr="00642432">
        <w:t>The Whanganui inpatient unit comes under the Central re</w:t>
      </w:r>
      <w:r>
        <w:t>g</w:t>
      </w:r>
      <w:r w:rsidRPr="00642432">
        <w:t>ion’s forensic services.</w:t>
      </w:r>
    </w:p>
  </w:footnote>
  <w:footnote w:id="16">
    <w:p w:rsidR="00587041" w:rsidRDefault="00587041" w:rsidP="00454D07">
      <w:pPr>
        <w:pStyle w:val="FootnoteText"/>
      </w:pPr>
      <w:r>
        <w:rPr>
          <w:rStyle w:val="FootnoteReference"/>
        </w:rPr>
        <w:footnoteRef/>
      </w:r>
      <w:r>
        <w:tab/>
      </w:r>
      <w:r w:rsidRPr="00642432">
        <w:t>The number of people treated with ECT in 2013 is presented in Table 7 by DHB for the area where the person lives (DHB of domicile). These statistics are presented in this way because some DHBs do not perform ECT; instead, people in that area are referred to other DHBs for ECT treatment. Presenting the figures by DHB of domicile therefore gives a better picture of the rates of ECT treatment prescribed by DHB. Other ECT statistics are by DHB of service.</w:t>
      </w:r>
    </w:p>
  </w:footnote>
  <w:footnote w:id="17">
    <w:p w:rsidR="00587041" w:rsidRDefault="00587041" w:rsidP="008069AE">
      <w:pPr>
        <w:pStyle w:val="FootnoteText"/>
      </w:pPr>
      <w:r>
        <w:rPr>
          <w:rStyle w:val="FootnoteReference"/>
        </w:rPr>
        <w:footnoteRef/>
      </w:r>
      <w:r>
        <w:tab/>
      </w:r>
      <w:r w:rsidRPr="00642432">
        <w:t>The psychiatrist must be independent of the person’s clinical team.</w:t>
      </w:r>
    </w:p>
  </w:footnote>
  <w:footnote w:id="18">
    <w:p w:rsidR="00587041" w:rsidRDefault="00587041" w:rsidP="008069AE">
      <w:pPr>
        <w:pStyle w:val="FootnoteText"/>
      </w:pPr>
      <w:r>
        <w:rPr>
          <w:rStyle w:val="FootnoteReference"/>
        </w:rPr>
        <w:footnoteRef/>
      </w:r>
      <w:r>
        <w:tab/>
      </w:r>
      <w:r w:rsidRPr="00642432">
        <w:t xml:space="preserve">Refer to the </w:t>
      </w:r>
      <w:r w:rsidRPr="00642432">
        <w:rPr>
          <w:i/>
        </w:rPr>
        <w:t xml:space="preserve">Guidelines to the Mental Health (Compulsory Assessment and Treatment) Act 1992 </w:t>
      </w:r>
      <w:r w:rsidRPr="00642432">
        <w:t>(Ministry of Health 2012d), available on the Ministry’s website (www.health.govt.nz).</w:t>
      </w:r>
    </w:p>
  </w:footnote>
  <w:footnote w:id="19">
    <w:p w:rsidR="00587041" w:rsidRDefault="00587041" w:rsidP="00014AFF">
      <w:pPr>
        <w:pStyle w:val="FootnoteText"/>
      </w:pPr>
      <w:r>
        <w:rPr>
          <w:rStyle w:val="FootnoteReference"/>
        </w:rPr>
        <w:footnoteRef/>
      </w:r>
      <w:r>
        <w:tab/>
      </w:r>
      <w:r w:rsidRPr="00642432">
        <w:t>For more information on reporting, please see the Health Quality and Safety Commission website (www.hqsc.govt.nz).</w:t>
      </w:r>
    </w:p>
  </w:footnote>
  <w:footnote w:id="20">
    <w:p w:rsidR="00587041" w:rsidRDefault="00587041" w:rsidP="00E76FF1">
      <w:pPr>
        <w:pStyle w:val="FootnoteText"/>
      </w:pPr>
      <w:r>
        <w:rPr>
          <w:rStyle w:val="FootnoteReference"/>
        </w:rPr>
        <w:footnoteRef/>
      </w:r>
      <w:r>
        <w:tab/>
      </w:r>
      <w:r w:rsidRPr="00642432">
        <w:t>For the 2012/13 fiscal year, 177 incidents were reported, including 134 cases of death by suspected suicide of mental health and addiction service users within 28 days of contact with that service.</w:t>
      </w:r>
    </w:p>
  </w:footnote>
  <w:footnote w:id="21">
    <w:p w:rsidR="00587041" w:rsidRDefault="00587041" w:rsidP="00BD62EA">
      <w:pPr>
        <w:pStyle w:val="FootnoteText"/>
      </w:pPr>
      <w:r>
        <w:rPr>
          <w:rStyle w:val="FootnoteReference"/>
        </w:rPr>
        <w:footnoteRef/>
      </w:r>
      <w:r>
        <w:tab/>
      </w:r>
      <w:r w:rsidRPr="00642432">
        <w:t>Any suicides or suspected suicides of people under the Mental Health Act also come under the serious adverse event reporting requirements of the HQSC.</w:t>
      </w:r>
    </w:p>
  </w:footnote>
  <w:footnote w:id="22">
    <w:p w:rsidR="00587041" w:rsidRDefault="00587041" w:rsidP="00C92667">
      <w:pPr>
        <w:pStyle w:val="FootnoteText"/>
      </w:pPr>
      <w:r>
        <w:rPr>
          <w:rStyle w:val="FootnoteReference"/>
        </w:rPr>
        <w:footnoteRef/>
      </w:r>
      <w:r>
        <w:tab/>
      </w:r>
      <w:r w:rsidRPr="00642432">
        <w:t>The statistics discussed here cover only people under 65 years of age because in the Central and Southern regions, older people’s mental health treatment was provided by health services for older people rather than mental health services and is not necessarily recorded in PRIMHD. Deaths of children under 10 years have also been excluded because they are unlikely to be caused by suicide. The data was drawn from information provided to the Ministry’s national mortality database and PRIMHD.</w:t>
      </w:r>
    </w:p>
  </w:footnote>
  <w:footnote w:id="23">
    <w:p w:rsidR="00587041" w:rsidRDefault="00587041" w:rsidP="00C92667">
      <w:pPr>
        <w:pStyle w:val="FootnoteText"/>
      </w:pPr>
      <w:r>
        <w:rPr>
          <w:rStyle w:val="FootnoteReference"/>
        </w:rPr>
        <w:footnoteRef/>
      </w:r>
      <w:r>
        <w:tab/>
      </w:r>
      <w:r w:rsidRPr="00642432">
        <w:t>These numbers are subject to change. The mortality database is a dynamic collection, and changes can be made even after the data is considered nominally final.</w:t>
      </w:r>
    </w:p>
  </w:footnote>
  <w:footnote w:id="24">
    <w:p w:rsidR="00587041" w:rsidRDefault="00587041" w:rsidP="00AF532C">
      <w:pPr>
        <w:pStyle w:val="FootnoteText"/>
      </w:pPr>
      <w:r>
        <w:rPr>
          <w:rStyle w:val="FootnoteReference"/>
        </w:rPr>
        <w:footnoteRef/>
      </w:r>
      <w:r>
        <w:tab/>
      </w:r>
      <w:r w:rsidRPr="00642432">
        <w:t>The term ‘gender’ has been used for all other reporting measures in this report. However, the mortality database uses ‘sex’ in relation to suicide statistics, and this section follows that convention.</w:t>
      </w:r>
    </w:p>
  </w:footnote>
  <w:footnote w:id="25">
    <w:p w:rsidR="00587041" w:rsidRDefault="00587041" w:rsidP="005E2C2B">
      <w:pPr>
        <w:pStyle w:val="FootnoteText"/>
      </w:pPr>
      <w:r>
        <w:rPr>
          <w:rStyle w:val="FootnoteReference"/>
        </w:rPr>
        <w:footnoteRef/>
      </w:r>
      <w:r>
        <w:tab/>
      </w:r>
      <w:r w:rsidRPr="00642432">
        <w:t>This figure is determined from the number of people who died on the same day as they had an inpatient activity. This approach to classification has been taken to mean here that they were still in the context of an inpatient unit on the day of death.</w:t>
      </w:r>
    </w:p>
  </w:footnote>
  <w:footnote w:id="26">
    <w:p w:rsidR="00587041" w:rsidRDefault="00587041" w:rsidP="005E2C2B">
      <w:pPr>
        <w:pStyle w:val="FootnoteText"/>
      </w:pPr>
      <w:r>
        <w:rPr>
          <w:rStyle w:val="FootnoteReference"/>
        </w:rPr>
        <w:footnoteRef/>
      </w:r>
      <w:r>
        <w:tab/>
      </w:r>
      <w:r w:rsidRPr="00642432">
        <w:t>Excluding those who received treatment on the day of death.</w:t>
      </w:r>
    </w:p>
  </w:footnote>
  <w:footnote w:id="27">
    <w:p w:rsidR="00587041" w:rsidRDefault="00587041" w:rsidP="005E2C2B">
      <w:pPr>
        <w:pStyle w:val="FootnoteText"/>
      </w:pPr>
      <w:r>
        <w:rPr>
          <w:rStyle w:val="FootnoteReference"/>
        </w:rPr>
        <w:footnoteRef/>
      </w:r>
      <w:r>
        <w:tab/>
      </w:r>
      <w:r w:rsidRPr="00642432">
        <w:t>Excluding those who received treatment on the day of death and those who died within a week of being discharged from an inpatient service.</w:t>
      </w:r>
    </w:p>
  </w:footnote>
  <w:footnote w:id="28">
    <w:p w:rsidR="00587041" w:rsidRDefault="00587041" w:rsidP="005E2C2B">
      <w:pPr>
        <w:pStyle w:val="FootnoteText"/>
      </w:pPr>
      <w:r>
        <w:rPr>
          <w:rStyle w:val="FootnoteReference"/>
        </w:rPr>
        <w:footnoteRef/>
      </w:r>
      <w:r>
        <w:tab/>
      </w:r>
      <w:r w:rsidRPr="00642432">
        <w:t>Includes deaths of undetermined intent.</w:t>
      </w:r>
    </w:p>
  </w:footnote>
  <w:footnote w:id="29">
    <w:p w:rsidR="00587041" w:rsidRDefault="00587041" w:rsidP="00FF5E23">
      <w:pPr>
        <w:pStyle w:val="FootnoteText"/>
      </w:pPr>
      <w:r>
        <w:rPr>
          <w:rStyle w:val="FootnoteReference"/>
        </w:rPr>
        <w:footnoteRef/>
      </w:r>
      <w:r>
        <w:tab/>
      </w:r>
      <w:r w:rsidRPr="00642432">
        <w:t>Data from OST six-monthly reporting to the Director of Mental Health, which began in 2007. The increase in the number of clients may also be due to services adjusting to the new reporting measure and improving their reporting.</w:t>
      </w:r>
    </w:p>
  </w:footnote>
  <w:footnote w:id="30">
    <w:p w:rsidR="00587041" w:rsidRDefault="00587041" w:rsidP="00243759">
      <w:pPr>
        <w:pStyle w:val="FootnoteText"/>
      </w:pPr>
      <w:r>
        <w:rPr>
          <w:rStyle w:val="FootnoteReference"/>
        </w:rPr>
        <w:footnoteRef/>
      </w:r>
      <w:r>
        <w:tab/>
      </w:r>
      <w:r w:rsidRPr="00642432">
        <w:t>Number transferred was 278 in 2008, 228 in 2009, 225 in 2010, 219 in 2011, 227 in 2012 and 231 in 2013.</w:t>
      </w:r>
    </w:p>
  </w:footnote>
  <w:footnote w:id="31">
    <w:p w:rsidR="00587041" w:rsidRDefault="00587041" w:rsidP="00243759">
      <w:pPr>
        <w:pStyle w:val="FootnoteText"/>
      </w:pPr>
      <w:r>
        <w:rPr>
          <w:rStyle w:val="FootnoteReference"/>
        </w:rPr>
        <w:footnoteRef/>
      </w:r>
      <w:r>
        <w:tab/>
      </w:r>
      <w:r w:rsidRPr="00642432">
        <w:t>Prison Opioid Substitution and Managed Withdrawal Protocol 2007.</w:t>
      </w:r>
    </w:p>
  </w:footnote>
  <w:footnote w:id="32">
    <w:p w:rsidR="00587041" w:rsidRDefault="00587041" w:rsidP="00243759">
      <w:pPr>
        <w:pStyle w:val="FootnoteText"/>
      </w:pPr>
      <w:r>
        <w:rPr>
          <w:rStyle w:val="FootnoteReference"/>
        </w:rPr>
        <w:footnoteRef/>
      </w:r>
      <w:r>
        <w:tab/>
      </w:r>
      <w:r w:rsidRPr="00642432">
        <w:t>Data from six-monthly reports, collected on December of the mentioned year</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41" w:rsidRDefault="00587041" w:rsidP="00D25FFE">
    <w:pPr>
      <w:pStyle w:val="Header"/>
      <w:ind w:left="-1559"/>
    </w:pPr>
    <w:r>
      <w:rPr>
        <w:noProof/>
        <w:lang w:eastAsia="en-NZ"/>
      </w:rPr>
      <w:drawing>
        <wp:inline distT="0" distB="0" distL="0" distR="0" wp14:anchorId="0DB5459F" wp14:editId="7E3CABAE">
          <wp:extent cx="6409055" cy="607060"/>
          <wp:effectExtent l="0" t="0" r="0" b="2540"/>
          <wp:docPr id="1"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41" w:rsidRDefault="00587041"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41" w:rsidRDefault="00587041"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041" w:rsidRDefault="00587041"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0">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1">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1"/>
  </w:num>
  <w:num w:numId="2">
    <w:abstractNumId w:val="9"/>
  </w:num>
  <w:num w:numId="3">
    <w:abstractNumId w:val="5"/>
  </w:num>
  <w:num w:numId="4">
    <w:abstractNumId w:val="6"/>
  </w:num>
  <w:num w:numId="5">
    <w:abstractNumId w:val="1"/>
  </w:num>
  <w:num w:numId="6">
    <w:abstractNumId w:val="8"/>
  </w:num>
  <w:num w:numId="7">
    <w:abstractNumId w:val="3"/>
  </w:num>
  <w:num w:numId="8">
    <w:abstractNumId w:val="10"/>
  </w:num>
  <w:num w:numId="9">
    <w:abstractNumId w:val="2"/>
  </w:num>
  <w:num w:numId="10">
    <w:abstractNumId w:val="4"/>
  </w:num>
  <w:num w:numId="11">
    <w:abstractNumId w:val="7"/>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24DA"/>
    <w:rsid w:val="0001390D"/>
    <w:rsid w:val="00014AFF"/>
    <w:rsid w:val="00030B26"/>
    <w:rsid w:val="00036D72"/>
    <w:rsid w:val="0006228D"/>
    <w:rsid w:val="00064D2F"/>
    <w:rsid w:val="00072BD6"/>
    <w:rsid w:val="00075B78"/>
    <w:rsid w:val="00082CD6"/>
    <w:rsid w:val="00085AFE"/>
    <w:rsid w:val="00094ED1"/>
    <w:rsid w:val="000B0730"/>
    <w:rsid w:val="000B693E"/>
    <w:rsid w:val="000F2AE2"/>
    <w:rsid w:val="00100106"/>
    <w:rsid w:val="00102063"/>
    <w:rsid w:val="0010541C"/>
    <w:rsid w:val="00106F93"/>
    <w:rsid w:val="00111D50"/>
    <w:rsid w:val="00113B8E"/>
    <w:rsid w:val="001342C7"/>
    <w:rsid w:val="0013585C"/>
    <w:rsid w:val="00142954"/>
    <w:rsid w:val="001460E0"/>
    <w:rsid w:val="00147F71"/>
    <w:rsid w:val="00150A6E"/>
    <w:rsid w:val="0016468A"/>
    <w:rsid w:val="001811A9"/>
    <w:rsid w:val="001A5CF5"/>
    <w:rsid w:val="001A70B3"/>
    <w:rsid w:val="001B39D2"/>
    <w:rsid w:val="001B5391"/>
    <w:rsid w:val="001C4326"/>
    <w:rsid w:val="001C61FF"/>
    <w:rsid w:val="001D289A"/>
    <w:rsid w:val="001D3541"/>
    <w:rsid w:val="00201A01"/>
    <w:rsid w:val="002104D3"/>
    <w:rsid w:val="00213A33"/>
    <w:rsid w:val="0021763B"/>
    <w:rsid w:val="00222CA3"/>
    <w:rsid w:val="00243759"/>
    <w:rsid w:val="0024426D"/>
    <w:rsid w:val="00246DB1"/>
    <w:rsid w:val="002476B5"/>
    <w:rsid w:val="00253ECF"/>
    <w:rsid w:val="002546A1"/>
    <w:rsid w:val="00275D08"/>
    <w:rsid w:val="002858E3"/>
    <w:rsid w:val="0029190A"/>
    <w:rsid w:val="00292C5A"/>
    <w:rsid w:val="00295241"/>
    <w:rsid w:val="002B047D"/>
    <w:rsid w:val="002B732B"/>
    <w:rsid w:val="002C2219"/>
    <w:rsid w:val="002D0DF2"/>
    <w:rsid w:val="002D23BD"/>
    <w:rsid w:val="002E0B47"/>
    <w:rsid w:val="002E6538"/>
    <w:rsid w:val="002F7213"/>
    <w:rsid w:val="0030382F"/>
    <w:rsid w:val="0030408D"/>
    <w:rsid w:val="003060E4"/>
    <w:rsid w:val="003160E7"/>
    <w:rsid w:val="0031739E"/>
    <w:rsid w:val="0032517E"/>
    <w:rsid w:val="003325AB"/>
    <w:rsid w:val="0033412B"/>
    <w:rsid w:val="003431E1"/>
    <w:rsid w:val="00343365"/>
    <w:rsid w:val="00353501"/>
    <w:rsid w:val="003606F8"/>
    <w:rsid w:val="003648EF"/>
    <w:rsid w:val="003673E6"/>
    <w:rsid w:val="00373EA6"/>
    <w:rsid w:val="00377264"/>
    <w:rsid w:val="003931E5"/>
    <w:rsid w:val="003A26A5"/>
    <w:rsid w:val="003A3761"/>
    <w:rsid w:val="003A5FEA"/>
    <w:rsid w:val="003A7EFC"/>
    <w:rsid w:val="003B1D10"/>
    <w:rsid w:val="003C241A"/>
    <w:rsid w:val="003C76D4"/>
    <w:rsid w:val="003E7C46"/>
    <w:rsid w:val="003F52A7"/>
    <w:rsid w:val="0040240C"/>
    <w:rsid w:val="00404592"/>
    <w:rsid w:val="00413021"/>
    <w:rsid w:val="00431812"/>
    <w:rsid w:val="00434C61"/>
    <w:rsid w:val="00440BE0"/>
    <w:rsid w:val="00442C1C"/>
    <w:rsid w:val="0044584B"/>
    <w:rsid w:val="00447CB7"/>
    <w:rsid w:val="00451EFA"/>
    <w:rsid w:val="00454D07"/>
    <w:rsid w:val="00460826"/>
    <w:rsid w:val="00460EA7"/>
    <w:rsid w:val="0046195B"/>
    <w:rsid w:val="0046596D"/>
    <w:rsid w:val="004659AD"/>
    <w:rsid w:val="0047500E"/>
    <w:rsid w:val="00477C8C"/>
    <w:rsid w:val="00487C04"/>
    <w:rsid w:val="004907E1"/>
    <w:rsid w:val="004A035B"/>
    <w:rsid w:val="004A38D7"/>
    <w:rsid w:val="004A778C"/>
    <w:rsid w:val="004B69C8"/>
    <w:rsid w:val="004C2E6A"/>
    <w:rsid w:val="004D2A2D"/>
    <w:rsid w:val="004D6689"/>
    <w:rsid w:val="004E1D1D"/>
    <w:rsid w:val="004E47D1"/>
    <w:rsid w:val="004E7AC8"/>
    <w:rsid w:val="004F0A52"/>
    <w:rsid w:val="004F0C94"/>
    <w:rsid w:val="005003EA"/>
    <w:rsid w:val="005019AE"/>
    <w:rsid w:val="00503749"/>
    <w:rsid w:val="00504CF4"/>
    <w:rsid w:val="0050635B"/>
    <w:rsid w:val="0052433D"/>
    <w:rsid w:val="00527EB4"/>
    <w:rsid w:val="0053199F"/>
    <w:rsid w:val="00533B90"/>
    <w:rsid w:val="005410F8"/>
    <w:rsid w:val="005448EC"/>
    <w:rsid w:val="00545963"/>
    <w:rsid w:val="00550256"/>
    <w:rsid w:val="00553958"/>
    <w:rsid w:val="0055763D"/>
    <w:rsid w:val="00561B5D"/>
    <w:rsid w:val="005621F2"/>
    <w:rsid w:val="00567B58"/>
    <w:rsid w:val="005763E0"/>
    <w:rsid w:val="005837E5"/>
    <w:rsid w:val="00583CE8"/>
    <w:rsid w:val="00587041"/>
    <w:rsid w:val="005A27CA"/>
    <w:rsid w:val="005A43BD"/>
    <w:rsid w:val="005B0ACD"/>
    <w:rsid w:val="005C193E"/>
    <w:rsid w:val="005E226E"/>
    <w:rsid w:val="005E2C2B"/>
    <w:rsid w:val="005F08D6"/>
    <w:rsid w:val="006015D7"/>
    <w:rsid w:val="00601B21"/>
    <w:rsid w:val="00602F00"/>
    <w:rsid w:val="00606748"/>
    <w:rsid w:val="00626CF8"/>
    <w:rsid w:val="00636D7D"/>
    <w:rsid w:val="00637408"/>
    <w:rsid w:val="00642432"/>
    <w:rsid w:val="00642868"/>
    <w:rsid w:val="00647AFE"/>
    <w:rsid w:val="00650B85"/>
    <w:rsid w:val="006512BC"/>
    <w:rsid w:val="00653A5A"/>
    <w:rsid w:val="006554CA"/>
    <w:rsid w:val="006575F4"/>
    <w:rsid w:val="006579E6"/>
    <w:rsid w:val="00663EDC"/>
    <w:rsid w:val="00671078"/>
    <w:rsid w:val="00680A04"/>
    <w:rsid w:val="00686D80"/>
    <w:rsid w:val="00694895"/>
    <w:rsid w:val="00697E2E"/>
    <w:rsid w:val="006A1D2C"/>
    <w:rsid w:val="006A25A2"/>
    <w:rsid w:val="006B0E73"/>
    <w:rsid w:val="006B4A4D"/>
    <w:rsid w:val="006B5695"/>
    <w:rsid w:val="006C33E1"/>
    <w:rsid w:val="006C78EB"/>
    <w:rsid w:val="006D1660"/>
    <w:rsid w:val="006F1B67"/>
    <w:rsid w:val="0070091D"/>
    <w:rsid w:val="00702854"/>
    <w:rsid w:val="0071741C"/>
    <w:rsid w:val="00741586"/>
    <w:rsid w:val="00742B90"/>
    <w:rsid w:val="0074434D"/>
    <w:rsid w:val="00760BD3"/>
    <w:rsid w:val="00771B1E"/>
    <w:rsid w:val="00773C95"/>
    <w:rsid w:val="007803E3"/>
    <w:rsid w:val="0078108F"/>
    <w:rsid w:val="0078171E"/>
    <w:rsid w:val="00795B34"/>
    <w:rsid w:val="007B1770"/>
    <w:rsid w:val="007B4D3E"/>
    <w:rsid w:val="007B7C70"/>
    <w:rsid w:val="007C34AF"/>
    <w:rsid w:val="007D2151"/>
    <w:rsid w:val="007D42CC"/>
    <w:rsid w:val="007D5DE4"/>
    <w:rsid w:val="007D6CAA"/>
    <w:rsid w:val="007E1341"/>
    <w:rsid w:val="007E1B41"/>
    <w:rsid w:val="007E30B9"/>
    <w:rsid w:val="007F0F0C"/>
    <w:rsid w:val="007F1288"/>
    <w:rsid w:val="00800A8A"/>
    <w:rsid w:val="0080155C"/>
    <w:rsid w:val="008052E1"/>
    <w:rsid w:val="008069AE"/>
    <w:rsid w:val="00822F2C"/>
    <w:rsid w:val="0082421B"/>
    <w:rsid w:val="008305E8"/>
    <w:rsid w:val="00837E4C"/>
    <w:rsid w:val="00860826"/>
    <w:rsid w:val="00860E21"/>
    <w:rsid w:val="00863117"/>
    <w:rsid w:val="0086388B"/>
    <w:rsid w:val="008642E5"/>
    <w:rsid w:val="00872D93"/>
    <w:rsid w:val="00880470"/>
    <w:rsid w:val="00880D94"/>
    <w:rsid w:val="0088577E"/>
    <w:rsid w:val="008924DE"/>
    <w:rsid w:val="008A3755"/>
    <w:rsid w:val="008B1576"/>
    <w:rsid w:val="008B264F"/>
    <w:rsid w:val="008B6906"/>
    <w:rsid w:val="008B6F83"/>
    <w:rsid w:val="008B7FD8"/>
    <w:rsid w:val="008C2973"/>
    <w:rsid w:val="008C64C4"/>
    <w:rsid w:val="008C681C"/>
    <w:rsid w:val="008C6DBA"/>
    <w:rsid w:val="008D2336"/>
    <w:rsid w:val="008D74D5"/>
    <w:rsid w:val="008E4B29"/>
    <w:rsid w:val="008F29BE"/>
    <w:rsid w:val="008F4AE5"/>
    <w:rsid w:val="008F51EB"/>
    <w:rsid w:val="00900197"/>
    <w:rsid w:val="00901602"/>
    <w:rsid w:val="00902F55"/>
    <w:rsid w:val="0090582B"/>
    <w:rsid w:val="009060C0"/>
    <w:rsid w:val="009133F5"/>
    <w:rsid w:val="009163FC"/>
    <w:rsid w:val="00920A27"/>
    <w:rsid w:val="00921216"/>
    <w:rsid w:val="00932D69"/>
    <w:rsid w:val="00944647"/>
    <w:rsid w:val="00977A2C"/>
    <w:rsid w:val="00977B8A"/>
    <w:rsid w:val="00982971"/>
    <w:rsid w:val="009845AD"/>
    <w:rsid w:val="00995BA0"/>
    <w:rsid w:val="009A418B"/>
    <w:rsid w:val="009A4473"/>
    <w:rsid w:val="009A5A58"/>
    <w:rsid w:val="009C151C"/>
    <w:rsid w:val="009D5125"/>
    <w:rsid w:val="009D60B8"/>
    <w:rsid w:val="009D7D4B"/>
    <w:rsid w:val="009E36ED"/>
    <w:rsid w:val="009E6B77"/>
    <w:rsid w:val="009F460A"/>
    <w:rsid w:val="00A043FB"/>
    <w:rsid w:val="00A0729C"/>
    <w:rsid w:val="00A07779"/>
    <w:rsid w:val="00A20B2E"/>
    <w:rsid w:val="00A3068F"/>
    <w:rsid w:val="00A3145B"/>
    <w:rsid w:val="00A339D0"/>
    <w:rsid w:val="00A41002"/>
    <w:rsid w:val="00A4201A"/>
    <w:rsid w:val="00A553CE"/>
    <w:rsid w:val="00A5677A"/>
    <w:rsid w:val="00A6490D"/>
    <w:rsid w:val="00A80363"/>
    <w:rsid w:val="00A8075F"/>
    <w:rsid w:val="00A9169D"/>
    <w:rsid w:val="00AC101C"/>
    <w:rsid w:val="00AD4CF1"/>
    <w:rsid w:val="00AD5988"/>
    <w:rsid w:val="00AF532C"/>
    <w:rsid w:val="00AF7800"/>
    <w:rsid w:val="00B072E0"/>
    <w:rsid w:val="00B253F6"/>
    <w:rsid w:val="00B332F8"/>
    <w:rsid w:val="00B3492B"/>
    <w:rsid w:val="00B3754C"/>
    <w:rsid w:val="00B4646F"/>
    <w:rsid w:val="00B55C7D"/>
    <w:rsid w:val="00B63038"/>
    <w:rsid w:val="00B64BD8"/>
    <w:rsid w:val="00B701D1"/>
    <w:rsid w:val="00B73AF2"/>
    <w:rsid w:val="00B7551A"/>
    <w:rsid w:val="00B95D64"/>
    <w:rsid w:val="00BA27B7"/>
    <w:rsid w:val="00BC571D"/>
    <w:rsid w:val="00BC59F1"/>
    <w:rsid w:val="00BC64B2"/>
    <w:rsid w:val="00BD1E7E"/>
    <w:rsid w:val="00BD62EA"/>
    <w:rsid w:val="00BF3DE1"/>
    <w:rsid w:val="00BF4843"/>
    <w:rsid w:val="00BF5205"/>
    <w:rsid w:val="00BF5C9E"/>
    <w:rsid w:val="00C12508"/>
    <w:rsid w:val="00C45AA2"/>
    <w:rsid w:val="00C46DD0"/>
    <w:rsid w:val="00C66296"/>
    <w:rsid w:val="00C77282"/>
    <w:rsid w:val="00C84DE5"/>
    <w:rsid w:val="00C86248"/>
    <w:rsid w:val="00C92667"/>
    <w:rsid w:val="00C95A59"/>
    <w:rsid w:val="00CA4C33"/>
    <w:rsid w:val="00CA6F4A"/>
    <w:rsid w:val="00CB6073"/>
    <w:rsid w:val="00CD2119"/>
    <w:rsid w:val="00CD36AC"/>
    <w:rsid w:val="00CF1747"/>
    <w:rsid w:val="00D2392A"/>
    <w:rsid w:val="00D25FFE"/>
    <w:rsid w:val="00D32DDD"/>
    <w:rsid w:val="00D4169E"/>
    <w:rsid w:val="00D4476F"/>
    <w:rsid w:val="00D54D50"/>
    <w:rsid w:val="00D66797"/>
    <w:rsid w:val="00D67286"/>
    <w:rsid w:val="00D7087C"/>
    <w:rsid w:val="00D70C3C"/>
    <w:rsid w:val="00D70D74"/>
    <w:rsid w:val="00D7130F"/>
    <w:rsid w:val="00D72BE5"/>
    <w:rsid w:val="00D77048"/>
    <w:rsid w:val="00D82F26"/>
    <w:rsid w:val="00D84A70"/>
    <w:rsid w:val="00D863D0"/>
    <w:rsid w:val="00D87C87"/>
    <w:rsid w:val="00DB39CF"/>
    <w:rsid w:val="00DD447A"/>
    <w:rsid w:val="00DD7C24"/>
    <w:rsid w:val="00DE3B20"/>
    <w:rsid w:val="00DE6C94"/>
    <w:rsid w:val="00DE6FD7"/>
    <w:rsid w:val="00DF529C"/>
    <w:rsid w:val="00E23271"/>
    <w:rsid w:val="00E24F80"/>
    <w:rsid w:val="00E259F3"/>
    <w:rsid w:val="00E33238"/>
    <w:rsid w:val="00E43739"/>
    <w:rsid w:val="00E4486C"/>
    <w:rsid w:val="00E460B6"/>
    <w:rsid w:val="00E511D5"/>
    <w:rsid w:val="00E60249"/>
    <w:rsid w:val="00E65269"/>
    <w:rsid w:val="00E76D66"/>
    <w:rsid w:val="00E76FF1"/>
    <w:rsid w:val="00E80CB8"/>
    <w:rsid w:val="00E876AC"/>
    <w:rsid w:val="00EA796A"/>
    <w:rsid w:val="00EB1856"/>
    <w:rsid w:val="00EB457A"/>
    <w:rsid w:val="00EC4E31"/>
    <w:rsid w:val="00EC50CE"/>
    <w:rsid w:val="00EC5B34"/>
    <w:rsid w:val="00ED435D"/>
    <w:rsid w:val="00EE2F60"/>
    <w:rsid w:val="00EE4ADE"/>
    <w:rsid w:val="00EE5CB7"/>
    <w:rsid w:val="00EE5FE6"/>
    <w:rsid w:val="00F024FE"/>
    <w:rsid w:val="00F05AD4"/>
    <w:rsid w:val="00F22755"/>
    <w:rsid w:val="00F67496"/>
    <w:rsid w:val="00F801BA"/>
    <w:rsid w:val="00F946C9"/>
    <w:rsid w:val="00F97FBF"/>
    <w:rsid w:val="00FA74EE"/>
    <w:rsid w:val="00FB15A3"/>
    <w:rsid w:val="00FC46E7"/>
    <w:rsid w:val="00FC5D25"/>
    <w:rsid w:val="00FD0D7E"/>
    <w:rsid w:val="00FE6E13"/>
    <w:rsid w:val="00FF15F6"/>
    <w:rsid w:val="00FF527C"/>
    <w:rsid w:val="00FF5E23"/>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3EEA57B4-16F9-487F-974E-397B5495A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BalloonText">
    <w:name w:val="Balloon Text"/>
    <w:basedOn w:val="Normal"/>
    <w:link w:val="BalloonTextChar"/>
    <w:uiPriority w:val="99"/>
    <w:semiHidden/>
    <w:unhideWhenUsed/>
    <w:rsid w:val="00E876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6AC"/>
    <w:rPr>
      <w:rFonts w:ascii="Tahoma" w:hAnsi="Tahoma" w:cs="Tahoma"/>
      <w:sz w:val="16"/>
      <w:szCs w:val="16"/>
      <w:lang w:eastAsia="en-GB"/>
    </w:rPr>
  </w:style>
  <w:style w:type="character" w:customStyle="1" w:styleId="A4">
    <w:name w:val="A4"/>
    <w:uiPriority w:val="99"/>
    <w:rsid w:val="006A1D2C"/>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hyperlink" Target="http://www.health.govt.nz/publication/new-zealand-suicide-prevention-action-plan-2013-2016" TargetMode="External"/><Relationship Id="rId68" Type="http://schemas.openxmlformats.org/officeDocument/2006/relationships/image" Target="media/image44.png"/><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1.emf"/><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hyperlink" Target="http://www.health.govt.nz/" TargetMode="External"/><Relationship Id="rId66" Type="http://schemas.openxmlformats.org/officeDocument/2006/relationships/image" Target="media/image42.png"/><Relationship Id="rId74" Type="http://schemas.openxmlformats.org/officeDocument/2006/relationships/hyperlink" Target="http://www.health.govt.nz/nz-health-statistics/national-collections-and-surveys/collections/primhd-mental-health-data"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hyperlink" Target="http://www.nzlii.org/nz/cases/NZMHRT/" TargetMode="Externa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hyperlink" Target="http://www.health.govt.nz/publications" TargetMode="External"/><Relationship Id="rId61" Type="http://schemas.openxmlformats.org/officeDocument/2006/relationships/image" Target="media/image38.png"/><Relationship Id="rId10" Type="http://schemas.openxmlformats.org/officeDocument/2006/relationships/hyperlink" Target="http://www.vincents.co.nz/" TargetMode="External"/><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hyperlink" Target="http://www.tepou.co.nz/" TargetMode="External"/><Relationship Id="rId52" Type="http://schemas.openxmlformats.org/officeDocument/2006/relationships/image" Target="media/image32.png"/><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hyperlink" Target="http://www.health.govt.nz/nz-health-statistics/national-collections-and-surveys/collections/primhd-mental-health-data"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www.nzlii.org/nz/cases/NZMHRT/"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hyperlink" Target="http://www.tepou.co.nz/" TargetMode="External"/><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tepou.co.nz/" TargetMode="External"/><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yperlink" Target="http://www.health.govt.nz/"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image" Target="media/image5.emf"/><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39.png"/><Relationship Id="rId70" Type="http://schemas.openxmlformats.org/officeDocument/2006/relationships/image" Target="media/image46.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F2FCA-CFFE-4C4A-8E0A-4ACC2F658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81</Pages>
  <Words>22035</Words>
  <Characters>125603</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Office of the Director of Mental Health Annual Report 2013</vt:lpstr>
    </vt:vector>
  </TitlesOfParts>
  <Company>Microsoft</Company>
  <LinksUpToDate>false</LinksUpToDate>
  <CharactersWithSpaces>147344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Director of Mental Health Annual Report 2013</dc:title>
  <dc:creator>Ministry of Health</dc:creator>
  <cp:lastModifiedBy>Logan Smith</cp:lastModifiedBy>
  <cp:revision>4</cp:revision>
  <cp:lastPrinted>2013-05-22T23:47:00Z</cp:lastPrinted>
  <dcterms:created xsi:type="dcterms:W3CDTF">2014-12-01T01:38:00Z</dcterms:created>
  <dcterms:modified xsi:type="dcterms:W3CDTF">2015-08-20T21:46:00Z</dcterms:modified>
</cp:coreProperties>
</file>