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theme/themeOverride1.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1.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xml" ContentType="application/vnd.openxmlformats-officedocument.drawingml.chartshapes+xml"/>
  <Override PartName="/word/charts/chart32.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2.xml" ContentType="application/vnd.openxmlformats-officedocument.drawingml.chartshapes+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drawings/drawing3.xml" ContentType="application/vnd.openxmlformats-officedocument.drawingml.chartshapes+xml"/>
  <Override PartName="/word/charts/chart38.xml" ContentType="application/vnd.openxmlformats-officedocument.drawingml.chart+xml"/>
  <Override PartName="/word/drawings/drawing4.xml" ContentType="application/vnd.openxmlformats-officedocument.drawingml.chartshapes+xml"/>
  <Override PartName="/word/charts/chart39.xml" ContentType="application/vnd.openxmlformats-officedocument.drawingml.chart+xml"/>
  <Override PartName="/word/drawings/drawing5.xml" ContentType="application/vnd.openxmlformats-officedocument.drawingml.chartshapes+xml"/>
  <Override PartName="/word/charts/chart4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6.xml" ContentType="application/vnd.openxmlformats-officedocument.drawingml.chartshapes+xml"/>
  <Override PartName="/word/charts/chart4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4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4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4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4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5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5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5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5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5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5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5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5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5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5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6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6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6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6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6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6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6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6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68.xml" ContentType="application/vnd.openxmlformats-officedocument.drawingml.chart+xml"/>
  <Override PartName="/word/charts/style48.xml" ContentType="application/vnd.ms-office.chartstyle+xml"/>
  <Override PartName="/word/charts/colors48.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9D09D" w14:textId="4AD92D26" w:rsidR="00926083" w:rsidRPr="00200234" w:rsidRDefault="006F139E" w:rsidP="00A06BE4">
      <w:pPr>
        <w:sectPr w:rsidR="00926083" w:rsidRPr="00200234" w:rsidSect="00A06BE4">
          <w:pgSz w:w="11907" w:h="16834" w:code="9"/>
          <w:pgMar w:top="567" w:right="567" w:bottom="567" w:left="567" w:header="284" w:footer="284" w:gutter="0"/>
          <w:cols w:space="720"/>
        </w:sectPr>
      </w:pPr>
      <w:r>
        <w:rPr>
          <w:noProof/>
          <w:lang w:eastAsia="en-NZ"/>
        </w:rPr>
        <w:drawing>
          <wp:inline distT="0" distB="0" distL="0" distR="0" wp14:anchorId="538D6B93" wp14:editId="52DF8809">
            <wp:extent cx="6829425" cy="9667875"/>
            <wp:effectExtent l="0" t="0" r="9525" b="9525"/>
            <wp:docPr id="7" name="Picture 7" descr="Office of the Director of Mental Health and Addiction Services Annual Report 2018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9425" cy="9667875"/>
                    </a:xfrm>
                    <a:prstGeom prst="rect">
                      <a:avLst/>
                    </a:prstGeom>
                    <a:noFill/>
                    <a:ln>
                      <a:noFill/>
                    </a:ln>
                  </pic:spPr>
                </pic:pic>
              </a:graphicData>
            </a:graphic>
          </wp:inline>
        </w:drawing>
      </w:r>
    </w:p>
    <w:p w14:paraId="4164B575" w14:textId="52945658" w:rsidR="00A43E96" w:rsidRPr="006F139E" w:rsidRDefault="00A43E96" w:rsidP="006F139E">
      <w:pPr>
        <w:pStyle w:val="Subhead"/>
      </w:pPr>
      <w:r w:rsidRPr="00200234">
        <w:rPr>
          <w:rFonts w:asciiTheme="minorHAnsi" w:hAnsiTheme="minorHAnsi" w:cstheme="minorHAnsi"/>
          <w:b/>
          <w:spacing w:val="10"/>
          <w:szCs w:val="36"/>
        </w:rPr>
        <w:lastRenderedPageBreak/>
        <w:t>Disclaimer</w:t>
      </w:r>
    </w:p>
    <w:p w14:paraId="31F014D6" w14:textId="77777777" w:rsidR="00A43E96" w:rsidRPr="00200234" w:rsidRDefault="00A43E96" w:rsidP="00A43E96">
      <w:pPr>
        <w:spacing w:before="120"/>
        <w:rPr>
          <w:rFonts w:cs="Segoe UI"/>
          <w:sz w:val="20"/>
        </w:rPr>
      </w:pPr>
      <w:r w:rsidRPr="00200234">
        <w:rPr>
          <w:rFonts w:cs="Segoe UI"/>
          <w:sz w:val="20"/>
        </w:rPr>
        <w:t>This publication reports information provided by district health boards and non-governmental organisations via the Programme for the Integration of Mental Health Data (PRIMHD). It is important to note that, because PRIMHD is a dynamic collection, it was necessary to wait some time before publishing a record of the information contained in that collection. This means that it is less likely that the information will need to be amended after publication.</w:t>
      </w:r>
    </w:p>
    <w:p w14:paraId="625C18CD" w14:textId="77777777" w:rsidR="00A43E96" w:rsidRPr="00200234" w:rsidRDefault="00A43E96" w:rsidP="00A43E96">
      <w:pPr>
        <w:spacing w:before="120"/>
        <w:rPr>
          <w:rFonts w:cs="Segoe UI"/>
          <w:sz w:val="20"/>
        </w:rPr>
      </w:pPr>
      <w:r w:rsidRPr="00200234">
        <w:rPr>
          <w:rFonts w:cs="Segoe UI"/>
          <w:sz w:val="20"/>
        </w:rPr>
        <w:t>Although every care has been taken in preparing this document, the Ministry of Health cannot accept legal liability for any errors, omissions or damages resulting from reliance on the information it contains.</w:t>
      </w:r>
    </w:p>
    <w:p w14:paraId="0230601F" w14:textId="77777777" w:rsidR="00A43E96" w:rsidRPr="00200234" w:rsidRDefault="00A43E96" w:rsidP="00A43E96">
      <w:pPr>
        <w:spacing w:before="480"/>
        <w:rPr>
          <w:rFonts w:asciiTheme="minorHAnsi" w:hAnsiTheme="minorHAnsi" w:cstheme="minorHAnsi"/>
          <w:b/>
          <w:spacing w:val="10"/>
          <w:sz w:val="36"/>
          <w:szCs w:val="36"/>
        </w:rPr>
      </w:pPr>
      <w:r w:rsidRPr="00200234">
        <w:rPr>
          <w:rFonts w:asciiTheme="minorHAnsi" w:hAnsiTheme="minorHAnsi" w:cstheme="minorHAnsi"/>
          <w:b/>
          <w:spacing w:val="10"/>
          <w:sz w:val="36"/>
          <w:szCs w:val="36"/>
        </w:rPr>
        <w:t>A note on the cover</w:t>
      </w:r>
    </w:p>
    <w:p w14:paraId="14E42B1A" w14:textId="77777777" w:rsidR="00A43E96" w:rsidRPr="00200234" w:rsidRDefault="00A43E96" w:rsidP="00A43E96">
      <w:pPr>
        <w:spacing w:before="120"/>
        <w:rPr>
          <w:rFonts w:cs="Segoe UI"/>
          <w:b/>
          <w:sz w:val="20"/>
        </w:rPr>
      </w:pPr>
      <w:r w:rsidRPr="00200234">
        <w:rPr>
          <w:rFonts w:cs="Segoe UI"/>
          <w:b/>
          <w:sz w:val="20"/>
        </w:rPr>
        <w:t>‘Butterflies and Bees’ by Sarah Jordon</w:t>
      </w:r>
    </w:p>
    <w:p w14:paraId="105653E0" w14:textId="3421F554" w:rsidR="00A43E96" w:rsidRPr="00200234" w:rsidRDefault="00A43E96" w:rsidP="00A43E96">
      <w:pPr>
        <w:spacing w:before="120"/>
        <w:rPr>
          <w:rFonts w:cs="Segoe UI"/>
          <w:sz w:val="20"/>
        </w:rPr>
      </w:pPr>
      <w:r w:rsidRPr="00200234">
        <w:rPr>
          <w:rFonts w:cs="Segoe UI"/>
          <w:sz w:val="20"/>
        </w:rPr>
        <w:t>Sarah has always had a passion for painting and attended the Elam School of Fine Arts. She says, “My life revolves around filling canvases with colour!”</w:t>
      </w:r>
      <w:r w:rsidR="004F13D2">
        <w:rPr>
          <w:rFonts w:cs="Segoe UI"/>
          <w:sz w:val="20"/>
        </w:rPr>
        <w:t xml:space="preserve"> Sarah created this work at </w:t>
      </w:r>
      <w:proofErr w:type="spellStart"/>
      <w:r w:rsidR="004F13D2">
        <w:rPr>
          <w:rFonts w:cs="Segoe UI"/>
          <w:sz w:val="20"/>
        </w:rPr>
        <w:t>Vincents</w:t>
      </w:r>
      <w:proofErr w:type="spellEnd"/>
      <w:r w:rsidR="004F13D2">
        <w:rPr>
          <w:rFonts w:cs="Segoe UI"/>
          <w:sz w:val="20"/>
        </w:rPr>
        <w:t xml:space="preserve"> Art Workshop (</w:t>
      </w:r>
      <w:proofErr w:type="spellStart"/>
      <w:r w:rsidR="004F13D2">
        <w:rPr>
          <w:rFonts w:cs="Segoe UI"/>
          <w:sz w:val="20"/>
        </w:rPr>
        <w:t>Vincents</w:t>
      </w:r>
      <w:proofErr w:type="spellEnd"/>
      <w:r w:rsidR="004F13D2">
        <w:rPr>
          <w:rFonts w:cs="Segoe UI"/>
          <w:sz w:val="20"/>
        </w:rPr>
        <w:t xml:space="preserve">). </w:t>
      </w:r>
    </w:p>
    <w:p w14:paraId="5ADC712B" w14:textId="4452D515" w:rsidR="00A43E96" w:rsidRDefault="00A43E96" w:rsidP="00A43E96">
      <w:pPr>
        <w:spacing w:before="120"/>
        <w:rPr>
          <w:rStyle w:val="Hyperlink"/>
          <w:sz w:val="20"/>
        </w:rPr>
      </w:pPr>
      <w:proofErr w:type="spellStart"/>
      <w:r w:rsidRPr="00200234">
        <w:rPr>
          <w:rFonts w:cs="Segoe UI"/>
          <w:sz w:val="20"/>
        </w:rPr>
        <w:t>Vincents</w:t>
      </w:r>
      <w:proofErr w:type="spellEnd"/>
      <w:r w:rsidRPr="00200234">
        <w:rPr>
          <w:rFonts w:cs="Segoe UI"/>
          <w:sz w:val="20"/>
        </w:rPr>
        <w:t xml:space="preserve"> is a community art space in Wellington established in 1985. </w:t>
      </w:r>
      <w:proofErr w:type="gramStart"/>
      <w:r w:rsidRPr="00200234">
        <w:rPr>
          <w:rFonts w:cs="Segoe UI"/>
          <w:sz w:val="20"/>
        </w:rPr>
        <w:t>A number of</w:t>
      </w:r>
      <w:proofErr w:type="gramEnd"/>
      <w:r w:rsidRPr="00200234">
        <w:rPr>
          <w:rFonts w:cs="Segoe UI"/>
          <w:sz w:val="20"/>
        </w:rPr>
        <w:t xml:space="preserve"> people who attend the workshop have had experience of mental health services or have a disability, and all people are welcome. </w:t>
      </w:r>
      <w:proofErr w:type="spellStart"/>
      <w:r w:rsidRPr="00200234">
        <w:rPr>
          <w:rFonts w:cs="Segoe UI"/>
          <w:sz w:val="20"/>
        </w:rPr>
        <w:t>Vincents</w:t>
      </w:r>
      <w:proofErr w:type="spellEnd"/>
      <w:r w:rsidRPr="00200234">
        <w:rPr>
          <w:rFonts w:cs="Segoe UI"/>
          <w:sz w:val="20"/>
        </w:rPr>
        <w:t xml:space="preserve"> models the philosophy of inclusion and celebrates the development of creative potential and growth. </w:t>
      </w:r>
      <w:r w:rsidRPr="00200234">
        <w:rPr>
          <w:rStyle w:val="Hyperlink"/>
          <w:sz w:val="20"/>
        </w:rPr>
        <w:t>vincents.co.nz</w:t>
      </w:r>
    </w:p>
    <w:p w14:paraId="3415208D" w14:textId="64AA4021" w:rsidR="006F139E" w:rsidRPr="00C05132" w:rsidRDefault="006F139E" w:rsidP="006F139E">
      <w:pPr>
        <w:pStyle w:val="Imprint"/>
        <w:spacing w:before="360"/>
        <w:rPr>
          <w:rFonts w:cs="Segoe UI"/>
        </w:rPr>
      </w:pPr>
      <w:r w:rsidRPr="00C05132">
        <w:rPr>
          <w:rFonts w:cs="Segoe UI"/>
        </w:rPr>
        <w:t xml:space="preserve">Citation: Ministry of Health. </w:t>
      </w:r>
      <w:r>
        <w:rPr>
          <w:rFonts w:cs="Segoe UI"/>
        </w:rPr>
        <w:t>2021</w:t>
      </w:r>
      <w:r w:rsidRPr="00C05132">
        <w:rPr>
          <w:rFonts w:cs="Segoe UI"/>
        </w:rPr>
        <w:t xml:space="preserve">. </w:t>
      </w:r>
      <w:r w:rsidRPr="006F139E">
        <w:rPr>
          <w:rFonts w:cs="Segoe UI"/>
          <w:i/>
          <w:iCs/>
        </w:rPr>
        <w:t>Office of the Director of Mental Health and Addiction Services Annual Report 2018 and 2019</w:t>
      </w:r>
      <w:r w:rsidRPr="00C05132">
        <w:rPr>
          <w:rFonts w:cs="Segoe UI"/>
        </w:rPr>
        <w:t>. Wellington: Ministry of Health.</w:t>
      </w:r>
    </w:p>
    <w:p w14:paraId="38B322D5" w14:textId="02335A35" w:rsidR="006F139E" w:rsidRDefault="006F139E" w:rsidP="006F139E">
      <w:pPr>
        <w:pStyle w:val="Imprint"/>
      </w:pPr>
      <w:r>
        <w:t>Published in March 2021 by the Ministry of Health</w:t>
      </w:r>
      <w:r>
        <w:br/>
        <w:t>PO Box 5013, Wellington 6140, New Zealand</w:t>
      </w:r>
    </w:p>
    <w:p w14:paraId="50541E68" w14:textId="3EC44348" w:rsidR="00A43E96" w:rsidRPr="006F139E" w:rsidRDefault="006F139E" w:rsidP="006F139E">
      <w:pPr>
        <w:pStyle w:val="Imprint"/>
      </w:pPr>
      <w:r>
        <w:t xml:space="preserve">ISBN </w:t>
      </w:r>
      <w:r w:rsidR="00644641" w:rsidRPr="00644641">
        <w:t>978-1-98-859787-4</w:t>
      </w:r>
      <w:r>
        <w:t xml:space="preserve"> (online)</w:t>
      </w:r>
      <w:r>
        <w:br/>
      </w:r>
      <w:r w:rsidRPr="009C0F2D">
        <w:t xml:space="preserve">HP </w:t>
      </w:r>
      <w:r w:rsidR="00644641">
        <w:t>7618</w:t>
      </w:r>
    </w:p>
    <w:p w14:paraId="55EE72AF" w14:textId="77777777" w:rsidR="00A43E96" w:rsidRPr="00200234" w:rsidRDefault="00A43E96" w:rsidP="00A43E96">
      <w:r w:rsidRPr="00200234">
        <w:rPr>
          <w:noProof/>
          <w:lang w:eastAsia="en-NZ"/>
        </w:rPr>
        <w:drawing>
          <wp:inline distT="0" distB="0" distL="0" distR="0" wp14:anchorId="7BA641D3" wp14:editId="1C375B13">
            <wp:extent cx="1413163" cy="576330"/>
            <wp:effectExtent l="0" t="0" r="0" b="0"/>
            <wp:docPr id="239" name="Picture 239"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37B28B47" w14:textId="77777777" w:rsidR="00A43E96" w:rsidRPr="00200234" w:rsidRDefault="00A43E96" w:rsidP="00A43E96">
      <w:pPr>
        <w:pStyle w:val="Imprint"/>
        <w:spacing w:before="240" w:after="480"/>
      </w:pPr>
      <w:r w:rsidRPr="00200234">
        <w:t>This document is available at health.govt.nz</w:t>
      </w:r>
    </w:p>
    <w:tbl>
      <w:tblPr>
        <w:tblW w:w="0" w:type="auto"/>
        <w:tblLayout w:type="fixed"/>
        <w:tblLook w:val="04A0" w:firstRow="1" w:lastRow="0" w:firstColumn="1" w:lastColumn="0" w:noHBand="0" w:noVBand="1"/>
      </w:tblPr>
      <w:tblGrid>
        <w:gridCol w:w="1526"/>
        <w:gridCol w:w="6061"/>
      </w:tblGrid>
      <w:tr w:rsidR="00A43E96" w:rsidRPr="00200234" w14:paraId="1728742F" w14:textId="77777777" w:rsidTr="008361C5">
        <w:trPr>
          <w:cantSplit/>
        </w:trPr>
        <w:tc>
          <w:tcPr>
            <w:tcW w:w="1526" w:type="dxa"/>
          </w:tcPr>
          <w:p w14:paraId="5795E541" w14:textId="77777777" w:rsidR="00A43E96" w:rsidRPr="00200234" w:rsidRDefault="00A43E96" w:rsidP="008361C5">
            <w:pPr>
              <w:rPr>
                <w:rFonts w:cs="Segoe UI"/>
                <w:sz w:val="15"/>
                <w:szCs w:val="15"/>
              </w:rPr>
            </w:pPr>
            <w:r w:rsidRPr="00200234">
              <w:rPr>
                <w:rFonts w:cs="Segoe UI"/>
                <w:b/>
                <w:noProof/>
                <w:sz w:val="15"/>
                <w:szCs w:val="15"/>
                <w:lang w:eastAsia="en-NZ"/>
              </w:rPr>
              <w:drawing>
                <wp:inline distT="0" distB="0" distL="0" distR="0" wp14:anchorId="6D9C2406" wp14:editId="1A1EE46E">
                  <wp:extent cx="809625" cy="285750"/>
                  <wp:effectExtent l="0" t="0" r="9525" b="0"/>
                  <wp:docPr id="241" name="Picture 241"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2C88CCE0" w14:textId="77777777" w:rsidR="00A43E96" w:rsidRPr="00200234" w:rsidRDefault="00A43E96" w:rsidP="008361C5">
            <w:pPr>
              <w:rPr>
                <w:rFonts w:cs="Segoe UI"/>
                <w:sz w:val="15"/>
                <w:szCs w:val="15"/>
              </w:rPr>
            </w:pPr>
            <w:r w:rsidRPr="00200234">
              <w:rPr>
                <w:rFonts w:cs="Segoe UI"/>
                <w:sz w:val="15"/>
                <w:szCs w:val="15"/>
              </w:rPr>
              <w:t xml:space="preserve">This work is licensed under the Creative Commons Attribution 4.0 International licence. </w:t>
            </w:r>
            <w:proofErr w:type="gramStart"/>
            <w:r w:rsidRPr="00200234">
              <w:rPr>
                <w:rFonts w:cs="Segoe UI"/>
                <w:sz w:val="15"/>
                <w:szCs w:val="15"/>
              </w:rPr>
              <w:t xml:space="preserve">In essence, </w:t>
            </w:r>
            <w:r w:rsidRPr="00200234">
              <w:rPr>
                <w:rFonts w:cs="Segoe UI"/>
                <w:bCs/>
                <w:sz w:val="15"/>
                <w:szCs w:val="15"/>
              </w:rPr>
              <w:t>you</w:t>
            </w:r>
            <w:proofErr w:type="gramEnd"/>
            <w:r w:rsidRPr="00200234">
              <w:rPr>
                <w:rFonts w:cs="Segoe UI"/>
                <w:bCs/>
                <w:sz w:val="15"/>
                <w:szCs w:val="15"/>
              </w:rPr>
              <w:t xml:space="preserve"> are free to: </w:t>
            </w:r>
            <w:r w:rsidRPr="00200234">
              <w:rPr>
                <w:rFonts w:cs="Segoe UI"/>
                <w:sz w:val="15"/>
                <w:szCs w:val="15"/>
              </w:rPr>
              <w:t xml:space="preserve">share </w:t>
            </w:r>
            <w:proofErr w:type="spellStart"/>
            <w:r w:rsidRPr="00200234">
              <w:rPr>
                <w:rFonts w:cs="Segoe UI"/>
                <w:sz w:val="15"/>
                <w:szCs w:val="15"/>
              </w:rPr>
              <w:t>ie</w:t>
            </w:r>
            <w:proofErr w:type="spellEnd"/>
            <w:r w:rsidRPr="00200234">
              <w:rPr>
                <w:rFonts w:cs="Segoe UI"/>
                <w:sz w:val="15"/>
                <w:szCs w:val="15"/>
              </w:rPr>
              <w:t xml:space="preserve">, copy and redistribute the material in any medium or format; adapt </w:t>
            </w:r>
            <w:proofErr w:type="spellStart"/>
            <w:r w:rsidRPr="00200234">
              <w:rPr>
                <w:rFonts w:cs="Segoe UI"/>
                <w:sz w:val="15"/>
                <w:szCs w:val="15"/>
              </w:rPr>
              <w:t>ie</w:t>
            </w:r>
            <w:proofErr w:type="spellEnd"/>
            <w:r w:rsidRPr="00200234">
              <w:rPr>
                <w:rFonts w:cs="Segoe UI"/>
                <w:sz w:val="15"/>
                <w:szCs w:val="15"/>
              </w:rPr>
              <w:t xml:space="preserve">, remix, transform and build upon the material. </w:t>
            </w:r>
            <w:r w:rsidRPr="00200234">
              <w:rPr>
                <w:rFonts w:cs="Segoe UI"/>
                <w:bCs/>
                <w:sz w:val="15"/>
                <w:szCs w:val="15"/>
              </w:rPr>
              <w:t>You must give appropriate credit, provide a link to the licence and indicate if changes were made.</w:t>
            </w:r>
          </w:p>
        </w:tc>
      </w:tr>
    </w:tbl>
    <w:p w14:paraId="1B0AE4C0" w14:textId="77777777" w:rsidR="00C86248" w:rsidRPr="00200234" w:rsidRDefault="00C86248">
      <w:pPr>
        <w:jc w:val="center"/>
        <w:sectPr w:rsidR="00C86248" w:rsidRPr="00200234" w:rsidSect="00C05132">
          <w:footerReference w:type="even" r:id="rId15"/>
          <w:footerReference w:type="default" r:id="rId16"/>
          <w:pgSz w:w="11907" w:h="16834" w:code="9"/>
          <w:pgMar w:top="1701" w:right="2268" w:bottom="1134" w:left="2268" w:header="0" w:footer="0" w:gutter="0"/>
          <w:cols w:space="720"/>
          <w:vAlign w:val="bottom"/>
        </w:sectPr>
      </w:pPr>
    </w:p>
    <w:p w14:paraId="0BF659BE" w14:textId="77777777" w:rsidR="00032C0A" w:rsidRPr="00200234" w:rsidRDefault="008E3A07" w:rsidP="001D3E4E">
      <w:pPr>
        <w:pStyle w:val="Heading1"/>
        <w:spacing w:before="0"/>
      </w:pPr>
      <w:bookmarkStart w:id="0" w:name="_Toc405792991"/>
      <w:bookmarkStart w:id="1" w:name="_Toc405793224"/>
      <w:bookmarkStart w:id="2" w:name="_Toc69307689"/>
      <w:r w:rsidRPr="00200234">
        <w:lastRenderedPageBreak/>
        <w:t>Foreword</w:t>
      </w:r>
      <w:bookmarkEnd w:id="2"/>
    </w:p>
    <w:p w14:paraId="6C73827B" w14:textId="4EDE8C58" w:rsidR="008361C5" w:rsidRDefault="008361C5" w:rsidP="008361C5">
      <w:pPr>
        <w:rPr>
          <w:rFonts w:cs="Segoe UI"/>
        </w:rPr>
      </w:pPr>
      <w:r w:rsidRPr="00200234">
        <w:rPr>
          <w:rFonts w:cs="Segoe UI"/>
        </w:rPr>
        <w:t xml:space="preserve">Presented here is the Office of the Director of Mental Health and Addiction Services Annual Report for the calendar years 2018 and 2019. This </w:t>
      </w:r>
      <w:r w:rsidR="003105AC" w:rsidRPr="00200234">
        <w:rPr>
          <w:rFonts w:cs="Segoe UI"/>
        </w:rPr>
        <w:t>a</w:t>
      </w:r>
      <w:r w:rsidRPr="00200234">
        <w:rPr>
          <w:rFonts w:cs="Segoe UI"/>
        </w:rPr>
        <w:t xml:space="preserve">nnual </w:t>
      </w:r>
      <w:r w:rsidR="003105AC" w:rsidRPr="00200234">
        <w:rPr>
          <w:rFonts w:cs="Segoe UI"/>
        </w:rPr>
        <w:t>r</w:t>
      </w:r>
      <w:r w:rsidRPr="00200234">
        <w:rPr>
          <w:rFonts w:cs="Segoe UI"/>
        </w:rPr>
        <w:t>eport presents data about the use of compulsory assessment and treatment legislation in Aotearoa New Zealand, including the Mental Health (Compulsory Assessment and Treatment) Act 1992 (the Mental Health Act), the Substance Addiction (Compulsory Assessment and Treatment) Act 2017 (the Substance Addiction Act), and some statistics of the Intellectual Disability (Compulsory Care and Rehabilitation) Act 2003.</w:t>
      </w:r>
    </w:p>
    <w:p w14:paraId="4ABAE522" w14:textId="7EF52908" w:rsidR="00CF7A60" w:rsidRDefault="00CF7A60" w:rsidP="008361C5">
      <w:pPr>
        <w:rPr>
          <w:rFonts w:cs="Segoe UI"/>
        </w:rPr>
      </w:pPr>
    </w:p>
    <w:p w14:paraId="6FF2F72E" w14:textId="10CBF7BE" w:rsidR="002E743F" w:rsidRDefault="002E743F" w:rsidP="008361C5">
      <w:pPr>
        <w:rPr>
          <w:rFonts w:cs="Segoe UI"/>
        </w:rPr>
      </w:pPr>
      <w:r>
        <w:rPr>
          <w:rFonts w:cs="Segoe UI"/>
        </w:rPr>
        <w:t xml:space="preserve">While the content of this report shows some positive trends, it also </w:t>
      </w:r>
      <w:r w:rsidR="00D62E0F">
        <w:rPr>
          <w:rFonts w:cs="Segoe UI"/>
        </w:rPr>
        <w:t xml:space="preserve">highlights areas where </w:t>
      </w:r>
      <w:r w:rsidR="009A26B3">
        <w:rPr>
          <w:rFonts w:cs="Segoe UI"/>
        </w:rPr>
        <w:t xml:space="preserve">further work is required to improve outcomes for New Zealanders </w:t>
      </w:r>
      <w:r w:rsidR="00163529">
        <w:rPr>
          <w:rFonts w:cs="Segoe UI"/>
        </w:rPr>
        <w:t xml:space="preserve">with complex mental health </w:t>
      </w:r>
      <w:r w:rsidR="009A688B">
        <w:rPr>
          <w:rFonts w:cs="Segoe UI"/>
        </w:rPr>
        <w:t xml:space="preserve">and addiction </w:t>
      </w:r>
      <w:r w:rsidR="00163529">
        <w:rPr>
          <w:rFonts w:cs="Segoe UI"/>
        </w:rPr>
        <w:t xml:space="preserve">needs, and </w:t>
      </w:r>
      <w:r w:rsidR="005A381D">
        <w:rPr>
          <w:rFonts w:cs="Segoe UI"/>
        </w:rPr>
        <w:t xml:space="preserve">for </w:t>
      </w:r>
      <w:proofErr w:type="gramStart"/>
      <w:r w:rsidR="00163529">
        <w:rPr>
          <w:rFonts w:cs="Segoe UI"/>
        </w:rPr>
        <w:t>Māori in particular</w:t>
      </w:r>
      <w:proofErr w:type="gramEnd"/>
      <w:r w:rsidR="00163529">
        <w:rPr>
          <w:rFonts w:cs="Segoe UI"/>
        </w:rPr>
        <w:t xml:space="preserve">. </w:t>
      </w:r>
    </w:p>
    <w:p w14:paraId="5683B9AE" w14:textId="16772C3E" w:rsidR="00594448" w:rsidRDefault="00594448" w:rsidP="008361C5">
      <w:pPr>
        <w:rPr>
          <w:rFonts w:cs="Segoe UI"/>
        </w:rPr>
      </w:pPr>
    </w:p>
    <w:p w14:paraId="74E90CCE" w14:textId="4F0863E3" w:rsidR="00594448" w:rsidRDefault="00594448" w:rsidP="008361C5">
      <w:pPr>
        <w:rPr>
          <w:rFonts w:cs="Segoe UI"/>
        </w:rPr>
      </w:pPr>
      <w:r>
        <w:rPr>
          <w:rFonts w:cs="Segoe UI"/>
        </w:rPr>
        <w:t>The Ministry of Health</w:t>
      </w:r>
      <w:r w:rsidR="00DB67B9">
        <w:rPr>
          <w:rFonts w:cs="Segoe UI"/>
        </w:rPr>
        <w:t>, alongside the Health Quality and Safety Commission</w:t>
      </w:r>
      <w:r w:rsidR="00237399">
        <w:rPr>
          <w:rFonts w:cs="Segoe UI"/>
        </w:rPr>
        <w:t xml:space="preserve">’s </w:t>
      </w:r>
      <w:r w:rsidR="00CD107C">
        <w:rPr>
          <w:rFonts w:cs="Segoe UI"/>
        </w:rPr>
        <w:t xml:space="preserve">work to eliminate </w:t>
      </w:r>
      <w:r w:rsidR="00237399">
        <w:rPr>
          <w:rFonts w:cs="Segoe UI"/>
        </w:rPr>
        <w:t>seclusion</w:t>
      </w:r>
      <w:r w:rsidR="00DB67B9">
        <w:rPr>
          <w:rFonts w:cs="Segoe UI"/>
        </w:rPr>
        <w:t>,</w:t>
      </w:r>
      <w:r>
        <w:rPr>
          <w:rFonts w:cs="Segoe UI"/>
        </w:rPr>
        <w:t xml:space="preserve"> has a large programme of work underway </w:t>
      </w:r>
      <w:r w:rsidR="00DB67B9">
        <w:rPr>
          <w:rFonts w:cs="Segoe UI"/>
        </w:rPr>
        <w:t xml:space="preserve">to </w:t>
      </w:r>
      <w:r w:rsidR="00237399">
        <w:rPr>
          <w:rFonts w:cs="Segoe UI"/>
        </w:rPr>
        <w:t xml:space="preserve">help </w:t>
      </w:r>
      <w:r w:rsidR="009F5CA5">
        <w:rPr>
          <w:rFonts w:cs="Segoe UI"/>
        </w:rPr>
        <w:t xml:space="preserve">address these issues. </w:t>
      </w:r>
      <w:r w:rsidR="00CD107C">
        <w:rPr>
          <w:rFonts w:cs="Segoe UI"/>
        </w:rPr>
        <w:t xml:space="preserve">This includes </w:t>
      </w:r>
      <w:r w:rsidR="004D6F65">
        <w:rPr>
          <w:rFonts w:cs="Segoe UI"/>
        </w:rPr>
        <w:t xml:space="preserve">work to repeal and replace the Mental Health Act. </w:t>
      </w:r>
    </w:p>
    <w:p w14:paraId="3BFB9B1B" w14:textId="77777777" w:rsidR="00D64C87" w:rsidRDefault="00D64C87" w:rsidP="008361C5">
      <w:pPr>
        <w:rPr>
          <w:rFonts w:cs="Segoe UI"/>
        </w:rPr>
      </w:pPr>
    </w:p>
    <w:p w14:paraId="37E8A72F" w14:textId="4FFFCD17" w:rsidR="002E743F" w:rsidRPr="002E743F" w:rsidRDefault="002E743F" w:rsidP="0083112E">
      <w:pPr>
        <w:rPr>
          <w:rFonts w:cs="Segoe UI"/>
        </w:rPr>
      </w:pPr>
      <w:r w:rsidRPr="002E743F">
        <w:rPr>
          <w:rFonts w:cs="Segoe UI"/>
        </w:rPr>
        <w:t>Repealing and replacing the Mental Health Act involves diverse perspectives and complex ethical, legal and policy issues that require careful consideration to avoid unintended consequences.</w:t>
      </w:r>
      <w:r w:rsidR="00EE51A1">
        <w:rPr>
          <w:rFonts w:cs="Segoe UI"/>
        </w:rPr>
        <w:t xml:space="preserve"> This </w:t>
      </w:r>
      <w:r w:rsidR="00EE51A1" w:rsidRPr="0083112E">
        <w:rPr>
          <w:rFonts w:cs="Segoe UI"/>
        </w:rPr>
        <w:t xml:space="preserve">will take some time to work through, and will include </w:t>
      </w:r>
      <w:r w:rsidR="00483094">
        <w:rPr>
          <w:rFonts w:cs="Segoe UI"/>
        </w:rPr>
        <w:t xml:space="preserve">wide </w:t>
      </w:r>
      <w:r w:rsidR="00EE51A1" w:rsidRPr="0083112E">
        <w:rPr>
          <w:rFonts w:cs="Segoe UI"/>
        </w:rPr>
        <w:t>engagement with stakeholders</w:t>
      </w:r>
      <w:r w:rsidR="00EE51A1">
        <w:rPr>
          <w:rFonts w:cs="Segoe UI"/>
        </w:rPr>
        <w:t>, so the Ministry</w:t>
      </w:r>
      <w:r w:rsidR="00F35C39">
        <w:rPr>
          <w:rFonts w:cs="Segoe UI"/>
        </w:rPr>
        <w:t xml:space="preserve"> has taken </w:t>
      </w:r>
      <w:r w:rsidR="00A81DB4">
        <w:rPr>
          <w:rFonts w:cs="Segoe UI"/>
        </w:rPr>
        <w:t xml:space="preserve">immediate </w:t>
      </w:r>
      <w:r w:rsidR="00F35C39">
        <w:rPr>
          <w:rFonts w:cs="Segoe UI"/>
        </w:rPr>
        <w:t xml:space="preserve">steps to improve </w:t>
      </w:r>
      <w:r w:rsidR="00C95B7C">
        <w:rPr>
          <w:rFonts w:cs="Segoe UI"/>
        </w:rPr>
        <w:t xml:space="preserve">current </w:t>
      </w:r>
      <w:r w:rsidR="00F35C39">
        <w:rPr>
          <w:rFonts w:cs="Segoe UI"/>
        </w:rPr>
        <w:t>practice</w:t>
      </w:r>
      <w:r w:rsidR="00EE51A1" w:rsidRPr="0083112E">
        <w:rPr>
          <w:rFonts w:cs="Segoe UI"/>
        </w:rPr>
        <w:t>.</w:t>
      </w:r>
    </w:p>
    <w:p w14:paraId="6DDE7D08" w14:textId="77777777" w:rsidR="00D64C87" w:rsidRDefault="00D64C87" w:rsidP="002E743F">
      <w:pPr>
        <w:rPr>
          <w:rFonts w:cs="Segoe UI"/>
        </w:rPr>
      </w:pPr>
    </w:p>
    <w:p w14:paraId="768374E2" w14:textId="0ACA503D" w:rsidR="002E743F" w:rsidRPr="00200234" w:rsidRDefault="002E743F" w:rsidP="002E743F">
      <w:pPr>
        <w:rPr>
          <w:rFonts w:cs="Segoe UI"/>
        </w:rPr>
      </w:pPr>
      <w:r w:rsidRPr="00200234">
        <w:rPr>
          <w:rFonts w:cs="Segoe UI"/>
        </w:rPr>
        <w:t xml:space="preserve">In recognition of the need to shift to a more human rights-centred approach to compulsory assessment and treatment, the Office </w:t>
      </w:r>
      <w:r w:rsidR="00BF5C20" w:rsidRPr="00200234">
        <w:rPr>
          <w:rFonts w:cs="Segoe UI"/>
        </w:rPr>
        <w:t xml:space="preserve">of the Director of Mental Health and Addiction Services </w:t>
      </w:r>
      <w:r w:rsidRPr="00200234">
        <w:rPr>
          <w:rFonts w:cs="Segoe UI"/>
        </w:rPr>
        <w:t>undertook a key initiative to revise t</w:t>
      </w:r>
      <w:r w:rsidRPr="00A84354">
        <w:rPr>
          <w:rFonts w:cs="Segoe UI"/>
        </w:rPr>
        <w:t>he</w:t>
      </w:r>
      <w:r w:rsidRPr="0083112E">
        <w:rPr>
          <w:rFonts w:cs="Segoe UI"/>
          <w:i/>
          <w:iCs/>
        </w:rPr>
        <w:t xml:space="preserve"> Guidelines to the Mental Health (Compulsory Assessment and Treatment) Act 1992</w:t>
      </w:r>
      <w:r w:rsidRPr="00200234">
        <w:rPr>
          <w:rFonts w:cs="Segoe UI"/>
        </w:rPr>
        <w:t xml:space="preserve">. The final revisions were published on 8 September 2020 as a set of two documents designed to work together, and collectively referred to as </w:t>
      </w:r>
      <w:r>
        <w:rPr>
          <w:rFonts w:cs="Segoe UI"/>
        </w:rPr>
        <w:t>‘</w:t>
      </w:r>
      <w:r w:rsidRPr="00200234">
        <w:rPr>
          <w:rFonts w:cs="Segoe UI"/>
        </w:rPr>
        <w:t>the Guidelines</w:t>
      </w:r>
      <w:r>
        <w:rPr>
          <w:rFonts w:cs="Segoe UI"/>
        </w:rPr>
        <w:t>’</w:t>
      </w:r>
      <w:r w:rsidRPr="00200234">
        <w:rPr>
          <w:rFonts w:cs="Segoe UI"/>
        </w:rPr>
        <w:t>.</w:t>
      </w:r>
    </w:p>
    <w:p w14:paraId="2C27F7BE" w14:textId="77777777" w:rsidR="002E743F" w:rsidRPr="00200234" w:rsidRDefault="002E743F" w:rsidP="002E743F">
      <w:pPr>
        <w:rPr>
          <w:rFonts w:cs="Segoe UI"/>
        </w:rPr>
      </w:pPr>
    </w:p>
    <w:p w14:paraId="1457EE65" w14:textId="05B66186" w:rsidR="002E743F" w:rsidRPr="0083112E" w:rsidRDefault="002E743F" w:rsidP="002E743F">
      <w:pPr>
        <w:rPr>
          <w:rFonts w:cs="Segoe UI"/>
        </w:rPr>
      </w:pPr>
      <w:r w:rsidRPr="00200234">
        <w:rPr>
          <w:rFonts w:cs="Segoe UI"/>
        </w:rPr>
        <w:t>The Guidelines emphasise</w:t>
      </w:r>
      <w:r w:rsidRPr="0083112E">
        <w:rPr>
          <w:rFonts w:cs="Segoe UI"/>
        </w:rPr>
        <w:t xml:space="preserve"> the growing influence of rights-based approaches and how these can be better promoted within the parameters of the current Mental Health Act; the need to meet our obligations to Māori under </w:t>
      </w:r>
      <w:proofErr w:type="spellStart"/>
      <w:r w:rsidRPr="0083112E">
        <w:rPr>
          <w:rFonts w:cs="Segoe UI"/>
        </w:rPr>
        <w:t>Te</w:t>
      </w:r>
      <w:proofErr w:type="spellEnd"/>
      <w:r w:rsidRPr="0083112E">
        <w:rPr>
          <w:rFonts w:cs="Segoe UI"/>
        </w:rPr>
        <w:t xml:space="preserve"> </w:t>
      </w:r>
      <w:proofErr w:type="spellStart"/>
      <w:r w:rsidRPr="0083112E">
        <w:rPr>
          <w:rFonts w:cs="Segoe UI"/>
        </w:rPr>
        <w:t>Tiriti</w:t>
      </w:r>
      <w:proofErr w:type="spellEnd"/>
      <w:r w:rsidRPr="0083112E">
        <w:rPr>
          <w:rFonts w:cs="Segoe UI"/>
        </w:rPr>
        <w:t xml:space="preserve"> o Waitangi; and the impact of </w:t>
      </w:r>
      <w:proofErr w:type="spellStart"/>
      <w:r w:rsidRPr="0083112E">
        <w:rPr>
          <w:rFonts w:cs="Segoe UI"/>
          <w:i/>
          <w:iCs/>
          <w:color w:val="000000"/>
        </w:rPr>
        <w:t>He</w:t>
      </w:r>
      <w:proofErr w:type="spellEnd"/>
      <w:r w:rsidRPr="0083112E">
        <w:rPr>
          <w:rFonts w:cs="Segoe UI"/>
          <w:i/>
          <w:iCs/>
          <w:color w:val="000000"/>
        </w:rPr>
        <w:t xml:space="preserve"> Ara </w:t>
      </w:r>
      <w:proofErr w:type="spellStart"/>
      <w:r w:rsidRPr="0083112E">
        <w:rPr>
          <w:rFonts w:cs="Segoe UI"/>
          <w:i/>
          <w:iCs/>
          <w:color w:val="000000"/>
        </w:rPr>
        <w:t>Oranga</w:t>
      </w:r>
      <w:proofErr w:type="spellEnd"/>
      <w:r w:rsidRPr="0083112E">
        <w:rPr>
          <w:rFonts w:cs="Segoe UI"/>
        </w:rPr>
        <w:t xml:space="preserve"> and the feedback from people with lived experience and families and whānau on how they experience the current administration of the Mental Health Act. </w:t>
      </w:r>
      <w:r w:rsidR="008E6888">
        <w:rPr>
          <w:rFonts w:cs="Segoe UI"/>
        </w:rPr>
        <w:t>W</w:t>
      </w:r>
      <w:r w:rsidRPr="0083112E">
        <w:rPr>
          <w:rFonts w:cs="Segoe UI"/>
        </w:rPr>
        <w:t xml:space="preserve">e thank all those who contributed during the consultation stages for their guidance and advice. </w:t>
      </w:r>
    </w:p>
    <w:p w14:paraId="507D55AE" w14:textId="77777777" w:rsidR="00D64C87" w:rsidRPr="0083112E" w:rsidRDefault="00D64C87" w:rsidP="0083112E">
      <w:pPr>
        <w:rPr>
          <w:rFonts w:cs="Segoe UI"/>
        </w:rPr>
      </w:pPr>
    </w:p>
    <w:p w14:paraId="2C0A3426" w14:textId="1CC2B2FC" w:rsidR="002E743F" w:rsidRPr="002E743F" w:rsidRDefault="00483094" w:rsidP="00770ABC">
      <w:pPr>
        <w:rPr>
          <w:rFonts w:cs="Segoe UI"/>
        </w:rPr>
      </w:pPr>
      <w:r>
        <w:rPr>
          <w:rFonts w:cs="Segoe UI"/>
        </w:rPr>
        <w:t xml:space="preserve">The Government has also committed to making initial amendments to the Mental Health Act to address pressing issues while work to fully repeal and replace the Act progresses. </w:t>
      </w:r>
      <w:r w:rsidR="00AA1A29" w:rsidRPr="0083112E">
        <w:rPr>
          <w:rFonts w:cs="Segoe UI"/>
        </w:rPr>
        <w:t xml:space="preserve">The Mental Health (Compulsory Assessment and Treatment) Amendment Bill proposes to amend the Mental Health Act to improve the protection of individual rights and the safety of patients and the </w:t>
      </w:r>
      <w:proofErr w:type="gramStart"/>
      <w:r w:rsidR="00AA1A29" w:rsidRPr="0083112E">
        <w:rPr>
          <w:rFonts w:cs="Segoe UI"/>
        </w:rPr>
        <w:t>public, and</w:t>
      </w:r>
      <w:proofErr w:type="gramEnd"/>
      <w:r w:rsidR="00AA1A29" w:rsidRPr="0083112E">
        <w:rPr>
          <w:rFonts w:cs="Segoe UI"/>
        </w:rPr>
        <w:t xml:space="preserve"> enable more effective application of the Act</w:t>
      </w:r>
      <w:r w:rsidR="00CA2763">
        <w:rPr>
          <w:rFonts w:cs="Segoe UI"/>
        </w:rPr>
        <w:t xml:space="preserve">. </w:t>
      </w:r>
      <w:r w:rsidR="006B5BDB">
        <w:rPr>
          <w:rFonts w:cs="Segoe UI"/>
        </w:rPr>
        <w:t xml:space="preserve">This includes an amendment to eliminate indefinite treatment orders, </w:t>
      </w:r>
      <w:r w:rsidR="006B5BDB" w:rsidRPr="0083112E">
        <w:rPr>
          <w:rFonts w:cs="Segoe UI"/>
        </w:rPr>
        <w:t>which have been criticised as a serious breach of human rights</w:t>
      </w:r>
      <w:r w:rsidR="006B5BDB">
        <w:rPr>
          <w:rFonts w:cs="Segoe UI"/>
        </w:rPr>
        <w:t>.</w:t>
      </w:r>
      <w:r w:rsidR="006B5BDB" w:rsidRPr="0083112E" w:rsidDel="001A5606">
        <w:rPr>
          <w:rFonts w:cs="Segoe UI"/>
        </w:rPr>
        <w:t xml:space="preserve"> </w:t>
      </w:r>
    </w:p>
    <w:p w14:paraId="135B717D" w14:textId="77777777" w:rsidR="00D64C87" w:rsidRDefault="00D64C87" w:rsidP="00D64C87">
      <w:pPr>
        <w:rPr>
          <w:rFonts w:cs="Segoe UI"/>
        </w:rPr>
      </w:pPr>
    </w:p>
    <w:p w14:paraId="27E6FF22" w14:textId="152F6778" w:rsidR="00FD1810" w:rsidRDefault="006B5BDB" w:rsidP="00FD1810">
      <w:pPr>
        <w:rPr>
          <w:rFonts w:cs="Segoe UI"/>
        </w:rPr>
      </w:pPr>
      <w:r w:rsidRPr="00770ABC">
        <w:rPr>
          <w:rFonts w:cs="Segoe UI"/>
        </w:rPr>
        <w:lastRenderedPageBreak/>
        <w:t xml:space="preserve">The Ministry is also progressing work to </w:t>
      </w:r>
      <w:r w:rsidR="008C2640" w:rsidRPr="00770ABC">
        <w:rPr>
          <w:rFonts w:cs="Segoe UI"/>
        </w:rPr>
        <w:t xml:space="preserve">facilitate </w:t>
      </w:r>
      <w:r w:rsidRPr="00770ABC">
        <w:rPr>
          <w:rFonts w:cs="Segoe UI"/>
        </w:rPr>
        <w:t>t</w:t>
      </w:r>
      <w:r w:rsidR="00FD1810" w:rsidRPr="00770ABC">
        <w:rPr>
          <w:rFonts w:cs="Segoe UI"/>
        </w:rPr>
        <w:t>raining to support the workforce to reduce restrictive practice and embed human rights-based approaches</w:t>
      </w:r>
      <w:r w:rsidRPr="00770ABC">
        <w:rPr>
          <w:rFonts w:cs="Segoe UI"/>
        </w:rPr>
        <w:t>.</w:t>
      </w:r>
      <w:r w:rsidR="00FD1810">
        <w:rPr>
          <w:rFonts w:cs="Segoe UI"/>
        </w:rPr>
        <w:t xml:space="preserve"> </w:t>
      </w:r>
    </w:p>
    <w:p w14:paraId="68E7A8F4" w14:textId="77777777" w:rsidR="00D64C87" w:rsidRDefault="00D64C87" w:rsidP="00D64C87">
      <w:pPr>
        <w:rPr>
          <w:rFonts w:cs="Segoe UI"/>
        </w:rPr>
      </w:pPr>
    </w:p>
    <w:p w14:paraId="6DC7CC5C" w14:textId="7B662492" w:rsidR="00F37E93" w:rsidRDefault="00F37E93" w:rsidP="00F37E93">
      <w:pPr>
        <w:rPr>
          <w:rFonts w:cs="Segoe UI"/>
        </w:rPr>
      </w:pPr>
      <w:r>
        <w:rPr>
          <w:rFonts w:cs="Segoe UI"/>
        </w:rPr>
        <w:t xml:space="preserve">Previously, </w:t>
      </w:r>
      <w:r w:rsidRPr="002E743F">
        <w:rPr>
          <w:rFonts w:cs="Segoe UI"/>
        </w:rPr>
        <w:t xml:space="preserve">the </w:t>
      </w:r>
      <w:r w:rsidRPr="00200234">
        <w:rPr>
          <w:rFonts w:cs="Segoe UI"/>
        </w:rPr>
        <w:t>Office of the Director of Mental Health and Addiction Services Annual Report</w:t>
      </w:r>
      <w:r>
        <w:rPr>
          <w:rFonts w:cs="Segoe UI"/>
        </w:rPr>
        <w:t>s</w:t>
      </w:r>
      <w:r w:rsidRPr="00200234">
        <w:rPr>
          <w:rFonts w:cs="Segoe UI"/>
        </w:rPr>
        <w:t xml:space="preserve"> </w:t>
      </w:r>
      <w:r>
        <w:rPr>
          <w:rFonts w:cs="Segoe UI"/>
        </w:rPr>
        <w:t xml:space="preserve">have covered mental health and addiction service activity broader than </w:t>
      </w:r>
      <w:r w:rsidRPr="00200234">
        <w:rPr>
          <w:rFonts w:cs="Segoe UI"/>
        </w:rPr>
        <w:t>compulsory assessment and treatment legislation</w:t>
      </w:r>
      <w:r>
        <w:rPr>
          <w:rFonts w:cs="Segoe UI"/>
        </w:rPr>
        <w:t>. However, with the establishment of the Mental Health and Addiction Directorate within the Ministry, commentary on wider mental health and addiction activities is covered in other reports</w:t>
      </w:r>
      <w:r w:rsidR="00374416">
        <w:rPr>
          <w:rFonts w:cs="Segoe UI"/>
        </w:rPr>
        <w:t>. For example</w:t>
      </w:r>
      <w:r>
        <w:rPr>
          <w:rFonts w:cs="Segoe UI"/>
        </w:rPr>
        <w:t xml:space="preserve">, the </w:t>
      </w:r>
      <w:r w:rsidRPr="00B85F22">
        <w:rPr>
          <w:rFonts w:cs="Segoe UI"/>
          <w:i/>
          <w:iCs/>
        </w:rPr>
        <w:t xml:space="preserve">Mental Health and Wellbeing </w:t>
      </w:r>
      <w:r w:rsidRPr="00B85F22">
        <w:rPr>
          <w:bCs/>
          <w:i/>
          <w:iCs/>
        </w:rPr>
        <w:t>Year in Review</w:t>
      </w:r>
      <w:r>
        <w:rPr>
          <w:rFonts w:cs="Segoe UI"/>
        </w:rPr>
        <w:t xml:space="preserve"> published on the Ministry’s website, which provides a holistic view of activities, investment and service delivery.</w:t>
      </w:r>
    </w:p>
    <w:p w14:paraId="1895DC4B" w14:textId="77777777" w:rsidR="009F2981" w:rsidRDefault="009F2981" w:rsidP="00F37E93">
      <w:pPr>
        <w:rPr>
          <w:rFonts w:cs="Segoe UI"/>
        </w:rPr>
      </w:pPr>
    </w:p>
    <w:p w14:paraId="647E0B1E" w14:textId="7E8617B7" w:rsidR="00DA78E4" w:rsidRDefault="00DA0B5F" w:rsidP="0083112E">
      <w:pPr>
        <w:rPr>
          <w:rFonts w:cs="Segoe UI"/>
        </w:rPr>
      </w:pPr>
      <w:r>
        <w:rPr>
          <w:rFonts w:cs="Segoe UI"/>
        </w:rPr>
        <w:t>T</w:t>
      </w:r>
      <w:r w:rsidR="008361C5" w:rsidRPr="002E743F">
        <w:rPr>
          <w:rFonts w:cs="Segoe UI"/>
        </w:rPr>
        <w:t xml:space="preserve">he </w:t>
      </w:r>
      <w:r w:rsidR="00BF5C20" w:rsidRPr="00200234">
        <w:rPr>
          <w:rFonts w:cs="Segoe UI"/>
        </w:rPr>
        <w:t xml:space="preserve">Office of the Director of Mental Health and Addiction Services Annual Report </w:t>
      </w:r>
      <w:r w:rsidR="008361C5" w:rsidRPr="002E743F">
        <w:rPr>
          <w:rFonts w:cs="Segoe UI"/>
        </w:rPr>
        <w:t xml:space="preserve">is </w:t>
      </w:r>
      <w:r w:rsidR="00AB4AAB">
        <w:rPr>
          <w:rFonts w:cs="Segoe UI"/>
        </w:rPr>
        <w:t xml:space="preserve">normally </w:t>
      </w:r>
      <w:r w:rsidR="008361C5" w:rsidRPr="002E743F">
        <w:rPr>
          <w:rFonts w:cs="Segoe UI"/>
        </w:rPr>
        <w:t xml:space="preserve">published </w:t>
      </w:r>
      <w:r w:rsidR="00BF5C20">
        <w:rPr>
          <w:rFonts w:cs="Segoe UI"/>
        </w:rPr>
        <w:t xml:space="preserve">in the </w:t>
      </w:r>
      <w:r w:rsidR="008361C5" w:rsidRPr="002E743F">
        <w:rPr>
          <w:rFonts w:cs="Segoe UI"/>
        </w:rPr>
        <w:t xml:space="preserve">year after the reporting period, reflecting the time required to receive data from district health boards (DHBs) and the necessary review and quality assurance processes to ensure all data is accurate and reported consistently across DHBs. </w:t>
      </w:r>
    </w:p>
    <w:p w14:paraId="3033C176" w14:textId="77777777" w:rsidR="00DA78E4" w:rsidRDefault="00DA78E4" w:rsidP="0083112E">
      <w:pPr>
        <w:rPr>
          <w:rFonts w:cs="Segoe UI"/>
        </w:rPr>
      </w:pPr>
    </w:p>
    <w:p w14:paraId="03561379" w14:textId="7948B3F9" w:rsidR="008361C5" w:rsidRDefault="008361C5" w:rsidP="0083112E">
      <w:pPr>
        <w:rPr>
          <w:rFonts w:cs="Segoe UI"/>
        </w:rPr>
      </w:pPr>
      <w:r w:rsidRPr="002E743F">
        <w:rPr>
          <w:rFonts w:cs="Segoe UI"/>
        </w:rPr>
        <w:t xml:space="preserve">The 2018 Annual Report was in the final stages of preparation for publication in early 2020 when it became necessary to focus on responding to COVID-19, including supporting mental health and addiction services across the country to continue delivering care safely throughout all </w:t>
      </w:r>
      <w:r w:rsidR="00EC601C" w:rsidRPr="002E743F">
        <w:rPr>
          <w:rFonts w:cs="Segoe UI"/>
        </w:rPr>
        <w:t>a</w:t>
      </w:r>
      <w:r w:rsidRPr="002E743F">
        <w:rPr>
          <w:rFonts w:cs="Segoe UI"/>
        </w:rPr>
        <w:t xml:space="preserve">lert </w:t>
      </w:r>
      <w:r w:rsidR="00EC601C" w:rsidRPr="002E743F">
        <w:rPr>
          <w:rFonts w:cs="Segoe UI"/>
        </w:rPr>
        <w:t>l</w:t>
      </w:r>
      <w:r w:rsidRPr="002E743F">
        <w:rPr>
          <w:rFonts w:cs="Segoe UI"/>
        </w:rPr>
        <w:t>evels.</w:t>
      </w:r>
      <w:r w:rsidR="005466E3" w:rsidRPr="002E743F">
        <w:rPr>
          <w:rFonts w:cs="Segoe UI"/>
        </w:rPr>
        <w:t xml:space="preserve"> </w:t>
      </w:r>
      <w:r w:rsidR="00373B90">
        <w:rPr>
          <w:rFonts w:cs="Segoe UI"/>
        </w:rPr>
        <w:t>During</w:t>
      </w:r>
      <w:r w:rsidR="00373B90" w:rsidRPr="002E743F">
        <w:rPr>
          <w:rFonts w:cs="Segoe UI"/>
        </w:rPr>
        <w:t xml:space="preserve"> </w:t>
      </w:r>
      <w:r w:rsidRPr="002E743F">
        <w:rPr>
          <w:rFonts w:cs="Segoe UI"/>
        </w:rPr>
        <w:t>the COVID-19 response, a decision was made to further delay release of the 2018 data to enable the joint publication of 2018 and 2019 data.</w:t>
      </w:r>
    </w:p>
    <w:p w14:paraId="325E0362" w14:textId="5BB48CA8" w:rsidR="008C2640" w:rsidRDefault="008C2640" w:rsidP="0083112E">
      <w:pPr>
        <w:rPr>
          <w:rFonts w:cs="Segoe UI"/>
        </w:rPr>
      </w:pPr>
    </w:p>
    <w:p w14:paraId="388502DE" w14:textId="4A49817A" w:rsidR="008C2640" w:rsidRPr="002E743F" w:rsidRDefault="008C2640" w:rsidP="0083112E">
      <w:pPr>
        <w:rPr>
          <w:rFonts w:cs="Segoe UI"/>
        </w:rPr>
      </w:pPr>
      <w:r w:rsidRPr="0083112E">
        <w:rPr>
          <w:rFonts w:cs="Segoe UI"/>
        </w:rPr>
        <w:t xml:space="preserve">Future </w:t>
      </w:r>
      <w:r w:rsidR="00CE57D2">
        <w:rPr>
          <w:rFonts w:cs="Segoe UI"/>
        </w:rPr>
        <w:t>reporting on</w:t>
      </w:r>
      <w:r w:rsidR="00CE57D2" w:rsidRPr="00CE57D2">
        <w:rPr>
          <w:rFonts w:cs="Segoe UI"/>
        </w:rPr>
        <w:t xml:space="preserve"> </w:t>
      </w:r>
      <w:r w:rsidR="0062068E" w:rsidRPr="00200234">
        <w:rPr>
          <w:rFonts w:cs="Segoe UI"/>
        </w:rPr>
        <w:t>compulsory assessment and treatment legislation</w:t>
      </w:r>
      <w:r w:rsidR="0062068E" w:rsidRPr="00200234" w:rsidDel="0062068E">
        <w:rPr>
          <w:rFonts w:cs="Segoe UI"/>
        </w:rPr>
        <w:t xml:space="preserve"> </w:t>
      </w:r>
      <w:r w:rsidRPr="0083112E">
        <w:rPr>
          <w:rFonts w:cs="Segoe UI"/>
        </w:rPr>
        <w:t>will be released as web-based reports, which will include a suite of reports on accountability and monitoring</w:t>
      </w:r>
      <w:r w:rsidR="00436C97">
        <w:rPr>
          <w:rFonts w:cs="Segoe UI"/>
        </w:rPr>
        <w:t xml:space="preserve"> and </w:t>
      </w:r>
      <w:r w:rsidRPr="0083112E">
        <w:rPr>
          <w:rFonts w:cs="Segoe UI"/>
        </w:rPr>
        <w:t>will shift from the calendar year basis to the financial year.</w:t>
      </w:r>
      <w:r w:rsidR="00702CC3">
        <w:rPr>
          <w:rFonts w:cs="Segoe UI"/>
        </w:rPr>
        <w:t xml:space="preserve"> </w:t>
      </w:r>
    </w:p>
    <w:p w14:paraId="736A1327" w14:textId="476DC07E" w:rsidR="008D2F1C" w:rsidRDefault="008D2F1C" w:rsidP="008361C5">
      <w:pPr>
        <w:rPr>
          <w:rFonts w:cs="Segoe UI"/>
        </w:rPr>
      </w:pPr>
    </w:p>
    <w:p w14:paraId="7DC76F98" w14:textId="24891037" w:rsidR="008361C5" w:rsidRPr="00200234" w:rsidRDefault="008361C5" w:rsidP="008361C5">
      <w:pPr>
        <w:rPr>
          <w:rFonts w:cs="Segoe UI"/>
        </w:rPr>
      </w:pPr>
    </w:p>
    <w:p w14:paraId="3D42B3E6" w14:textId="77777777" w:rsidR="00197427" w:rsidRPr="00200234" w:rsidRDefault="00197427" w:rsidP="0046362D"/>
    <w:p w14:paraId="4339B113" w14:textId="7337C30D" w:rsidR="00636E1F" w:rsidRPr="00200234" w:rsidRDefault="00636E1F" w:rsidP="0046362D">
      <w:pPr>
        <w:sectPr w:rsidR="00636E1F" w:rsidRPr="00200234" w:rsidSect="0078658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174B0CB5" w14:textId="77777777" w:rsidR="00C86248" w:rsidRPr="00200234" w:rsidRDefault="00C86248" w:rsidP="00025A6F">
      <w:pPr>
        <w:pStyle w:val="IntroHead"/>
      </w:pPr>
      <w:r w:rsidRPr="00200234">
        <w:lastRenderedPageBreak/>
        <w:t>Contents</w:t>
      </w:r>
      <w:bookmarkEnd w:id="0"/>
      <w:bookmarkEnd w:id="1"/>
    </w:p>
    <w:p w14:paraId="7E161AA9" w14:textId="36D9A19D" w:rsidR="00B011A8" w:rsidRDefault="00644641">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69307689" w:history="1">
        <w:r w:rsidR="00B011A8" w:rsidRPr="00632C38">
          <w:rPr>
            <w:rStyle w:val="Hyperlink"/>
            <w:noProof/>
          </w:rPr>
          <w:t>Foreword</w:t>
        </w:r>
        <w:r w:rsidR="00B011A8">
          <w:rPr>
            <w:noProof/>
            <w:webHidden/>
          </w:rPr>
          <w:tab/>
        </w:r>
        <w:r w:rsidR="00B011A8">
          <w:rPr>
            <w:noProof/>
            <w:webHidden/>
          </w:rPr>
          <w:fldChar w:fldCharType="begin"/>
        </w:r>
        <w:r w:rsidR="00B011A8">
          <w:rPr>
            <w:noProof/>
            <w:webHidden/>
          </w:rPr>
          <w:instrText xml:space="preserve"> PAGEREF _Toc69307689 \h </w:instrText>
        </w:r>
        <w:r w:rsidR="00B011A8">
          <w:rPr>
            <w:noProof/>
            <w:webHidden/>
          </w:rPr>
        </w:r>
        <w:r w:rsidR="00B011A8">
          <w:rPr>
            <w:noProof/>
            <w:webHidden/>
          </w:rPr>
          <w:fldChar w:fldCharType="separate"/>
        </w:r>
        <w:r w:rsidR="00422361">
          <w:rPr>
            <w:noProof/>
            <w:webHidden/>
          </w:rPr>
          <w:t>iii</w:t>
        </w:r>
        <w:r w:rsidR="00B011A8">
          <w:rPr>
            <w:noProof/>
            <w:webHidden/>
          </w:rPr>
          <w:fldChar w:fldCharType="end"/>
        </w:r>
      </w:hyperlink>
    </w:p>
    <w:p w14:paraId="3109B171" w14:textId="4627294C" w:rsidR="00B011A8" w:rsidRDefault="00B011A8">
      <w:pPr>
        <w:pStyle w:val="TOC1"/>
        <w:rPr>
          <w:rFonts w:asciiTheme="minorHAnsi" w:eastAsiaTheme="minorEastAsia" w:hAnsiTheme="minorHAnsi" w:cstheme="minorBidi"/>
          <w:noProof/>
          <w:sz w:val="22"/>
          <w:szCs w:val="22"/>
          <w:lang w:eastAsia="en-NZ"/>
        </w:rPr>
      </w:pPr>
      <w:hyperlink w:anchor="_Toc69307690" w:history="1">
        <w:r w:rsidRPr="00632C38">
          <w:rPr>
            <w:rStyle w:val="Hyperlink"/>
            <w:noProof/>
          </w:rPr>
          <w:t>Use of the Mental Health Act</w:t>
        </w:r>
        <w:r>
          <w:rPr>
            <w:noProof/>
            <w:webHidden/>
          </w:rPr>
          <w:tab/>
        </w:r>
        <w:r>
          <w:rPr>
            <w:noProof/>
            <w:webHidden/>
          </w:rPr>
          <w:fldChar w:fldCharType="begin"/>
        </w:r>
        <w:r>
          <w:rPr>
            <w:noProof/>
            <w:webHidden/>
          </w:rPr>
          <w:instrText xml:space="preserve"> PAGEREF _Toc69307690 \h </w:instrText>
        </w:r>
        <w:r>
          <w:rPr>
            <w:noProof/>
            <w:webHidden/>
          </w:rPr>
        </w:r>
        <w:r>
          <w:rPr>
            <w:noProof/>
            <w:webHidden/>
          </w:rPr>
          <w:fldChar w:fldCharType="separate"/>
        </w:r>
        <w:r w:rsidR="00422361">
          <w:rPr>
            <w:noProof/>
            <w:webHidden/>
          </w:rPr>
          <w:t>1</w:t>
        </w:r>
        <w:r>
          <w:rPr>
            <w:noProof/>
            <w:webHidden/>
          </w:rPr>
          <w:fldChar w:fldCharType="end"/>
        </w:r>
      </w:hyperlink>
    </w:p>
    <w:p w14:paraId="5BE91331" w14:textId="2109E6EF" w:rsidR="00B011A8" w:rsidRDefault="00B011A8">
      <w:pPr>
        <w:pStyle w:val="TOC1"/>
        <w:rPr>
          <w:rFonts w:asciiTheme="minorHAnsi" w:eastAsiaTheme="minorEastAsia" w:hAnsiTheme="minorHAnsi" w:cstheme="minorBidi"/>
          <w:noProof/>
          <w:sz w:val="22"/>
          <w:szCs w:val="22"/>
          <w:lang w:eastAsia="en-NZ"/>
        </w:rPr>
      </w:pPr>
      <w:hyperlink w:anchor="_Toc69307691" w:history="1">
        <w:r w:rsidRPr="00632C38">
          <w:rPr>
            <w:rStyle w:val="Hyperlink"/>
            <w:noProof/>
          </w:rPr>
          <w:t>The Mental Health Act process</w:t>
        </w:r>
        <w:r>
          <w:rPr>
            <w:noProof/>
            <w:webHidden/>
          </w:rPr>
          <w:tab/>
        </w:r>
        <w:r>
          <w:rPr>
            <w:noProof/>
            <w:webHidden/>
          </w:rPr>
          <w:fldChar w:fldCharType="begin"/>
        </w:r>
        <w:r>
          <w:rPr>
            <w:noProof/>
            <w:webHidden/>
          </w:rPr>
          <w:instrText xml:space="preserve"> PAGEREF _Toc69307691 \h </w:instrText>
        </w:r>
        <w:r>
          <w:rPr>
            <w:noProof/>
            <w:webHidden/>
          </w:rPr>
        </w:r>
        <w:r>
          <w:rPr>
            <w:noProof/>
            <w:webHidden/>
          </w:rPr>
          <w:fldChar w:fldCharType="separate"/>
        </w:r>
        <w:r w:rsidR="00422361">
          <w:rPr>
            <w:noProof/>
            <w:webHidden/>
          </w:rPr>
          <w:t>2</w:t>
        </w:r>
        <w:r>
          <w:rPr>
            <w:noProof/>
            <w:webHidden/>
          </w:rPr>
          <w:fldChar w:fldCharType="end"/>
        </w:r>
      </w:hyperlink>
    </w:p>
    <w:p w14:paraId="17922229" w14:textId="0C1A00A9" w:rsidR="00B011A8" w:rsidRDefault="00B011A8">
      <w:pPr>
        <w:pStyle w:val="TOC2"/>
        <w:rPr>
          <w:rFonts w:asciiTheme="minorHAnsi" w:eastAsiaTheme="minorEastAsia" w:hAnsiTheme="minorHAnsi" w:cstheme="minorBidi"/>
          <w:noProof/>
          <w:szCs w:val="22"/>
          <w:lang w:eastAsia="en-NZ"/>
        </w:rPr>
      </w:pPr>
      <w:hyperlink w:anchor="_Toc69307692" w:history="1">
        <w:r w:rsidRPr="00632C38">
          <w:rPr>
            <w:rStyle w:val="Hyperlink"/>
            <w:noProof/>
          </w:rPr>
          <w:t>Compulsory assessment</w:t>
        </w:r>
        <w:r>
          <w:rPr>
            <w:noProof/>
            <w:webHidden/>
          </w:rPr>
          <w:tab/>
        </w:r>
        <w:r>
          <w:rPr>
            <w:noProof/>
            <w:webHidden/>
          </w:rPr>
          <w:fldChar w:fldCharType="begin"/>
        </w:r>
        <w:r>
          <w:rPr>
            <w:noProof/>
            <w:webHidden/>
          </w:rPr>
          <w:instrText xml:space="preserve"> PAGEREF _Toc69307692 \h </w:instrText>
        </w:r>
        <w:r>
          <w:rPr>
            <w:noProof/>
            <w:webHidden/>
          </w:rPr>
        </w:r>
        <w:r>
          <w:rPr>
            <w:noProof/>
            <w:webHidden/>
          </w:rPr>
          <w:fldChar w:fldCharType="separate"/>
        </w:r>
        <w:r w:rsidR="00422361">
          <w:rPr>
            <w:noProof/>
            <w:webHidden/>
          </w:rPr>
          <w:t>2</w:t>
        </w:r>
        <w:r>
          <w:rPr>
            <w:noProof/>
            <w:webHidden/>
          </w:rPr>
          <w:fldChar w:fldCharType="end"/>
        </w:r>
      </w:hyperlink>
    </w:p>
    <w:p w14:paraId="5C352CD3" w14:textId="50D35918" w:rsidR="00B011A8" w:rsidRDefault="00B011A8">
      <w:pPr>
        <w:pStyle w:val="TOC2"/>
        <w:rPr>
          <w:rFonts w:asciiTheme="minorHAnsi" w:eastAsiaTheme="minorEastAsia" w:hAnsiTheme="minorHAnsi" w:cstheme="minorBidi"/>
          <w:noProof/>
          <w:szCs w:val="22"/>
          <w:lang w:eastAsia="en-NZ"/>
        </w:rPr>
      </w:pPr>
      <w:hyperlink w:anchor="_Toc69307693" w:history="1">
        <w:r w:rsidRPr="00632C38">
          <w:rPr>
            <w:rStyle w:val="Hyperlink"/>
            <w:noProof/>
          </w:rPr>
          <w:t>Compulsory treatment</w:t>
        </w:r>
        <w:r>
          <w:rPr>
            <w:noProof/>
            <w:webHidden/>
          </w:rPr>
          <w:tab/>
        </w:r>
        <w:r>
          <w:rPr>
            <w:noProof/>
            <w:webHidden/>
          </w:rPr>
          <w:fldChar w:fldCharType="begin"/>
        </w:r>
        <w:r>
          <w:rPr>
            <w:noProof/>
            <w:webHidden/>
          </w:rPr>
          <w:instrText xml:space="preserve"> PAGEREF _Toc69307693 \h </w:instrText>
        </w:r>
        <w:r>
          <w:rPr>
            <w:noProof/>
            <w:webHidden/>
          </w:rPr>
        </w:r>
        <w:r>
          <w:rPr>
            <w:noProof/>
            <w:webHidden/>
          </w:rPr>
          <w:fldChar w:fldCharType="separate"/>
        </w:r>
        <w:r w:rsidR="00422361">
          <w:rPr>
            <w:noProof/>
            <w:webHidden/>
          </w:rPr>
          <w:t>2</w:t>
        </w:r>
        <w:r>
          <w:rPr>
            <w:noProof/>
            <w:webHidden/>
          </w:rPr>
          <w:fldChar w:fldCharType="end"/>
        </w:r>
      </w:hyperlink>
    </w:p>
    <w:p w14:paraId="7F0581C0" w14:textId="48DB3188" w:rsidR="00B011A8" w:rsidRDefault="00B011A8">
      <w:pPr>
        <w:pStyle w:val="TOC2"/>
        <w:rPr>
          <w:rFonts w:asciiTheme="minorHAnsi" w:eastAsiaTheme="minorEastAsia" w:hAnsiTheme="minorHAnsi" w:cstheme="minorBidi"/>
          <w:noProof/>
          <w:szCs w:val="22"/>
          <w:lang w:eastAsia="en-NZ"/>
        </w:rPr>
      </w:pPr>
      <w:hyperlink w:anchor="_Toc69307694" w:history="1">
        <w:r w:rsidRPr="00632C38">
          <w:rPr>
            <w:rStyle w:val="Hyperlink"/>
            <w:noProof/>
          </w:rPr>
          <w:t>Comparing compulsory assessment and treatment among DHBs</w:t>
        </w:r>
        <w:r>
          <w:rPr>
            <w:noProof/>
            <w:webHidden/>
          </w:rPr>
          <w:tab/>
        </w:r>
        <w:r>
          <w:rPr>
            <w:noProof/>
            <w:webHidden/>
          </w:rPr>
          <w:fldChar w:fldCharType="begin"/>
        </w:r>
        <w:r>
          <w:rPr>
            <w:noProof/>
            <w:webHidden/>
          </w:rPr>
          <w:instrText xml:space="preserve"> PAGEREF _Toc69307694 \h </w:instrText>
        </w:r>
        <w:r>
          <w:rPr>
            <w:noProof/>
            <w:webHidden/>
          </w:rPr>
        </w:r>
        <w:r>
          <w:rPr>
            <w:noProof/>
            <w:webHidden/>
          </w:rPr>
          <w:fldChar w:fldCharType="separate"/>
        </w:r>
        <w:r w:rsidR="00422361">
          <w:rPr>
            <w:noProof/>
            <w:webHidden/>
          </w:rPr>
          <w:t>4</w:t>
        </w:r>
        <w:r>
          <w:rPr>
            <w:noProof/>
            <w:webHidden/>
          </w:rPr>
          <w:fldChar w:fldCharType="end"/>
        </w:r>
      </w:hyperlink>
    </w:p>
    <w:p w14:paraId="114FA08F" w14:textId="7C0BA0BA" w:rsidR="00B011A8" w:rsidRDefault="00B011A8">
      <w:pPr>
        <w:pStyle w:val="TOC2"/>
        <w:rPr>
          <w:rFonts w:asciiTheme="minorHAnsi" w:eastAsiaTheme="minorEastAsia" w:hAnsiTheme="minorHAnsi" w:cstheme="minorBidi"/>
          <w:noProof/>
          <w:szCs w:val="22"/>
          <w:lang w:eastAsia="en-NZ"/>
        </w:rPr>
      </w:pPr>
      <w:hyperlink w:anchor="_Toc69307695" w:history="1">
        <w:r w:rsidRPr="00632C38">
          <w:rPr>
            <w:rStyle w:val="Hyperlink"/>
            <w:noProof/>
          </w:rPr>
          <w:t>Compulsory treatment by age and sex</w:t>
        </w:r>
        <w:r>
          <w:rPr>
            <w:noProof/>
            <w:webHidden/>
          </w:rPr>
          <w:tab/>
        </w:r>
        <w:r>
          <w:rPr>
            <w:noProof/>
            <w:webHidden/>
          </w:rPr>
          <w:fldChar w:fldCharType="begin"/>
        </w:r>
        <w:r>
          <w:rPr>
            <w:noProof/>
            <w:webHidden/>
          </w:rPr>
          <w:instrText xml:space="preserve"> PAGEREF _Toc69307695 \h </w:instrText>
        </w:r>
        <w:r>
          <w:rPr>
            <w:noProof/>
            <w:webHidden/>
          </w:rPr>
        </w:r>
        <w:r>
          <w:rPr>
            <w:noProof/>
            <w:webHidden/>
          </w:rPr>
          <w:fldChar w:fldCharType="separate"/>
        </w:r>
        <w:r w:rsidR="00422361">
          <w:rPr>
            <w:noProof/>
            <w:webHidden/>
          </w:rPr>
          <w:t>9</w:t>
        </w:r>
        <w:r>
          <w:rPr>
            <w:noProof/>
            <w:webHidden/>
          </w:rPr>
          <w:fldChar w:fldCharType="end"/>
        </w:r>
      </w:hyperlink>
    </w:p>
    <w:p w14:paraId="36CF4087" w14:textId="635B6C50" w:rsidR="00B011A8" w:rsidRDefault="00B011A8">
      <w:pPr>
        <w:pStyle w:val="TOC1"/>
        <w:rPr>
          <w:rFonts w:asciiTheme="minorHAnsi" w:eastAsiaTheme="minorEastAsia" w:hAnsiTheme="minorHAnsi" w:cstheme="minorBidi"/>
          <w:noProof/>
          <w:sz w:val="22"/>
          <w:szCs w:val="22"/>
          <w:lang w:eastAsia="en-NZ"/>
        </w:rPr>
      </w:pPr>
      <w:hyperlink w:anchor="_Toc69307696" w:history="1">
        <w:r w:rsidRPr="00632C38">
          <w:rPr>
            <w:rStyle w:val="Hyperlink"/>
            <w:noProof/>
          </w:rPr>
          <w:t>Indefinite compulsory treatment orders</w:t>
        </w:r>
        <w:r>
          <w:rPr>
            <w:noProof/>
            <w:webHidden/>
          </w:rPr>
          <w:tab/>
        </w:r>
        <w:r>
          <w:rPr>
            <w:noProof/>
            <w:webHidden/>
          </w:rPr>
          <w:fldChar w:fldCharType="begin"/>
        </w:r>
        <w:r>
          <w:rPr>
            <w:noProof/>
            <w:webHidden/>
          </w:rPr>
          <w:instrText xml:space="preserve"> PAGEREF _Toc69307696 \h </w:instrText>
        </w:r>
        <w:r>
          <w:rPr>
            <w:noProof/>
            <w:webHidden/>
          </w:rPr>
        </w:r>
        <w:r>
          <w:rPr>
            <w:noProof/>
            <w:webHidden/>
          </w:rPr>
          <w:fldChar w:fldCharType="separate"/>
        </w:r>
        <w:r w:rsidR="00422361">
          <w:rPr>
            <w:noProof/>
            <w:webHidden/>
          </w:rPr>
          <w:t>11</w:t>
        </w:r>
        <w:r>
          <w:rPr>
            <w:noProof/>
            <w:webHidden/>
          </w:rPr>
          <w:fldChar w:fldCharType="end"/>
        </w:r>
      </w:hyperlink>
    </w:p>
    <w:p w14:paraId="47EB45D2" w14:textId="3D4E221C" w:rsidR="00B011A8" w:rsidRDefault="00B011A8">
      <w:pPr>
        <w:pStyle w:val="TOC2"/>
        <w:rPr>
          <w:rFonts w:asciiTheme="minorHAnsi" w:eastAsiaTheme="minorEastAsia" w:hAnsiTheme="minorHAnsi" w:cstheme="minorBidi"/>
          <w:noProof/>
          <w:szCs w:val="22"/>
          <w:lang w:eastAsia="en-NZ"/>
        </w:rPr>
      </w:pPr>
      <w:hyperlink w:anchor="_Toc69307697" w:history="1">
        <w:r w:rsidRPr="00632C38">
          <w:rPr>
            <w:rStyle w:val="Hyperlink"/>
            <w:noProof/>
          </w:rPr>
          <w:t>Indefinite community treatment orders</w:t>
        </w:r>
        <w:r>
          <w:rPr>
            <w:noProof/>
            <w:webHidden/>
          </w:rPr>
          <w:tab/>
        </w:r>
        <w:r>
          <w:rPr>
            <w:noProof/>
            <w:webHidden/>
          </w:rPr>
          <w:fldChar w:fldCharType="begin"/>
        </w:r>
        <w:r>
          <w:rPr>
            <w:noProof/>
            <w:webHidden/>
          </w:rPr>
          <w:instrText xml:space="preserve"> PAGEREF _Toc69307697 \h </w:instrText>
        </w:r>
        <w:r>
          <w:rPr>
            <w:noProof/>
            <w:webHidden/>
          </w:rPr>
        </w:r>
        <w:r>
          <w:rPr>
            <w:noProof/>
            <w:webHidden/>
          </w:rPr>
          <w:fldChar w:fldCharType="separate"/>
        </w:r>
        <w:r w:rsidR="00422361">
          <w:rPr>
            <w:noProof/>
            <w:webHidden/>
          </w:rPr>
          <w:t>11</w:t>
        </w:r>
        <w:r>
          <w:rPr>
            <w:noProof/>
            <w:webHidden/>
          </w:rPr>
          <w:fldChar w:fldCharType="end"/>
        </w:r>
      </w:hyperlink>
    </w:p>
    <w:p w14:paraId="27E26DC5" w14:textId="26EC791A" w:rsidR="00B011A8" w:rsidRDefault="00B011A8">
      <w:pPr>
        <w:pStyle w:val="TOC2"/>
        <w:rPr>
          <w:rFonts w:asciiTheme="minorHAnsi" w:eastAsiaTheme="minorEastAsia" w:hAnsiTheme="minorHAnsi" w:cstheme="minorBidi"/>
          <w:noProof/>
          <w:szCs w:val="22"/>
          <w:lang w:eastAsia="en-NZ"/>
        </w:rPr>
      </w:pPr>
      <w:hyperlink w:anchor="_Toc69307698" w:history="1">
        <w:r w:rsidRPr="00632C38">
          <w:rPr>
            <w:rStyle w:val="Hyperlink"/>
            <w:noProof/>
          </w:rPr>
          <w:t>Indefinite inpatient treatment orders</w:t>
        </w:r>
        <w:r>
          <w:rPr>
            <w:noProof/>
            <w:webHidden/>
          </w:rPr>
          <w:tab/>
        </w:r>
        <w:r>
          <w:rPr>
            <w:noProof/>
            <w:webHidden/>
          </w:rPr>
          <w:fldChar w:fldCharType="begin"/>
        </w:r>
        <w:r>
          <w:rPr>
            <w:noProof/>
            <w:webHidden/>
          </w:rPr>
          <w:instrText xml:space="preserve"> PAGEREF _Toc69307698 \h </w:instrText>
        </w:r>
        <w:r>
          <w:rPr>
            <w:noProof/>
            <w:webHidden/>
          </w:rPr>
        </w:r>
        <w:r>
          <w:rPr>
            <w:noProof/>
            <w:webHidden/>
          </w:rPr>
          <w:fldChar w:fldCharType="separate"/>
        </w:r>
        <w:r w:rsidR="00422361">
          <w:rPr>
            <w:noProof/>
            <w:webHidden/>
          </w:rPr>
          <w:t>14</w:t>
        </w:r>
        <w:r>
          <w:rPr>
            <w:noProof/>
            <w:webHidden/>
          </w:rPr>
          <w:fldChar w:fldCharType="end"/>
        </w:r>
      </w:hyperlink>
    </w:p>
    <w:p w14:paraId="3499E84C" w14:textId="543D1798" w:rsidR="00B011A8" w:rsidRDefault="00B011A8">
      <w:pPr>
        <w:pStyle w:val="TOC1"/>
        <w:rPr>
          <w:rFonts w:asciiTheme="minorHAnsi" w:eastAsiaTheme="minorEastAsia" w:hAnsiTheme="minorHAnsi" w:cstheme="minorBidi"/>
          <w:noProof/>
          <w:sz w:val="22"/>
          <w:szCs w:val="22"/>
          <w:lang w:eastAsia="en-NZ"/>
        </w:rPr>
      </w:pPr>
      <w:hyperlink w:anchor="_Toc69307699" w:history="1">
        <w:r w:rsidRPr="00632C38">
          <w:rPr>
            <w:rStyle w:val="Hyperlink"/>
            <w:noProof/>
          </w:rPr>
          <w:t>Tāngata whaiora</w:t>
        </w:r>
        <w:r>
          <w:rPr>
            <w:noProof/>
            <w:webHidden/>
          </w:rPr>
          <w:tab/>
        </w:r>
        <w:r>
          <w:rPr>
            <w:noProof/>
            <w:webHidden/>
          </w:rPr>
          <w:fldChar w:fldCharType="begin"/>
        </w:r>
        <w:r>
          <w:rPr>
            <w:noProof/>
            <w:webHidden/>
          </w:rPr>
          <w:instrText xml:space="preserve"> PAGEREF _Toc69307699 \h </w:instrText>
        </w:r>
        <w:r>
          <w:rPr>
            <w:noProof/>
            <w:webHidden/>
          </w:rPr>
        </w:r>
        <w:r>
          <w:rPr>
            <w:noProof/>
            <w:webHidden/>
          </w:rPr>
          <w:fldChar w:fldCharType="separate"/>
        </w:r>
        <w:r w:rsidR="00422361">
          <w:rPr>
            <w:noProof/>
            <w:webHidden/>
          </w:rPr>
          <w:t>18</w:t>
        </w:r>
        <w:r>
          <w:rPr>
            <w:noProof/>
            <w:webHidden/>
          </w:rPr>
          <w:fldChar w:fldCharType="end"/>
        </w:r>
      </w:hyperlink>
    </w:p>
    <w:p w14:paraId="0F717B43" w14:textId="27FB1B92" w:rsidR="00B011A8" w:rsidRDefault="00B011A8">
      <w:pPr>
        <w:pStyle w:val="TOC2"/>
        <w:rPr>
          <w:rFonts w:asciiTheme="minorHAnsi" w:eastAsiaTheme="minorEastAsia" w:hAnsiTheme="minorHAnsi" w:cstheme="minorBidi"/>
          <w:noProof/>
          <w:szCs w:val="22"/>
          <w:lang w:eastAsia="en-NZ"/>
        </w:rPr>
      </w:pPr>
      <w:hyperlink w:anchor="_Toc69307700" w:history="1">
        <w:r w:rsidRPr="00632C38">
          <w:rPr>
            <w:rStyle w:val="Hyperlink"/>
            <w:noProof/>
          </w:rPr>
          <w:t>Māori and compulsory treatment orders</w:t>
        </w:r>
        <w:r>
          <w:rPr>
            <w:noProof/>
            <w:webHidden/>
          </w:rPr>
          <w:tab/>
        </w:r>
        <w:r>
          <w:rPr>
            <w:noProof/>
            <w:webHidden/>
          </w:rPr>
          <w:fldChar w:fldCharType="begin"/>
        </w:r>
        <w:r>
          <w:rPr>
            <w:noProof/>
            <w:webHidden/>
          </w:rPr>
          <w:instrText xml:space="preserve"> PAGEREF _Toc69307700 \h </w:instrText>
        </w:r>
        <w:r>
          <w:rPr>
            <w:noProof/>
            <w:webHidden/>
          </w:rPr>
        </w:r>
        <w:r>
          <w:rPr>
            <w:noProof/>
            <w:webHidden/>
          </w:rPr>
          <w:fldChar w:fldCharType="separate"/>
        </w:r>
        <w:r w:rsidR="00422361">
          <w:rPr>
            <w:noProof/>
            <w:webHidden/>
          </w:rPr>
          <w:t>19</w:t>
        </w:r>
        <w:r>
          <w:rPr>
            <w:noProof/>
            <w:webHidden/>
          </w:rPr>
          <w:fldChar w:fldCharType="end"/>
        </w:r>
      </w:hyperlink>
    </w:p>
    <w:p w14:paraId="0F92700A" w14:textId="08C4A254" w:rsidR="00B011A8" w:rsidRDefault="00B011A8">
      <w:pPr>
        <w:pStyle w:val="TOC2"/>
        <w:rPr>
          <w:rFonts w:asciiTheme="minorHAnsi" w:eastAsiaTheme="minorEastAsia" w:hAnsiTheme="minorHAnsi" w:cstheme="minorBidi"/>
          <w:noProof/>
          <w:szCs w:val="22"/>
          <w:lang w:eastAsia="en-NZ"/>
        </w:rPr>
      </w:pPr>
      <w:hyperlink w:anchor="_Toc69307701" w:history="1">
        <w:r w:rsidRPr="00632C38">
          <w:rPr>
            <w:rStyle w:val="Hyperlink"/>
            <w:noProof/>
          </w:rPr>
          <w:t>Length of time spent subject to compulsory treatment orders</w:t>
        </w:r>
        <w:r>
          <w:rPr>
            <w:noProof/>
            <w:webHidden/>
          </w:rPr>
          <w:tab/>
        </w:r>
        <w:r>
          <w:rPr>
            <w:noProof/>
            <w:webHidden/>
          </w:rPr>
          <w:fldChar w:fldCharType="begin"/>
        </w:r>
        <w:r>
          <w:rPr>
            <w:noProof/>
            <w:webHidden/>
          </w:rPr>
          <w:instrText xml:space="preserve"> PAGEREF _Toc69307701 \h </w:instrText>
        </w:r>
        <w:r>
          <w:rPr>
            <w:noProof/>
            <w:webHidden/>
          </w:rPr>
        </w:r>
        <w:r>
          <w:rPr>
            <w:noProof/>
            <w:webHidden/>
          </w:rPr>
          <w:fldChar w:fldCharType="separate"/>
        </w:r>
        <w:r w:rsidR="00422361">
          <w:rPr>
            <w:noProof/>
            <w:webHidden/>
          </w:rPr>
          <w:t>25</w:t>
        </w:r>
        <w:r>
          <w:rPr>
            <w:noProof/>
            <w:webHidden/>
          </w:rPr>
          <w:fldChar w:fldCharType="end"/>
        </w:r>
      </w:hyperlink>
    </w:p>
    <w:p w14:paraId="7FE0FA08" w14:textId="234375C5" w:rsidR="00B011A8" w:rsidRDefault="00B011A8">
      <w:pPr>
        <w:pStyle w:val="TOC2"/>
        <w:rPr>
          <w:rFonts w:asciiTheme="minorHAnsi" w:eastAsiaTheme="minorEastAsia" w:hAnsiTheme="minorHAnsi" w:cstheme="minorBidi"/>
          <w:noProof/>
          <w:szCs w:val="22"/>
          <w:lang w:eastAsia="en-NZ"/>
        </w:rPr>
      </w:pPr>
      <w:hyperlink w:anchor="_Toc69307702" w:history="1">
        <w:r w:rsidRPr="00632C38">
          <w:rPr>
            <w:rStyle w:val="Hyperlink"/>
            <w:noProof/>
          </w:rPr>
          <w:t>Family and whānau consultation under the Mental Health Act</w:t>
        </w:r>
        <w:r>
          <w:rPr>
            <w:noProof/>
            <w:webHidden/>
          </w:rPr>
          <w:tab/>
        </w:r>
        <w:r>
          <w:rPr>
            <w:noProof/>
            <w:webHidden/>
          </w:rPr>
          <w:fldChar w:fldCharType="begin"/>
        </w:r>
        <w:r>
          <w:rPr>
            <w:noProof/>
            <w:webHidden/>
          </w:rPr>
          <w:instrText xml:space="preserve"> PAGEREF _Toc69307702 \h </w:instrText>
        </w:r>
        <w:r>
          <w:rPr>
            <w:noProof/>
            <w:webHidden/>
          </w:rPr>
        </w:r>
        <w:r>
          <w:rPr>
            <w:noProof/>
            <w:webHidden/>
          </w:rPr>
          <w:fldChar w:fldCharType="separate"/>
        </w:r>
        <w:r w:rsidR="00422361">
          <w:rPr>
            <w:noProof/>
            <w:webHidden/>
          </w:rPr>
          <w:t>30</w:t>
        </w:r>
        <w:r>
          <w:rPr>
            <w:noProof/>
            <w:webHidden/>
          </w:rPr>
          <w:fldChar w:fldCharType="end"/>
        </w:r>
      </w:hyperlink>
    </w:p>
    <w:p w14:paraId="74E51344" w14:textId="0AA55675" w:rsidR="00B011A8" w:rsidRDefault="00B011A8">
      <w:pPr>
        <w:pStyle w:val="TOC1"/>
        <w:rPr>
          <w:rFonts w:asciiTheme="minorHAnsi" w:eastAsiaTheme="minorEastAsia" w:hAnsiTheme="minorHAnsi" w:cstheme="minorBidi"/>
          <w:noProof/>
          <w:sz w:val="22"/>
          <w:szCs w:val="22"/>
          <w:lang w:eastAsia="en-NZ"/>
        </w:rPr>
      </w:pPr>
      <w:hyperlink w:anchor="_Toc69307703" w:history="1">
        <w:r w:rsidRPr="00632C38">
          <w:rPr>
            <w:rStyle w:val="Hyperlink"/>
            <w:noProof/>
          </w:rPr>
          <w:t>Seclusion</w:t>
        </w:r>
        <w:r>
          <w:rPr>
            <w:noProof/>
            <w:webHidden/>
          </w:rPr>
          <w:tab/>
        </w:r>
        <w:r>
          <w:rPr>
            <w:noProof/>
            <w:webHidden/>
          </w:rPr>
          <w:fldChar w:fldCharType="begin"/>
        </w:r>
        <w:r>
          <w:rPr>
            <w:noProof/>
            <w:webHidden/>
          </w:rPr>
          <w:instrText xml:space="preserve"> PAGEREF _Toc69307703 \h </w:instrText>
        </w:r>
        <w:r>
          <w:rPr>
            <w:noProof/>
            <w:webHidden/>
          </w:rPr>
        </w:r>
        <w:r>
          <w:rPr>
            <w:noProof/>
            <w:webHidden/>
          </w:rPr>
          <w:fldChar w:fldCharType="separate"/>
        </w:r>
        <w:r w:rsidR="00422361">
          <w:rPr>
            <w:noProof/>
            <w:webHidden/>
          </w:rPr>
          <w:t>35</w:t>
        </w:r>
        <w:r>
          <w:rPr>
            <w:noProof/>
            <w:webHidden/>
          </w:rPr>
          <w:fldChar w:fldCharType="end"/>
        </w:r>
      </w:hyperlink>
    </w:p>
    <w:p w14:paraId="13211C67" w14:textId="0AD945DB" w:rsidR="00B011A8" w:rsidRDefault="00B011A8">
      <w:pPr>
        <w:pStyle w:val="TOC2"/>
        <w:rPr>
          <w:rFonts w:asciiTheme="minorHAnsi" w:eastAsiaTheme="minorEastAsia" w:hAnsiTheme="minorHAnsi" w:cstheme="minorBidi"/>
          <w:noProof/>
          <w:szCs w:val="22"/>
          <w:lang w:eastAsia="en-NZ"/>
        </w:rPr>
      </w:pPr>
      <w:hyperlink w:anchor="_Toc69307704" w:history="1">
        <w:r w:rsidRPr="00632C38">
          <w:rPr>
            <w:rStyle w:val="Hyperlink"/>
            <w:noProof/>
          </w:rPr>
          <w:t>Seclusion in New Zealand mental health services</w:t>
        </w:r>
        <w:r>
          <w:rPr>
            <w:noProof/>
            <w:webHidden/>
          </w:rPr>
          <w:tab/>
        </w:r>
        <w:r>
          <w:rPr>
            <w:noProof/>
            <w:webHidden/>
          </w:rPr>
          <w:fldChar w:fldCharType="begin"/>
        </w:r>
        <w:r>
          <w:rPr>
            <w:noProof/>
            <w:webHidden/>
          </w:rPr>
          <w:instrText xml:space="preserve"> PAGEREF _Toc69307704 \h </w:instrText>
        </w:r>
        <w:r>
          <w:rPr>
            <w:noProof/>
            <w:webHidden/>
          </w:rPr>
        </w:r>
        <w:r>
          <w:rPr>
            <w:noProof/>
            <w:webHidden/>
          </w:rPr>
          <w:fldChar w:fldCharType="separate"/>
        </w:r>
        <w:r w:rsidR="00422361">
          <w:rPr>
            <w:noProof/>
            <w:webHidden/>
          </w:rPr>
          <w:t>37</w:t>
        </w:r>
        <w:r>
          <w:rPr>
            <w:noProof/>
            <w:webHidden/>
          </w:rPr>
          <w:fldChar w:fldCharType="end"/>
        </w:r>
      </w:hyperlink>
    </w:p>
    <w:p w14:paraId="784B6944" w14:textId="243F648C" w:rsidR="00B011A8" w:rsidRDefault="00B011A8">
      <w:pPr>
        <w:pStyle w:val="TOC2"/>
        <w:rPr>
          <w:rFonts w:asciiTheme="minorHAnsi" w:eastAsiaTheme="minorEastAsia" w:hAnsiTheme="minorHAnsi" w:cstheme="minorBidi"/>
          <w:noProof/>
          <w:szCs w:val="22"/>
          <w:lang w:eastAsia="en-NZ"/>
        </w:rPr>
      </w:pPr>
      <w:hyperlink w:anchor="_Toc69307705" w:history="1">
        <w:r w:rsidRPr="00632C38">
          <w:rPr>
            <w:rStyle w:val="Hyperlink"/>
            <w:noProof/>
          </w:rPr>
          <w:t>Use of seclusion by DHBs</w:t>
        </w:r>
        <w:r>
          <w:rPr>
            <w:noProof/>
            <w:webHidden/>
          </w:rPr>
          <w:tab/>
        </w:r>
        <w:r>
          <w:rPr>
            <w:noProof/>
            <w:webHidden/>
          </w:rPr>
          <w:fldChar w:fldCharType="begin"/>
        </w:r>
        <w:r>
          <w:rPr>
            <w:noProof/>
            <w:webHidden/>
          </w:rPr>
          <w:instrText xml:space="preserve"> PAGEREF _Toc69307705 \h </w:instrText>
        </w:r>
        <w:r>
          <w:rPr>
            <w:noProof/>
            <w:webHidden/>
          </w:rPr>
        </w:r>
        <w:r>
          <w:rPr>
            <w:noProof/>
            <w:webHidden/>
          </w:rPr>
          <w:fldChar w:fldCharType="separate"/>
        </w:r>
        <w:r w:rsidR="00422361">
          <w:rPr>
            <w:noProof/>
            <w:webHidden/>
          </w:rPr>
          <w:t>40</w:t>
        </w:r>
        <w:r>
          <w:rPr>
            <w:noProof/>
            <w:webHidden/>
          </w:rPr>
          <w:fldChar w:fldCharType="end"/>
        </w:r>
      </w:hyperlink>
    </w:p>
    <w:p w14:paraId="00124B58" w14:textId="56B1D8AB" w:rsidR="00B011A8" w:rsidRDefault="00B011A8">
      <w:pPr>
        <w:pStyle w:val="TOC2"/>
        <w:rPr>
          <w:rFonts w:asciiTheme="minorHAnsi" w:eastAsiaTheme="minorEastAsia" w:hAnsiTheme="minorHAnsi" w:cstheme="minorBidi"/>
          <w:noProof/>
          <w:szCs w:val="22"/>
          <w:lang w:eastAsia="en-NZ"/>
        </w:rPr>
      </w:pPr>
      <w:hyperlink w:anchor="_Toc69307706" w:history="1">
        <w:r w:rsidRPr="00632C38">
          <w:rPr>
            <w:rStyle w:val="Hyperlink"/>
            <w:noProof/>
          </w:rPr>
          <w:t>Seclusion and ethnicity</w:t>
        </w:r>
        <w:r>
          <w:rPr>
            <w:noProof/>
            <w:webHidden/>
          </w:rPr>
          <w:tab/>
        </w:r>
        <w:r>
          <w:rPr>
            <w:noProof/>
            <w:webHidden/>
          </w:rPr>
          <w:fldChar w:fldCharType="begin"/>
        </w:r>
        <w:r>
          <w:rPr>
            <w:noProof/>
            <w:webHidden/>
          </w:rPr>
          <w:instrText xml:space="preserve"> PAGEREF _Toc69307706 \h </w:instrText>
        </w:r>
        <w:r>
          <w:rPr>
            <w:noProof/>
            <w:webHidden/>
          </w:rPr>
        </w:r>
        <w:r>
          <w:rPr>
            <w:noProof/>
            <w:webHidden/>
          </w:rPr>
          <w:fldChar w:fldCharType="separate"/>
        </w:r>
        <w:r w:rsidR="00422361">
          <w:rPr>
            <w:noProof/>
            <w:webHidden/>
          </w:rPr>
          <w:t>44</w:t>
        </w:r>
        <w:r>
          <w:rPr>
            <w:noProof/>
            <w:webHidden/>
          </w:rPr>
          <w:fldChar w:fldCharType="end"/>
        </w:r>
      </w:hyperlink>
    </w:p>
    <w:p w14:paraId="58E12956" w14:textId="372D5A28" w:rsidR="00B011A8" w:rsidRDefault="00B011A8">
      <w:pPr>
        <w:pStyle w:val="TOC2"/>
        <w:rPr>
          <w:rFonts w:asciiTheme="minorHAnsi" w:eastAsiaTheme="minorEastAsia" w:hAnsiTheme="minorHAnsi" w:cstheme="minorBidi"/>
          <w:noProof/>
          <w:szCs w:val="22"/>
          <w:lang w:eastAsia="en-NZ"/>
        </w:rPr>
      </w:pPr>
      <w:hyperlink w:anchor="_Toc69307707" w:history="1">
        <w:r w:rsidRPr="00632C38">
          <w:rPr>
            <w:rStyle w:val="Hyperlink"/>
            <w:noProof/>
          </w:rPr>
          <w:t>Seclusion in forensic units</w:t>
        </w:r>
        <w:r>
          <w:rPr>
            <w:noProof/>
            <w:webHidden/>
          </w:rPr>
          <w:tab/>
        </w:r>
        <w:r>
          <w:rPr>
            <w:noProof/>
            <w:webHidden/>
          </w:rPr>
          <w:fldChar w:fldCharType="begin"/>
        </w:r>
        <w:r>
          <w:rPr>
            <w:noProof/>
            <w:webHidden/>
          </w:rPr>
          <w:instrText xml:space="preserve"> PAGEREF _Toc69307707 \h </w:instrText>
        </w:r>
        <w:r>
          <w:rPr>
            <w:noProof/>
            <w:webHidden/>
          </w:rPr>
        </w:r>
        <w:r>
          <w:rPr>
            <w:noProof/>
            <w:webHidden/>
          </w:rPr>
          <w:fldChar w:fldCharType="separate"/>
        </w:r>
        <w:r w:rsidR="00422361">
          <w:rPr>
            <w:noProof/>
            <w:webHidden/>
          </w:rPr>
          <w:t>47</w:t>
        </w:r>
        <w:r>
          <w:rPr>
            <w:noProof/>
            <w:webHidden/>
          </w:rPr>
          <w:fldChar w:fldCharType="end"/>
        </w:r>
      </w:hyperlink>
    </w:p>
    <w:p w14:paraId="50FBB530" w14:textId="302B3A88" w:rsidR="00B011A8" w:rsidRDefault="00B011A8">
      <w:pPr>
        <w:pStyle w:val="TOC1"/>
        <w:rPr>
          <w:rFonts w:asciiTheme="minorHAnsi" w:eastAsiaTheme="minorEastAsia" w:hAnsiTheme="minorHAnsi" w:cstheme="minorBidi"/>
          <w:noProof/>
          <w:sz w:val="22"/>
          <w:szCs w:val="22"/>
          <w:lang w:eastAsia="en-NZ"/>
        </w:rPr>
      </w:pPr>
      <w:hyperlink w:anchor="_Toc69307708" w:history="1">
        <w:r w:rsidRPr="00632C38">
          <w:rPr>
            <w:rStyle w:val="Hyperlink"/>
            <w:noProof/>
          </w:rPr>
          <w:t>Special and restricted patients</w:t>
        </w:r>
        <w:r>
          <w:rPr>
            <w:noProof/>
            <w:webHidden/>
          </w:rPr>
          <w:tab/>
        </w:r>
        <w:r>
          <w:rPr>
            <w:noProof/>
            <w:webHidden/>
          </w:rPr>
          <w:fldChar w:fldCharType="begin"/>
        </w:r>
        <w:r>
          <w:rPr>
            <w:noProof/>
            <w:webHidden/>
          </w:rPr>
          <w:instrText xml:space="preserve"> PAGEREF _Toc69307708 \h </w:instrText>
        </w:r>
        <w:r>
          <w:rPr>
            <w:noProof/>
            <w:webHidden/>
          </w:rPr>
        </w:r>
        <w:r>
          <w:rPr>
            <w:noProof/>
            <w:webHidden/>
          </w:rPr>
          <w:fldChar w:fldCharType="separate"/>
        </w:r>
        <w:r w:rsidR="00422361">
          <w:rPr>
            <w:noProof/>
            <w:webHidden/>
          </w:rPr>
          <w:t>49</w:t>
        </w:r>
        <w:r>
          <w:rPr>
            <w:noProof/>
            <w:webHidden/>
          </w:rPr>
          <w:fldChar w:fldCharType="end"/>
        </w:r>
      </w:hyperlink>
    </w:p>
    <w:p w14:paraId="6362DDF5" w14:textId="6446173B" w:rsidR="00B011A8" w:rsidRDefault="00B011A8">
      <w:pPr>
        <w:pStyle w:val="TOC2"/>
        <w:rPr>
          <w:rFonts w:asciiTheme="minorHAnsi" w:eastAsiaTheme="minorEastAsia" w:hAnsiTheme="minorHAnsi" w:cstheme="minorBidi"/>
          <w:noProof/>
          <w:szCs w:val="22"/>
          <w:lang w:eastAsia="en-NZ"/>
        </w:rPr>
      </w:pPr>
      <w:hyperlink w:anchor="_Toc69307709" w:history="1">
        <w:r w:rsidRPr="00632C38">
          <w:rPr>
            <w:rStyle w:val="Hyperlink"/>
            <w:noProof/>
          </w:rPr>
          <w:t>Extended forensic care special patients</w:t>
        </w:r>
        <w:r>
          <w:rPr>
            <w:noProof/>
            <w:webHidden/>
          </w:rPr>
          <w:tab/>
        </w:r>
        <w:r>
          <w:rPr>
            <w:noProof/>
            <w:webHidden/>
          </w:rPr>
          <w:fldChar w:fldCharType="begin"/>
        </w:r>
        <w:r>
          <w:rPr>
            <w:noProof/>
            <w:webHidden/>
          </w:rPr>
          <w:instrText xml:space="preserve"> PAGEREF _Toc69307709 \h </w:instrText>
        </w:r>
        <w:r>
          <w:rPr>
            <w:noProof/>
            <w:webHidden/>
          </w:rPr>
        </w:r>
        <w:r>
          <w:rPr>
            <w:noProof/>
            <w:webHidden/>
          </w:rPr>
          <w:fldChar w:fldCharType="separate"/>
        </w:r>
        <w:r w:rsidR="00422361">
          <w:rPr>
            <w:noProof/>
            <w:webHidden/>
          </w:rPr>
          <w:t>50</w:t>
        </w:r>
        <w:r>
          <w:rPr>
            <w:noProof/>
            <w:webHidden/>
          </w:rPr>
          <w:fldChar w:fldCharType="end"/>
        </w:r>
      </w:hyperlink>
    </w:p>
    <w:p w14:paraId="62E9F2F1" w14:textId="52DEEA70" w:rsidR="00B011A8" w:rsidRDefault="00B011A8">
      <w:pPr>
        <w:pStyle w:val="TOC2"/>
        <w:rPr>
          <w:rFonts w:asciiTheme="minorHAnsi" w:eastAsiaTheme="minorEastAsia" w:hAnsiTheme="minorHAnsi" w:cstheme="minorBidi"/>
          <w:noProof/>
          <w:szCs w:val="22"/>
          <w:lang w:eastAsia="en-NZ"/>
        </w:rPr>
      </w:pPr>
      <w:hyperlink w:anchor="_Toc69307710" w:history="1">
        <w:r w:rsidRPr="00632C38">
          <w:rPr>
            <w:rStyle w:val="Hyperlink"/>
            <w:noProof/>
          </w:rPr>
          <w:t>Short-term forensic care special patients</w:t>
        </w:r>
        <w:r>
          <w:rPr>
            <w:noProof/>
            <w:webHidden/>
          </w:rPr>
          <w:tab/>
        </w:r>
        <w:r>
          <w:rPr>
            <w:noProof/>
            <w:webHidden/>
          </w:rPr>
          <w:fldChar w:fldCharType="begin"/>
        </w:r>
        <w:r>
          <w:rPr>
            <w:noProof/>
            <w:webHidden/>
          </w:rPr>
          <w:instrText xml:space="preserve"> PAGEREF _Toc69307710 \h </w:instrText>
        </w:r>
        <w:r>
          <w:rPr>
            <w:noProof/>
            <w:webHidden/>
          </w:rPr>
        </w:r>
        <w:r>
          <w:rPr>
            <w:noProof/>
            <w:webHidden/>
          </w:rPr>
          <w:fldChar w:fldCharType="separate"/>
        </w:r>
        <w:r w:rsidR="00422361">
          <w:rPr>
            <w:noProof/>
            <w:webHidden/>
          </w:rPr>
          <w:t>50</w:t>
        </w:r>
        <w:r>
          <w:rPr>
            <w:noProof/>
            <w:webHidden/>
          </w:rPr>
          <w:fldChar w:fldCharType="end"/>
        </w:r>
      </w:hyperlink>
    </w:p>
    <w:p w14:paraId="4419F9D1" w14:textId="16568E18" w:rsidR="00B011A8" w:rsidRDefault="00B011A8">
      <w:pPr>
        <w:pStyle w:val="TOC2"/>
        <w:rPr>
          <w:rFonts w:asciiTheme="minorHAnsi" w:eastAsiaTheme="minorEastAsia" w:hAnsiTheme="minorHAnsi" w:cstheme="minorBidi"/>
          <w:noProof/>
          <w:szCs w:val="22"/>
          <w:lang w:eastAsia="en-NZ"/>
        </w:rPr>
      </w:pPr>
      <w:hyperlink w:anchor="_Toc69307711" w:history="1">
        <w:r w:rsidRPr="00632C38">
          <w:rPr>
            <w:rStyle w:val="Hyperlink"/>
            <w:noProof/>
          </w:rPr>
          <w:t>Sex, age and ethnicity of special patients</w:t>
        </w:r>
        <w:r>
          <w:rPr>
            <w:noProof/>
            <w:webHidden/>
          </w:rPr>
          <w:tab/>
        </w:r>
        <w:r>
          <w:rPr>
            <w:noProof/>
            <w:webHidden/>
          </w:rPr>
          <w:fldChar w:fldCharType="begin"/>
        </w:r>
        <w:r>
          <w:rPr>
            <w:noProof/>
            <w:webHidden/>
          </w:rPr>
          <w:instrText xml:space="preserve"> PAGEREF _Toc69307711 \h </w:instrText>
        </w:r>
        <w:r>
          <w:rPr>
            <w:noProof/>
            <w:webHidden/>
          </w:rPr>
        </w:r>
        <w:r>
          <w:rPr>
            <w:noProof/>
            <w:webHidden/>
          </w:rPr>
          <w:fldChar w:fldCharType="separate"/>
        </w:r>
        <w:r w:rsidR="00422361">
          <w:rPr>
            <w:noProof/>
            <w:webHidden/>
          </w:rPr>
          <w:t>53</w:t>
        </w:r>
        <w:r>
          <w:rPr>
            <w:noProof/>
            <w:webHidden/>
          </w:rPr>
          <w:fldChar w:fldCharType="end"/>
        </w:r>
      </w:hyperlink>
    </w:p>
    <w:p w14:paraId="3391A0D7" w14:textId="4110076F" w:rsidR="00B011A8" w:rsidRDefault="00B011A8">
      <w:pPr>
        <w:pStyle w:val="TOC2"/>
        <w:rPr>
          <w:rFonts w:asciiTheme="minorHAnsi" w:eastAsiaTheme="minorEastAsia" w:hAnsiTheme="minorHAnsi" w:cstheme="minorBidi"/>
          <w:noProof/>
          <w:szCs w:val="22"/>
          <w:lang w:eastAsia="en-NZ"/>
        </w:rPr>
      </w:pPr>
      <w:hyperlink w:anchor="_Toc69307712" w:history="1">
        <w:r w:rsidRPr="00632C38">
          <w:rPr>
            <w:rStyle w:val="Hyperlink"/>
            <w:noProof/>
          </w:rPr>
          <w:t>Decisions about leave and change of legal status for special and restricted patients</w:t>
        </w:r>
        <w:r>
          <w:rPr>
            <w:noProof/>
            <w:webHidden/>
          </w:rPr>
          <w:tab/>
        </w:r>
        <w:r>
          <w:rPr>
            <w:noProof/>
            <w:webHidden/>
          </w:rPr>
          <w:fldChar w:fldCharType="begin"/>
        </w:r>
        <w:r>
          <w:rPr>
            <w:noProof/>
            <w:webHidden/>
          </w:rPr>
          <w:instrText xml:space="preserve"> PAGEREF _Toc69307712 \h </w:instrText>
        </w:r>
        <w:r>
          <w:rPr>
            <w:noProof/>
            <w:webHidden/>
          </w:rPr>
        </w:r>
        <w:r>
          <w:rPr>
            <w:noProof/>
            <w:webHidden/>
          </w:rPr>
          <w:fldChar w:fldCharType="separate"/>
        </w:r>
        <w:r w:rsidR="00422361">
          <w:rPr>
            <w:noProof/>
            <w:webHidden/>
          </w:rPr>
          <w:t>56</w:t>
        </w:r>
        <w:r>
          <w:rPr>
            <w:noProof/>
            <w:webHidden/>
          </w:rPr>
          <w:fldChar w:fldCharType="end"/>
        </w:r>
      </w:hyperlink>
    </w:p>
    <w:p w14:paraId="74D430BE" w14:textId="7B530C82" w:rsidR="00B011A8" w:rsidRDefault="00B011A8">
      <w:pPr>
        <w:pStyle w:val="TOC1"/>
        <w:rPr>
          <w:rFonts w:asciiTheme="minorHAnsi" w:eastAsiaTheme="minorEastAsia" w:hAnsiTheme="minorHAnsi" w:cstheme="minorBidi"/>
          <w:noProof/>
          <w:sz w:val="22"/>
          <w:szCs w:val="22"/>
          <w:lang w:eastAsia="en-NZ"/>
        </w:rPr>
      </w:pPr>
      <w:hyperlink w:anchor="_Toc69307713" w:history="1">
        <w:r w:rsidRPr="00632C38">
          <w:rPr>
            <w:rStyle w:val="Hyperlink"/>
            <w:noProof/>
          </w:rPr>
          <w:t>Mental health and addiction adverse event reporting</w:t>
        </w:r>
        <w:r>
          <w:rPr>
            <w:noProof/>
            <w:webHidden/>
          </w:rPr>
          <w:tab/>
        </w:r>
        <w:r>
          <w:rPr>
            <w:noProof/>
            <w:webHidden/>
          </w:rPr>
          <w:fldChar w:fldCharType="begin"/>
        </w:r>
        <w:r>
          <w:rPr>
            <w:noProof/>
            <w:webHidden/>
          </w:rPr>
          <w:instrText xml:space="preserve"> PAGEREF _Toc69307713 \h </w:instrText>
        </w:r>
        <w:r>
          <w:rPr>
            <w:noProof/>
            <w:webHidden/>
          </w:rPr>
        </w:r>
        <w:r>
          <w:rPr>
            <w:noProof/>
            <w:webHidden/>
          </w:rPr>
          <w:fldChar w:fldCharType="separate"/>
        </w:r>
        <w:r w:rsidR="00422361">
          <w:rPr>
            <w:noProof/>
            <w:webHidden/>
          </w:rPr>
          <w:t>58</w:t>
        </w:r>
        <w:r>
          <w:rPr>
            <w:noProof/>
            <w:webHidden/>
          </w:rPr>
          <w:fldChar w:fldCharType="end"/>
        </w:r>
      </w:hyperlink>
    </w:p>
    <w:p w14:paraId="0B5EE4A9" w14:textId="61789A7B" w:rsidR="00B011A8" w:rsidRDefault="00B011A8">
      <w:pPr>
        <w:pStyle w:val="TOC2"/>
        <w:rPr>
          <w:rFonts w:asciiTheme="minorHAnsi" w:eastAsiaTheme="minorEastAsia" w:hAnsiTheme="minorHAnsi" w:cstheme="minorBidi"/>
          <w:noProof/>
          <w:szCs w:val="22"/>
          <w:lang w:eastAsia="en-NZ"/>
        </w:rPr>
      </w:pPr>
      <w:hyperlink w:anchor="_Toc69307714" w:history="1">
        <w:r w:rsidRPr="00632C38">
          <w:rPr>
            <w:rStyle w:val="Hyperlink"/>
            <w:noProof/>
          </w:rPr>
          <w:t>Adverse events reported by DHB mental health services</w:t>
        </w:r>
        <w:r>
          <w:rPr>
            <w:noProof/>
            <w:webHidden/>
          </w:rPr>
          <w:tab/>
        </w:r>
        <w:r>
          <w:rPr>
            <w:noProof/>
            <w:webHidden/>
          </w:rPr>
          <w:fldChar w:fldCharType="begin"/>
        </w:r>
        <w:r>
          <w:rPr>
            <w:noProof/>
            <w:webHidden/>
          </w:rPr>
          <w:instrText xml:space="preserve"> PAGEREF _Toc69307714 \h </w:instrText>
        </w:r>
        <w:r>
          <w:rPr>
            <w:noProof/>
            <w:webHidden/>
          </w:rPr>
        </w:r>
        <w:r>
          <w:rPr>
            <w:noProof/>
            <w:webHidden/>
          </w:rPr>
          <w:fldChar w:fldCharType="separate"/>
        </w:r>
        <w:r w:rsidR="00422361">
          <w:rPr>
            <w:noProof/>
            <w:webHidden/>
          </w:rPr>
          <w:t>58</w:t>
        </w:r>
        <w:r>
          <w:rPr>
            <w:noProof/>
            <w:webHidden/>
          </w:rPr>
          <w:fldChar w:fldCharType="end"/>
        </w:r>
      </w:hyperlink>
    </w:p>
    <w:p w14:paraId="5276CFC8" w14:textId="139940F2" w:rsidR="00B011A8" w:rsidRDefault="00B011A8">
      <w:pPr>
        <w:pStyle w:val="TOC1"/>
        <w:rPr>
          <w:rFonts w:asciiTheme="minorHAnsi" w:eastAsiaTheme="minorEastAsia" w:hAnsiTheme="minorHAnsi" w:cstheme="minorBidi"/>
          <w:noProof/>
          <w:sz w:val="22"/>
          <w:szCs w:val="22"/>
          <w:lang w:eastAsia="en-NZ"/>
        </w:rPr>
      </w:pPr>
      <w:hyperlink w:anchor="_Toc69307715" w:history="1">
        <w:r w:rsidRPr="00632C38">
          <w:rPr>
            <w:rStyle w:val="Hyperlink"/>
            <w:noProof/>
          </w:rPr>
          <w:t>Electroconvulsive therapy</w:t>
        </w:r>
        <w:r>
          <w:rPr>
            <w:noProof/>
            <w:webHidden/>
          </w:rPr>
          <w:tab/>
        </w:r>
        <w:r>
          <w:rPr>
            <w:noProof/>
            <w:webHidden/>
          </w:rPr>
          <w:fldChar w:fldCharType="begin"/>
        </w:r>
        <w:r>
          <w:rPr>
            <w:noProof/>
            <w:webHidden/>
          </w:rPr>
          <w:instrText xml:space="preserve"> PAGEREF _Toc69307715 \h </w:instrText>
        </w:r>
        <w:r>
          <w:rPr>
            <w:noProof/>
            <w:webHidden/>
          </w:rPr>
        </w:r>
        <w:r>
          <w:rPr>
            <w:noProof/>
            <w:webHidden/>
          </w:rPr>
          <w:fldChar w:fldCharType="separate"/>
        </w:r>
        <w:r w:rsidR="00422361">
          <w:rPr>
            <w:noProof/>
            <w:webHidden/>
          </w:rPr>
          <w:t>61</w:t>
        </w:r>
        <w:r>
          <w:rPr>
            <w:noProof/>
            <w:webHidden/>
          </w:rPr>
          <w:fldChar w:fldCharType="end"/>
        </w:r>
      </w:hyperlink>
    </w:p>
    <w:p w14:paraId="330E01D3" w14:textId="0B47A4CB" w:rsidR="00B011A8" w:rsidRDefault="00B011A8">
      <w:pPr>
        <w:pStyle w:val="TOC2"/>
        <w:rPr>
          <w:rFonts w:asciiTheme="minorHAnsi" w:eastAsiaTheme="minorEastAsia" w:hAnsiTheme="minorHAnsi" w:cstheme="minorBidi"/>
          <w:noProof/>
          <w:szCs w:val="22"/>
          <w:lang w:eastAsia="en-NZ"/>
        </w:rPr>
      </w:pPr>
      <w:hyperlink w:anchor="_Toc69307716" w:history="1">
        <w:r w:rsidRPr="00632C38">
          <w:rPr>
            <w:rStyle w:val="Hyperlink"/>
            <w:noProof/>
          </w:rPr>
          <w:t>ECT treatments in 2018 and 2019</w:t>
        </w:r>
        <w:r>
          <w:rPr>
            <w:noProof/>
            <w:webHidden/>
          </w:rPr>
          <w:tab/>
        </w:r>
        <w:r>
          <w:rPr>
            <w:noProof/>
            <w:webHidden/>
          </w:rPr>
          <w:fldChar w:fldCharType="begin"/>
        </w:r>
        <w:r>
          <w:rPr>
            <w:noProof/>
            <w:webHidden/>
          </w:rPr>
          <w:instrText xml:space="preserve"> PAGEREF _Toc69307716 \h </w:instrText>
        </w:r>
        <w:r>
          <w:rPr>
            <w:noProof/>
            <w:webHidden/>
          </w:rPr>
        </w:r>
        <w:r>
          <w:rPr>
            <w:noProof/>
            <w:webHidden/>
          </w:rPr>
          <w:fldChar w:fldCharType="separate"/>
        </w:r>
        <w:r w:rsidR="00422361">
          <w:rPr>
            <w:noProof/>
            <w:webHidden/>
          </w:rPr>
          <w:t>61</w:t>
        </w:r>
        <w:r>
          <w:rPr>
            <w:noProof/>
            <w:webHidden/>
          </w:rPr>
          <w:fldChar w:fldCharType="end"/>
        </w:r>
      </w:hyperlink>
    </w:p>
    <w:p w14:paraId="3B68D125" w14:textId="7B2EE911" w:rsidR="00B011A8" w:rsidRDefault="00B011A8">
      <w:pPr>
        <w:pStyle w:val="TOC2"/>
        <w:rPr>
          <w:rFonts w:asciiTheme="minorHAnsi" w:eastAsiaTheme="minorEastAsia" w:hAnsiTheme="minorHAnsi" w:cstheme="minorBidi"/>
          <w:noProof/>
          <w:szCs w:val="22"/>
          <w:lang w:eastAsia="en-NZ"/>
        </w:rPr>
      </w:pPr>
      <w:hyperlink w:anchor="_Toc69307717" w:history="1">
        <w:r w:rsidRPr="00632C38">
          <w:rPr>
            <w:rStyle w:val="Hyperlink"/>
            <w:noProof/>
          </w:rPr>
          <w:t>ECT by region</w:t>
        </w:r>
        <w:r>
          <w:rPr>
            <w:noProof/>
            <w:webHidden/>
          </w:rPr>
          <w:tab/>
        </w:r>
        <w:r>
          <w:rPr>
            <w:noProof/>
            <w:webHidden/>
          </w:rPr>
          <w:fldChar w:fldCharType="begin"/>
        </w:r>
        <w:r>
          <w:rPr>
            <w:noProof/>
            <w:webHidden/>
          </w:rPr>
          <w:instrText xml:space="preserve"> PAGEREF _Toc69307717 \h </w:instrText>
        </w:r>
        <w:r>
          <w:rPr>
            <w:noProof/>
            <w:webHidden/>
          </w:rPr>
        </w:r>
        <w:r>
          <w:rPr>
            <w:noProof/>
            <w:webHidden/>
          </w:rPr>
          <w:fldChar w:fldCharType="separate"/>
        </w:r>
        <w:r w:rsidR="00422361">
          <w:rPr>
            <w:noProof/>
            <w:webHidden/>
          </w:rPr>
          <w:t>62</w:t>
        </w:r>
        <w:r>
          <w:rPr>
            <w:noProof/>
            <w:webHidden/>
          </w:rPr>
          <w:fldChar w:fldCharType="end"/>
        </w:r>
      </w:hyperlink>
    </w:p>
    <w:p w14:paraId="3F2C5BF2" w14:textId="6DBF7ADD" w:rsidR="00B011A8" w:rsidRDefault="00B011A8">
      <w:pPr>
        <w:pStyle w:val="TOC2"/>
        <w:rPr>
          <w:rFonts w:asciiTheme="minorHAnsi" w:eastAsiaTheme="minorEastAsia" w:hAnsiTheme="minorHAnsi" w:cstheme="minorBidi"/>
          <w:noProof/>
          <w:szCs w:val="22"/>
          <w:lang w:eastAsia="en-NZ"/>
        </w:rPr>
      </w:pPr>
      <w:hyperlink w:anchor="_Toc69307718" w:history="1">
        <w:r w:rsidRPr="00632C38">
          <w:rPr>
            <w:rStyle w:val="Hyperlink"/>
            <w:noProof/>
          </w:rPr>
          <w:t>Sex and age of people receiving ECT</w:t>
        </w:r>
        <w:r>
          <w:rPr>
            <w:noProof/>
            <w:webHidden/>
          </w:rPr>
          <w:tab/>
        </w:r>
        <w:r>
          <w:rPr>
            <w:noProof/>
            <w:webHidden/>
          </w:rPr>
          <w:fldChar w:fldCharType="begin"/>
        </w:r>
        <w:r>
          <w:rPr>
            <w:noProof/>
            <w:webHidden/>
          </w:rPr>
          <w:instrText xml:space="preserve"> PAGEREF _Toc69307718 \h </w:instrText>
        </w:r>
        <w:r>
          <w:rPr>
            <w:noProof/>
            <w:webHidden/>
          </w:rPr>
        </w:r>
        <w:r>
          <w:rPr>
            <w:noProof/>
            <w:webHidden/>
          </w:rPr>
          <w:fldChar w:fldCharType="separate"/>
        </w:r>
        <w:r w:rsidR="00422361">
          <w:rPr>
            <w:noProof/>
            <w:webHidden/>
          </w:rPr>
          <w:t>65</w:t>
        </w:r>
        <w:r>
          <w:rPr>
            <w:noProof/>
            <w:webHidden/>
          </w:rPr>
          <w:fldChar w:fldCharType="end"/>
        </w:r>
      </w:hyperlink>
    </w:p>
    <w:p w14:paraId="23D03526" w14:textId="60E5A6C8" w:rsidR="00B011A8" w:rsidRDefault="00B011A8">
      <w:pPr>
        <w:pStyle w:val="TOC2"/>
        <w:rPr>
          <w:rFonts w:asciiTheme="minorHAnsi" w:eastAsiaTheme="minorEastAsia" w:hAnsiTheme="minorHAnsi" w:cstheme="minorBidi"/>
          <w:noProof/>
          <w:szCs w:val="22"/>
          <w:lang w:eastAsia="en-NZ"/>
        </w:rPr>
      </w:pPr>
      <w:hyperlink w:anchor="_Toc69307719" w:history="1">
        <w:r w:rsidRPr="00632C38">
          <w:rPr>
            <w:rStyle w:val="Hyperlink"/>
            <w:noProof/>
          </w:rPr>
          <w:t>Ethnicity of people treated with ECT</w:t>
        </w:r>
        <w:r>
          <w:rPr>
            <w:noProof/>
            <w:webHidden/>
          </w:rPr>
          <w:tab/>
        </w:r>
        <w:r>
          <w:rPr>
            <w:noProof/>
            <w:webHidden/>
          </w:rPr>
          <w:fldChar w:fldCharType="begin"/>
        </w:r>
        <w:r>
          <w:rPr>
            <w:noProof/>
            <w:webHidden/>
          </w:rPr>
          <w:instrText xml:space="preserve"> PAGEREF _Toc69307719 \h </w:instrText>
        </w:r>
        <w:r>
          <w:rPr>
            <w:noProof/>
            <w:webHidden/>
          </w:rPr>
        </w:r>
        <w:r>
          <w:rPr>
            <w:noProof/>
            <w:webHidden/>
          </w:rPr>
          <w:fldChar w:fldCharType="separate"/>
        </w:r>
        <w:r w:rsidR="00422361">
          <w:rPr>
            <w:noProof/>
            <w:webHidden/>
          </w:rPr>
          <w:t>66</w:t>
        </w:r>
        <w:r>
          <w:rPr>
            <w:noProof/>
            <w:webHidden/>
          </w:rPr>
          <w:fldChar w:fldCharType="end"/>
        </w:r>
      </w:hyperlink>
    </w:p>
    <w:p w14:paraId="0593AB4E" w14:textId="4EF996D5" w:rsidR="00B011A8" w:rsidRDefault="00B011A8">
      <w:pPr>
        <w:pStyle w:val="TOC2"/>
        <w:rPr>
          <w:rFonts w:asciiTheme="minorHAnsi" w:eastAsiaTheme="minorEastAsia" w:hAnsiTheme="minorHAnsi" w:cstheme="minorBidi"/>
          <w:noProof/>
          <w:szCs w:val="22"/>
          <w:lang w:eastAsia="en-NZ"/>
        </w:rPr>
      </w:pPr>
      <w:hyperlink w:anchor="_Toc69307720" w:history="1">
        <w:r w:rsidRPr="00632C38">
          <w:rPr>
            <w:rStyle w:val="Hyperlink"/>
            <w:noProof/>
          </w:rPr>
          <w:t>Consent to treatment</w:t>
        </w:r>
        <w:r>
          <w:rPr>
            <w:noProof/>
            <w:webHidden/>
          </w:rPr>
          <w:tab/>
        </w:r>
        <w:r>
          <w:rPr>
            <w:noProof/>
            <w:webHidden/>
          </w:rPr>
          <w:fldChar w:fldCharType="begin"/>
        </w:r>
        <w:r>
          <w:rPr>
            <w:noProof/>
            <w:webHidden/>
          </w:rPr>
          <w:instrText xml:space="preserve"> PAGEREF _Toc69307720 \h </w:instrText>
        </w:r>
        <w:r>
          <w:rPr>
            <w:noProof/>
            <w:webHidden/>
          </w:rPr>
        </w:r>
        <w:r>
          <w:rPr>
            <w:noProof/>
            <w:webHidden/>
          </w:rPr>
          <w:fldChar w:fldCharType="separate"/>
        </w:r>
        <w:r w:rsidR="00422361">
          <w:rPr>
            <w:noProof/>
            <w:webHidden/>
          </w:rPr>
          <w:t>66</w:t>
        </w:r>
        <w:r>
          <w:rPr>
            <w:noProof/>
            <w:webHidden/>
          </w:rPr>
          <w:fldChar w:fldCharType="end"/>
        </w:r>
      </w:hyperlink>
    </w:p>
    <w:p w14:paraId="0D1F812B" w14:textId="52454ABE" w:rsidR="00B011A8" w:rsidRDefault="00B011A8">
      <w:pPr>
        <w:pStyle w:val="TOC1"/>
        <w:rPr>
          <w:rFonts w:asciiTheme="minorHAnsi" w:eastAsiaTheme="minorEastAsia" w:hAnsiTheme="minorHAnsi" w:cstheme="minorBidi"/>
          <w:noProof/>
          <w:sz w:val="22"/>
          <w:szCs w:val="22"/>
          <w:lang w:eastAsia="en-NZ"/>
        </w:rPr>
      </w:pPr>
      <w:hyperlink w:anchor="_Toc69307721" w:history="1">
        <w:r w:rsidRPr="00632C38">
          <w:rPr>
            <w:rStyle w:val="Hyperlink"/>
            <w:noProof/>
          </w:rPr>
          <w:t>2018 and 2019 substance use treatment</w:t>
        </w:r>
        <w:r>
          <w:rPr>
            <w:noProof/>
            <w:webHidden/>
          </w:rPr>
          <w:tab/>
        </w:r>
        <w:r>
          <w:rPr>
            <w:noProof/>
            <w:webHidden/>
          </w:rPr>
          <w:fldChar w:fldCharType="begin"/>
        </w:r>
        <w:r>
          <w:rPr>
            <w:noProof/>
            <w:webHidden/>
          </w:rPr>
          <w:instrText xml:space="preserve"> PAGEREF _Toc69307721 \h </w:instrText>
        </w:r>
        <w:r>
          <w:rPr>
            <w:noProof/>
            <w:webHidden/>
          </w:rPr>
        </w:r>
        <w:r>
          <w:rPr>
            <w:noProof/>
            <w:webHidden/>
          </w:rPr>
          <w:fldChar w:fldCharType="separate"/>
        </w:r>
        <w:r w:rsidR="00422361">
          <w:rPr>
            <w:noProof/>
            <w:webHidden/>
          </w:rPr>
          <w:t>69</w:t>
        </w:r>
        <w:r>
          <w:rPr>
            <w:noProof/>
            <w:webHidden/>
          </w:rPr>
          <w:fldChar w:fldCharType="end"/>
        </w:r>
      </w:hyperlink>
    </w:p>
    <w:p w14:paraId="0CAAFA15" w14:textId="1465516E" w:rsidR="00B011A8" w:rsidRDefault="00B011A8">
      <w:pPr>
        <w:pStyle w:val="TOC2"/>
        <w:rPr>
          <w:rFonts w:asciiTheme="minorHAnsi" w:eastAsiaTheme="minorEastAsia" w:hAnsiTheme="minorHAnsi" w:cstheme="minorBidi"/>
          <w:noProof/>
          <w:szCs w:val="22"/>
          <w:lang w:eastAsia="en-NZ"/>
        </w:rPr>
      </w:pPr>
      <w:hyperlink w:anchor="_Toc69307722" w:history="1">
        <w:r w:rsidRPr="00632C38">
          <w:rPr>
            <w:rStyle w:val="Hyperlink"/>
            <w:noProof/>
          </w:rPr>
          <w:t>Substance Addiction (Compulsory Assessment and Treatment) Act 2017</w:t>
        </w:r>
        <w:r>
          <w:rPr>
            <w:noProof/>
            <w:webHidden/>
          </w:rPr>
          <w:tab/>
        </w:r>
        <w:r>
          <w:rPr>
            <w:noProof/>
            <w:webHidden/>
          </w:rPr>
          <w:fldChar w:fldCharType="begin"/>
        </w:r>
        <w:r>
          <w:rPr>
            <w:noProof/>
            <w:webHidden/>
          </w:rPr>
          <w:instrText xml:space="preserve"> PAGEREF _Toc69307722 \h </w:instrText>
        </w:r>
        <w:r>
          <w:rPr>
            <w:noProof/>
            <w:webHidden/>
          </w:rPr>
        </w:r>
        <w:r>
          <w:rPr>
            <w:noProof/>
            <w:webHidden/>
          </w:rPr>
          <w:fldChar w:fldCharType="separate"/>
        </w:r>
        <w:r w:rsidR="00422361">
          <w:rPr>
            <w:noProof/>
            <w:webHidden/>
          </w:rPr>
          <w:t>69</w:t>
        </w:r>
        <w:r>
          <w:rPr>
            <w:noProof/>
            <w:webHidden/>
          </w:rPr>
          <w:fldChar w:fldCharType="end"/>
        </w:r>
      </w:hyperlink>
    </w:p>
    <w:p w14:paraId="1648B898" w14:textId="0ACE920F" w:rsidR="00B011A8" w:rsidRDefault="00B011A8">
      <w:pPr>
        <w:pStyle w:val="TOC2"/>
        <w:rPr>
          <w:rFonts w:asciiTheme="minorHAnsi" w:eastAsiaTheme="minorEastAsia" w:hAnsiTheme="minorHAnsi" w:cstheme="minorBidi"/>
          <w:noProof/>
          <w:szCs w:val="22"/>
          <w:lang w:eastAsia="en-NZ"/>
        </w:rPr>
      </w:pPr>
      <w:hyperlink w:anchor="_Toc69307723" w:history="1">
        <w:r w:rsidRPr="00632C38">
          <w:rPr>
            <w:rStyle w:val="Hyperlink"/>
            <w:noProof/>
          </w:rPr>
          <w:t>Severe substance addiction</w:t>
        </w:r>
        <w:r>
          <w:rPr>
            <w:noProof/>
            <w:webHidden/>
          </w:rPr>
          <w:tab/>
        </w:r>
        <w:r>
          <w:rPr>
            <w:noProof/>
            <w:webHidden/>
          </w:rPr>
          <w:fldChar w:fldCharType="begin"/>
        </w:r>
        <w:r>
          <w:rPr>
            <w:noProof/>
            <w:webHidden/>
          </w:rPr>
          <w:instrText xml:space="preserve"> PAGEREF _Toc69307723 \h </w:instrText>
        </w:r>
        <w:r>
          <w:rPr>
            <w:noProof/>
            <w:webHidden/>
          </w:rPr>
        </w:r>
        <w:r>
          <w:rPr>
            <w:noProof/>
            <w:webHidden/>
          </w:rPr>
          <w:fldChar w:fldCharType="separate"/>
        </w:r>
        <w:r w:rsidR="00422361">
          <w:rPr>
            <w:noProof/>
            <w:webHidden/>
          </w:rPr>
          <w:t>69</w:t>
        </w:r>
        <w:r>
          <w:rPr>
            <w:noProof/>
            <w:webHidden/>
          </w:rPr>
          <w:fldChar w:fldCharType="end"/>
        </w:r>
      </w:hyperlink>
    </w:p>
    <w:p w14:paraId="7EDE6533" w14:textId="1439F9A0" w:rsidR="00B011A8" w:rsidRDefault="00B011A8">
      <w:pPr>
        <w:pStyle w:val="TOC2"/>
        <w:rPr>
          <w:rFonts w:asciiTheme="minorHAnsi" w:eastAsiaTheme="minorEastAsia" w:hAnsiTheme="minorHAnsi" w:cstheme="minorBidi"/>
          <w:noProof/>
          <w:szCs w:val="22"/>
          <w:lang w:eastAsia="en-NZ"/>
        </w:rPr>
      </w:pPr>
      <w:hyperlink w:anchor="_Toc69307724" w:history="1">
        <w:r w:rsidRPr="00632C38">
          <w:rPr>
            <w:rStyle w:val="Hyperlink"/>
            <w:noProof/>
          </w:rPr>
          <w:t>Land Transport Act 1998</w:t>
        </w:r>
        <w:r>
          <w:rPr>
            <w:noProof/>
            <w:webHidden/>
          </w:rPr>
          <w:tab/>
        </w:r>
        <w:r>
          <w:rPr>
            <w:noProof/>
            <w:webHidden/>
          </w:rPr>
          <w:fldChar w:fldCharType="begin"/>
        </w:r>
        <w:r>
          <w:rPr>
            <w:noProof/>
            <w:webHidden/>
          </w:rPr>
          <w:instrText xml:space="preserve"> PAGEREF _Toc69307724 \h </w:instrText>
        </w:r>
        <w:r>
          <w:rPr>
            <w:noProof/>
            <w:webHidden/>
          </w:rPr>
        </w:r>
        <w:r>
          <w:rPr>
            <w:noProof/>
            <w:webHidden/>
          </w:rPr>
          <w:fldChar w:fldCharType="separate"/>
        </w:r>
        <w:r w:rsidR="00422361">
          <w:rPr>
            <w:noProof/>
            <w:webHidden/>
          </w:rPr>
          <w:t>75</w:t>
        </w:r>
        <w:r>
          <w:rPr>
            <w:noProof/>
            <w:webHidden/>
          </w:rPr>
          <w:fldChar w:fldCharType="end"/>
        </w:r>
      </w:hyperlink>
    </w:p>
    <w:p w14:paraId="34DD4865" w14:textId="5FC31100" w:rsidR="00B011A8" w:rsidRDefault="00B011A8">
      <w:pPr>
        <w:pStyle w:val="TOC2"/>
        <w:rPr>
          <w:rFonts w:asciiTheme="minorHAnsi" w:eastAsiaTheme="minorEastAsia" w:hAnsiTheme="minorHAnsi" w:cstheme="minorBidi"/>
          <w:noProof/>
          <w:szCs w:val="22"/>
          <w:lang w:eastAsia="en-NZ"/>
        </w:rPr>
      </w:pPr>
      <w:hyperlink w:anchor="_Toc69307725" w:history="1">
        <w:r w:rsidRPr="00632C38">
          <w:rPr>
            <w:rStyle w:val="Hyperlink"/>
            <w:noProof/>
          </w:rPr>
          <w:t>Opioid substitution treatment</w:t>
        </w:r>
        <w:r>
          <w:rPr>
            <w:noProof/>
            <w:webHidden/>
          </w:rPr>
          <w:tab/>
        </w:r>
        <w:r>
          <w:rPr>
            <w:noProof/>
            <w:webHidden/>
          </w:rPr>
          <w:fldChar w:fldCharType="begin"/>
        </w:r>
        <w:r>
          <w:rPr>
            <w:noProof/>
            <w:webHidden/>
          </w:rPr>
          <w:instrText xml:space="preserve"> PAGEREF _Toc69307725 \h </w:instrText>
        </w:r>
        <w:r>
          <w:rPr>
            <w:noProof/>
            <w:webHidden/>
          </w:rPr>
        </w:r>
        <w:r>
          <w:rPr>
            <w:noProof/>
            <w:webHidden/>
          </w:rPr>
          <w:fldChar w:fldCharType="separate"/>
        </w:r>
        <w:r w:rsidR="00422361">
          <w:rPr>
            <w:noProof/>
            <w:webHidden/>
          </w:rPr>
          <w:t>75</w:t>
        </w:r>
        <w:r>
          <w:rPr>
            <w:noProof/>
            <w:webHidden/>
          </w:rPr>
          <w:fldChar w:fldCharType="end"/>
        </w:r>
      </w:hyperlink>
    </w:p>
    <w:p w14:paraId="282F0FB4" w14:textId="3EA59F85" w:rsidR="00B011A8" w:rsidRDefault="00B011A8">
      <w:pPr>
        <w:pStyle w:val="TOC1"/>
        <w:rPr>
          <w:rFonts w:asciiTheme="minorHAnsi" w:eastAsiaTheme="minorEastAsia" w:hAnsiTheme="minorHAnsi" w:cstheme="minorBidi"/>
          <w:noProof/>
          <w:sz w:val="22"/>
          <w:szCs w:val="22"/>
          <w:lang w:eastAsia="en-NZ"/>
        </w:rPr>
      </w:pPr>
      <w:hyperlink w:anchor="_Toc69307726" w:history="1">
        <w:r w:rsidRPr="00632C38">
          <w:rPr>
            <w:rStyle w:val="Hyperlink"/>
            <w:noProof/>
          </w:rPr>
          <w:t>Appendix: Additional statistics</w:t>
        </w:r>
        <w:r>
          <w:rPr>
            <w:noProof/>
            <w:webHidden/>
          </w:rPr>
          <w:tab/>
        </w:r>
        <w:r>
          <w:rPr>
            <w:noProof/>
            <w:webHidden/>
          </w:rPr>
          <w:fldChar w:fldCharType="begin"/>
        </w:r>
        <w:r>
          <w:rPr>
            <w:noProof/>
            <w:webHidden/>
          </w:rPr>
          <w:instrText xml:space="preserve"> PAGEREF _Toc69307726 \h </w:instrText>
        </w:r>
        <w:r>
          <w:rPr>
            <w:noProof/>
            <w:webHidden/>
          </w:rPr>
        </w:r>
        <w:r>
          <w:rPr>
            <w:noProof/>
            <w:webHidden/>
          </w:rPr>
          <w:fldChar w:fldCharType="separate"/>
        </w:r>
        <w:r w:rsidR="00422361">
          <w:rPr>
            <w:noProof/>
            <w:webHidden/>
          </w:rPr>
          <w:t>82</w:t>
        </w:r>
        <w:r>
          <w:rPr>
            <w:noProof/>
            <w:webHidden/>
          </w:rPr>
          <w:fldChar w:fldCharType="end"/>
        </w:r>
      </w:hyperlink>
    </w:p>
    <w:p w14:paraId="307A2B08" w14:textId="6C969E00" w:rsidR="00B011A8" w:rsidRDefault="00B011A8">
      <w:pPr>
        <w:pStyle w:val="TOC2"/>
        <w:rPr>
          <w:rFonts w:asciiTheme="minorHAnsi" w:eastAsiaTheme="minorEastAsia" w:hAnsiTheme="minorHAnsi" w:cstheme="minorBidi"/>
          <w:noProof/>
          <w:szCs w:val="22"/>
          <w:lang w:eastAsia="en-NZ"/>
        </w:rPr>
      </w:pPr>
      <w:hyperlink w:anchor="_Toc69307727" w:history="1">
        <w:r w:rsidRPr="00632C38">
          <w:rPr>
            <w:rStyle w:val="Hyperlink"/>
            <w:noProof/>
          </w:rPr>
          <w:t>Ministry of Justice</w:t>
        </w:r>
        <w:r>
          <w:rPr>
            <w:noProof/>
            <w:webHidden/>
          </w:rPr>
          <w:tab/>
        </w:r>
        <w:r>
          <w:rPr>
            <w:noProof/>
            <w:webHidden/>
          </w:rPr>
          <w:fldChar w:fldCharType="begin"/>
        </w:r>
        <w:r>
          <w:rPr>
            <w:noProof/>
            <w:webHidden/>
          </w:rPr>
          <w:instrText xml:space="preserve"> PAGEREF _Toc69307727 \h </w:instrText>
        </w:r>
        <w:r>
          <w:rPr>
            <w:noProof/>
            <w:webHidden/>
          </w:rPr>
        </w:r>
        <w:r>
          <w:rPr>
            <w:noProof/>
            <w:webHidden/>
          </w:rPr>
          <w:fldChar w:fldCharType="separate"/>
        </w:r>
        <w:r w:rsidR="00422361">
          <w:rPr>
            <w:noProof/>
            <w:webHidden/>
          </w:rPr>
          <w:t>82</w:t>
        </w:r>
        <w:r>
          <w:rPr>
            <w:noProof/>
            <w:webHidden/>
          </w:rPr>
          <w:fldChar w:fldCharType="end"/>
        </w:r>
      </w:hyperlink>
    </w:p>
    <w:p w14:paraId="59D1A60D" w14:textId="3200BE4C" w:rsidR="00B011A8" w:rsidRDefault="00B011A8">
      <w:pPr>
        <w:pStyle w:val="TOC2"/>
        <w:rPr>
          <w:rFonts w:asciiTheme="minorHAnsi" w:eastAsiaTheme="minorEastAsia" w:hAnsiTheme="minorHAnsi" w:cstheme="minorBidi"/>
          <w:noProof/>
          <w:szCs w:val="22"/>
          <w:lang w:eastAsia="en-NZ"/>
        </w:rPr>
      </w:pPr>
      <w:hyperlink w:anchor="_Toc69307728" w:history="1">
        <w:r w:rsidRPr="00632C38">
          <w:rPr>
            <w:rStyle w:val="Hyperlink"/>
            <w:noProof/>
          </w:rPr>
          <w:t>Seclusion data incorporating outlier data</w:t>
        </w:r>
        <w:r>
          <w:rPr>
            <w:noProof/>
            <w:webHidden/>
          </w:rPr>
          <w:tab/>
        </w:r>
        <w:r>
          <w:rPr>
            <w:noProof/>
            <w:webHidden/>
          </w:rPr>
          <w:fldChar w:fldCharType="begin"/>
        </w:r>
        <w:r>
          <w:rPr>
            <w:noProof/>
            <w:webHidden/>
          </w:rPr>
          <w:instrText xml:space="preserve"> PAGEREF _Toc69307728 \h </w:instrText>
        </w:r>
        <w:r>
          <w:rPr>
            <w:noProof/>
            <w:webHidden/>
          </w:rPr>
        </w:r>
        <w:r>
          <w:rPr>
            <w:noProof/>
            <w:webHidden/>
          </w:rPr>
          <w:fldChar w:fldCharType="separate"/>
        </w:r>
        <w:r w:rsidR="00422361">
          <w:rPr>
            <w:noProof/>
            <w:webHidden/>
          </w:rPr>
          <w:t>84</w:t>
        </w:r>
        <w:r>
          <w:rPr>
            <w:noProof/>
            <w:webHidden/>
          </w:rPr>
          <w:fldChar w:fldCharType="end"/>
        </w:r>
      </w:hyperlink>
    </w:p>
    <w:p w14:paraId="5ADC19E3" w14:textId="19F2A5B0" w:rsidR="00B011A8" w:rsidRDefault="00B011A8">
      <w:pPr>
        <w:pStyle w:val="TOC2"/>
        <w:rPr>
          <w:rFonts w:asciiTheme="minorHAnsi" w:eastAsiaTheme="minorEastAsia" w:hAnsiTheme="minorHAnsi" w:cstheme="minorBidi"/>
          <w:noProof/>
          <w:szCs w:val="22"/>
          <w:lang w:eastAsia="en-NZ"/>
        </w:rPr>
      </w:pPr>
      <w:hyperlink w:anchor="_Toc69307729" w:history="1">
        <w:r w:rsidRPr="00632C38">
          <w:rPr>
            <w:rStyle w:val="Hyperlink"/>
            <w:bCs/>
            <w:noProof/>
          </w:rPr>
          <w:t>[Added April 2021]</w:t>
        </w:r>
        <w:r w:rsidRPr="00632C38">
          <w:rPr>
            <w:rStyle w:val="Hyperlink"/>
            <w:noProof/>
          </w:rPr>
          <w:t xml:space="preserve"> Deaths reported to the Director of Mental Health</w:t>
        </w:r>
        <w:r>
          <w:rPr>
            <w:noProof/>
            <w:webHidden/>
          </w:rPr>
          <w:tab/>
        </w:r>
        <w:r>
          <w:rPr>
            <w:noProof/>
            <w:webHidden/>
          </w:rPr>
          <w:fldChar w:fldCharType="begin"/>
        </w:r>
        <w:r>
          <w:rPr>
            <w:noProof/>
            <w:webHidden/>
          </w:rPr>
          <w:instrText xml:space="preserve"> PAGEREF _Toc69307729 \h </w:instrText>
        </w:r>
        <w:r>
          <w:rPr>
            <w:noProof/>
            <w:webHidden/>
          </w:rPr>
        </w:r>
        <w:r>
          <w:rPr>
            <w:noProof/>
            <w:webHidden/>
          </w:rPr>
          <w:fldChar w:fldCharType="separate"/>
        </w:r>
        <w:r w:rsidR="00422361">
          <w:rPr>
            <w:noProof/>
            <w:webHidden/>
          </w:rPr>
          <w:t>86</w:t>
        </w:r>
        <w:r>
          <w:rPr>
            <w:noProof/>
            <w:webHidden/>
          </w:rPr>
          <w:fldChar w:fldCharType="end"/>
        </w:r>
      </w:hyperlink>
    </w:p>
    <w:p w14:paraId="4D9D9724" w14:textId="48D9F926" w:rsidR="00C86248" w:rsidRPr="00200234" w:rsidRDefault="00644641">
      <w:r>
        <w:rPr>
          <w:rFonts w:ascii="Segoe UI Semibold" w:hAnsi="Segoe UI Semibold"/>
          <w:b/>
          <w:sz w:val="24"/>
        </w:rPr>
        <w:fldChar w:fldCharType="end"/>
      </w:r>
    </w:p>
    <w:p w14:paraId="31BC25C2" w14:textId="3F968EA7" w:rsidR="003A5FEA" w:rsidRPr="00200234" w:rsidRDefault="003A5FEA" w:rsidP="001D3E4E">
      <w:pPr>
        <w:pStyle w:val="TOC1"/>
        <w:keepNext/>
      </w:pPr>
      <w:r w:rsidRPr="00200234">
        <w:t xml:space="preserve">List of </w:t>
      </w:r>
      <w:r w:rsidR="00000045">
        <w:t>f</w:t>
      </w:r>
      <w:r w:rsidRPr="00200234">
        <w:t>igures</w:t>
      </w:r>
    </w:p>
    <w:p w14:paraId="15AAD8F7" w14:textId="786EB09A" w:rsidR="00644641" w:rsidRDefault="00644641">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66716183" w:history="1">
        <w:r w:rsidRPr="00121E2D">
          <w:rPr>
            <w:rStyle w:val="Hyperlink"/>
            <w:noProof/>
          </w:rPr>
          <w:t>Figure 1: Average number of people on a given day subject to a community treatment order (section 29 of the Mental Health Act) per 100,000 population, by DHB, 1 January to 31 December 2018</w:t>
        </w:r>
        <w:r>
          <w:rPr>
            <w:noProof/>
            <w:webHidden/>
          </w:rPr>
          <w:tab/>
        </w:r>
        <w:r>
          <w:rPr>
            <w:noProof/>
            <w:webHidden/>
          </w:rPr>
          <w:fldChar w:fldCharType="begin"/>
        </w:r>
        <w:r>
          <w:rPr>
            <w:noProof/>
            <w:webHidden/>
          </w:rPr>
          <w:instrText xml:space="preserve"> PAGEREF _Toc66716183 \h </w:instrText>
        </w:r>
        <w:r>
          <w:rPr>
            <w:noProof/>
            <w:webHidden/>
          </w:rPr>
        </w:r>
        <w:r>
          <w:rPr>
            <w:noProof/>
            <w:webHidden/>
          </w:rPr>
          <w:fldChar w:fldCharType="separate"/>
        </w:r>
        <w:r w:rsidR="00422361">
          <w:rPr>
            <w:noProof/>
            <w:webHidden/>
          </w:rPr>
          <w:t>6</w:t>
        </w:r>
        <w:r>
          <w:rPr>
            <w:noProof/>
            <w:webHidden/>
          </w:rPr>
          <w:fldChar w:fldCharType="end"/>
        </w:r>
      </w:hyperlink>
    </w:p>
    <w:p w14:paraId="565242C3" w14:textId="68124227" w:rsidR="00644641" w:rsidRDefault="00422361">
      <w:pPr>
        <w:pStyle w:val="TOC3"/>
        <w:rPr>
          <w:rFonts w:asciiTheme="minorHAnsi" w:eastAsiaTheme="minorEastAsia" w:hAnsiTheme="minorHAnsi" w:cstheme="minorBidi"/>
          <w:noProof/>
          <w:sz w:val="22"/>
          <w:szCs w:val="22"/>
          <w:lang w:eastAsia="en-NZ"/>
        </w:rPr>
      </w:pPr>
      <w:hyperlink w:anchor="_Toc66716184" w:history="1">
        <w:r w:rsidR="00644641" w:rsidRPr="00121E2D">
          <w:rPr>
            <w:rStyle w:val="Hyperlink"/>
            <w:noProof/>
          </w:rPr>
          <w:t>Figure 2: Average number of people on a given day subject to a community treatment order (section 29 of the Mental Health Act) per 100,000 population, by DHB, 1 January to 31 December 2019</w:t>
        </w:r>
        <w:r w:rsidR="00644641">
          <w:rPr>
            <w:noProof/>
            <w:webHidden/>
          </w:rPr>
          <w:tab/>
        </w:r>
        <w:r w:rsidR="00644641">
          <w:rPr>
            <w:noProof/>
            <w:webHidden/>
          </w:rPr>
          <w:fldChar w:fldCharType="begin"/>
        </w:r>
        <w:r w:rsidR="00644641">
          <w:rPr>
            <w:noProof/>
            <w:webHidden/>
          </w:rPr>
          <w:instrText xml:space="preserve"> PAGEREF _Toc66716184 \h </w:instrText>
        </w:r>
        <w:r w:rsidR="00644641">
          <w:rPr>
            <w:noProof/>
            <w:webHidden/>
          </w:rPr>
        </w:r>
        <w:r w:rsidR="00644641">
          <w:rPr>
            <w:noProof/>
            <w:webHidden/>
          </w:rPr>
          <w:fldChar w:fldCharType="separate"/>
        </w:r>
        <w:r>
          <w:rPr>
            <w:noProof/>
            <w:webHidden/>
          </w:rPr>
          <w:t>7</w:t>
        </w:r>
        <w:r w:rsidR="00644641">
          <w:rPr>
            <w:noProof/>
            <w:webHidden/>
          </w:rPr>
          <w:fldChar w:fldCharType="end"/>
        </w:r>
      </w:hyperlink>
    </w:p>
    <w:p w14:paraId="2CD8142C" w14:textId="2BF3B99C" w:rsidR="00644641" w:rsidRDefault="00422361">
      <w:pPr>
        <w:pStyle w:val="TOC3"/>
        <w:rPr>
          <w:rFonts w:asciiTheme="minorHAnsi" w:eastAsiaTheme="minorEastAsia" w:hAnsiTheme="minorHAnsi" w:cstheme="minorBidi"/>
          <w:noProof/>
          <w:sz w:val="22"/>
          <w:szCs w:val="22"/>
          <w:lang w:eastAsia="en-NZ"/>
        </w:rPr>
      </w:pPr>
      <w:hyperlink w:anchor="_Toc66716185" w:history="1">
        <w:r w:rsidR="00644641" w:rsidRPr="00121E2D">
          <w:rPr>
            <w:rStyle w:val="Hyperlink"/>
            <w:noProof/>
          </w:rPr>
          <w:t>Figure 3: Average number of people on a given day subject to an inpatient treatment order (section 30 of the Mental Health Act) per 100,000 population, by DHB, 1 January to 31 December 2018</w:t>
        </w:r>
        <w:r w:rsidR="00644641">
          <w:rPr>
            <w:noProof/>
            <w:webHidden/>
          </w:rPr>
          <w:tab/>
        </w:r>
        <w:r w:rsidR="00644641">
          <w:rPr>
            <w:noProof/>
            <w:webHidden/>
          </w:rPr>
          <w:fldChar w:fldCharType="begin"/>
        </w:r>
        <w:r w:rsidR="00644641">
          <w:rPr>
            <w:noProof/>
            <w:webHidden/>
          </w:rPr>
          <w:instrText xml:space="preserve"> PAGEREF _Toc66716185 \h </w:instrText>
        </w:r>
        <w:r w:rsidR="00644641">
          <w:rPr>
            <w:noProof/>
            <w:webHidden/>
          </w:rPr>
        </w:r>
        <w:r w:rsidR="00644641">
          <w:rPr>
            <w:noProof/>
            <w:webHidden/>
          </w:rPr>
          <w:fldChar w:fldCharType="separate"/>
        </w:r>
        <w:r>
          <w:rPr>
            <w:noProof/>
            <w:webHidden/>
          </w:rPr>
          <w:t>8</w:t>
        </w:r>
        <w:r w:rsidR="00644641">
          <w:rPr>
            <w:noProof/>
            <w:webHidden/>
          </w:rPr>
          <w:fldChar w:fldCharType="end"/>
        </w:r>
      </w:hyperlink>
    </w:p>
    <w:p w14:paraId="788AB3F2" w14:textId="4C111D3A" w:rsidR="00644641" w:rsidRDefault="00422361">
      <w:pPr>
        <w:pStyle w:val="TOC3"/>
        <w:rPr>
          <w:rFonts w:asciiTheme="minorHAnsi" w:eastAsiaTheme="minorEastAsia" w:hAnsiTheme="minorHAnsi" w:cstheme="minorBidi"/>
          <w:noProof/>
          <w:sz w:val="22"/>
          <w:szCs w:val="22"/>
          <w:lang w:eastAsia="en-NZ"/>
        </w:rPr>
      </w:pPr>
      <w:hyperlink w:anchor="_Toc66716186" w:history="1">
        <w:r w:rsidR="00644641" w:rsidRPr="00121E2D">
          <w:rPr>
            <w:rStyle w:val="Hyperlink"/>
            <w:noProof/>
          </w:rPr>
          <w:t>Figure 4: Average number of people on a given day subject to an inpatient treatment order (section 30 of the Mental Health Act) per 100,000 population, by DHB, 1 January to 31 December 2019</w:t>
        </w:r>
        <w:r w:rsidR="00644641">
          <w:rPr>
            <w:noProof/>
            <w:webHidden/>
          </w:rPr>
          <w:tab/>
        </w:r>
        <w:r w:rsidR="00644641">
          <w:rPr>
            <w:noProof/>
            <w:webHidden/>
          </w:rPr>
          <w:fldChar w:fldCharType="begin"/>
        </w:r>
        <w:r w:rsidR="00644641">
          <w:rPr>
            <w:noProof/>
            <w:webHidden/>
          </w:rPr>
          <w:instrText xml:space="preserve"> PAGEREF _Toc66716186 \h </w:instrText>
        </w:r>
        <w:r w:rsidR="00644641">
          <w:rPr>
            <w:noProof/>
            <w:webHidden/>
          </w:rPr>
        </w:r>
        <w:r w:rsidR="00644641">
          <w:rPr>
            <w:noProof/>
            <w:webHidden/>
          </w:rPr>
          <w:fldChar w:fldCharType="separate"/>
        </w:r>
        <w:r>
          <w:rPr>
            <w:noProof/>
            <w:webHidden/>
          </w:rPr>
          <w:t>9</w:t>
        </w:r>
        <w:r w:rsidR="00644641">
          <w:rPr>
            <w:noProof/>
            <w:webHidden/>
          </w:rPr>
          <w:fldChar w:fldCharType="end"/>
        </w:r>
      </w:hyperlink>
    </w:p>
    <w:p w14:paraId="7C26548E" w14:textId="21499AFC" w:rsidR="00644641" w:rsidRDefault="00422361">
      <w:pPr>
        <w:pStyle w:val="TOC3"/>
        <w:rPr>
          <w:rFonts w:asciiTheme="minorHAnsi" w:eastAsiaTheme="minorEastAsia" w:hAnsiTheme="minorHAnsi" w:cstheme="minorBidi"/>
          <w:noProof/>
          <w:sz w:val="22"/>
          <w:szCs w:val="22"/>
          <w:lang w:eastAsia="en-NZ"/>
        </w:rPr>
      </w:pPr>
      <w:hyperlink w:anchor="_Toc66716187" w:history="1">
        <w:r w:rsidR="00644641" w:rsidRPr="00121E2D">
          <w:rPr>
            <w:rStyle w:val="Hyperlink"/>
            <w:noProof/>
          </w:rPr>
          <w:t>Figure 5: Rate of people subject to compulsory treatment order applications (including extensions) per 100,000 population, by age group, 2004–2019</w:t>
        </w:r>
        <w:r w:rsidR="00644641">
          <w:rPr>
            <w:noProof/>
            <w:webHidden/>
          </w:rPr>
          <w:tab/>
        </w:r>
        <w:r w:rsidR="00644641">
          <w:rPr>
            <w:noProof/>
            <w:webHidden/>
          </w:rPr>
          <w:fldChar w:fldCharType="begin"/>
        </w:r>
        <w:r w:rsidR="00644641">
          <w:rPr>
            <w:noProof/>
            <w:webHidden/>
          </w:rPr>
          <w:instrText xml:space="preserve"> PAGEREF _Toc66716187 \h </w:instrText>
        </w:r>
        <w:r w:rsidR="00644641">
          <w:rPr>
            <w:noProof/>
            <w:webHidden/>
          </w:rPr>
        </w:r>
        <w:r w:rsidR="00644641">
          <w:rPr>
            <w:noProof/>
            <w:webHidden/>
          </w:rPr>
          <w:fldChar w:fldCharType="separate"/>
        </w:r>
        <w:r>
          <w:rPr>
            <w:noProof/>
            <w:webHidden/>
          </w:rPr>
          <w:t>10</w:t>
        </w:r>
        <w:r w:rsidR="00644641">
          <w:rPr>
            <w:noProof/>
            <w:webHidden/>
          </w:rPr>
          <w:fldChar w:fldCharType="end"/>
        </w:r>
      </w:hyperlink>
    </w:p>
    <w:p w14:paraId="6586BF59" w14:textId="5D40520B" w:rsidR="00644641" w:rsidRDefault="00422361">
      <w:pPr>
        <w:pStyle w:val="TOC3"/>
        <w:rPr>
          <w:rFonts w:asciiTheme="minorHAnsi" w:eastAsiaTheme="minorEastAsia" w:hAnsiTheme="minorHAnsi" w:cstheme="minorBidi"/>
          <w:noProof/>
          <w:sz w:val="22"/>
          <w:szCs w:val="22"/>
          <w:lang w:eastAsia="en-NZ"/>
        </w:rPr>
      </w:pPr>
      <w:hyperlink w:anchor="_Toc66716188" w:history="1">
        <w:r w:rsidR="00644641" w:rsidRPr="00121E2D">
          <w:rPr>
            <w:rStyle w:val="Hyperlink"/>
            <w:noProof/>
          </w:rPr>
          <w:t>Figure 6: Rate of people subject to compulsory treatment order applications (including extensions) per 100,000 population, by sex, 2004–2019</w:t>
        </w:r>
        <w:r w:rsidR="00644641">
          <w:rPr>
            <w:noProof/>
            <w:webHidden/>
          </w:rPr>
          <w:tab/>
        </w:r>
        <w:r w:rsidR="00644641">
          <w:rPr>
            <w:noProof/>
            <w:webHidden/>
          </w:rPr>
          <w:fldChar w:fldCharType="begin"/>
        </w:r>
        <w:r w:rsidR="00644641">
          <w:rPr>
            <w:noProof/>
            <w:webHidden/>
          </w:rPr>
          <w:instrText xml:space="preserve"> PAGEREF _Toc66716188 \h </w:instrText>
        </w:r>
        <w:r w:rsidR="00644641">
          <w:rPr>
            <w:noProof/>
            <w:webHidden/>
          </w:rPr>
        </w:r>
        <w:r w:rsidR="00644641">
          <w:rPr>
            <w:noProof/>
            <w:webHidden/>
          </w:rPr>
          <w:fldChar w:fldCharType="separate"/>
        </w:r>
        <w:r>
          <w:rPr>
            <w:noProof/>
            <w:webHidden/>
          </w:rPr>
          <w:t>10</w:t>
        </w:r>
        <w:r w:rsidR="00644641">
          <w:rPr>
            <w:noProof/>
            <w:webHidden/>
          </w:rPr>
          <w:fldChar w:fldCharType="end"/>
        </w:r>
      </w:hyperlink>
    </w:p>
    <w:p w14:paraId="7D67AB98" w14:textId="7AD0ABD4" w:rsidR="00644641" w:rsidRDefault="00422361">
      <w:pPr>
        <w:pStyle w:val="TOC3"/>
        <w:rPr>
          <w:rFonts w:asciiTheme="minorHAnsi" w:eastAsiaTheme="minorEastAsia" w:hAnsiTheme="minorHAnsi" w:cstheme="minorBidi"/>
          <w:noProof/>
          <w:sz w:val="22"/>
          <w:szCs w:val="22"/>
          <w:lang w:eastAsia="en-NZ"/>
        </w:rPr>
      </w:pPr>
      <w:hyperlink w:anchor="_Toc66716189" w:history="1">
        <w:r w:rsidR="00644641" w:rsidRPr="00121E2D">
          <w:rPr>
            <w:rStyle w:val="Hyperlink"/>
            <w:noProof/>
          </w:rPr>
          <w:t>Figure 7: Rate of people subject to indefinite community treatment orders per 100,000 population, by DHB, open on 31 December 2018</w:t>
        </w:r>
        <w:r w:rsidR="00644641">
          <w:rPr>
            <w:noProof/>
            <w:webHidden/>
          </w:rPr>
          <w:tab/>
        </w:r>
        <w:r w:rsidR="00644641">
          <w:rPr>
            <w:noProof/>
            <w:webHidden/>
          </w:rPr>
          <w:fldChar w:fldCharType="begin"/>
        </w:r>
        <w:r w:rsidR="00644641">
          <w:rPr>
            <w:noProof/>
            <w:webHidden/>
          </w:rPr>
          <w:instrText xml:space="preserve"> PAGEREF _Toc66716189 \h </w:instrText>
        </w:r>
        <w:r w:rsidR="00644641">
          <w:rPr>
            <w:noProof/>
            <w:webHidden/>
          </w:rPr>
        </w:r>
        <w:r w:rsidR="00644641">
          <w:rPr>
            <w:noProof/>
            <w:webHidden/>
          </w:rPr>
          <w:fldChar w:fldCharType="separate"/>
        </w:r>
        <w:r>
          <w:rPr>
            <w:noProof/>
            <w:webHidden/>
          </w:rPr>
          <w:t>12</w:t>
        </w:r>
        <w:r w:rsidR="00644641">
          <w:rPr>
            <w:noProof/>
            <w:webHidden/>
          </w:rPr>
          <w:fldChar w:fldCharType="end"/>
        </w:r>
      </w:hyperlink>
    </w:p>
    <w:p w14:paraId="0D2EE680" w14:textId="321919BE" w:rsidR="00644641" w:rsidRDefault="00422361">
      <w:pPr>
        <w:pStyle w:val="TOC3"/>
        <w:rPr>
          <w:rFonts w:asciiTheme="minorHAnsi" w:eastAsiaTheme="minorEastAsia" w:hAnsiTheme="minorHAnsi" w:cstheme="minorBidi"/>
          <w:noProof/>
          <w:sz w:val="22"/>
          <w:szCs w:val="22"/>
          <w:lang w:eastAsia="en-NZ"/>
        </w:rPr>
      </w:pPr>
      <w:hyperlink w:anchor="_Toc66716190" w:history="1">
        <w:r w:rsidR="00644641" w:rsidRPr="00121E2D">
          <w:rPr>
            <w:rStyle w:val="Hyperlink"/>
            <w:noProof/>
          </w:rPr>
          <w:t>Figure 8: Rate of people subject to indefinite community treatment orders per 100,000 population, by DHB, open on 31 December 2019</w:t>
        </w:r>
        <w:r w:rsidR="00644641">
          <w:rPr>
            <w:noProof/>
            <w:webHidden/>
          </w:rPr>
          <w:tab/>
        </w:r>
        <w:r w:rsidR="00644641">
          <w:rPr>
            <w:noProof/>
            <w:webHidden/>
          </w:rPr>
          <w:fldChar w:fldCharType="begin"/>
        </w:r>
        <w:r w:rsidR="00644641">
          <w:rPr>
            <w:noProof/>
            <w:webHidden/>
          </w:rPr>
          <w:instrText xml:space="preserve"> PAGEREF _Toc66716190 \h </w:instrText>
        </w:r>
        <w:r w:rsidR="00644641">
          <w:rPr>
            <w:noProof/>
            <w:webHidden/>
          </w:rPr>
        </w:r>
        <w:r w:rsidR="00644641">
          <w:rPr>
            <w:noProof/>
            <w:webHidden/>
          </w:rPr>
          <w:fldChar w:fldCharType="separate"/>
        </w:r>
        <w:r>
          <w:rPr>
            <w:noProof/>
            <w:webHidden/>
          </w:rPr>
          <w:t>12</w:t>
        </w:r>
        <w:r w:rsidR="00644641">
          <w:rPr>
            <w:noProof/>
            <w:webHidden/>
          </w:rPr>
          <w:fldChar w:fldCharType="end"/>
        </w:r>
      </w:hyperlink>
    </w:p>
    <w:p w14:paraId="5B4D6EC7" w14:textId="1DDA0E3B" w:rsidR="00644641" w:rsidRDefault="00422361">
      <w:pPr>
        <w:pStyle w:val="TOC3"/>
        <w:rPr>
          <w:rFonts w:asciiTheme="minorHAnsi" w:eastAsiaTheme="minorEastAsia" w:hAnsiTheme="minorHAnsi" w:cstheme="minorBidi"/>
          <w:noProof/>
          <w:sz w:val="22"/>
          <w:szCs w:val="22"/>
          <w:lang w:eastAsia="en-NZ"/>
        </w:rPr>
      </w:pPr>
      <w:hyperlink w:anchor="_Toc66716191" w:history="1">
        <w:r w:rsidR="00644641" w:rsidRPr="00121E2D">
          <w:rPr>
            <w:rStyle w:val="Hyperlink"/>
            <w:noProof/>
          </w:rPr>
          <w:t>Figure 9: Percentage of people subject to indefinite community treatment orders, by sex, 1 January to 31 December 2018</w:t>
        </w:r>
        <w:r w:rsidR="00644641">
          <w:rPr>
            <w:noProof/>
            <w:webHidden/>
          </w:rPr>
          <w:tab/>
        </w:r>
        <w:r w:rsidR="00644641">
          <w:rPr>
            <w:noProof/>
            <w:webHidden/>
          </w:rPr>
          <w:fldChar w:fldCharType="begin"/>
        </w:r>
        <w:r w:rsidR="00644641">
          <w:rPr>
            <w:noProof/>
            <w:webHidden/>
          </w:rPr>
          <w:instrText xml:space="preserve"> PAGEREF _Toc66716191 \h </w:instrText>
        </w:r>
        <w:r w:rsidR="00644641">
          <w:rPr>
            <w:noProof/>
            <w:webHidden/>
          </w:rPr>
        </w:r>
        <w:r w:rsidR="00644641">
          <w:rPr>
            <w:noProof/>
            <w:webHidden/>
          </w:rPr>
          <w:fldChar w:fldCharType="separate"/>
        </w:r>
        <w:r>
          <w:rPr>
            <w:noProof/>
            <w:webHidden/>
          </w:rPr>
          <w:t>14</w:t>
        </w:r>
        <w:r w:rsidR="00644641">
          <w:rPr>
            <w:noProof/>
            <w:webHidden/>
          </w:rPr>
          <w:fldChar w:fldCharType="end"/>
        </w:r>
      </w:hyperlink>
    </w:p>
    <w:p w14:paraId="449F9D90" w14:textId="03013CB5" w:rsidR="00644641" w:rsidRDefault="00422361">
      <w:pPr>
        <w:pStyle w:val="TOC3"/>
        <w:rPr>
          <w:rFonts w:asciiTheme="minorHAnsi" w:eastAsiaTheme="minorEastAsia" w:hAnsiTheme="minorHAnsi" w:cstheme="minorBidi"/>
          <w:noProof/>
          <w:sz w:val="22"/>
          <w:szCs w:val="22"/>
          <w:lang w:eastAsia="en-NZ"/>
        </w:rPr>
      </w:pPr>
      <w:hyperlink w:anchor="_Toc66716192" w:history="1">
        <w:r w:rsidR="00644641" w:rsidRPr="00121E2D">
          <w:rPr>
            <w:rStyle w:val="Hyperlink"/>
            <w:noProof/>
          </w:rPr>
          <w:t>Figure 10: Percentage of people subject to indefinite community treatment orders, by sex, 1 January to 31 December 2019</w:t>
        </w:r>
        <w:r w:rsidR="00644641">
          <w:rPr>
            <w:noProof/>
            <w:webHidden/>
          </w:rPr>
          <w:tab/>
        </w:r>
        <w:r w:rsidR="00644641">
          <w:rPr>
            <w:noProof/>
            <w:webHidden/>
          </w:rPr>
          <w:fldChar w:fldCharType="begin"/>
        </w:r>
        <w:r w:rsidR="00644641">
          <w:rPr>
            <w:noProof/>
            <w:webHidden/>
          </w:rPr>
          <w:instrText xml:space="preserve"> PAGEREF _Toc66716192 \h </w:instrText>
        </w:r>
        <w:r w:rsidR="00644641">
          <w:rPr>
            <w:noProof/>
            <w:webHidden/>
          </w:rPr>
        </w:r>
        <w:r w:rsidR="00644641">
          <w:rPr>
            <w:noProof/>
            <w:webHidden/>
          </w:rPr>
          <w:fldChar w:fldCharType="separate"/>
        </w:r>
        <w:r>
          <w:rPr>
            <w:noProof/>
            <w:webHidden/>
          </w:rPr>
          <w:t>14</w:t>
        </w:r>
        <w:r w:rsidR="00644641">
          <w:rPr>
            <w:noProof/>
            <w:webHidden/>
          </w:rPr>
          <w:fldChar w:fldCharType="end"/>
        </w:r>
      </w:hyperlink>
    </w:p>
    <w:p w14:paraId="3A6C6BEA" w14:textId="6CEC778B" w:rsidR="00644641" w:rsidRDefault="00422361">
      <w:pPr>
        <w:pStyle w:val="TOC3"/>
        <w:rPr>
          <w:rFonts w:asciiTheme="minorHAnsi" w:eastAsiaTheme="minorEastAsia" w:hAnsiTheme="minorHAnsi" w:cstheme="minorBidi"/>
          <w:noProof/>
          <w:sz w:val="22"/>
          <w:szCs w:val="22"/>
          <w:lang w:eastAsia="en-NZ"/>
        </w:rPr>
      </w:pPr>
      <w:hyperlink w:anchor="_Toc66716193" w:history="1">
        <w:r w:rsidR="00644641" w:rsidRPr="00121E2D">
          <w:rPr>
            <w:rStyle w:val="Hyperlink"/>
            <w:noProof/>
          </w:rPr>
          <w:t>Figure 11: Number of people subject to indefinite inpatient treatment orders per 100,000 population, by DHB, 1 January to 31 December 2018</w:t>
        </w:r>
        <w:r w:rsidR="00644641">
          <w:rPr>
            <w:noProof/>
            <w:webHidden/>
          </w:rPr>
          <w:tab/>
        </w:r>
        <w:r w:rsidR="00644641">
          <w:rPr>
            <w:noProof/>
            <w:webHidden/>
          </w:rPr>
          <w:fldChar w:fldCharType="begin"/>
        </w:r>
        <w:r w:rsidR="00644641">
          <w:rPr>
            <w:noProof/>
            <w:webHidden/>
          </w:rPr>
          <w:instrText xml:space="preserve"> PAGEREF _Toc66716193 \h </w:instrText>
        </w:r>
        <w:r w:rsidR="00644641">
          <w:rPr>
            <w:noProof/>
            <w:webHidden/>
          </w:rPr>
        </w:r>
        <w:r w:rsidR="00644641">
          <w:rPr>
            <w:noProof/>
            <w:webHidden/>
          </w:rPr>
          <w:fldChar w:fldCharType="separate"/>
        </w:r>
        <w:r>
          <w:rPr>
            <w:noProof/>
            <w:webHidden/>
          </w:rPr>
          <w:t>15</w:t>
        </w:r>
        <w:r w:rsidR="00644641">
          <w:rPr>
            <w:noProof/>
            <w:webHidden/>
          </w:rPr>
          <w:fldChar w:fldCharType="end"/>
        </w:r>
      </w:hyperlink>
    </w:p>
    <w:p w14:paraId="6C74B83C" w14:textId="5B99B85D" w:rsidR="00644641" w:rsidRDefault="00422361">
      <w:pPr>
        <w:pStyle w:val="TOC3"/>
        <w:rPr>
          <w:rFonts w:asciiTheme="minorHAnsi" w:eastAsiaTheme="minorEastAsia" w:hAnsiTheme="minorHAnsi" w:cstheme="minorBidi"/>
          <w:noProof/>
          <w:sz w:val="22"/>
          <w:szCs w:val="22"/>
          <w:lang w:eastAsia="en-NZ"/>
        </w:rPr>
      </w:pPr>
      <w:hyperlink w:anchor="_Toc66716194" w:history="1">
        <w:r w:rsidR="00644641" w:rsidRPr="00121E2D">
          <w:rPr>
            <w:rStyle w:val="Hyperlink"/>
            <w:noProof/>
          </w:rPr>
          <w:t>Figure 12: Number of people subject to indefinite inpatient treatment orders per 100,000 population, by DHB, 1 January to 31 December 2019</w:t>
        </w:r>
        <w:r w:rsidR="00644641">
          <w:rPr>
            <w:noProof/>
            <w:webHidden/>
          </w:rPr>
          <w:tab/>
        </w:r>
        <w:r w:rsidR="00644641">
          <w:rPr>
            <w:noProof/>
            <w:webHidden/>
          </w:rPr>
          <w:fldChar w:fldCharType="begin"/>
        </w:r>
        <w:r w:rsidR="00644641">
          <w:rPr>
            <w:noProof/>
            <w:webHidden/>
          </w:rPr>
          <w:instrText xml:space="preserve"> PAGEREF _Toc66716194 \h </w:instrText>
        </w:r>
        <w:r w:rsidR="00644641">
          <w:rPr>
            <w:noProof/>
            <w:webHidden/>
          </w:rPr>
        </w:r>
        <w:r w:rsidR="00644641">
          <w:rPr>
            <w:noProof/>
            <w:webHidden/>
          </w:rPr>
          <w:fldChar w:fldCharType="separate"/>
        </w:r>
        <w:r>
          <w:rPr>
            <w:noProof/>
            <w:webHidden/>
          </w:rPr>
          <w:t>15</w:t>
        </w:r>
        <w:r w:rsidR="00644641">
          <w:rPr>
            <w:noProof/>
            <w:webHidden/>
          </w:rPr>
          <w:fldChar w:fldCharType="end"/>
        </w:r>
      </w:hyperlink>
    </w:p>
    <w:p w14:paraId="54CCD9E5" w14:textId="1FA0D8E4" w:rsidR="00644641" w:rsidRDefault="00422361">
      <w:pPr>
        <w:pStyle w:val="TOC3"/>
        <w:rPr>
          <w:rFonts w:asciiTheme="minorHAnsi" w:eastAsiaTheme="minorEastAsia" w:hAnsiTheme="minorHAnsi" w:cstheme="minorBidi"/>
          <w:noProof/>
          <w:sz w:val="22"/>
          <w:szCs w:val="22"/>
          <w:lang w:eastAsia="en-NZ"/>
        </w:rPr>
      </w:pPr>
      <w:hyperlink w:anchor="_Toc66716195" w:history="1">
        <w:r w:rsidR="00644641" w:rsidRPr="00121E2D">
          <w:rPr>
            <w:rStyle w:val="Hyperlink"/>
            <w:noProof/>
          </w:rPr>
          <w:t>Figure 13: Percentage of people subject to indefinite inpatient treatment orders, by sex, 1 January to 31 December 2018</w:t>
        </w:r>
        <w:r w:rsidR="00644641">
          <w:rPr>
            <w:noProof/>
            <w:webHidden/>
          </w:rPr>
          <w:tab/>
        </w:r>
        <w:r w:rsidR="00644641">
          <w:rPr>
            <w:noProof/>
            <w:webHidden/>
          </w:rPr>
          <w:fldChar w:fldCharType="begin"/>
        </w:r>
        <w:r w:rsidR="00644641">
          <w:rPr>
            <w:noProof/>
            <w:webHidden/>
          </w:rPr>
          <w:instrText xml:space="preserve"> PAGEREF _Toc66716195 \h </w:instrText>
        </w:r>
        <w:r w:rsidR="00644641">
          <w:rPr>
            <w:noProof/>
            <w:webHidden/>
          </w:rPr>
        </w:r>
        <w:r w:rsidR="00644641">
          <w:rPr>
            <w:noProof/>
            <w:webHidden/>
          </w:rPr>
          <w:fldChar w:fldCharType="separate"/>
        </w:r>
        <w:r>
          <w:rPr>
            <w:noProof/>
            <w:webHidden/>
          </w:rPr>
          <w:t>17</w:t>
        </w:r>
        <w:r w:rsidR="00644641">
          <w:rPr>
            <w:noProof/>
            <w:webHidden/>
          </w:rPr>
          <w:fldChar w:fldCharType="end"/>
        </w:r>
      </w:hyperlink>
    </w:p>
    <w:p w14:paraId="51D00905" w14:textId="3149ECAB" w:rsidR="00644641" w:rsidRDefault="00422361">
      <w:pPr>
        <w:pStyle w:val="TOC3"/>
        <w:rPr>
          <w:rFonts w:asciiTheme="minorHAnsi" w:eastAsiaTheme="minorEastAsia" w:hAnsiTheme="minorHAnsi" w:cstheme="minorBidi"/>
          <w:noProof/>
          <w:sz w:val="22"/>
          <w:szCs w:val="22"/>
          <w:lang w:eastAsia="en-NZ"/>
        </w:rPr>
      </w:pPr>
      <w:hyperlink w:anchor="_Toc66716196" w:history="1">
        <w:r w:rsidR="00644641" w:rsidRPr="00121E2D">
          <w:rPr>
            <w:rStyle w:val="Hyperlink"/>
            <w:noProof/>
          </w:rPr>
          <w:t>Figure 14: Percentage of people subject to indefinite inpatient treatment orders, by sex, 1 January to 31 December 2019</w:t>
        </w:r>
        <w:r w:rsidR="00644641">
          <w:rPr>
            <w:noProof/>
            <w:webHidden/>
          </w:rPr>
          <w:tab/>
        </w:r>
        <w:r w:rsidR="00644641">
          <w:rPr>
            <w:noProof/>
            <w:webHidden/>
          </w:rPr>
          <w:fldChar w:fldCharType="begin"/>
        </w:r>
        <w:r w:rsidR="00644641">
          <w:rPr>
            <w:noProof/>
            <w:webHidden/>
          </w:rPr>
          <w:instrText xml:space="preserve"> PAGEREF _Toc66716196 \h </w:instrText>
        </w:r>
        <w:r w:rsidR="00644641">
          <w:rPr>
            <w:noProof/>
            <w:webHidden/>
          </w:rPr>
        </w:r>
        <w:r w:rsidR="00644641">
          <w:rPr>
            <w:noProof/>
            <w:webHidden/>
          </w:rPr>
          <w:fldChar w:fldCharType="separate"/>
        </w:r>
        <w:r>
          <w:rPr>
            <w:noProof/>
            <w:webHidden/>
          </w:rPr>
          <w:t>17</w:t>
        </w:r>
        <w:r w:rsidR="00644641">
          <w:rPr>
            <w:noProof/>
            <w:webHidden/>
          </w:rPr>
          <w:fldChar w:fldCharType="end"/>
        </w:r>
      </w:hyperlink>
    </w:p>
    <w:p w14:paraId="34F6F50F" w14:textId="04A21B7F" w:rsidR="00644641" w:rsidRDefault="00422361">
      <w:pPr>
        <w:pStyle w:val="TOC3"/>
        <w:rPr>
          <w:rFonts w:asciiTheme="minorHAnsi" w:eastAsiaTheme="minorEastAsia" w:hAnsiTheme="minorHAnsi" w:cstheme="minorBidi"/>
          <w:noProof/>
          <w:sz w:val="22"/>
          <w:szCs w:val="22"/>
          <w:lang w:eastAsia="en-NZ"/>
        </w:rPr>
      </w:pPr>
      <w:hyperlink w:anchor="_Toc66716197" w:history="1">
        <w:r w:rsidR="00644641" w:rsidRPr="00121E2D">
          <w:rPr>
            <w:rStyle w:val="Hyperlink"/>
            <w:noProof/>
          </w:rPr>
          <w:t>Figure 15: Rate ratio of Māori to non-Māori subject to a community treatment order (section 29) under the Mental Health Act per 100,000 population, by DHB, 1 January to 31 December 2018</w:t>
        </w:r>
        <w:r w:rsidR="00644641">
          <w:rPr>
            <w:noProof/>
            <w:webHidden/>
          </w:rPr>
          <w:tab/>
        </w:r>
        <w:r w:rsidR="00644641">
          <w:rPr>
            <w:noProof/>
            <w:webHidden/>
          </w:rPr>
          <w:fldChar w:fldCharType="begin"/>
        </w:r>
        <w:r w:rsidR="00644641">
          <w:rPr>
            <w:noProof/>
            <w:webHidden/>
          </w:rPr>
          <w:instrText xml:space="preserve"> PAGEREF _Toc66716197 \h </w:instrText>
        </w:r>
        <w:r w:rsidR="00644641">
          <w:rPr>
            <w:noProof/>
            <w:webHidden/>
          </w:rPr>
        </w:r>
        <w:r w:rsidR="00644641">
          <w:rPr>
            <w:noProof/>
            <w:webHidden/>
          </w:rPr>
          <w:fldChar w:fldCharType="separate"/>
        </w:r>
        <w:r>
          <w:rPr>
            <w:noProof/>
            <w:webHidden/>
          </w:rPr>
          <w:t>20</w:t>
        </w:r>
        <w:r w:rsidR="00644641">
          <w:rPr>
            <w:noProof/>
            <w:webHidden/>
          </w:rPr>
          <w:fldChar w:fldCharType="end"/>
        </w:r>
      </w:hyperlink>
    </w:p>
    <w:p w14:paraId="01241E0A" w14:textId="2221F505" w:rsidR="00644641" w:rsidRDefault="00422361">
      <w:pPr>
        <w:pStyle w:val="TOC3"/>
        <w:rPr>
          <w:rFonts w:asciiTheme="minorHAnsi" w:eastAsiaTheme="minorEastAsia" w:hAnsiTheme="minorHAnsi" w:cstheme="minorBidi"/>
          <w:noProof/>
          <w:sz w:val="22"/>
          <w:szCs w:val="22"/>
          <w:lang w:eastAsia="en-NZ"/>
        </w:rPr>
      </w:pPr>
      <w:hyperlink w:anchor="_Toc66716198" w:history="1">
        <w:r w:rsidR="00644641" w:rsidRPr="00121E2D">
          <w:rPr>
            <w:rStyle w:val="Hyperlink"/>
            <w:noProof/>
          </w:rPr>
          <w:t>Figure 16: Rate ratio of Māori to non-Māori subject to a community treatment order (section 29) under the Mental Health Act per 100,000 population, by DHB, 1 January to 31 December 2019</w:t>
        </w:r>
        <w:r w:rsidR="00644641">
          <w:rPr>
            <w:noProof/>
            <w:webHidden/>
          </w:rPr>
          <w:tab/>
        </w:r>
        <w:r w:rsidR="00644641">
          <w:rPr>
            <w:noProof/>
            <w:webHidden/>
          </w:rPr>
          <w:fldChar w:fldCharType="begin"/>
        </w:r>
        <w:r w:rsidR="00644641">
          <w:rPr>
            <w:noProof/>
            <w:webHidden/>
          </w:rPr>
          <w:instrText xml:space="preserve"> PAGEREF _Toc66716198 \h </w:instrText>
        </w:r>
        <w:r w:rsidR="00644641">
          <w:rPr>
            <w:noProof/>
            <w:webHidden/>
          </w:rPr>
        </w:r>
        <w:r w:rsidR="00644641">
          <w:rPr>
            <w:noProof/>
            <w:webHidden/>
          </w:rPr>
          <w:fldChar w:fldCharType="separate"/>
        </w:r>
        <w:r>
          <w:rPr>
            <w:noProof/>
            <w:webHidden/>
          </w:rPr>
          <w:t>21</w:t>
        </w:r>
        <w:r w:rsidR="00644641">
          <w:rPr>
            <w:noProof/>
            <w:webHidden/>
          </w:rPr>
          <w:fldChar w:fldCharType="end"/>
        </w:r>
      </w:hyperlink>
    </w:p>
    <w:p w14:paraId="61A11416" w14:textId="19186197" w:rsidR="00644641" w:rsidRDefault="00422361">
      <w:pPr>
        <w:pStyle w:val="TOC3"/>
        <w:rPr>
          <w:rFonts w:asciiTheme="minorHAnsi" w:eastAsiaTheme="minorEastAsia" w:hAnsiTheme="minorHAnsi" w:cstheme="minorBidi"/>
          <w:noProof/>
          <w:sz w:val="22"/>
          <w:szCs w:val="22"/>
          <w:lang w:eastAsia="en-NZ"/>
        </w:rPr>
      </w:pPr>
      <w:hyperlink w:anchor="_Toc66716199" w:history="1">
        <w:r w:rsidR="00644641" w:rsidRPr="00121E2D">
          <w:rPr>
            <w:rStyle w:val="Hyperlink"/>
            <w:noProof/>
          </w:rPr>
          <w:t>Figure 17: Rate ratio of Māori to non-Māori subject to an inpatient treatment order (section 30) under the Mental Health Act per 100,000 population, by DHB, 1 January to 31 December 2018</w:t>
        </w:r>
        <w:r w:rsidR="00644641">
          <w:rPr>
            <w:noProof/>
            <w:webHidden/>
          </w:rPr>
          <w:tab/>
        </w:r>
        <w:r w:rsidR="00644641">
          <w:rPr>
            <w:noProof/>
            <w:webHidden/>
          </w:rPr>
          <w:fldChar w:fldCharType="begin"/>
        </w:r>
        <w:r w:rsidR="00644641">
          <w:rPr>
            <w:noProof/>
            <w:webHidden/>
          </w:rPr>
          <w:instrText xml:space="preserve"> PAGEREF _Toc66716199 \h </w:instrText>
        </w:r>
        <w:r w:rsidR="00644641">
          <w:rPr>
            <w:noProof/>
            <w:webHidden/>
          </w:rPr>
        </w:r>
        <w:r w:rsidR="00644641">
          <w:rPr>
            <w:noProof/>
            <w:webHidden/>
          </w:rPr>
          <w:fldChar w:fldCharType="separate"/>
        </w:r>
        <w:r>
          <w:rPr>
            <w:noProof/>
            <w:webHidden/>
          </w:rPr>
          <w:t>22</w:t>
        </w:r>
        <w:r w:rsidR="00644641">
          <w:rPr>
            <w:noProof/>
            <w:webHidden/>
          </w:rPr>
          <w:fldChar w:fldCharType="end"/>
        </w:r>
      </w:hyperlink>
    </w:p>
    <w:p w14:paraId="7B8C8182" w14:textId="4B92143C" w:rsidR="00644641" w:rsidRDefault="00422361">
      <w:pPr>
        <w:pStyle w:val="TOC3"/>
        <w:rPr>
          <w:rFonts w:asciiTheme="minorHAnsi" w:eastAsiaTheme="minorEastAsia" w:hAnsiTheme="minorHAnsi" w:cstheme="minorBidi"/>
          <w:noProof/>
          <w:sz w:val="22"/>
          <w:szCs w:val="22"/>
          <w:lang w:eastAsia="en-NZ"/>
        </w:rPr>
      </w:pPr>
      <w:hyperlink w:anchor="_Toc66716200" w:history="1">
        <w:r w:rsidR="00644641" w:rsidRPr="00121E2D">
          <w:rPr>
            <w:rStyle w:val="Hyperlink"/>
            <w:noProof/>
          </w:rPr>
          <w:t>Figure 18: Rate ratio of Māori to non-Māori subject to an inpatient treatment order (section 30) under the Mental Health Act per 100,000 population, by DHB, 1 January to 31 December 2019</w:t>
        </w:r>
        <w:r w:rsidR="00644641">
          <w:rPr>
            <w:noProof/>
            <w:webHidden/>
          </w:rPr>
          <w:tab/>
        </w:r>
        <w:r w:rsidR="00644641">
          <w:rPr>
            <w:noProof/>
            <w:webHidden/>
          </w:rPr>
          <w:fldChar w:fldCharType="begin"/>
        </w:r>
        <w:r w:rsidR="00644641">
          <w:rPr>
            <w:noProof/>
            <w:webHidden/>
          </w:rPr>
          <w:instrText xml:space="preserve"> PAGEREF _Toc66716200 \h </w:instrText>
        </w:r>
        <w:r w:rsidR="00644641">
          <w:rPr>
            <w:noProof/>
            <w:webHidden/>
          </w:rPr>
        </w:r>
        <w:r w:rsidR="00644641">
          <w:rPr>
            <w:noProof/>
            <w:webHidden/>
          </w:rPr>
          <w:fldChar w:fldCharType="separate"/>
        </w:r>
        <w:r>
          <w:rPr>
            <w:noProof/>
            <w:webHidden/>
          </w:rPr>
          <w:t>23</w:t>
        </w:r>
        <w:r w:rsidR="00644641">
          <w:rPr>
            <w:noProof/>
            <w:webHidden/>
          </w:rPr>
          <w:fldChar w:fldCharType="end"/>
        </w:r>
      </w:hyperlink>
    </w:p>
    <w:p w14:paraId="585144A6" w14:textId="4C5CB7E7" w:rsidR="00644641" w:rsidRDefault="00422361">
      <w:pPr>
        <w:pStyle w:val="TOC3"/>
        <w:rPr>
          <w:rFonts w:asciiTheme="minorHAnsi" w:eastAsiaTheme="minorEastAsia" w:hAnsiTheme="minorHAnsi" w:cstheme="minorBidi"/>
          <w:noProof/>
          <w:sz w:val="22"/>
          <w:szCs w:val="22"/>
          <w:lang w:eastAsia="en-NZ"/>
        </w:rPr>
      </w:pPr>
      <w:hyperlink w:anchor="_Toc66716201" w:history="1">
        <w:r w:rsidR="00644641" w:rsidRPr="00121E2D">
          <w:rPr>
            <w:rStyle w:val="Hyperlink"/>
            <w:noProof/>
          </w:rPr>
          <w:t>Figure 19: Age-standardised rates of Māori and non-Māori subject to community and inpatient treatment orders (sections 29 and 30 respectively) under the Mental Health Act, by sex, 1 January to 31 December 2018</w:t>
        </w:r>
        <w:r w:rsidR="00644641">
          <w:rPr>
            <w:noProof/>
            <w:webHidden/>
          </w:rPr>
          <w:tab/>
        </w:r>
        <w:r w:rsidR="00644641">
          <w:rPr>
            <w:noProof/>
            <w:webHidden/>
          </w:rPr>
          <w:fldChar w:fldCharType="begin"/>
        </w:r>
        <w:r w:rsidR="00644641">
          <w:rPr>
            <w:noProof/>
            <w:webHidden/>
          </w:rPr>
          <w:instrText xml:space="preserve"> PAGEREF _Toc66716201 \h </w:instrText>
        </w:r>
        <w:r w:rsidR="00644641">
          <w:rPr>
            <w:noProof/>
            <w:webHidden/>
          </w:rPr>
        </w:r>
        <w:r w:rsidR="00644641">
          <w:rPr>
            <w:noProof/>
            <w:webHidden/>
          </w:rPr>
          <w:fldChar w:fldCharType="separate"/>
        </w:r>
        <w:r>
          <w:rPr>
            <w:noProof/>
            <w:webHidden/>
          </w:rPr>
          <w:t>24</w:t>
        </w:r>
        <w:r w:rsidR="00644641">
          <w:rPr>
            <w:noProof/>
            <w:webHidden/>
          </w:rPr>
          <w:fldChar w:fldCharType="end"/>
        </w:r>
      </w:hyperlink>
    </w:p>
    <w:p w14:paraId="40C367DA" w14:textId="76666040" w:rsidR="00644641" w:rsidRDefault="00422361">
      <w:pPr>
        <w:pStyle w:val="TOC3"/>
        <w:rPr>
          <w:rFonts w:asciiTheme="minorHAnsi" w:eastAsiaTheme="minorEastAsia" w:hAnsiTheme="minorHAnsi" w:cstheme="minorBidi"/>
          <w:noProof/>
          <w:sz w:val="22"/>
          <w:szCs w:val="22"/>
          <w:lang w:eastAsia="en-NZ"/>
        </w:rPr>
      </w:pPr>
      <w:hyperlink w:anchor="_Toc66716202" w:history="1">
        <w:r w:rsidR="00644641" w:rsidRPr="00121E2D">
          <w:rPr>
            <w:rStyle w:val="Hyperlink"/>
            <w:noProof/>
          </w:rPr>
          <w:t>Figure 20: Age-standardised rates of Māori and non-Māori subject to community and inpatient treatment orders (sections 29 and 30 respectively) under the Mental Health Act, by sex, 1 January to 31 December 2019</w:t>
        </w:r>
        <w:r w:rsidR="00644641">
          <w:rPr>
            <w:noProof/>
            <w:webHidden/>
          </w:rPr>
          <w:tab/>
        </w:r>
        <w:r w:rsidR="00644641">
          <w:rPr>
            <w:noProof/>
            <w:webHidden/>
          </w:rPr>
          <w:fldChar w:fldCharType="begin"/>
        </w:r>
        <w:r w:rsidR="00644641">
          <w:rPr>
            <w:noProof/>
            <w:webHidden/>
          </w:rPr>
          <w:instrText xml:space="preserve"> PAGEREF _Toc66716202 \h </w:instrText>
        </w:r>
        <w:r w:rsidR="00644641">
          <w:rPr>
            <w:noProof/>
            <w:webHidden/>
          </w:rPr>
        </w:r>
        <w:r w:rsidR="00644641">
          <w:rPr>
            <w:noProof/>
            <w:webHidden/>
          </w:rPr>
          <w:fldChar w:fldCharType="separate"/>
        </w:r>
        <w:r>
          <w:rPr>
            <w:noProof/>
            <w:webHidden/>
          </w:rPr>
          <w:t>25</w:t>
        </w:r>
        <w:r w:rsidR="00644641">
          <w:rPr>
            <w:noProof/>
            <w:webHidden/>
          </w:rPr>
          <w:fldChar w:fldCharType="end"/>
        </w:r>
      </w:hyperlink>
    </w:p>
    <w:p w14:paraId="2373DDFB" w14:textId="7826AD13" w:rsidR="00644641" w:rsidRDefault="00422361">
      <w:pPr>
        <w:pStyle w:val="TOC3"/>
        <w:rPr>
          <w:rFonts w:asciiTheme="minorHAnsi" w:eastAsiaTheme="minorEastAsia" w:hAnsiTheme="minorHAnsi" w:cstheme="minorBidi"/>
          <w:noProof/>
          <w:sz w:val="22"/>
          <w:szCs w:val="22"/>
          <w:lang w:eastAsia="en-NZ"/>
        </w:rPr>
      </w:pPr>
      <w:hyperlink w:anchor="_Toc66716203" w:history="1">
        <w:r w:rsidR="00644641" w:rsidRPr="00121E2D">
          <w:rPr>
            <w:rStyle w:val="Hyperlink"/>
            <w:noProof/>
          </w:rPr>
          <w:t>Figure 21: Length of time spent subject to community and inpatient treatment orders (sections 29 and 30) under the Mental Health Act for Māori and non-Māori, 2009–2017</w:t>
        </w:r>
        <w:r w:rsidR="00644641">
          <w:rPr>
            <w:noProof/>
            <w:webHidden/>
          </w:rPr>
          <w:tab/>
        </w:r>
        <w:r w:rsidR="00644641">
          <w:rPr>
            <w:noProof/>
            <w:webHidden/>
          </w:rPr>
          <w:fldChar w:fldCharType="begin"/>
        </w:r>
        <w:r w:rsidR="00644641">
          <w:rPr>
            <w:noProof/>
            <w:webHidden/>
          </w:rPr>
          <w:instrText xml:space="preserve"> PAGEREF _Toc66716203 \h </w:instrText>
        </w:r>
        <w:r w:rsidR="00644641">
          <w:rPr>
            <w:noProof/>
            <w:webHidden/>
          </w:rPr>
        </w:r>
        <w:r w:rsidR="00644641">
          <w:rPr>
            <w:noProof/>
            <w:webHidden/>
          </w:rPr>
          <w:fldChar w:fldCharType="separate"/>
        </w:r>
        <w:r>
          <w:rPr>
            <w:noProof/>
            <w:webHidden/>
          </w:rPr>
          <w:t>26</w:t>
        </w:r>
        <w:r w:rsidR="00644641">
          <w:rPr>
            <w:noProof/>
            <w:webHidden/>
          </w:rPr>
          <w:fldChar w:fldCharType="end"/>
        </w:r>
      </w:hyperlink>
    </w:p>
    <w:p w14:paraId="2F179A1C" w14:textId="3F33FD98" w:rsidR="00644641" w:rsidRDefault="00422361">
      <w:pPr>
        <w:pStyle w:val="TOC3"/>
        <w:rPr>
          <w:rFonts w:asciiTheme="minorHAnsi" w:eastAsiaTheme="minorEastAsia" w:hAnsiTheme="minorHAnsi" w:cstheme="minorBidi"/>
          <w:noProof/>
          <w:sz w:val="22"/>
          <w:szCs w:val="22"/>
          <w:lang w:eastAsia="en-NZ"/>
        </w:rPr>
      </w:pPr>
      <w:hyperlink w:anchor="_Toc66716204" w:history="1">
        <w:r w:rsidR="00644641" w:rsidRPr="00121E2D">
          <w:rPr>
            <w:rStyle w:val="Hyperlink"/>
            <w:noProof/>
          </w:rPr>
          <w:t>Figure 22: Rate ratio of Māori to non-Māori subject to indefinite community treatment orders per 100,000 population, by DHB, 1 January to 31 December 2018</w:t>
        </w:r>
        <w:r w:rsidR="00644641">
          <w:rPr>
            <w:noProof/>
            <w:webHidden/>
          </w:rPr>
          <w:tab/>
        </w:r>
        <w:r w:rsidR="00644641">
          <w:rPr>
            <w:noProof/>
            <w:webHidden/>
          </w:rPr>
          <w:fldChar w:fldCharType="begin"/>
        </w:r>
        <w:r w:rsidR="00644641">
          <w:rPr>
            <w:noProof/>
            <w:webHidden/>
          </w:rPr>
          <w:instrText xml:space="preserve"> PAGEREF _Toc66716204 \h </w:instrText>
        </w:r>
        <w:r w:rsidR="00644641">
          <w:rPr>
            <w:noProof/>
            <w:webHidden/>
          </w:rPr>
        </w:r>
        <w:r w:rsidR="00644641">
          <w:rPr>
            <w:noProof/>
            <w:webHidden/>
          </w:rPr>
          <w:fldChar w:fldCharType="separate"/>
        </w:r>
        <w:r>
          <w:rPr>
            <w:noProof/>
            <w:webHidden/>
          </w:rPr>
          <w:t>27</w:t>
        </w:r>
        <w:r w:rsidR="00644641">
          <w:rPr>
            <w:noProof/>
            <w:webHidden/>
          </w:rPr>
          <w:fldChar w:fldCharType="end"/>
        </w:r>
      </w:hyperlink>
    </w:p>
    <w:p w14:paraId="377FF94B" w14:textId="07921B54" w:rsidR="00644641" w:rsidRDefault="00422361">
      <w:pPr>
        <w:pStyle w:val="TOC3"/>
        <w:rPr>
          <w:rFonts w:asciiTheme="minorHAnsi" w:eastAsiaTheme="minorEastAsia" w:hAnsiTheme="minorHAnsi" w:cstheme="minorBidi"/>
          <w:noProof/>
          <w:sz w:val="22"/>
          <w:szCs w:val="22"/>
          <w:lang w:eastAsia="en-NZ"/>
        </w:rPr>
      </w:pPr>
      <w:hyperlink w:anchor="_Toc66716205" w:history="1">
        <w:r w:rsidR="00644641" w:rsidRPr="00121E2D">
          <w:rPr>
            <w:rStyle w:val="Hyperlink"/>
            <w:noProof/>
          </w:rPr>
          <w:t>Figure 23: Rate ratio of Māori to non-Māori subject to indefinite community treatment orders per 100,000 population, by DHB, 1 January to 31 December 2019</w:t>
        </w:r>
        <w:r w:rsidR="00644641">
          <w:rPr>
            <w:noProof/>
            <w:webHidden/>
          </w:rPr>
          <w:tab/>
        </w:r>
        <w:r w:rsidR="00644641">
          <w:rPr>
            <w:noProof/>
            <w:webHidden/>
          </w:rPr>
          <w:fldChar w:fldCharType="begin"/>
        </w:r>
        <w:r w:rsidR="00644641">
          <w:rPr>
            <w:noProof/>
            <w:webHidden/>
          </w:rPr>
          <w:instrText xml:space="preserve"> PAGEREF _Toc66716205 \h </w:instrText>
        </w:r>
        <w:r w:rsidR="00644641">
          <w:rPr>
            <w:noProof/>
            <w:webHidden/>
          </w:rPr>
        </w:r>
        <w:r w:rsidR="00644641">
          <w:rPr>
            <w:noProof/>
            <w:webHidden/>
          </w:rPr>
          <w:fldChar w:fldCharType="separate"/>
        </w:r>
        <w:r>
          <w:rPr>
            <w:noProof/>
            <w:webHidden/>
          </w:rPr>
          <w:t>28</w:t>
        </w:r>
        <w:r w:rsidR="00644641">
          <w:rPr>
            <w:noProof/>
            <w:webHidden/>
          </w:rPr>
          <w:fldChar w:fldCharType="end"/>
        </w:r>
      </w:hyperlink>
    </w:p>
    <w:p w14:paraId="438B72E9" w14:textId="2A264B34" w:rsidR="00644641" w:rsidRDefault="00422361">
      <w:pPr>
        <w:pStyle w:val="TOC3"/>
        <w:rPr>
          <w:rFonts w:asciiTheme="minorHAnsi" w:eastAsiaTheme="minorEastAsia" w:hAnsiTheme="minorHAnsi" w:cstheme="minorBidi"/>
          <w:noProof/>
          <w:sz w:val="22"/>
          <w:szCs w:val="22"/>
          <w:lang w:eastAsia="en-NZ"/>
        </w:rPr>
      </w:pPr>
      <w:hyperlink w:anchor="_Toc66716206" w:history="1">
        <w:r w:rsidR="00644641" w:rsidRPr="00121E2D">
          <w:rPr>
            <w:rStyle w:val="Hyperlink"/>
            <w:noProof/>
          </w:rPr>
          <w:t>Figure 24: Rate ratio of Māori to non-Māori subject to indefinite inpatient treatment orders per 100,000 population, by DHB, 1 January to 31 December 2018</w:t>
        </w:r>
        <w:r w:rsidR="00644641">
          <w:rPr>
            <w:noProof/>
            <w:webHidden/>
          </w:rPr>
          <w:tab/>
        </w:r>
        <w:r w:rsidR="00644641">
          <w:rPr>
            <w:noProof/>
            <w:webHidden/>
          </w:rPr>
          <w:fldChar w:fldCharType="begin"/>
        </w:r>
        <w:r w:rsidR="00644641">
          <w:rPr>
            <w:noProof/>
            <w:webHidden/>
          </w:rPr>
          <w:instrText xml:space="preserve"> PAGEREF _Toc66716206 \h </w:instrText>
        </w:r>
        <w:r w:rsidR="00644641">
          <w:rPr>
            <w:noProof/>
            <w:webHidden/>
          </w:rPr>
        </w:r>
        <w:r w:rsidR="00644641">
          <w:rPr>
            <w:noProof/>
            <w:webHidden/>
          </w:rPr>
          <w:fldChar w:fldCharType="separate"/>
        </w:r>
        <w:r>
          <w:rPr>
            <w:noProof/>
            <w:webHidden/>
          </w:rPr>
          <w:t>29</w:t>
        </w:r>
        <w:r w:rsidR="00644641">
          <w:rPr>
            <w:noProof/>
            <w:webHidden/>
          </w:rPr>
          <w:fldChar w:fldCharType="end"/>
        </w:r>
      </w:hyperlink>
    </w:p>
    <w:p w14:paraId="57C4251E" w14:textId="52F4DFAD" w:rsidR="00644641" w:rsidRDefault="00422361">
      <w:pPr>
        <w:pStyle w:val="TOC3"/>
        <w:rPr>
          <w:rFonts w:asciiTheme="minorHAnsi" w:eastAsiaTheme="minorEastAsia" w:hAnsiTheme="minorHAnsi" w:cstheme="minorBidi"/>
          <w:noProof/>
          <w:sz w:val="22"/>
          <w:szCs w:val="22"/>
          <w:lang w:eastAsia="en-NZ"/>
        </w:rPr>
      </w:pPr>
      <w:hyperlink w:anchor="_Toc66716207" w:history="1">
        <w:r w:rsidR="00644641" w:rsidRPr="00121E2D">
          <w:rPr>
            <w:rStyle w:val="Hyperlink"/>
            <w:noProof/>
          </w:rPr>
          <w:t>Figure 25: Rate ratio of Māori to non-Māori subject to indefinite inpatient treatment orders per 100,000 population, by DHB, 1 January to 31 December 2019</w:t>
        </w:r>
        <w:r w:rsidR="00644641">
          <w:rPr>
            <w:noProof/>
            <w:webHidden/>
          </w:rPr>
          <w:tab/>
        </w:r>
        <w:r w:rsidR="00644641">
          <w:rPr>
            <w:noProof/>
            <w:webHidden/>
          </w:rPr>
          <w:fldChar w:fldCharType="begin"/>
        </w:r>
        <w:r w:rsidR="00644641">
          <w:rPr>
            <w:noProof/>
            <w:webHidden/>
          </w:rPr>
          <w:instrText xml:space="preserve"> PAGEREF _Toc66716207 \h </w:instrText>
        </w:r>
        <w:r w:rsidR="00644641">
          <w:rPr>
            <w:noProof/>
            <w:webHidden/>
          </w:rPr>
        </w:r>
        <w:r w:rsidR="00644641">
          <w:rPr>
            <w:noProof/>
            <w:webHidden/>
          </w:rPr>
          <w:fldChar w:fldCharType="separate"/>
        </w:r>
        <w:r>
          <w:rPr>
            <w:noProof/>
            <w:webHidden/>
          </w:rPr>
          <w:t>29</w:t>
        </w:r>
        <w:r w:rsidR="00644641">
          <w:rPr>
            <w:noProof/>
            <w:webHidden/>
          </w:rPr>
          <w:fldChar w:fldCharType="end"/>
        </w:r>
      </w:hyperlink>
    </w:p>
    <w:p w14:paraId="1AD0CCE3" w14:textId="067E6B7E" w:rsidR="00644641" w:rsidRDefault="00422361">
      <w:pPr>
        <w:pStyle w:val="TOC3"/>
        <w:rPr>
          <w:rFonts w:asciiTheme="minorHAnsi" w:eastAsiaTheme="minorEastAsia" w:hAnsiTheme="minorHAnsi" w:cstheme="minorBidi"/>
          <w:noProof/>
          <w:sz w:val="22"/>
          <w:szCs w:val="22"/>
          <w:lang w:eastAsia="en-NZ"/>
        </w:rPr>
      </w:pPr>
      <w:hyperlink w:anchor="_Toc66716208" w:history="1">
        <w:r w:rsidR="00644641" w:rsidRPr="00121E2D">
          <w:rPr>
            <w:rStyle w:val="Hyperlink"/>
            <w:noProof/>
          </w:rPr>
          <w:t>Figure 26: Average national percentage of family/whānau consultation for particular assessment/treatment events, 1 January to 31 December 2018 and 1 January to 31 December 2019</w:t>
        </w:r>
        <w:r w:rsidR="00644641">
          <w:rPr>
            <w:noProof/>
            <w:webHidden/>
          </w:rPr>
          <w:tab/>
        </w:r>
        <w:r w:rsidR="00644641">
          <w:rPr>
            <w:noProof/>
            <w:webHidden/>
          </w:rPr>
          <w:fldChar w:fldCharType="begin"/>
        </w:r>
        <w:r w:rsidR="00644641">
          <w:rPr>
            <w:noProof/>
            <w:webHidden/>
          </w:rPr>
          <w:instrText xml:space="preserve"> PAGEREF _Toc66716208 \h </w:instrText>
        </w:r>
        <w:r w:rsidR="00644641">
          <w:rPr>
            <w:noProof/>
            <w:webHidden/>
          </w:rPr>
        </w:r>
        <w:r w:rsidR="00644641">
          <w:rPr>
            <w:noProof/>
            <w:webHidden/>
          </w:rPr>
          <w:fldChar w:fldCharType="separate"/>
        </w:r>
        <w:r>
          <w:rPr>
            <w:noProof/>
            <w:webHidden/>
          </w:rPr>
          <w:t>31</w:t>
        </w:r>
        <w:r w:rsidR="00644641">
          <w:rPr>
            <w:noProof/>
            <w:webHidden/>
          </w:rPr>
          <w:fldChar w:fldCharType="end"/>
        </w:r>
      </w:hyperlink>
    </w:p>
    <w:p w14:paraId="5750E3E6" w14:textId="677E9D79" w:rsidR="00644641" w:rsidRDefault="00422361">
      <w:pPr>
        <w:pStyle w:val="TOC3"/>
        <w:rPr>
          <w:rFonts w:asciiTheme="minorHAnsi" w:eastAsiaTheme="minorEastAsia" w:hAnsiTheme="minorHAnsi" w:cstheme="minorBidi"/>
          <w:noProof/>
          <w:sz w:val="22"/>
          <w:szCs w:val="22"/>
          <w:lang w:eastAsia="en-NZ"/>
        </w:rPr>
      </w:pPr>
      <w:hyperlink w:anchor="_Toc66716209" w:history="1">
        <w:r w:rsidR="00644641" w:rsidRPr="00121E2D">
          <w:rPr>
            <w:rStyle w:val="Hyperlink"/>
            <w:noProof/>
          </w:rPr>
          <w:t>Figure 27: Average percentage of family/whānau consultation across all assessment/treatment events, by DHB, 1 January to 31 December 2018</w:t>
        </w:r>
        <w:r w:rsidR="00644641">
          <w:rPr>
            <w:noProof/>
            <w:webHidden/>
          </w:rPr>
          <w:tab/>
        </w:r>
        <w:r w:rsidR="00644641">
          <w:rPr>
            <w:noProof/>
            <w:webHidden/>
          </w:rPr>
          <w:fldChar w:fldCharType="begin"/>
        </w:r>
        <w:r w:rsidR="00644641">
          <w:rPr>
            <w:noProof/>
            <w:webHidden/>
          </w:rPr>
          <w:instrText xml:space="preserve"> PAGEREF _Toc66716209 \h </w:instrText>
        </w:r>
        <w:r w:rsidR="00644641">
          <w:rPr>
            <w:noProof/>
            <w:webHidden/>
          </w:rPr>
        </w:r>
        <w:r w:rsidR="00644641">
          <w:rPr>
            <w:noProof/>
            <w:webHidden/>
          </w:rPr>
          <w:fldChar w:fldCharType="separate"/>
        </w:r>
        <w:r>
          <w:rPr>
            <w:noProof/>
            <w:webHidden/>
          </w:rPr>
          <w:t>32</w:t>
        </w:r>
        <w:r w:rsidR="00644641">
          <w:rPr>
            <w:noProof/>
            <w:webHidden/>
          </w:rPr>
          <w:fldChar w:fldCharType="end"/>
        </w:r>
      </w:hyperlink>
    </w:p>
    <w:p w14:paraId="5543DAAD" w14:textId="723F66E5" w:rsidR="00644641" w:rsidRDefault="00422361">
      <w:pPr>
        <w:pStyle w:val="TOC3"/>
        <w:rPr>
          <w:rFonts w:asciiTheme="minorHAnsi" w:eastAsiaTheme="minorEastAsia" w:hAnsiTheme="minorHAnsi" w:cstheme="minorBidi"/>
          <w:noProof/>
          <w:sz w:val="22"/>
          <w:szCs w:val="22"/>
          <w:lang w:eastAsia="en-NZ"/>
        </w:rPr>
      </w:pPr>
      <w:hyperlink w:anchor="_Toc66716210" w:history="1">
        <w:r w:rsidR="00644641" w:rsidRPr="00121E2D">
          <w:rPr>
            <w:rStyle w:val="Hyperlink"/>
            <w:noProof/>
          </w:rPr>
          <w:t>Figure 28: Average percentage of family/whānau consultation across all assessment/treatment events, by DHB, 1 January to 31 December 2019</w:t>
        </w:r>
        <w:r w:rsidR="00644641">
          <w:rPr>
            <w:noProof/>
            <w:webHidden/>
          </w:rPr>
          <w:tab/>
        </w:r>
        <w:r w:rsidR="00644641">
          <w:rPr>
            <w:noProof/>
            <w:webHidden/>
          </w:rPr>
          <w:fldChar w:fldCharType="begin"/>
        </w:r>
        <w:r w:rsidR="00644641">
          <w:rPr>
            <w:noProof/>
            <w:webHidden/>
          </w:rPr>
          <w:instrText xml:space="preserve"> PAGEREF _Toc66716210 \h </w:instrText>
        </w:r>
        <w:r w:rsidR="00644641">
          <w:rPr>
            <w:noProof/>
            <w:webHidden/>
          </w:rPr>
        </w:r>
        <w:r w:rsidR="00644641">
          <w:rPr>
            <w:noProof/>
            <w:webHidden/>
          </w:rPr>
          <w:fldChar w:fldCharType="separate"/>
        </w:r>
        <w:r>
          <w:rPr>
            <w:noProof/>
            <w:webHidden/>
          </w:rPr>
          <w:t>33</w:t>
        </w:r>
        <w:r w:rsidR="00644641">
          <w:rPr>
            <w:noProof/>
            <w:webHidden/>
          </w:rPr>
          <w:fldChar w:fldCharType="end"/>
        </w:r>
      </w:hyperlink>
    </w:p>
    <w:p w14:paraId="2728FCCF" w14:textId="19DB204F" w:rsidR="00644641" w:rsidRDefault="00422361">
      <w:pPr>
        <w:pStyle w:val="TOC3"/>
        <w:rPr>
          <w:rFonts w:asciiTheme="minorHAnsi" w:eastAsiaTheme="minorEastAsia" w:hAnsiTheme="minorHAnsi" w:cstheme="minorBidi"/>
          <w:noProof/>
          <w:sz w:val="22"/>
          <w:szCs w:val="22"/>
          <w:lang w:eastAsia="en-NZ"/>
        </w:rPr>
      </w:pPr>
      <w:hyperlink w:anchor="_Toc66716211" w:history="1">
        <w:r w:rsidR="00644641" w:rsidRPr="00121E2D">
          <w:rPr>
            <w:rStyle w:val="Hyperlink"/>
            <w:noProof/>
          </w:rPr>
          <w:t>Figure 29: Reasons for not consulting families and whānau, 1 January to 31 December 2018</w:t>
        </w:r>
        <w:r w:rsidR="00644641">
          <w:rPr>
            <w:noProof/>
            <w:webHidden/>
          </w:rPr>
          <w:tab/>
        </w:r>
        <w:r w:rsidR="00644641">
          <w:rPr>
            <w:noProof/>
            <w:webHidden/>
          </w:rPr>
          <w:fldChar w:fldCharType="begin"/>
        </w:r>
        <w:r w:rsidR="00644641">
          <w:rPr>
            <w:noProof/>
            <w:webHidden/>
          </w:rPr>
          <w:instrText xml:space="preserve"> PAGEREF _Toc66716211 \h </w:instrText>
        </w:r>
        <w:r w:rsidR="00644641">
          <w:rPr>
            <w:noProof/>
            <w:webHidden/>
          </w:rPr>
        </w:r>
        <w:r w:rsidR="00644641">
          <w:rPr>
            <w:noProof/>
            <w:webHidden/>
          </w:rPr>
          <w:fldChar w:fldCharType="separate"/>
        </w:r>
        <w:r>
          <w:rPr>
            <w:noProof/>
            <w:webHidden/>
          </w:rPr>
          <w:t>33</w:t>
        </w:r>
        <w:r w:rsidR="00644641">
          <w:rPr>
            <w:noProof/>
            <w:webHidden/>
          </w:rPr>
          <w:fldChar w:fldCharType="end"/>
        </w:r>
      </w:hyperlink>
    </w:p>
    <w:p w14:paraId="6A77627F" w14:textId="0BCF6A65" w:rsidR="00644641" w:rsidRDefault="00422361">
      <w:pPr>
        <w:pStyle w:val="TOC3"/>
        <w:rPr>
          <w:rFonts w:asciiTheme="minorHAnsi" w:eastAsiaTheme="minorEastAsia" w:hAnsiTheme="minorHAnsi" w:cstheme="minorBidi"/>
          <w:noProof/>
          <w:sz w:val="22"/>
          <w:szCs w:val="22"/>
          <w:lang w:eastAsia="en-NZ"/>
        </w:rPr>
      </w:pPr>
      <w:hyperlink w:anchor="_Toc66716212" w:history="1">
        <w:r w:rsidR="00644641" w:rsidRPr="00121E2D">
          <w:rPr>
            <w:rStyle w:val="Hyperlink"/>
            <w:noProof/>
          </w:rPr>
          <w:t>Figure 30: Reasons for not consulting families and whānau, 1 January to 31 December 2019</w:t>
        </w:r>
        <w:r w:rsidR="00644641">
          <w:rPr>
            <w:noProof/>
            <w:webHidden/>
          </w:rPr>
          <w:tab/>
        </w:r>
        <w:r w:rsidR="00644641">
          <w:rPr>
            <w:noProof/>
            <w:webHidden/>
          </w:rPr>
          <w:fldChar w:fldCharType="begin"/>
        </w:r>
        <w:r w:rsidR="00644641">
          <w:rPr>
            <w:noProof/>
            <w:webHidden/>
          </w:rPr>
          <w:instrText xml:space="preserve"> PAGEREF _Toc66716212 \h </w:instrText>
        </w:r>
        <w:r w:rsidR="00644641">
          <w:rPr>
            <w:noProof/>
            <w:webHidden/>
          </w:rPr>
        </w:r>
        <w:r w:rsidR="00644641">
          <w:rPr>
            <w:noProof/>
            <w:webHidden/>
          </w:rPr>
          <w:fldChar w:fldCharType="separate"/>
        </w:r>
        <w:r>
          <w:rPr>
            <w:noProof/>
            <w:webHidden/>
          </w:rPr>
          <w:t>34</w:t>
        </w:r>
        <w:r w:rsidR="00644641">
          <w:rPr>
            <w:noProof/>
            <w:webHidden/>
          </w:rPr>
          <w:fldChar w:fldCharType="end"/>
        </w:r>
      </w:hyperlink>
    </w:p>
    <w:p w14:paraId="010A7F0D" w14:textId="110DB272" w:rsidR="00644641" w:rsidRDefault="00422361">
      <w:pPr>
        <w:pStyle w:val="TOC3"/>
        <w:rPr>
          <w:rFonts w:asciiTheme="minorHAnsi" w:eastAsiaTheme="minorEastAsia" w:hAnsiTheme="minorHAnsi" w:cstheme="minorBidi"/>
          <w:noProof/>
          <w:sz w:val="22"/>
          <w:szCs w:val="22"/>
          <w:lang w:eastAsia="en-NZ"/>
        </w:rPr>
      </w:pPr>
      <w:hyperlink w:anchor="_Toc66716213" w:history="1">
        <w:r w:rsidR="00644641" w:rsidRPr="00121E2D">
          <w:rPr>
            <w:rStyle w:val="Hyperlink"/>
            <w:noProof/>
          </w:rPr>
          <w:t>Figure 31: Number of people secluded in adult inpatient services nationally, 2007–2019</w:t>
        </w:r>
        <w:r w:rsidR="00644641">
          <w:rPr>
            <w:noProof/>
            <w:webHidden/>
          </w:rPr>
          <w:tab/>
        </w:r>
        <w:r w:rsidR="00644641">
          <w:rPr>
            <w:noProof/>
            <w:webHidden/>
          </w:rPr>
          <w:fldChar w:fldCharType="begin"/>
        </w:r>
        <w:r w:rsidR="00644641">
          <w:rPr>
            <w:noProof/>
            <w:webHidden/>
          </w:rPr>
          <w:instrText xml:space="preserve"> PAGEREF _Toc66716213 \h </w:instrText>
        </w:r>
        <w:r w:rsidR="00644641">
          <w:rPr>
            <w:noProof/>
            <w:webHidden/>
          </w:rPr>
        </w:r>
        <w:r w:rsidR="00644641">
          <w:rPr>
            <w:noProof/>
            <w:webHidden/>
          </w:rPr>
          <w:fldChar w:fldCharType="separate"/>
        </w:r>
        <w:r>
          <w:rPr>
            <w:noProof/>
            <w:webHidden/>
          </w:rPr>
          <w:t>36</w:t>
        </w:r>
        <w:r w:rsidR="00644641">
          <w:rPr>
            <w:noProof/>
            <w:webHidden/>
          </w:rPr>
          <w:fldChar w:fldCharType="end"/>
        </w:r>
      </w:hyperlink>
    </w:p>
    <w:p w14:paraId="0AB8D232" w14:textId="301A7825" w:rsidR="00644641" w:rsidRDefault="00422361">
      <w:pPr>
        <w:pStyle w:val="TOC3"/>
        <w:rPr>
          <w:rFonts w:asciiTheme="minorHAnsi" w:eastAsiaTheme="minorEastAsia" w:hAnsiTheme="minorHAnsi" w:cstheme="minorBidi"/>
          <w:noProof/>
          <w:sz w:val="22"/>
          <w:szCs w:val="22"/>
          <w:lang w:eastAsia="en-NZ"/>
        </w:rPr>
      </w:pPr>
      <w:hyperlink w:anchor="_Toc66716214" w:history="1">
        <w:r w:rsidR="00644641" w:rsidRPr="00121E2D">
          <w:rPr>
            <w:rStyle w:val="Hyperlink"/>
            <w:noProof/>
          </w:rPr>
          <w:t>Figure 32: Total number of seclusion hours in adult inpatient services nationally, 2007–2019</w:t>
        </w:r>
        <w:r w:rsidR="00644641">
          <w:rPr>
            <w:noProof/>
            <w:webHidden/>
          </w:rPr>
          <w:tab/>
        </w:r>
        <w:r w:rsidR="00644641">
          <w:rPr>
            <w:noProof/>
            <w:webHidden/>
          </w:rPr>
          <w:fldChar w:fldCharType="begin"/>
        </w:r>
        <w:r w:rsidR="00644641">
          <w:rPr>
            <w:noProof/>
            <w:webHidden/>
          </w:rPr>
          <w:instrText xml:space="preserve"> PAGEREF _Toc66716214 \h </w:instrText>
        </w:r>
        <w:r w:rsidR="00644641">
          <w:rPr>
            <w:noProof/>
            <w:webHidden/>
          </w:rPr>
        </w:r>
        <w:r w:rsidR="00644641">
          <w:rPr>
            <w:noProof/>
            <w:webHidden/>
          </w:rPr>
          <w:fldChar w:fldCharType="separate"/>
        </w:r>
        <w:r>
          <w:rPr>
            <w:noProof/>
            <w:webHidden/>
          </w:rPr>
          <w:t>37</w:t>
        </w:r>
        <w:r w:rsidR="00644641">
          <w:rPr>
            <w:noProof/>
            <w:webHidden/>
          </w:rPr>
          <w:fldChar w:fldCharType="end"/>
        </w:r>
      </w:hyperlink>
    </w:p>
    <w:p w14:paraId="6F646BAE" w14:textId="03836090" w:rsidR="00644641" w:rsidRDefault="00422361">
      <w:pPr>
        <w:pStyle w:val="TOC3"/>
        <w:rPr>
          <w:rFonts w:asciiTheme="minorHAnsi" w:eastAsiaTheme="minorEastAsia" w:hAnsiTheme="minorHAnsi" w:cstheme="minorBidi"/>
          <w:noProof/>
          <w:sz w:val="22"/>
          <w:szCs w:val="22"/>
          <w:lang w:eastAsia="en-NZ"/>
        </w:rPr>
      </w:pPr>
      <w:hyperlink w:anchor="_Toc66716215" w:history="1">
        <w:r w:rsidR="00644641" w:rsidRPr="00121E2D">
          <w:rPr>
            <w:rStyle w:val="Hyperlink"/>
            <w:noProof/>
          </w:rPr>
          <w:t>Figure 33: Number of people secluded across all inpatient services (adult, forensic, intellectual disability and youth), by age group, 1 January to 31 December 2018</w:t>
        </w:r>
        <w:r w:rsidR="00644641">
          <w:rPr>
            <w:noProof/>
            <w:webHidden/>
          </w:rPr>
          <w:tab/>
        </w:r>
        <w:r w:rsidR="00644641">
          <w:rPr>
            <w:noProof/>
            <w:webHidden/>
          </w:rPr>
          <w:fldChar w:fldCharType="begin"/>
        </w:r>
        <w:r w:rsidR="00644641">
          <w:rPr>
            <w:noProof/>
            <w:webHidden/>
          </w:rPr>
          <w:instrText xml:space="preserve"> PAGEREF _Toc66716215 \h </w:instrText>
        </w:r>
        <w:r w:rsidR="00644641">
          <w:rPr>
            <w:noProof/>
            <w:webHidden/>
          </w:rPr>
        </w:r>
        <w:r w:rsidR="00644641">
          <w:rPr>
            <w:noProof/>
            <w:webHidden/>
          </w:rPr>
          <w:fldChar w:fldCharType="separate"/>
        </w:r>
        <w:r>
          <w:rPr>
            <w:noProof/>
            <w:webHidden/>
          </w:rPr>
          <w:t>38</w:t>
        </w:r>
        <w:r w:rsidR="00644641">
          <w:rPr>
            <w:noProof/>
            <w:webHidden/>
          </w:rPr>
          <w:fldChar w:fldCharType="end"/>
        </w:r>
      </w:hyperlink>
    </w:p>
    <w:p w14:paraId="7A83DB4B" w14:textId="6FBBDBB0" w:rsidR="00644641" w:rsidRDefault="00422361">
      <w:pPr>
        <w:pStyle w:val="TOC3"/>
        <w:rPr>
          <w:rFonts w:asciiTheme="minorHAnsi" w:eastAsiaTheme="minorEastAsia" w:hAnsiTheme="minorHAnsi" w:cstheme="minorBidi"/>
          <w:noProof/>
          <w:sz w:val="22"/>
          <w:szCs w:val="22"/>
          <w:lang w:eastAsia="en-NZ"/>
        </w:rPr>
      </w:pPr>
      <w:hyperlink w:anchor="_Toc66716216" w:history="1">
        <w:r w:rsidR="00644641" w:rsidRPr="00121E2D">
          <w:rPr>
            <w:rStyle w:val="Hyperlink"/>
            <w:noProof/>
          </w:rPr>
          <w:t>Figure 34: Number of people secluded across all inpatient services (adult, forensic, intellectual disability and youth), by age group, 1 January to 31 December 2019</w:t>
        </w:r>
        <w:r w:rsidR="00644641">
          <w:rPr>
            <w:noProof/>
            <w:webHidden/>
          </w:rPr>
          <w:tab/>
        </w:r>
        <w:r w:rsidR="00644641">
          <w:rPr>
            <w:noProof/>
            <w:webHidden/>
          </w:rPr>
          <w:fldChar w:fldCharType="begin"/>
        </w:r>
        <w:r w:rsidR="00644641">
          <w:rPr>
            <w:noProof/>
            <w:webHidden/>
          </w:rPr>
          <w:instrText xml:space="preserve"> PAGEREF _Toc66716216 \h </w:instrText>
        </w:r>
        <w:r w:rsidR="00644641">
          <w:rPr>
            <w:noProof/>
            <w:webHidden/>
          </w:rPr>
        </w:r>
        <w:r w:rsidR="00644641">
          <w:rPr>
            <w:noProof/>
            <w:webHidden/>
          </w:rPr>
          <w:fldChar w:fldCharType="separate"/>
        </w:r>
        <w:r>
          <w:rPr>
            <w:noProof/>
            <w:webHidden/>
          </w:rPr>
          <w:t>39</w:t>
        </w:r>
        <w:r w:rsidR="00644641">
          <w:rPr>
            <w:noProof/>
            <w:webHidden/>
          </w:rPr>
          <w:fldChar w:fldCharType="end"/>
        </w:r>
      </w:hyperlink>
    </w:p>
    <w:p w14:paraId="2F80D631" w14:textId="20A00BE5" w:rsidR="00644641" w:rsidRDefault="00422361">
      <w:pPr>
        <w:pStyle w:val="TOC3"/>
        <w:rPr>
          <w:rFonts w:asciiTheme="minorHAnsi" w:eastAsiaTheme="minorEastAsia" w:hAnsiTheme="minorHAnsi" w:cstheme="minorBidi"/>
          <w:noProof/>
          <w:sz w:val="22"/>
          <w:szCs w:val="22"/>
          <w:lang w:eastAsia="en-NZ"/>
        </w:rPr>
      </w:pPr>
      <w:hyperlink w:anchor="_Toc66716217" w:history="1">
        <w:r w:rsidR="00644641" w:rsidRPr="00121E2D">
          <w:rPr>
            <w:rStyle w:val="Hyperlink"/>
            <w:noProof/>
          </w:rPr>
          <w:t>Figure 35: Number of seclusion events across all inpatient services (adult, forensic, intellectual disability and youth), by duration of event, 1 January to 31 December 2018</w:t>
        </w:r>
        <w:r w:rsidR="00644641">
          <w:rPr>
            <w:noProof/>
            <w:webHidden/>
          </w:rPr>
          <w:tab/>
        </w:r>
        <w:r w:rsidR="00644641">
          <w:rPr>
            <w:noProof/>
            <w:webHidden/>
          </w:rPr>
          <w:fldChar w:fldCharType="begin"/>
        </w:r>
        <w:r w:rsidR="00644641">
          <w:rPr>
            <w:noProof/>
            <w:webHidden/>
          </w:rPr>
          <w:instrText xml:space="preserve"> PAGEREF _Toc66716217 \h </w:instrText>
        </w:r>
        <w:r w:rsidR="00644641">
          <w:rPr>
            <w:noProof/>
            <w:webHidden/>
          </w:rPr>
        </w:r>
        <w:r w:rsidR="00644641">
          <w:rPr>
            <w:noProof/>
            <w:webHidden/>
          </w:rPr>
          <w:fldChar w:fldCharType="separate"/>
        </w:r>
        <w:r>
          <w:rPr>
            <w:noProof/>
            <w:webHidden/>
          </w:rPr>
          <w:t>39</w:t>
        </w:r>
        <w:r w:rsidR="00644641">
          <w:rPr>
            <w:noProof/>
            <w:webHidden/>
          </w:rPr>
          <w:fldChar w:fldCharType="end"/>
        </w:r>
      </w:hyperlink>
    </w:p>
    <w:p w14:paraId="7CA5D8B5" w14:textId="75B66DF2" w:rsidR="00644641" w:rsidRDefault="00422361">
      <w:pPr>
        <w:pStyle w:val="TOC3"/>
        <w:rPr>
          <w:rFonts w:asciiTheme="minorHAnsi" w:eastAsiaTheme="minorEastAsia" w:hAnsiTheme="minorHAnsi" w:cstheme="minorBidi"/>
          <w:noProof/>
          <w:sz w:val="22"/>
          <w:szCs w:val="22"/>
          <w:lang w:eastAsia="en-NZ"/>
        </w:rPr>
      </w:pPr>
      <w:hyperlink w:anchor="_Toc66716218" w:history="1">
        <w:r w:rsidR="00644641" w:rsidRPr="00121E2D">
          <w:rPr>
            <w:rStyle w:val="Hyperlink"/>
            <w:noProof/>
          </w:rPr>
          <w:t>Figure 36: Number of seclusion events across all inpatient services (adult, forensic, intellectual disability and youth), by duration of event, 1 January to 31 December 2019</w:t>
        </w:r>
        <w:r w:rsidR="00644641">
          <w:rPr>
            <w:noProof/>
            <w:webHidden/>
          </w:rPr>
          <w:tab/>
        </w:r>
        <w:r w:rsidR="00644641">
          <w:rPr>
            <w:noProof/>
            <w:webHidden/>
          </w:rPr>
          <w:fldChar w:fldCharType="begin"/>
        </w:r>
        <w:r w:rsidR="00644641">
          <w:rPr>
            <w:noProof/>
            <w:webHidden/>
          </w:rPr>
          <w:instrText xml:space="preserve"> PAGEREF _Toc66716218 \h </w:instrText>
        </w:r>
        <w:r w:rsidR="00644641">
          <w:rPr>
            <w:noProof/>
            <w:webHidden/>
          </w:rPr>
        </w:r>
        <w:r w:rsidR="00644641">
          <w:rPr>
            <w:noProof/>
            <w:webHidden/>
          </w:rPr>
          <w:fldChar w:fldCharType="separate"/>
        </w:r>
        <w:r>
          <w:rPr>
            <w:noProof/>
            <w:webHidden/>
          </w:rPr>
          <w:t>40</w:t>
        </w:r>
        <w:r w:rsidR="00644641">
          <w:rPr>
            <w:noProof/>
            <w:webHidden/>
          </w:rPr>
          <w:fldChar w:fldCharType="end"/>
        </w:r>
      </w:hyperlink>
    </w:p>
    <w:p w14:paraId="01779FD4" w14:textId="3A677233" w:rsidR="00644641" w:rsidRDefault="00422361">
      <w:pPr>
        <w:pStyle w:val="TOC3"/>
        <w:rPr>
          <w:rFonts w:asciiTheme="minorHAnsi" w:eastAsiaTheme="minorEastAsia" w:hAnsiTheme="minorHAnsi" w:cstheme="minorBidi"/>
          <w:noProof/>
          <w:sz w:val="22"/>
          <w:szCs w:val="22"/>
          <w:lang w:eastAsia="en-NZ"/>
        </w:rPr>
      </w:pPr>
      <w:hyperlink w:anchor="_Toc66716219" w:history="1">
        <w:r w:rsidR="00644641" w:rsidRPr="00121E2D">
          <w:rPr>
            <w:rStyle w:val="Hyperlink"/>
            <w:noProof/>
          </w:rPr>
          <w:t>Figure 37: Number of people secluded in adult inpatient services per 100,000 population, by DHB, 1 January to 31 December 2018</w:t>
        </w:r>
        <w:r w:rsidR="00644641">
          <w:rPr>
            <w:noProof/>
            <w:webHidden/>
          </w:rPr>
          <w:tab/>
        </w:r>
        <w:r w:rsidR="00644641">
          <w:rPr>
            <w:noProof/>
            <w:webHidden/>
          </w:rPr>
          <w:fldChar w:fldCharType="begin"/>
        </w:r>
        <w:r w:rsidR="00644641">
          <w:rPr>
            <w:noProof/>
            <w:webHidden/>
          </w:rPr>
          <w:instrText xml:space="preserve"> PAGEREF _Toc66716219 \h </w:instrText>
        </w:r>
        <w:r w:rsidR="00644641">
          <w:rPr>
            <w:noProof/>
            <w:webHidden/>
          </w:rPr>
        </w:r>
        <w:r w:rsidR="00644641">
          <w:rPr>
            <w:noProof/>
            <w:webHidden/>
          </w:rPr>
          <w:fldChar w:fldCharType="separate"/>
        </w:r>
        <w:r>
          <w:rPr>
            <w:noProof/>
            <w:webHidden/>
          </w:rPr>
          <w:t>41</w:t>
        </w:r>
        <w:r w:rsidR="00644641">
          <w:rPr>
            <w:noProof/>
            <w:webHidden/>
          </w:rPr>
          <w:fldChar w:fldCharType="end"/>
        </w:r>
      </w:hyperlink>
    </w:p>
    <w:p w14:paraId="653B3618" w14:textId="43DFB89D" w:rsidR="00644641" w:rsidRDefault="00422361">
      <w:pPr>
        <w:pStyle w:val="TOC3"/>
        <w:rPr>
          <w:rFonts w:asciiTheme="minorHAnsi" w:eastAsiaTheme="minorEastAsia" w:hAnsiTheme="minorHAnsi" w:cstheme="minorBidi"/>
          <w:noProof/>
          <w:sz w:val="22"/>
          <w:szCs w:val="22"/>
          <w:lang w:eastAsia="en-NZ"/>
        </w:rPr>
      </w:pPr>
      <w:hyperlink w:anchor="_Toc66716220" w:history="1">
        <w:r w:rsidR="00644641" w:rsidRPr="00121E2D">
          <w:rPr>
            <w:rStyle w:val="Hyperlink"/>
            <w:noProof/>
          </w:rPr>
          <w:t>Figure 38: Number of people secluded in adult inpatient services per 100,000 population, by DHB, 1 January to 31 December 2019</w:t>
        </w:r>
        <w:r w:rsidR="00644641">
          <w:rPr>
            <w:noProof/>
            <w:webHidden/>
          </w:rPr>
          <w:tab/>
        </w:r>
        <w:r w:rsidR="00644641">
          <w:rPr>
            <w:noProof/>
            <w:webHidden/>
          </w:rPr>
          <w:fldChar w:fldCharType="begin"/>
        </w:r>
        <w:r w:rsidR="00644641">
          <w:rPr>
            <w:noProof/>
            <w:webHidden/>
          </w:rPr>
          <w:instrText xml:space="preserve"> PAGEREF _Toc66716220 \h </w:instrText>
        </w:r>
        <w:r w:rsidR="00644641">
          <w:rPr>
            <w:noProof/>
            <w:webHidden/>
          </w:rPr>
        </w:r>
        <w:r w:rsidR="00644641">
          <w:rPr>
            <w:noProof/>
            <w:webHidden/>
          </w:rPr>
          <w:fldChar w:fldCharType="separate"/>
        </w:r>
        <w:r>
          <w:rPr>
            <w:noProof/>
            <w:webHidden/>
          </w:rPr>
          <w:t>42</w:t>
        </w:r>
        <w:r w:rsidR="00644641">
          <w:rPr>
            <w:noProof/>
            <w:webHidden/>
          </w:rPr>
          <w:fldChar w:fldCharType="end"/>
        </w:r>
      </w:hyperlink>
    </w:p>
    <w:p w14:paraId="2B972BC2" w14:textId="1CD3E7A7" w:rsidR="00644641" w:rsidRDefault="00422361">
      <w:pPr>
        <w:pStyle w:val="TOC3"/>
        <w:rPr>
          <w:rFonts w:asciiTheme="minorHAnsi" w:eastAsiaTheme="minorEastAsia" w:hAnsiTheme="minorHAnsi" w:cstheme="minorBidi"/>
          <w:noProof/>
          <w:sz w:val="22"/>
          <w:szCs w:val="22"/>
          <w:lang w:eastAsia="en-NZ"/>
        </w:rPr>
      </w:pPr>
      <w:hyperlink w:anchor="_Toc66716221" w:history="1">
        <w:r w:rsidR="00644641" w:rsidRPr="00121E2D">
          <w:rPr>
            <w:rStyle w:val="Hyperlink"/>
            <w:noProof/>
          </w:rPr>
          <w:t>Figure 39: Number of seclusion events in adult inpatient services per 100,000 population, by DHB, 1 January to 31 December 2018</w:t>
        </w:r>
        <w:r w:rsidR="00644641">
          <w:rPr>
            <w:noProof/>
            <w:webHidden/>
          </w:rPr>
          <w:tab/>
        </w:r>
        <w:r w:rsidR="00644641">
          <w:rPr>
            <w:noProof/>
            <w:webHidden/>
          </w:rPr>
          <w:fldChar w:fldCharType="begin"/>
        </w:r>
        <w:r w:rsidR="00644641">
          <w:rPr>
            <w:noProof/>
            <w:webHidden/>
          </w:rPr>
          <w:instrText xml:space="preserve"> PAGEREF _Toc66716221 \h </w:instrText>
        </w:r>
        <w:r w:rsidR="00644641">
          <w:rPr>
            <w:noProof/>
            <w:webHidden/>
          </w:rPr>
        </w:r>
        <w:r w:rsidR="00644641">
          <w:rPr>
            <w:noProof/>
            <w:webHidden/>
          </w:rPr>
          <w:fldChar w:fldCharType="separate"/>
        </w:r>
        <w:r>
          <w:rPr>
            <w:noProof/>
            <w:webHidden/>
          </w:rPr>
          <w:t>43</w:t>
        </w:r>
        <w:r w:rsidR="00644641">
          <w:rPr>
            <w:noProof/>
            <w:webHidden/>
          </w:rPr>
          <w:fldChar w:fldCharType="end"/>
        </w:r>
      </w:hyperlink>
    </w:p>
    <w:p w14:paraId="61768C23" w14:textId="7D965663" w:rsidR="00644641" w:rsidRDefault="00422361">
      <w:pPr>
        <w:pStyle w:val="TOC3"/>
        <w:rPr>
          <w:rFonts w:asciiTheme="minorHAnsi" w:eastAsiaTheme="minorEastAsia" w:hAnsiTheme="minorHAnsi" w:cstheme="minorBidi"/>
          <w:noProof/>
          <w:sz w:val="22"/>
          <w:szCs w:val="22"/>
          <w:lang w:eastAsia="en-NZ"/>
        </w:rPr>
      </w:pPr>
      <w:hyperlink w:anchor="_Toc66716222" w:history="1">
        <w:r w:rsidR="00644641" w:rsidRPr="00121E2D">
          <w:rPr>
            <w:rStyle w:val="Hyperlink"/>
            <w:noProof/>
          </w:rPr>
          <w:t>Figure 40: Number of seclusion events in adult inpatient services per 100,000 population, by DHB, 1 January to 31 December 2019</w:t>
        </w:r>
        <w:r w:rsidR="00644641">
          <w:rPr>
            <w:noProof/>
            <w:webHidden/>
          </w:rPr>
          <w:tab/>
        </w:r>
        <w:r w:rsidR="00644641">
          <w:rPr>
            <w:noProof/>
            <w:webHidden/>
          </w:rPr>
          <w:fldChar w:fldCharType="begin"/>
        </w:r>
        <w:r w:rsidR="00644641">
          <w:rPr>
            <w:noProof/>
            <w:webHidden/>
          </w:rPr>
          <w:instrText xml:space="preserve"> PAGEREF _Toc66716222 \h </w:instrText>
        </w:r>
        <w:r w:rsidR="00644641">
          <w:rPr>
            <w:noProof/>
            <w:webHidden/>
          </w:rPr>
        </w:r>
        <w:r w:rsidR="00644641">
          <w:rPr>
            <w:noProof/>
            <w:webHidden/>
          </w:rPr>
          <w:fldChar w:fldCharType="separate"/>
        </w:r>
        <w:r>
          <w:rPr>
            <w:noProof/>
            <w:webHidden/>
          </w:rPr>
          <w:t>44</w:t>
        </w:r>
        <w:r w:rsidR="00644641">
          <w:rPr>
            <w:noProof/>
            <w:webHidden/>
          </w:rPr>
          <w:fldChar w:fldCharType="end"/>
        </w:r>
      </w:hyperlink>
    </w:p>
    <w:p w14:paraId="1BEB12AD" w14:textId="57B2506B" w:rsidR="00644641" w:rsidRDefault="00422361">
      <w:pPr>
        <w:pStyle w:val="TOC3"/>
        <w:rPr>
          <w:rFonts w:asciiTheme="minorHAnsi" w:eastAsiaTheme="minorEastAsia" w:hAnsiTheme="minorHAnsi" w:cstheme="minorBidi"/>
          <w:noProof/>
          <w:sz w:val="22"/>
          <w:szCs w:val="22"/>
          <w:lang w:eastAsia="en-NZ"/>
        </w:rPr>
      </w:pPr>
      <w:hyperlink w:anchor="_Toc66716223" w:history="1">
        <w:r w:rsidR="00644641" w:rsidRPr="00121E2D">
          <w:rPr>
            <w:rStyle w:val="Hyperlink"/>
            <w:noProof/>
          </w:rPr>
          <w:t>Figure 41: Seclusion indicators for adult inpatient services, Māori and non-Māori, 1 January to 31 December 2018</w:t>
        </w:r>
        <w:r w:rsidR="00644641">
          <w:rPr>
            <w:noProof/>
            <w:webHidden/>
          </w:rPr>
          <w:tab/>
        </w:r>
        <w:r w:rsidR="00644641">
          <w:rPr>
            <w:noProof/>
            <w:webHidden/>
          </w:rPr>
          <w:fldChar w:fldCharType="begin"/>
        </w:r>
        <w:r w:rsidR="00644641">
          <w:rPr>
            <w:noProof/>
            <w:webHidden/>
          </w:rPr>
          <w:instrText xml:space="preserve"> PAGEREF _Toc66716223 \h </w:instrText>
        </w:r>
        <w:r w:rsidR="00644641">
          <w:rPr>
            <w:noProof/>
            <w:webHidden/>
          </w:rPr>
        </w:r>
        <w:r w:rsidR="00644641">
          <w:rPr>
            <w:noProof/>
            <w:webHidden/>
          </w:rPr>
          <w:fldChar w:fldCharType="separate"/>
        </w:r>
        <w:r>
          <w:rPr>
            <w:noProof/>
            <w:webHidden/>
          </w:rPr>
          <w:t>45</w:t>
        </w:r>
        <w:r w:rsidR="00644641">
          <w:rPr>
            <w:noProof/>
            <w:webHidden/>
          </w:rPr>
          <w:fldChar w:fldCharType="end"/>
        </w:r>
      </w:hyperlink>
    </w:p>
    <w:p w14:paraId="24384945" w14:textId="7239B422" w:rsidR="00644641" w:rsidRDefault="00422361">
      <w:pPr>
        <w:pStyle w:val="TOC3"/>
        <w:rPr>
          <w:rFonts w:asciiTheme="minorHAnsi" w:eastAsiaTheme="minorEastAsia" w:hAnsiTheme="minorHAnsi" w:cstheme="minorBidi"/>
          <w:noProof/>
          <w:sz w:val="22"/>
          <w:szCs w:val="22"/>
          <w:lang w:eastAsia="en-NZ"/>
        </w:rPr>
      </w:pPr>
      <w:hyperlink w:anchor="_Toc66716224" w:history="1">
        <w:r w:rsidR="00644641" w:rsidRPr="00121E2D">
          <w:rPr>
            <w:rStyle w:val="Hyperlink"/>
            <w:noProof/>
          </w:rPr>
          <w:t>Figure 42: Seclusion indicators for adult inpatient services, Māori and non-Māori, 1 January to 31 December 2019</w:t>
        </w:r>
        <w:r w:rsidR="00644641">
          <w:rPr>
            <w:noProof/>
            <w:webHidden/>
          </w:rPr>
          <w:tab/>
        </w:r>
        <w:r w:rsidR="00644641">
          <w:rPr>
            <w:noProof/>
            <w:webHidden/>
          </w:rPr>
          <w:fldChar w:fldCharType="begin"/>
        </w:r>
        <w:r w:rsidR="00644641">
          <w:rPr>
            <w:noProof/>
            <w:webHidden/>
          </w:rPr>
          <w:instrText xml:space="preserve"> PAGEREF _Toc66716224 \h </w:instrText>
        </w:r>
        <w:r w:rsidR="00644641">
          <w:rPr>
            <w:noProof/>
            <w:webHidden/>
          </w:rPr>
        </w:r>
        <w:r w:rsidR="00644641">
          <w:rPr>
            <w:noProof/>
            <w:webHidden/>
          </w:rPr>
          <w:fldChar w:fldCharType="separate"/>
        </w:r>
        <w:r>
          <w:rPr>
            <w:noProof/>
            <w:webHidden/>
          </w:rPr>
          <w:t>45</w:t>
        </w:r>
        <w:r w:rsidR="00644641">
          <w:rPr>
            <w:noProof/>
            <w:webHidden/>
          </w:rPr>
          <w:fldChar w:fldCharType="end"/>
        </w:r>
      </w:hyperlink>
    </w:p>
    <w:p w14:paraId="1E5FAE6A" w14:textId="35DEA0AE" w:rsidR="00644641" w:rsidRDefault="00422361">
      <w:pPr>
        <w:pStyle w:val="TOC3"/>
        <w:rPr>
          <w:rFonts w:asciiTheme="minorHAnsi" w:eastAsiaTheme="minorEastAsia" w:hAnsiTheme="minorHAnsi" w:cstheme="minorBidi"/>
          <w:noProof/>
          <w:sz w:val="22"/>
          <w:szCs w:val="22"/>
          <w:lang w:eastAsia="en-NZ"/>
        </w:rPr>
      </w:pPr>
      <w:hyperlink w:anchor="_Toc66716225" w:history="1">
        <w:r w:rsidR="00644641" w:rsidRPr="00121E2D">
          <w:rPr>
            <w:rStyle w:val="Hyperlink"/>
            <w:noProof/>
          </w:rPr>
          <w:t>Figure 43: Percentage of people spending time in seclusion in adult inpatient services, Māori and non-Māori males and females, 1 January to 31 December 2018</w:t>
        </w:r>
        <w:r w:rsidR="00644641">
          <w:rPr>
            <w:noProof/>
            <w:webHidden/>
          </w:rPr>
          <w:tab/>
        </w:r>
        <w:r w:rsidR="00644641">
          <w:rPr>
            <w:noProof/>
            <w:webHidden/>
          </w:rPr>
          <w:fldChar w:fldCharType="begin"/>
        </w:r>
        <w:r w:rsidR="00644641">
          <w:rPr>
            <w:noProof/>
            <w:webHidden/>
          </w:rPr>
          <w:instrText xml:space="preserve"> PAGEREF _Toc66716225 \h </w:instrText>
        </w:r>
        <w:r w:rsidR="00644641">
          <w:rPr>
            <w:noProof/>
            <w:webHidden/>
          </w:rPr>
        </w:r>
        <w:r w:rsidR="00644641">
          <w:rPr>
            <w:noProof/>
            <w:webHidden/>
          </w:rPr>
          <w:fldChar w:fldCharType="separate"/>
        </w:r>
        <w:r>
          <w:rPr>
            <w:noProof/>
            <w:webHidden/>
          </w:rPr>
          <w:t>46</w:t>
        </w:r>
        <w:r w:rsidR="00644641">
          <w:rPr>
            <w:noProof/>
            <w:webHidden/>
          </w:rPr>
          <w:fldChar w:fldCharType="end"/>
        </w:r>
      </w:hyperlink>
    </w:p>
    <w:p w14:paraId="57B2E3E2" w14:textId="434A4B90" w:rsidR="00644641" w:rsidRDefault="00422361">
      <w:pPr>
        <w:pStyle w:val="TOC3"/>
        <w:rPr>
          <w:rFonts w:asciiTheme="minorHAnsi" w:eastAsiaTheme="minorEastAsia" w:hAnsiTheme="minorHAnsi" w:cstheme="minorBidi"/>
          <w:noProof/>
          <w:sz w:val="22"/>
          <w:szCs w:val="22"/>
          <w:lang w:eastAsia="en-NZ"/>
        </w:rPr>
      </w:pPr>
      <w:hyperlink w:anchor="_Toc66716226" w:history="1">
        <w:r w:rsidR="00644641" w:rsidRPr="00121E2D">
          <w:rPr>
            <w:rStyle w:val="Hyperlink"/>
            <w:noProof/>
          </w:rPr>
          <w:t>Figure 44: Percentage of people spending time in seclusion in adult inpatient services, Māori and non-Māori males and females, 1 January to 31 December 2019</w:t>
        </w:r>
        <w:r w:rsidR="00644641">
          <w:rPr>
            <w:noProof/>
            <w:webHidden/>
          </w:rPr>
          <w:tab/>
        </w:r>
        <w:r w:rsidR="00644641">
          <w:rPr>
            <w:noProof/>
            <w:webHidden/>
          </w:rPr>
          <w:fldChar w:fldCharType="begin"/>
        </w:r>
        <w:r w:rsidR="00644641">
          <w:rPr>
            <w:noProof/>
            <w:webHidden/>
          </w:rPr>
          <w:instrText xml:space="preserve"> PAGEREF _Toc66716226 \h </w:instrText>
        </w:r>
        <w:r w:rsidR="00644641">
          <w:rPr>
            <w:noProof/>
            <w:webHidden/>
          </w:rPr>
        </w:r>
        <w:r w:rsidR="00644641">
          <w:rPr>
            <w:noProof/>
            <w:webHidden/>
          </w:rPr>
          <w:fldChar w:fldCharType="separate"/>
        </w:r>
        <w:r>
          <w:rPr>
            <w:noProof/>
            <w:webHidden/>
          </w:rPr>
          <w:t>46</w:t>
        </w:r>
        <w:r w:rsidR="00644641">
          <w:rPr>
            <w:noProof/>
            <w:webHidden/>
          </w:rPr>
          <w:fldChar w:fldCharType="end"/>
        </w:r>
      </w:hyperlink>
    </w:p>
    <w:p w14:paraId="04DD4AF8" w14:textId="388DCC78" w:rsidR="00644641" w:rsidRDefault="00422361">
      <w:pPr>
        <w:pStyle w:val="TOC3"/>
        <w:rPr>
          <w:rFonts w:asciiTheme="minorHAnsi" w:eastAsiaTheme="minorEastAsia" w:hAnsiTheme="minorHAnsi" w:cstheme="minorBidi"/>
          <w:noProof/>
          <w:sz w:val="22"/>
          <w:szCs w:val="22"/>
          <w:lang w:eastAsia="en-NZ"/>
        </w:rPr>
      </w:pPr>
      <w:hyperlink w:anchor="_Toc66716227" w:history="1">
        <w:r w:rsidR="00644641" w:rsidRPr="00121E2D">
          <w:rPr>
            <w:rStyle w:val="Hyperlink"/>
            <w:noProof/>
          </w:rPr>
          <w:t>Figure 45: Number of Māori and non-Māori aged 20–64 years secluded in adult inpatient services, 2007–2019</w:t>
        </w:r>
        <w:r w:rsidR="00644641">
          <w:rPr>
            <w:noProof/>
            <w:webHidden/>
          </w:rPr>
          <w:tab/>
        </w:r>
        <w:r w:rsidR="00644641">
          <w:rPr>
            <w:noProof/>
            <w:webHidden/>
          </w:rPr>
          <w:fldChar w:fldCharType="begin"/>
        </w:r>
        <w:r w:rsidR="00644641">
          <w:rPr>
            <w:noProof/>
            <w:webHidden/>
          </w:rPr>
          <w:instrText xml:space="preserve"> PAGEREF _Toc66716227 \h </w:instrText>
        </w:r>
        <w:r w:rsidR="00644641">
          <w:rPr>
            <w:noProof/>
            <w:webHidden/>
          </w:rPr>
        </w:r>
        <w:r w:rsidR="00644641">
          <w:rPr>
            <w:noProof/>
            <w:webHidden/>
          </w:rPr>
          <w:fldChar w:fldCharType="separate"/>
        </w:r>
        <w:r>
          <w:rPr>
            <w:noProof/>
            <w:webHidden/>
          </w:rPr>
          <w:t>47</w:t>
        </w:r>
        <w:r w:rsidR="00644641">
          <w:rPr>
            <w:noProof/>
            <w:webHidden/>
          </w:rPr>
          <w:fldChar w:fldCharType="end"/>
        </w:r>
      </w:hyperlink>
    </w:p>
    <w:p w14:paraId="3891B4DB" w14:textId="50734871" w:rsidR="00644641" w:rsidRDefault="00422361">
      <w:pPr>
        <w:pStyle w:val="TOC3"/>
        <w:rPr>
          <w:rFonts w:asciiTheme="minorHAnsi" w:eastAsiaTheme="minorEastAsia" w:hAnsiTheme="minorHAnsi" w:cstheme="minorBidi"/>
          <w:noProof/>
          <w:sz w:val="22"/>
          <w:szCs w:val="22"/>
          <w:lang w:eastAsia="en-NZ"/>
        </w:rPr>
      </w:pPr>
      <w:hyperlink w:anchor="_Toc66716228" w:history="1">
        <w:r w:rsidR="00644641" w:rsidRPr="00121E2D">
          <w:rPr>
            <w:rStyle w:val="Hyperlink"/>
            <w:noProof/>
          </w:rPr>
          <w:t>Figure 46: Total number of special patients, by DHB, 1 January to 31 December 2018</w:t>
        </w:r>
        <w:r w:rsidR="00644641">
          <w:rPr>
            <w:noProof/>
            <w:webHidden/>
          </w:rPr>
          <w:tab/>
        </w:r>
        <w:r w:rsidR="00644641">
          <w:rPr>
            <w:noProof/>
            <w:webHidden/>
          </w:rPr>
          <w:fldChar w:fldCharType="begin"/>
        </w:r>
        <w:r w:rsidR="00644641">
          <w:rPr>
            <w:noProof/>
            <w:webHidden/>
          </w:rPr>
          <w:instrText xml:space="preserve"> PAGEREF _Toc66716228 \h </w:instrText>
        </w:r>
        <w:r w:rsidR="00644641">
          <w:rPr>
            <w:noProof/>
            <w:webHidden/>
          </w:rPr>
        </w:r>
        <w:r w:rsidR="00644641">
          <w:rPr>
            <w:noProof/>
            <w:webHidden/>
          </w:rPr>
          <w:fldChar w:fldCharType="separate"/>
        </w:r>
        <w:r>
          <w:rPr>
            <w:noProof/>
            <w:webHidden/>
          </w:rPr>
          <w:t>49</w:t>
        </w:r>
        <w:r w:rsidR="00644641">
          <w:rPr>
            <w:noProof/>
            <w:webHidden/>
          </w:rPr>
          <w:fldChar w:fldCharType="end"/>
        </w:r>
      </w:hyperlink>
    </w:p>
    <w:p w14:paraId="48D40834" w14:textId="5DEF1CEC" w:rsidR="00644641" w:rsidRDefault="00422361">
      <w:pPr>
        <w:pStyle w:val="TOC3"/>
        <w:rPr>
          <w:rFonts w:asciiTheme="minorHAnsi" w:eastAsiaTheme="minorEastAsia" w:hAnsiTheme="minorHAnsi" w:cstheme="minorBidi"/>
          <w:noProof/>
          <w:sz w:val="22"/>
          <w:szCs w:val="22"/>
          <w:lang w:eastAsia="en-NZ"/>
        </w:rPr>
      </w:pPr>
      <w:hyperlink w:anchor="_Toc66716229" w:history="1">
        <w:r w:rsidR="00644641" w:rsidRPr="00121E2D">
          <w:rPr>
            <w:rStyle w:val="Hyperlink"/>
            <w:noProof/>
          </w:rPr>
          <w:t>Figure 47: Total number of special patients, by DHB, 1 January to 31 December 2019</w:t>
        </w:r>
        <w:r w:rsidR="00644641">
          <w:rPr>
            <w:noProof/>
            <w:webHidden/>
          </w:rPr>
          <w:tab/>
        </w:r>
        <w:r w:rsidR="00644641">
          <w:rPr>
            <w:noProof/>
            <w:webHidden/>
          </w:rPr>
          <w:fldChar w:fldCharType="begin"/>
        </w:r>
        <w:r w:rsidR="00644641">
          <w:rPr>
            <w:noProof/>
            <w:webHidden/>
          </w:rPr>
          <w:instrText xml:space="preserve"> PAGEREF _Toc66716229 \h </w:instrText>
        </w:r>
        <w:r w:rsidR="00644641">
          <w:rPr>
            <w:noProof/>
            <w:webHidden/>
          </w:rPr>
        </w:r>
        <w:r w:rsidR="00644641">
          <w:rPr>
            <w:noProof/>
            <w:webHidden/>
          </w:rPr>
          <w:fldChar w:fldCharType="separate"/>
        </w:r>
        <w:r>
          <w:rPr>
            <w:noProof/>
            <w:webHidden/>
          </w:rPr>
          <w:t>50</w:t>
        </w:r>
        <w:r w:rsidR="00644641">
          <w:rPr>
            <w:noProof/>
            <w:webHidden/>
          </w:rPr>
          <w:fldChar w:fldCharType="end"/>
        </w:r>
      </w:hyperlink>
    </w:p>
    <w:p w14:paraId="094B9A25" w14:textId="53DD262C" w:rsidR="00644641" w:rsidRDefault="00422361">
      <w:pPr>
        <w:pStyle w:val="TOC3"/>
        <w:rPr>
          <w:rFonts w:asciiTheme="minorHAnsi" w:eastAsiaTheme="minorEastAsia" w:hAnsiTheme="minorHAnsi" w:cstheme="minorBidi"/>
          <w:noProof/>
          <w:sz w:val="22"/>
          <w:szCs w:val="22"/>
          <w:lang w:eastAsia="en-NZ"/>
        </w:rPr>
      </w:pPr>
      <w:hyperlink w:anchor="_Toc66716230" w:history="1">
        <w:r w:rsidR="00644641" w:rsidRPr="00121E2D">
          <w:rPr>
            <w:rStyle w:val="Hyperlink"/>
            <w:noProof/>
          </w:rPr>
          <w:t>Figure 48: Percentage of court orders given for extended forensic care relative to short-term forensic care legal statuses, by DHB, 1 January to 31 December 2018</w:t>
        </w:r>
        <w:r w:rsidR="00644641">
          <w:rPr>
            <w:noProof/>
            <w:webHidden/>
          </w:rPr>
          <w:tab/>
        </w:r>
        <w:r w:rsidR="00644641">
          <w:rPr>
            <w:noProof/>
            <w:webHidden/>
          </w:rPr>
          <w:fldChar w:fldCharType="begin"/>
        </w:r>
        <w:r w:rsidR="00644641">
          <w:rPr>
            <w:noProof/>
            <w:webHidden/>
          </w:rPr>
          <w:instrText xml:space="preserve"> PAGEREF _Toc66716230 \h </w:instrText>
        </w:r>
        <w:r w:rsidR="00644641">
          <w:rPr>
            <w:noProof/>
            <w:webHidden/>
          </w:rPr>
        </w:r>
        <w:r w:rsidR="00644641">
          <w:rPr>
            <w:noProof/>
            <w:webHidden/>
          </w:rPr>
          <w:fldChar w:fldCharType="separate"/>
        </w:r>
        <w:r>
          <w:rPr>
            <w:noProof/>
            <w:webHidden/>
          </w:rPr>
          <w:t>52</w:t>
        </w:r>
        <w:r w:rsidR="00644641">
          <w:rPr>
            <w:noProof/>
            <w:webHidden/>
          </w:rPr>
          <w:fldChar w:fldCharType="end"/>
        </w:r>
      </w:hyperlink>
    </w:p>
    <w:p w14:paraId="34653C75" w14:textId="4CC1872B" w:rsidR="00644641" w:rsidRDefault="00422361">
      <w:pPr>
        <w:pStyle w:val="TOC3"/>
        <w:rPr>
          <w:rFonts w:asciiTheme="minorHAnsi" w:eastAsiaTheme="minorEastAsia" w:hAnsiTheme="minorHAnsi" w:cstheme="minorBidi"/>
          <w:noProof/>
          <w:sz w:val="22"/>
          <w:szCs w:val="22"/>
          <w:lang w:eastAsia="en-NZ"/>
        </w:rPr>
      </w:pPr>
      <w:hyperlink w:anchor="_Toc66716231" w:history="1">
        <w:r w:rsidR="00644641" w:rsidRPr="00121E2D">
          <w:rPr>
            <w:rStyle w:val="Hyperlink"/>
            <w:noProof/>
          </w:rPr>
          <w:t>Figure 49: Percentage of court orders given for extended forensic care relative to short-term forensic care legal statuses, by DHB, 1 January to 31 December 2019</w:t>
        </w:r>
        <w:r w:rsidR="00644641">
          <w:rPr>
            <w:noProof/>
            <w:webHidden/>
          </w:rPr>
          <w:tab/>
        </w:r>
        <w:r w:rsidR="00644641">
          <w:rPr>
            <w:noProof/>
            <w:webHidden/>
          </w:rPr>
          <w:fldChar w:fldCharType="begin"/>
        </w:r>
        <w:r w:rsidR="00644641">
          <w:rPr>
            <w:noProof/>
            <w:webHidden/>
          </w:rPr>
          <w:instrText xml:space="preserve"> PAGEREF _Toc66716231 \h </w:instrText>
        </w:r>
        <w:r w:rsidR="00644641">
          <w:rPr>
            <w:noProof/>
            <w:webHidden/>
          </w:rPr>
        </w:r>
        <w:r w:rsidR="00644641">
          <w:rPr>
            <w:noProof/>
            <w:webHidden/>
          </w:rPr>
          <w:fldChar w:fldCharType="separate"/>
        </w:r>
        <w:r>
          <w:rPr>
            <w:noProof/>
            <w:webHidden/>
          </w:rPr>
          <w:t>52</w:t>
        </w:r>
        <w:r w:rsidR="00644641">
          <w:rPr>
            <w:noProof/>
            <w:webHidden/>
          </w:rPr>
          <w:fldChar w:fldCharType="end"/>
        </w:r>
      </w:hyperlink>
    </w:p>
    <w:p w14:paraId="2ACD2521" w14:textId="2B3FC5C8" w:rsidR="00644641" w:rsidRDefault="00422361">
      <w:pPr>
        <w:pStyle w:val="TOC3"/>
        <w:rPr>
          <w:rFonts w:asciiTheme="minorHAnsi" w:eastAsiaTheme="minorEastAsia" w:hAnsiTheme="minorHAnsi" w:cstheme="minorBidi"/>
          <w:noProof/>
          <w:sz w:val="22"/>
          <w:szCs w:val="22"/>
          <w:lang w:eastAsia="en-NZ"/>
        </w:rPr>
      </w:pPr>
      <w:hyperlink w:anchor="_Toc66716232" w:history="1">
        <w:r w:rsidR="00644641" w:rsidRPr="00121E2D">
          <w:rPr>
            <w:rStyle w:val="Hyperlink"/>
            <w:noProof/>
          </w:rPr>
          <w:t>Figure 50: Total number of special patients, by age group, 1 January to 31 December 2018</w:t>
        </w:r>
        <w:r w:rsidR="00644641">
          <w:rPr>
            <w:noProof/>
            <w:webHidden/>
          </w:rPr>
          <w:tab/>
        </w:r>
        <w:r w:rsidR="00644641">
          <w:rPr>
            <w:noProof/>
            <w:webHidden/>
          </w:rPr>
          <w:fldChar w:fldCharType="begin"/>
        </w:r>
        <w:r w:rsidR="00644641">
          <w:rPr>
            <w:noProof/>
            <w:webHidden/>
          </w:rPr>
          <w:instrText xml:space="preserve"> PAGEREF _Toc66716232 \h </w:instrText>
        </w:r>
        <w:r w:rsidR="00644641">
          <w:rPr>
            <w:noProof/>
            <w:webHidden/>
          </w:rPr>
        </w:r>
        <w:r w:rsidR="00644641">
          <w:rPr>
            <w:noProof/>
            <w:webHidden/>
          </w:rPr>
          <w:fldChar w:fldCharType="separate"/>
        </w:r>
        <w:r>
          <w:rPr>
            <w:noProof/>
            <w:webHidden/>
          </w:rPr>
          <w:t>53</w:t>
        </w:r>
        <w:r w:rsidR="00644641">
          <w:rPr>
            <w:noProof/>
            <w:webHidden/>
          </w:rPr>
          <w:fldChar w:fldCharType="end"/>
        </w:r>
      </w:hyperlink>
    </w:p>
    <w:p w14:paraId="1B16278D" w14:textId="5962908C" w:rsidR="00644641" w:rsidRDefault="00422361">
      <w:pPr>
        <w:pStyle w:val="TOC3"/>
        <w:rPr>
          <w:rFonts w:asciiTheme="minorHAnsi" w:eastAsiaTheme="minorEastAsia" w:hAnsiTheme="minorHAnsi" w:cstheme="minorBidi"/>
          <w:noProof/>
          <w:sz w:val="22"/>
          <w:szCs w:val="22"/>
          <w:lang w:eastAsia="en-NZ"/>
        </w:rPr>
      </w:pPr>
      <w:hyperlink w:anchor="_Toc66716233" w:history="1">
        <w:r w:rsidR="00644641" w:rsidRPr="00121E2D">
          <w:rPr>
            <w:rStyle w:val="Hyperlink"/>
            <w:noProof/>
          </w:rPr>
          <w:t>Figure 51: Total number of special patients, by age group, 1 January to 31 December 2019</w:t>
        </w:r>
        <w:r w:rsidR="00644641">
          <w:rPr>
            <w:noProof/>
            <w:webHidden/>
          </w:rPr>
          <w:tab/>
        </w:r>
        <w:r w:rsidR="00644641">
          <w:rPr>
            <w:noProof/>
            <w:webHidden/>
          </w:rPr>
          <w:fldChar w:fldCharType="begin"/>
        </w:r>
        <w:r w:rsidR="00644641">
          <w:rPr>
            <w:noProof/>
            <w:webHidden/>
          </w:rPr>
          <w:instrText xml:space="preserve"> PAGEREF _Toc66716233 \h </w:instrText>
        </w:r>
        <w:r w:rsidR="00644641">
          <w:rPr>
            <w:noProof/>
            <w:webHidden/>
          </w:rPr>
        </w:r>
        <w:r w:rsidR="00644641">
          <w:rPr>
            <w:noProof/>
            <w:webHidden/>
          </w:rPr>
          <w:fldChar w:fldCharType="separate"/>
        </w:r>
        <w:r>
          <w:rPr>
            <w:noProof/>
            <w:webHidden/>
          </w:rPr>
          <w:t>53</w:t>
        </w:r>
        <w:r w:rsidR="00644641">
          <w:rPr>
            <w:noProof/>
            <w:webHidden/>
          </w:rPr>
          <w:fldChar w:fldCharType="end"/>
        </w:r>
      </w:hyperlink>
    </w:p>
    <w:p w14:paraId="3BF8076B" w14:textId="630F057C" w:rsidR="00644641" w:rsidRDefault="00422361">
      <w:pPr>
        <w:pStyle w:val="TOC3"/>
        <w:rPr>
          <w:rFonts w:asciiTheme="minorHAnsi" w:eastAsiaTheme="minorEastAsia" w:hAnsiTheme="minorHAnsi" w:cstheme="minorBidi"/>
          <w:noProof/>
          <w:sz w:val="22"/>
          <w:szCs w:val="22"/>
          <w:lang w:eastAsia="en-NZ"/>
        </w:rPr>
      </w:pPr>
      <w:hyperlink w:anchor="_Toc66716234" w:history="1">
        <w:r w:rsidR="00644641" w:rsidRPr="00121E2D">
          <w:rPr>
            <w:rStyle w:val="Hyperlink"/>
            <w:noProof/>
          </w:rPr>
          <w:t>Figure 52: Percentage of special patients, by ethnicity, 1 January to 31 December 2018</w:t>
        </w:r>
        <w:r w:rsidR="00644641">
          <w:rPr>
            <w:noProof/>
            <w:webHidden/>
          </w:rPr>
          <w:tab/>
        </w:r>
        <w:r w:rsidR="00644641">
          <w:rPr>
            <w:noProof/>
            <w:webHidden/>
          </w:rPr>
          <w:fldChar w:fldCharType="begin"/>
        </w:r>
        <w:r w:rsidR="00644641">
          <w:rPr>
            <w:noProof/>
            <w:webHidden/>
          </w:rPr>
          <w:instrText xml:space="preserve"> PAGEREF _Toc66716234 \h </w:instrText>
        </w:r>
        <w:r w:rsidR="00644641">
          <w:rPr>
            <w:noProof/>
            <w:webHidden/>
          </w:rPr>
        </w:r>
        <w:r w:rsidR="00644641">
          <w:rPr>
            <w:noProof/>
            <w:webHidden/>
          </w:rPr>
          <w:fldChar w:fldCharType="separate"/>
        </w:r>
        <w:r>
          <w:rPr>
            <w:noProof/>
            <w:webHidden/>
          </w:rPr>
          <w:t>54</w:t>
        </w:r>
        <w:r w:rsidR="00644641">
          <w:rPr>
            <w:noProof/>
            <w:webHidden/>
          </w:rPr>
          <w:fldChar w:fldCharType="end"/>
        </w:r>
      </w:hyperlink>
    </w:p>
    <w:p w14:paraId="35415A61" w14:textId="3AFEDB64" w:rsidR="00644641" w:rsidRDefault="00422361">
      <w:pPr>
        <w:pStyle w:val="TOC3"/>
        <w:rPr>
          <w:rFonts w:asciiTheme="minorHAnsi" w:eastAsiaTheme="minorEastAsia" w:hAnsiTheme="minorHAnsi" w:cstheme="minorBidi"/>
          <w:noProof/>
          <w:sz w:val="22"/>
          <w:szCs w:val="22"/>
          <w:lang w:eastAsia="en-NZ"/>
        </w:rPr>
      </w:pPr>
      <w:hyperlink w:anchor="_Toc66716235" w:history="1">
        <w:r w:rsidR="00644641" w:rsidRPr="00121E2D">
          <w:rPr>
            <w:rStyle w:val="Hyperlink"/>
            <w:noProof/>
          </w:rPr>
          <w:t>Figure 53: Percentage of special patients, by ethnicity, 1 January to 31 December 2019</w:t>
        </w:r>
        <w:r w:rsidR="00644641">
          <w:rPr>
            <w:noProof/>
            <w:webHidden/>
          </w:rPr>
          <w:tab/>
        </w:r>
        <w:r w:rsidR="00644641">
          <w:rPr>
            <w:noProof/>
            <w:webHidden/>
          </w:rPr>
          <w:fldChar w:fldCharType="begin"/>
        </w:r>
        <w:r w:rsidR="00644641">
          <w:rPr>
            <w:noProof/>
            <w:webHidden/>
          </w:rPr>
          <w:instrText xml:space="preserve"> PAGEREF _Toc66716235 \h </w:instrText>
        </w:r>
        <w:r w:rsidR="00644641">
          <w:rPr>
            <w:noProof/>
            <w:webHidden/>
          </w:rPr>
        </w:r>
        <w:r w:rsidR="00644641">
          <w:rPr>
            <w:noProof/>
            <w:webHidden/>
          </w:rPr>
          <w:fldChar w:fldCharType="separate"/>
        </w:r>
        <w:r>
          <w:rPr>
            <w:noProof/>
            <w:webHidden/>
          </w:rPr>
          <w:t>54</w:t>
        </w:r>
        <w:r w:rsidR="00644641">
          <w:rPr>
            <w:noProof/>
            <w:webHidden/>
          </w:rPr>
          <w:fldChar w:fldCharType="end"/>
        </w:r>
      </w:hyperlink>
    </w:p>
    <w:p w14:paraId="27351228" w14:textId="765AE1AB" w:rsidR="00644641" w:rsidRDefault="00422361">
      <w:pPr>
        <w:pStyle w:val="TOC3"/>
        <w:rPr>
          <w:rFonts w:asciiTheme="minorHAnsi" w:eastAsiaTheme="minorEastAsia" w:hAnsiTheme="minorHAnsi" w:cstheme="minorBidi"/>
          <w:noProof/>
          <w:sz w:val="22"/>
          <w:szCs w:val="22"/>
          <w:lang w:eastAsia="en-NZ"/>
        </w:rPr>
      </w:pPr>
      <w:hyperlink w:anchor="_Toc66716236" w:history="1">
        <w:r w:rsidR="00644641" w:rsidRPr="00121E2D">
          <w:rPr>
            <w:rStyle w:val="Hyperlink"/>
            <w:noProof/>
          </w:rPr>
          <w:t>Figure 54: Number of special patients, by ethnicity and special patient type, 1 January to 31 December 2018</w:t>
        </w:r>
        <w:r w:rsidR="00644641">
          <w:rPr>
            <w:noProof/>
            <w:webHidden/>
          </w:rPr>
          <w:tab/>
        </w:r>
        <w:r w:rsidR="00644641">
          <w:rPr>
            <w:noProof/>
            <w:webHidden/>
          </w:rPr>
          <w:fldChar w:fldCharType="begin"/>
        </w:r>
        <w:r w:rsidR="00644641">
          <w:rPr>
            <w:noProof/>
            <w:webHidden/>
          </w:rPr>
          <w:instrText xml:space="preserve"> PAGEREF _Toc66716236 \h </w:instrText>
        </w:r>
        <w:r w:rsidR="00644641">
          <w:rPr>
            <w:noProof/>
            <w:webHidden/>
          </w:rPr>
        </w:r>
        <w:r w:rsidR="00644641">
          <w:rPr>
            <w:noProof/>
            <w:webHidden/>
          </w:rPr>
          <w:fldChar w:fldCharType="separate"/>
        </w:r>
        <w:r>
          <w:rPr>
            <w:noProof/>
            <w:webHidden/>
          </w:rPr>
          <w:t>55</w:t>
        </w:r>
        <w:r w:rsidR="00644641">
          <w:rPr>
            <w:noProof/>
            <w:webHidden/>
          </w:rPr>
          <w:fldChar w:fldCharType="end"/>
        </w:r>
      </w:hyperlink>
    </w:p>
    <w:p w14:paraId="3A0656FB" w14:textId="1595EAB7" w:rsidR="00644641" w:rsidRDefault="00422361">
      <w:pPr>
        <w:pStyle w:val="TOC3"/>
        <w:rPr>
          <w:rFonts w:asciiTheme="minorHAnsi" w:eastAsiaTheme="minorEastAsia" w:hAnsiTheme="minorHAnsi" w:cstheme="minorBidi"/>
          <w:noProof/>
          <w:sz w:val="22"/>
          <w:szCs w:val="22"/>
          <w:lang w:eastAsia="en-NZ"/>
        </w:rPr>
      </w:pPr>
      <w:hyperlink w:anchor="_Toc66716237" w:history="1">
        <w:r w:rsidR="00644641" w:rsidRPr="00121E2D">
          <w:rPr>
            <w:rStyle w:val="Hyperlink"/>
            <w:noProof/>
          </w:rPr>
          <w:t>Figure 55: Number of special patients, by ethnicity and special patient type, 1 January to 31 December 2019</w:t>
        </w:r>
        <w:r w:rsidR="00644641">
          <w:rPr>
            <w:noProof/>
            <w:webHidden/>
          </w:rPr>
          <w:tab/>
        </w:r>
        <w:r w:rsidR="00644641">
          <w:rPr>
            <w:noProof/>
            <w:webHidden/>
          </w:rPr>
          <w:fldChar w:fldCharType="begin"/>
        </w:r>
        <w:r w:rsidR="00644641">
          <w:rPr>
            <w:noProof/>
            <w:webHidden/>
          </w:rPr>
          <w:instrText xml:space="preserve"> PAGEREF _Toc66716237 \h </w:instrText>
        </w:r>
        <w:r w:rsidR="00644641">
          <w:rPr>
            <w:noProof/>
            <w:webHidden/>
          </w:rPr>
        </w:r>
        <w:r w:rsidR="00644641">
          <w:rPr>
            <w:noProof/>
            <w:webHidden/>
          </w:rPr>
          <w:fldChar w:fldCharType="separate"/>
        </w:r>
        <w:r>
          <w:rPr>
            <w:noProof/>
            <w:webHidden/>
          </w:rPr>
          <w:t>55</w:t>
        </w:r>
        <w:r w:rsidR="00644641">
          <w:rPr>
            <w:noProof/>
            <w:webHidden/>
          </w:rPr>
          <w:fldChar w:fldCharType="end"/>
        </w:r>
      </w:hyperlink>
    </w:p>
    <w:p w14:paraId="2043BBD8" w14:textId="27423E3C" w:rsidR="00644641" w:rsidRDefault="00422361">
      <w:pPr>
        <w:pStyle w:val="TOC3"/>
        <w:rPr>
          <w:rFonts w:asciiTheme="minorHAnsi" w:eastAsiaTheme="minorEastAsia" w:hAnsiTheme="minorHAnsi" w:cstheme="minorBidi"/>
          <w:noProof/>
          <w:sz w:val="22"/>
          <w:szCs w:val="22"/>
          <w:lang w:eastAsia="en-NZ"/>
        </w:rPr>
      </w:pPr>
      <w:hyperlink w:anchor="_Toc66716238" w:history="1">
        <w:r w:rsidR="00644641" w:rsidRPr="00121E2D">
          <w:rPr>
            <w:rStyle w:val="Hyperlink"/>
            <w:noProof/>
          </w:rPr>
          <w:t>Figure 56: Rate of people treated with ECT per 100,000 population, 2005–2019</w:t>
        </w:r>
        <w:r w:rsidR="00644641">
          <w:rPr>
            <w:noProof/>
            <w:webHidden/>
          </w:rPr>
          <w:tab/>
        </w:r>
        <w:r w:rsidR="00644641">
          <w:rPr>
            <w:noProof/>
            <w:webHidden/>
          </w:rPr>
          <w:fldChar w:fldCharType="begin"/>
        </w:r>
        <w:r w:rsidR="00644641">
          <w:rPr>
            <w:noProof/>
            <w:webHidden/>
          </w:rPr>
          <w:instrText xml:space="preserve"> PAGEREF _Toc66716238 \h </w:instrText>
        </w:r>
        <w:r w:rsidR="00644641">
          <w:rPr>
            <w:noProof/>
            <w:webHidden/>
          </w:rPr>
        </w:r>
        <w:r w:rsidR="00644641">
          <w:rPr>
            <w:noProof/>
            <w:webHidden/>
          </w:rPr>
          <w:fldChar w:fldCharType="separate"/>
        </w:r>
        <w:r>
          <w:rPr>
            <w:noProof/>
            <w:webHidden/>
          </w:rPr>
          <w:t>62</w:t>
        </w:r>
        <w:r w:rsidR="00644641">
          <w:rPr>
            <w:noProof/>
            <w:webHidden/>
          </w:rPr>
          <w:fldChar w:fldCharType="end"/>
        </w:r>
      </w:hyperlink>
    </w:p>
    <w:p w14:paraId="618A0D15" w14:textId="2851DB3B" w:rsidR="00644641" w:rsidRDefault="00422361">
      <w:pPr>
        <w:pStyle w:val="TOC3"/>
        <w:rPr>
          <w:rFonts w:asciiTheme="minorHAnsi" w:eastAsiaTheme="minorEastAsia" w:hAnsiTheme="minorHAnsi" w:cstheme="minorBidi"/>
          <w:noProof/>
          <w:sz w:val="22"/>
          <w:szCs w:val="22"/>
          <w:lang w:eastAsia="en-NZ"/>
        </w:rPr>
      </w:pPr>
      <w:hyperlink w:anchor="_Toc66716239" w:history="1">
        <w:r w:rsidR="00644641" w:rsidRPr="00121E2D">
          <w:rPr>
            <w:rStyle w:val="Hyperlink"/>
            <w:noProof/>
          </w:rPr>
          <w:t>Figure 57: Number of people treated with ECT, by age group and sex, 1 January to 31 December 2018</w:t>
        </w:r>
        <w:r w:rsidR="00644641">
          <w:rPr>
            <w:noProof/>
            <w:webHidden/>
          </w:rPr>
          <w:tab/>
        </w:r>
        <w:r w:rsidR="00644641">
          <w:rPr>
            <w:noProof/>
            <w:webHidden/>
          </w:rPr>
          <w:fldChar w:fldCharType="begin"/>
        </w:r>
        <w:r w:rsidR="00644641">
          <w:rPr>
            <w:noProof/>
            <w:webHidden/>
          </w:rPr>
          <w:instrText xml:space="preserve"> PAGEREF _Toc66716239 \h </w:instrText>
        </w:r>
        <w:r w:rsidR="00644641">
          <w:rPr>
            <w:noProof/>
            <w:webHidden/>
          </w:rPr>
        </w:r>
        <w:r w:rsidR="00644641">
          <w:rPr>
            <w:noProof/>
            <w:webHidden/>
          </w:rPr>
          <w:fldChar w:fldCharType="separate"/>
        </w:r>
        <w:r>
          <w:rPr>
            <w:noProof/>
            <w:webHidden/>
          </w:rPr>
          <w:t>65</w:t>
        </w:r>
        <w:r w:rsidR="00644641">
          <w:rPr>
            <w:noProof/>
            <w:webHidden/>
          </w:rPr>
          <w:fldChar w:fldCharType="end"/>
        </w:r>
      </w:hyperlink>
    </w:p>
    <w:p w14:paraId="0824C0A4" w14:textId="2419074A" w:rsidR="00644641" w:rsidRDefault="00422361">
      <w:pPr>
        <w:pStyle w:val="TOC3"/>
        <w:rPr>
          <w:rFonts w:asciiTheme="minorHAnsi" w:eastAsiaTheme="minorEastAsia" w:hAnsiTheme="minorHAnsi" w:cstheme="minorBidi"/>
          <w:noProof/>
          <w:sz w:val="22"/>
          <w:szCs w:val="22"/>
          <w:lang w:eastAsia="en-NZ"/>
        </w:rPr>
      </w:pPr>
      <w:hyperlink w:anchor="_Toc66716240" w:history="1">
        <w:r w:rsidR="00644641" w:rsidRPr="00121E2D">
          <w:rPr>
            <w:rStyle w:val="Hyperlink"/>
            <w:noProof/>
          </w:rPr>
          <w:t>Figure 58: Number of people treated with ECT, by age group and sex, 1 January to 31 December 2019</w:t>
        </w:r>
        <w:r w:rsidR="00644641">
          <w:rPr>
            <w:noProof/>
            <w:webHidden/>
          </w:rPr>
          <w:tab/>
        </w:r>
        <w:r w:rsidR="00644641">
          <w:rPr>
            <w:noProof/>
            <w:webHidden/>
          </w:rPr>
          <w:fldChar w:fldCharType="begin"/>
        </w:r>
        <w:r w:rsidR="00644641">
          <w:rPr>
            <w:noProof/>
            <w:webHidden/>
          </w:rPr>
          <w:instrText xml:space="preserve"> PAGEREF _Toc66716240 \h </w:instrText>
        </w:r>
        <w:r w:rsidR="00644641">
          <w:rPr>
            <w:noProof/>
            <w:webHidden/>
          </w:rPr>
        </w:r>
        <w:r w:rsidR="00644641">
          <w:rPr>
            <w:noProof/>
            <w:webHidden/>
          </w:rPr>
          <w:fldChar w:fldCharType="separate"/>
        </w:r>
        <w:r>
          <w:rPr>
            <w:noProof/>
            <w:webHidden/>
          </w:rPr>
          <w:t>65</w:t>
        </w:r>
        <w:r w:rsidR="00644641">
          <w:rPr>
            <w:noProof/>
            <w:webHidden/>
          </w:rPr>
          <w:fldChar w:fldCharType="end"/>
        </w:r>
      </w:hyperlink>
    </w:p>
    <w:p w14:paraId="04FEF72C" w14:textId="05FC970E" w:rsidR="00644641" w:rsidRDefault="00422361">
      <w:pPr>
        <w:pStyle w:val="TOC3"/>
        <w:rPr>
          <w:rFonts w:asciiTheme="minorHAnsi" w:eastAsiaTheme="minorEastAsia" w:hAnsiTheme="minorHAnsi" w:cstheme="minorBidi"/>
          <w:noProof/>
          <w:sz w:val="22"/>
          <w:szCs w:val="22"/>
          <w:lang w:eastAsia="en-NZ"/>
        </w:rPr>
      </w:pPr>
      <w:hyperlink w:anchor="_Toc66716241" w:history="1">
        <w:r w:rsidR="00644641" w:rsidRPr="00121E2D">
          <w:rPr>
            <w:rStyle w:val="Hyperlink"/>
            <w:noProof/>
          </w:rPr>
          <w:t>Figure 59: Percentage of patients subject to compulsory treatment certificates, by ethnicity, 1 January to 31 December 2018</w:t>
        </w:r>
        <w:r w:rsidR="00644641">
          <w:rPr>
            <w:noProof/>
            <w:webHidden/>
          </w:rPr>
          <w:tab/>
        </w:r>
        <w:r w:rsidR="00644641">
          <w:rPr>
            <w:noProof/>
            <w:webHidden/>
          </w:rPr>
          <w:fldChar w:fldCharType="begin"/>
        </w:r>
        <w:r w:rsidR="00644641">
          <w:rPr>
            <w:noProof/>
            <w:webHidden/>
          </w:rPr>
          <w:instrText xml:space="preserve"> PAGEREF _Toc66716241 \h </w:instrText>
        </w:r>
        <w:r w:rsidR="00644641">
          <w:rPr>
            <w:noProof/>
            <w:webHidden/>
          </w:rPr>
        </w:r>
        <w:r w:rsidR="00644641">
          <w:rPr>
            <w:noProof/>
            <w:webHidden/>
          </w:rPr>
          <w:fldChar w:fldCharType="separate"/>
        </w:r>
        <w:r>
          <w:rPr>
            <w:noProof/>
            <w:webHidden/>
          </w:rPr>
          <w:t>72</w:t>
        </w:r>
        <w:r w:rsidR="00644641">
          <w:rPr>
            <w:noProof/>
            <w:webHidden/>
          </w:rPr>
          <w:fldChar w:fldCharType="end"/>
        </w:r>
      </w:hyperlink>
    </w:p>
    <w:p w14:paraId="445D112D" w14:textId="7872DE2C" w:rsidR="00644641" w:rsidRDefault="00422361">
      <w:pPr>
        <w:pStyle w:val="TOC3"/>
        <w:rPr>
          <w:rFonts w:asciiTheme="minorHAnsi" w:eastAsiaTheme="minorEastAsia" w:hAnsiTheme="minorHAnsi" w:cstheme="minorBidi"/>
          <w:noProof/>
          <w:sz w:val="22"/>
          <w:szCs w:val="22"/>
          <w:lang w:eastAsia="en-NZ"/>
        </w:rPr>
      </w:pPr>
      <w:hyperlink w:anchor="_Toc66716242" w:history="1">
        <w:r w:rsidR="00644641" w:rsidRPr="00121E2D">
          <w:rPr>
            <w:rStyle w:val="Hyperlink"/>
            <w:noProof/>
          </w:rPr>
          <w:t>Figure 60: Percentage of patients subject to compulsory treatment certificates, by number of weeks in detention, 1 January to 31 December 2018</w:t>
        </w:r>
        <w:r w:rsidR="00644641">
          <w:rPr>
            <w:noProof/>
            <w:webHidden/>
          </w:rPr>
          <w:tab/>
        </w:r>
        <w:r w:rsidR="00644641">
          <w:rPr>
            <w:noProof/>
            <w:webHidden/>
          </w:rPr>
          <w:fldChar w:fldCharType="begin"/>
        </w:r>
        <w:r w:rsidR="00644641">
          <w:rPr>
            <w:noProof/>
            <w:webHidden/>
          </w:rPr>
          <w:instrText xml:space="preserve"> PAGEREF _Toc66716242 \h </w:instrText>
        </w:r>
        <w:r w:rsidR="00644641">
          <w:rPr>
            <w:noProof/>
            <w:webHidden/>
          </w:rPr>
        </w:r>
        <w:r w:rsidR="00644641">
          <w:rPr>
            <w:noProof/>
            <w:webHidden/>
          </w:rPr>
          <w:fldChar w:fldCharType="separate"/>
        </w:r>
        <w:r>
          <w:rPr>
            <w:noProof/>
            <w:webHidden/>
          </w:rPr>
          <w:t>72</w:t>
        </w:r>
        <w:r w:rsidR="00644641">
          <w:rPr>
            <w:noProof/>
            <w:webHidden/>
          </w:rPr>
          <w:fldChar w:fldCharType="end"/>
        </w:r>
      </w:hyperlink>
    </w:p>
    <w:p w14:paraId="4168BC0C" w14:textId="5B880CCE" w:rsidR="00644641" w:rsidRDefault="00422361">
      <w:pPr>
        <w:pStyle w:val="TOC3"/>
        <w:rPr>
          <w:rFonts w:asciiTheme="minorHAnsi" w:eastAsiaTheme="minorEastAsia" w:hAnsiTheme="minorHAnsi" w:cstheme="minorBidi"/>
          <w:noProof/>
          <w:sz w:val="22"/>
          <w:szCs w:val="22"/>
          <w:lang w:eastAsia="en-NZ"/>
        </w:rPr>
      </w:pPr>
      <w:hyperlink w:anchor="_Toc66716243" w:history="1">
        <w:r w:rsidR="00644641" w:rsidRPr="00121E2D">
          <w:rPr>
            <w:rStyle w:val="Hyperlink"/>
            <w:noProof/>
          </w:rPr>
          <w:t>Figure 61: Percentage of patients subject to compulsory treatment certificates, by ethnicity, 1 January to 31 December 2019</w:t>
        </w:r>
        <w:r w:rsidR="00644641">
          <w:rPr>
            <w:noProof/>
            <w:webHidden/>
          </w:rPr>
          <w:tab/>
        </w:r>
        <w:r w:rsidR="00644641">
          <w:rPr>
            <w:noProof/>
            <w:webHidden/>
          </w:rPr>
          <w:fldChar w:fldCharType="begin"/>
        </w:r>
        <w:r w:rsidR="00644641">
          <w:rPr>
            <w:noProof/>
            <w:webHidden/>
          </w:rPr>
          <w:instrText xml:space="preserve"> PAGEREF _Toc66716243 \h </w:instrText>
        </w:r>
        <w:r w:rsidR="00644641">
          <w:rPr>
            <w:noProof/>
            <w:webHidden/>
          </w:rPr>
        </w:r>
        <w:r w:rsidR="00644641">
          <w:rPr>
            <w:noProof/>
            <w:webHidden/>
          </w:rPr>
          <w:fldChar w:fldCharType="separate"/>
        </w:r>
        <w:r>
          <w:rPr>
            <w:noProof/>
            <w:webHidden/>
          </w:rPr>
          <w:t>74</w:t>
        </w:r>
        <w:r w:rsidR="00644641">
          <w:rPr>
            <w:noProof/>
            <w:webHidden/>
          </w:rPr>
          <w:fldChar w:fldCharType="end"/>
        </w:r>
      </w:hyperlink>
    </w:p>
    <w:p w14:paraId="6A02E3E3" w14:textId="3B0B96C0" w:rsidR="00644641" w:rsidRDefault="00422361">
      <w:pPr>
        <w:pStyle w:val="TOC3"/>
        <w:rPr>
          <w:rFonts w:asciiTheme="minorHAnsi" w:eastAsiaTheme="minorEastAsia" w:hAnsiTheme="minorHAnsi" w:cstheme="minorBidi"/>
          <w:noProof/>
          <w:sz w:val="22"/>
          <w:szCs w:val="22"/>
          <w:lang w:eastAsia="en-NZ"/>
        </w:rPr>
      </w:pPr>
      <w:hyperlink w:anchor="_Toc66716244" w:history="1">
        <w:r w:rsidR="00644641" w:rsidRPr="00121E2D">
          <w:rPr>
            <w:rStyle w:val="Hyperlink"/>
            <w:noProof/>
          </w:rPr>
          <w:t>Figure 62: Percentage of patients subject to compulsory treatment certificates, by number of weeks in detention, 1 January to 31 December 2019</w:t>
        </w:r>
        <w:r w:rsidR="00644641">
          <w:rPr>
            <w:noProof/>
            <w:webHidden/>
          </w:rPr>
          <w:tab/>
        </w:r>
        <w:r w:rsidR="00644641">
          <w:rPr>
            <w:noProof/>
            <w:webHidden/>
          </w:rPr>
          <w:fldChar w:fldCharType="begin"/>
        </w:r>
        <w:r w:rsidR="00644641">
          <w:rPr>
            <w:noProof/>
            <w:webHidden/>
          </w:rPr>
          <w:instrText xml:space="preserve"> PAGEREF _Toc66716244 \h </w:instrText>
        </w:r>
        <w:r w:rsidR="00644641">
          <w:rPr>
            <w:noProof/>
            <w:webHidden/>
          </w:rPr>
        </w:r>
        <w:r w:rsidR="00644641">
          <w:rPr>
            <w:noProof/>
            <w:webHidden/>
          </w:rPr>
          <w:fldChar w:fldCharType="separate"/>
        </w:r>
        <w:r>
          <w:rPr>
            <w:noProof/>
            <w:webHidden/>
          </w:rPr>
          <w:t>74</w:t>
        </w:r>
        <w:r w:rsidR="00644641">
          <w:rPr>
            <w:noProof/>
            <w:webHidden/>
          </w:rPr>
          <w:fldChar w:fldCharType="end"/>
        </w:r>
      </w:hyperlink>
    </w:p>
    <w:p w14:paraId="0BED58E7" w14:textId="7BEC4D6D" w:rsidR="00644641" w:rsidRDefault="00422361">
      <w:pPr>
        <w:pStyle w:val="TOC3"/>
        <w:rPr>
          <w:rFonts w:asciiTheme="minorHAnsi" w:eastAsiaTheme="minorEastAsia" w:hAnsiTheme="minorHAnsi" w:cstheme="minorBidi"/>
          <w:noProof/>
          <w:sz w:val="22"/>
          <w:szCs w:val="22"/>
          <w:lang w:eastAsia="en-NZ"/>
        </w:rPr>
      </w:pPr>
      <w:hyperlink w:anchor="_Toc66716245" w:history="1">
        <w:r w:rsidR="00644641" w:rsidRPr="00121E2D">
          <w:rPr>
            <w:rStyle w:val="Hyperlink"/>
            <w:noProof/>
          </w:rPr>
          <w:t>Figure 63: Percentage of people receiving opioid substitution treatment from specialist services and general practice, by DHB, 1 January to 31 December 2018</w:t>
        </w:r>
        <w:r w:rsidR="00644641">
          <w:rPr>
            <w:noProof/>
            <w:webHidden/>
          </w:rPr>
          <w:tab/>
        </w:r>
        <w:r w:rsidR="00644641">
          <w:rPr>
            <w:noProof/>
            <w:webHidden/>
          </w:rPr>
          <w:fldChar w:fldCharType="begin"/>
        </w:r>
        <w:r w:rsidR="00644641">
          <w:rPr>
            <w:noProof/>
            <w:webHidden/>
          </w:rPr>
          <w:instrText xml:space="preserve"> PAGEREF _Toc66716245 \h </w:instrText>
        </w:r>
        <w:r w:rsidR="00644641">
          <w:rPr>
            <w:noProof/>
            <w:webHidden/>
          </w:rPr>
        </w:r>
        <w:r w:rsidR="00644641">
          <w:rPr>
            <w:noProof/>
            <w:webHidden/>
          </w:rPr>
          <w:fldChar w:fldCharType="separate"/>
        </w:r>
        <w:r>
          <w:rPr>
            <w:noProof/>
            <w:webHidden/>
          </w:rPr>
          <w:t>77</w:t>
        </w:r>
        <w:r w:rsidR="00644641">
          <w:rPr>
            <w:noProof/>
            <w:webHidden/>
          </w:rPr>
          <w:fldChar w:fldCharType="end"/>
        </w:r>
      </w:hyperlink>
    </w:p>
    <w:p w14:paraId="2B785CCD" w14:textId="056DEDCE" w:rsidR="00644641" w:rsidRDefault="00422361">
      <w:pPr>
        <w:pStyle w:val="TOC3"/>
        <w:rPr>
          <w:rFonts w:asciiTheme="minorHAnsi" w:eastAsiaTheme="minorEastAsia" w:hAnsiTheme="minorHAnsi" w:cstheme="minorBidi"/>
          <w:noProof/>
          <w:sz w:val="22"/>
          <w:szCs w:val="22"/>
          <w:lang w:eastAsia="en-NZ"/>
        </w:rPr>
      </w:pPr>
      <w:hyperlink w:anchor="_Toc66716246" w:history="1">
        <w:r w:rsidR="00644641" w:rsidRPr="00121E2D">
          <w:rPr>
            <w:rStyle w:val="Hyperlink"/>
            <w:noProof/>
          </w:rPr>
          <w:t>Figure 64: Percentage of people receiving opioid substitution treatment from specialist services and general practice, by DHB, 1 January to 31 December 2019</w:t>
        </w:r>
        <w:r w:rsidR="00644641">
          <w:rPr>
            <w:noProof/>
            <w:webHidden/>
          </w:rPr>
          <w:tab/>
        </w:r>
        <w:r w:rsidR="00644641">
          <w:rPr>
            <w:noProof/>
            <w:webHidden/>
          </w:rPr>
          <w:fldChar w:fldCharType="begin"/>
        </w:r>
        <w:r w:rsidR="00644641">
          <w:rPr>
            <w:noProof/>
            <w:webHidden/>
          </w:rPr>
          <w:instrText xml:space="preserve"> PAGEREF _Toc66716246 \h </w:instrText>
        </w:r>
        <w:r w:rsidR="00644641">
          <w:rPr>
            <w:noProof/>
            <w:webHidden/>
          </w:rPr>
        </w:r>
        <w:r w:rsidR="00644641">
          <w:rPr>
            <w:noProof/>
            <w:webHidden/>
          </w:rPr>
          <w:fldChar w:fldCharType="separate"/>
        </w:r>
        <w:r>
          <w:rPr>
            <w:noProof/>
            <w:webHidden/>
          </w:rPr>
          <w:t>78</w:t>
        </w:r>
        <w:r w:rsidR="00644641">
          <w:rPr>
            <w:noProof/>
            <w:webHidden/>
          </w:rPr>
          <w:fldChar w:fldCharType="end"/>
        </w:r>
      </w:hyperlink>
    </w:p>
    <w:p w14:paraId="438CF7DE" w14:textId="2FD28E62" w:rsidR="00644641" w:rsidRDefault="00422361">
      <w:pPr>
        <w:pStyle w:val="TOC3"/>
        <w:rPr>
          <w:rFonts w:asciiTheme="minorHAnsi" w:eastAsiaTheme="minorEastAsia" w:hAnsiTheme="minorHAnsi" w:cstheme="minorBidi"/>
          <w:noProof/>
          <w:sz w:val="22"/>
          <w:szCs w:val="22"/>
          <w:lang w:eastAsia="en-NZ"/>
        </w:rPr>
      </w:pPr>
      <w:hyperlink w:anchor="_Toc66716247" w:history="1">
        <w:r w:rsidR="00644641" w:rsidRPr="00121E2D">
          <w:rPr>
            <w:rStyle w:val="Hyperlink"/>
            <w:noProof/>
          </w:rPr>
          <w:t>Figure 65: Number of people receiving opioid substitution treatment from a specialist service, general practice or prison service, 2008–2019</w:t>
        </w:r>
        <w:r w:rsidR="00644641">
          <w:rPr>
            <w:noProof/>
            <w:webHidden/>
          </w:rPr>
          <w:tab/>
        </w:r>
        <w:r w:rsidR="00644641">
          <w:rPr>
            <w:noProof/>
            <w:webHidden/>
          </w:rPr>
          <w:fldChar w:fldCharType="begin"/>
        </w:r>
        <w:r w:rsidR="00644641">
          <w:rPr>
            <w:noProof/>
            <w:webHidden/>
          </w:rPr>
          <w:instrText xml:space="preserve"> PAGEREF _Toc66716247 \h </w:instrText>
        </w:r>
        <w:r w:rsidR="00644641">
          <w:rPr>
            <w:noProof/>
            <w:webHidden/>
          </w:rPr>
        </w:r>
        <w:r w:rsidR="00644641">
          <w:rPr>
            <w:noProof/>
            <w:webHidden/>
          </w:rPr>
          <w:fldChar w:fldCharType="separate"/>
        </w:r>
        <w:r>
          <w:rPr>
            <w:noProof/>
            <w:webHidden/>
          </w:rPr>
          <w:t>78</w:t>
        </w:r>
        <w:r w:rsidR="00644641">
          <w:rPr>
            <w:noProof/>
            <w:webHidden/>
          </w:rPr>
          <w:fldChar w:fldCharType="end"/>
        </w:r>
      </w:hyperlink>
    </w:p>
    <w:p w14:paraId="120DDFDC" w14:textId="78E18325" w:rsidR="00644641" w:rsidRDefault="00422361">
      <w:pPr>
        <w:pStyle w:val="TOC3"/>
        <w:rPr>
          <w:rFonts w:asciiTheme="minorHAnsi" w:eastAsiaTheme="minorEastAsia" w:hAnsiTheme="minorHAnsi" w:cstheme="minorBidi"/>
          <w:noProof/>
          <w:sz w:val="22"/>
          <w:szCs w:val="22"/>
          <w:lang w:eastAsia="en-NZ"/>
        </w:rPr>
      </w:pPr>
      <w:hyperlink w:anchor="_Toc66716248" w:history="1">
        <w:r w:rsidR="00644641" w:rsidRPr="00121E2D">
          <w:rPr>
            <w:rStyle w:val="Hyperlink"/>
            <w:noProof/>
          </w:rPr>
          <w:t>Figure 66: Number of people prescribed suboxone, 2008–2019</w:t>
        </w:r>
        <w:r w:rsidR="00644641">
          <w:rPr>
            <w:noProof/>
            <w:webHidden/>
          </w:rPr>
          <w:tab/>
        </w:r>
        <w:r w:rsidR="00644641">
          <w:rPr>
            <w:noProof/>
            <w:webHidden/>
          </w:rPr>
          <w:fldChar w:fldCharType="begin"/>
        </w:r>
        <w:r w:rsidR="00644641">
          <w:rPr>
            <w:noProof/>
            <w:webHidden/>
          </w:rPr>
          <w:instrText xml:space="preserve"> PAGEREF _Toc66716248 \h </w:instrText>
        </w:r>
        <w:r w:rsidR="00644641">
          <w:rPr>
            <w:noProof/>
            <w:webHidden/>
          </w:rPr>
        </w:r>
        <w:r w:rsidR="00644641">
          <w:rPr>
            <w:noProof/>
            <w:webHidden/>
          </w:rPr>
          <w:fldChar w:fldCharType="separate"/>
        </w:r>
        <w:r>
          <w:rPr>
            <w:noProof/>
            <w:webHidden/>
          </w:rPr>
          <w:t>79</w:t>
        </w:r>
        <w:r w:rsidR="00644641">
          <w:rPr>
            <w:noProof/>
            <w:webHidden/>
          </w:rPr>
          <w:fldChar w:fldCharType="end"/>
        </w:r>
      </w:hyperlink>
    </w:p>
    <w:p w14:paraId="3951B717" w14:textId="55D1FFAF" w:rsidR="00644641" w:rsidRDefault="00422361">
      <w:pPr>
        <w:pStyle w:val="TOC3"/>
        <w:rPr>
          <w:rFonts w:asciiTheme="minorHAnsi" w:eastAsiaTheme="minorEastAsia" w:hAnsiTheme="minorHAnsi" w:cstheme="minorBidi"/>
          <w:noProof/>
          <w:sz w:val="22"/>
          <w:szCs w:val="22"/>
          <w:lang w:eastAsia="en-NZ"/>
        </w:rPr>
      </w:pPr>
      <w:hyperlink w:anchor="_Toc66716249" w:history="1">
        <w:r w:rsidR="00644641" w:rsidRPr="00121E2D">
          <w:rPr>
            <w:rStyle w:val="Hyperlink"/>
            <w:noProof/>
          </w:rPr>
          <w:t>Figure 67: Number of opioid substitution treatment clients, by age group, 2008–2019</w:t>
        </w:r>
        <w:r w:rsidR="00644641">
          <w:rPr>
            <w:noProof/>
            <w:webHidden/>
          </w:rPr>
          <w:tab/>
        </w:r>
        <w:r w:rsidR="00644641">
          <w:rPr>
            <w:noProof/>
            <w:webHidden/>
          </w:rPr>
          <w:fldChar w:fldCharType="begin"/>
        </w:r>
        <w:r w:rsidR="00644641">
          <w:rPr>
            <w:noProof/>
            <w:webHidden/>
          </w:rPr>
          <w:instrText xml:space="preserve"> PAGEREF _Toc66716249 \h </w:instrText>
        </w:r>
        <w:r w:rsidR="00644641">
          <w:rPr>
            <w:noProof/>
            <w:webHidden/>
          </w:rPr>
        </w:r>
        <w:r w:rsidR="00644641">
          <w:rPr>
            <w:noProof/>
            <w:webHidden/>
          </w:rPr>
          <w:fldChar w:fldCharType="separate"/>
        </w:r>
        <w:r>
          <w:rPr>
            <w:noProof/>
            <w:webHidden/>
          </w:rPr>
          <w:t>80</w:t>
        </w:r>
        <w:r w:rsidR="00644641">
          <w:rPr>
            <w:noProof/>
            <w:webHidden/>
          </w:rPr>
          <w:fldChar w:fldCharType="end"/>
        </w:r>
      </w:hyperlink>
    </w:p>
    <w:p w14:paraId="0EE9C1BA" w14:textId="73053E01" w:rsidR="00644641" w:rsidRDefault="00422361">
      <w:pPr>
        <w:pStyle w:val="TOC3"/>
        <w:rPr>
          <w:rFonts w:asciiTheme="minorHAnsi" w:eastAsiaTheme="minorEastAsia" w:hAnsiTheme="minorHAnsi" w:cstheme="minorBidi"/>
          <w:noProof/>
          <w:sz w:val="22"/>
          <w:szCs w:val="22"/>
          <w:lang w:eastAsia="en-NZ"/>
        </w:rPr>
      </w:pPr>
      <w:hyperlink w:anchor="_Toc66716250" w:history="1">
        <w:r w:rsidR="00644641" w:rsidRPr="00121E2D">
          <w:rPr>
            <w:rStyle w:val="Hyperlink"/>
            <w:noProof/>
          </w:rPr>
          <w:t>Figure 68: Percentage of withdrawals from OST programmes, by reason (voluntary, involuntary or death), 2008–2019</w:t>
        </w:r>
        <w:r w:rsidR="00644641">
          <w:rPr>
            <w:noProof/>
            <w:webHidden/>
          </w:rPr>
          <w:tab/>
        </w:r>
        <w:r w:rsidR="00644641">
          <w:rPr>
            <w:noProof/>
            <w:webHidden/>
          </w:rPr>
          <w:fldChar w:fldCharType="begin"/>
        </w:r>
        <w:r w:rsidR="00644641">
          <w:rPr>
            <w:noProof/>
            <w:webHidden/>
          </w:rPr>
          <w:instrText xml:space="preserve"> PAGEREF _Toc66716250 \h </w:instrText>
        </w:r>
        <w:r w:rsidR="00644641">
          <w:rPr>
            <w:noProof/>
            <w:webHidden/>
          </w:rPr>
        </w:r>
        <w:r w:rsidR="00644641">
          <w:rPr>
            <w:noProof/>
            <w:webHidden/>
          </w:rPr>
          <w:fldChar w:fldCharType="separate"/>
        </w:r>
        <w:r>
          <w:rPr>
            <w:noProof/>
            <w:webHidden/>
          </w:rPr>
          <w:t>81</w:t>
        </w:r>
        <w:r w:rsidR="00644641">
          <w:rPr>
            <w:noProof/>
            <w:webHidden/>
          </w:rPr>
          <w:fldChar w:fldCharType="end"/>
        </w:r>
      </w:hyperlink>
    </w:p>
    <w:p w14:paraId="3E71C01C" w14:textId="38B9C447" w:rsidR="003A5FEA" w:rsidRPr="00200234" w:rsidRDefault="00644641" w:rsidP="003A5FEA">
      <w:r>
        <w:fldChar w:fldCharType="end"/>
      </w:r>
    </w:p>
    <w:p w14:paraId="2CE3D53B" w14:textId="0DEB7BE8" w:rsidR="002B76A7" w:rsidRPr="00200234" w:rsidRDefault="002B76A7" w:rsidP="002B76A7">
      <w:pPr>
        <w:pStyle w:val="TOC1"/>
        <w:keepNext/>
      </w:pPr>
      <w:r w:rsidRPr="00200234">
        <w:t xml:space="preserve">List of </w:t>
      </w:r>
      <w:r w:rsidR="00000045">
        <w:t>t</w:t>
      </w:r>
      <w:r w:rsidRPr="00200234">
        <w:t>ables</w:t>
      </w:r>
      <w:bookmarkStart w:id="3" w:name="_GoBack"/>
      <w:bookmarkEnd w:id="3"/>
    </w:p>
    <w:p w14:paraId="1309D175" w14:textId="4E0A3B1E" w:rsidR="0057383C" w:rsidRDefault="00644641">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69306771" w:history="1">
        <w:r w:rsidR="0057383C" w:rsidRPr="003E1A15">
          <w:rPr>
            <w:rStyle w:val="Hyperlink"/>
            <w:noProof/>
          </w:rPr>
          <w:t>Table 1: Average number of people each month required to undergo assessment under sections 11, 13 and 14(4) of the Mental Health Act per 100,000 population, by DHB, 1 January to 31 December 2018</w:t>
        </w:r>
        <w:r w:rsidR="0057383C">
          <w:rPr>
            <w:noProof/>
            <w:webHidden/>
          </w:rPr>
          <w:tab/>
        </w:r>
        <w:r w:rsidR="0057383C">
          <w:rPr>
            <w:noProof/>
            <w:webHidden/>
          </w:rPr>
          <w:fldChar w:fldCharType="begin"/>
        </w:r>
        <w:r w:rsidR="0057383C">
          <w:rPr>
            <w:noProof/>
            <w:webHidden/>
          </w:rPr>
          <w:instrText xml:space="preserve"> PAGEREF _Toc69306771 \h </w:instrText>
        </w:r>
        <w:r w:rsidR="0057383C">
          <w:rPr>
            <w:noProof/>
            <w:webHidden/>
          </w:rPr>
        </w:r>
        <w:r w:rsidR="0057383C">
          <w:rPr>
            <w:noProof/>
            <w:webHidden/>
          </w:rPr>
          <w:fldChar w:fldCharType="separate"/>
        </w:r>
        <w:r w:rsidR="00422361">
          <w:rPr>
            <w:noProof/>
            <w:webHidden/>
          </w:rPr>
          <w:t>4</w:t>
        </w:r>
        <w:r w:rsidR="0057383C">
          <w:rPr>
            <w:noProof/>
            <w:webHidden/>
          </w:rPr>
          <w:fldChar w:fldCharType="end"/>
        </w:r>
      </w:hyperlink>
    </w:p>
    <w:p w14:paraId="7AB52861" w14:textId="5DB87CD6" w:rsidR="0057383C" w:rsidRDefault="00422361">
      <w:pPr>
        <w:pStyle w:val="TOC3"/>
        <w:rPr>
          <w:rFonts w:asciiTheme="minorHAnsi" w:eastAsiaTheme="minorEastAsia" w:hAnsiTheme="minorHAnsi" w:cstheme="minorBidi"/>
          <w:noProof/>
          <w:sz w:val="22"/>
          <w:szCs w:val="22"/>
          <w:lang w:eastAsia="en-NZ"/>
        </w:rPr>
      </w:pPr>
      <w:hyperlink w:anchor="_Toc69306772" w:history="1">
        <w:r w:rsidR="0057383C" w:rsidRPr="003E1A15">
          <w:rPr>
            <w:rStyle w:val="Hyperlink"/>
            <w:noProof/>
          </w:rPr>
          <w:t>Table 2: Average number of people each month required to undergo assessment under sections 11, 13 and 14(4) of the Mental Health Act per 100,000 population, by DHB, 1 January to 31 December 2019</w:t>
        </w:r>
        <w:r w:rsidR="0057383C">
          <w:rPr>
            <w:noProof/>
            <w:webHidden/>
          </w:rPr>
          <w:tab/>
        </w:r>
        <w:r w:rsidR="0057383C">
          <w:rPr>
            <w:noProof/>
            <w:webHidden/>
          </w:rPr>
          <w:fldChar w:fldCharType="begin"/>
        </w:r>
        <w:r w:rsidR="0057383C">
          <w:rPr>
            <w:noProof/>
            <w:webHidden/>
          </w:rPr>
          <w:instrText xml:space="preserve"> PAGEREF _Toc69306772 \h </w:instrText>
        </w:r>
        <w:r w:rsidR="0057383C">
          <w:rPr>
            <w:noProof/>
            <w:webHidden/>
          </w:rPr>
        </w:r>
        <w:r w:rsidR="0057383C">
          <w:rPr>
            <w:noProof/>
            <w:webHidden/>
          </w:rPr>
          <w:fldChar w:fldCharType="separate"/>
        </w:r>
        <w:r>
          <w:rPr>
            <w:noProof/>
            <w:webHidden/>
          </w:rPr>
          <w:t>5</w:t>
        </w:r>
        <w:r w:rsidR="0057383C">
          <w:rPr>
            <w:noProof/>
            <w:webHidden/>
          </w:rPr>
          <w:fldChar w:fldCharType="end"/>
        </w:r>
      </w:hyperlink>
    </w:p>
    <w:p w14:paraId="12DAF7E5" w14:textId="76597728" w:rsidR="0057383C" w:rsidRDefault="00422361">
      <w:pPr>
        <w:pStyle w:val="TOC3"/>
        <w:rPr>
          <w:rFonts w:asciiTheme="minorHAnsi" w:eastAsiaTheme="minorEastAsia" w:hAnsiTheme="minorHAnsi" w:cstheme="minorBidi"/>
          <w:noProof/>
          <w:sz w:val="22"/>
          <w:szCs w:val="22"/>
          <w:lang w:eastAsia="en-NZ"/>
        </w:rPr>
      </w:pPr>
      <w:hyperlink w:anchor="_Toc69306773" w:history="1">
        <w:r w:rsidR="0057383C" w:rsidRPr="003E1A15">
          <w:rPr>
            <w:rStyle w:val="Hyperlink"/>
            <w:noProof/>
          </w:rPr>
          <w:t>Table 3: Average number of people on a given day subject to sections 29, 30 and 31 of the Mental Health Act per 100,000 population, by DHB, 1 January to 31 December 2018</w:t>
        </w:r>
        <w:r w:rsidR="0057383C">
          <w:rPr>
            <w:noProof/>
            <w:webHidden/>
          </w:rPr>
          <w:tab/>
        </w:r>
        <w:r w:rsidR="0057383C">
          <w:rPr>
            <w:noProof/>
            <w:webHidden/>
          </w:rPr>
          <w:fldChar w:fldCharType="begin"/>
        </w:r>
        <w:r w:rsidR="0057383C">
          <w:rPr>
            <w:noProof/>
            <w:webHidden/>
          </w:rPr>
          <w:instrText xml:space="preserve"> PAGEREF _Toc69306773 \h </w:instrText>
        </w:r>
        <w:r w:rsidR="0057383C">
          <w:rPr>
            <w:noProof/>
            <w:webHidden/>
          </w:rPr>
        </w:r>
        <w:r w:rsidR="0057383C">
          <w:rPr>
            <w:noProof/>
            <w:webHidden/>
          </w:rPr>
          <w:fldChar w:fldCharType="separate"/>
        </w:r>
        <w:r>
          <w:rPr>
            <w:noProof/>
            <w:webHidden/>
          </w:rPr>
          <w:t>5</w:t>
        </w:r>
        <w:r w:rsidR="0057383C">
          <w:rPr>
            <w:noProof/>
            <w:webHidden/>
          </w:rPr>
          <w:fldChar w:fldCharType="end"/>
        </w:r>
      </w:hyperlink>
    </w:p>
    <w:p w14:paraId="7564B9F8" w14:textId="01675AE1" w:rsidR="0057383C" w:rsidRDefault="00422361">
      <w:pPr>
        <w:pStyle w:val="TOC3"/>
        <w:rPr>
          <w:rFonts w:asciiTheme="minorHAnsi" w:eastAsiaTheme="minorEastAsia" w:hAnsiTheme="minorHAnsi" w:cstheme="minorBidi"/>
          <w:noProof/>
          <w:sz w:val="22"/>
          <w:szCs w:val="22"/>
          <w:lang w:eastAsia="en-NZ"/>
        </w:rPr>
      </w:pPr>
      <w:hyperlink w:anchor="_Toc69306774" w:history="1">
        <w:r w:rsidR="0057383C" w:rsidRPr="003E1A15">
          <w:rPr>
            <w:rStyle w:val="Hyperlink"/>
            <w:noProof/>
          </w:rPr>
          <w:t>Table 4: Average number of people on a given day subject to sections 29, 30 and 31 of the Mental Health Act per 100,000 population, by DHB, 1 January to 31 December 2019</w:t>
        </w:r>
        <w:r w:rsidR="0057383C">
          <w:rPr>
            <w:noProof/>
            <w:webHidden/>
          </w:rPr>
          <w:tab/>
        </w:r>
        <w:r w:rsidR="0057383C">
          <w:rPr>
            <w:noProof/>
            <w:webHidden/>
          </w:rPr>
          <w:fldChar w:fldCharType="begin"/>
        </w:r>
        <w:r w:rsidR="0057383C">
          <w:rPr>
            <w:noProof/>
            <w:webHidden/>
          </w:rPr>
          <w:instrText xml:space="preserve"> PAGEREF _Toc69306774 \h </w:instrText>
        </w:r>
        <w:r w:rsidR="0057383C">
          <w:rPr>
            <w:noProof/>
            <w:webHidden/>
          </w:rPr>
        </w:r>
        <w:r w:rsidR="0057383C">
          <w:rPr>
            <w:noProof/>
            <w:webHidden/>
          </w:rPr>
          <w:fldChar w:fldCharType="separate"/>
        </w:r>
        <w:r>
          <w:rPr>
            <w:noProof/>
            <w:webHidden/>
          </w:rPr>
          <w:t>6</w:t>
        </w:r>
        <w:r w:rsidR="0057383C">
          <w:rPr>
            <w:noProof/>
            <w:webHidden/>
          </w:rPr>
          <w:fldChar w:fldCharType="end"/>
        </w:r>
      </w:hyperlink>
    </w:p>
    <w:p w14:paraId="343F5E9F" w14:textId="6DE427B6" w:rsidR="0057383C" w:rsidRDefault="00422361">
      <w:pPr>
        <w:pStyle w:val="TOC3"/>
        <w:rPr>
          <w:rFonts w:asciiTheme="minorHAnsi" w:eastAsiaTheme="minorEastAsia" w:hAnsiTheme="minorHAnsi" w:cstheme="minorBidi"/>
          <w:noProof/>
          <w:sz w:val="22"/>
          <w:szCs w:val="22"/>
          <w:lang w:eastAsia="en-NZ"/>
        </w:rPr>
      </w:pPr>
      <w:hyperlink w:anchor="_Toc69306775" w:history="1">
        <w:r w:rsidR="0057383C" w:rsidRPr="003E1A15">
          <w:rPr>
            <w:rStyle w:val="Hyperlink"/>
            <w:noProof/>
          </w:rPr>
          <w:t>Table 5: Rate ratio of Māori to non-Māori subject to indefinite community treatment orders per 100,000 population, open on 31 December 2018 and 31 December 2019</w:t>
        </w:r>
        <w:r w:rsidR="0057383C">
          <w:rPr>
            <w:noProof/>
            <w:webHidden/>
          </w:rPr>
          <w:tab/>
        </w:r>
        <w:r w:rsidR="0057383C">
          <w:rPr>
            <w:noProof/>
            <w:webHidden/>
          </w:rPr>
          <w:fldChar w:fldCharType="begin"/>
        </w:r>
        <w:r w:rsidR="0057383C">
          <w:rPr>
            <w:noProof/>
            <w:webHidden/>
          </w:rPr>
          <w:instrText xml:space="preserve"> PAGEREF _Toc69306775 \h </w:instrText>
        </w:r>
        <w:r w:rsidR="0057383C">
          <w:rPr>
            <w:noProof/>
            <w:webHidden/>
          </w:rPr>
        </w:r>
        <w:r w:rsidR="0057383C">
          <w:rPr>
            <w:noProof/>
            <w:webHidden/>
          </w:rPr>
          <w:fldChar w:fldCharType="separate"/>
        </w:r>
        <w:r>
          <w:rPr>
            <w:noProof/>
            <w:webHidden/>
          </w:rPr>
          <w:t>13</w:t>
        </w:r>
        <w:r w:rsidR="0057383C">
          <w:rPr>
            <w:noProof/>
            <w:webHidden/>
          </w:rPr>
          <w:fldChar w:fldCharType="end"/>
        </w:r>
      </w:hyperlink>
    </w:p>
    <w:p w14:paraId="7E1DD997" w14:textId="408E5C44" w:rsidR="0057383C" w:rsidRDefault="00422361">
      <w:pPr>
        <w:pStyle w:val="TOC3"/>
        <w:rPr>
          <w:rFonts w:asciiTheme="minorHAnsi" w:eastAsiaTheme="minorEastAsia" w:hAnsiTheme="minorHAnsi" w:cstheme="minorBidi"/>
          <w:noProof/>
          <w:sz w:val="22"/>
          <w:szCs w:val="22"/>
          <w:lang w:eastAsia="en-NZ"/>
        </w:rPr>
      </w:pPr>
      <w:hyperlink w:anchor="_Toc69306776" w:history="1">
        <w:r w:rsidR="0057383C" w:rsidRPr="003E1A15">
          <w:rPr>
            <w:rStyle w:val="Hyperlink"/>
            <w:noProof/>
          </w:rPr>
          <w:t>Table 6: Rate ratio of Māori to non-Māori subject to indefinite inpatient treatment orders per 100,000 population, open on 31 December 2018 and 31 December 2019</w:t>
        </w:r>
        <w:r w:rsidR="0057383C">
          <w:rPr>
            <w:noProof/>
            <w:webHidden/>
          </w:rPr>
          <w:tab/>
        </w:r>
        <w:r w:rsidR="0057383C">
          <w:rPr>
            <w:noProof/>
            <w:webHidden/>
          </w:rPr>
          <w:fldChar w:fldCharType="begin"/>
        </w:r>
        <w:r w:rsidR="0057383C">
          <w:rPr>
            <w:noProof/>
            <w:webHidden/>
          </w:rPr>
          <w:instrText xml:space="preserve"> PAGEREF _Toc69306776 \h </w:instrText>
        </w:r>
        <w:r w:rsidR="0057383C">
          <w:rPr>
            <w:noProof/>
            <w:webHidden/>
          </w:rPr>
        </w:r>
        <w:r w:rsidR="0057383C">
          <w:rPr>
            <w:noProof/>
            <w:webHidden/>
          </w:rPr>
          <w:fldChar w:fldCharType="separate"/>
        </w:r>
        <w:r>
          <w:rPr>
            <w:noProof/>
            <w:webHidden/>
          </w:rPr>
          <w:t>16</w:t>
        </w:r>
        <w:r w:rsidR="0057383C">
          <w:rPr>
            <w:noProof/>
            <w:webHidden/>
          </w:rPr>
          <w:fldChar w:fldCharType="end"/>
        </w:r>
      </w:hyperlink>
    </w:p>
    <w:p w14:paraId="5A318245" w14:textId="4C7A9AFC" w:rsidR="0057383C" w:rsidRDefault="00422361">
      <w:pPr>
        <w:pStyle w:val="TOC3"/>
        <w:rPr>
          <w:rFonts w:asciiTheme="minorHAnsi" w:eastAsiaTheme="minorEastAsia" w:hAnsiTheme="minorHAnsi" w:cstheme="minorBidi"/>
          <w:noProof/>
          <w:sz w:val="22"/>
          <w:szCs w:val="22"/>
          <w:lang w:eastAsia="en-NZ"/>
        </w:rPr>
      </w:pPr>
      <w:hyperlink w:anchor="_Toc69306777" w:history="1">
        <w:r w:rsidR="0057383C" w:rsidRPr="003E1A15">
          <w:rPr>
            <w:rStyle w:val="Hyperlink"/>
            <w:noProof/>
          </w:rPr>
          <w:t>Table 7: Age-standardised rates of Māori and non-Māori subject to community and inpatient treatment orders (sections 29 and 30 respectively) under the Mental Health Act, by sex, 1 January to 31 December 2018</w:t>
        </w:r>
        <w:r w:rsidR="0057383C">
          <w:rPr>
            <w:noProof/>
            <w:webHidden/>
          </w:rPr>
          <w:tab/>
        </w:r>
        <w:r w:rsidR="0057383C">
          <w:rPr>
            <w:noProof/>
            <w:webHidden/>
          </w:rPr>
          <w:fldChar w:fldCharType="begin"/>
        </w:r>
        <w:r w:rsidR="0057383C">
          <w:rPr>
            <w:noProof/>
            <w:webHidden/>
          </w:rPr>
          <w:instrText xml:space="preserve"> PAGEREF _Toc69306777 \h </w:instrText>
        </w:r>
        <w:r w:rsidR="0057383C">
          <w:rPr>
            <w:noProof/>
            <w:webHidden/>
          </w:rPr>
        </w:r>
        <w:r w:rsidR="0057383C">
          <w:rPr>
            <w:noProof/>
            <w:webHidden/>
          </w:rPr>
          <w:fldChar w:fldCharType="separate"/>
        </w:r>
        <w:r>
          <w:rPr>
            <w:noProof/>
            <w:webHidden/>
          </w:rPr>
          <w:t>23</w:t>
        </w:r>
        <w:r w:rsidR="0057383C">
          <w:rPr>
            <w:noProof/>
            <w:webHidden/>
          </w:rPr>
          <w:fldChar w:fldCharType="end"/>
        </w:r>
      </w:hyperlink>
    </w:p>
    <w:p w14:paraId="385F7A31" w14:textId="77D562B5" w:rsidR="0057383C" w:rsidRDefault="00422361">
      <w:pPr>
        <w:pStyle w:val="TOC3"/>
        <w:rPr>
          <w:rFonts w:asciiTheme="minorHAnsi" w:eastAsiaTheme="minorEastAsia" w:hAnsiTheme="minorHAnsi" w:cstheme="minorBidi"/>
          <w:noProof/>
          <w:sz w:val="22"/>
          <w:szCs w:val="22"/>
          <w:lang w:eastAsia="en-NZ"/>
        </w:rPr>
      </w:pPr>
      <w:hyperlink w:anchor="_Toc69306778" w:history="1">
        <w:r w:rsidR="0057383C" w:rsidRPr="003E1A15">
          <w:rPr>
            <w:rStyle w:val="Hyperlink"/>
            <w:noProof/>
          </w:rPr>
          <w:t>Table 8: Age-standardised rates of Māori and non-Māori subject to community and inpatient treatment orders (sections 29 and 30 respectively) under the Mental Health Act, by sex, 1 January to 31 December 2019</w:t>
        </w:r>
        <w:r w:rsidR="0057383C">
          <w:rPr>
            <w:noProof/>
            <w:webHidden/>
          </w:rPr>
          <w:tab/>
        </w:r>
        <w:r w:rsidR="0057383C">
          <w:rPr>
            <w:noProof/>
            <w:webHidden/>
          </w:rPr>
          <w:fldChar w:fldCharType="begin"/>
        </w:r>
        <w:r w:rsidR="0057383C">
          <w:rPr>
            <w:noProof/>
            <w:webHidden/>
          </w:rPr>
          <w:instrText xml:space="preserve"> PAGEREF _Toc69306778 \h </w:instrText>
        </w:r>
        <w:r w:rsidR="0057383C">
          <w:rPr>
            <w:noProof/>
            <w:webHidden/>
          </w:rPr>
        </w:r>
        <w:r w:rsidR="0057383C">
          <w:rPr>
            <w:noProof/>
            <w:webHidden/>
          </w:rPr>
          <w:fldChar w:fldCharType="separate"/>
        </w:r>
        <w:r>
          <w:rPr>
            <w:noProof/>
            <w:webHidden/>
          </w:rPr>
          <w:t>24</w:t>
        </w:r>
        <w:r w:rsidR="0057383C">
          <w:rPr>
            <w:noProof/>
            <w:webHidden/>
          </w:rPr>
          <w:fldChar w:fldCharType="end"/>
        </w:r>
      </w:hyperlink>
    </w:p>
    <w:p w14:paraId="41DF7D92" w14:textId="2BEC5632" w:rsidR="0057383C" w:rsidRDefault="00422361">
      <w:pPr>
        <w:pStyle w:val="TOC3"/>
        <w:rPr>
          <w:rFonts w:asciiTheme="minorHAnsi" w:eastAsiaTheme="minorEastAsia" w:hAnsiTheme="minorHAnsi" w:cstheme="minorBidi"/>
          <w:noProof/>
          <w:sz w:val="22"/>
          <w:szCs w:val="22"/>
          <w:lang w:eastAsia="en-NZ"/>
        </w:rPr>
      </w:pPr>
      <w:hyperlink w:anchor="_Toc69306779" w:history="1">
        <w:r w:rsidR="0057383C" w:rsidRPr="003E1A15">
          <w:rPr>
            <w:rStyle w:val="Hyperlink"/>
            <w:noProof/>
          </w:rPr>
          <w:t>Table 9: Seclusion indicators for forensic mental health services, by DHB, 1 January to 31 December 2018</w:t>
        </w:r>
        <w:r w:rsidR="0057383C">
          <w:rPr>
            <w:noProof/>
            <w:webHidden/>
          </w:rPr>
          <w:tab/>
        </w:r>
        <w:r w:rsidR="0057383C">
          <w:rPr>
            <w:noProof/>
            <w:webHidden/>
          </w:rPr>
          <w:fldChar w:fldCharType="begin"/>
        </w:r>
        <w:r w:rsidR="0057383C">
          <w:rPr>
            <w:noProof/>
            <w:webHidden/>
          </w:rPr>
          <w:instrText xml:space="preserve"> PAGEREF _Toc69306779 \h </w:instrText>
        </w:r>
        <w:r w:rsidR="0057383C">
          <w:rPr>
            <w:noProof/>
            <w:webHidden/>
          </w:rPr>
        </w:r>
        <w:r w:rsidR="0057383C">
          <w:rPr>
            <w:noProof/>
            <w:webHidden/>
          </w:rPr>
          <w:fldChar w:fldCharType="separate"/>
        </w:r>
        <w:r>
          <w:rPr>
            <w:noProof/>
            <w:webHidden/>
          </w:rPr>
          <w:t>48</w:t>
        </w:r>
        <w:r w:rsidR="0057383C">
          <w:rPr>
            <w:noProof/>
            <w:webHidden/>
          </w:rPr>
          <w:fldChar w:fldCharType="end"/>
        </w:r>
      </w:hyperlink>
    </w:p>
    <w:p w14:paraId="35E126BA" w14:textId="18A29522" w:rsidR="0057383C" w:rsidRDefault="00422361">
      <w:pPr>
        <w:pStyle w:val="TOC3"/>
        <w:rPr>
          <w:rFonts w:asciiTheme="minorHAnsi" w:eastAsiaTheme="minorEastAsia" w:hAnsiTheme="minorHAnsi" w:cstheme="minorBidi"/>
          <w:noProof/>
          <w:sz w:val="22"/>
          <w:szCs w:val="22"/>
          <w:lang w:eastAsia="en-NZ"/>
        </w:rPr>
      </w:pPr>
      <w:hyperlink w:anchor="_Toc69306780" w:history="1">
        <w:r w:rsidR="0057383C" w:rsidRPr="003E1A15">
          <w:rPr>
            <w:rStyle w:val="Hyperlink"/>
            <w:noProof/>
          </w:rPr>
          <w:t>Table 10: Seclusion indicators for forensic mental health services, by DHB, 1 January to 31 December 2019</w:t>
        </w:r>
        <w:r w:rsidR="0057383C">
          <w:rPr>
            <w:noProof/>
            <w:webHidden/>
          </w:rPr>
          <w:tab/>
        </w:r>
        <w:r w:rsidR="0057383C">
          <w:rPr>
            <w:noProof/>
            <w:webHidden/>
          </w:rPr>
          <w:fldChar w:fldCharType="begin"/>
        </w:r>
        <w:r w:rsidR="0057383C">
          <w:rPr>
            <w:noProof/>
            <w:webHidden/>
          </w:rPr>
          <w:instrText xml:space="preserve"> PAGEREF _Toc69306780 \h </w:instrText>
        </w:r>
        <w:r w:rsidR="0057383C">
          <w:rPr>
            <w:noProof/>
            <w:webHidden/>
          </w:rPr>
        </w:r>
        <w:r w:rsidR="0057383C">
          <w:rPr>
            <w:noProof/>
            <w:webHidden/>
          </w:rPr>
          <w:fldChar w:fldCharType="separate"/>
        </w:r>
        <w:r>
          <w:rPr>
            <w:noProof/>
            <w:webHidden/>
          </w:rPr>
          <w:t>48</w:t>
        </w:r>
        <w:r w:rsidR="0057383C">
          <w:rPr>
            <w:noProof/>
            <w:webHidden/>
          </w:rPr>
          <w:fldChar w:fldCharType="end"/>
        </w:r>
      </w:hyperlink>
    </w:p>
    <w:p w14:paraId="19977B80" w14:textId="20C9230B" w:rsidR="0057383C" w:rsidRDefault="00422361">
      <w:pPr>
        <w:pStyle w:val="TOC3"/>
        <w:rPr>
          <w:rFonts w:asciiTheme="minorHAnsi" w:eastAsiaTheme="minorEastAsia" w:hAnsiTheme="minorHAnsi" w:cstheme="minorBidi"/>
          <w:noProof/>
          <w:sz w:val="22"/>
          <w:szCs w:val="22"/>
          <w:lang w:eastAsia="en-NZ"/>
        </w:rPr>
      </w:pPr>
      <w:hyperlink w:anchor="_Toc69306781" w:history="1">
        <w:r w:rsidR="0057383C" w:rsidRPr="003E1A15">
          <w:rPr>
            <w:rStyle w:val="Hyperlink"/>
            <w:noProof/>
          </w:rPr>
          <w:t>Table 11: Total number of special patients, by type and DHB, 1 January to 31 December 2018</w:t>
        </w:r>
        <w:r w:rsidR="0057383C">
          <w:rPr>
            <w:noProof/>
            <w:webHidden/>
          </w:rPr>
          <w:tab/>
        </w:r>
        <w:r w:rsidR="0057383C">
          <w:rPr>
            <w:noProof/>
            <w:webHidden/>
          </w:rPr>
          <w:fldChar w:fldCharType="begin"/>
        </w:r>
        <w:r w:rsidR="0057383C">
          <w:rPr>
            <w:noProof/>
            <w:webHidden/>
          </w:rPr>
          <w:instrText xml:space="preserve"> PAGEREF _Toc69306781 \h </w:instrText>
        </w:r>
        <w:r w:rsidR="0057383C">
          <w:rPr>
            <w:noProof/>
            <w:webHidden/>
          </w:rPr>
        </w:r>
        <w:r w:rsidR="0057383C">
          <w:rPr>
            <w:noProof/>
            <w:webHidden/>
          </w:rPr>
          <w:fldChar w:fldCharType="separate"/>
        </w:r>
        <w:r>
          <w:rPr>
            <w:noProof/>
            <w:webHidden/>
          </w:rPr>
          <w:t>51</w:t>
        </w:r>
        <w:r w:rsidR="0057383C">
          <w:rPr>
            <w:noProof/>
            <w:webHidden/>
          </w:rPr>
          <w:fldChar w:fldCharType="end"/>
        </w:r>
      </w:hyperlink>
    </w:p>
    <w:p w14:paraId="63698D61" w14:textId="6A406446" w:rsidR="0057383C" w:rsidRDefault="00422361">
      <w:pPr>
        <w:pStyle w:val="TOC3"/>
        <w:rPr>
          <w:rFonts w:asciiTheme="minorHAnsi" w:eastAsiaTheme="minorEastAsia" w:hAnsiTheme="minorHAnsi" w:cstheme="minorBidi"/>
          <w:noProof/>
          <w:sz w:val="22"/>
          <w:szCs w:val="22"/>
          <w:lang w:eastAsia="en-NZ"/>
        </w:rPr>
      </w:pPr>
      <w:hyperlink w:anchor="_Toc69306782" w:history="1">
        <w:r w:rsidR="0057383C" w:rsidRPr="003E1A15">
          <w:rPr>
            <w:rStyle w:val="Hyperlink"/>
            <w:noProof/>
          </w:rPr>
          <w:t>Table 12: Total number of special patients, by type and DHB, 1 January to 31 December 2019</w:t>
        </w:r>
        <w:r w:rsidR="0057383C">
          <w:rPr>
            <w:noProof/>
            <w:webHidden/>
          </w:rPr>
          <w:tab/>
        </w:r>
        <w:r w:rsidR="0057383C">
          <w:rPr>
            <w:noProof/>
            <w:webHidden/>
          </w:rPr>
          <w:fldChar w:fldCharType="begin"/>
        </w:r>
        <w:r w:rsidR="0057383C">
          <w:rPr>
            <w:noProof/>
            <w:webHidden/>
          </w:rPr>
          <w:instrText xml:space="preserve"> PAGEREF _Toc69306782 \h </w:instrText>
        </w:r>
        <w:r w:rsidR="0057383C">
          <w:rPr>
            <w:noProof/>
            <w:webHidden/>
          </w:rPr>
        </w:r>
        <w:r w:rsidR="0057383C">
          <w:rPr>
            <w:noProof/>
            <w:webHidden/>
          </w:rPr>
          <w:fldChar w:fldCharType="separate"/>
        </w:r>
        <w:r>
          <w:rPr>
            <w:noProof/>
            <w:webHidden/>
          </w:rPr>
          <w:t>51</w:t>
        </w:r>
        <w:r w:rsidR="0057383C">
          <w:rPr>
            <w:noProof/>
            <w:webHidden/>
          </w:rPr>
          <w:fldChar w:fldCharType="end"/>
        </w:r>
      </w:hyperlink>
    </w:p>
    <w:p w14:paraId="63619EB3" w14:textId="7EE384F2" w:rsidR="0057383C" w:rsidRDefault="00422361">
      <w:pPr>
        <w:pStyle w:val="TOC3"/>
        <w:rPr>
          <w:rFonts w:asciiTheme="minorHAnsi" w:eastAsiaTheme="minorEastAsia" w:hAnsiTheme="minorHAnsi" w:cstheme="minorBidi"/>
          <w:noProof/>
          <w:sz w:val="22"/>
          <w:szCs w:val="22"/>
          <w:lang w:eastAsia="en-NZ"/>
        </w:rPr>
      </w:pPr>
      <w:hyperlink w:anchor="_Toc69306783" w:history="1">
        <w:r w:rsidR="0057383C" w:rsidRPr="003E1A15">
          <w:rPr>
            <w:rStyle w:val="Hyperlink"/>
            <w:noProof/>
          </w:rPr>
          <w:t>Table 13: Number of section 50 long leave, revocation and reclassification applications sent to the Minister of Health for special patients and restricted patients, 1 January to 31 December 2018</w:t>
        </w:r>
        <w:r w:rsidR="0057383C">
          <w:rPr>
            <w:noProof/>
            <w:webHidden/>
          </w:rPr>
          <w:tab/>
        </w:r>
        <w:r w:rsidR="0057383C">
          <w:rPr>
            <w:noProof/>
            <w:webHidden/>
          </w:rPr>
          <w:fldChar w:fldCharType="begin"/>
        </w:r>
        <w:r w:rsidR="0057383C">
          <w:rPr>
            <w:noProof/>
            <w:webHidden/>
          </w:rPr>
          <w:instrText xml:space="preserve"> PAGEREF _Toc69306783 \h </w:instrText>
        </w:r>
        <w:r w:rsidR="0057383C">
          <w:rPr>
            <w:noProof/>
            <w:webHidden/>
          </w:rPr>
        </w:r>
        <w:r w:rsidR="0057383C">
          <w:rPr>
            <w:noProof/>
            <w:webHidden/>
          </w:rPr>
          <w:fldChar w:fldCharType="separate"/>
        </w:r>
        <w:r>
          <w:rPr>
            <w:noProof/>
            <w:webHidden/>
          </w:rPr>
          <w:t>57</w:t>
        </w:r>
        <w:r w:rsidR="0057383C">
          <w:rPr>
            <w:noProof/>
            <w:webHidden/>
          </w:rPr>
          <w:fldChar w:fldCharType="end"/>
        </w:r>
      </w:hyperlink>
    </w:p>
    <w:p w14:paraId="3312186A" w14:textId="61ACC2A4" w:rsidR="0057383C" w:rsidRDefault="00422361">
      <w:pPr>
        <w:pStyle w:val="TOC3"/>
        <w:rPr>
          <w:rFonts w:asciiTheme="minorHAnsi" w:eastAsiaTheme="minorEastAsia" w:hAnsiTheme="minorHAnsi" w:cstheme="minorBidi"/>
          <w:noProof/>
          <w:sz w:val="22"/>
          <w:szCs w:val="22"/>
          <w:lang w:eastAsia="en-NZ"/>
        </w:rPr>
      </w:pPr>
      <w:hyperlink w:anchor="_Toc69306784" w:history="1">
        <w:r w:rsidR="0057383C" w:rsidRPr="003E1A15">
          <w:rPr>
            <w:rStyle w:val="Hyperlink"/>
            <w:noProof/>
          </w:rPr>
          <w:t>Table 14: Number of mental health adverse events that DHBs reported to the HQSC, by type of event, 1 January to 31 December 2018</w:t>
        </w:r>
        <w:r w:rsidR="0057383C">
          <w:rPr>
            <w:noProof/>
            <w:webHidden/>
          </w:rPr>
          <w:tab/>
        </w:r>
        <w:r w:rsidR="0057383C">
          <w:rPr>
            <w:noProof/>
            <w:webHidden/>
          </w:rPr>
          <w:fldChar w:fldCharType="begin"/>
        </w:r>
        <w:r w:rsidR="0057383C">
          <w:rPr>
            <w:noProof/>
            <w:webHidden/>
          </w:rPr>
          <w:instrText xml:space="preserve"> PAGEREF _Toc69306784 \h </w:instrText>
        </w:r>
        <w:r w:rsidR="0057383C">
          <w:rPr>
            <w:noProof/>
            <w:webHidden/>
          </w:rPr>
        </w:r>
        <w:r w:rsidR="0057383C">
          <w:rPr>
            <w:noProof/>
            <w:webHidden/>
          </w:rPr>
          <w:fldChar w:fldCharType="separate"/>
        </w:r>
        <w:r>
          <w:rPr>
            <w:noProof/>
            <w:webHidden/>
          </w:rPr>
          <w:t>59</w:t>
        </w:r>
        <w:r w:rsidR="0057383C">
          <w:rPr>
            <w:noProof/>
            <w:webHidden/>
          </w:rPr>
          <w:fldChar w:fldCharType="end"/>
        </w:r>
      </w:hyperlink>
    </w:p>
    <w:p w14:paraId="583F56C0" w14:textId="0182315F" w:rsidR="0057383C" w:rsidRDefault="00422361">
      <w:pPr>
        <w:pStyle w:val="TOC3"/>
        <w:rPr>
          <w:rFonts w:asciiTheme="minorHAnsi" w:eastAsiaTheme="minorEastAsia" w:hAnsiTheme="minorHAnsi" w:cstheme="minorBidi"/>
          <w:noProof/>
          <w:sz w:val="22"/>
          <w:szCs w:val="22"/>
          <w:lang w:eastAsia="en-NZ"/>
        </w:rPr>
      </w:pPr>
      <w:hyperlink w:anchor="_Toc69306785" w:history="1">
        <w:r w:rsidR="0057383C" w:rsidRPr="003E1A15">
          <w:rPr>
            <w:rStyle w:val="Hyperlink"/>
            <w:noProof/>
          </w:rPr>
          <w:t>Table 15: Number of mental health adverse events that DHBs reported to the HQSC, by type of event, 1 January to 31 December 2019</w:t>
        </w:r>
        <w:r w:rsidR="0057383C">
          <w:rPr>
            <w:noProof/>
            <w:webHidden/>
          </w:rPr>
          <w:tab/>
        </w:r>
        <w:r w:rsidR="0057383C">
          <w:rPr>
            <w:noProof/>
            <w:webHidden/>
          </w:rPr>
          <w:fldChar w:fldCharType="begin"/>
        </w:r>
        <w:r w:rsidR="0057383C">
          <w:rPr>
            <w:noProof/>
            <w:webHidden/>
          </w:rPr>
          <w:instrText xml:space="preserve"> PAGEREF _Toc69306785 \h </w:instrText>
        </w:r>
        <w:r w:rsidR="0057383C">
          <w:rPr>
            <w:noProof/>
            <w:webHidden/>
          </w:rPr>
        </w:r>
        <w:r w:rsidR="0057383C">
          <w:rPr>
            <w:noProof/>
            <w:webHidden/>
          </w:rPr>
          <w:fldChar w:fldCharType="separate"/>
        </w:r>
        <w:r>
          <w:rPr>
            <w:noProof/>
            <w:webHidden/>
          </w:rPr>
          <w:t>59</w:t>
        </w:r>
        <w:r w:rsidR="0057383C">
          <w:rPr>
            <w:noProof/>
            <w:webHidden/>
          </w:rPr>
          <w:fldChar w:fldCharType="end"/>
        </w:r>
      </w:hyperlink>
    </w:p>
    <w:p w14:paraId="10EFDF17" w14:textId="512E3852" w:rsidR="0057383C" w:rsidRDefault="00422361">
      <w:pPr>
        <w:pStyle w:val="TOC3"/>
        <w:rPr>
          <w:rFonts w:asciiTheme="minorHAnsi" w:eastAsiaTheme="minorEastAsia" w:hAnsiTheme="minorHAnsi" w:cstheme="minorBidi"/>
          <w:noProof/>
          <w:sz w:val="22"/>
          <w:szCs w:val="22"/>
          <w:lang w:eastAsia="en-NZ"/>
        </w:rPr>
      </w:pPr>
      <w:hyperlink w:anchor="_Toc69306786" w:history="1">
        <w:r w:rsidR="0057383C" w:rsidRPr="003E1A15">
          <w:rPr>
            <w:rStyle w:val="Hyperlink"/>
            <w:noProof/>
          </w:rPr>
          <w:t>Table 16: Mental health adverse events that DHBs reported to the HQSC, by DHB, 1 January to 31 December 2018</w:t>
        </w:r>
        <w:r w:rsidR="0057383C">
          <w:rPr>
            <w:noProof/>
            <w:webHidden/>
          </w:rPr>
          <w:tab/>
        </w:r>
        <w:r w:rsidR="0057383C">
          <w:rPr>
            <w:noProof/>
            <w:webHidden/>
          </w:rPr>
          <w:fldChar w:fldCharType="begin"/>
        </w:r>
        <w:r w:rsidR="0057383C">
          <w:rPr>
            <w:noProof/>
            <w:webHidden/>
          </w:rPr>
          <w:instrText xml:space="preserve"> PAGEREF _Toc69306786 \h </w:instrText>
        </w:r>
        <w:r w:rsidR="0057383C">
          <w:rPr>
            <w:noProof/>
            <w:webHidden/>
          </w:rPr>
        </w:r>
        <w:r w:rsidR="0057383C">
          <w:rPr>
            <w:noProof/>
            <w:webHidden/>
          </w:rPr>
          <w:fldChar w:fldCharType="separate"/>
        </w:r>
        <w:r>
          <w:rPr>
            <w:noProof/>
            <w:webHidden/>
          </w:rPr>
          <w:t>59</w:t>
        </w:r>
        <w:r w:rsidR="0057383C">
          <w:rPr>
            <w:noProof/>
            <w:webHidden/>
          </w:rPr>
          <w:fldChar w:fldCharType="end"/>
        </w:r>
      </w:hyperlink>
    </w:p>
    <w:p w14:paraId="5D4E38F0" w14:textId="56A1388D" w:rsidR="0057383C" w:rsidRDefault="00422361">
      <w:pPr>
        <w:pStyle w:val="TOC3"/>
        <w:rPr>
          <w:rFonts w:asciiTheme="minorHAnsi" w:eastAsiaTheme="minorEastAsia" w:hAnsiTheme="minorHAnsi" w:cstheme="minorBidi"/>
          <w:noProof/>
          <w:sz w:val="22"/>
          <w:szCs w:val="22"/>
          <w:lang w:eastAsia="en-NZ"/>
        </w:rPr>
      </w:pPr>
      <w:hyperlink w:anchor="_Toc69306787" w:history="1">
        <w:r w:rsidR="0057383C" w:rsidRPr="003E1A15">
          <w:rPr>
            <w:rStyle w:val="Hyperlink"/>
            <w:noProof/>
          </w:rPr>
          <w:t>Table 17: Mental health adverse events that DHBs reported to the HQSC, by DHB, 1 January to 31 December 2019</w:t>
        </w:r>
        <w:r w:rsidR="0057383C">
          <w:rPr>
            <w:noProof/>
            <w:webHidden/>
          </w:rPr>
          <w:tab/>
        </w:r>
        <w:r w:rsidR="0057383C">
          <w:rPr>
            <w:noProof/>
            <w:webHidden/>
          </w:rPr>
          <w:fldChar w:fldCharType="begin"/>
        </w:r>
        <w:r w:rsidR="0057383C">
          <w:rPr>
            <w:noProof/>
            <w:webHidden/>
          </w:rPr>
          <w:instrText xml:space="preserve"> PAGEREF _Toc69306787 \h </w:instrText>
        </w:r>
        <w:r w:rsidR="0057383C">
          <w:rPr>
            <w:noProof/>
            <w:webHidden/>
          </w:rPr>
        </w:r>
        <w:r w:rsidR="0057383C">
          <w:rPr>
            <w:noProof/>
            <w:webHidden/>
          </w:rPr>
          <w:fldChar w:fldCharType="separate"/>
        </w:r>
        <w:r>
          <w:rPr>
            <w:noProof/>
            <w:webHidden/>
          </w:rPr>
          <w:t>60</w:t>
        </w:r>
        <w:r w:rsidR="0057383C">
          <w:rPr>
            <w:noProof/>
            <w:webHidden/>
          </w:rPr>
          <w:fldChar w:fldCharType="end"/>
        </w:r>
      </w:hyperlink>
    </w:p>
    <w:p w14:paraId="1CEB4940" w14:textId="5611CD6A" w:rsidR="0057383C" w:rsidRDefault="00422361">
      <w:pPr>
        <w:pStyle w:val="TOC3"/>
        <w:rPr>
          <w:rFonts w:asciiTheme="minorHAnsi" w:eastAsiaTheme="minorEastAsia" w:hAnsiTheme="minorHAnsi" w:cstheme="minorBidi"/>
          <w:noProof/>
          <w:sz w:val="22"/>
          <w:szCs w:val="22"/>
          <w:lang w:eastAsia="en-NZ"/>
        </w:rPr>
      </w:pPr>
      <w:hyperlink w:anchor="_Toc69306788" w:history="1">
        <w:r w:rsidR="0057383C" w:rsidRPr="003E1A15">
          <w:rPr>
            <w:rStyle w:val="Hyperlink"/>
            <w:noProof/>
          </w:rPr>
          <w:t>Table 18: ECT indicators, by DHB of domicile, 1 January to 31 December 2018</w:t>
        </w:r>
        <w:r w:rsidR="0057383C">
          <w:rPr>
            <w:noProof/>
            <w:webHidden/>
          </w:rPr>
          <w:tab/>
        </w:r>
        <w:r w:rsidR="0057383C">
          <w:rPr>
            <w:noProof/>
            <w:webHidden/>
          </w:rPr>
          <w:fldChar w:fldCharType="begin"/>
        </w:r>
        <w:r w:rsidR="0057383C">
          <w:rPr>
            <w:noProof/>
            <w:webHidden/>
          </w:rPr>
          <w:instrText xml:space="preserve"> PAGEREF _Toc69306788 \h </w:instrText>
        </w:r>
        <w:r w:rsidR="0057383C">
          <w:rPr>
            <w:noProof/>
            <w:webHidden/>
          </w:rPr>
        </w:r>
        <w:r w:rsidR="0057383C">
          <w:rPr>
            <w:noProof/>
            <w:webHidden/>
          </w:rPr>
          <w:fldChar w:fldCharType="separate"/>
        </w:r>
        <w:r>
          <w:rPr>
            <w:noProof/>
            <w:webHidden/>
          </w:rPr>
          <w:t>63</w:t>
        </w:r>
        <w:r w:rsidR="0057383C">
          <w:rPr>
            <w:noProof/>
            <w:webHidden/>
          </w:rPr>
          <w:fldChar w:fldCharType="end"/>
        </w:r>
      </w:hyperlink>
    </w:p>
    <w:p w14:paraId="0965CB9C" w14:textId="62ABCCAE" w:rsidR="0057383C" w:rsidRDefault="00422361">
      <w:pPr>
        <w:pStyle w:val="TOC3"/>
        <w:rPr>
          <w:rFonts w:asciiTheme="minorHAnsi" w:eastAsiaTheme="minorEastAsia" w:hAnsiTheme="minorHAnsi" w:cstheme="minorBidi"/>
          <w:noProof/>
          <w:sz w:val="22"/>
          <w:szCs w:val="22"/>
          <w:lang w:eastAsia="en-NZ"/>
        </w:rPr>
      </w:pPr>
      <w:hyperlink w:anchor="_Toc69306789" w:history="1">
        <w:r w:rsidR="0057383C" w:rsidRPr="003E1A15">
          <w:rPr>
            <w:rStyle w:val="Hyperlink"/>
            <w:noProof/>
          </w:rPr>
          <w:t>Table 19: ECT indicators, by DHB of domicile, 1 January to 31 December 2019</w:t>
        </w:r>
        <w:r w:rsidR="0057383C">
          <w:rPr>
            <w:noProof/>
            <w:webHidden/>
          </w:rPr>
          <w:tab/>
        </w:r>
        <w:r w:rsidR="0057383C">
          <w:rPr>
            <w:noProof/>
            <w:webHidden/>
          </w:rPr>
          <w:fldChar w:fldCharType="begin"/>
        </w:r>
        <w:r w:rsidR="0057383C">
          <w:rPr>
            <w:noProof/>
            <w:webHidden/>
          </w:rPr>
          <w:instrText xml:space="preserve"> PAGEREF _Toc69306789 \h </w:instrText>
        </w:r>
        <w:r w:rsidR="0057383C">
          <w:rPr>
            <w:noProof/>
            <w:webHidden/>
          </w:rPr>
        </w:r>
        <w:r w:rsidR="0057383C">
          <w:rPr>
            <w:noProof/>
            <w:webHidden/>
          </w:rPr>
          <w:fldChar w:fldCharType="separate"/>
        </w:r>
        <w:r>
          <w:rPr>
            <w:noProof/>
            <w:webHidden/>
          </w:rPr>
          <w:t>64</w:t>
        </w:r>
        <w:r w:rsidR="0057383C">
          <w:rPr>
            <w:noProof/>
            <w:webHidden/>
          </w:rPr>
          <w:fldChar w:fldCharType="end"/>
        </w:r>
      </w:hyperlink>
    </w:p>
    <w:p w14:paraId="2140CB5B" w14:textId="437B16E7" w:rsidR="0057383C" w:rsidRDefault="00422361">
      <w:pPr>
        <w:pStyle w:val="TOC3"/>
        <w:rPr>
          <w:rFonts w:asciiTheme="minorHAnsi" w:eastAsiaTheme="minorEastAsia" w:hAnsiTheme="minorHAnsi" w:cstheme="minorBidi"/>
          <w:noProof/>
          <w:sz w:val="22"/>
          <w:szCs w:val="22"/>
          <w:lang w:eastAsia="en-NZ"/>
        </w:rPr>
      </w:pPr>
      <w:hyperlink w:anchor="_Toc69306790" w:history="1">
        <w:r w:rsidR="0057383C" w:rsidRPr="003E1A15">
          <w:rPr>
            <w:rStyle w:val="Hyperlink"/>
            <w:noProof/>
          </w:rPr>
          <w:t>Table 20: Number of people treated with ECT, by ethnicity, 1 January to 31 December 2018</w:t>
        </w:r>
        <w:r w:rsidR="0057383C">
          <w:rPr>
            <w:noProof/>
            <w:webHidden/>
          </w:rPr>
          <w:tab/>
        </w:r>
        <w:r w:rsidR="0057383C">
          <w:rPr>
            <w:noProof/>
            <w:webHidden/>
          </w:rPr>
          <w:fldChar w:fldCharType="begin"/>
        </w:r>
        <w:r w:rsidR="0057383C">
          <w:rPr>
            <w:noProof/>
            <w:webHidden/>
          </w:rPr>
          <w:instrText xml:space="preserve"> PAGEREF _Toc69306790 \h </w:instrText>
        </w:r>
        <w:r w:rsidR="0057383C">
          <w:rPr>
            <w:noProof/>
            <w:webHidden/>
          </w:rPr>
        </w:r>
        <w:r w:rsidR="0057383C">
          <w:rPr>
            <w:noProof/>
            <w:webHidden/>
          </w:rPr>
          <w:fldChar w:fldCharType="separate"/>
        </w:r>
        <w:r>
          <w:rPr>
            <w:noProof/>
            <w:webHidden/>
          </w:rPr>
          <w:t>66</w:t>
        </w:r>
        <w:r w:rsidR="0057383C">
          <w:rPr>
            <w:noProof/>
            <w:webHidden/>
          </w:rPr>
          <w:fldChar w:fldCharType="end"/>
        </w:r>
      </w:hyperlink>
    </w:p>
    <w:p w14:paraId="4DC637ED" w14:textId="49D23DB8" w:rsidR="0057383C" w:rsidRDefault="00422361">
      <w:pPr>
        <w:pStyle w:val="TOC3"/>
        <w:rPr>
          <w:rFonts w:asciiTheme="minorHAnsi" w:eastAsiaTheme="minorEastAsia" w:hAnsiTheme="minorHAnsi" w:cstheme="minorBidi"/>
          <w:noProof/>
          <w:sz w:val="22"/>
          <w:szCs w:val="22"/>
          <w:lang w:eastAsia="en-NZ"/>
        </w:rPr>
      </w:pPr>
      <w:hyperlink w:anchor="_Toc69306791" w:history="1">
        <w:r w:rsidR="0057383C" w:rsidRPr="003E1A15">
          <w:rPr>
            <w:rStyle w:val="Hyperlink"/>
            <w:noProof/>
          </w:rPr>
          <w:t>Table 21: Number of people treated with ECT, by ethnicity, 1 January to 31 December 2019</w:t>
        </w:r>
        <w:r w:rsidR="0057383C">
          <w:rPr>
            <w:noProof/>
            <w:webHidden/>
          </w:rPr>
          <w:tab/>
        </w:r>
        <w:r w:rsidR="0057383C">
          <w:rPr>
            <w:noProof/>
            <w:webHidden/>
          </w:rPr>
          <w:fldChar w:fldCharType="begin"/>
        </w:r>
        <w:r w:rsidR="0057383C">
          <w:rPr>
            <w:noProof/>
            <w:webHidden/>
          </w:rPr>
          <w:instrText xml:space="preserve"> PAGEREF _Toc69306791 \h </w:instrText>
        </w:r>
        <w:r w:rsidR="0057383C">
          <w:rPr>
            <w:noProof/>
            <w:webHidden/>
          </w:rPr>
        </w:r>
        <w:r w:rsidR="0057383C">
          <w:rPr>
            <w:noProof/>
            <w:webHidden/>
          </w:rPr>
          <w:fldChar w:fldCharType="separate"/>
        </w:r>
        <w:r>
          <w:rPr>
            <w:noProof/>
            <w:webHidden/>
          </w:rPr>
          <w:t>66</w:t>
        </w:r>
        <w:r w:rsidR="0057383C">
          <w:rPr>
            <w:noProof/>
            <w:webHidden/>
          </w:rPr>
          <w:fldChar w:fldCharType="end"/>
        </w:r>
      </w:hyperlink>
    </w:p>
    <w:p w14:paraId="485C5F15" w14:textId="2B4391DD" w:rsidR="0057383C" w:rsidRDefault="00422361">
      <w:pPr>
        <w:pStyle w:val="TOC3"/>
        <w:rPr>
          <w:rFonts w:asciiTheme="minorHAnsi" w:eastAsiaTheme="minorEastAsia" w:hAnsiTheme="minorHAnsi" w:cstheme="minorBidi"/>
          <w:noProof/>
          <w:sz w:val="22"/>
          <w:szCs w:val="22"/>
          <w:lang w:eastAsia="en-NZ"/>
        </w:rPr>
      </w:pPr>
      <w:hyperlink w:anchor="_Toc69306792" w:history="1">
        <w:r w:rsidR="0057383C" w:rsidRPr="003E1A15">
          <w:rPr>
            <w:rStyle w:val="Hyperlink"/>
            <w:noProof/>
          </w:rPr>
          <w:t>Table 22: ECT administered under second opinion without consent, by DHB of service, 1 January to 31 December 2018</w:t>
        </w:r>
        <w:r w:rsidR="0057383C">
          <w:rPr>
            <w:noProof/>
            <w:webHidden/>
          </w:rPr>
          <w:tab/>
        </w:r>
        <w:r w:rsidR="0057383C">
          <w:rPr>
            <w:noProof/>
            <w:webHidden/>
          </w:rPr>
          <w:fldChar w:fldCharType="begin"/>
        </w:r>
        <w:r w:rsidR="0057383C">
          <w:rPr>
            <w:noProof/>
            <w:webHidden/>
          </w:rPr>
          <w:instrText xml:space="preserve"> PAGEREF _Toc69306792 \h </w:instrText>
        </w:r>
        <w:r w:rsidR="0057383C">
          <w:rPr>
            <w:noProof/>
            <w:webHidden/>
          </w:rPr>
        </w:r>
        <w:r w:rsidR="0057383C">
          <w:rPr>
            <w:noProof/>
            <w:webHidden/>
          </w:rPr>
          <w:fldChar w:fldCharType="separate"/>
        </w:r>
        <w:r>
          <w:rPr>
            <w:noProof/>
            <w:webHidden/>
          </w:rPr>
          <w:t>67</w:t>
        </w:r>
        <w:r w:rsidR="0057383C">
          <w:rPr>
            <w:noProof/>
            <w:webHidden/>
          </w:rPr>
          <w:fldChar w:fldCharType="end"/>
        </w:r>
      </w:hyperlink>
    </w:p>
    <w:p w14:paraId="1AB87642" w14:textId="571BC962" w:rsidR="0057383C" w:rsidRDefault="00422361">
      <w:pPr>
        <w:pStyle w:val="TOC3"/>
        <w:rPr>
          <w:rFonts w:asciiTheme="minorHAnsi" w:eastAsiaTheme="minorEastAsia" w:hAnsiTheme="minorHAnsi" w:cstheme="minorBidi"/>
          <w:noProof/>
          <w:sz w:val="22"/>
          <w:szCs w:val="22"/>
          <w:lang w:eastAsia="en-NZ"/>
        </w:rPr>
      </w:pPr>
      <w:hyperlink w:anchor="_Toc69306793" w:history="1">
        <w:r w:rsidR="0057383C" w:rsidRPr="003E1A15">
          <w:rPr>
            <w:rStyle w:val="Hyperlink"/>
            <w:noProof/>
          </w:rPr>
          <w:t>Table 23: ECT administered under second opinion without consent, by DHB of service, 1 January to 31 December 2019</w:t>
        </w:r>
        <w:r w:rsidR="0057383C">
          <w:rPr>
            <w:noProof/>
            <w:webHidden/>
          </w:rPr>
          <w:tab/>
        </w:r>
        <w:r w:rsidR="0057383C">
          <w:rPr>
            <w:noProof/>
            <w:webHidden/>
          </w:rPr>
          <w:fldChar w:fldCharType="begin"/>
        </w:r>
        <w:r w:rsidR="0057383C">
          <w:rPr>
            <w:noProof/>
            <w:webHidden/>
          </w:rPr>
          <w:instrText xml:space="preserve"> PAGEREF _Toc69306793 \h </w:instrText>
        </w:r>
        <w:r w:rsidR="0057383C">
          <w:rPr>
            <w:noProof/>
            <w:webHidden/>
          </w:rPr>
        </w:r>
        <w:r w:rsidR="0057383C">
          <w:rPr>
            <w:noProof/>
            <w:webHidden/>
          </w:rPr>
          <w:fldChar w:fldCharType="separate"/>
        </w:r>
        <w:r>
          <w:rPr>
            <w:noProof/>
            <w:webHidden/>
          </w:rPr>
          <w:t>68</w:t>
        </w:r>
        <w:r w:rsidR="0057383C">
          <w:rPr>
            <w:noProof/>
            <w:webHidden/>
          </w:rPr>
          <w:fldChar w:fldCharType="end"/>
        </w:r>
      </w:hyperlink>
    </w:p>
    <w:p w14:paraId="319D7C59" w14:textId="69205CEE" w:rsidR="0057383C" w:rsidRDefault="00422361">
      <w:pPr>
        <w:pStyle w:val="TOC3"/>
        <w:rPr>
          <w:rFonts w:asciiTheme="minorHAnsi" w:eastAsiaTheme="minorEastAsia" w:hAnsiTheme="minorHAnsi" w:cstheme="minorBidi"/>
          <w:noProof/>
          <w:sz w:val="22"/>
          <w:szCs w:val="22"/>
          <w:lang w:eastAsia="en-NZ"/>
        </w:rPr>
      </w:pPr>
      <w:hyperlink w:anchor="_Toc69306794" w:history="1">
        <w:r w:rsidR="0057383C" w:rsidRPr="003E1A15">
          <w:rPr>
            <w:rStyle w:val="Hyperlink"/>
            <w:noProof/>
          </w:rPr>
          <w:t>Table A1: Applications for compulsory treatment orders or extensions, 2004–2019</w:t>
        </w:r>
        <w:r w:rsidR="0057383C">
          <w:rPr>
            <w:noProof/>
            <w:webHidden/>
          </w:rPr>
          <w:tab/>
        </w:r>
        <w:r w:rsidR="0057383C">
          <w:rPr>
            <w:noProof/>
            <w:webHidden/>
          </w:rPr>
          <w:fldChar w:fldCharType="begin"/>
        </w:r>
        <w:r w:rsidR="0057383C">
          <w:rPr>
            <w:noProof/>
            <w:webHidden/>
          </w:rPr>
          <w:instrText xml:space="preserve"> PAGEREF _Toc69306794 \h </w:instrText>
        </w:r>
        <w:r w:rsidR="0057383C">
          <w:rPr>
            <w:noProof/>
            <w:webHidden/>
          </w:rPr>
        </w:r>
        <w:r w:rsidR="0057383C">
          <w:rPr>
            <w:noProof/>
            <w:webHidden/>
          </w:rPr>
          <w:fldChar w:fldCharType="separate"/>
        </w:r>
        <w:r>
          <w:rPr>
            <w:noProof/>
            <w:webHidden/>
          </w:rPr>
          <w:t>82</w:t>
        </w:r>
        <w:r w:rsidR="0057383C">
          <w:rPr>
            <w:noProof/>
            <w:webHidden/>
          </w:rPr>
          <w:fldChar w:fldCharType="end"/>
        </w:r>
      </w:hyperlink>
    </w:p>
    <w:p w14:paraId="01B828EB" w14:textId="42794213" w:rsidR="0057383C" w:rsidRDefault="00422361">
      <w:pPr>
        <w:pStyle w:val="TOC3"/>
        <w:rPr>
          <w:rFonts w:asciiTheme="minorHAnsi" w:eastAsiaTheme="minorEastAsia" w:hAnsiTheme="minorHAnsi" w:cstheme="minorBidi"/>
          <w:noProof/>
          <w:sz w:val="22"/>
          <w:szCs w:val="22"/>
          <w:lang w:eastAsia="en-NZ"/>
        </w:rPr>
      </w:pPr>
      <w:hyperlink w:anchor="_Toc69306795" w:history="1">
        <w:r w:rsidR="0057383C" w:rsidRPr="003E1A15">
          <w:rPr>
            <w:rStyle w:val="Hyperlink"/>
            <w:noProof/>
          </w:rPr>
          <w:t>Table A2: Types of compulsory treatment orders made on granted applications, 2004–2019</w:t>
        </w:r>
        <w:r w:rsidR="0057383C">
          <w:rPr>
            <w:noProof/>
            <w:webHidden/>
          </w:rPr>
          <w:tab/>
        </w:r>
        <w:r w:rsidR="0057383C">
          <w:rPr>
            <w:noProof/>
            <w:webHidden/>
          </w:rPr>
          <w:fldChar w:fldCharType="begin"/>
        </w:r>
        <w:r w:rsidR="0057383C">
          <w:rPr>
            <w:noProof/>
            <w:webHidden/>
          </w:rPr>
          <w:instrText xml:space="preserve"> PAGEREF _Toc69306795 \h </w:instrText>
        </w:r>
        <w:r w:rsidR="0057383C">
          <w:rPr>
            <w:noProof/>
            <w:webHidden/>
          </w:rPr>
        </w:r>
        <w:r w:rsidR="0057383C">
          <w:rPr>
            <w:noProof/>
            <w:webHidden/>
          </w:rPr>
          <w:fldChar w:fldCharType="separate"/>
        </w:r>
        <w:r>
          <w:rPr>
            <w:noProof/>
            <w:webHidden/>
          </w:rPr>
          <w:t>83</w:t>
        </w:r>
        <w:r w:rsidR="0057383C">
          <w:rPr>
            <w:noProof/>
            <w:webHidden/>
          </w:rPr>
          <w:fldChar w:fldCharType="end"/>
        </w:r>
      </w:hyperlink>
    </w:p>
    <w:p w14:paraId="110676E5" w14:textId="3971441C" w:rsidR="0057383C" w:rsidRDefault="00422361">
      <w:pPr>
        <w:pStyle w:val="TOC3"/>
        <w:rPr>
          <w:rFonts w:asciiTheme="minorHAnsi" w:eastAsiaTheme="minorEastAsia" w:hAnsiTheme="minorHAnsi" w:cstheme="minorBidi"/>
          <w:noProof/>
          <w:sz w:val="22"/>
          <w:szCs w:val="22"/>
          <w:lang w:eastAsia="en-NZ"/>
        </w:rPr>
      </w:pPr>
      <w:hyperlink w:anchor="_Toc69306796" w:history="1">
        <w:r w:rsidR="0057383C" w:rsidRPr="003E1A15">
          <w:rPr>
            <w:rStyle w:val="Hyperlink"/>
            <w:noProof/>
          </w:rPr>
          <w:t>Table A3: Seclusion data in New Zealand mental health services, 1 January to 31 December 2018</w:t>
        </w:r>
        <w:r w:rsidR="0057383C">
          <w:rPr>
            <w:noProof/>
            <w:webHidden/>
          </w:rPr>
          <w:tab/>
        </w:r>
        <w:r w:rsidR="0057383C">
          <w:rPr>
            <w:noProof/>
            <w:webHidden/>
          </w:rPr>
          <w:fldChar w:fldCharType="begin"/>
        </w:r>
        <w:r w:rsidR="0057383C">
          <w:rPr>
            <w:noProof/>
            <w:webHidden/>
          </w:rPr>
          <w:instrText xml:space="preserve"> PAGEREF _Toc69306796 \h </w:instrText>
        </w:r>
        <w:r w:rsidR="0057383C">
          <w:rPr>
            <w:noProof/>
            <w:webHidden/>
          </w:rPr>
        </w:r>
        <w:r w:rsidR="0057383C">
          <w:rPr>
            <w:noProof/>
            <w:webHidden/>
          </w:rPr>
          <w:fldChar w:fldCharType="separate"/>
        </w:r>
        <w:r>
          <w:rPr>
            <w:noProof/>
            <w:webHidden/>
          </w:rPr>
          <w:t>84</w:t>
        </w:r>
        <w:r w:rsidR="0057383C">
          <w:rPr>
            <w:noProof/>
            <w:webHidden/>
          </w:rPr>
          <w:fldChar w:fldCharType="end"/>
        </w:r>
      </w:hyperlink>
    </w:p>
    <w:p w14:paraId="400BF986" w14:textId="6C3D4F5D" w:rsidR="0057383C" w:rsidRDefault="00422361">
      <w:pPr>
        <w:pStyle w:val="TOC3"/>
        <w:rPr>
          <w:rFonts w:asciiTheme="minorHAnsi" w:eastAsiaTheme="minorEastAsia" w:hAnsiTheme="minorHAnsi" w:cstheme="minorBidi"/>
          <w:noProof/>
          <w:sz w:val="22"/>
          <w:szCs w:val="22"/>
          <w:lang w:eastAsia="en-NZ"/>
        </w:rPr>
      </w:pPr>
      <w:hyperlink w:anchor="_Toc69306797" w:history="1">
        <w:r w:rsidR="0057383C" w:rsidRPr="003E1A15">
          <w:rPr>
            <w:rStyle w:val="Hyperlink"/>
            <w:noProof/>
          </w:rPr>
          <w:t>Table A4: Seclusion data in New Zealand mental health services, 1 January to 31 December 2019</w:t>
        </w:r>
        <w:r w:rsidR="0057383C">
          <w:rPr>
            <w:noProof/>
            <w:webHidden/>
          </w:rPr>
          <w:tab/>
        </w:r>
        <w:r w:rsidR="0057383C">
          <w:rPr>
            <w:noProof/>
            <w:webHidden/>
          </w:rPr>
          <w:fldChar w:fldCharType="begin"/>
        </w:r>
        <w:r w:rsidR="0057383C">
          <w:rPr>
            <w:noProof/>
            <w:webHidden/>
          </w:rPr>
          <w:instrText xml:space="preserve"> PAGEREF _Toc69306797 \h </w:instrText>
        </w:r>
        <w:r w:rsidR="0057383C">
          <w:rPr>
            <w:noProof/>
            <w:webHidden/>
          </w:rPr>
        </w:r>
        <w:r w:rsidR="0057383C">
          <w:rPr>
            <w:noProof/>
            <w:webHidden/>
          </w:rPr>
          <w:fldChar w:fldCharType="separate"/>
        </w:r>
        <w:r>
          <w:rPr>
            <w:noProof/>
            <w:webHidden/>
          </w:rPr>
          <w:t>85</w:t>
        </w:r>
        <w:r w:rsidR="0057383C">
          <w:rPr>
            <w:noProof/>
            <w:webHidden/>
          </w:rPr>
          <w:fldChar w:fldCharType="end"/>
        </w:r>
      </w:hyperlink>
    </w:p>
    <w:p w14:paraId="26705B5A" w14:textId="22C0A31C" w:rsidR="0057383C" w:rsidRDefault="00422361">
      <w:pPr>
        <w:pStyle w:val="TOC3"/>
        <w:rPr>
          <w:rFonts w:asciiTheme="minorHAnsi" w:eastAsiaTheme="minorEastAsia" w:hAnsiTheme="minorHAnsi" w:cstheme="minorBidi"/>
          <w:noProof/>
          <w:sz w:val="22"/>
          <w:szCs w:val="22"/>
          <w:lang w:eastAsia="en-NZ"/>
        </w:rPr>
      </w:pPr>
      <w:hyperlink w:anchor="_Toc69306798" w:history="1">
        <w:r w:rsidR="0057383C" w:rsidRPr="003E1A15">
          <w:rPr>
            <w:rStyle w:val="Hyperlink"/>
            <w:noProof/>
          </w:rPr>
          <w:t>Table A5: Outcomes of reportable death notifications under section 132 of the Mental Health Act, 1 January to 31 December 2018</w:t>
        </w:r>
        <w:r w:rsidR="0057383C">
          <w:rPr>
            <w:noProof/>
            <w:webHidden/>
          </w:rPr>
          <w:tab/>
        </w:r>
        <w:r w:rsidR="0057383C">
          <w:rPr>
            <w:noProof/>
            <w:webHidden/>
          </w:rPr>
          <w:fldChar w:fldCharType="begin"/>
        </w:r>
        <w:r w:rsidR="0057383C">
          <w:rPr>
            <w:noProof/>
            <w:webHidden/>
          </w:rPr>
          <w:instrText xml:space="preserve"> PAGEREF _Toc69306798 \h </w:instrText>
        </w:r>
        <w:r w:rsidR="0057383C">
          <w:rPr>
            <w:noProof/>
            <w:webHidden/>
          </w:rPr>
        </w:r>
        <w:r w:rsidR="0057383C">
          <w:rPr>
            <w:noProof/>
            <w:webHidden/>
          </w:rPr>
          <w:fldChar w:fldCharType="separate"/>
        </w:r>
        <w:r>
          <w:rPr>
            <w:noProof/>
            <w:webHidden/>
          </w:rPr>
          <w:t>86</w:t>
        </w:r>
        <w:r w:rsidR="0057383C">
          <w:rPr>
            <w:noProof/>
            <w:webHidden/>
          </w:rPr>
          <w:fldChar w:fldCharType="end"/>
        </w:r>
      </w:hyperlink>
    </w:p>
    <w:p w14:paraId="3F6D6516" w14:textId="12D4E759" w:rsidR="0057383C" w:rsidRDefault="00422361">
      <w:pPr>
        <w:pStyle w:val="TOC3"/>
        <w:rPr>
          <w:rFonts w:asciiTheme="minorHAnsi" w:eastAsiaTheme="minorEastAsia" w:hAnsiTheme="minorHAnsi" w:cstheme="minorBidi"/>
          <w:noProof/>
          <w:sz w:val="22"/>
          <w:szCs w:val="22"/>
          <w:lang w:eastAsia="en-NZ"/>
        </w:rPr>
      </w:pPr>
      <w:hyperlink w:anchor="_Toc69306799" w:history="1">
        <w:r w:rsidR="0057383C" w:rsidRPr="003E1A15">
          <w:rPr>
            <w:rStyle w:val="Hyperlink"/>
            <w:noProof/>
          </w:rPr>
          <w:t>Table A6: Outcomes of reportable death notifications under section 132 of the Mental Health Act, 1 January to 31 December 2019</w:t>
        </w:r>
        <w:r w:rsidR="0057383C">
          <w:rPr>
            <w:noProof/>
            <w:webHidden/>
          </w:rPr>
          <w:tab/>
        </w:r>
        <w:r w:rsidR="0057383C">
          <w:rPr>
            <w:noProof/>
            <w:webHidden/>
          </w:rPr>
          <w:fldChar w:fldCharType="begin"/>
        </w:r>
        <w:r w:rsidR="0057383C">
          <w:rPr>
            <w:noProof/>
            <w:webHidden/>
          </w:rPr>
          <w:instrText xml:space="preserve"> PAGEREF _Toc69306799 \h </w:instrText>
        </w:r>
        <w:r w:rsidR="0057383C">
          <w:rPr>
            <w:noProof/>
            <w:webHidden/>
          </w:rPr>
        </w:r>
        <w:r w:rsidR="0057383C">
          <w:rPr>
            <w:noProof/>
            <w:webHidden/>
          </w:rPr>
          <w:fldChar w:fldCharType="separate"/>
        </w:r>
        <w:r>
          <w:rPr>
            <w:noProof/>
            <w:webHidden/>
          </w:rPr>
          <w:t>86</w:t>
        </w:r>
        <w:r w:rsidR="0057383C">
          <w:rPr>
            <w:noProof/>
            <w:webHidden/>
          </w:rPr>
          <w:fldChar w:fldCharType="end"/>
        </w:r>
      </w:hyperlink>
    </w:p>
    <w:p w14:paraId="035FD2C9" w14:textId="62CBCB37" w:rsidR="002B76A7" w:rsidRPr="00200234" w:rsidRDefault="00644641" w:rsidP="003A5FEA">
      <w:r>
        <w:rPr>
          <w:sz w:val="20"/>
        </w:rPr>
        <w:fldChar w:fldCharType="end"/>
      </w:r>
    </w:p>
    <w:p w14:paraId="0E26189A" w14:textId="77777777" w:rsidR="001D3E4E" w:rsidRPr="00200234" w:rsidRDefault="001D3E4E" w:rsidP="003A5FEA">
      <w:pPr>
        <w:sectPr w:rsidR="001D3E4E" w:rsidRPr="00200234" w:rsidSect="0078658E">
          <w:headerReference w:type="even" r:id="rId21"/>
          <w:headerReference w:type="default" r:id="rId22"/>
          <w:pgSz w:w="11907" w:h="16840" w:code="9"/>
          <w:pgMar w:top="1418" w:right="1701" w:bottom="1134" w:left="1843" w:header="284" w:footer="425" w:gutter="284"/>
          <w:pgNumType w:fmt="lowerRoman"/>
          <w:cols w:space="720"/>
        </w:sectPr>
      </w:pPr>
    </w:p>
    <w:p w14:paraId="08BB9863" w14:textId="77777777" w:rsidR="008361C5" w:rsidRPr="00200234" w:rsidRDefault="008361C5" w:rsidP="00DC3196">
      <w:pPr>
        <w:pStyle w:val="Heading1"/>
      </w:pPr>
      <w:bookmarkStart w:id="4" w:name="_bookmark70"/>
      <w:bookmarkStart w:id="5" w:name="_Toc65141610"/>
      <w:bookmarkStart w:id="6" w:name="_Toc69307690"/>
      <w:bookmarkEnd w:id="4"/>
      <w:r w:rsidRPr="00200234">
        <w:lastRenderedPageBreak/>
        <w:t>Use of the Mental Health Act</w:t>
      </w:r>
      <w:bookmarkEnd w:id="5"/>
      <w:bookmarkEnd w:id="6"/>
    </w:p>
    <w:p w14:paraId="1FD1B1EF" w14:textId="77777777" w:rsidR="008361C5" w:rsidRPr="00200234" w:rsidRDefault="008361C5" w:rsidP="008361C5">
      <w:pPr>
        <w:rPr>
          <w:rFonts w:cs="Segoe UI"/>
        </w:rPr>
      </w:pPr>
      <w:r w:rsidRPr="00200234">
        <w:rPr>
          <w:rFonts w:cs="Segoe UI"/>
        </w:rPr>
        <w:t>In summary, in 2018:</w:t>
      </w:r>
    </w:p>
    <w:p w14:paraId="4AA3D87E" w14:textId="1DFD2197" w:rsidR="008361C5" w:rsidRPr="00ED4FA1" w:rsidRDefault="008361C5" w:rsidP="008361C5">
      <w:pPr>
        <w:pStyle w:val="Bullet"/>
        <w:keepLines/>
        <w:rPr>
          <w:rFonts w:cs="Segoe UI"/>
          <w:szCs w:val="21"/>
        </w:rPr>
      </w:pPr>
      <w:r w:rsidRPr="00ED4FA1">
        <w:rPr>
          <w:rFonts w:cs="Segoe UI"/>
          <w:szCs w:val="21"/>
        </w:rPr>
        <w:t xml:space="preserve">10,631 people (5.8 percent of specialist mental health and addiction service users) were subject to the </w:t>
      </w:r>
      <w:r w:rsidR="00D166A4" w:rsidRPr="00ED4FA1">
        <w:rPr>
          <w:rFonts w:cs="Segoe UI"/>
          <w:szCs w:val="21"/>
        </w:rPr>
        <w:t xml:space="preserve">Mental Health (Compulsory Assessment and Treatment) Act 1992 (the </w:t>
      </w:r>
      <w:r w:rsidRPr="00ED4FA1">
        <w:rPr>
          <w:rFonts w:cs="Segoe UI"/>
          <w:szCs w:val="21"/>
        </w:rPr>
        <w:t>Mental Health Act</w:t>
      </w:r>
      <w:r w:rsidR="00D166A4" w:rsidRPr="00ED4FA1">
        <w:rPr>
          <w:rFonts w:cs="Segoe UI"/>
          <w:szCs w:val="21"/>
        </w:rPr>
        <w:t>)</w:t>
      </w:r>
      <w:r w:rsidR="00A058B7" w:rsidRPr="00ED4FA1">
        <w:rPr>
          <w:rFonts w:cs="Segoe UI"/>
          <w:szCs w:val="21"/>
        </w:rPr>
        <w:t>,</w:t>
      </w:r>
      <w:r w:rsidRPr="00ED4FA1">
        <w:rPr>
          <w:rStyle w:val="FootnoteReference"/>
          <w:rFonts w:eastAsia="MS Gothic" w:cs="Segoe UI"/>
          <w:szCs w:val="21"/>
        </w:rPr>
        <w:footnoteReference w:id="1"/>
      </w:r>
      <w:r w:rsidRPr="00ED4FA1">
        <w:rPr>
          <w:rFonts w:cs="Segoe UI"/>
          <w:szCs w:val="21"/>
        </w:rPr>
        <w:t xml:space="preserve"> and on the last day of 2018 approximately 5,083 people were subject to either compulsory assessment or compulsory treatment under the Mental Health Act</w:t>
      </w:r>
    </w:p>
    <w:p w14:paraId="0AB53C3C" w14:textId="77777777" w:rsidR="008361C5" w:rsidRPr="00ED4FA1" w:rsidRDefault="008361C5" w:rsidP="008361C5">
      <w:pPr>
        <w:pStyle w:val="Bullet"/>
        <w:rPr>
          <w:rFonts w:cs="Segoe UI"/>
          <w:szCs w:val="21"/>
        </w:rPr>
      </w:pPr>
      <w:r w:rsidRPr="00ED4FA1">
        <w:rPr>
          <w:rFonts w:cs="Segoe UI"/>
          <w:szCs w:val="21"/>
        </w:rPr>
        <w:t>males were more likely to be subject to the Mental Health Act than females</w:t>
      </w:r>
    </w:p>
    <w:p w14:paraId="65D470D5" w14:textId="77777777" w:rsidR="008361C5" w:rsidRPr="00ED4FA1" w:rsidRDefault="008361C5" w:rsidP="008361C5">
      <w:pPr>
        <w:pStyle w:val="Bullet"/>
        <w:rPr>
          <w:rFonts w:cs="Segoe UI"/>
          <w:szCs w:val="21"/>
        </w:rPr>
      </w:pPr>
      <w:r w:rsidRPr="00ED4FA1">
        <w:rPr>
          <w:rFonts w:cs="Segoe UI"/>
          <w:szCs w:val="21"/>
        </w:rPr>
        <w:t>people aged 25–34 years were the most likely to be subject to compulsory treatment, and people over 65 years of age were the least likely</w:t>
      </w:r>
    </w:p>
    <w:p w14:paraId="21F98D92" w14:textId="77777777" w:rsidR="008361C5" w:rsidRPr="00ED4FA1" w:rsidRDefault="008361C5" w:rsidP="008361C5">
      <w:pPr>
        <w:pStyle w:val="Bullet"/>
        <w:rPr>
          <w:rFonts w:cs="Segoe UI"/>
          <w:szCs w:val="21"/>
        </w:rPr>
      </w:pPr>
      <w:r w:rsidRPr="00ED4FA1">
        <w:rPr>
          <w:rFonts w:cs="Segoe UI"/>
          <w:szCs w:val="21"/>
        </w:rPr>
        <w:t>Māori were more likely to be assessed or treated under the Mental Health Act than non-Māori.</w:t>
      </w:r>
    </w:p>
    <w:p w14:paraId="7DB8ECFB" w14:textId="77777777" w:rsidR="008361C5" w:rsidRPr="00200234" w:rsidRDefault="008361C5" w:rsidP="001237A0"/>
    <w:p w14:paraId="3A685C4F" w14:textId="7B0A35CF" w:rsidR="008361C5" w:rsidRPr="00200234" w:rsidRDefault="008361C5" w:rsidP="00344FDF">
      <w:pPr>
        <w:keepNext/>
      </w:pPr>
      <w:r w:rsidRPr="00200234">
        <w:t>In 2019:</w:t>
      </w:r>
    </w:p>
    <w:p w14:paraId="50AA17BE" w14:textId="77777777" w:rsidR="008361C5" w:rsidRPr="00ED4FA1" w:rsidRDefault="008361C5" w:rsidP="008361C5">
      <w:pPr>
        <w:pStyle w:val="Bullet"/>
        <w:keepLines/>
        <w:rPr>
          <w:rFonts w:cs="Segoe UI"/>
          <w:szCs w:val="21"/>
        </w:rPr>
      </w:pPr>
      <w:r w:rsidRPr="00ED4FA1">
        <w:rPr>
          <w:rFonts w:cs="Segoe UI"/>
          <w:szCs w:val="21"/>
        </w:rPr>
        <w:t>10,892 people (5.8 percent of specialist mental health and addiction service users) were subject to the Mental Health Act, and on the last day of 2019 approximately 5,450 people were subject to either compulsory assessment or compulsory treatment under the Mental Health Act</w:t>
      </w:r>
    </w:p>
    <w:p w14:paraId="285DB415" w14:textId="77777777" w:rsidR="008361C5" w:rsidRPr="00ED4FA1" w:rsidRDefault="008361C5" w:rsidP="008361C5">
      <w:pPr>
        <w:pStyle w:val="Bullet"/>
        <w:rPr>
          <w:rFonts w:cs="Segoe UI"/>
          <w:szCs w:val="21"/>
        </w:rPr>
      </w:pPr>
      <w:r w:rsidRPr="00ED4FA1">
        <w:rPr>
          <w:rFonts w:cs="Segoe UI"/>
          <w:szCs w:val="21"/>
        </w:rPr>
        <w:t>males were more likely to be subject to the Mental Health Act than females</w:t>
      </w:r>
    </w:p>
    <w:p w14:paraId="2DD25E39" w14:textId="77777777" w:rsidR="008361C5" w:rsidRPr="00ED4FA1" w:rsidRDefault="008361C5" w:rsidP="008361C5">
      <w:pPr>
        <w:pStyle w:val="Bullet"/>
        <w:rPr>
          <w:rFonts w:cs="Segoe UI"/>
          <w:szCs w:val="21"/>
        </w:rPr>
      </w:pPr>
      <w:r w:rsidRPr="00ED4FA1">
        <w:rPr>
          <w:rFonts w:cs="Segoe UI"/>
          <w:szCs w:val="21"/>
        </w:rPr>
        <w:t>people aged 25–34 years were the most likely to be subject to compulsory treatment, and people over 65 years of age were the least likely</w:t>
      </w:r>
    </w:p>
    <w:p w14:paraId="7A758D51" w14:textId="77777777" w:rsidR="008361C5" w:rsidRPr="00ED4FA1" w:rsidRDefault="008361C5" w:rsidP="008361C5">
      <w:pPr>
        <w:pStyle w:val="Bullet"/>
        <w:rPr>
          <w:rFonts w:cs="Segoe UI"/>
          <w:szCs w:val="21"/>
        </w:rPr>
      </w:pPr>
      <w:r w:rsidRPr="00ED4FA1">
        <w:rPr>
          <w:rFonts w:cs="Segoe UI"/>
          <w:szCs w:val="21"/>
        </w:rPr>
        <w:t>Māori were more likely to be assessed or treated under the Mental Health Act than non-Māori.</w:t>
      </w:r>
    </w:p>
    <w:p w14:paraId="4E08FED3" w14:textId="77777777" w:rsidR="008361C5" w:rsidRPr="00200234" w:rsidRDefault="008361C5" w:rsidP="00DC3196">
      <w:pPr>
        <w:pStyle w:val="Heading1"/>
      </w:pPr>
      <w:bookmarkStart w:id="7" w:name="_Toc65141611"/>
      <w:bookmarkStart w:id="8" w:name="_Toc69307691"/>
      <w:r w:rsidRPr="00200234">
        <w:lastRenderedPageBreak/>
        <w:t>The Mental Health Act process</w:t>
      </w:r>
      <w:bookmarkEnd w:id="7"/>
      <w:bookmarkEnd w:id="8"/>
    </w:p>
    <w:p w14:paraId="4A24C7B5" w14:textId="77777777" w:rsidR="008361C5" w:rsidRPr="00200234" w:rsidRDefault="008361C5" w:rsidP="00DC3196">
      <w:pPr>
        <w:pStyle w:val="Heading2"/>
      </w:pPr>
      <w:bookmarkStart w:id="9" w:name="_Toc65141612"/>
      <w:bookmarkStart w:id="10" w:name="_Toc69307692"/>
      <w:r w:rsidRPr="00200234">
        <w:t>Compulsory assessment</w:t>
      </w:r>
      <w:bookmarkEnd w:id="9"/>
      <w:bookmarkEnd w:id="10"/>
    </w:p>
    <w:p w14:paraId="000E498B" w14:textId="42F8AABD" w:rsidR="008361C5" w:rsidRPr="00200234" w:rsidRDefault="009A4134" w:rsidP="008361C5">
      <w:r>
        <w:t>In summary, i</w:t>
      </w:r>
      <w:r w:rsidR="008361C5" w:rsidRPr="00200234">
        <w:t>n 2018</w:t>
      </w:r>
      <w:r w:rsidR="00730559" w:rsidRPr="00200234">
        <w:t>:</w:t>
      </w:r>
      <w:r w:rsidR="008361C5" w:rsidRPr="00200234">
        <w:rPr>
          <w:rStyle w:val="FootnoteReference"/>
          <w:rFonts w:cs="Segoe UI"/>
        </w:rPr>
        <w:footnoteReference w:id="2"/>
      </w:r>
    </w:p>
    <w:p w14:paraId="3F28045B" w14:textId="77777777" w:rsidR="008361C5" w:rsidRPr="00ED4FA1" w:rsidRDefault="008361C5" w:rsidP="00DC3196">
      <w:pPr>
        <w:pStyle w:val="Bullet"/>
        <w:rPr>
          <w:szCs w:val="21"/>
        </w:rPr>
      </w:pPr>
      <w:r w:rsidRPr="00ED4FA1">
        <w:rPr>
          <w:szCs w:val="21"/>
        </w:rPr>
        <w:t>Clinicians made 5,646 applications for compulsory treatment or extensions under the Mental Health Act. Of these applications, the courts granted 5,002 (88.6 percent).</w:t>
      </w:r>
    </w:p>
    <w:p w14:paraId="7D3BED00" w14:textId="77777777" w:rsidR="008361C5" w:rsidRPr="00ED4FA1" w:rsidRDefault="008361C5" w:rsidP="00DC3196">
      <w:pPr>
        <w:pStyle w:val="Bullet"/>
        <w:rPr>
          <w:szCs w:val="21"/>
        </w:rPr>
      </w:pPr>
      <w:r w:rsidRPr="00ED4FA1">
        <w:rPr>
          <w:szCs w:val="21"/>
        </w:rPr>
        <w:t>Approximately 1,202 applications for compulsory treatment orders were filed for a judge’s review of the patient’s condition, in line with section 16 of the Mental Health Act. Of this total, judges issued an order to release a person from compulsory status in 32 cases and dismissed 643. The remaining applications were withdrawn.</w:t>
      </w:r>
    </w:p>
    <w:p w14:paraId="28CDF940" w14:textId="77777777" w:rsidR="005111FC" w:rsidRPr="00200234" w:rsidRDefault="005111FC" w:rsidP="004D2C47"/>
    <w:p w14:paraId="4016259C" w14:textId="58BAEF66" w:rsidR="008361C5" w:rsidRPr="00200234" w:rsidRDefault="008361C5" w:rsidP="004D2C47">
      <w:r w:rsidRPr="00200234">
        <w:t>In 2019</w:t>
      </w:r>
      <w:r w:rsidR="00730559" w:rsidRPr="00200234">
        <w:t>:</w:t>
      </w:r>
      <w:r w:rsidRPr="00200234">
        <w:rPr>
          <w:rStyle w:val="FootnoteReference"/>
          <w:rFonts w:cs="Segoe UI"/>
        </w:rPr>
        <w:footnoteReference w:id="3"/>
      </w:r>
    </w:p>
    <w:p w14:paraId="2CAD9DBA" w14:textId="77777777" w:rsidR="008361C5" w:rsidRPr="00ED4FA1" w:rsidRDefault="008361C5" w:rsidP="004D2C47">
      <w:pPr>
        <w:pStyle w:val="Bullet"/>
        <w:rPr>
          <w:szCs w:val="21"/>
        </w:rPr>
      </w:pPr>
      <w:r w:rsidRPr="00ED4FA1">
        <w:rPr>
          <w:szCs w:val="21"/>
        </w:rPr>
        <w:t>Clinicians made 5,617 applications for compulsory treatment or extensions under the Mental Health Act. Of these applications, the courts granted 4,984 (88.7 percent).</w:t>
      </w:r>
    </w:p>
    <w:p w14:paraId="1B88AA0F" w14:textId="77777777" w:rsidR="008361C5" w:rsidRPr="00ED4FA1" w:rsidRDefault="008361C5" w:rsidP="004D2C47">
      <w:pPr>
        <w:pStyle w:val="Bullet"/>
        <w:rPr>
          <w:szCs w:val="21"/>
        </w:rPr>
      </w:pPr>
      <w:r w:rsidRPr="00ED4FA1">
        <w:rPr>
          <w:szCs w:val="21"/>
        </w:rPr>
        <w:t>Approximately 1,266 applications for compulsory treatment orders were filed for a judge’s review of the patient’s condition, in line with section 16 of the Mental Health Act. Of this total, judges issued an order to release a person from compulsory status in 35 cases and dismissed 674. The remaining applications were withdrawn.</w:t>
      </w:r>
    </w:p>
    <w:p w14:paraId="05AF47DB" w14:textId="77777777" w:rsidR="008361C5" w:rsidRPr="00200234" w:rsidRDefault="008361C5" w:rsidP="00DC3196">
      <w:pPr>
        <w:pStyle w:val="Heading2"/>
      </w:pPr>
      <w:bookmarkStart w:id="11" w:name="_Toc65141613"/>
      <w:bookmarkStart w:id="12" w:name="_Toc69307693"/>
      <w:r w:rsidRPr="00200234">
        <w:t>Compulsory treatment</w:t>
      </w:r>
      <w:bookmarkEnd w:id="11"/>
      <w:bookmarkEnd w:id="12"/>
    </w:p>
    <w:p w14:paraId="30643DC1" w14:textId="1F7B4610" w:rsidR="008361C5" w:rsidRPr="00A84354" w:rsidRDefault="008361C5" w:rsidP="004D2C47">
      <w:pPr>
        <w:rPr>
          <w:b/>
          <w:bCs/>
        </w:rPr>
      </w:pPr>
      <w:r w:rsidRPr="00A84354">
        <w:rPr>
          <w:b/>
          <w:bCs/>
        </w:rPr>
        <w:t>2018</w:t>
      </w:r>
      <w:r w:rsidR="002A712F" w:rsidRPr="00200234">
        <w:rPr>
          <w:b/>
          <w:bCs/>
        </w:rPr>
        <w:t xml:space="preserve"> summary</w:t>
      </w:r>
    </w:p>
    <w:p w14:paraId="10A1DA80" w14:textId="77777777" w:rsidR="008361C5" w:rsidRPr="00ED4FA1" w:rsidRDefault="008361C5" w:rsidP="004D2C47">
      <w:pPr>
        <w:pStyle w:val="Bullet"/>
        <w:rPr>
          <w:szCs w:val="21"/>
        </w:rPr>
      </w:pPr>
      <w:r w:rsidRPr="00ED4FA1">
        <w:rPr>
          <w:szCs w:val="21"/>
        </w:rPr>
        <w:t xml:space="preserve">On the last day of 2018, a total of 5,083 people </w:t>
      </w:r>
      <w:proofErr w:type="gramStart"/>
      <w:r w:rsidRPr="00ED4FA1">
        <w:rPr>
          <w:szCs w:val="21"/>
        </w:rPr>
        <w:t>were</w:t>
      </w:r>
      <w:proofErr w:type="gramEnd"/>
      <w:r w:rsidRPr="00ED4FA1">
        <w:rPr>
          <w:szCs w:val="21"/>
        </w:rPr>
        <w:t xml:space="preserve"> subject to either compulsory assessment or compulsory treatment</w:t>
      </w:r>
      <w:r w:rsidRPr="00ED4FA1">
        <w:rPr>
          <w:rStyle w:val="FootnoteReference"/>
          <w:rFonts w:cs="Segoe UI"/>
          <w:szCs w:val="21"/>
        </w:rPr>
        <w:footnoteReference w:id="4"/>
      </w:r>
      <w:r w:rsidRPr="00ED4FA1">
        <w:rPr>
          <w:szCs w:val="21"/>
        </w:rPr>
        <w:t xml:space="preserve"> under the Mental Health Act.</w:t>
      </w:r>
    </w:p>
    <w:p w14:paraId="2C481B9F" w14:textId="53FB205E" w:rsidR="008361C5" w:rsidRPr="00ED4FA1" w:rsidRDefault="008361C5" w:rsidP="00060DF7">
      <w:pPr>
        <w:pStyle w:val="Bullet"/>
        <w:spacing w:after="120"/>
        <w:rPr>
          <w:szCs w:val="21"/>
        </w:rPr>
      </w:pPr>
      <w:r w:rsidRPr="00ED4FA1">
        <w:rPr>
          <w:szCs w:val="21"/>
        </w:rPr>
        <w:t>On average within each month of 2018, the assessment provisions of the Mental Health Act were applied as follows.</w:t>
      </w:r>
    </w:p>
    <w:tbl>
      <w:tblPr>
        <w:tblW w:w="0" w:type="auto"/>
        <w:tblInd w:w="3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726"/>
        <w:gridCol w:w="4009"/>
        <w:gridCol w:w="1977"/>
      </w:tblGrid>
      <w:tr w:rsidR="008361C5" w:rsidRPr="000C5A1A" w14:paraId="316CB3E9" w14:textId="77777777" w:rsidTr="00A84354">
        <w:tc>
          <w:tcPr>
            <w:tcW w:w="1798" w:type="dxa"/>
            <w:shd w:val="clear" w:color="auto" w:fill="8EAADB" w:themeFill="accent1" w:themeFillTint="99"/>
            <w:vAlign w:val="center"/>
          </w:tcPr>
          <w:p w14:paraId="6558624D" w14:textId="77777777" w:rsidR="008361C5" w:rsidRPr="000C5A1A" w:rsidRDefault="008361C5" w:rsidP="00171FFD">
            <w:pPr>
              <w:keepNext/>
              <w:spacing w:before="60" w:after="60"/>
              <w:jc w:val="center"/>
              <w:rPr>
                <w:rFonts w:cs="Segoe UI"/>
                <w:sz w:val="18"/>
                <w:szCs w:val="18"/>
              </w:rPr>
            </w:pPr>
            <w:r w:rsidRPr="000C5A1A">
              <w:rPr>
                <w:rFonts w:cs="Segoe UI"/>
                <w:sz w:val="18"/>
                <w:szCs w:val="18"/>
              </w:rPr>
              <w:lastRenderedPageBreak/>
              <w:t>Section 11</w:t>
            </w:r>
          </w:p>
        </w:tc>
        <w:tc>
          <w:tcPr>
            <w:tcW w:w="4234" w:type="dxa"/>
            <w:shd w:val="clear" w:color="auto" w:fill="B4C6E7" w:themeFill="accent1" w:themeFillTint="66"/>
            <w:vAlign w:val="center"/>
          </w:tcPr>
          <w:p w14:paraId="02A6E42B" w14:textId="573BA688" w:rsidR="008361C5" w:rsidRPr="000C5A1A" w:rsidRDefault="008361C5" w:rsidP="00171FFD">
            <w:pPr>
              <w:keepNext/>
              <w:spacing w:before="60" w:after="60"/>
              <w:jc w:val="center"/>
              <w:rPr>
                <w:rFonts w:cs="Segoe UI"/>
                <w:sz w:val="18"/>
                <w:szCs w:val="18"/>
              </w:rPr>
            </w:pPr>
            <w:r w:rsidRPr="000C5A1A">
              <w:rPr>
                <w:rFonts w:cs="Segoe UI"/>
                <w:sz w:val="18"/>
                <w:szCs w:val="18"/>
              </w:rPr>
              <w:t>618</w:t>
            </w:r>
            <w:r w:rsidR="00171FFD" w:rsidRPr="000C5A1A">
              <w:rPr>
                <w:rFonts w:cs="Segoe UI"/>
                <w:sz w:val="18"/>
                <w:szCs w:val="18"/>
              </w:rPr>
              <w:t xml:space="preserve"> </w:t>
            </w:r>
            <w:r w:rsidRPr="000C5A1A">
              <w:rPr>
                <w:rFonts w:cs="Segoe UI"/>
                <w:sz w:val="18"/>
                <w:szCs w:val="18"/>
              </w:rPr>
              <w:t>people were subject to an initial assessment</w:t>
            </w:r>
          </w:p>
        </w:tc>
        <w:tc>
          <w:tcPr>
            <w:tcW w:w="2047" w:type="dxa"/>
            <w:shd w:val="clear" w:color="auto" w:fill="D9E2F3" w:themeFill="accent1" w:themeFillTint="33"/>
            <w:vAlign w:val="center"/>
          </w:tcPr>
          <w:p w14:paraId="578C0370" w14:textId="77777777" w:rsidR="008361C5" w:rsidRPr="000C5A1A" w:rsidRDefault="008361C5" w:rsidP="00171FFD">
            <w:pPr>
              <w:keepNext/>
              <w:spacing w:before="60" w:after="60"/>
              <w:jc w:val="center"/>
              <w:rPr>
                <w:rFonts w:cs="Segoe UI"/>
                <w:sz w:val="18"/>
                <w:szCs w:val="18"/>
              </w:rPr>
            </w:pPr>
            <w:r w:rsidRPr="000C5A1A">
              <w:rPr>
                <w:rFonts w:cs="Segoe UI"/>
                <w:sz w:val="18"/>
                <w:szCs w:val="18"/>
              </w:rPr>
              <w:t>13 people per 100,000 population</w:t>
            </w:r>
          </w:p>
        </w:tc>
      </w:tr>
      <w:tr w:rsidR="008361C5" w:rsidRPr="000C5A1A" w14:paraId="14F18749" w14:textId="77777777" w:rsidTr="00A84354">
        <w:tc>
          <w:tcPr>
            <w:tcW w:w="1798" w:type="dxa"/>
            <w:shd w:val="clear" w:color="auto" w:fill="8EAADB" w:themeFill="accent1" w:themeFillTint="99"/>
            <w:vAlign w:val="center"/>
          </w:tcPr>
          <w:p w14:paraId="323EC26B" w14:textId="77777777" w:rsidR="008361C5" w:rsidRPr="000C5A1A" w:rsidRDefault="008361C5" w:rsidP="00171FFD">
            <w:pPr>
              <w:keepNext/>
              <w:spacing w:before="60" w:after="60"/>
              <w:jc w:val="center"/>
              <w:rPr>
                <w:rFonts w:cs="Segoe UI"/>
                <w:sz w:val="18"/>
                <w:szCs w:val="18"/>
              </w:rPr>
            </w:pPr>
            <w:r w:rsidRPr="000C5A1A">
              <w:rPr>
                <w:rFonts w:cs="Segoe UI"/>
                <w:sz w:val="18"/>
                <w:szCs w:val="18"/>
              </w:rPr>
              <w:t>Section 13</w:t>
            </w:r>
          </w:p>
        </w:tc>
        <w:tc>
          <w:tcPr>
            <w:tcW w:w="4234" w:type="dxa"/>
            <w:shd w:val="clear" w:color="auto" w:fill="B4C6E7" w:themeFill="accent1" w:themeFillTint="66"/>
            <w:vAlign w:val="center"/>
          </w:tcPr>
          <w:p w14:paraId="4398D077" w14:textId="26709DA1" w:rsidR="008361C5" w:rsidRPr="000C5A1A" w:rsidRDefault="008361C5" w:rsidP="00171FFD">
            <w:pPr>
              <w:keepNext/>
              <w:spacing w:before="60" w:after="60"/>
              <w:jc w:val="center"/>
              <w:rPr>
                <w:rFonts w:cs="Segoe UI"/>
                <w:sz w:val="18"/>
                <w:szCs w:val="18"/>
              </w:rPr>
            </w:pPr>
            <w:r w:rsidRPr="000C5A1A">
              <w:rPr>
                <w:rFonts w:cs="Segoe UI"/>
                <w:sz w:val="18"/>
                <w:szCs w:val="18"/>
              </w:rPr>
              <w:t>621</w:t>
            </w:r>
            <w:r w:rsidR="00171FFD" w:rsidRPr="000C5A1A">
              <w:rPr>
                <w:rFonts w:cs="Segoe UI"/>
                <w:sz w:val="18"/>
                <w:szCs w:val="18"/>
              </w:rPr>
              <w:t xml:space="preserve"> </w:t>
            </w:r>
            <w:r w:rsidRPr="000C5A1A">
              <w:rPr>
                <w:rFonts w:cs="Segoe UI"/>
                <w:sz w:val="18"/>
                <w:szCs w:val="18"/>
              </w:rPr>
              <w:t>people were subject to a second period of assessment</w:t>
            </w:r>
          </w:p>
        </w:tc>
        <w:tc>
          <w:tcPr>
            <w:tcW w:w="2047" w:type="dxa"/>
            <w:shd w:val="clear" w:color="auto" w:fill="D9E2F3" w:themeFill="accent1" w:themeFillTint="33"/>
            <w:vAlign w:val="center"/>
          </w:tcPr>
          <w:p w14:paraId="58822C7C" w14:textId="77777777" w:rsidR="008361C5" w:rsidRPr="000C5A1A" w:rsidRDefault="008361C5" w:rsidP="00171FFD">
            <w:pPr>
              <w:keepNext/>
              <w:spacing w:before="60" w:after="60"/>
              <w:jc w:val="center"/>
              <w:rPr>
                <w:rFonts w:cs="Segoe UI"/>
                <w:sz w:val="18"/>
                <w:szCs w:val="18"/>
              </w:rPr>
            </w:pPr>
            <w:r w:rsidRPr="000C5A1A">
              <w:rPr>
                <w:rFonts w:cs="Segoe UI"/>
                <w:sz w:val="18"/>
                <w:szCs w:val="18"/>
              </w:rPr>
              <w:t>13 people per 100,000 population</w:t>
            </w:r>
          </w:p>
        </w:tc>
      </w:tr>
      <w:tr w:rsidR="008361C5" w:rsidRPr="000C5A1A" w14:paraId="040C8AA6" w14:textId="77777777" w:rsidTr="00A84354">
        <w:tc>
          <w:tcPr>
            <w:tcW w:w="1798" w:type="dxa"/>
            <w:shd w:val="clear" w:color="auto" w:fill="8EAADB" w:themeFill="accent1" w:themeFillTint="99"/>
            <w:vAlign w:val="center"/>
          </w:tcPr>
          <w:p w14:paraId="10DFC720" w14:textId="77777777" w:rsidR="008361C5" w:rsidRPr="000C5A1A" w:rsidRDefault="008361C5" w:rsidP="00171FFD">
            <w:pPr>
              <w:spacing w:before="60" w:after="60"/>
              <w:jc w:val="center"/>
              <w:rPr>
                <w:rFonts w:cs="Segoe UI"/>
                <w:sz w:val="18"/>
                <w:szCs w:val="18"/>
              </w:rPr>
            </w:pPr>
            <w:r w:rsidRPr="000C5A1A">
              <w:rPr>
                <w:rFonts w:cs="Segoe UI"/>
                <w:sz w:val="18"/>
                <w:szCs w:val="18"/>
              </w:rPr>
              <w:t>Section 14(4)</w:t>
            </w:r>
          </w:p>
        </w:tc>
        <w:tc>
          <w:tcPr>
            <w:tcW w:w="4234" w:type="dxa"/>
            <w:shd w:val="clear" w:color="auto" w:fill="B4C6E7" w:themeFill="accent1" w:themeFillTint="66"/>
            <w:vAlign w:val="center"/>
          </w:tcPr>
          <w:p w14:paraId="797966E1" w14:textId="495BE462" w:rsidR="008361C5" w:rsidRPr="000C5A1A" w:rsidRDefault="008361C5" w:rsidP="00171FFD">
            <w:pPr>
              <w:spacing w:before="60" w:after="60"/>
              <w:jc w:val="center"/>
              <w:rPr>
                <w:rFonts w:cs="Segoe UI"/>
                <w:sz w:val="18"/>
                <w:szCs w:val="18"/>
              </w:rPr>
            </w:pPr>
            <w:r w:rsidRPr="000C5A1A">
              <w:rPr>
                <w:rFonts w:cs="Segoe UI"/>
                <w:sz w:val="18"/>
                <w:szCs w:val="18"/>
              </w:rPr>
              <w:t>443</w:t>
            </w:r>
            <w:r w:rsidR="00171FFD" w:rsidRPr="000C5A1A">
              <w:rPr>
                <w:rFonts w:cs="Segoe UI"/>
                <w:sz w:val="18"/>
                <w:szCs w:val="18"/>
              </w:rPr>
              <w:t xml:space="preserve"> </w:t>
            </w:r>
            <w:r w:rsidRPr="000C5A1A">
              <w:rPr>
                <w:rFonts w:cs="Segoe UI"/>
                <w:sz w:val="18"/>
                <w:szCs w:val="18"/>
              </w:rPr>
              <w:t>people were subject to an application for a compulsory treatment order</w:t>
            </w:r>
          </w:p>
        </w:tc>
        <w:tc>
          <w:tcPr>
            <w:tcW w:w="2047" w:type="dxa"/>
            <w:shd w:val="clear" w:color="auto" w:fill="D9E2F3" w:themeFill="accent1" w:themeFillTint="33"/>
            <w:vAlign w:val="center"/>
          </w:tcPr>
          <w:p w14:paraId="416CBFF2" w14:textId="77777777" w:rsidR="008361C5" w:rsidRPr="000C5A1A" w:rsidRDefault="008361C5" w:rsidP="00171FFD">
            <w:pPr>
              <w:spacing w:before="60" w:after="60"/>
              <w:jc w:val="center"/>
              <w:rPr>
                <w:rFonts w:cs="Segoe UI"/>
                <w:sz w:val="18"/>
                <w:szCs w:val="18"/>
              </w:rPr>
            </w:pPr>
            <w:r w:rsidRPr="000C5A1A">
              <w:rPr>
                <w:rFonts w:cs="Segoe UI"/>
                <w:sz w:val="18"/>
                <w:szCs w:val="18"/>
              </w:rPr>
              <w:t>9 people per 100,000 population</w:t>
            </w:r>
          </w:p>
        </w:tc>
      </w:tr>
    </w:tbl>
    <w:p w14:paraId="702FACB6" w14:textId="2AC67630" w:rsidR="008361C5" w:rsidRPr="00200234" w:rsidRDefault="008361C5" w:rsidP="00A84354">
      <w:pPr>
        <w:pStyle w:val="Note"/>
        <w:ind w:left="357"/>
      </w:pPr>
      <w:r w:rsidRPr="00200234">
        <w:t>Source</w:t>
      </w:r>
      <w:r w:rsidR="000A3EB9" w:rsidRPr="00200234">
        <w:t>s</w:t>
      </w:r>
      <w:r w:rsidRPr="00200234">
        <w:t xml:space="preserve">: </w:t>
      </w:r>
      <w:r w:rsidR="00CF5A84" w:rsidRPr="00200234">
        <w:t>PRIMHD data</w:t>
      </w:r>
      <w:r w:rsidR="0015429E">
        <w:t xml:space="preserve"> (extracted</w:t>
      </w:r>
      <w:r w:rsidR="00CF5A84" w:rsidRPr="00200234">
        <w:t xml:space="preserve"> 29 July 2019</w:t>
      </w:r>
      <w:r w:rsidR="000E756E">
        <w:t>)</w:t>
      </w:r>
      <w:r w:rsidR="00CF5A84" w:rsidRPr="00200234">
        <w:t xml:space="preserve"> and manual data from Auckland, Lakes, Nelson Marlborough and </w:t>
      </w:r>
      <w:proofErr w:type="spellStart"/>
      <w:r w:rsidR="00CF5A84" w:rsidRPr="00200234">
        <w:t>Waitematā</w:t>
      </w:r>
      <w:proofErr w:type="spellEnd"/>
      <w:r w:rsidR="00CF5A84" w:rsidRPr="00200234">
        <w:t xml:space="preserve"> DHBs.</w:t>
      </w:r>
    </w:p>
    <w:p w14:paraId="713E5EC7" w14:textId="77777777" w:rsidR="004D2C47" w:rsidRPr="00200234" w:rsidRDefault="004D2C47" w:rsidP="004D2C47"/>
    <w:p w14:paraId="7001BAF9" w14:textId="5C6FA7C9" w:rsidR="008361C5" w:rsidRPr="00ED4FA1" w:rsidRDefault="008361C5" w:rsidP="000C5A1A">
      <w:pPr>
        <w:pStyle w:val="Bullet"/>
        <w:spacing w:after="120"/>
        <w:rPr>
          <w:szCs w:val="21"/>
        </w:rPr>
      </w:pPr>
      <w:r w:rsidRPr="00ED4FA1">
        <w:rPr>
          <w:szCs w:val="21"/>
        </w:rPr>
        <w:t>In New Zealand, on an average day in 2018, the treatment provisions of the Mental Health Act were applied as follows.</w:t>
      </w:r>
    </w:p>
    <w:tbl>
      <w:tblPr>
        <w:tblW w:w="0" w:type="auto"/>
        <w:tblInd w:w="3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727"/>
        <w:gridCol w:w="4007"/>
        <w:gridCol w:w="1978"/>
      </w:tblGrid>
      <w:tr w:rsidR="008361C5" w:rsidRPr="000C5A1A" w14:paraId="12349DAA" w14:textId="77777777" w:rsidTr="00A84354">
        <w:tc>
          <w:tcPr>
            <w:tcW w:w="1727" w:type="dxa"/>
            <w:shd w:val="clear" w:color="auto" w:fill="8EAADB" w:themeFill="accent1" w:themeFillTint="99"/>
            <w:vAlign w:val="center"/>
          </w:tcPr>
          <w:p w14:paraId="0D6EE237" w14:textId="77777777" w:rsidR="008361C5" w:rsidRPr="000C5A1A" w:rsidRDefault="008361C5" w:rsidP="00171FFD">
            <w:pPr>
              <w:spacing w:before="60" w:after="60"/>
              <w:jc w:val="center"/>
              <w:rPr>
                <w:rFonts w:cs="Segoe UI"/>
                <w:sz w:val="18"/>
                <w:szCs w:val="18"/>
              </w:rPr>
            </w:pPr>
            <w:r w:rsidRPr="000C5A1A">
              <w:rPr>
                <w:rFonts w:cs="Segoe UI"/>
                <w:sz w:val="18"/>
                <w:szCs w:val="18"/>
              </w:rPr>
              <w:t>Section 29</w:t>
            </w:r>
          </w:p>
        </w:tc>
        <w:tc>
          <w:tcPr>
            <w:tcW w:w="4007" w:type="dxa"/>
            <w:shd w:val="clear" w:color="auto" w:fill="B4C6E7" w:themeFill="accent1" w:themeFillTint="66"/>
            <w:vAlign w:val="center"/>
          </w:tcPr>
          <w:p w14:paraId="12AEAD18" w14:textId="1AB0DAF8" w:rsidR="008361C5" w:rsidRPr="000C5A1A" w:rsidRDefault="008361C5" w:rsidP="00171FFD">
            <w:pPr>
              <w:spacing w:before="60" w:after="60"/>
              <w:jc w:val="center"/>
              <w:rPr>
                <w:rFonts w:cs="Segoe UI"/>
                <w:sz w:val="18"/>
                <w:szCs w:val="18"/>
              </w:rPr>
            </w:pPr>
            <w:r w:rsidRPr="000C5A1A">
              <w:rPr>
                <w:rFonts w:cs="Segoe UI"/>
                <w:sz w:val="18"/>
                <w:szCs w:val="18"/>
              </w:rPr>
              <w:t>5,349 people were subject to a community treatment order</w:t>
            </w:r>
          </w:p>
        </w:tc>
        <w:tc>
          <w:tcPr>
            <w:tcW w:w="1978" w:type="dxa"/>
            <w:shd w:val="clear" w:color="auto" w:fill="D9E2F3" w:themeFill="accent1" w:themeFillTint="33"/>
            <w:vAlign w:val="center"/>
          </w:tcPr>
          <w:p w14:paraId="52333993" w14:textId="77777777" w:rsidR="008361C5" w:rsidRPr="000C5A1A" w:rsidRDefault="008361C5" w:rsidP="00171FFD">
            <w:pPr>
              <w:spacing w:before="60" w:after="60"/>
              <w:jc w:val="center"/>
              <w:rPr>
                <w:rFonts w:cs="Segoe UI"/>
                <w:sz w:val="18"/>
                <w:szCs w:val="18"/>
              </w:rPr>
            </w:pPr>
            <w:r w:rsidRPr="000C5A1A">
              <w:rPr>
                <w:rFonts w:cs="Segoe UI"/>
                <w:sz w:val="18"/>
                <w:szCs w:val="18"/>
              </w:rPr>
              <w:t>109 people per 100,000 population</w:t>
            </w:r>
          </w:p>
        </w:tc>
      </w:tr>
      <w:tr w:rsidR="008361C5" w:rsidRPr="000C5A1A" w14:paraId="32107424" w14:textId="77777777" w:rsidTr="00A84354">
        <w:tc>
          <w:tcPr>
            <w:tcW w:w="1727" w:type="dxa"/>
            <w:shd w:val="clear" w:color="auto" w:fill="8EAADB" w:themeFill="accent1" w:themeFillTint="99"/>
            <w:vAlign w:val="center"/>
          </w:tcPr>
          <w:p w14:paraId="07912D65" w14:textId="77777777" w:rsidR="008361C5" w:rsidRPr="000C5A1A" w:rsidRDefault="008361C5" w:rsidP="00171FFD">
            <w:pPr>
              <w:spacing w:before="60" w:after="60"/>
              <w:jc w:val="center"/>
              <w:rPr>
                <w:rFonts w:cs="Segoe UI"/>
                <w:sz w:val="18"/>
                <w:szCs w:val="18"/>
              </w:rPr>
            </w:pPr>
            <w:r w:rsidRPr="000C5A1A">
              <w:rPr>
                <w:rFonts w:cs="Segoe UI"/>
                <w:sz w:val="18"/>
                <w:szCs w:val="18"/>
              </w:rPr>
              <w:t>Section 30</w:t>
            </w:r>
          </w:p>
        </w:tc>
        <w:tc>
          <w:tcPr>
            <w:tcW w:w="4007" w:type="dxa"/>
            <w:shd w:val="clear" w:color="auto" w:fill="B4C6E7" w:themeFill="accent1" w:themeFillTint="66"/>
            <w:vAlign w:val="center"/>
          </w:tcPr>
          <w:p w14:paraId="4A319EE2" w14:textId="0DCD132B" w:rsidR="008361C5" w:rsidRPr="000C5A1A" w:rsidRDefault="008361C5" w:rsidP="00171FFD">
            <w:pPr>
              <w:spacing w:before="60" w:after="60"/>
              <w:jc w:val="center"/>
              <w:rPr>
                <w:rFonts w:cs="Segoe UI"/>
                <w:sz w:val="18"/>
                <w:szCs w:val="18"/>
              </w:rPr>
            </w:pPr>
            <w:r w:rsidRPr="000C5A1A">
              <w:rPr>
                <w:rFonts w:cs="Segoe UI"/>
                <w:sz w:val="18"/>
                <w:szCs w:val="18"/>
              </w:rPr>
              <w:t>791</w:t>
            </w:r>
            <w:r w:rsidR="00171FFD" w:rsidRPr="000C5A1A">
              <w:rPr>
                <w:rFonts w:cs="Segoe UI"/>
                <w:sz w:val="18"/>
                <w:szCs w:val="18"/>
              </w:rPr>
              <w:t xml:space="preserve"> </w:t>
            </w:r>
            <w:r w:rsidRPr="000C5A1A">
              <w:rPr>
                <w:rFonts w:cs="Segoe UI"/>
                <w:sz w:val="18"/>
                <w:szCs w:val="18"/>
              </w:rPr>
              <w:t>people were subject to an inpatient treatment order</w:t>
            </w:r>
          </w:p>
        </w:tc>
        <w:tc>
          <w:tcPr>
            <w:tcW w:w="1978" w:type="dxa"/>
            <w:shd w:val="clear" w:color="auto" w:fill="D9E2F3" w:themeFill="accent1" w:themeFillTint="33"/>
            <w:vAlign w:val="center"/>
          </w:tcPr>
          <w:p w14:paraId="6CA932D8" w14:textId="77777777" w:rsidR="008361C5" w:rsidRPr="000C5A1A" w:rsidRDefault="008361C5" w:rsidP="00171FFD">
            <w:pPr>
              <w:spacing w:before="60" w:after="60"/>
              <w:jc w:val="center"/>
              <w:rPr>
                <w:rFonts w:cs="Segoe UI"/>
                <w:sz w:val="18"/>
                <w:szCs w:val="18"/>
              </w:rPr>
            </w:pPr>
            <w:r w:rsidRPr="000C5A1A">
              <w:rPr>
                <w:rFonts w:cs="Segoe UI"/>
                <w:sz w:val="18"/>
                <w:szCs w:val="18"/>
              </w:rPr>
              <w:t>16 people per 100,000 population</w:t>
            </w:r>
          </w:p>
        </w:tc>
      </w:tr>
      <w:tr w:rsidR="008361C5" w:rsidRPr="000C5A1A" w14:paraId="751E073E" w14:textId="77777777" w:rsidTr="00A84354">
        <w:tc>
          <w:tcPr>
            <w:tcW w:w="1727" w:type="dxa"/>
            <w:shd w:val="clear" w:color="auto" w:fill="8EAADB" w:themeFill="accent1" w:themeFillTint="99"/>
            <w:vAlign w:val="center"/>
          </w:tcPr>
          <w:p w14:paraId="3C4463AB" w14:textId="77777777" w:rsidR="008361C5" w:rsidRPr="000C5A1A" w:rsidRDefault="008361C5" w:rsidP="00171FFD">
            <w:pPr>
              <w:spacing w:before="60" w:after="60"/>
              <w:jc w:val="center"/>
              <w:rPr>
                <w:rFonts w:cs="Segoe UI"/>
                <w:sz w:val="18"/>
                <w:szCs w:val="18"/>
              </w:rPr>
            </w:pPr>
            <w:r w:rsidRPr="000C5A1A">
              <w:rPr>
                <w:rFonts w:cs="Segoe UI"/>
                <w:sz w:val="18"/>
                <w:szCs w:val="18"/>
              </w:rPr>
              <w:t>Section 31</w:t>
            </w:r>
          </w:p>
        </w:tc>
        <w:tc>
          <w:tcPr>
            <w:tcW w:w="4007" w:type="dxa"/>
            <w:shd w:val="clear" w:color="auto" w:fill="B4C6E7" w:themeFill="accent1" w:themeFillTint="66"/>
            <w:vAlign w:val="center"/>
          </w:tcPr>
          <w:p w14:paraId="57A2D94B" w14:textId="0F651F82" w:rsidR="008361C5" w:rsidRPr="000C5A1A" w:rsidRDefault="008361C5" w:rsidP="00171FFD">
            <w:pPr>
              <w:spacing w:before="60" w:after="60"/>
              <w:jc w:val="center"/>
              <w:rPr>
                <w:rFonts w:cs="Segoe UI"/>
                <w:sz w:val="18"/>
                <w:szCs w:val="18"/>
              </w:rPr>
            </w:pPr>
            <w:r w:rsidRPr="000C5A1A">
              <w:rPr>
                <w:rFonts w:cs="Segoe UI"/>
                <w:sz w:val="18"/>
                <w:szCs w:val="18"/>
              </w:rPr>
              <w:t>201</w:t>
            </w:r>
            <w:r w:rsidR="00171FFD" w:rsidRPr="000C5A1A">
              <w:rPr>
                <w:rFonts w:cs="Segoe UI"/>
                <w:sz w:val="18"/>
                <w:szCs w:val="18"/>
              </w:rPr>
              <w:t xml:space="preserve"> </w:t>
            </w:r>
            <w:r w:rsidRPr="000C5A1A">
              <w:rPr>
                <w:rFonts w:cs="Segoe UI"/>
                <w:sz w:val="18"/>
                <w:szCs w:val="18"/>
              </w:rPr>
              <w:t xml:space="preserve">people were on temporary leave from an inpatient unit </w:t>
            </w:r>
          </w:p>
        </w:tc>
        <w:tc>
          <w:tcPr>
            <w:tcW w:w="1978" w:type="dxa"/>
            <w:shd w:val="clear" w:color="auto" w:fill="D9E2F3" w:themeFill="accent1" w:themeFillTint="33"/>
            <w:vAlign w:val="center"/>
          </w:tcPr>
          <w:p w14:paraId="1D76E438" w14:textId="77777777" w:rsidR="008361C5" w:rsidRPr="000C5A1A" w:rsidRDefault="008361C5" w:rsidP="00171FFD">
            <w:pPr>
              <w:spacing w:before="60" w:after="60"/>
              <w:jc w:val="center"/>
              <w:rPr>
                <w:rFonts w:cs="Segoe UI"/>
                <w:sz w:val="18"/>
                <w:szCs w:val="18"/>
              </w:rPr>
            </w:pPr>
            <w:r w:rsidRPr="000C5A1A">
              <w:rPr>
                <w:rFonts w:cs="Segoe UI"/>
                <w:sz w:val="18"/>
                <w:szCs w:val="18"/>
              </w:rPr>
              <w:t>4 people per 100,000 population</w:t>
            </w:r>
          </w:p>
        </w:tc>
      </w:tr>
    </w:tbl>
    <w:p w14:paraId="1C08B9A1" w14:textId="77777777" w:rsidR="008361C5" w:rsidRPr="00200234" w:rsidRDefault="008361C5" w:rsidP="00A84354">
      <w:pPr>
        <w:pStyle w:val="Note"/>
        <w:ind w:left="357"/>
      </w:pPr>
      <w:r w:rsidRPr="00200234">
        <w:t>Note: ‘On a given day’ is the average of the last day of each month.</w:t>
      </w:r>
    </w:p>
    <w:p w14:paraId="15C622BE" w14:textId="243E34EB" w:rsidR="008361C5" w:rsidRPr="00200234" w:rsidRDefault="008361C5" w:rsidP="00A84354">
      <w:pPr>
        <w:pStyle w:val="Note"/>
        <w:ind w:left="357"/>
      </w:pPr>
      <w:r w:rsidRPr="00200234">
        <w:t>Source</w:t>
      </w:r>
      <w:r w:rsidR="00AE7C60" w:rsidRPr="00200234">
        <w:t>s</w:t>
      </w:r>
      <w:r w:rsidRPr="00200234">
        <w:t xml:space="preserve">: </w:t>
      </w:r>
      <w:r w:rsidR="00CF5A84" w:rsidRPr="00200234">
        <w:t>PRIMHD data</w:t>
      </w:r>
      <w:r w:rsidR="0015429E">
        <w:t xml:space="preserve"> (extracted</w:t>
      </w:r>
      <w:r w:rsidR="00CF5A84" w:rsidRPr="00200234">
        <w:t xml:space="preserve"> 29 July 2019</w:t>
      </w:r>
      <w:r w:rsidR="000E756E">
        <w:t>)</w:t>
      </w:r>
      <w:r w:rsidR="00CF5A84" w:rsidRPr="00200234">
        <w:t xml:space="preserve"> and manual data from Auckland, Lakes, Nelson Marlborough and </w:t>
      </w:r>
      <w:proofErr w:type="spellStart"/>
      <w:r w:rsidR="00CF5A84" w:rsidRPr="00200234">
        <w:t>Waitematā</w:t>
      </w:r>
      <w:proofErr w:type="spellEnd"/>
      <w:r w:rsidR="00CF5A84" w:rsidRPr="00200234">
        <w:t xml:space="preserve"> DHBs.</w:t>
      </w:r>
    </w:p>
    <w:p w14:paraId="6D2F90E9" w14:textId="77777777" w:rsidR="008361C5" w:rsidRPr="00200234" w:rsidRDefault="008361C5" w:rsidP="004D2C47"/>
    <w:p w14:paraId="54D73C32" w14:textId="4A54B569" w:rsidR="008361C5" w:rsidRPr="00A84354" w:rsidRDefault="008361C5" w:rsidP="004D2C47">
      <w:pPr>
        <w:rPr>
          <w:b/>
          <w:bCs/>
        </w:rPr>
      </w:pPr>
      <w:r w:rsidRPr="00A84354">
        <w:rPr>
          <w:b/>
          <w:bCs/>
        </w:rPr>
        <w:t>2019</w:t>
      </w:r>
      <w:r w:rsidR="002A712F" w:rsidRPr="00200234">
        <w:rPr>
          <w:b/>
          <w:bCs/>
        </w:rPr>
        <w:t xml:space="preserve"> summary</w:t>
      </w:r>
    </w:p>
    <w:p w14:paraId="602D2640" w14:textId="77777777" w:rsidR="008361C5" w:rsidRPr="00ED4FA1" w:rsidRDefault="008361C5" w:rsidP="004D2C47">
      <w:pPr>
        <w:pStyle w:val="Bullet"/>
        <w:rPr>
          <w:szCs w:val="21"/>
        </w:rPr>
      </w:pPr>
      <w:r w:rsidRPr="00ED4FA1">
        <w:rPr>
          <w:szCs w:val="21"/>
        </w:rPr>
        <w:t xml:space="preserve">On the last day of 2019, a total of 5,450 people </w:t>
      </w:r>
      <w:proofErr w:type="gramStart"/>
      <w:r w:rsidRPr="00ED4FA1">
        <w:rPr>
          <w:szCs w:val="21"/>
        </w:rPr>
        <w:t>were</w:t>
      </w:r>
      <w:proofErr w:type="gramEnd"/>
      <w:r w:rsidRPr="00ED4FA1">
        <w:rPr>
          <w:szCs w:val="21"/>
        </w:rPr>
        <w:t xml:space="preserve"> subject to either compulsory assessment or compulsory treatment under the Mental Health Act.</w:t>
      </w:r>
    </w:p>
    <w:p w14:paraId="3F214828" w14:textId="77DF25F3" w:rsidR="008361C5" w:rsidRPr="00ED4FA1" w:rsidRDefault="008361C5" w:rsidP="000C5A1A">
      <w:pPr>
        <w:pStyle w:val="Bullet"/>
        <w:spacing w:after="120"/>
        <w:rPr>
          <w:szCs w:val="21"/>
        </w:rPr>
      </w:pPr>
      <w:r w:rsidRPr="00ED4FA1">
        <w:rPr>
          <w:szCs w:val="21"/>
        </w:rPr>
        <w:t>On average within each month of 2019, the assessment provisions of the Mental Health Act were applied as follows.</w:t>
      </w:r>
    </w:p>
    <w:tbl>
      <w:tblPr>
        <w:tblW w:w="0" w:type="auto"/>
        <w:tblInd w:w="3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726"/>
        <w:gridCol w:w="4009"/>
        <w:gridCol w:w="1977"/>
      </w:tblGrid>
      <w:tr w:rsidR="008361C5" w:rsidRPr="000C5A1A" w14:paraId="06FCB4C3" w14:textId="77777777" w:rsidTr="00A84354">
        <w:tc>
          <w:tcPr>
            <w:tcW w:w="1726" w:type="dxa"/>
            <w:shd w:val="clear" w:color="auto" w:fill="8EAADB" w:themeFill="accent1" w:themeFillTint="99"/>
            <w:vAlign w:val="center"/>
          </w:tcPr>
          <w:p w14:paraId="7AD9F760" w14:textId="77777777" w:rsidR="008361C5" w:rsidRPr="000C5A1A" w:rsidRDefault="008361C5" w:rsidP="00171FFD">
            <w:pPr>
              <w:keepNext/>
              <w:spacing w:before="60" w:after="60"/>
              <w:jc w:val="center"/>
              <w:rPr>
                <w:rFonts w:cs="Segoe UI"/>
                <w:sz w:val="18"/>
                <w:szCs w:val="18"/>
              </w:rPr>
            </w:pPr>
            <w:r w:rsidRPr="000C5A1A">
              <w:rPr>
                <w:rFonts w:cs="Segoe UI"/>
                <w:sz w:val="18"/>
                <w:szCs w:val="18"/>
              </w:rPr>
              <w:t>Section 11</w:t>
            </w:r>
          </w:p>
        </w:tc>
        <w:tc>
          <w:tcPr>
            <w:tcW w:w="4009" w:type="dxa"/>
            <w:shd w:val="clear" w:color="auto" w:fill="B4C6E7" w:themeFill="accent1" w:themeFillTint="66"/>
            <w:vAlign w:val="center"/>
          </w:tcPr>
          <w:p w14:paraId="2E2457BC" w14:textId="2EC05FAE" w:rsidR="008361C5" w:rsidRPr="000C5A1A" w:rsidRDefault="008361C5" w:rsidP="00171FFD">
            <w:pPr>
              <w:keepNext/>
              <w:spacing w:before="60" w:after="60"/>
              <w:jc w:val="center"/>
              <w:rPr>
                <w:rFonts w:cs="Segoe UI"/>
                <w:sz w:val="18"/>
                <w:szCs w:val="18"/>
              </w:rPr>
            </w:pPr>
            <w:r w:rsidRPr="000C5A1A">
              <w:rPr>
                <w:rFonts w:cs="Segoe UI"/>
                <w:sz w:val="18"/>
                <w:szCs w:val="18"/>
              </w:rPr>
              <w:t>637</w:t>
            </w:r>
            <w:r w:rsidR="00171FFD" w:rsidRPr="000C5A1A">
              <w:rPr>
                <w:rFonts w:cs="Segoe UI"/>
                <w:sz w:val="18"/>
                <w:szCs w:val="18"/>
              </w:rPr>
              <w:t xml:space="preserve"> </w:t>
            </w:r>
            <w:r w:rsidRPr="000C5A1A">
              <w:rPr>
                <w:rFonts w:cs="Segoe UI"/>
                <w:sz w:val="18"/>
                <w:szCs w:val="18"/>
              </w:rPr>
              <w:t>people were subject to an initial assessment</w:t>
            </w:r>
          </w:p>
        </w:tc>
        <w:tc>
          <w:tcPr>
            <w:tcW w:w="1977" w:type="dxa"/>
            <w:shd w:val="clear" w:color="auto" w:fill="D9E2F3" w:themeFill="accent1" w:themeFillTint="33"/>
            <w:vAlign w:val="center"/>
          </w:tcPr>
          <w:p w14:paraId="43469CDD" w14:textId="77777777" w:rsidR="008361C5" w:rsidRPr="000C5A1A" w:rsidRDefault="008361C5" w:rsidP="00171FFD">
            <w:pPr>
              <w:keepNext/>
              <w:spacing w:before="60" w:after="60"/>
              <w:jc w:val="center"/>
              <w:rPr>
                <w:rFonts w:cs="Segoe UI"/>
                <w:sz w:val="18"/>
                <w:szCs w:val="18"/>
              </w:rPr>
            </w:pPr>
            <w:r w:rsidRPr="000C5A1A">
              <w:rPr>
                <w:rFonts w:cs="Segoe UI"/>
                <w:sz w:val="18"/>
                <w:szCs w:val="18"/>
              </w:rPr>
              <w:t>13 people per 100,000 population</w:t>
            </w:r>
          </w:p>
        </w:tc>
      </w:tr>
      <w:tr w:rsidR="008361C5" w:rsidRPr="000C5A1A" w14:paraId="54356BEF" w14:textId="77777777" w:rsidTr="00A84354">
        <w:tc>
          <w:tcPr>
            <w:tcW w:w="1726" w:type="dxa"/>
            <w:shd w:val="clear" w:color="auto" w:fill="8EAADB" w:themeFill="accent1" w:themeFillTint="99"/>
            <w:vAlign w:val="center"/>
          </w:tcPr>
          <w:p w14:paraId="27AF5497" w14:textId="77777777" w:rsidR="008361C5" w:rsidRPr="000C5A1A" w:rsidRDefault="008361C5" w:rsidP="00171FFD">
            <w:pPr>
              <w:keepNext/>
              <w:spacing w:before="60" w:after="60"/>
              <w:jc w:val="center"/>
              <w:rPr>
                <w:rFonts w:cs="Segoe UI"/>
                <w:sz w:val="18"/>
                <w:szCs w:val="18"/>
              </w:rPr>
            </w:pPr>
            <w:r w:rsidRPr="000C5A1A">
              <w:rPr>
                <w:rFonts w:cs="Segoe UI"/>
                <w:sz w:val="18"/>
                <w:szCs w:val="18"/>
              </w:rPr>
              <w:t>Section 13</w:t>
            </w:r>
          </w:p>
        </w:tc>
        <w:tc>
          <w:tcPr>
            <w:tcW w:w="4009" w:type="dxa"/>
            <w:shd w:val="clear" w:color="auto" w:fill="B4C6E7" w:themeFill="accent1" w:themeFillTint="66"/>
            <w:vAlign w:val="center"/>
          </w:tcPr>
          <w:p w14:paraId="7BE2FD3C" w14:textId="25234FAF" w:rsidR="008361C5" w:rsidRPr="000C5A1A" w:rsidRDefault="008361C5" w:rsidP="00171FFD">
            <w:pPr>
              <w:keepNext/>
              <w:spacing w:before="60" w:after="60"/>
              <w:jc w:val="center"/>
              <w:rPr>
                <w:rFonts w:cs="Segoe UI"/>
                <w:sz w:val="18"/>
                <w:szCs w:val="18"/>
              </w:rPr>
            </w:pPr>
            <w:r w:rsidRPr="000C5A1A">
              <w:rPr>
                <w:rFonts w:cs="Segoe UI"/>
                <w:sz w:val="18"/>
                <w:szCs w:val="18"/>
              </w:rPr>
              <w:t>637</w:t>
            </w:r>
            <w:r w:rsidR="00171FFD" w:rsidRPr="000C5A1A">
              <w:rPr>
                <w:rFonts w:cs="Segoe UI"/>
                <w:sz w:val="18"/>
                <w:szCs w:val="18"/>
              </w:rPr>
              <w:t xml:space="preserve"> </w:t>
            </w:r>
            <w:r w:rsidRPr="000C5A1A">
              <w:rPr>
                <w:rFonts w:cs="Segoe UI"/>
                <w:sz w:val="18"/>
                <w:szCs w:val="18"/>
              </w:rPr>
              <w:t>people were subject to a second period of assessment</w:t>
            </w:r>
          </w:p>
        </w:tc>
        <w:tc>
          <w:tcPr>
            <w:tcW w:w="1977" w:type="dxa"/>
            <w:shd w:val="clear" w:color="auto" w:fill="D9E2F3" w:themeFill="accent1" w:themeFillTint="33"/>
            <w:vAlign w:val="center"/>
          </w:tcPr>
          <w:p w14:paraId="4E19F0BD" w14:textId="77777777" w:rsidR="008361C5" w:rsidRPr="000C5A1A" w:rsidRDefault="008361C5" w:rsidP="00171FFD">
            <w:pPr>
              <w:keepNext/>
              <w:spacing w:before="60" w:after="60"/>
              <w:jc w:val="center"/>
              <w:rPr>
                <w:rFonts w:cs="Segoe UI"/>
                <w:sz w:val="18"/>
                <w:szCs w:val="18"/>
              </w:rPr>
            </w:pPr>
            <w:r w:rsidRPr="000C5A1A">
              <w:rPr>
                <w:rFonts w:cs="Segoe UI"/>
                <w:sz w:val="18"/>
                <w:szCs w:val="18"/>
              </w:rPr>
              <w:t>13 people per 100,000 population</w:t>
            </w:r>
          </w:p>
        </w:tc>
      </w:tr>
      <w:tr w:rsidR="008361C5" w:rsidRPr="000C5A1A" w14:paraId="23FA6E3C" w14:textId="77777777" w:rsidTr="00A84354">
        <w:tc>
          <w:tcPr>
            <w:tcW w:w="1726" w:type="dxa"/>
            <w:shd w:val="clear" w:color="auto" w:fill="8EAADB" w:themeFill="accent1" w:themeFillTint="99"/>
            <w:vAlign w:val="center"/>
          </w:tcPr>
          <w:p w14:paraId="207A9188" w14:textId="77777777" w:rsidR="008361C5" w:rsidRPr="000C5A1A" w:rsidRDefault="008361C5" w:rsidP="00171FFD">
            <w:pPr>
              <w:keepNext/>
              <w:spacing w:before="60" w:after="60"/>
              <w:jc w:val="center"/>
              <w:rPr>
                <w:rFonts w:cs="Segoe UI"/>
                <w:sz w:val="18"/>
                <w:szCs w:val="18"/>
              </w:rPr>
            </w:pPr>
            <w:r w:rsidRPr="000C5A1A">
              <w:rPr>
                <w:rFonts w:cs="Segoe UI"/>
                <w:sz w:val="18"/>
                <w:szCs w:val="18"/>
              </w:rPr>
              <w:t>Section 14(4)</w:t>
            </w:r>
          </w:p>
        </w:tc>
        <w:tc>
          <w:tcPr>
            <w:tcW w:w="4009" w:type="dxa"/>
            <w:shd w:val="clear" w:color="auto" w:fill="B4C6E7" w:themeFill="accent1" w:themeFillTint="66"/>
            <w:vAlign w:val="center"/>
          </w:tcPr>
          <w:p w14:paraId="106493E0" w14:textId="56B4AC43" w:rsidR="008361C5" w:rsidRPr="000C5A1A" w:rsidRDefault="008361C5" w:rsidP="00171FFD">
            <w:pPr>
              <w:keepNext/>
              <w:spacing w:before="60" w:after="60"/>
              <w:jc w:val="center"/>
              <w:rPr>
                <w:rFonts w:cs="Segoe UI"/>
                <w:sz w:val="18"/>
                <w:szCs w:val="18"/>
              </w:rPr>
            </w:pPr>
            <w:r w:rsidRPr="000C5A1A">
              <w:rPr>
                <w:rFonts w:cs="Segoe UI"/>
                <w:sz w:val="18"/>
                <w:szCs w:val="18"/>
              </w:rPr>
              <w:t>445</w:t>
            </w:r>
            <w:r w:rsidR="00171FFD" w:rsidRPr="000C5A1A">
              <w:rPr>
                <w:rFonts w:cs="Segoe UI"/>
                <w:sz w:val="18"/>
                <w:szCs w:val="18"/>
              </w:rPr>
              <w:t xml:space="preserve"> </w:t>
            </w:r>
            <w:r w:rsidRPr="000C5A1A">
              <w:rPr>
                <w:rFonts w:cs="Segoe UI"/>
                <w:sz w:val="18"/>
                <w:szCs w:val="18"/>
              </w:rPr>
              <w:t>people were subject to an application for a compulsory treatment order</w:t>
            </w:r>
          </w:p>
        </w:tc>
        <w:tc>
          <w:tcPr>
            <w:tcW w:w="1977" w:type="dxa"/>
            <w:shd w:val="clear" w:color="auto" w:fill="D9E2F3" w:themeFill="accent1" w:themeFillTint="33"/>
            <w:vAlign w:val="center"/>
          </w:tcPr>
          <w:p w14:paraId="7D89A135" w14:textId="77777777" w:rsidR="008361C5" w:rsidRPr="000C5A1A" w:rsidRDefault="008361C5" w:rsidP="00171FFD">
            <w:pPr>
              <w:keepNext/>
              <w:spacing w:before="60" w:after="60"/>
              <w:jc w:val="center"/>
              <w:rPr>
                <w:rFonts w:cs="Segoe UI"/>
                <w:sz w:val="18"/>
                <w:szCs w:val="18"/>
              </w:rPr>
            </w:pPr>
            <w:r w:rsidRPr="000C5A1A">
              <w:rPr>
                <w:rFonts w:cs="Segoe UI"/>
                <w:sz w:val="18"/>
                <w:szCs w:val="18"/>
              </w:rPr>
              <w:t>9 people per 100,000 population</w:t>
            </w:r>
          </w:p>
        </w:tc>
      </w:tr>
    </w:tbl>
    <w:p w14:paraId="5963B090" w14:textId="25583C43" w:rsidR="008361C5" w:rsidRPr="00200234" w:rsidRDefault="008361C5" w:rsidP="00A84354">
      <w:pPr>
        <w:pStyle w:val="Note"/>
        <w:ind w:left="357"/>
      </w:pPr>
      <w:r w:rsidRPr="00200234">
        <w:t>Source: PRIMHD data</w:t>
      </w:r>
      <w:r w:rsidR="0015429E">
        <w:t xml:space="preserve"> (extracted</w:t>
      </w:r>
      <w:r w:rsidRPr="00200234">
        <w:t xml:space="preserve"> 19 October 2020</w:t>
      </w:r>
      <w:r w:rsidR="000E756E">
        <w:t>)</w:t>
      </w:r>
      <w:r w:rsidRPr="00200234">
        <w:t>.</w:t>
      </w:r>
    </w:p>
    <w:p w14:paraId="62029ABC" w14:textId="77777777" w:rsidR="00171FFD" w:rsidRPr="00200234" w:rsidRDefault="00171FFD" w:rsidP="00A84354"/>
    <w:p w14:paraId="60796A10" w14:textId="4884D8BE" w:rsidR="008361C5" w:rsidRPr="00ED4FA1" w:rsidRDefault="008361C5" w:rsidP="000C5A1A">
      <w:pPr>
        <w:pStyle w:val="Bullet"/>
        <w:keepNext/>
        <w:spacing w:after="120"/>
        <w:rPr>
          <w:szCs w:val="21"/>
        </w:rPr>
      </w:pPr>
      <w:r w:rsidRPr="00ED4FA1">
        <w:rPr>
          <w:szCs w:val="21"/>
        </w:rPr>
        <w:t>In New Zealand, on the average day in 2019, service providers applied the treatment provisions of the Mental Health Act as follows.</w:t>
      </w:r>
    </w:p>
    <w:tbl>
      <w:tblPr>
        <w:tblW w:w="0" w:type="auto"/>
        <w:tblInd w:w="3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725"/>
        <w:gridCol w:w="4016"/>
        <w:gridCol w:w="1971"/>
      </w:tblGrid>
      <w:tr w:rsidR="008361C5" w:rsidRPr="000C5A1A" w14:paraId="2BE2513C" w14:textId="77777777" w:rsidTr="00A84354">
        <w:tc>
          <w:tcPr>
            <w:tcW w:w="1725" w:type="dxa"/>
            <w:shd w:val="clear" w:color="auto" w:fill="8EAADB" w:themeFill="accent1" w:themeFillTint="99"/>
            <w:vAlign w:val="center"/>
          </w:tcPr>
          <w:p w14:paraId="2CE6DB47" w14:textId="77777777" w:rsidR="008361C5" w:rsidRPr="000C5A1A" w:rsidRDefault="008361C5" w:rsidP="00171FFD">
            <w:pPr>
              <w:keepNext/>
              <w:spacing w:before="60" w:after="60"/>
              <w:jc w:val="center"/>
              <w:rPr>
                <w:rFonts w:cs="Segoe UI"/>
                <w:sz w:val="18"/>
                <w:szCs w:val="18"/>
              </w:rPr>
            </w:pPr>
            <w:r w:rsidRPr="000C5A1A">
              <w:rPr>
                <w:rFonts w:cs="Segoe UI"/>
                <w:sz w:val="18"/>
                <w:szCs w:val="18"/>
              </w:rPr>
              <w:t>Section 29</w:t>
            </w:r>
          </w:p>
        </w:tc>
        <w:tc>
          <w:tcPr>
            <w:tcW w:w="4016" w:type="dxa"/>
            <w:shd w:val="clear" w:color="auto" w:fill="B4C6E7" w:themeFill="accent1" w:themeFillTint="66"/>
            <w:vAlign w:val="center"/>
          </w:tcPr>
          <w:p w14:paraId="04A55A9B" w14:textId="450C94E8" w:rsidR="008361C5" w:rsidRPr="000C5A1A" w:rsidRDefault="008361C5" w:rsidP="00171FFD">
            <w:pPr>
              <w:keepNext/>
              <w:spacing w:before="60" w:after="60"/>
              <w:jc w:val="center"/>
              <w:rPr>
                <w:rFonts w:cs="Segoe UI"/>
                <w:sz w:val="18"/>
                <w:szCs w:val="18"/>
              </w:rPr>
            </w:pPr>
            <w:r w:rsidRPr="000C5A1A">
              <w:rPr>
                <w:rFonts w:cs="Segoe UI"/>
                <w:sz w:val="18"/>
                <w:szCs w:val="18"/>
              </w:rPr>
              <w:t>4,446 people were subject to a community treatment order</w:t>
            </w:r>
          </w:p>
        </w:tc>
        <w:tc>
          <w:tcPr>
            <w:tcW w:w="1971" w:type="dxa"/>
            <w:shd w:val="clear" w:color="auto" w:fill="D9E2F3" w:themeFill="accent1" w:themeFillTint="33"/>
            <w:vAlign w:val="center"/>
          </w:tcPr>
          <w:p w14:paraId="5691A135" w14:textId="77777777" w:rsidR="008361C5" w:rsidRPr="000C5A1A" w:rsidRDefault="008361C5" w:rsidP="00171FFD">
            <w:pPr>
              <w:keepNext/>
              <w:spacing w:before="60" w:after="60"/>
              <w:jc w:val="center"/>
              <w:rPr>
                <w:rFonts w:cs="Segoe UI"/>
                <w:sz w:val="18"/>
                <w:szCs w:val="18"/>
              </w:rPr>
            </w:pPr>
            <w:r w:rsidRPr="000C5A1A">
              <w:rPr>
                <w:rFonts w:cs="Segoe UI"/>
                <w:sz w:val="18"/>
                <w:szCs w:val="18"/>
              </w:rPr>
              <w:t>90 people per 100,000 population</w:t>
            </w:r>
          </w:p>
        </w:tc>
      </w:tr>
      <w:tr w:rsidR="008361C5" w:rsidRPr="000C5A1A" w14:paraId="43D635CF" w14:textId="77777777" w:rsidTr="00A84354">
        <w:tc>
          <w:tcPr>
            <w:tcW w:w="1725" w:type="dxa"/>
            <w:shd w:val="clear" w:color="auto" w:fill="8EAADB" w:themeFill="accent1" w:themeFillTint="99"/>
            <w:vAlign w:val="center"/>
          </w:tcPr>
          <w:p w14:paraId="2453429D" w14:textId="77777777" w:rsidR="008361C5" w:rsidRPr="000C5A1A" w:rsidRDefault="008361C5" w:rsidP="00171FFD">
            <w:pPr>
              <w:keepNext/>
              <w:spacing w:before="60" w:after="60"/>
              <w:jc w:val="center"/>
              <w:rPr>
                <w:rFonts w:cs="Segoe UI"/>
                <w:sz w:val="18"/>
                <w:szCs w:val="18"/>
              </w:rPr>
            </w:pPr>
            <w:r w:rsidRPr="000C5A1A">
              <w:rPr>
                <w:rFonts w:cs="Segoe UI"/>
                <w:sz w:val="18"/>
                <w:szCs w:val="18"/>
              </w:rPr>
              <w:t>Section 30</w:t>
            </w:r>
          </w:p>
        </w:tc>
        <w:tc>
          <w:tcPr>
            <w:tcW w:w="4016" w:type="dxa"/>
            <w:shd w:val="clear" w:color="auto" w:fill="B4C6E7" w:themeFill="accent1" w:themeFillTint="66"/>
            <w:vAlign w:val="center"/>
          </w:tcPr>
          <w:p w14:paraId="18119CCF" w14:textId="0EB95576" w:rsidR="008361C5" w:rsidRPr="000C5A1A" w:rsidRDefault="008361C5" w:rsidP="00171FFD">
            <w:pPr>
              <w:keepNext/>
              <w:spacing w:before="60" w:after="60"/>
              <w:jc w:val="center"/>
              <w:rPr>
                <w:rFonts w:cs="Segoe UI"/>
                <w:sz w:val="18"/>
                <w:szCs w:val="18"/>
              </w:rPr>
            </w:pPr>
            <w:r w:rsidRPr="000C5A1A">
              <w:rPr>
                <w:rFonts w:cs="Segoe UI"/>
                <w:sz w:val="18"/>
                <w:szCs w:val="18"/>
              </w:rPr>
              <w:t>634</w:t>
            </w:r>
            <w:r w:rsidR="00171FFD" w:rsidRPr="000C5A1A">
              <w:rPr>
                <w:rFonts w:cs="Segoe UI"/>
                <w:sz w:val="18"/>
                <w:szCs w:val="18"/>
              </w:rPr>
              <w:t xml:space="preserve"> </w:t>
            </w:r>
            <w:r w:rsidRPr="000C5A1A">
              <w:rPr>
                <w:rFonts w:cs="Segoe UI"/>
                <w:sz w:val="18"/>
                <w:szCs w:val="18"/>
              </w:rPr>
              <w:t>people were subject to an inpatient treatment order</w:t>
            </w:r>
          </w:p>
        </w:tc>
        <w:tc>
          <w:tcPr>
            <w:tcW w:w="1971" w:type="dxa"/>
            <w:shd w:val="clear" w:color="auto" w:fill="D9E2F3" w:themeFill="accent1" w:themeFillTint="33"/>
            <w:vAlign w:val="center"/>
          </w:tcPr>
          <w:p w14:paraId="76B9754E" w14:textId="77777777" w:rsidR="008361C5" w:rsidRPr="000C5A1A" w:rsidRDefault="008361C5" w:rsidP="00171FFD">
            <w:pPr>
              <w:keepNext/>
              <w:spacing w:before="60" w:after="60"/>
              <w:jc w:val="center"/>
              <w:rPr>
                <w:rFonts w:cs="Segoe UI"/>
                <w:sz w:val="18"/>
                <w:szCs w:val="18"/>
              </w:rPr>
            </w:pPr>
            <w:r w:rsidRPr="000C5A1A">
              <w:rPr>
                <w:rFonts w:cs="Segoe UI"/>
                <w:sz w:val="18"/>
                <w:szCs w:val="18"/>
              </w:rPr>
              <w:t>13 people per 100,000 population</w:t>
            </w:r>
          </w:p>
        </w:tc>
      </w:tr>
      <w:tr w:rsidR="008361C5" w:rsidRPr="000C5A1A" w14:paraId="4B9CEF4D" w14:textId="77777777" w:rsidTr="00A84354">
        <w:tc>
          <w:tcPr>
            <w:tcW w:w="1725" w:type="dxa"/>
            <w:shd w:val="clear" w:color="auto" w:fill="8EAADB" w:themeFill="accent1" w:themeFillTint="99"/>
            <w:vAlign w:val="center"/>
          </w:tcPr>
          <w:p w14:paraId="0BDB2570" w14:textId="77777777" w:rsidR="008361C5" w:rsidRPr="000C5A1A" w:rsidRDefault="008361C5" w:rsidP="00171FFD">
            <w:pPr>
              <w:keepNext/>
              <w:spacing w:before="60" w:after="60"/>
              <w:jc w:val="center"/>
              <w:rPr>
                <w:rFonts w:cs="Segoe UI"/>
                <w:sz w:val="18"/>
                <w:szCs w:val="18"/>
              </w:rPr>
            </w:pPr>
            <w:r w:rsidRPr="000C5A1A">
              <w:rPr>
                <w:rFonts w:cs="Segoe UI"/>
                <w:sz w:val="18"/>
                <w:szCs w:val="18"/>
              </w:rPr>
              <w:t>Section 31</w:t>
            </w:r>
          </w:p>
        </w:tc>
        <w:tc>
          <w:tcPr>
            <w:tcW w:w="4016" w:type="dxa"/>
            <w:shd w:val="clear" w:color="auto" w:fill="B4C6E7" w:themeFill="accent1" w:themeFillTint="66"/>
            <w:vAlign w:val="center"/>
          </w:tcPr>
          <w:p w14:paraId="08CBDEDB" w14:textId="771046C9" w:rsidR="008361C5" w:rsidRPr="000C5A1A" w:rsidRDefault="008361C5" w:rsidP="00171FFD">
            <w:pPr>
              <w:keepNext/>
              <w:spacing w:before="60" w:after="60"/>
              <w:jc w:val="center"/>
              <w:rPr>
                <w:rFonts w:cs="Segoe UI"/>
                <w:sz w:val="18"/>
                <w:szCs w:val="18"/>
              </w:rPr>
            </w:pPr>
            <w:r w:rsidRPr="000C5A1A">
              <w:rPr>
                <w:rFonts w:cs="Segoe UI"/>
                <w:sz w:val="18"/>
                <w:szCs w:val="18"/>
              </w:rPr>
              <w:t>169</w:t>
            </w:r>
            <w:r w:rsidR="00171FFD" w:rsidRPr="000C5A1A">
              <w:rPr>
                <w:rFonts w:cs="Segoe UI"/>
                <w:sz w:val="18"/>
                <w:szCs w:val="18"/>
              </w:rPr>
              <w:t xml:space="preserve"> </w:t>
            </w:r>
            <w:r w:rsidRPr="000C5A1A">
              <w:rPr>
                <w:rFonts w:cs="Segoe UI"/>
                <w:sz w:val="18"/>
                <w:szCs w:val="18"/>
              </w:rPr>
              <w:t xml:space="preserve">people were on temporary leave from an inpatient unit </w:t>
            </w:r>
          </w:p>
        </w:tc>
        <w:tc>
          <w:tcPr>
            <w:tcW w:w="1971" w:type="dxa"/>
            <w:shd w:val="clear" w:color="auto" w:fill="D9E2F3" w:themeFill="accent1" w:themeFillTint="33"/>
            <w:vAlign w:val="center"/>
          </w:tcPr>
          <w:p w14:paraId="10313A79" w14:textId="77777777" w:rsidR="008361C5" w:rsidRPr="000C5A1A" w:rsidRDefault="008361C5" w:rsidP="00171FFD">
            <w:pPr>
              <w:keepNext/>
              <w:spacing w:before="60" w:after="60"/>
              <w:jc w:val="center"/>
              <w:rPr>
                <w:rFonts w:cs="Segoe UI"/>
                <w:sz w:val="18"/>
                <w:szCs w:val="18"/>
              </w:rPr>
            </w:pPr>
            <w:r w:rsidRPr="000C5A1A">
              <w:rPr>
                <w:rFonts w:cs="Segoe UI"/>
                <w:sz w:val="18"/>
                <w:szCs w:val="18"/>
              </w:rPr>
              <w:t>3 people per 100,000 population</w:t>
            </w:r>
          </w:p>
        </w:tc>
      </w:tr>
    </w:tbl>
    <w:p w14:paraId="5E95316A" w14:textId="77777777" w:rsidR="008361C5" w:rsidRPr="00200234" w:rsidRDefault="008361C5" w:rsidP="00A84354">
      <w:pPr>
        <w:pStyle w:val="Note"/>
        <w:ind w:left="357"/>
      </w:pPr>
      <w:r w:rsidRPr="00200234">
        <w:t>Note: ‘On a given day’ is the average of the last day of each month.</w:t>
      </w:r>
    </w:p>
    <w:p w14:paraId="1C95A48C" w14:textId="290EF32C" w:rsidR="008361C5" w:rsidRPr="00200234" w:rsidRDefault="008361C5" w:rsidP="00A84354">
      <w:pPr>
        <w:pStyle w:val="Note"/>
        <w:ind w:left="357"/>
      </w:pPr>
      <w:r w:rsidRPr="00200234">
        <w:t>Source</w:t>
      </w:r>
      <w:r w:rsidR="007F70DA" w:rsidRPr="00200234">
        <w:t>s</w:t>
      </w:r>
      <w:r w:rsidRPr="00200234">
        <w:t>: PRIMHD data</w:t>
      </w:r>
      <w:r w:rsidR="0015429E">
        <w:t xml:space="preserve"> (extracted</w:t>
      </w:r>
      <w:r w:rsidRPr="00200234">
        <w:t xml:space="preserve"> 19 October 2020</w:t>
      </w:r>
      <w:r w:rsidR="000E756E">
        <w:t>)</w:t>
      </w:r>
      <w:r w:rsidRPr="00200234">
        <w:t xml:space="preserve"> </w:t>
      </w:r>
      <w:r w:rsidR="007F70DA" w:rsidRPr="00200234">
        <w:t>and manual data from</w:t>
      </w:r>
      <w:r w:rsidR="007F70DA" w:rsidRPr="00200234" w:rsidDel="007F70DA">
        <w:t xml:space="preserve"> </w:t>
      </w:r>
      <w:r w:rsidRPr="00200234">
        <w:t>Auckland DHB.</w:t>
      </w:r>
    </w:p>
    <w:p w14:paraId="45F72BF1" w14:textId="3D93A2F2" w:rsidR="008361C5" w:rsidRPr="00200234" w:rsidRDefault="008361C5" w:rsidP="00DC3196">
      <w:pPr>
        <w:pStyle w:val="Heading2"/>
      </w:pPr>
      <w:bookmarkStart w:id="13" w:name="_Toc65141614"/>
      <w:bookmarkStart w:id="14" w:name="_Toc69307694"/>
      <w:r w:rsidRPr="00200234">
        <w:lastRenderedPageBreak/>
        <w:t xml:space="preserve">Comparing compulsory assessment and treatment among </w:t>
      </w:r>
      <w:bookmarkEnd w:id="13"/>
      <w:r w:rsidR="00363532" w:rsidRPr="00200234">
        <w:t>DHBs</w:t>
      </w:r>
      <w:bookmarkEnd w:id="14"/>
    </w:p>
    <w:p w14:paraId="365DA24E" w14:textId="4A52FD6E" w:rsidR="008361C5" w:rsidRPr="00200234" w:rsidRDefault="008361C5" w:rsidP="00060DF7">
      <w:r w:rsidRPr="00200234">
        <w:t xml:space="preserve">Tables </w:t>
      </w:r>
      <w:r w:rsidR="00D53A62" w:rsidRPr="00200234">
        <w:fldChar w:fldCharType="begin"/>
      </w:r>
      <w:r w:rsidR="00D53A62" w:rsidRPr="00200234">
        <w:instrText xml:space="preserve"> REF _Ref65671725 \# 0 \h </w:instrText>
      </w:r>
      <w:r w:rsidR="00D53A62" w:rsidRPr="00200234">
        <w:fldChar w:fldCharType="separate"/>
      </w:r>
      <w:r w:rsidR="00422361">
        <w:t>1</w:t>
      </w:r>
      <w:r w:rsidR="00D53A62" w:rsidRPr="00200234">
        <w:fldChar w:fldCharType="end"/>
      </w:r>
      <w:r w:rsidRPr="00200234">
        <w:t xml:space="preserve"> and </w:t>
      </w:r>
      <w:r w:rsidR="00D53A62" w:rsidRPr="00200234">
        <w:fldChar w:fldCharType="begin"/>
      </w:r>
      <w:r w:rsidR="00D53A62" w:rsidRPr="00200234">
        <w:instrText xml:space="preserve"> REF _Ref65671731 \# 0 \h </w:instrText>
      </w:r>
      <w:r w:rsidR="00D53A62" w:rsidRPr="00200234">
        <w:fldChar w:fldCharType="separate"/>
      </w:r>
      <w:r w:rsidR="00422361">
        <w:t>2</w:t>
      </w:r>
      <w:r w:rsidR="00D53A62" w:rsidRPr="00200234">
        <w:fldChar w:fldCharType="end"/>
      </w:r>
      <w:r w:rsidRPr="00200234">
        <w:t xml:space="preserve"> show the average number of people per month in 2018 and 2019 who were required to undergo assessment under the Mental Health Act in each DHB. Tables </w:t>
      </w:r>
      <w:r w:rsidR="00D53A62" w:rsidRPr="00200234">
        <w:fldChar w:fldCharType="begin"/>
      </w:r>
      <w:r w:rsidR="00D53A62" w:rsidRPr="00200234">
        <w:instrText xml:space="preserve"> REF _Ref65671789 \# 0 \h </w:instrText>
      </w:r>
      <w:r w:rsidR="00D53A62" w:rsidRPr="00200234">
        <w:fldChar w:fldCharType="separate"/>
      </w:r>
      <w:r w:rsidR="00422361">
        <w:t>3</w:t>
      </w:r>
      <w:r w:rsidR="00D53A62" w:rsidRPr="00200234">
        <w:fldChar w:fldCharType="end"/>
      </w:r>
      <w:r w:rsidRPr="00200234">
        <w:t xml:space="preserve"> and </w:t>
      </w:r>
      <w:r w:rsidR="00D53A62" w:rsidRPr="00200234">
        <w:fldChar w:fldCharType="begin"/>
      </w:r>
      <w:r w:rsidR="00D53A62" w:rsidRPr="00200234">
        <w:instrText xml:space="preserve"> REF _Ref65671792 \# 0 \h </w:instrText>
      </w:r>
      <w:r w:rsidR="00D53A62" w:rsidRPr="00200234">
        <w:fldChar w:fldCharType="separate"/>
      </w:r>
      <w:r w:rsidR="00422361">
        <w:t>4</w:t>
      </w:r>
      <w:r w:rsidR="00D53A62" w:rsidRPr="00200234">
        <w:fldChar w:fldCharType="end"/>
      </w:r>
      <w:r w:rsidRPr="00200234">
        <w:t xml:space="preserve"> show the average number of people subject to a compulsory treatment order on a given day in 2018 and 2019 in each DHB. </w:t>
      </w:r>
      <w:r w:rsidR="00F9620B" w:rsidRPr="00200234">
        <w:t xml:space="preserve">Figures </w:t>
      </w:r>
      <w:r w:rsidR="00F9620B" w:rsidRPr="00200234">
        <w:fldChar w:fldCharType="begin"/>
      </w:r>
      <w:r w:rsidR="00F9620B" w:rsidRPr="00200234">
        <w:instrText xml:space="preserve"> REF _Ref65671612 \# 0 \h </w:instrText>
      </w:r>
      <w:r w:rsidR="00F9620B" w:rsidRPr="00200234">
        <w:fldChar w:fldCharType="separate"/>
      </w:r>
      <w:r w:rsidR="00422361">
        <w:t>1</w:t>
      </w:r>
      <w:r w:rsidR="00F9620B" w:rsidRPr="00200234">
        <w:fldChar w:fldCharType="end"/>
      </w:r>
      <w:r w:rsidR="00F9620B" w:rsidRPr="00200234">
        <w:t xml:space="preserve"> to </w:t>
      </w:r>
      <w:r w:rsidR="00F9620B" w:rsidRPr="00200234">
        <w:fldChar w:fldCharType="begin"/>
      </w:r>
      <w:r w:rsidR="00F9620B" w:rsidRPr="00200234">
        <w:instrText xml:space="preserve"> REF _Ref65671623 </w:instrText>
      </w:r>
      <w:r w:rsidR="00D53A62" w:rsidRPr="00200234">
        <w:instrText>\# 0 \h</w:instrText>
      </w:r>
      <w:r w:rsidR="00F9620B" w:rsidRPr="00200234">
        <w:instrText xml:space="preserve"> </w:instrText>
      </w:r>
      <w:r w:rsidR="00F9620B" w:rsidRPr="00200234">
        <w:fldChar w:fldCharType="separate"/>
      </w:r>
      <w:r w:rsidR="00422361">
        <w:t>4</w:t>
      </w:r>
      <w:r w:rsidR="00F9620B" w:rsidRPr="00200234">
        <w:fldChar w:fldCharType="end"/>
      </w:r>
      <w:r w:rsidRPr="00200234">
        <w:t xml:space="preserve"> present the average number of people subject to a compulsory treatment order on a given day, focusing specifically on either community treatment orders or inpatient treatment orders.</w:t>
      </w:r>
    </w:p>
    <w:p w14:paraId="41285770" w14:textId="1D86EC6D" w:rsidR="00060DF7" w:rsidRPr="00200234" w:rsidRDefault="00060DF7" w:rsidP="00060DF7"/>
    <w:p w14:paraId="43AF3A01" w14:textId="77777777" w:rsidR="008361C5" w:rsidRPr="00200234" w:rsidRDefault="008361C5" w:rsidP="008361C5">
      <w:pPr>
        <w:tabs>
          <w:tab w:val="left" w:pos="6736"/>
        </w:tabs>
        <w:spacing w:line="24" w:lineRule="exact"/>
        <w:ind w:left="2285" w:right="-1811"/>
        <w:rPr>
          <w:rFonts w:cs="Segoe UI"/>
          <w:sz w:val="2"/>
        </w:rPr>
      </w:pPr>
      <w:r w:rsidRPr="00200234">
        <w:rPr>
          <w:rFonts w:cs="Segoe UI"/>
        </w:rPr>
        <w:tab/>
      </w:r>
    </w:p>
    <w:p w14:paraId="34511BCB" w14:textId="27A21F50" w:rsidR="008361C5" w:rsidRPr="00200234" w:rsidRDefault="008361C5" w:rsidP="008361C5">
      <w:pPr>
        <w:pStyle w:val="Table"/>
      </w:pPr>
      <w:bookmarkStart w:id="15" w:name="_Ref65671725"/>
      <w:bookmarkStart w:id="16" w:name="_Toc63764665"/>
      <w:bookmarkStart w:id="17" w:name="_Toc69306771"/>
      <w:r w:rsidRPr="00200234">
        <w:t xml:space="preserve">Table </w:t>
      </w:r>
      <w:fldSimple w:instr=" SEQ Table \* ARABIC ">
        <w:r w:rsidR="00422361">
          <w:rPr>
            <w:noProof/>
          </w:rPr>
          <w:t>1</w:t>
        </w:r>
      </w:fldSimple>
      <w:bookmarkEnd w:id="15"/>
      <w:r w:rsidRPr="00200234">
        <w:t>: Average number of people each month required to undergo assessment under sections 11, 13 and 14(4) of the Mental Health Act per 100,000 population, by DHB, 1 January to 31 December 2018</w:t>
      </w:r>
      <w:bookmarkEnd w:id="16"/>
      <w:bookmarkEnd w:id="17"/>
    </w:p>
    <w:tbl>
      <w:tblPr>
        <w:tblW w:w="8082"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43"/>
        <w:gridCol w:w="638"/>
        <w:gridCol w:w="638"/>
        <w:gridCol w:w="850"/>
        <w:gridCol w:w="426"/>
        <w:gridCol w:w="1843"/>
        <w:gridCol w:w="567"/>
        <w:gridCol w:w="568"/>
        <w:gridCol w:w="709"/>
      </w:tblGrid>
      <w:tr w:rsidR="008361C5" w:rsidRPr="00200234" w14:paraId="5AB79EF3" w14:textId="77777777" w:rsidTr="008361C5">
        <w:trPr>
          <w:cantSplit/>
          <w:tblHeader/>
        </w:trPr>
        <w:tc>
          <w:tcPr>
            <w:tcW w:w="1843" w:type="dxa"/>
            <w:tcBorders>
              <w:top w:val="nil"/>
              <w:bottom w:val="nil"/>
            </w:tcBorders>
            <w:shd w:val="clear" w:color="auto" w:fill="D9D9D9" w:themeFill="background1" w:themeFillShade="D9"/>
          </w:tcPr>
          <w:p w14:paraId="26A41603" w14:textId="77777777" w:rsidR="008361C5" w:rsidRPr="00200234" w:rsidRDefault="008361C5" w:rsidP="008361C5">
            <w:pPr>
              <w:pStyle w:val="TableText"/>
              <w:spacing w:before="55" w:after="55"/>
              <w:rPr>
                <w:rFonts w:cs="Segoe UI"/>
                <w:b/>
              </w:rPr>
            </w:pPr>
            <w:r w:rsidRPr="00200234">
              <w:rPr>
                <w:rFonts w:cs="Segoe UI"/>
                <w:b/>
              </w:rPr>
              <w:t>DHB</w:t>
            </w:r>
          </w:p>
        </w:tc>
        <w:tc>
          <w:tcPr>
            <w:tcW w:w="638" w:type="dxa"/>
            <w:tcBorders>
              <w:top w:val="nil"/>
              <w:bottom w:val="nil"/>
            </w:tcBorders>
            <w:shd w:val="clear" w:color="auto" w:fill="D9D9D9" w:themeFill="background1" w:themeFillShade="D9"/>
          </w:tcPr>
          <w:p w14:paraId="7FED2DB4" w14:textId="77777777" w:rsidR="008361C5" w:rsidRPr="00200234" w:rsidRDefault="008361C5" w:rsidP="008361C5">
            <w:pPr>
              <w:pStyle w:val="TableText"/>
              <w:spacing w:before="55" w:after="55"/>
              <w:jc w:val="center"/>
              <w:rPr>
                <w:rFonts w:cs="Segoe UI"/>
                <w:b/>
              </w:rPr>
            </w:pPr>
            <w:r w:rsidRPr="00200234">
              <w:rPr>
                <w:rFonts w:cs="Segoe UI"/>
                <w:b/>
              </w:rPr>
              <w:t>s 11</w:t>
            </w:r>
          </w:p>
        </w:tc>
        <w:tc>
          <w:tcPr>
            <w:tcW w:w="638" w:type="dxa"/>
            <w:tcBorders>
              <w:top w:val="nil"/>
              <w:bottom w:val="nil"/>
            </w:tcBorders>
            <w:shd w:val="clear" w:color="auto" w:fill="D9D9D9" w:themeFill="background1" w:themeFillShade="D9"/>
          </w:tcPr>
          <w:p w14:paraId="48FF5092" w14:textId="77777777" w:rsidR="008361C5" w:rsidRPr="00200234" w:rsidRDefault="008361C5" w:rsidP="008361C5">
            <w:pPr>
              <w:pStyle w:val="TableText"/>
              <w:spacing w:before="55" w:after="55"/>
              <w:jc w:val="center"/>
              <w:rPr>
                <w:rFonts w:cs="Segoe UI"/>
                <w:b/>
              </w:rPr>
            </w:pPr>
            <w:r w:rsidRPr="00200234">
              <w:rPr>
                <w:rFonts w:cs="Segoe UI"/>
                <w:b/>
              </w:rPr>
              <w:t>s 13</w:t>
            </w:r>
          </w:p>
        </w:tc>
        <w:tc>
          <w:tcPr>
            <w:tcW w:w="850" w:type="dxa"/>
            <w:tcBorders>
              <w:top w:val="nil"/>
              <w:bottom w:val="nil"/>
            </w:tcBorders>
            <w:shd w:val="clear" w:color="auto" w:fill="D9D9D9" w:themeFill="background1" w:themeFillShade="D9"/>
          </w:tcPr>
          <w:p w14:paraId="05C2C663" w14:textId="77777777" w:rsidR="008361C5" w:rsidRPr="00200234" w:rsidRDefault="008361C5" w:rsidP="008361C5">
            <w:pPr>
              <w:pStyle w:val="TableText"/>
              <w:spacing w:before="55" w:after="55"/>
              <w:jc w:val="center"/>
              <w:rPr>
                <w:rFonts w:cs="Segoe UI"/>
                <w:b/>
              </w:rPr>
            </w:pPr>
            <w:r w:rsidRPr="00200234">
              <w:rPr>
                <w:rFonts w:cs="Segoe UI"/>
                <w:b/>
              </w:rPr>
              <w:t>s 14(4)</w:t>
            </w:r>
          </w:p>
        </w:tc>
        <w:tc>
          <w:tcPr>
            <w:tcW w:w="426" w:type="dxa"/>
            <w:tcBorders>
              <w:top w:val="nil"/>
              <w:bottom w:val="nil"/>
            </w:tcBorders>
            <w:shd w:val="clear" w:color="auto" w:fill="auto"/>
          </w:tcPr>
          <w:p w14:paraId="1C41732C" w14:textId="77777777" w:rsidR="008361C5" w:rsidRPr="00200234" w:rsidRDefault="008361C5" w:rsidP="008361C5">
            <w:pPr>
              <w:pStyle w:val="TableText"/>
              <w:spacing w:before="55" w:after="55"/>
              <w:jc w:val="center"/>
              <w:rPr>
                <w:rFonts w:cs="Segoe UI"/>
                <w:b/>
              </w:rPr>
            </w:pPr>
          </w:p>
        </w:tc>
        <w:tc>
          <w:tcPr>
            <w:tcW w:w="1843" w:type="dxa"/>
            <w:tcBorders>
              <w:top w:val="nil"/>
              <w:bottom w:val="nil"/>
            </w:tcBorders>
            <w:shd w:val="clear" w:color="auto" w:fill="D9D9D9" w:themeFill="background1" w:themeFillShade="D9"/>
          </w:tcPr>
          <w:p w14:paraId="15EC2319" w14:textId="77777777" w:rsidR="008361C5" w:rsidRPr="00200234" w:rsidRDefault="008361C5" w:rsidP="008361C5">
            <w:pPr>
              <w:pStyle w:val="TableText"/>
              <w:spacing w:before="55" w:after="55"/>
              <w:rPr>
                <w:rFonts w:cs="Segoe UI"/>
                <w:b/>
              </w:rPr>
            </w:pPr>
            <w:r w:rsidRPr="00200234">
              <w:rPr>
                <w:rFonts w:cs="Segoe UI"/>
                <w:b/>
              </w:rPr>
              <w:t>DHB</w:t>
            </w:r>
          </w:p>
        </w:tc>
        <w:tc>
          <w:tcPr>
            <w:tcW w:w="567" w:type="dxa"/>
            <w:tcBorders>
              <w:top w:val="nil"/>
              <w:bottom w:val="nil"/>
            </w:tcBorders>
            <w:shd w:val="clear" w:color="auto" w:fill="D9D9D9" w:themeFill="background1" w:themeFillShade="D9"/>
          </w:tcPr>
          <w:p w14:paraId="1F0B2DD5" w14:textId="77777777" w:rsidR="008361C5" w:rsidRPr="00200234" w:rsidRDefault="008361C5" w:rsidP="008361C5">
            <w:pPr>
              <w:pStyle w:val="TableText"/>
              <w:spacing w:before="55" w:after="55"/>
              <w:jc w:val="center"/>
              <w:rPr>
                <w:rFonts w:cs="Segoe UI"/>
                <w:b/>
              </w:rPr>
            </w:pPr>
            <w:r w:rsidRPr="00200234">
              <w:rPr>
                <w:rFonts w:cs="Segoe UI"/>
                <w:b/>
              </w:rPr>
              <w:t>s 11</w:t>
            </w:r>
          </w:p>
        </w:tc>
        <w:tc>
          <w:tcPr>
            <w:tcW w:w="568" w:type="dxa"/>
            <w:tcBorders>
              <w:top w:val="nil"/>
              <w:bottom w:val="nil"/>
            </w:tcBorders>
            <w:shd w:val="clear" w:color="auto" w:fill="D9D9D9" w:themeFill="background1" w:themeFillShade="D9"/>
          </w:tcPr>
          <w:p w14:paraId="0AE9FD41" w14:textId="77777777" w:rsidR="008361C5" w:rsidRPr="00200234" w:rsidRDefault="008361C5" w:rsidP="008361C5">
            <w:pPr>
              <w:pStyle w:val="TableText"/>
              <w:spacing w:before="55" w:after="55"/>
              <w:jc w:val="center"/>
              <w:rPr>
                <w:rFonts w:cs="Segoe UI"/>
                <w:b/>
              </w:rPr>
            </w:pPr>
            <w:r w:rsidRPr="00200234">
              <w:rPr>
                <w:rFonts w:cs="Segoe UI"/>
                <w:b/>
              </w:rPr>
              <w:t>s 13</w:t>
            </w:r>
          </w:p>
        </w:tc>
        <w:tc>
          <w:tcPr>
            <w:tcW w:w="709" w:type="dxa"/>
            <w:tcBorders>
              <w:top w:val="nil"/>
              <w:bottom w:val="nil"/>
            </w:tcBorders>
            <w:shd w:val="clear" w:color="auto" w:fill="D9D9D9" w:themeFill="background1" w:themeFillShade="D9"/>
          </w:tcPr>
          <w:p w14:paraId="4DA554EB" w14:textId="77777777" w:rsidR="008361C5" w:rsidRPr="00200234" w:rsidRDefault="008361C5" w:rsidP="008361C5">
            <w:pPr>
              <w:pStyle w:val="TableText"/>
              <w:spacing w:before="55" w:after="55"/>
              <w:jc w:val="center"/>
              <w:rPr>
                <w:rFonts w:cs="Segoe UI"/>
                <w:b/>
              </w:rPr>
            </w:pPr>
            <w:r w:rsidRPr="00200234">
              <w:rPr>
                <w:rFonts w:cs="Segoe UI"/>
                <w:b/>
              </w:rPr>
              <w:t>s 14(4)</w:t>
            </w:r>
          </w:p>
        </w:tc>
      </w:tr>
      <w:tr w:rsidR="008361C5" w:rsidRPr="00200234" w14:paraId="64DE7317" w14:textId="77777777" w:rsidTr="008361C5">
        <w:trPr>
          <w:cantSplit/>
        </w:trPr>
        <w:tc>
          <w:tcPr>
            <w:tcW w:w="1843" w:type="dxa"/>
            <w:tcBorders>
              <w:top w:val="nil"/>
            </w:tcBorders>
          </w:tcPr>
          <w:p w14:paraId="5159B97A" w14:textId="77777777" w:rsidR="008361C5" w:rsidRPr="00200234" w:rsidRDefault="008361C5" w:rsidP="008361C5">
            <w:pPr>
              <w:pStyle w:val="TableText"/>
              <w:spacing w:before="55" w:after="55"/>
              <w:rPr>
                <w:rFonts w:cs="Segoe UI"/>
              </w:rPr>
            </w:pPr>
            <w:r w:rsidRPr="00200234">
              <w:rPr>
                <w:rFonts w:cs="Segoe UI"/>
              </w:rPr>
              <w:t>Auckland</w:t>
            </w:r>
          </w:p>
        </w:tc>
        <w:tc>
          <w:tcPr>
            <w:tcW w:w="638" w:type="dxa"/>
            <w:tcBorders>
              <w:top w:val="nil"/>
            </w:tcBorders>
          </w:tcPr>
          <w:p w14:paraId="7A2D580E" w14:textId="77777777" w:rsidR="008361C5" w:rsidRPr="00200234" w:rsidRDefault="008361C5" w:rsidP="008361C5">
            <w:pPr>
              <w:pStyle w:val="TableText"/>
              <w:tabs>
                <w:tab w:val="decimal" w:pos="368"/>
              </w:tabs>
              <w:spacing w:before="55" w:after="55"/>
              <w:rPr>
                <w:rFonts w:cs="Segoe UI"/>
              </w:rPr>
            </w:pPr>
            <w:r w:rsidRPr="00200234">
              <w:rPr>
                <w:rFonts w:cs="Segoe UI"/>
              </w:rPr>
              <w:t>14</w:t>
            </w:r>
          </w:p>
        </w:tc>
        <w:tc>
          <w:tcPr>
            <w:tcW w:w="638" w:type="dxa"/>
            <w:tcBorders>
              <w:top w:val="nil"/>
            </w:tcBorders>
          </w:tcPr>
          <w:p w14:paraId="38981004" w14:textId="77777777" w:rsidR="008361C5" w:rsidRPr="00200234" w:rsidRDefault="008361C5" w:rsidP="008361C5">
            <w:pPr>
              <w:pStyle w:val="TableText"/>
              <w:tabs>
                <w:tab w:val="decimal" w:pos="368"/>
              </w:tabs>
              <w:spacing w:before="55" w:after="55"/>
              <w:rPr>
                <w:rFonts w:cs="Segoe UI"/>
              </w:rPr>
            </w:pPr>
            <w:r w:rsidRPr="00200234">
              <w:rPr>
                <w:rFonts w:cs="Segoe UI"/>
              </w:rPr>
              <w:t>16</w:t>
            </w:r>
          </w:p>
        </w:tc>
        <w:tc>
          <w:tcPr>
            <w:tcW w:w="850" w:type="dxa"/>
            <w:tcBorders>
              <w:top w:val="nil"/>
            </w:tcBorders>
          </w:tcPr>
          <w:p w14:paraId="3CAB37E7" w14:textId="77777777" w:rsidR="008361C5" w:rsidRPr="00200234" w:rsidRDefault="008361C5" w:rsidP="008361C5">
            <w:pPr>
              <w:pStyle w:val="TableText"/>
              <w:tabs>
                <w:tab w:val="decimal" w:pos="454"/>
              </w:tabs>
              <w:spacing w:before="55" w:after="55"/>
              <w:rPr>
                <w:rFonts w:cs="Segoe UI"/>
              </w:rPr>
            </w:pPr>
            <w:r w:rsidRPr="00200234">
              <w:rPr>
                <w:rFonts w:cs="Segoe UI"/>
              </w:rPr>
              <w:t>12</w:t>
            </w:r>
          </w:p>
        </w:tc>
        <w:tc>
          <w:tcPr>
            <w:tcW w:w="426" w:type="dxa"/>
            <w:tcBorders>
              <w:top w:val="nil"/>
              <w:bottom w:val="nil"/>
            </w:tcBorders>
            <w:shd w:val="clear" w:color="auto" w:fill="auto"/>
          </w:tcPr>
          <w:p w14:paraId="0F8C7994"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1B20E262" w14:textId="77777777" w:rsidR="008361C5" w:rsidRPr="00200234" w:rsidRDefault="008361C5" w:rsidP="008361C5">
            <w:pPr>
              <w:pStyle w:val="TableText"/>
              <w:spacing w:before="55" w:after="55"/>
              <w:jc w:val="both"/>
              <w:rPr>
                <w:rFonts w:cs="Segoe UI"/>
              </w:rPr>
            </w:pPr>
            <w:r w:rsidRPr="00200234">
              <w:rPr>
                <w:rFonts w:cs="Segoe UI"/>
              </w:rPr>
              <w:t>Northland</w:t>
            </w:r>
          </w:p>
        </w:tc>
        <w:tc>
          <w:tcPr>
            <w:tcW w:w="567" w:type="dxa"/>
            <w:tcBorders>
              <w:top w:val="nil"/>
            </w:tcBorders>
          </w:tcPr>
          <w:p w14:paraId="5799853E" w14:textId="77777777" w:rsidR="008361C5" w:rsidRPr="00200234" w:rsidRDefault="008361C5" w:rsidP="008361C5">
            <w:pPr>
              <w:pStyle w:val="TableText"/>
              <w:tabs>
                <w:tab w:val="decimal" w:pos="368"/>
              </w:tabs>
              <w:spacing w:before="55" w:after="55"/>
              <w:rPr>
                <w:rFonts w:cs="Segoe UI"/>
              </w:rPr>
            </w:pPr>
            <w:r w:rsidRPr="00200234">
              <w:rPr>
                <w:rFonts w:cs="Segoe UI"/>
              </w:rPr>
              <w:t>16</w:t>
            </w:r>
          </w:p>
        </w:tc>
        <w:tc>
          <w:tcPr>
            <w:tcW w:w="568" w:type="dxa"/>
            <w:tcBorders>
              <w:top w:val="nil"/>
            </w:tcBorders>
          </w:tcPr>
          <w:p w14:paraId="37998BD7" w14:textId="77777777" w:rsidR="008361C5" w:rsidRPr="00200234" w:rsidRDefault="008361C5" w:rsidP="008361C5">
            <w:pPr>
              <w:pStyle w:val="TableText"/>
              <w:tabs>
                <w:tab w:val="decimal" w:pos="368"/>
              </w:tabs>
              <w:spacing w:before="55" w:after="55"/>
              <w:rPr>
                <w:rFonts w:cs="Segoe UI"/>
              </w:rPr>
            </w:pPr>
            <w:r w:rsidRPr="00200234">
              <w:rPr>
                <w:rFonts w:cs="Segoe UI"/>
              </w:rPr>
              <w:t>19</w:t>
            </w:r>
          </w:p>
        </w:tc>
        <w:tc>
          <w:tcPr>
            <w:tcW w:w="709" w:type="dxa"/>
            <w:tcBorders>
              <w:top w:val="nil"/>
            </w:tcBorders>
          </w:tcPr>
          <w:p w14:paraId="18969BA9" w14:textId="77777777" w:rsidR="008361C5" w:rsidRPr="00200234" w:rsidRDefault="008361C5" w:rsidP="008361C5">
            <w:pPr>
              <w:pStyle w:val="TableText"/>
              <w:tabs>
                <w:tab w:val="decimal" w:pos="454"/>
              </w:tabs>
              <w:spacing w:before="55" w:after="55"/>
              <w:rPr>
                <w:rFonts w:cs="Segoe UI"/>
              </w:rPr>
            </w:pPr>
            <w:r w:rsidRPr="00200234">
              <w:rPr>
                <w:rFonts w:cs="Segoe UI"/>
              </w:rPr>
              <w:t>25</w:t>
            </w:r>
          </w:p>
        </w:tc>
      </w:tr>
      <w:tr w:rsidR="008361C5" w:rsidRPr="00200234" w14:paraId="41859CA1" w14:textId="77777777" w:rsidTr="008361C5">
        <w:trPr>
          <w:cantSplit/>
        </w:trPr>
        <w:tc>
          <w:tcPr>
            <w:tcW w:w="1843" w:type="dxa"/>
          </w:tcPr>
          <w:p w14:paraId="44F22B3F" w14:textId="77777777" w:rsidR="008361C5" w:rsidRPr="00200234" w:rsidRDefault="008361C5" w:rsidP="008361C5">
            <w:pPr>
              <w:pStyle w:val="TableText"/>
              <w:spacing w:before="55" w:after="55"/>
              <w:rPr>
                <w:rFonts w:cs="Segoe UI"/>
              </w:rPr>
            </w:pPr>
            <w:r w:rsidRPr="00200234">
              <w:rPr>
                <w:rFonts w:cs="Segoe UI"/>
              </w:rPr>
              <w:t>Bay of Plenty</w:t>
            </w:r>
          </w:p>
        </w:tc>
        <w:tc>
          <w:tcPr>
            <w:tcW w:w="638" w:type="dxa"/>
          </w:tcPr>
          <w:p w14:paraId="1971ED53" w14:textId="77777777" w:rsidR="008361C5" w:rsidRPr="00200234" w:rsidRDefault="008361C5" w:rsidP="008361C5">
            <w:pPr>
              <w:pStyle w:val="TableText"/>
              <w:tabs>
                <w:tab w:val="decimal" w:pos="368"/>
              </w:tabs>
              <w:spacing w:before="55" w:after="55"/>
              <w:rPr>
                <w:rFonts w:cs="Segoe UI"/>
              </w:rPr>
            </w:pPr>
            <w:r w:rsidRPr="00200234">
              <w:rPr>
                <w:rFonts w:cs="Segoe UI"/>
              </w:rPr>
              <w:t>14</w:t>
            </w:r>
          </w:p>
        </w:tc>
        <w:tc>
          <w:tcPr>
            <w:tcW w:w="638" w:type="dxa"/>
          </w:tcPr>
          <w:p w14:paraId="42AA5009" w14:textId="77777777" w:rsidR="008361C5" w:rsidRPr="00200234" w:rsidRDefault="008361C5" w:rsidP="008361C5">
            <w:pPr>
              <w:pStyle w:val="TableText"/>
              <w:tabs>
                <w:tab w:val="decimal" w:pos="368"/>
              </w:tabs>
              <w:spacing w:before="55" w:after="55"/>
              <w:rPr>
                <w:rFonts w:cs="Segoe UI"/>
              </w:rPr>
            </w:pPr>
            <w:r w:rsidRPr="00200234">
              <w:rPr>
                <w:rFonts w:cs="Segoe UI"/>
              </w:rPr>
              <w:t>13</w:t>
            </w:r>
          </w:p>
        </w:tc>
        <w:tc>
          <w:tcPr>
            <w:tcW w:w="850" w:type="dxa"/>
          </w:tcPr>
          <w:p w14:paraId="1ACD3CAB" w14:textId="77777777" w:rsidR="008361C5" w:rsidRPr="00200234" w:rsidRDefault="008361C5" w:rsidP="008361C5">
            <w:pPr>
              <w:pStyle w:val="TableText"/>
              <w:tabs>
                <w:tab w:val="decimal" w:pos="454"/>
              </w:tabs>
              <w:spacing w:before="55" w:after="55"/>
              <w:rPr>
                <w:rFonts w:cs="Segoe UI"/>
              </w:rPr>
            </w:pPr>
            <w:r w:rsidRPr="00200234">
              <w:rPr>
                <w:rFonts w:cs="Segoe UI"/>
              </w:rPr>
              <w:t>5</w:t>
            </w:r>
          </w:p>
        </w:tc>
        <w:tc>
          <w:tcPr>
            <w:tcW w:w="426" w:type="dxa"/>
            <w:tcBorders>
              <w:top w:val="nil"/>
              <w:bottom w:val="nil"/>
            </w:tcBorders>
            <w:shd w:val="clear" w:color="auto" w:fill="auto"/>
          </w:tcPr>
          <w:p w14:paraId="4E9D25F7" w14:textId="77777777" w:rsidR="008361C5" w:rsidRPr="00200234" w:rsidRDefault="008361C5" w:rsidP="008361C5">
            <w:pPr>
              <w:pStyle w:val="TableText"/>
              <w:tabs>
                <w:tab w:val="decimal" w:pos="636"/>
              </w:tabs>
              <w:spacing w:before="55" w:after="55"/>
              <w:rPr>
                <w:rFonts w:cs="Segoe UI"/>
              </w:rPr>
            </w:pPr>
          </w:p>
        </w:tc>
        <w:tc>
          <w:tcPr>
            <w:tcW w:w="1843" w:type="dxa"/>
          </w:tcPr>
          <w:p w14:paraId="7DC65742" w14:textId="77777777" w:rsidR="008361C5" w:rsidRPr="00200234" w:rsidRDefault="008361C5" w:rsidP="008361C5">
            <w:pPr>
              <w:pStyle w:val="TableText"/>
              <w:spacing w:before="55" w:after="55"/>
              <w:jc w:val="both"/>
              <w:rPr>
                <w:rFonts w:cs="Segoe UI"/>
              </w:rPr>
            </w:pPr>
            <w:r w:rsidRPr="00200234">
              <w:rPr>
                <w:rFonts w:cs="Segoe UI"/>
              </w:rPr>
              <w:t>South Canterbury</w:t>
            </w:r>
          </w:p>
        </w:tc>
        <w:tc>
          <w:tcPr>
            <w:tcW w:w="567" w:type="dxa"/>
          </w:tcPr>
          <w:p w14:paraId="3D0E79B6" w14:textId="77777777" w:rsidR="008361C5" w:rsidRPr="00200234" w:rsidRDefault="008361C5" w:rsidP="008361C5">
            <w:pPr>
              <w:pStyle w:val="TableText"/>
              <w:tabs>
                <w:tab w:val="decimal" w:pos="368"/>
              </w:tabs>
              <w:spacing w:before="55" w:after="55"/>
              <w:rPr>
                <w:rFonts w:cs="Segoe UI"/>
              </w:rPr>
            </w:pPr>
            <w:r w:rsidRPr="00200234">
              <w:rPr>
                <w:rFonts w:cs="Segoe UI"/>
              </w:rPr>
              <w:t>6</w:t>
            </w:r>
          </w:p>
        </w:tc>
        <w:tc>
          <w:tcPr>
            <w:tcW w:w="568" w:type="dxa"/>
          </w:tcPr>
          <w:p w14:paraId="6F6002F9" w14:textId="77777777" w:rsidR="008361C5" w:rsidRPr="00200234" w:rsidRDefault="008361C5" w:rsidP="008361C5">
            <w:pPr>
              <w:pStyle w:val="TableText"/>
              <w:tabs>
                <w:tab w:val="decimal" w:pos="368"/>
              </w:tabs>
              <w:spacing w:before="55" w:after="55"/>
              <w:rPr>
                <w:rFonts w:cs="Segoe UI"/>
              </w:rPr>
            </w:pPr>
            <w:r w:rsidRPr="00200234">
              <w:rPr>
                <w:rFonts w:cs="Segoe UI"/>
              </w:rPr>
              <w:t>6</w:t>
            </w:r>
          </w:p>
        </w:tc>
        <w:tc>
          <w:tcPr>
            <w:tcW w:w="709" w:type="dxa"/>
          </w:tcPr>
          <w:p w14:paraId="515EEBB7" w14:textId="77777777" w:rsidR="008361C5" w:rsidRPr="00200234" w:rsidRDefault="008361C5" w:rsidP="008361C5">
            <w:pPr>
              <w:pStyle w:val="TableText"/>
              <w:tabs>
                <w:tab w:val="decimal" w:pos="454"/>
              </w:tabs>
              <w:spacing w:before="55" w:after="55"/>
              <w:rPr>
                <w:rFonts w:cs="Segoe UI"/>
              </w:rPr>
            </w:pPr>
            <w:r w:rsidRPr="00200234">
              <w:rPr>
                <w:rFonts w:cs="Segoe UI"/>
              </w:rPr>
              <w:t>4</w:t>
            </w:r>
          </w:p>
        </w:tc>
      </w:tr>
      <w:tr w:rsidR="008361C5" w:rsidRPr="00200234" w14:paraId="1BCC9AC2" w14:textId="77777777" w:rsidTr="008361C5">
        <w:trPr>
          <w:cantSplit/>
        </w:trPr>
        <w:tc>
          <w:tcPr>
            <w:tcW w:w="1843" w:type="dxa"/>
          </w:tcPr>
          <w:p w14:paraId="3DD69B77" w14:textId="77777777" w:rsidR="008361C5" w:rsidRPr="00200234" w:rsidRDefault="008361C5" w:rsidP="008361C5">
            <w:pPr>
              <w:pStyle w:val="TableText"/>
              <w:spacing w:before="55" w:after="55"/>
              <w:rPr>
                <w:rFonts w:cs="Segoe UI"/>
              </w:rPr>
            </w:pPr>
            <w:r w:rsidRPr="00200234">
              <w:rPr>
                <w:rFonts w:cs="Segoe UI"/>
              </w:rPr>
              <w:t>Canterbury</w:t>
            </w:r>
          </w:p>
        </w:tc>
        <w:tc>
          <w:tcPr>
            <w:tcW w:w="638" w:type="dxa"/>
          </w:tcPr>
          <w:p w14:paraId="6D16E8F0" w14:textId="77777777" w:rsidR="008361C5" w:rsidRPr="00200234" w:rsidRDefault="008361C5" w:rsidP="008361C5">
            <w:pPr>
              <w:pStyle w:val="TableText"/>
              <w:tabs>
                <w:tab w:val="decimal" w:pos="368"/>
              </w:tabs>
              <w:spacing w:before="55" w:after="55"/>
              <w:rPr>
                <w:rFonts w:cs="Segoe UI"/>
              </w:rPr>
            </w:pPr>
            <w:r w:rsidRPr="00200234">
              <w:rPr>
                <w:rFonts w:cs="Segoe UI"/>
              </w:rPr>
              <w:t>12</w:t>
            </w:r>
          </w:p>
        </w:tc>
        <w:tc>
          <w:tcPr>
            <w:tcW w:w="638" w:type="dxa"/>
          </w:tcPr>
          <w:p w14:paraId="22F32EAF" w14:textId="77777777" w:rsidR="008361C5" w:rsidRPr="00200234" w:rsidRDefault="008361C5" w:rsidP="008361C5">
            <w:pPr>
              <w:pStyle w:val="TableText"/>
              <w:tabs>
                <w:tab w:val="decimal" w:pos="368"/>
              </w:tabs>
              <w:spacing w:before="55" w:after="55"/>
              <w:rPr>
                <w:rFonts w:cs="Segoe UI"/>
              </w:rPr>
            </w:pPr>
            <w:r w:rsidRPr="00200234">
              <w:rPr>
                <w:rFonts w:cs="Segoe UI"/>
              </w:rPr>
              <w:t>11</w:t>
            </w:r>
          </w:p>
        </w:tc>
        <w:tc>
          <w:tcPr>
            <w:tcW w:w="850" w:type="dxa"/>
          </w:tcPr>
          <w:p w14:paraId="6652ADD6" w14:textId="77777777" w:rsidR="008361C5" w:rsidRPr="00200234" w:rsidRDefault="008361C5" w:rsidP="008361C5">
            <w:pPr>
              <w:pStyle w:val="TableText"/>
              <w:tabs>
                <w:tab w:val="decimal" w:pos="454"/>
              </w:tabs>
              <w:spacing w:before="55" w:after="55"/>
              <w:rPr>
                <w:rFonts w:cs="Segoe UI"/>
              </w:rPr>
            </w:pPr>
            <w:r w:rsidRPr="00200234">
              <w:rPr>
                <w:rFonts w:cs="Segoe UI"/>
              </w:rPr>
              <w:t>8</w:t>
            </w:r>
          </w:p>
        </w:tc>
        <w:tc>
          <w:tcPr>
            <w:tcW w:w="426" w:type="dxa"/>
            <w:tcBorders>
              <w:top w:val="nil"/>
              <w:bottom w:val="nil"/>
            </w:tcBorders>
            <w:shd w:val="clear" w:color="auto" w:fill="auto"/>
          </w:tcPr>
          <w:p w14:paraId="0CE3E8C6" w14:textId="77777777" w:rsidR="008361C5" w:rsidRPr="00200234" w:rsidRDefault="008361C5" w:rsidP="008361C5">
            <w:pPr>
              <w:pStyle w:val="TableText"/>
              <w:tabs>
                <w:tab w:val="decimal" w:pos="636"/>
              </w:tabs>
              <w:spacing w:before="55" w:after="55"/>
              <w:rPr>
                <w:rFonts w:cs="Segoe UI"/>
              </w:rPr>
            </w:pPr>
          </w:p>
        </w:tc>
        <w:tc>
          <w:tcPr>
            <w:tcW w:w="1843" w:type="dxa"/>
          </w:tcPr>
          <w:p w14:paraId="1E65BB57" w14:textId="77777777" w:rsidR="008361C5" w:rsidRPr="00200234" w:rsidRDefault="008361C5" w:rsidP="008361C5">
            <w:pPr>
              <w:pStyle w:val="TableText"/>
              <w:spacing w:before="55" w:after="55"/>
              <w:jc w:val="both"/>
              <w:rPr>
                <w:rFonts w:cs="Segoe UI"/>
              </w:rPr>
            </w:pPr>
            <w:r w:rsidRPr="00200234">
              <w:rPr>
                <w:rFonts w:cs="Segoe UI"/>
              </w:rPr>
              <w:t>Southern</w:t>
            </w:r>
          </w:p>
        </w:tc>
        <w:tc>
          <w:tcPr>
            <w:tcW w:w="567" w:type="dxa"/>
          </w:tcPr>
          <w:p w14:paraId="3FD0B00E" w14:textId="77777777" w:rsidR="008361C5" w:rsidRPr="00200234" w:rsidRDefault="008361C5" w:rsidP="008361C5">
            <w:pPr>
              <w:pStyle w:val="TableText"/>
              <w:tabs>
                <w:tab w:val="decimal" w:pos="368"/>
              </w:tabs>
              <w:spacing w:before="55" w:after="55"/>
              <w:rPr>
                <w:rFonts w:cs="Segoe UI"/>
              </w:rPr>
            </w:pPr>
            <w:r w:rsidRPr="00200234">
              <w:rPr>
                <w:rFonts w:cs="Segoe UI"/>
              </w:rPr>
              <w:t>12</w:t>
            </w:r>
          </w:p>
        </w:tc>
        <w:tc>
          <w:tcPr>
            <w:tcW w:w="568" w:type="dxa"/>
          </w:tcPr>
          <w:p w14:paraId="43FECC72" w14:textId="77777777" w:rsidR="008361C5" w:rsidRPr="00200234" w:rsidRDefault="008361C5" w:rsidP="008361C5">
            <w:pPr>
              <w:pStyle w:val="TableText"/>
              <w:tabs>
                <w:tab w:val="decimal" w:pos="368"/>
              </w:tabs>
              <w:spacing w:before="55" w:after="55"/>
              <w:rPr>
                <w:rFonts w:cs="Segoe UI"/>
              </w:rPr>
            </w:pPr>
            <w:r w:rsidRPr="00200234">
              <w:rPr>
                <w:rFonts w:cs="Segoe UI"/>
              </w:rPr>
              <w:t>11</w:t>
            </w:r>
          </w:p>
        </w:tc>
        <w:tc>
          <w:tcPr>
            <w:tcW w:w="709" w:type="dxa"/>
          </w:tcPr>
          <w:p w14:paraId="20F61692" w14:textId="77777777" w:rsidR="008361C5" w:rsidRPr="00200234" w:rsidRDefault="008361C5" w:rsidP="008361C5">
            <w:pPr>
              <w:pStyle w:val="TableText"/>
              <w:tabs>
                <w:tab w:val="decimal" w:pos="454"/>
              </w:tabs>
              <w:spacing w:before="55" w:after="55"/>
              <w:rPr>
                <w:rFonts w:cs="Segoe UI"/>
              </w:rPr>
            </w:pPr>
            <w:r w:rsidRPr="00200234">
              <w:rPr>
                <w:rFonts w:cs="Segoe UI"/>
              </w:rPr>
              <w:t>7</w:t>
            </w:r>
          </w:p>
        </w:tc>
      </w:tr>
      <w:tr w:rsidR="008361C5" w:rsidRPr="00200234" w14:paraId="287CFC92" w14:textId="77777777" w:rsidTr="008361C5">
        <w:trPr>
          <w:cantSplit/>
        </w:trPr>
        <w:tc>
          <w:tcPr>
            <w:tcW w:w="1843" w:type="dxa"/>
          </w:tcPr>
          <w:p w14:paraId="1359D567" w14:textId="77777777" w:rsidR="008361C5" w:rsidRPr="00200234" w:rsidRDefault="008361C5" w:rsidP="008361C5">
            <w:pPr>
              <w:pStyle w:val="TableText"/>
              <w:spacing w:before="55" w:after="55"/>
              <w:rPr>
                <w:rFonts w:cs="Segoe UI"/>
              </w:rPr>
            </w:pPr>
            <w:r w:rsidRPr="00200234">
              <w:rPr>
                <w:rFonts w:cs="Segoe UI"/>
              </w:rPr>
              <w:t>Capital &amp; Coast</w:t>
            </w:r>
          </w:p>
        </w:tc>
        <w:tc>
          <w:tcPr>
            <w:tcW w:w="638" w:type="dxa"/>
          </w:tcPr>
          <w:p w14:paraId="785C8A7C" w14:textId="77777777" w:rsidR="008361C5" w:rsidRPr="00200234" w:rsidRDefault="008361C5" w:rsidP="008361C5">
            <w:pPr>
              <w:pStyle w:val="TableText"/>
              <w:tabs>
                <w:tab w:val="decimal" w:pos="368"/>
              </w:tabs>
              <w:spacing w:before="55" w:after="55"/>
              <w:rPr>
                <w:rFonts w:cs="Segoe UI"/>
              </w:rPr>
            </w:pPr>
            <w:r w:rsidRPr="00200234">
              <w:rPr>
                <w:rFonts w:cs="Segoe UI"/>
              </w:rPr>
              <w:t>13</w:t>
            </w:r>
          </w:p>
        </w:tc>
        <w:tc>
          <w:tcPr>
            <w:tcW w:w="638" w:type="dxa"/>
          </w:tcPr>
          <w:p w14:paraId="1139AE7C" w14:textId="77777777" w:rsidR="008361C5" w:rsidRPr="00200234" w:rsidRDefault="008361C5" w:rsidP="008361C5">
            <w:pPr>
              <w:pStyle w:val="TableText"/>
              <w:tabs>
                <w:tab w:val="decimal" w:pos="368"/>
              </w:tabs>
              <w:spacing w:before="55" w:after="55"/>
              <w:rPr>
                <w:rFonts w:cs="Segoe UI"/>
              </w:rPr>
            </w:pPr>
            <w:r w:rsidRPr="00200234">
              <w:rPr>
                <w:rFonts w:cs="Segoe UI"/>
              </w:rPr>
              <w:t>14</w:t>
            </w:r>
          </w:p>
        </w:tc>
        <w:tc>
          <w:tcPr>
            <w:tcW w:w="850" w:type="dxa"/>
          </w:tcPr>
          <w:p w14:paraId="6CE79333" w14:textId="77777777" w:rsidR="008361C5" w:rsidRPr="00200234" w:rsidRDefault="008361C5" w:rsidP="008361C5">
            <w:pPr>
              <w:pStyle w:val="TableText"/>
              <w:tabs>
                <w:tab w:val="decimal" w:pos="454"/>
              </w:tabs>
              <w:spacing w:before="55" w:after="55"/>
              <w:rPr>
                <w:rFonts w:cs="Segoe UI"/>
              </w:rPr>
            </w:pPr>
            <w:r w:rsidRPr="00200234">
              <w:rPr>
                <w:rFonts w:cs="Segoe UI"/>
              </w:rPr>
              <w:t>10</w:t>
            </w:r>
          </w:p>
        </w:tc>
        <w:tc>
          <w:tcPr>
            <w:tcW w:w="426" w:type="dxa"/>
            <w:tcBorders>
              <w:top w:val="nil"/>
              <w:bottom w:val="nil"/>
            </w:tcBorders>
            <w:shd w:val="clear" w:color="auto" w:fill="auto"/>
          </w:tcPr>
          <w:p w14:paraId="0B0708A9" w14:textId="77777777" w:rsidR="008361C5" w:rsidRPr="00200234" w:rsidRDefault="008361C5" w:rsidP="008361C5">
            <w:pPr>
              <w:pStyle w:val="TableText"/>
              <w:tabs>
                <w:tab w:val="decimal" w:pos="636"/>
              </w:tabs>
              <w:spacing w:before="55" w:after="55"/>
              <w:rPr>
                <w:rFonts w:cs="Segoe UI"/>
              </w:rPr>
            </w:pPr>
          </w:p>
        </w:tc>
        <w:tc>
          <w:tcPr>
            <w:tcW w:w="1843" w:type="dxa"/>
          </w:tcPr>
          <w:p w14:paraId="27E3FC0F" w14:textId="77777777" w:rsidR="008361C5" w:rsidRPr="00200234" w:rsidRDefault="008361C5" w:rsidP="008361C5">
            <w:pPr>
              <w:pStyle w:val="TableText"/>
              <w:spacing w:before="55" w:after="55"/>
              <w:jc w:val="both"/>
              <w:rPr>
                <w:rFonts w:cs="Segoe UI"/>
              </w:rPr>
            </w:pPr>
            <w:proofErr w:type="spellStart"/>
            <w:r w:rsidRPr="00200234">
              <w:rPr>
                <w:rFonts w:cs="Segoe UI"/>
              </w:rPr>
              <w:t>Tairāwhiti</w:t>
            </w:r>
            <w:proofErr w:type="spellEnd"/>
          </w:p>
        </w:tc>
        <w:tc>
          <w:tcPr>
            <w:tcW w:w="567" w:type="dxa"/>
          </w:tcPr>
          <w:p w14:paraId="70499BEB" w14:textId="77777777" w:rsidR="008361C5" w:rsidRPr="00200234" w:rsidRDefault="008361C5" w:rsidP="008361C5">
            <w:pPr>
              <w:pStyle w:val="TableText"/>
              <w:tabs>
                <w:tab w:val="decimal" w:pos="368"/>
              </w:tabs>
              <w:spacing w:before="55" w:after="55"/>
              <w:rPr>
                <w:rFonts w:cs="Segoe UI"/>
              </w:rPr>
            </w:pPr>
            <w:r w:rsidRPr="00200234">
              <w:rPr>
                <w:rFonts w:cs="Segoe UI"/>
              </w:rPr>
              <w:t>14</w:t>
            </w:r>
          </w:p>
        </w:tc>
        <w:tc>
          <w:tcPr>
            <w:tcW w:w="568" w:type="dxa"/>
          </w:tcPr>
          <w:p w14:paraId="52EF89B8" w14:textId="77777777" w:rsidR="008361C5" w:rsidRPr="00200234" w:rsidRDefault="008361C5" w:rsidP="008361C5">
            <w:pPr>
              <w:pStyle w:val="TableText"/>
              <w:tabs>
                <w:tab w:val="decimal" w:pos="368"/>
              </w:tabs>
              <w:spacing w:before="55" w:after="55"/>
              <w:rPr>
                <w:rFonts w:cs="Segoe UI"/>
              </w:rPr>
            </w:pPr>
            <w:r w:rsidRPr="00200234">
              <w:rPr>
                <w:rFonts w:cs="Segoe UI"/>
              </w:rPr>
              <w:t>12</w:t>
            </w:r>
          </w:p>
        </w:tc>
        <w:tc>
          <w:tcPr>
            <w:tcW w:w="709" w:type="dxa"/>
          </w:tcPr>
          <w:p w14:paraId="4A8341B8" w14:textId="77777777" w:rsidR="008361C5" w:rsidRPr="00200234" w:rsidRDefault="008361C5" w:rsidP="008361C5">
            <w:pPr>
              <w:pStyle w:val="TableText"/>
              <w:tabs>
                <w:tab w:val="decimal" w:pos="454"/>
              </w:tabs>
              <w:spacing w:before="55" w:after="55"/>
              <w:rPr>
                <w:rFonts w:cs="Segoe UI"/>
              </w:rPr>
            </w:pPr>
            <w:r w:rsidRPr="00200234">
              <w:rPr>
                <w:rFonts w:cs="Segoe UI"/>
              </w:rPr>
              <w:t>8</w:t>
            </w:r>
          </w:p>
        </w:tc>
      </w:tr>
      <w:tr w:rsidR="008361C5" w:rsidRPr="00200234" w14:paraId="34EB888A" w14:textId="77777777" w:rsidTr="008361C5">
        <w:trPr>
          <w:cantSplit/>
        </w:trPr>
        <w:tc>
          <w:tcPr>
            <w:tcW w:w="1843" w:type="dxa"/>
          </w:tcPr>
          <w:p w14:paraId="5DF246E0" w14:textId="77777777" w:rsidR="008361C5" w:rsidRPr="00200234" w:rsidRDefault="008361C5" w:rsidP="008361C5">
            <w:pPr>
              <w:pStyle w:val="TableText"/>
              <w:spacing w:before="55" w:after="55"/>
              <w:rPr>
                <w:rFonts w:cs="Segoe UI"/>
              </w:rPr>
            </w:pPr>
            <w:r w:rsidRPr="00200234">
              <w:rPr>
                <w:rFonts w:cs="Segoe UI"/>
              </w:rPr>
              <w:t>Counties Manukau</w:t>
            </w:r>
          </w:p>
        </w:tc>
        <w:tc>
          <w:tcPr>
            <w:tcW w:w="638" w:type="dxa"/>
          </w:tcPr>
          <w:p w14:paraId="3295F769" w14:textId="77777777" w:rsidR="008361C5" w:rsidRPr="00200234" w:rsidRDefault="008361C5" w:rsidP="008361C5">
            <w:pPr>
              <w:pStyle w:val="TableText"/>
              <w:tabs>
                <w:tab w:val="decimal" w:pos="368"/>
              </w:tabs>
              <w:spacing w:before="55" w:after="55"/>
              <w:rPr>
                <w:rFonts w:cs="Segoe UI"/>
              </w:rPr>
            </w:pPr>
            <w:r w:rsidRPr="00200234">
              <w:rPr>
                <w:rFonts w:cs="Segoe UI"/>
              </w:rPr>
              <w:t>11</w:t>
            </w:r>
          </w:p>
        </w:tc>
        <w:tc>
          <w:tcPr>
            <w:tcW w:w="638" w:type="dxa"/>
          </w:tcPr>
          <w:p w14:paraId="3E415089" w14:textId="77777777" w:rsidR="008361C5" w:rsidRPr="00200234" w:rsidRDefault="008361C5" w:rsidP="008361C5">
            <w:pPr>
              <w:pStyle w:val="TableText"/>
              <w:tabs>
                <w:tab w:val="decimal" w:pos="368"/>
              </w:tabs>
              <w:spacing w:before="55" w:after="55"/>
              <w:rPr>
                <w:rFonts w:cs="Segoe UI"/>
              </w:rPr>
            </w:pPr>
            <w:r w:rsidRPr="00200234">
              <w:rPr>
                <w:rFonts w:cs="Segoe UI"/>
              </w:rPr>
              <w:t>12</w:t>
            </w:r>
          </w:p>
        </w:tc>
        <w:tc>
          <w:tcPr>
            <w:tcW w:w="850" w:type="dxa"/>
          </w:tcPr>
          <w:p w14:paraId="6ABB65FE" w14:textId="77777777" w:rsidR="008361C5" w:rsidRPr="00200234" w:rsidRDefault="008361C5" w:rsidP="008361C5">
            <w:pPr>
              <w:pStyle w:val="TableText"/>
              <w:tabs>
                <w:tab w:val="decimal" w:pos="454"/>
              </w:tabs>
              <w:spacing w:before="55" w:after="55"/>
              <w:rPr>
                <w:rFonts w:cs="Segoe UI"/>
              </w:rPr>
            </w:pPr>
            <w:r w:rsidRPr="00200234">
              <w:rPr>
                <w:rFonts w:cs="Segoe UI"/>
              </w:rPr>
              <w:t>8</w:t>
            </w:r>
          </w:p>
        </w:tc>
        <w:tc>
          <w:tcPr>
            <w:tcW w:w="426" w:type="dxa"/>
            <w:tcBorders>
              <w:top w:val="nil"/>
              <w:bottom w:val="nil"/>
            </w:tcBorders>
            <w:shd w:val="clear" w:color="auto" w:fill="auto"/>
          </w:tcPr>
          <w:p w14:paraId="3244B364" w14:textId="77777777" w:rsidR="008361C5" w:rsidRPr="00200234" w:rsidRDefault="008361C5" w:rsidP="008361C5">
            <w:pPr>
              <w:pStyle w:val="TableText"/>
              <w:tabs>
                <w:tab w:val="decimal" w:pos="636"/>
              </w:tabs>
              <w:spacing w:before="55" w:after="55"/>
              <w:rPr>
                <w:rFonts w:cs="Segoe UI"/>
              </w:rPr>
            </w:pPr>
          </w:p>
        </w:tc>
        <w:tc>
          <w:tcPr>
            <w:tcW w:w="1843" w:type="dxa"/>
          </w:tcPr>
          <w:p w14:paraId="10A2CF4F" w14:textId="77777777" w:rsidR="008361C5" w:rsidRPr="00200234" w:rsidRDefault="008361C5" w:rsidP="008361C5">
            <w:pPr>
              <w:pStyle w:val="TableText"/>
              <w:spacing w:before="55" w:after="55"/>
              <w:jc w:val="both"/>
              <w:rPr>
                <w:rFonts w:cs="Segoe UI"/>
              </w:rPr>
            </w:pPr>
            <w:r w:rsidRPr="00200234">
              <w:rPr>
                <w:rFonts w:cs="Segoe UI"/>
              </w:rPr>
              <w:t>Taranaki</w:t>
            </w:r>
          </w:p>
        </w:tc>
        <w:tc>
          <w:tcPr>
            <w:tcW w:w="567" w:type="dxa"/>
          </w:tcPr>
          <w:p w14:paraId="50F7C438" w14:textId="77777777" w:rsidR="008361C5" w:rsidRPr="00200234" w:rsidRDefault="008361C5" w:rsidP="008361C5">
            <w:pPr>
              <w:pStyle w:val="TableText"/>
              <w:tabs>
                <w:tab w:val="decimal" w:pos="368"/>
              </w:tabs>
              <w:spacing w:before="55" w:after="55"/>
              <w:rPr>
                <w:rFonts w:cs="Segoe UI"/>
              </w:rPr>
            </w:pPr>
            <w:r w:rsidRPr="00200234">
              <w:rPr>
                <w:rFonts w:cs="Segoe UI"/>
              </w:rPr>
              <w:t>14</w:t>
            </w:r>
          </w:p>
        </w:tc>
        <w:tc>
          <w:tcPr>
            <w:tcW w:w="568" w:type="dxa"/>
          </w:tcPr>
          <w:p w14:paraId="4C2F6CDD" w14:textId="77777777" w:rsidR="008361C5" w:rsidRPr="00200234" w:rsidRDefault="008361C5" w:rsidP="008361C5">
            <w:pPr>
              <w:pStyle w:val="TableText"/>
              <w:tabs>
                <w:tab w:val="decimal" w:pos="368"/>
              </w:tabs>
              <w:spacing w:before="55" w:after="55"/>
              <w:rPr>
                <w:rFonts w:cs="Segoe UI"/>
              </w:rPr>
            </w:pPr>
            <w:r w:rsidRPr="00200234">
              <w:rPr>
                <w:rFonts w:cs="Segoe UI"/>
              </w:rPr>
              <w:t>11</w:t>
            </w:r>
          </w:p>
        </w:tc>
        <w:tc>
          <w:tcPr>
            <w:tcW w:w="709" w:type="dxa"/>
          </w:tcPr>
          <w:p w14:paraId="52702FED" w14:textId="77777777" w:rsidR="008361C5" w:rsidRPr="00200234" w:rsidRDefault="008361C5" w:rsidP="008361C5">
            <w:pPr>
              <w:pStyle w:val="TableText"/>
              <w:tabs>
                <w:tab w:val="decimal" w:pos="454"/>
              </w:tabs>
              <w:spacing w:before="55" w:after="55"/>
              <w:rPr>
                <w:rFonts w:cs="Segoe UI"/>
              </w:rPr>
            </w:pPr>
            <w:r w:rsidRPr="00200234">
              <w:rPr>
                <w:rFonts w:cs="Segoe UI"/>
              </w:rPr>
              <w:t>6</w:t>
            </w:r>
          </w:p>
        </w:tc>
      </w:tr>
      <w:tr w:rsidR="008361C5" w:rsidRPr="00200234" w14:paraId="6B896A81" w14:textId="77777777" w:rsidTr="008361C5">
        <w:trPr>
          <w:cantSplit/>
        </w:trPr>
        <w:tc>
          <w:tcPr>
            <w:tcW w:w="1843" w:type="dxa"/>
          </w:tcPr>
          <w:p w14:paraId="4AE1F01F" w14:textId="77777777" w:rsidR="008361C5" w:rsidRPr="00200234" w:rsidRDefault="008361C5" w:rsidP="008361C5">
            <w:pPr>
              <w:pStyle w:val="TableText"/>
              <w:spacing w:before="55" w:after="55"/>
              <w:rPr>
                <w:rFonts w:cs="Segoe UI"/>
              </w:rPr>
            </w:pPr>
            <w:r w:rsidRPr="00200234">
              <w:rPr>
                <w:rFonts w:cs="Segoe UI"/>
              </w:rPr>
              <w:t>Hawke’s Bay</w:t>
            </w:r>
          </w:p>
        </w:tc>
        <w:tc>
          <w:tcPr>
            <w:tcW w:w="638" w:type="dxa"/>
          </w:tcPr>
          <w:p w14:paraId="58C5B4DE" w14:textId="77777777" w:rsidR="008361C5" w:rsidRPr="00200234" w:rsidRDefault="008361C5" w:rsidP="008361C5">
            <w:pPr>
              <w:pStyle w:val="TableText"/>
              <w:tabs>
                <w:tab w:val="decimal" w:pos="368"/>
              </w:tabs>
              <w:spacing w:before="55" w:after="55"/>
              <w:rPr>
                <w:rFonts w:cs="Segoe UI"/>
              </w:rPr>
            </w:pPr>
            <w:r w:rsidRPr="00200234">
              <w:rPr>
                <w:rFonts w:cs="Segoe UI"/>
              </w:rPr>
              <w:t>11</w:t>
            </w:r>
          </w:p>
        </w:tc>
        <w:tc>
          <w:tcPr>
            <w:tcW w:w="638" w:type="dxa"/>
          </w:tcPr>
          <w:p w14:paraId="33B8A029" w14:textId="77777777" w:rsidR="008361C5" w:rsidRPr="00200234" w:rsidRDefault="008361C5" w:rsidP="008361C5">
            <w:pPr>
              <w:pStyle w:val="TableText"/>
              <w:tabs>
                <w:tab w:val="decimal" w:pos="368"/>
              </w:tabs>
              <w:spacing w:before="55" w:after="55"/>
              <w:rPr>
                <w:rFonts w:cs="Segoe UI"/>
              </w:rPr>
            </w:pPr>
            <w:r w:rsidRPr="00200234">
              <w:rPr>
                <w:rFonts w:cs="Segoe UI"/>
              </w:rPr>
              <w:t>8</w:t>
            </w:r>
          </w:p>
        </w:tc>
        <w:tc>
          <w:tcPr>
            <w:tcW w:w="850" w:type="dxa"/>
          </w:tcPr>
          <w:p w14:paraId="4CE513DE" w14:textId="77777777" w:rsidR="008361C5" w:rsidRPr="00200234" w:rsidRDefault="008361C5" w:rsidP="008361C5">
            <w:pPr>
              <w:pStyle w:val="TableText"/>
              <w:tabs>
                <w:tab w:val="decimal" w:pos="454"/>
              </w:tabs>
              <w:spacing w:before="55" w:after="55"/>
              <w:rPr>
                <w:rFonts w:cs="Segoe UI"/>
              </w:rPr>
            </w:pPr>
            <w:r w:rsidRPr="00200234">
              <w:rPr>
                <w:rFonts w:cs="Segoe UI"/>
              </w:rPr>
              <w:t>5</w:t>
            </w:r>
          </w:p>
        </w:tc>
        <w:tc>
          <w:tcPr>
            <w:tcW w:w="426" w:type="dxa"/>
            <w:tcBorders>
              <w:top w:val="nil"/>
              <w:bottom w:val="nil"/>
            </w:tcBorders>
            <w:shd w:val="clear" w:color="auto" w:fill="auto"/>
          </w:tcPr>
          <w:p w14:paraId="0B3816B9" w14:textId="77777777" w:rsidR="008361C5" w:rsidRPr="00200234" w:rsidRDefault="008361C5" w:rsidP="008361C5">
            <w:pPr>
              <w:pStyle w:val="TableText"/>
              <w:tabs>
                <w:tab w:val="decimal" w:pos="636"/>
              </w:tabs>
              <w:spacing w:before="55" w:after="55"/>
              <w:rPr>
                <w:rFonts w:cs="Segoe UI"/>
              </w:rPr>
            </w:pPr>
          </w:p>
        </w:tc>
        <w:tc>
          <w:tcPr>
            <w:tcW w:w="1843" w:type="dxa"/>
          </w:tcPr>
          <w:p w14:paraId="01CC8057" w14:textId="77777777" w:rsidR="008361C5" w:rsidRPr="00200234" w:rsidRDefault="008361C5" w:rsidP="008361C5">
            <w:pPr>
              <w:pStyle w:val="TableText"/>
              <w:spacing w:before="55" w:after="55"/>
              <w:jc w:val="both"/>
              <w:rPr>
                <w:rFonts w:cs="Segoe UI"/>
              </w:rPr>
            </w:pPr>
            <w:r w:rsidRPr="00200234">
              <w:rPr>
                <w:rFonts w:cs="Segoe UI"/>
              </w:rPr>
              <w:t>Waikato</w:t>
            </w:r>
          </w:p>
        </w:tc>
        <w:tc>
          <w:tcPr>
            <w:tcW w:w="567" w:type="dxa"/>
          </w:tcPr>
          <w:p w14:paraId="1D6447E0" w14:textId="77777777" w:rsidR="008361C5" w:rsidRPr="00200234" w:rsidRDefault="008361C5" w:rsidP="008361C5">
            <w:pPr>
              <w:pStyle w:val="TableText"/>
              <w:tabs>
                <w:tab w:val="decimal" w:pos="368"/>
              </w:tabs>
              <w:spacing w:before="55" w:after="55"/>
              <w:rPr>
                <w:rFonts w:cs="Segoe UI"/>
              </w:rPr>
            </w:pPr>
            <w:r w:rsidRPr="00200234">
              <w:rPr>
                <w:rFonts w:cs="Segoe UI"/>
              </w:rPr>
              <w:t>19</w:t>
            </w:r>
          </w:p>
        </w:tc>
        <w:tc>
          <w:tcPr>
            <w:tcW w:w="568" w:type="dxa"/>
          </w:tcPr>
          <w:p w14:paraId="2B260DAF" w14:textId="77777777" w:rsidR="008361C5" w:rsidRPr="00200234" w:rsidRDefault="008361C5" w:rsidP="008361C5">
            <w:pPr>
              <w:pStyle w:val="TableText"/>
              <w:tabs>
                <w:tab w:val="decimal" w:pos="368"/>
              </w:tabs>
              <w:spacing w:before="55" w:after="55"/>
              <w:rPr>
                <w:rFonts w:cs="Segoe UI"/>
              </w:rPr>
            </w:pPr>
            <w:r w:rsidRPr="00200234">
              <w:rPr>
                <w:rFonts w:cs="Segoe UI"/>
              </w:rPr>
              <w:t>19</w:t>
            </w:r>
          </w:p>
        </w:tc>
        <w:tc>
          <w:tcPr>
            <w:tcW w:w="709" w:type="dxa"/>
          </w:tcPr>
          <w:p w14:paraId="6DE7AA9E" w14:textId="77777777" w:rsidR="008361C5" w:rsidRPr="00200234" w:rsidRDefault="008361C5" w:rsidP="008361C5">
            <w:pPr>
              <w:pStyle w:val="TableText"/>
              <w:tabs>
                <w:tab w:val="decimal" w:pos="454"/>
              </w:tabs>
              <w:spacing w:before="55" w:after="55"/>
              <w:rPr>
                <w:rFonts w:cs="Segoe UI"/>
              </w:rPr>
            </w:pPr>
            <w:r w:rsidRPr="00200234">
              <w:rPr>
                <w:rFonts w:cs="Segoe UI"/>
              </w:rPr>
              <w:t>11</w:t>
            </w:r>
          </w:p>
        </w:tc>
      </w:tr>
      <w:tr w:rsidR="008361C5" w:rsidRPr="00200234" w14:paraId="18F64CDC" w14:textId="77777777" w:rsidTr="008361C5">
        <w:trPr>
          <w:cantSplit/>
        </w:trPr>
        <w:tc>
          <w:tcPr>
            <w:tcW w:w="1843" w:type="dxa"/>
          </w:tcPr>
          <w:p w14:paraId="11C7C17D" w14:textId="77777777" w:rsidR="008361C5" w:rsidRPr="00200234" w:rsidRDefault="008361C5" w:rsidP="008361C5">
            <w:pPr>
              <w:pStyle w:val="TableText"/>
              <w:spacing w:before="55" w:after="55"/>
              <w:rPr>
                <w:rFonts w:cs="Segoe UI"/>
              </w:rPr>
            </w:pPr>
            <w:r w:rsidRPr="00200234">
              <w:rPr>
                <w:rFonts w:cs="Segoe UI"/>
              </w:rPr>
              <w:t>Hutt Valley</w:t>
            </w:r>
          </w:p>
        </w:tc>
        <w:tc>
          <w:tcPr>
            <w:tcW w:w="638" w:type="dxa"/>
          </w:tcPr>
          <w:p w14:paraId="37569E2B" w14:textId="77777777" w:rsidR="008361C5" w:rsidRPr="00200234" w:rsidRDefault="008361C5" w:rsidP="008361C5">
            <w:pPr>
              <w:pStyle w:val="TableText"/>
              <w:tabs>
                <w:tab w:val="decimal" w:pos="368"/>
              </w:tabs>
              <w:spacing w:before="55" w:after="55"/>
              <w:rPr>
                <w:rFonts w:cs="Segoe UI"/>
              </w:rPr>
            </w:pPr>
            <w:r w:rsidRPr="00200234">
              <w:rPr>
                <w:rFonts w:cs="Segoe UI"/>
              </w:rPr>
              <w:t>16</w:t>
            </w:r>
          </w:p>
        </w:tc>
        <w:tc>
          <w:tcPr>
            <w:tcW w:w="638" w:type="dxa"/>
          </w:tcPr>
          <w:p w14:paraId="10FEB596" w14:textId="77777777" w:rsidR="008361C5" w:rsidRPr="00200234" w:rsidRDefault="008361C5" w:rsidP="008361C5">
            <w:pPr>
              <w:pStyle w:val="TableText"/>
              <w:tabs>
                <w:tab w:val="decimal" w:pos="368"/>
              </w:tabs>
              <w:spacing w:before="55" w:after="55"/>
              <w:rPr>
                <w:rFonts w:cs="Segoe UI"/>
              </w:rPr>
            </w:pPr>
            <w:r w:rsidRPr="00200234">
              <w:rPr>
                <w:rFonts w:cs="Segoe UI"/>
              </w:rPr>
              <w:t>16</w:t>
            </w:r>
          </w:p>
        </w:tc>
        <w:tc>
          <w:tcPr>
            <w:tcW w:w="850" w:type="dxa"/>
          </w:tcPr>
          <w:p w14:paraId="1688E66E" w14:textId="77777777" w:rsidR="008361C5" w:rsidRPr="00200234" w:rsidRDefault="008361C5" w:rsidP="008361C5">
            <w:pPr>
              <w:pStyle w:val="TableText"/>
              <w:tabs>
                <w:tab w:val="decimal" w:pos="454"/>
              </w:tabs>
              <w:spacing w:before="55" w:after="55"/>
              <w:rPr>
                <w:rFonts w:cs="Segoe UI"/>
              </w:rPr>
            </w:pPr>
            <w:r w:rsidRPr="00200234">
              <w:rPr>
                <w:rFonts w:cs="Segoe UI"/>
              </w:rPr>
              <w:t>8</w:t>
            </w:r>
          </w:p>
        </w:tc>
        <w:tc>
          <w:tcPr>
            <w:tcW w:w="426" w:type="dxa"/>
            <w:tcBorders>
              <w:top w:val="nil"/>
              <w:bottom w:val="nil"/>
            </w:tcBorders>
            <w:shd w:val="clear" w:color="auto" w:fill="auto"/>
          </w:tcPr>
          <w:p w14:paraId="1CFCC083" w14:textId="77777777" w:rsidR="008361C5" w:rsidRPr="00200234" w:rsidRDefault="008361C5" w:rsidP="008361C5">
            <w:pPr>
              <w:pStyle w:val="TableText"/>
              <w:tabs>
                <w:tab w:val="decimal" w:pos="636"/>
              </w:tabs>
              <w:spacing w:before="55" w:after="55"/>
              <w:rPr>
                <w:rFonts w:cs="Segoe UI"/>
              </w:rPr>
            </w:pPr>
          </w:p>
        </w:tc>
        <w:tc>
          <w:tcPr>
            <w:tcW w:w="1843" w:type="dxa"/>
          </w:tcPr>
          <w:p w14:paraId="27721E0F" w14:textId="77777777" w:rsidR="008361C5" w:rsidRPr="00200234" w:rsidRDefault="008361C5" w:rsidP="008361C5">
            <w:pPr>
              <w:pStyle w:val="TableText"/>
              <w:spacing w:before="55" w:after="55"/>
              <w:jc w:val="both"/>
              <w:rPr>
                <w:rFonts w:cs="Segoe UI"/>
              </w:rPr>
            </w:pPr>
            <w:r w:rsidRPr="00200234">
              <w:rPr>
                <w:rFonts w:cs="Segoe UI"/>
              </w:rPr>
              <w:t>Wairarapa</w:t>
            </w:r>
          </w:p>
        </w:tc>
        <w:tc>
          <w:tcPr>
            <w:tcW w:w="567" w:type="dxa"/>
          </w:tcPr>
          <w:p w14:paraId="5FF7EF54" w14:textId="77777777" w:rsidR="008361C5" w:rsidRPr="00200234" w:rsidRDefault="008361C5" w:rsidP="008361C5">
            <w:pPr>
              <w:pStyle w:val="TableText"/>
              <w:tabs>
                <w:tab w:val="decimal" w:pos="368"/>
              </w:tabs>
              <w:spacing w:before="55" w:after="55"/>
              <w:rPr>
                <w:rFonts w:cs="Segoe UI"/>
              </w:rPr>
            </w:pPr>
            <w:r w:rsidRPr="00200234">
              <w:rPr>
                <w:rFonts w:cs="Segoe UI"/>
              </w:rPr>
              <w:t>11</w:t>
            </w:r>
          </w:p>
        </w:tc>
        <w:tc>
          <w:tcPr>
            <w:tcW w:w="568" w:type="dxa"/>
          </w:tcPr>
          <w:p w14:paraId="45A5471A" w14:textId="77777777" w:rsidR="008361C5" w:rsidRPr="00200234" w:rsidRDefault="008361C5" w:rsidP="008361C5">
            <w:pPr>
              <w:pStyle w:val="TableText"/>
              <w:tabs>
                <w:tab w:val="decimal" w:pos="368"/>
              </w:tabs>
              <w:spacing w:before="55" w:after="55"/>
              <w:rPr>
                <w:rFonts w:cs="Segoe UI"/>
              </w:rPr>
            </w:pPr>
            <w:r w:rsidRPr="00200234">
              <w:rPr>
                <w:rFonts w:cs="Segoe UI"/>
              </w:rPr>
              <w:t>2</w:t>
            </w:r>
          </w:p>
        </w:tc>
        <w:tc>
          <w:tcPr>
            <w:tcW w:w="709" w:type="dxa"/>
          </w:tcPr>
          <w:p w14:paraId="70A58543" w14:textId="77777777" w:rsidR="008361C5" w:rsidRPr="00200234" w:rsidRDefault="008361C5" w:rsidP="008361C5">
            <w:pPr>
              <w:pStyle w:val="TableText"/>
              <w:tabs>
                <w:tab w:val="decimal" w:pos="454"/>
              </w:tabs>
              <w:spacing w:before="55" w:after="55"/>
              <w:rPr>
                <w:rFonts w:cs="Segoe UI"/>
              </w:rPr>
            </w:pPr>
            <w:r w:rsidRPr="00200234">
              <w:rPr>
                <w:rFonts w:cs="Segoe UI"/>
              </w:rPr>
              <w:t>9</w:t>
            </w:r>
          </w:p>
        </w:tc>
      </w:tr>
      <w:tr w:rsidR="008361C5" w:rsidRPr="00200234" w14:paraId="69E15D45" w14:textId="77777777" w:rsidTr="008361C5">
        <w:trPr>
          <w:cantSplit/>
        </w:trPr>
        <w:tc>
          <w:tcPr>
            <w:tcW w:w="1843" w:type="dxa"/>
          </w:tcPr>
          <w:p w14:paraId="3BEF4E97" w14:textId="77777777" w:rsidR="008361C5" w:rsidRPr="00200234" w:rsidRDefault="008361C5" w:rsidP="008361C5">
            <w:pPr>
              <w:pStyle w:val="TableText"/>
              <w:spacing w:before="55" w:after="55"/>
              <w:rPr>
                <w:rFonts w:cs="Segoe UI"/>
              </w:rPr>
            </w:pPr>
            <w:r w:rsidRPr="00200234">
              <w:rPr>
                <w:rFonts w:cs="Segoe UI"/>
              </w:rPr>
              <w:t>Lakes</w:t>
            </w:r>
          </w:p>
        </w:tc>
        <w:tc>
          <w:tcPr>
            <w:tcW w:w="638" w:type="dxa"/>
          </w:tcPr>
          <w:p w14:paraId="66A6D94F" w14:textId="77777777" w:rsidR="008361C5" w:rsidRPr="00200234" w:rsidRDefault="008361C5" w:rsidP="008361C5">
            <w:pPr>
              <w:pStyle w:val="TableText"/>
              <w:tabs>
                <w:tab w:val="decimal" w:pos="368"/>
              </w:tabs>
              <w:spacing w:before="55" w:after="55"/>
              <w:rPr>
                <w:rFonts w:cs="Segoe UI"/>
              </w:rPr>
            </w:pPr>
            <w:r w:rsidRPr="00200234">
              <w:rPr>
                <w:rFonts w:cs="Segoe UI"/>
              </w:rPr>
              <w:t>11</w:t>
            </w:r>
          </w:p>
        </w:tc>
        <w:tc>
          <w:tcPr>
            <w:tcW w:w="638" w:type="dxa"/>
          </w:tcPr>
          <w:p w14:paraId="29EB9F77" w14:textId="77777777" w:rsidR="008361C5" w:rsidRPr="00200234" w:rsidRDefault="008361C5" w:rsidP="008361C5">
            <w:pPr>
              <w:pStyle w:val="TableText"/>
              <w:tabs>
                <w:tab w:val="decimal" w:pos="368"/>
              </w:tabs>
              <w:spacing w:before="55" w:after="55"/>
              <w:rPr>
                <w:rFonts w:cs="Segoe UI"/>
              </w:rPr>
            </w:pPr>
            <w:r w:rsidRPr="00200234">
              <w:rPr>
                <w:rFonts w:cs="Segoe UI"/>
              </w:rPr>
              <w:t>9</w:t>
            </w:r>
          </w:p>
        </w:tc>
        <w:tc>
          <w:tcPr>
            <w:tcW w:w="850" w:type="dxa"/>
          </w:tcPr>
          <w:p w14:paraId="4F51640F" w14:textId="77777777" w:rsidR="008361C5" w:rsidRPr="00200234" w:rsidRDefault="008361C5" w:rsidP="008361C5">
            <w:pPr>
              <w:pStyle w:val="TableText"/>
              <w:tabs>
                <w:tab w:val="decimal" w:pos="454"/>
              </w:tabs>
              <w:spacing w:before="55" w:after="55"/>
              <w:rPr>
                <w:rFonts w:cs="Segoe UI"/>
              </w:rPr>
            </w:pPr>
            <w:r w:rsidRPr="00200234">
              <w:rPr>
                <w:rFonts w:cs="Segoe UI"/>
              </w:rPr>
              <w:t>5</w:t>
            </w:r>
          </w:p>
        </w:tc>
        <w:tc>
          <w:tcPr>
            <w:tcW w:w="426" w:type="dxa"/>
            <w:tcBorders>
              <w:top w:val="nil"/>
              <w:bottom w:val="nil"/>
            </w:tcBorders>
            <w:shd w:val="clear" w:color="auto" w:fill="auto"/>
          </w:tcPr>
          <w:p w14:paraId="00786666" w14:textId="77777777" w:rsidR="008361C5" w:rsidRPr="00200234" w:rsidRDefault="008361C5" w:rsidP="008361C5">
            <w:pPr>
              <w:pStyle w:val="TableText"/>
              <w:tabs>
                <w:tab w:val="decimal" w:pos="636"/>
              </w:tabs>
              <w:spacing w:before="55" w:after="55"/>
              <w:rPr>
                <w:rFonts w:cs="Segoe UI"/>
              </w:rPr>
            </w:pPr>
          </w:p>
        </w:tc>
        <w:tc>
          <w:tcPr>
            <w:tcW w:w="1843" w:type="dxa"/>
          </w:tcPr>
          <w:p w14:paraId="25FD0D74" w14:textId="77777777" w:rsidR="008361C5" w:rsidRPr="00200234" w:rsidRDefault="008361C5" w:rsidP="008361C5">
            <w:pPr>
              <w:pStyle w:val="TableText"/>
              <w:spacing w:before="55" w:after="55"/>
              <w:jc w:val="both"/>
              <w:rPr>
                <w:rFonts w:cs="Segoe UI"/>
              </w:rPr>
            </w:pPr>
            <w:proofErr w:type="spellStart"/>
            <w:r w:rsidRPr="00200234">
              <w:rPr>
                <w:rFonts w:cs="Segoe UI"/>
              </w:rPr>
              <w:t>Waitematā</w:t>
            </w:r>
            <w:proofErr w:type="spellEnd"/>
          </w:p>
        </w:tc>
        <w:tc>
          <w:tcPr>
            <w:tcW w:w="567" w:type="dxa"/>
          </w:tcPr>
          <w:p w14:paraId="77F9F008" w14:textId="77777777" w:rsidR="008361C5" w:rsidRPr="00200234" w:rsidRDefault="008361C5" w:rsidP="008361C5">
            <w:pPr>
              <w:pStyle w:val="TableText"/>
              <w:tabs>
                <w:tab w:val="decimal" w:pos="368"/>
              </w:tabs>
              <w:spacing w:before="55" w:after="55"/>
              <w:rPr>
                <w:rFonts w:cs="Segoe UI"/>
              </w:rPr>
            </w:pPr>
            <w:r w:rsidRPr="00200234">
              <w:rPr>
                <w:rFonts w:cs="Segoe UI"/>
              </w:rPr>
              <w:t>10</w:t>
            </w:r>
          </w:p>
        </w:tc>
        <w:tc>
          <w:tcPr>
            <w:tcW w:w="568" w:type="dxa"/>
          </w:tcPr>
          <w:p w14:paraId="4A7A66E4" w14:textId="77777777" w:rsidR="008361C5" w:rsidRPr="00200234" w:rsidRDefault="008361C5" w:rsidP="008361C5">
            <w:pPr>
              <w:pStyle w:val="TableText"/>
              <w:tabs>
                <w:tab w:val="decimal" w:pos="368"/>
              </w:tabs>
              <w:spacing w:before="55" w:after="55"/>
              <w:rPr>
                <w:rFonts w:cs="Segoe UI"/>
              </w:rPr>
            </w:pPr>
            <w:r w:rsidRPr="00200234">
              <w:rPr>
                <w:rFonts w:cs="Segoe UI"/>
              </w:rPr>
              <w:t>11</w:t>
            </w:r>
          </w:p>
        </w:tc>
        <w:tc>
          <w:tcPr>
            <w:tcW w:w="709" w:type="dxa"/>
          </w:tcPr>
          <w:p w14:paraId="54CA2459" w14:textId="77777777" w:rsidR="008361C5" w:rsidRPr="00200234" w:rsidRDefault="008361C5" w:rsidP="008361C5">
            <w:pPr>
              <w:pStyle w:val="TableText"/>
              <w:tabs>
                <w:tab w:val="decimal" w:pos="454"/>
              </w:tabs>
              <w:spacing w:before="55" w:after="55"/>
              <w:rPr>
                <w:rFonts w:cs="Segoe UI"/>
              </w:rPr>
            </w:pPr>
            <w:r w:rsidRPr="00200234">
              <w:rPr>
                <w:rFonts w:cs="Segoe UI"/>
              </w:rPr>
              <w:t>8</w:t>
            </w:r>
          </w:p>
        </w:tc>
      </w:tr>
      <w:tr w:rsidR="008361C5" w:rsidRPr="00200234" w14:paraId="68DC03C0" w14:textId="77777777" w:rsidTr="008361C5">
        <w:trPr>
          <w:cantSplit/>
        </w:trPr>
        <w:tc>
          <w:tcPr>
            <w:tcW w:w="1843" w:type="dxa"/>
          </w:tcPr>
          <w:p w14:paraId="05C41256" w14:textId="77777777" w:rsidR="008361C5" w:rsidRPr="00200234" w:rsidRDefault="008361C5" w:rsidP="008361C5">
            <w:pPr>
              <w:pStyle w:val="TableText"/>
              <w:spacing w:before="55" w:after="55"/>
              <w:rPr>
                <w:rFonts w:cs="Segoe UI"/>
              </w:rPr>
            </w:pPr>
            <w:proofErr w:type="spellStart"/>
            <w:r w:rsidRPr="00200234">
              <w:rPr>
                <w:rFonts w:cs="Segoe UI"/>
              </w:rPr>
              <w:t>MidCentral</w:t>
            </w:r>
            <w:proofErr w:type="spellEnd"/>
          </w:p>
        </w:tc>
        <w:tc>
          <w:tcPr>
            <w:tcW w:w="638" w:type="dxa"/>
          </w:tcPr>
          <w:p w14:paraId="4E0020CB" w14:textId="77777777" w:rsidR="008361C5" w:rsidRPr="00200234" w:rsidRDefault="008361C5" w:rsidP="008361C5">
            <w:pPr>
              <w:pStyle w:val="TableText"/>
              <w:tabs>
                <w:tab w:val="decimal" w:pos="368"/>
              </w:tabs>
              <w:spacing w:before="55" w:after="55"/>
              <w:rPr>
                <w:rFonts w:cs="Segoe UI"/>
              </w:rPr>
            </w:pPr>
            <w:r w:rsidRPr="00200234">
              <w:rPr>
                <w:rFonts w:cs="Segoe UI"/>
              </w:rPr>
              <w:t>16</w:t>
            </w:r>
          </w:p>
        </w:tc>
        <w:tc>
          <w:tcPr>
            <w:tcW w:w="638" w:type="dxa"/>
          </w:tcPr>
          <w:p w14:paraId="75F6E462" w14:textId="77777777" w:rsidR="008361C5" w:rsidRPr="00200234" w:rsidRDefault="008361C5" w:rsidP="008361C5">
            <w:pPr>
              <w:pStyle w:val="TableText"/>
              <w:tabs>
                <w:tab w:val="decimal" w:pos="368"/>
              </w:tabs>
              <w:spacing w:before="55" w:after="55"/>
              <w:rPr>
                <w:rFonts w:cs="Segoe UI"/>
              </w:rPr>
            </w:pPr>
            <w:r w:rsidRPr="00200234">
              <w:rPr>
                <w:rFonts w:cs="Segoe UI"/>
              </w:rPr>
              <w:t>14</w:t>
            </w:r>
          </w:p>
        </w:tc>
        <w:tc>
          <w:tcPr>
            <w:tcW w:w="850" w:type="dxa"/>
          </w:tcPr>
          <w:p w14:paraId="1BA47F3C" w14:textId="77777777" w:rsidR="008361C5" w:rsidRPr="00200234" w:rsidRDefault="008361C5" w:rsidP="008361C5">
            <w:pPr>
              <w:pStyle w:val="TableText"/>
              <w:tabs>
                <w:tab w:val="decimal" w:pos="454"/>
              </w:tabs>
              <w:spacing w:before="55" w:after="55"/>
              <w:rPr>
                <w:rFonts w:cs="Segoe UI"/>
              </w:rPr>
            </w:pPr>
            <w:r w:rsidRPr="00200234">
              <w:rPr>
                <w:rFonts w:cs="Segoe UI"/>
              </w:rPr>
              <w:t>11</w:t>
            </w:r>
          </w:p>
        </w:tc>
        <w:tc>
          <w:tcPr>
            <w:tcW w:w="426" w:type="dxa"/>
            <w:tcBorders>
              <w:top w:val="nil"/>
              <w:bottom w:val="nil"/>
            </w:tcBorders>
            <w:shd w:val="clear" w:color="auto" w:fill="auto"/>
          </w:tcPr>
          <w:p w14:paraId="10B1EF8D" w14:textId="77777777" w:rsidR="008361C5" w:rsidRPr="00200234" w:rsidRDefault="008361C5" w:rsidP="008361C5">
            <w:pPr>
              <w:pStyle w:val="TableText"/>
              <w:tabs>
                <w:tab w:val="decimal" w:pos="636"/>
              </w:tabs>
              <w:spacing w:before="55" w:after="55"/>
              <w:rPr>
                <w:rFonts w:cs="Segoe UI"/>
              </w:rPr>
            </w:pPr>
          </w:p>
        </w:tc>
        <w:tc>
          <w:tcPr>
            <w:tcW w:w="1843" w:type="dxa"/>
          </w:tcPr>
          <w:p w14:paraId="153FA408" w14:textId="77777777" w:rsidR="008361C5" w:rsidRPr="00200234" w:rsidRDefault="008361C5" w:rsidP="008361C5">
            <w:pPr>
              <w:pStyle w:val="TableText"/>
              <w:spacing w:before="55" w:after="55"/>
              <w:jc w:val="both"/>
              <w:rPr>
                <w:rFonts w:cs="Segoe UI"/>
              </w:rPr>
            </w:pPr>
            <w:r w:rsidRPr="00200234">
              <w:rPr>
                <w:rFonts w:cs="Segoe UI"/>
              </w:rPr>
              <w:t>West Coast</w:t>
            </w:r>
          </w:p>
        </w:tc>
        <w:tc>
          <w:tcPr>
            <w:tcW w:w="567" w:type="dxa"/>
          </w:tcPr>
          <w:p w14:paraId="45847609" w14:textId="77777777" w:rsidR="008361C5" w:rsidRPr="00200234" w:rsidRDefault="008361C5" w:rsidP="008361C5">
            <w:pPr>
              <w:pStyle w:val="TableText"/>
              <w:tabs>
                <w:tab w:val="decimal" w:pos="368"/>
              </w:tabs>
              <w:spacing w:before="55" w:after="55"/>
              <w:rPr>
                <w:rFonts w:cs="Segoe UI"/>
              </w:rPr>
            </w:pPr>
            <w:r w:rsidRPr="00200234">
              <w:rPr>
                <w:rFonts w:cs="Segoe UI"/>
              </w:rPr>
              <w:t>13</w:t>
            </w:r>
          </w:p>
        </w:tc>
        <w:tc>
          <w:tcPr>
            <w:tcW w:w="568" w:type="dxa"/>
          </w:tcPr>
          <w:p w14:paraId="05B11AC7" w14:textId="77777777" w:rsidR="008361C5" w:rsidRPr="00200234" w:rsidRDefault="008361C5" w:rsidP="008361C5">
            <w:pPr>
              <w:pStyle w:val="TableText"/>
              <w:tabs>
                <w:tab w:val="decimal" w:pos="368"/>
              </w:tabs>
              <w:spacing w:before="55" w:after="55"/>
              <w:rPr>
                <w:rFonts w:cs="Segoe UI"/>
              </w:rPr>
            </w:pPr>
            <w:r w:rsidRPr="00200234">
              <w:rPr>
                <w:rFonts w:cs="Segoe UI"/>
              </w:rPr>
              <w:t>10</w:t>
            </w:r>
          </w:p>
        </w:tc>
        <w:tc>
          <w:tcPr>
            <w:tcW w:w="709" w:type="dxa"/>
          </w:tcPr>
          <w:p w14:paraId="765D0028" w14:textId="77777777" w:rsidR="008361C5" w:rsidRPr="00200234" w:rsidRDefault="008361C5" w:rsidP="008361C5">
            <w:pPr>
              <w:pStyle w:val="TableText"/>
              <w:tabs>
                <w:tab w:val="decimal" w:pos="454"/>
              </w:tabs>
              <w:spacing w:before="55" w:after="55"/>
              <w:rPr>
                <w:rFonts w:cs="Segoe UI"/>
              </w:rPr>
            </w:pPr>
            <w:r w:rsidRPr="00200234">
              <w:rPr>
                <w:rFonts w:cs="Segoe UI"/>
              </w:rPr>
              <w:t>7</w:t>
            </w:r>
          </w:p>
        </w:tc>
      </w:tr>
      <w:tr w:rsidR="008361C5" w:rsidRPr="00200234" w14:paraId="5F731E4F" w14:textId="77777777" w:rsidTr="008361C5">
        <w:trPr>
          <w:cantSplit/>
        </w:trPr>
        <w:tc>
          <w:tcPr>
            <w:tcW w:w="1843" w:type="dxa"/>
            <w:tcBorders>
              <w:bottom w:val="single" w:sz="4" w:space="0" w:color="A6A6A6" w:themeColor="background1" w:themeShade="A6"/>
            </w:tcBorders>
          </w:tcPr>
          <w:p w14:paraId="5B88DB74" w14:textId="77777777" w:rsidR="008361C5" w:rsidRPr="00200234" w:rsidRDefault="008361C5" w:rsidP="008361C5">
            <w:pPr>
              <w:pStyle w:val="TableText"/>
              <w:spacing w:before="55" w:after="55"/>
              <w:rPr>
                <w:rFonts w:cs="Segoe UI"/>
              </w:rPr>
            </w:pPr>
            <w:r w:rsidRPr="00200234">
              <w:rPr>
                <w:rFonts w:cs="Segoe UI"/>
              </w:rPr>
              <w:t>Nelson Marlborough</w:t>
            </w:r>
          </w:p>
        </w:tc>
        <w:tc>
          <w:tcPr>
            <w:tcW w:w="638" w:type="dxa"/>
            <w:tcBorders>
              <w:bottom w:val="single" w:sz="4" w:space="0" w:color="A6A6A6" w:themeColor="background1" w:themeShade="A6"/>
            </w:tcBorders>
          </w:tcPr>
          <w:p w14:paraId="2C57D0E7" w14:textId="77777777" w:rsidR="008361C5" w:rsidRPr="00200234" w:rsidRDefault="008361C5" w:rsidP="008361C5">
            <w:pPr>
              <w:pStyle w:val="TableText"/>
              <w:tabs>
                <w:tab w:val="decimal" w:pos="368"/>
              </w:tabs>
              <w:spacing w:before="55" w:after="55"/>
              <w:rPr>
                <w:rFonts w:cs="Segoe UI"/>
              </w:rPr>
            </w:pPr>
            <w:r w:rsidRPr="00200234">
              <w:rPr>
                <w:rFonts w:cs="Segoe UI"/>
              </w:rPr>
              <w:t>11</w:t>
            </w:r>
          </w:p>
        </w:tc>
        <w:tc>
          <w:tcPr>
            <w:tcW w:w="638" w:type="dxa"/>
            <w:tcBorders>
              <w:bottom w:val="single" w:sz="4" w:space="0" w:color="A6A6A6" w:themeColor="background1" w:themeShade="A6"/>
            </w:tcBorders>
          </w:tcPr>
          <w:p w14:paraId="3FF5E6A4" w14:textId="77777777" w:rsidR="008361C5" w:rsidRPr="00200234" w:rsidRDefault="008361C5" w:rsidP="008361C5">
            <w:pPr>
              <w:pStyle w:val="TableText"/>
              <w:tabs>
                <w:tab w:val="decimal" w:pos="368"/>
              </w:tabs>
              <w:spacing w:before="55" w:after="55"/>
              <w:rPr>
                <w:rFonts w:cs="Segoe UI"/>
              </w:rPr>
            </w:pPr>
            <w:r w:rsidRPr="00200234">
              <w:rPr>
                <w:rFonts w:cs="Segoe UI"/>
              </w:rPr>
              <w:t>9</w:t>
            </w:r>
          </w:p>
        </w:tc>
        <w:tc>
          <w:tcPr>
            <w:tcW w:w="850" w:type="dxa"/>
            <w:tcBorders>
              <w:bottom w:val="single" w:sz="4" w:space="0" w:color="A6A6A6" w:themeColor="background1" w:themeShade="A6"/>
            </w:tcBorders>
          </w:tcPr>
          <w:p w14:paraId="579DE84F" w14:textId="77777777" w:rsidR="008361C5" w:rsidRPr="00200234" w:rsidRDefault="008361C5" w:rsidP="008361C5">
            <w:pPr>
              <w:pStyle w:val="TableText"/>
              <w:tabs>
                <w:tab w:val="decimal" w:pos="454"/>
              </w:tabs>
              <w:spacing w:before="55" w:after="55"/>
              <w:rPr>
                <w:rFonts w:cs="Segoe UI"/>
              </w:rPr>
            </w:pPr>
            <w:r w:rsidRPr="00200234">
              <w:rPr>
                <w:rFonts w:cs="Segoe UI"/>
              </w:rPr>
              <w:t>11</w:t>
            </w:r>
          </w:p>
        </w:tc>
        <w:tc>
          <w:tcPr>
            <w:tcW w:w="426" w:type="dxa"/>
            <w:tcBorders>
              <w:top w:val="nil"/>
              <w:bottom w:val="nil"/>
            </w:tcBorders>
            <w:shd w:val="clear" w:color="auto" w:fill="auto"/>
          </w:tcPr>
          <w:p w14:paraId="5FE60A85" w14:textId="77777777" w:rsidR="008361C5" w:rsidRPr="00200234" w:rsidRDefault="008361C5" w:rsidP="008361C5">
            <w:pPr>
              <w:pStyle w:val="TableText"/>
              <w:tabs>
                <w:tab w:val="decimal" w:pos="636"/>
              </w:tabs>
              <w:spacing w:before="55" w:after="55"/>
              <w:rPr>
                <w:rFonts w:cs="Segoe UI"/>
              </w:rPr>
            </w:pPr>
          </w:p>
        </w:tc>
        <w:tc>
          <w:tcPr>
            <w:tcW w:w="1843" w:type="dxa"/>
          </w:tcPr>
          <w:p w14:paraId="172E78C5" w14:textId="77777777" w:rsidR="008361C5" w:rsidRPr="00200234" w:rsidRDefault="008361C5" w:rsidP="008361C5">
            <w:pPr>
              <w:pStyle w:val="TableText"/>
              <w:spacing w:before="55" w:after="55"/>
              <w:jc w:val="both"/>
              <w:rPr>
                <w:rFonts w:cs="Segoe UI"/>
              </w:rPr>
            </w:pPr>
            <w:r w:rsidRPr="00200234">
              <w:rPr>
                <w:rFonts w:cs="Segoe UI"/>
              </w:rPr>
              <w:t>Whanganui</w:t>
            </w:r>
          </w:p>
        </w:tc>
        <w:tc>
          <w:tcPr>
            <w:tcW w:w="567" w:type="dxa"/>
          </w:tcPr>
          <w:p w14:paraId="6CDBD8FB" w14:textId="77777777" w:rsidR="008361C5" w:rsidRPr="00200234" w:rsidRDefault="008361C5" w:rsidP="008361C5">
            <w:pPr>
              <w:pStyle w:val="TableText"/>
              <w:tabs>
                <w:tab w:val="decimal" w:pos="368"/>
              </w:tabs>
              <w:spacing w:before="55" w:after="55"/>
              <w:rPr>
                <w:rFonts w:cs="Segoe UI"/>
              </w:rPr>
            </w:pPr>
            <w:r w:rsidRPr="00200234">
              <w:rPr>
                <w:rFonts w:cs="Segoe UI"/>
              </w:rPr>
              <w:t>16</w:t>
            </w:r>
          </w:p>
        </w:tc>
        <w:tc>
          <w:tcPr>
            <w:tcW w:w="568" w:type="dxa"/>
          </w:tcPr>
          <w:p w14:paraId="492016F6" w14:textId="77777777" w:rsidR="008361C5" w:rsidRPr="00200234" w:rsidRDefault="008361C5" w:rsidP="008361C5">
            <w:pPr>
              <w:pStyle w:val="TableText"/>
              <w:tabs>
                <w:tab w:val="decimal" w:pos="368"/>
              </w:tabs>
              <w:spacing w:before="55" w:after="55"/>
              <w:rPr>
                <w:rFonts w:cs="Segoe UI"/>
              </w:rPr>
            </w:pPr>
            <w:r w:rsidRPr="00200234">
              <w:rPr>
                <w:rFonts w:cs="Segoe UI"/>
              </w:rPr>
              <w:t>13</w:t>
            </w:r>
          </w:p>
        </w:tc>
        <w:tc>
          <w:tcPr>
            <w:tcW w:w="709" w:type="dxa"/>
          </w:tcPr>
          <w:p w14:paraId="6F1DA5EB" w14:textId="77777777" w:rsidR="008361C5" w:rsidRPr="00200234" w:rsidRDefault="008361C5" w:rsidP="008361C5">
            <w:pPr>
              <w:pStyle w:val="TableText"/>
              <w:tabs>
                <w:tab w:val="decimal" w:pos="454"/>
              </w:tabs>
              <w:spacing w:before="55" w:after="55"/>
              <w:rPr>
                <w:rFonts w:cs="Segoe UI"/>
              </w:rPr>
            </w:pPr>
            <w:r w:rsidRPr="00200234">
              <w:rPr>
                <w:rFonts w:cs="Segoe UI"/>
              </w:rPr>
              <w:t>12</w:t>
            </w:r>
          </w:p>
        </w:tc>
      </w:tr>
      <w:tr w:rsidR="008361C5" w:rsidRPr="00200234" w14:paraId="79F07F07" w14:textId="77777777" w:rsidTr="008361C5">
        <w:trPr>
          <w:cantSplit/>
        </w:trPr>
        <w:tc>
          <w:tcPr>
            <w:tcW w:w="1843" w:type="dxa"/>
            <w:tcBorders>
              <w:bottom w:val="nil"/>
            </w:tcBorders>
          </w:tcPr>
          <w:p w14:paraId="5E5E92F1" w14:textId="77777777" w:rsidR="008361C5" w:rsidRPr="00200234" w:rsidRDefault="008361C5" w:rsidP="008361C5">
            <w:pPr>
              <w:pStyle w:val="TableText"/>
              <w:spacing w:before="55" w:after="55"/>
              <w:rPr>
                <w:rFonts w:cs="Segoe UI"/>
              </w:rPr>
            </w:pPr>
          </w:p>
        </w:tc>
        <w:tc>
          <w:tcPr>
            <w:tcW w:w="638" w:type="dxa"/>
            <w:tcBorders>
              <w:bottom w:val="nil"/>
            </w:tcBorders>
          </w:tcPr>
          <w:p w14:paraId="6D380403" w14:textId="77777777" w:rsidR="008361C5" w:rsidRPr="00200234" w:rsidRDefault="008361C5" w:rsidP="008361C5">
            <w:pPr>
              <w:pStyle w:val="TableText"/>
              <w:tabs>
                <w:tab w:val="decimal" w:pos="636"/>
              </w:tabs>
              <w:spacing w:before="55" w:after="55"/>
              <w:rPr>
                <w:rFonts w:cs="Segoe UI"/>
              </w:rPr>
            </w:pPr>
          </w:p>
        </w:tc>
        <w:tc>
          <w:tcPr>
            <w:tcW w:w="638" w:type="dxa"/>
            <w:tcBorders>
              <w:bottom w:val="nil"/>
            </w:tcBorders>
          </w:tcPr>
          <w:p w14:paraId="18FEC67A" w14:textId="77777777" w:rsidR="008361C5" w:rsidRPr="00200234" w:rsidRDefault="008361C5" w:rsidP="008361C5">
            <w:pPr>
              <w:pStyle w:val="TableText"/>
              <w:tabs>
                <w:tab w:val="decimal" w:pos="636"/>
              </w:tabs>
              <w:spacing w:before="55" w:after="55"/>
              <w:rPr>
                <w:rFonts w:cs="Segoe UI"/>
              </w:rPr>
            </w:pPr>
          </w:p>
        </w:tc>
        <w:tc>
          <w:tcPr>
            <w:tcW w:w="850" w:type="dxa"/>
            <w:tcBorders>
              <w:bottom w:val="nil"/>
            </w:tcBorders>
          </w:tcPr>
          <w:p w14:paraId="0110F2A4" w14:textId="77777777" w:rsidR="008361C5" w:rsidRPr="00200234" w:rsidRDefault="008361C5" w:rsidP="008361C5">
            <w:pPr>
              <w:pStyle w:val="TableText"/>
              <w:tabs>
                <w:tab w:val="decimal" w:pos="636"/>
              </w:tabs>
              <w:spacing w:before="55" w:after="55"/>
              <w:rPr>
                <w:rFonts w:cs="Segoe UI"/>
              </w:rPr>
            </w:pPr>
          </w:p>
        </w:tc>
        <w:tc>
          <w:tcPr>
            <w:tcW w:w="426" w:type="dxa"/>
            <w:tcBorders>
              <w:top w:val="nil"/>
              <w:bottom w:val="nil"/>
            </w:tcBorders>
            <w:shd w:val="clear" w:color="auto" w:fill="auto"/>
          </w:tcPr>
          <w:p w14:paraId="02393986" w14:textId="77777777" w:rsidR="008361C5" w:rsidRPr="00200234" w:rsidRDefault="008361C5" w:rsidP="008361C5">
            <w:pPr>
              <w:pStyle w:val="TableText"/>
              <w:tabs>
                <w:tab w:val="decimal" w:pos="636"/>
              </w:tabs>
              <w:spacing w:before="55" w:after="55"/>
              <w:rPr>
                <w:rFonts w:cs="Segoe UI"/>
              </w:rPr>
            </w:pPr>
          </w:p>
        </w:tc>
        <w:tc>
          <w:tcPr>
            <w:tcW w:w="1843" w:type="dxa"/>
          </w:tcPr>
          <w:p w14:paraId="68608925" w14:textId="77777777" w:rsidR="008361C5" w:rsidRPr="00200234" w:rsidRDefault="008361C5" w:rsidP="008361C5">
            <w:pPr>
              <w:pStyle w:val="TableText"/>
              <w:spacing w:before="55" w:after="55"/>
              <w:jc w:val="both"/>
              <w:rPr>
                <w:rFonts w:cs="Segoe UI"/>
              </w:rPr>
            </w:pPr>
            <w:r w:rsidRPr="00200234">
              <w:rPr>
                <w:rFonts w:cs="Segoe UI"/>
                <w:b/>
              </w:rPr>
              <w:t>National average</w:t>
            </w:r>
          </w:p>
        </w:tc>
        <w:tc>
          <w:tcPr>
            <w:tcW w:w="567" w:type="dxa"/>
          </w:tcPr>
          <w:p w14:paraId="5A7A3002" w14:textId="77777777" w:rsidR="008361C5" w:rsidRPr="00200234" w:rsidRDefault="008361C5" w:rsidP="008361C5">
            <w:pPr>
              <w:pStyle w:val="TableText"/>
              <w:tabs>
                <w:tab w:val="decimal" w:pos="368"/>
              </w:tabs>
              <w:spacing w:before="55" w:after="55"/>
              <w:rPr>
                <w:rFonts w:cs="Segoe UI"/>
              </w:rPr>
            </w:pPr>
            <w:r w:rsidRPr="00200234">
              <w:rPr>
                <w:rFonts w:cs="Segoe UI"/>
                <w:b/>
              </w:rPr>
              <w:t>13</w:t>
            </w:r>
          </w:p>
        </w:tc>
        <w:tc>
          <w:tcPr>
            <w:tcW w:w="568" w:type="dxa"/>
          </w:tcPr>
          <w:p w14:paraId="1C90ACF9" w14:textId="77777777" w:rsidR="008361C5" w:rsidRPr="00200234" w:rsidRDefault="008361C5" w:rsidP="008361C5">
            <w:pPr>
              <w:pStyle w:val="TableText"/>
              <w:tabs>
                <w:tab w:val="decimal" w:pos="368"/>
              </w:tabs>
              <w:spacing w:before="55" w:after="55"/>
              <w:rPr>
                <w:rFonts w:cs="Segoe UI"/>
              </w:rPr>
            </w:pPr>
            <w:r w:rsidRPr="00200234">
              <w:rPr>
                <w:rFonts w:cs="Segoe UI"/>
                <w:b/>
              </w:rPr>
              <w:t>13</w:t>
            </w:r>
          </w:p>
        </w:tc>
        <w:tc>
          <w:tcPr>
            <w:tcW w:w="709" w:type="dxa"/>
          </w:tcPr>
          <w:p w14:paraId="754883AD" w14:textId="77777777" w:rsidR="008361C5" w:rsidRPr="00200234" w:rsidRDefault="008361C5" w:rsidP="008361C5">
            <w:pPr>
              <w:pStyle w:val="TableText"/>
              <w:tabs>
                <w:tab w:val="decimal" w:pos="454"/>
              </w:tabs>
              <w:spacing w:before="55" w:after="55"/>
              <w:rPr>
                <w:rFonts w:cs="Segoe UI"/>
              </w:rPr>
            </w:pPr>
            <w:r w:rsidRPr="00200234">
              <w:rPr>
                <w:rFonts w:cs="Segoe UI"/>
                <w:b/>
              </w:rPr>
              <w:t>9</w:t>
            </w:r>
          </w:p>
        </w:tc>
      </w:tr>
    </w:tbl>
    <w:p w14:paraId="0F6F1D7C" w14:textId="13B6363F" w:rsidR="008361C5" w:rsidRPr="00200234" w:rsidRDefault="008361C5" w:rsidP="008361C5">
      <w:pPr>
        <w:pStyle w:val="Note"/>
      </w:pPr>
      <w:r w:rsidRPr="00200234">
        <w:t xml:space="preserve">Note: Section 14(4) data may also include PRIMHD records for sections 15(1) and 15(2). The latter provisions describe similar circumstances in which a patient is waiting for a court decision on compulsory treatment. Volumes of section 14(4) in some DHBs may be higher due to reporting extension and indefinite order applications under section 14(4) in addition to original </w:t>
      </w:r>
      <w:r w:rsidR="00E74727" w:rsidRPr="00200234">
        <w:t>compulsory treatment order</w:t>
      </w:r>
      <w:r w:rsidRPr="00200234">
        <w:t xml:space="preserve"> applications. This is down to local reporting variation. </w:t>
      </w:r>
    </w:p>
    <w:p w14:paraId="34CADA24" w14:textId="392EC598" w:rsidR="008361C5" w:rsidRPr="00200234" w:rsidRDefault="008361C5" w:rsidP="008361C5">
      <w:pPr>
        <w:pStyle w:val="Note"/>
      </w:pPr>
      <w:r w:rsidRPr="00200234">
        <w:t>Source</w:t>
      </w:r>
      <w:r w:rsidR="007F70DA" w:rsidRPr="00200234">
        <w:t>s</w:t>
      </w:r>
      <w:r w:rsidRPr="00200234">
        <w:t>: PRIMHD data</w:t>
      </w:r>
      <w:r w:rsidR="0015429E">
        <w:t xml:space="preserve"> (extracted</w:t>
      </w:r>
      <w:r w:rsidRPr="00200234">
        <w:t xml:space="preserve"> 29 July 2019</w:t>
      </w:r>
      <w:r w:rsidR="000E756E">
        <w:t>)</w:t>
      </w:r>
      <w:r w:rsidRPr="00200234">
        <w:t xml:space="preserve"> </w:t>
      </w:r>
      <w:r w:rsidR="007F70DA" w:rsidRPr="00200234">
        <w:t xml:space="preserve">and manual data from </w:t>
      </w:r>
      <w:r w:rsidRPr="00200234">
        <w:t>Auckland, Lakes and Nelson Marlborough DHBs.</w:t>
      </w:r>
    </w:p>
    <w:p w14:paraId="651F647A" w14:textId="77777777" w:rsidR="008361C5" w:rsidRPr="00200234" w:rsidRDefault="008361C5" w:rsidP="00060DF7"/>
    <w:p w14:paraId="468E0A89" w14:textId="636560E6" w:rsidR="008361C5" w:rsidRPr="00526246" w:rsidRDefault="008361C5" w:rsidP="00526246">
      <w:pPr>
        <w:pStyle w:val="Table"/>
      </w:pPr>
      <w:bookmarkStart w:id="18" w:name="_Ref65671731"/>
      <w:bookmarkStart w:id="19" w:name="_Toc63764666"/>
      <w:bookmarkStart w:id="20" w:name="_Toc69306772"/>
      <w:r w:rsidRPr="00200234">
        <w:lastRenderedPageBreak/>
        <w:t xml:space="preserve">Table </w:t>
      </w:r>
      <w:fldSimple w:instr=" SEQ Table \* ARABIC ">
        <w:r w:rsidR="00422361">
          <w:rPr>
            <w:noProof/>
          </w:rPr>
          <w:t>2</w:t>
        </w:r>
      </w:fldSimple>
      <w:bookmarkEnd w:id="18"/>
      <w:r w:rsidRPr="00200234">
        <w:t>: Average number of people each month required to undergo assessment under sections 11, 13 and 14(4) of the Mental Health Act per 100,000 population, by DHB, 1 January to 31 December 2019</w:t>
      </w:r>
      <w:bookmarkEnd w:id="19"/>
      <w:bookmarkEnd w:id="20"/>
      <w:r w:rsidRPr="00200234">
        <w:tab/>
      </w:r>
    </w:p>
    <w:tbl>
      <w:tblPr>
        <w:tblW w:w="8082"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43"/>
        <w:gridCol w:w="638"/>
        <w:gridCol w:w="638"/>
        <w:gridCol w:w="850"/>
        <w:gridCol w:w="426"/>
        <w:gridCol w:w="1843"/>
        <w:gridCol w:w="567"/>
        <w:gridCol w:w="568"/>
        <w:gridCol w:w="709"/>
      </w:tblGrid>
      <w:tr w:rsidR="008361C5" w:rsidRPr="00200234" w14:paraId="3BCABA3E" w14:textId="77777777" w:rsidTr="008361C5">
        <w:trPr>
          <w:cantSplit/>
          <w:tblHeader/>
        </w:trPr>
        <w:tc>
          <w:tcPr>
            <w:tcW w:w="1843" w:type="dxa"/>
            <w:tcBorders>
              <w:top w:val="nil"/>
              <w:bottom w:val="nil"/>
            </w:tcBorders>
            <w:shd w:val="clear" w:color="auto" w:fill="D9D9D9" w:themeFill="background1" w:themeFillShade="D9"/>
          </w:tcPr>
          <w:p w14:paraId="52370688" w14:textId="77777777" w:rsidR="008361C5" w:rsidRPr="00200234" w:rsidRDefault="008361C5" w:rsidP="00526246">
            <w:pPr>
              <w:pStyle w:val="TableText"/>
              <w:keepNext/>
              <w:spacing w:before="55" w:after="55"/>
              <w:rPr>
                <w:rFonts w:cs="Segoe UI"/>
                <w:b/>
              </w:rPr>
            </w:pPr>
            <w:r w:rsidRPr="00200234">
              <w:rPr>
                <w:rFonts w:cs="Segoe UI"/>
                <w:b/>
              </w:rPr>
              <w:t>DHB</w:t>
            </w:r>
          </w:p>
        </w:tc>
        <w:tc>
          <w:tcPr>
            <w:tcW w:w="638" w:type="dxa"/>
            <w:tcBorders>
              <w:top w:val="nil"/>
              <w:bottom w:val="nil"/>
            </w:tcBorders>
            <w:shd w:val="clear" w:color="auto" w:fill="D9D9D9" w:themeFill="background1" w:themeFillShade="D9"/>
          </w:tcPr>
          <w:p w14:paraId="240272B0" w14:textId="77777777" w:rsidR="008361C5" w:rsidRPr="00200234" w:rsidRDefault="008361C5" w:rsidP="00526246">
            <w:pPr>
              <w:pStyle w:val="TableText"/>
              <w:keepNext/>
              <w:spacing w:before="55" w:after="55"/>
              <w:jc w:val="center"/>
              <w:rPr>
                <w:rFonts w:cs="Segoe UI"/>
                <w:b/>
              </w:rPr>
            </w:pPr>
            <w:r w:rsidRPr="00200234">
              <w:rPr>
                <w:rFonts w:cs="Segoe UI"/>
                <w:b/>
              </w:rPr>
              <w:t>s 11</w:t>
            </w:r>
          </w:p>
        </w:tc>
        <w:tc>
          <w:tcPr>
            <w:tcW w:w="638" w:type="dxa"/>
            <w:tcBorders>
              <w:top w:val="nil"/>
              <w:bottom w:val="nil"/>
            </w:tcBorders>
            <w:shd w:val="clear" w:color="auto" w:fill="D9D9D9" w:themeFill="background1" w:themeFillShade="D9"/>
          </w:tcPr>
          <w:p w14:paraId="0CF69744" w14:textId="77777777" w:rsidR="008361C5" w:rsidRPr="00200234" w:rsidRDefault="008361C5" w:rsidP="00526246">
            <w:pPr>
              <w:pStyle w:val="TableText"/>
              <w:keepNext/>
              <w:spacing w:before="55" w:after="55"/>
              <w:jc w:val="center"/>
              <w:rPr>
                <w:rFonts w:cs="Segoe UI"/>
                <w:b/>
              </w:rPr>
            </w:pPr>
            <w:r w:rsidRPr="00200234">
              <w:rPr>
                <w:rFonts w:cs="Segoe UI"/>
                <w:b/>
              </w:rPr>
              <w:t>s 13</w:t>
            </w:r>
          </w:p>
        </w:tc>
        <w:tc>
          <w:tcPr>
            <w:tcW w:w="850" w:type="dxa"/>
            <w:tcBorders>
              <w:top w:val="nil"/>
              <w:bottom w:val="nil"/>
            </w:tcBorders>
            <w:shd w:val="clear" w:color="auto" w:fill="D9D9D9" w:themeFill="background1" w:themeFillShade="D9"/>
          </w:tcPr>
          <w:p w14:paraId="6B15D08F" w14:textId="77777777" w:rsidR="008361C5" w:rsidRPr="00200234" w:rsidRDefault="008361C5" w:rsidP="00526246">
            <w:pPr>
              <w:pStyle w:val="TableText"/>
              <w:keepNext/>
              <w:spacing w:before="55" w:after="55"/>
              <w:jc w:val="center"/>
              <w:rPr>
                <w:rFonts w:cs="Segoe UI"/>
                <w:b/>
              </w:rPr>
            </w:pPr>
            <w:r w:rsidRPr="00200234">
              <w:rPr>
                <w:rFonts w:cs="Segoe UI"/>
                <w:b/>
              </w:rPr>
              <w:t>s 14(4)</w:t>
            </w:r>
          </w:p>
        </w:tc>
        <w:tc>
          <w:tcPr>
            <w:tcW w:w="426" w:type="dxa"/>
            <w:tcBorders>
              <w:top w:val="nil"/>
              <w:bottom w:val="nil"/>
            </w:tcBorders>
            <w:shd w:val="clear" w:color="auto" w:fill="auto"/>
          </w:tcPr>
          <w:p w14:paraId="3EEEFB61" w14:textId="77777777" w:rsidR="008361C5" w:rsidRPr="00200234" w:rsidRDefault="008361C5" w:rsidP="00526246">
            <w:pPr>
              <w:pStyle w:val="TableText"/>
              <w:keepNext/>
              <w:spacing w:before="55" w:after="55"/>
              <w:jc w:val="center"/>
              <w:rPr>
                <w:rFonts w:cs="Segoe UI"/>
                <w:b/>
              </w:rPr>
            </w:pPr>
          </w:p>
        </w:tc>
        <w:tc>
          <w:tcPr>
            <w:tcW w:w="1843" w:type="dxa"/>
            <w:tcBorders>
              <w:top w:val="nil"/>
              <w:bottom w:val="nil"/>
            </w:tcBorders>
            <w:shd w:val="clear" w:color="auto" w:fill="D9D9D9" w:themeFill="background1" w:themeFillShade="D9"/>
          </w:tcPr>
          <w:p w14:paraId="712E94C6" w14:textId="77777777" w:rsidR="008361C5" w:rsidRPr="00200234" w:rsidRDefault="008361C5" w:rsidP="00526246">
            <w:pPr>
              <w:pStyle w:val="TableText"/>
              <w:keepNext/>
              <w:spacing w:before="55" w:after="55"/>
              <w:rPr>
                <w:rFonts w:cs="Segoe UI"/>
                <w:b/>
              </w:rPr>
            </w:pPr>
            <w:r w:rsidRPr="00200234">
              <w:rPr>
                <w:rFonts w:cs="Segoe UI"/>
                <w:b/>
              </w:rPr>
              <w:t>DHB</w:t>
            </w:r>
          </w:p>
        </w:tc>
        <w:tc>
          <w:tcPr>
            <w:tcW w:w="567" w:type="dxa"/>
            <w:tcBorders>
              <w:top w:val="nil"/>
              <w:bottom w:val="nil"/>
            </w:tcBorders>
            <w:shd w:val="clear" w:color="auto" w:fill="D9D9D9" w:themeFill="background1" w:themeFillShade="D9"/>
          </w:tcPr>
          <w:p w14:paraId="230E5649" w14:textId="77777777" w:rsidR="008361C5" w:rsidRPr="00200234" w:rsidRDefault="008361C5" w:rsidP="00526246">
            <w:pPr>
              <w:pStyle w:val="TableText"/>
              <w:keepNext/>
              <w:spacing w:before="55" w:after="55"/>
              <w:jc w:val="center"/>
              <w:rPr>
                <w:rFonts w:cs="Segoe UI"/>
                <w:b/>
              </w:rPr>
            </w:pPr>
            <w:r w:rsidRPr="00200234">
              <w:rPr>
                <w:rFonts w:cs="Segoe UI"/>
                <w:b/>
              </w:rPr>
              <w:t>s 11</w:t>
            </w:r>
          </w:p>
        </w:tc>
        <w:tc>
          <w:tcPr>
            <w:tcW w:w="568" w:type="dxa"/>
            <w:tcBorders>
              <w:top w:val="nil"/>
              <w:bottom w:val="nil"/>
            </w:tcBorders>
            <w:shd w:val="clear" w:color="auto" w:fill="D9D9D9" w:themeFill="background1" w:themeFillShade="D9"/>
          </w:tcPr>
          <w:p w14:paraId="7810E6CA" w14:textId="77777777" w:rsidR="008361C5" w:rsidRPr="00200234" w:rsidRDefault="008361C5" w:rsidP="00526246">
            <w:pPr>
              <w:pStyle w:val="TableText"/>
              <w:keepNext/>
              <w:spacing w:before="55" w:after="55"/>
              <w:jc w:val="center"/>
              <w:rPr>
                <w:rFonts w:cs="Segoe UI"/>
                <w:b/>
              </w:rPr>
            </w:pPr>
            <w:r w:rsidRPr="00200234">
              <w:rPr>
                <w:rFonts w:cs="Segoe UI"/>
                <w:b/>
              </w:rPr>
              <w:t>s 13</w:t>
            </w:r>
          </w:p>
        </w:tc>
        <w:tc>
          <w:tcPr>
            <w:tcW w:w="709" w:type="dxa"/>
            <w:tcBorders>
              <w:top w:val="nil"/>
              <w:bottom w:val="nil"/>
            </w:tcBorders>
            <w:shd w:val="clear" w:color="auto" w:fill="D9D9D9" w:themeFill="background1" w:themeFillShade="D9"/>
          </w:tcPr>
          <w:p w14:paraId="3B72BD08" w14:textId="77777777" w:rsidR="008361C5" w:rsidRPr="00200234" w:rsidRDefault="008361C5" w:rsidP="00526246">
            <w:pPr>
              <w:pStyle w:val="TableText"/>
              <w:keepNext/>
              <w:spacing w:before="55" w:after="55"/>
              <w:jc w:val="center"/>
              <w:rPr>
                <w:rFonts w:cs="Segoe UI"/>
                <w:b/>
              </w:rPr>
            </w:pPr>
            <w:r w:rsidRPr="00200234">
              <w:rPr>
                <w:rFonts w:cs="Segoe UI"/>
                <w:b/>
              </w:rPr>
              <w:t>s 14(4)</w:t>
            </w:r>
          </w:p>
        </w:tc>
      </w:tr>
      <w:tr w:rsidR="008361C5" w:rsidRPr="00200234" w14:paraId="793DA8E6" w14:textId="77777777" w:rsidTr="008361C5">
        <w:trPr>
          <w:cantSplit/>
        </w:trPr>
        <w:tc>
          <w:tcPr>
            <w:tcW w:w="1843" w:type="dxa"/>
            <w:tcBorders>
              <w:top w:val="nil"/>
            </w:tcBorders>
          </w:tcPr>
          <w:p w14:paraId="6B57AA4C" w14:textId="77777777" w:rsidR="008361C5" w:rsidRPr="00200234" w:rsidRDefault="008361C5" w:rsidP="00526246">
            <w:pPr>
              <w:pStyle w:val="TableText"/>
              <w:keepNext/>
              <w:spacing w:before="55" w:after="55"/>
              <w:rPr>
                <w:rFonts w:cs="Segoe UI"/>
              </w:rPr>
            </w:pPr>
            <w:r w:rsidRPr="00200234">
              <w:rPr>
                <w:rFonts w:cs="Segoe UI"/>
              </w:rPr>
              <w:t>Auckland</w:t>
            </w:r>
          </w:p>
        </w:tc>
        <w:tc>
          <w:tcPr>
            <w:tcW w:w="638" w:type="dxa"/>
            <w:tcBorders>
              <w:top w:val="nil"/>
            </w:tcBorders>
          </w:tcPr>
          <w:p w14:paraId="1D2D1448" w14:textId="77777777" w:rsidR="008361C5" w:rsidRPr="00200234" w:rsidRDefault="008361C5" w:rsidP="00526246">
            <w:pPr>
              <w:pStyle w:val="TableText"/>
              <w:keepNext/>
              <w:tabs>
                <w:tab w:val="decimal" w:pos="368"/>
              </w:tabs>
              <w:spacing w:before="55" w:after="55"/>
              <w:rPr>
                <w:rFonts w:cs="Segoe UI"/>
              </w:rPr>
            </w:pPr>
            <w:r w:rsidRPr="00200234">
              <w:rPr>
                <w:rFonts w:cs="Segoe UI"/>
              </w:rPr>
              <w:t>15</w:t>
            </w:r>
          </w:p>
        </w:tc>
        <w:tc>
          <w:tcPr>
            <w:tcW w:w="638" w:type="dxa"/>
            <w:tcBorders>
              <w:top w:val="nil"/>
            </w:tcBorders>
          </w:tcPr>
          <w:p w14:paraId="656FCC92" w14:textId="77777777" w:rsidR="008361C5" w:rsidRPr="00200234" w:rsidRDefault="008361C5" w:rsidP="00526246">
            <w:pPr>
              <w:pStyle w:val="TableText"/>
              <w:keepNext/>
              <w:tabs>
                <w:tab w:val="decimal" w:pos="368"/>
              </w:tabs>
              <w:spacing w:before="55" w:after="55"/>
              <w:rPr>
                <w:rFonts w:cs="Segoe UI"/>
              </w:rPr>
            </w:pPr>
            <w:r w:rsidRPr="00200234">
              <w:rPr>
                <w:rFonts w:cs="Segoe UI"/>
              </w:rPr>
              <w:t>16</w:t>
            </w:r>
          </w:p>
        </w:tc>
        <w:tc>
          <w:tcPr>
            <w:tcW w:w="850" w:type="dxa"/>
            <w:tcBorders>
              <w:top w:val="nil"/>
            </w:tcBorders>
          </w:tcPr>
          <w:p w14:paraId="0D07E2A5" w14:textId="77777777" w:rsidR="008361C5" w:rsidRPr="00200234" w:rsidRDefault="008361C5" w:rsidP="00526246">
            <w:pPr>
              <w:pStyle w:val="TableText"/>
              <w:keepNext/>
              <w:tabs>
                <w:tab w:val="decimal" w:pos="454"/>
              </w:tabs>
              <w:spacing w:before="55" w:after="55"/>
              <w:rPr>
                <w:rFonts w:cs="Segoe UI"/>
              </w:rPr>
            </w:pPr>
            <w:r w:rsidRPr="00200234">
              <w:rPr>
                <w:rFonts w:cs="Segoe UI"/>
              </w:rPr>
              <w:t>11</w:t>
            </w:r>
          </w:p>
        </w:tc>
        <w:tc>
          <w:tcPr>
            <w:tcW w:w="426" w:type="dxa"/>
            <w:tcBorders>
              <w:top w:val="nil"/>
              <w:bottom w:val="nil"/>
            </w:tcBorders>
            <w:shd w:val="clear" w:color="auto" w:fill="auto"/>
          </w:tcPr>
          <w:p w14:paraId="028E931C" w14:textId="77777777" w:rsidR="008361C5" w:rsidRPr="00200234" w:rsidRDefault="008361C5" w:rsidP="00526246">
            <w:pPr>
              <w:pStyle w:val="TableText"/>
              <w:keepNext/>
              <w:tabs>
                <w:tab w:val="decimal" w:pos="636"/>
              </w:tabs>
              <w:spacing w:before="55" w:after="55"/>
              <w:rPr>
                <w:rFonts w:cs="Segoe UI"/>
              </w:rPr>
            </w:pPr>
          </w:p>
        </w:tc>
        <w:tc>
          <w:tcPr>
            <w:tcW w:w="1843" w:type="dxa"/>
            <w:tcBorders>
              <w:top w:val="nil"/>
            </w:tcBorders>
          </w:tcPr>
          <w:p w14:paraId="32AE515F" w14:textId="77777777" w:rsidR="008361C5" w:rsidRPr="00200234" w:rsidRDefault="008361C5" w:rsidP="00526246">
            <w:pPr>
              <w:pStyle w:val="TableText"/>
              <w:keepNext/>
              <w:spacing w:before="55" w:after="55"/>
              <w:jc w:val="both"/>
              <w:rPr>
                <w:rFonts w:cs="Segoe UI"/>
              </w:rPr>
            </w:pPr>
            <w:r w:rsidRPr="00200234">
              <w:rPr>
                <w:rFonts w:cs="Segoe UI"/>
              </w:rPr>
              <w:t>Northland</w:t>
            </w:r>
          </w:p>
        </w:tc>
        <w:tc>
          <w:tcPr>
            <w:tcW w:w="567" w:type="dxa"/>
            <w:tcBorders>
              <w:top w:val="nil"/>
            </w:tcBorders>
          </w:tcPr>
          <w:p w14:paraId="647465D4" w14:textId="77777777" w:rsidR="008361C5" w:rsidRPr="00200234" w:rsidRDefault="008361C5" w:rsidP="00526246">
            <w:pPr>
              <w:pStyle w:val="TableText"/>
              <w:keepNext/>
              <w:tabs>
                <w:tab w:val="decimal" w:pos="368"/>
              </w:tabs>
              <w:spacing w:before="55" w:after="55"/>
              <w:rPr>
                <w:rFonts w:cs="Segoe UI"/>
              </w:rPr>
            </w:pPr>
            <w:r w:rsidRPr="00200234">
              <w:rPr>
                <w:rFonts w:cs="Segoe UI"/>
              </w:rPr>
              <w:t>16</w:t>
            </w:r>
          </w:p>
        </w:tc>
        <w:tc>
          <w:tcPr>
            <w:tcW w:w="568" w:type="dxa"/>
            <w:tcBorders>
              <w:top w:val="nil"/>
            </w:tcBorders>
          </w:tcPr>
          <w:p w14:paraId="60736F53" w14:textId="77777777" w:rsidR="008361C5" w:rsidRPr="00200234" w:rsidRDefault="008361C5" w:rsidP="00526246">
            <w:pPr>
              <w:pStyle w:val="TableText"/>
              <w:keepNext/>
              <w:tabs>
                <w:tab w:val="decimal" w:pos="368"/>
              </w:tabs>
              <w:spacing w:before="55" w:after="55"/>
              <w:rPr>
                <w:rFonts w:cs="Segoe UI"/>
              </w:rPr>
            </w:pPr>
            <w:r w:rsidRPr="00200234">
              <w:rPr>
                <w:rFonts w:cs="Segoe UI"/>
              </w:rPr>
              <w:t>20</w:t>
            </w:r>
          </w:p>
        </w:tc>
        <w:tc>
          <w:tcPr>
            <w:tcW w:w="709" w:type="dxa"/>
            <w:tcBorders>
              <w:top w:val="nil"/>
            </w:tcBorders>
          </w:tcPr>
          <w:p w14:paraId="47829FEA" w14:textId="77777777" w:rsidR="008361C5" w:rsidRPr="00200234" w:rsidRDefault="008361C5" w:rsidP="00526246">
            <w:pPr>
              <w:pStyle w:val="TableText"/>
              <w:keepNext/>
              <w:tabs>
                <w:tab w:val="decimal" w:pos="454"/>
              </w:tabs>
              <w:spacing w:before="55" w:after="55"/>
              <w:rPr>
                <w:rFonts w:cs="Segoe UI"/>
              </w:rPr>
            </w:pPr>
            <w:r w:rsidRPr="00200234">
              <w:rPr>
                <w:rFonts w:cs="Segoe UI"/>
              </w:rPr>
              <w:t>23</w:t>
            </w:r>
          </w:p>
        </w:tc>
      </w:tr>
      <w:tr w:rsidR="008361C5" w:rsidRPr="00200234" w14:paraId="5B7D787C" w14:textId="77777777" w:rsidTr="008361C5">
        <w:trPr>
          <w:cantSplit/>
        </w:trPr>
        <w:tc>
          <w:tcPr>
            <w:tcW w:w="1843" w:type="dxa"/>
          </w:tcPr>
          <w:p w14:paraId="4D85780A" w14:textId="77777777" w:rsidR="008361C5" w:rsidRPr="00200234" w:rsidRDefault="008361C5" w:rsidP="00526246">
            <w:pPr>
              <w:pStyle w:val="TableText"/>
              <w:keepNext/>
              <w:spacing w:before="55" w:after="55"/>
              <w:rPr>
                <w:rFonts w:cs="Segoe UI"/>
              </w:rPr>
            </w:pPr>
            <w:r w:rsidRPr="00200234">
              <w:rPr>
                <w:rFonts w:cs="Segoe UI"/>
              </w:rPr>
              <w:t>Bay of Plenty</w:t>
            </w:r>
          </w:p>
        </w:tc>
        <w:tc>
          <w:tcPr>
            <w:tcW w:w="638" w:type="dxa"/>
          </w:tcPr>
          <w:p w14:paraId="145AF479" w14:textId="77777777" w:rsidR="008361C5" w:rsidRPr="00200234" w:rsidRDefault="008361C5" w:rsidP="00526246">
            <w:pPr>
              <w:pStyle w:val="TableText"/>
              <w:keepNext/>
              <w:tabs>
                <w:tab w:val="decimal" w:pos="368"/>
              </w:tabs>
              <w:spacing w:before="55" w:after="55"/>
              <w:rPr>
                <w:rFonts w:cs="Segoe UI"/>
              </w:rPr>
            </w:pPr>
            <w:r w:rsidRPr="00200234">
              <w:rPr>
                <w:rFonts w:cs="Segoe UI"/>
              </w:rPr>
              <w:t>15</w:t>
            </w:r>
          </w:p>
        </w:tc>
        <w:tc>
          <w:tcPr>
            <w:tcW w:w="638" w:type="dxa"/>
          </w:tcPr>
          <w:p w14:paraId="00617B76" w14:textId="77777777" w:rsidR="008361C5" w:rsidRPr="00200234" w:rsidRDefault="008361C5" w:rsidP="00526246">
            <w:pPr>
              <w:pStyle w:val="TableText"/>
              <w:keepNext/>
              <w:tabs>
                <w:tab w:val="decimal" w:pos="368"/>
              </w:tabs>
              <w:spacing w:before="55" w:after="55"/>
              <w:rPr>
                <w:rFonts w:cs="Segoe UI"/>
              </w:rPr>
            </w:pPr>
            <w:r w:rsidRPr="00200234">
              <w:rPr>
                <w:rFonts w:cs="Segoe UI"/>
              </w:rPr>
              <w:t>13</w:t>
            </w:r>
          </w:p>
        </w:tc>
        <w:tc>
          <w:tcPr>
            <w:tcW w:w="850" w:type="dxa"/>
          </w:tcPr>
          <w:p w14:paraId="36CA0581" w14:textId="77777777" w:rsidR="008361C5" w:rsidRPr="00200234" w:rsidRDefault="008361C5" w:rsidP="00526246">
            <w:pPr>
              <w:pStyle w:val="TableText"/>
              <w:keepNext/>
              <w:tabs>
                <w:tab w:val="decimal" w:pos="454"/>
              </w:tabs>
              <w:spacing w:before="55" w:after="55"/>
              <w:rPr>
                <w:rFonts w:cs="Segoe UI"/>
              </w:rPr>
            </w:pPr>
            <w:r w:rsidRPr="00200234">
              <w:rPr>
                <w:rFonts w:cs="Segoe UI"/>
              </w:rPr>
              <w:t>6</w:t>
            </w:r>
          </w:p>
        </w:tc>
        <w:tc>
          <w:tcPr>
            <w:tcW w:w="426" w:type="dxa"/>
            <w:tcBorders>
              <w:top w:val="nil"/>
              <w:bottom w:val="nil"/>
            </w:tcBorders>
            <w:shd w:val="clear" w:color="auto" w:fill="auto"/>
          </w:tcPr>
          <w:p w14:paraId="7F420312" w14:textId="77777777" w:rsidR="008361C5" w:rsidRPr="00200234" w:rsidRDefault="008361C5" w:rsidP="00526246">
            <w:pPr>
              <w:pStyle w:val="TableText"/>
              <w:keepNext/>
              <w:tabs>
                <w:tab w:val="decimal" w:pos="636"/>
              </w:tabs>
              <w:spacing w:before="55" w:after="55"/>
              <w:rPr>
                <w:rFonts w:cs="Segoe UI"/>
              </w:rPr>
            </w:pPr>
          </w:p>
        </w:tc>
        <w:tc>
          <w:tcPr>
            <w:tcW w:w="1843" w:type="dxa"/>
          </w:tcPr>
          <w:p w14:paraId="227CD6A2" w14:textId="77777777" w:rsidR="008361C5" w:rsidRPr="00200234" w:rsidRDefault="008361C5" w:rsidP="00526246">
            <w:pPr>
              <w:pStyle w:val="TableText"/>
              <w:keepNext/>
              <w:spacing w:before="55" w:after="55"/>
              <w:jc w:val="both"/>
              <w:rPr>
                <w:rFonts w:cs="Segoe UI"/>
              </w:rPr>
            </w:pPr>
            <w:r w:rsidRPr="00200234">
              <w:rPr>
                <w:rFonts w:cs="Segoe UI"/>
              </w:rPr>
              <w:t>South Canterbury</w:t>
            </w:r>
          </w:p>
        </w:tc>
        <w:tc>
          <w:tcPr>
            <w:tcW w:w="567" w:type="dxa"/>
          </w:tcPr>
          <w:p w14:paraId="2A42B987" w14:textId="77777777" w:rsidR="008361C5" w:rsidRPr="00200234" w:rsidRDefault="008361C5" w:rsidP="00526246">
            <w:pPr>
              <w:pStyle w:val="TableText"/>
              <w:keepNext/>
              <w:tabs>
                <w:tab w:val="decimal" w:pos="368"/>
              </w:tabs>
              <w:spacing w:before="55" w:after="55"/>
              <w:rPr>
                <w:rFonts w:cs="Segoe UI"/>
              </w:rPr>
            </w:pPr>
            <w:r w:rsidRPr="00200234">
              <w:rPr>
                <w:rFonts w:cs="Segoe UI"/>
              </w:rPr>
              <w:t>6</w:t>
            </w:r>
          </w:p>
        </w:tc>
        <w:tc>
          <w:tcPr>
            <w:tcW w:w="568" w:type="dxa"/>
          </w:tcPr>
          <w:p w14:paraId="5CD43E1E" w14:textId="77777777" w:rsidR="008361C5" w:rsidRPr="00200234" w:rsidRDefault="008361C5" w:rsidP="00526246">
            <w:pPr>
              <w:pStyle w:val="TableText"/>
              <w:keepNext/>
              <w:tabs>
                <w:tab w:val="decimal" w:pos="368"/>
              </w:tabs>
              <w:spacing w:before="55" w:after="55"/>
              <w:rPr>
                <w:rFonts w:cs="Segoe UI"/>
              </w:rPr>
            </w:pPr>
            <w:r w:rsidRPr="00200234">
              <w:rPr>
                <w:rFonts w:cs="Segoe UI"/>
              </w:rPr>
              <w:t>5</w:t>
            </w:r>
          </w:p>
        </w:tc>
        <w:tc>
          <w:tcPr>
            <w:tcW w:w="709" w:type="dxa"/>
          </w:tcPr>
          <w:p w14:paraId="555FE914" w14:textId="77777777" w:rsidR="008361C5" w:rsidRPr="00200234" w:rsidRDefault="008361C5" w:rsidP="00526246">
            <w:pPr>
              <w:pStyle w:val="TableText"/>
              <w:keepNext/>
              <w:tabs>
                <w:tab w:val="decimal" w:pos="454"/>
              </w:tabs>
              <w:spacing w:before="55" w:after="55"/>
              <w:rPr>
                <w:rFonts w:cs="Segoe UI"/>
              </w:rPr>
            </w:pPr>
            <w:r w:rsidRPr="00200234">
              <w:rPr>
                <w:rFonts w:cs="Segoe UI"/>
              </w:rPr>
              <w:t>4</w:t>
            </w:r>
          </w:p>
        </w:tc>
      </w:tr>
      <w:tr w:rsidR="008361C5" w:rsidRPr="00200234" w14:paraId="48EBEB4C" w14:textId="77777777" w:rsidTr="008361C5">
        <w:trPr>
          <w:cantSplit/>
        </w:trPr>
        <w:tc>
          <w:tcPr>
            <w:tcW w:w="1843" w:type="dxa"/>
          </w:tcPr>
          <w:p w14:paraId="77840D2D" w14:textId="77777777" w:rsidR="008361C5" w:rsidRPr="00200234" w:rsidRDefault="008361C5" w:rsidP="00526246">
            <w:pPr>
              <w:pStyle w:val="TableText"/>
              <w:keepNext/>
              <w:spacing w:before="55" w:after="55"/>
              <w:rPr>
                <w:rFonts w:cs="Segoe UI"/>
              </w:rPr>
            </w:pPr>
            <w:r w:rsidRPr="00200234">
              <w:rPr>
                <w:rFonts w:cs="Segoe UI"/>
              </w:rPr>
              <w:t>Canterbury</w:t>
            </w:r>
          </w:p>
        </w:tc>
        <w:tc>
          <w:tcPr>
            <w:tcW w:w="638" w:type="dxa"/>
          </w:tcPr>
          <w:p w14:paraId="1FFA7947" w14:textId="77777777" w:rsidR="008361C5" w:rsidRPr="00200234" w:rsidRDefault="008361C5" w:rsidP="00526246">
            <w:pPr>
              <w:pStyle w:val="TableText"/>
              <w:keepNext/>
              <w:tabs>
                <w:tab w:val="decimal" w:pos="368"/>
              </w:tabs>
              <w:spacing w:before="55" w:after="55"/>
              <w:rPr>
                <w:rFonts w:cs="Segoe UI"/>
              </w:rPr>
            </w:pPr>
            <w:r w:rsidRPr="00200234">
              <w:rPr>
                <w:rFonts w:cs="Segoe UI"/>
              </w:rPr>
              <w:t>12</w:t>
            </w:r>
          </w:p>
        </w:tc>
        <w:tc>
          <w:tcPr>
            <w:tcW w:w="638" w:type="dxa"/>
          </w:tcPr>
          <w:p w14:paraId="670B4B11" w14:textId="77777777" w:rsidR="008361C5" w:rsidRPr="00200234" w:rsidRDefault="008361C5" w:rsidP="00526246">
            <w:pPr>
              <w:pStyle w:val="TableText"/>
              <w:keepNext/>
              <w:tabs>
                <w:tab w:val="decimal" w:pos="368"/>
              </w:tabs>
              <w:spacing w:before="55" w:after="55"/>
              <w:rPr>
                <w:rFonts w:cs="Segoe UI"/>
              </w:rPr>
            </w:pPr>
            <w:r w:rsidRPr="00200234">
              <w:rPr>
                <w:rFonts w:cs="Segoe UI"/>
              </w:rPr>
              <w:t>12</w:t>
            </w:r>
          </w:p>
        </w:tc>
        <w:tc>
          <w:tcPr>
            <w:tcW w:w="850" w:type="dxa"/>
          </w:tcPr>
          <w:p w14:paraId="374BC6CF" w14:textId="77777777" w:rsidR="008361C5" w:rsidRPr="00200234" w:rsidRDefault="008361C5" w:rsidP="00526246">
            <w:pPr>
              <w:pStyle w:val="TableText"/>
              <w:keepNext/>
              <w:tabs>
                <w:tab w:val="decimal" w:pos="454"/>
              </w:tabs>
              <w:spacing w:before="55" w:after="55"/>
              <w:rPr>
                <w:rFonts w:cs="Segoe UI"/>
              </w:rPr>
            </w:pPr>
            <w:r w:rsidRPr="00200234">
              <w:rPr>
                <w:rFonts w:cs="Segoe UI"/>
              </w:rPr>
              <w:t>8</w:t>
            </w:r>
          </w:p>
        </w:tc>
        <w:tc>
          <w:tcPr>
            <w:tcW w:w="426" w:type="dxa"/>
            <w:tcBorders>
              <w:top w:val="nil"/>
              <w:bottom w:val="nil"/>
            </w:tcBorders>
            <w:shd w:val="clear" w:color="auto" w:fill="auto"/>
          </w:tcPr>
          <w:p w14:paraId="7116C1CC" w14:textId="77777777" w:rsidR="008361C5" w:rsidRPr="00200234" w:rsidRDefault="008361C5" w:rsidP="00526246">
            <w:pPr>
              <w:pStyle w:val="TableText"/>
              <w:keepNext/>
              <w:tabs>
                <w:tab w:val="decimal" w:pos="636"/>
              </w:tabs>
              <w:spacing w:before="55" w:after="55"/>
              <w:rPr>
                <w:rFonts w:cs="Segoe UI"/>
              </w:rPr>
            </w:pPr>
          </w:p>
        </w:tc>
        <w:tc>
          <w:tcPr>
            <w:tcW w:w="1843" w:type="dxa"/>
          </w:tcPr>
          <w:p w14:paraId="11159DB5" w14:textId="77777777" w:rsidR="008361C5" w:rsidRPr="00200234" w:rsidRDefault="008361C5" w:rsidP="00526246">
            <w:pPr>
              <w:pStyle w:val="TableText"/>
              <w:keepNext/>
              <w:spacing w:before="55" w:after="55"/>
              <w:jc w:val="both"/>
              <w:rPr>
                <w:rFonts w:cs="Segoe UI"/>
              </w:rPr>
            </w:pPr>
            <w:r w:rsidRPr="00200234">
              <w:rPr>
                <w:rFonts w:cs="Segoe UI"/>
              </w:rPr>
              <w:t>Southern</w:t>
            </w:r>
          </w:p>
        </w:tc>
        <w:tc>
          <w:tcPr>
            <w:tcW w:w="567" w:type="dxa"/>
          </w:tcPr>
          <w:p w14:paraId="054FE021" w14:textId="77777777" w:rsidR="008361C5" w:rsidRPr="00200234" w:rsidRDefault="008361C5" w:rsidP="00526246">
            <w:pPr>
              <w:pStyle w:val="TableText"/>
              <w:keepNext/>
              <w:tabs>
                <w:tab w:val="decimal" w:pos="368"/>
              </w:tabs>
              <w:spacing w:before="55" w:after="55"/>
              <w:rPr>
                <w:rFonts w:cs="Segoe UI"/>
              </w:rPr>
            </w:pPr>
            <w:r w:rsidRPr="00200234">
              <w:rPr>
                <w:rFonts w:cs="Segoe UI"/>
              </w:rPr>
              <w:t>11</w:t>
            </w:r>
          </w:p>
        </w:tc>
        <w:tc>
          <w:tcPr>
            <w:tcW w:w="568" w:type="dxa"/>
          </w:tcPr>
          <w:p w14:paraId="64560E61" w14:textId="77777777" w:rsidR="008361C5" w:rsidRPr="00200234" w:rsidRDefault="008361C5" w:rsidP="00526246">
            <w:pPr>
              <w:pStyle w:val="TableText"/>
              <w:keepNext/>
              <w:tabs>
                <w:tab w:val="decimal" w:pos="368"/>
              </w:tabs>
              <w:spacing w:before="55" w:after="55"/>
              <w:rPr>
                <w:rFonts w:cs="Segoe UI"/>
              </w:rPr>
            </w:pPr>
            <w:r w:rsidRPr="00200234">
              <w:rPr>
                <w:rFonts w:cs="Segoe UI"/>
              </w:rPr>
              <w:t>10</w:t>
            </w:r>
          </w:p>
        </w:tc>
        <w:tc>
          <w:tcPr>
            <w:tcW w:w="709" w:type="dxa"/>
          </w:tcPr>
          <w:p w14:paraId="54728883" w14:textId="77777777" w:rsidR="008361C5" w:rsidRPr="00200234" w:rsidRDefault="008361C5" w:rsidP="00526246">
            <w:pPr>
              <w:pStyle w:val="TableText"/>
              <w:keepNext/>
              <w:tabs>
                <w:tab w:val="decimal" w:pos="454"/>
              </w:tabs>
              <w:spacing w:before="55" w:after="55"/>
              <w:rPr>
                <w:rFonts w:cs="Segoe UI"/>
              </w:rPr>
            </w:pPr>
            <w:r w:rsidRPr="00200234">
              <w:rPr>
                <w:rFonts w:cs="Segoe UI"/>
              </w:rPr>
              <w:t>7</w:t>
            </w:r>
          </w:p>
        </w:tc>
      </w:tr>
      <w:tr w:rsidR="008361C5" w:rsidRPr="00200234" w14:paraId="6086C507" w14:textId="77777777" w:rsidTr="008361C5">
        <w:trPr>
          <w:cantSplit/>
        </w:trPr>
        <w:tc>
          <w:tcPr>
            <w:tcW w:w="1843" w:type="dxa"/>
          </w:tcPr>
          <w:p w14:paraId="1DAE970E" w14:textId="77777777" w:rsidR="008361C5" w:rsidRPr="00200234" w:rsidRDefault="008361C5" w:rsidP="00526246">
            <w:pPr>
              <w:pStyle w:val="TableText"/>
              <w:keepNext/>
              <w:spacing w:before="55" w:after="55"/>
              <w:rPr>
                <w:rFonts w:cs="Segoe UI"/>
              </w:rPr>
            </w:pPr>
            <w:r w:rsidRPr="00200234">
              <w:rPr>
                <w:rFonts w:cs="Segoe UI"/>
              </w:rPr>
              <w:t>Capital &amp; Coast</w:t>
            </w:r>
          </w:p>
        </w:tc>
        <w:tc>
          <w:tcPr>
            <w:tcW w:w="638" w:type="dxa"/>
          </w:tcPr>
          <w:p w14:paraId="4DE5C2C3" w14:textId="77777777" w:rsidR="008361C5" w:rsidRPr="00200234" w:rsidRDefault="008361C5" w:rsidP="00526246">
            <w:pPr>
              <w:pStyle w:val="TableText"/>
              <w:keepNext/>
              <w:tabs>
                <w:tab w:val="decimal" w:pos="368"/>
              </w:tabs>
              <w:spacing w:before="55" w:after="55"/>
              <w:rPr>
                <w:rFonts w:cs="Segoe UI"/>
              </w:rPr>
            </w:pPr>
            <w:r w:rsidRPr="00200234">
              <w:rPr>
                <w:rFonts w:cs="Segoe UI"/>
              </w:rPr>
              <w:t>13</w:t>
            </w:r>
          </w:p>
        </w:tc>
        <w:tc>
          <w:tcPr>
            <w:tcW w:w="638" w:type="dxa"/>
          </w:tcPr>
          <w:p w14:paraId="026D820B" w14:textId="77777777" w:rsidR="008361C5" w:rsidRPr="00200234" w:rsidRDefault="008361C5" w:rsidP="00526246">
            <w:pPr>
              <w:pStyle w:val="TableText"/>
              <w:keepNext/>
              <w:tabs>
                <w:tab w:val="decimal" w:pos="368"/>
              </w:tabs>
              <w:spacing w:before="55" w:after="55"/>
              <w:rPr>
                <w:rFonts w:cs="Segoe UI"/>
              </w:rPr>
            </w:pPr>
            <w:r w:rsidRPr="00200234">
              <w:rPr>
                <w:rFonts w:cs="Segoe UI"/>
              </w:rPr>
              <w:t>14</w:t>
            </w:r>
          </w:p>
        </w:tc>
        <w:tc>
          <w:tcPr>
            <w:tcW w:w="850" w:type="dxa"/>
          </w:tcPr>
          <w:p w14:paraId="3E22933F" w14:textId="77777777" w:rsidR="008361C5" w:rsidRPr="00200234" w:rsidRDefault="008361C5" w:rsidP="00526246">
            <w:pPr>
              <w:pStyle w:val="TableText"/>
              <w:keepNext/>
              <w:tabs>
                <w:tab w:val="decimal" w:pos="454"/>
              </w:tabs>
              <w:spacing w:before="55" w:after="55"/>
              <w:rPr>
                <w:rFonts w:cs="Segoe UI"/>
              </w:rPr>
            </w:pPr>
            <w:r w:rsidRPr="00200234">
              <w:rPr>
                <w:rFonts w:cs="Segoe UI"/>
              </w:rPr>
              <w:t>10</w:t>
            </w:r>
          </w:p>
        </w:tc>
        <w:tc>
          <w:tcPr>
            <w:tcW w:w="426" w:type="dxa"/>
            <w:tcBorders>
              <w:top w:val="nil"/>
              <w:bottom w:val="nil"/>
            </w:tcBorders>
            <w:shd w:val="clear" w:color="auto" w:fill="auto"/>
          </w:tcPr>
          <w:p w14:paraId="4F77BB05" w14:textId="77777777" w:rsidR="008361C5" w:rsidRPr="00200234" w:rsidRDefault="008361C5" w:rsidP="00526246">
            <w:pPr>
              <w:pStyle w:val="TableText"/>
              <w:keepNext/>
              <w:tabs>
                <w:tab w:val="decimal" w:pos="636"/>
              </w:tabs>
              <w:spacing w:before="55" w:after="55"/>
              <w:rPr>
                <w:rFonts w:cs="Segoe UI"/>
              </w:rPr>
            </w:pPr>
          </w:p>
        </w:tc>
        <w:tc>
          <w:tcPr>
            <w:tcW w:w="1843" w:type="dxa"/>
          </w:tcPr>
          <w:p w14:paraId="3F4E8536" w14:textId="77777777" w:rsidR="008361C5" w:rsidRPr="00200234" w:rsidRDefault="008361C5" w:rsidP="00526246">
            <w:pPr>
              <w:pStyle w:val="TableText"/>
              <w:keepNext/>
              <w:spacing w:before="55" w:after="55"/>
              <w:jc w:val="both"/>
              <w:rPr>
                <w:rFonts w:cs="Segoe UI"/>
              </w:rPr>
            </w:pPr>
            <w:proofErr w:type="spellStart"/>
            <w:r w:rsidRPr="00200234">
              <w:rPr>
                <w:rFonts w:cs="Segoe UI"/>
              </w:rPr>
              <w:t>Tairāwhiti</w:t>
            </w:r>
            <w:proofErr w:type="spellEnd"/>
          </w:p>
        </w:tc>
        <w:tc>
          <w:tcPr>
            <w:tcW w:w="567" w:type="dxa"/>
          </w:tcPr>
          <w:p w14:paraId="42592CA7" w14:textId="77777777" w:rsidR="008361C5" w:rsidRPr="00200234" w:rsidRDefault="008361C5" w:rsidP="00526246">
            <w:pPr>
              <w:pStyle w:val="TableText"/>
              <w:keepNext/>
              <w:tabs>
                <w:tab w:val="decimal" w:pos="368"/>
              </w:tabs>
              <w:spacing w:before="55" w:after="55"/>
              <w:rPr>
                <w:rFonts w:cs="Segoe UI"/>
              </w:rPr>
            </w:pPr>
            <w:r w:rsidRPr="00200234">
              <w:rPr>
                <w:rFonts w:cs="Segoe UI"/>
              </w:rPr>
              <w:t>17</w:t>
            </w:r>
          </w:p>
        </w:tc>
        <w:tc>
          <w:tcPr>
            <w:tcW w:w="568" w:type="dxa"/>
          </w:tcPr>
          <w:p w14:paraId="7212D9CF" w14:textId="77777777" w:rsidR="008361C5" w:rsidRPr="00200234" w:rsidRDefault="008361C5" w:rsidP="00526246">
            <w:pPr>
              <w:pStyle w:val="TableText"/>
              <w:keepNext/>
              <w:tabs>
                <w:tab w:val="decimal" w:pos="368"/>
              </w:tabs>
              <w:spacing w:before="55" w:after="55"/>
              <w:rPr>
                <w:rFonts w:cs="Segoe UI"/>
              </w:rPr>
            </w:pPr>
            <w:r w:rsidRPr="00200234">
              <w:rPr>
                <w:rFonts w:cs="Segoe UI"/>
              </w:rPr>
              <w:t>13</w:t>
            </w:r>
          </w:p>
        </w:tc>
        <w:tc>
          <w:tcPr>
            <w:tcW w:w="709" w:type="dxa"/>
          </w:tcPr>
          <w:p w14:paraId="583ABD8E" w14:textId="77777777" w:rsidR="008361C5" w:rsidRPr="00200234" w:rsidRDefault="008361C5" w:rsidP="00526246">
            <w:pPr>
              <w:pStyle w:val="TableText"/>
              <w:keepNext/>
              <w:tabs>
                <w:tab w:val="decimal" w:pos="454"/>
              </w:tabs>
              <w:spacing w:before="55" w:after="55"/>
              <w:rPr>
                <w:rFonts w:cs="Segoe UI"/>
              </w:rPr>
            </w:pPr>
            <w:r w:rsidRPr="00200234">
              <w:rPr>
                <w:rFonts w:cs="Segoe UI"/>
              </w:rPr>
              <w:t>6</w:t>
            </w:r>
          </w:p>
        </w:tc>
      </w:tr>
      <w:tr w:rsidR="008361C5" w:rsidRPr="00200234" w14:paraId="7B5B9FF8" w14:textId="77777777" w:rsidTr="008361C5">
        <w:trPr>
          <w:cantSplit/>
        </w:trPr>
        <w:tc>
          <w:tcPr>
            <w:tcW w:w="1843" w:type="dxa"/>
          </w:tcPr>
          <w:p w14:paraId="2D419295" w14:textId="77777777" w:rsidR="008361C5" w:rsidRPr="00200234" w:rsidRDefault="008361C5" w:rsidP="00526246">
            <w:pPr>
              <w:pStyle w:val="TableText"/>
              <w:keepNext/>
              <w:spacing w:before="55" w:after="55"/>
              <w:rPr>
                <w:rFonts w:cs="Segoe UI"/>
              </w:rPr>
            </w:pPr>
            <w:r w:rsidRPr="00200234">
              <w:rPr>
                <w:rFonts w:cs="Segoe UI"/>
              </w:rPr>
              <w:t>Counties Manukau</w:t>
            </w:r>
          </w:p>
        </w:tc>
        <w:tc>
          <w:tcPr>
            <w:tcW w:w="638" w:type="dxa"/>
          </w:tcPr>
          <w:p w14:paraId="47A12D54" w14:textId="77777777" w:rsidR="008361C5" w:rsidRPr="00200234" w:rsidRDefault="008361C5" w:rsidP="00526246">
            <w:pPr>
              <w:pStyle w:val="TableText"/>
              <w:keepNext/>
              <w:tabs>
                <w:tab w:val="decimal" w:pos="368"/>
              </w:tabs>
              <w:spacing w:before="55" w:after="55"/>
              <w:rPr>
                <w:rFonts w:cs="Segoe UI"/>
              </w:rPr>
            </w:pPr>
            <w:r w:rsidRPr="00200234">
              <w:rPr>
                <w:rFonts w:cs="Segoe UI"/>
              </w:rPr>
              <w:t>11</w:t>
            </w:r>
          </w:p>
        </w:tc>
        <w:tc>
          <w:tcPr>
            <w:tcW w:w="638" w:type="dxa"/>
          </w:tcPr>
          <w:p w14:paraId="0D54C922" w14:textId="77777777" w:rsidR="008361C5" w:rsidRPr="00200234" w:rsidRDefault="008361C5" w:rsidP="00526246">
            <w:pPr>
              <w:pStyle w:val="TableText"/>
              <w:keepNext/>
              <w:tabs>
                <w:tab w:val="decimal" w:pos="368"/>
              </w:tabs>
              <w:spacing w:before="55" w:after="55"/>
              <w:rPr>
                <w:rFonts w:cs="Segoe UI"/>
              </w:rPr>
            </w:pPr>
            <w:r w:rsidRPr="00200234">
              <w:rPr>
                <w:rFonts w:cs="Segoe UI"/>
              </w:rPr>
              <w:t>12</w:t>
            </w:r>
          </w:p>
        </w:tc>
        <w:tc>
          <w:tcPr>
            <w:tcW w:w="850" w:type="dxa"/>
          </w:tcPr>
          <w:p w14:paraId="08B4DA1F" w14:textId="77777777" w:rsidR="008361C5" w:rsidRPr="00200234" w:rsidRDefault="008361C5" w:rsidP="00526246">
            <w:pPr>
              <w:pStyle w:val="TableText"/>
              <w:keepNext/>
              <w:tabs>
                <w:tab w:val="decimal" w:pos="454"/>
              </w:tabs>
              <w:spacing w:before="55" w:after="55"/>
              <w:rPr>
                <w:rFonts w:cs="Segoe UI"/>
              </w:rPr>
            </w:pPr>
            <w:r w:rsidRPr="00200234">
              <w:rPr>
                <w:rFonts w:cs="Segoe UI"/>
              </w:rPr>
              <w:t>8</w:t>
            </w:r>
          </w:p>
        </w:tc>
        <w:tc>
          <w:tcPr>
            <w:tcW w:w="426" w:type="dxa"/>
            <w:tcBorders>
              <w:top w:val="nil"/>
              <w:bottom w:val="nil"/>
            </w:tcBorders>
            <w:shd w:val="clear" w:color="auto" w:fill="auto"/>
          </w:tcPr>
          <w:p w14:paraId="1D2096A7" w14:textId="77777777" w:rsidR="008361C5" w:rsidRPr="00200234" w:rsidRDefault="008361C5" w:rsidP="00526246">
            <w:pPr>
              <w:pStyle w:val="TableText"/>
              <w:keepNext/>
              <w:tabs>
                <w:tab w:val="decimal" w:pos="636"/>
              </w:tabs>
              <w:spacing w:before="55" w:after="55"/>
              <w:rPr>
                <w:rFonts w:cs="Segoe UI"/>
              </w:rPr>
            </w:pPr>
          </w:p>
        </w:tc>
        <w:tc>
          <w:tcPr>
            <w:tcW w:w="1843" w:type="dxa"/>
          </w:tcPr>
          <w:p w14:paraId="064051C6" w14:textId="77777777" w:rsidR="008361C5" w:rsidRPr="00200234" w:rsidRDefault="008361C5" w:rsidP="00526246">
            <w:pPr>
              <w:pStyle w:val="TableText"/>
              <w:keepNext/>
              <w:spacing w:before="55" w:after="55"/>
              <w:jc w:val="both"/>
              <w:rPr>
                <w:rFonts w:cs="Segoe UI"/>
              </w:rPr>
            </w:pPr>
            <w:r w:rsidRPr="00200234">
              <w:rPr>
                <w:rFonts w:cs="Segoe UI"/>
              </w:rPr>
              <w:t>Taranaki</w:t>
            </w:r>
          </w:p>
        </w:tc>
        <w:tc>
          <w:tcPr>
            <w:tcW w:w="567" w:type="dxa"/>
          </w:tcPr>
          <w:p w14:paraId="6C8DC8E2" w14:textId="77777777" w:rsidR="008361C5" w:rsidRPr="00200234" w:rsidRDefault="008361C5" w:rsidP="00526246">
            <w:pPr>
              <w:pStyle w:val="TableText"/>
              <w:keepNext/>
              <w:tabs>
                <w:tab w:val="decimal" w:pos="368"/>
              </w:tabs>
              <w:spacing w:before="55" w:after="55"/>
              <w:rPr>
                <w:rFonts w:cs="Segoe UI"/>
              </w:rPr>
            </w:pPr>
            <w:r w:rsidRPr="00200234">
              <w:rPr>
                <w:rFonts w:cs="Segoe UI"/>
              </w:rPr>
              <w:t>16</w:t>
            </w:r>
          </w:p>
        </w:tc>
        <w:tc>
          <w:tcPr>
            <w:tcW w:w="568" w:type="dxa"/>
          </w:tcPr>
          <w:p w14:paraId="16606989" w14:textId="77777777" w:rsidR="008361C5" w:rsidRPr="00200234" w:rsidRDefault="008361C5" w:rsidP="00526246">
            <w:pPr>
              <w:pStyle w:val="TableText"/>
              <w:keepNext/>
              <w:tabs>
                <w:tab w:val="decimal" w:pos="368"/>
              </w:tabs>
              <w:spacing w:before="55" w:after="55"/>
              <w:rPr>
                <w:rFonts w:cs="Segoe UI"/>
              </w:rPr>
            </w:pPr>
            <w:r w:rsidRPr="00200234">
              <w:rPr>
                <w:rFonts w:cs="Segoe UI"/>
              </w:rPr>
              <w:t>12</w:t>
            </w:r>
          </w:p>
        </w:tc>
        <w:tc>
          <w:tcPr>
            <w:tcW w:w="709" w:type="dxa"/>
          </w:tcPr>
          <w:p w14:paraId="0BBD61BF" w14:textId="77777777" w:rsidR="008361C5" w:rsidRPr="00200234" w:rsidRDefault="008361C5" w:rsidP="00526246">
            <w:pPr>
              <w:pStyle w:val="TableText"/>
              <w:keepNext/>
              <w:tabs>
                <w:tab w:val="decimal" w:pos="454"/>
              </w:tabs>
              <w:spacing w:before="55" w:after="55"/>
              <w:rPr>
                <w:rFonts w:cs="Segoe UI"/>
              </w:rPr>
            </w:pPr>
            <w:r w:rsidRPr="00200234">
              <w:rPr>
                <w:rFonts w:cs="Segoe UI"/>
              </w:rPr>
              <w:t>6</w:t>
            </w:r>
          </w:p>
        </w:tc>
      </w:tr>
      <w:tr w:rsidR="008361C5" w:rsidRPr="00200234" w14:paraId="11DAFC95" w14:textId="77777777" w:rsidTr="008361C5">
        <w:trPr>
          <w:cantSplit/>
        </w:trPr>
        <w:tc>
          <w:tcPr>
            <w:tcW w:w="1843" w:type="dxa"/>
          </w:tcPr>
          <w:p w14:paraId="0514E728" w14:textId="77777777" w:rsidR="008361C5" w:rsidRPr="00200234" w:rsidRDefault="008361C5" w:rsidP="00526246">
            <w:pPr>
              <w:pStyle w:val="TableText"/>
              <w:keepNext/>
              <w:spacing w:before="55" w:after="55"/>
              <w:rPr>
                <w:rFonts w:cs="Segoe UI"/>
              </w:rPr>
            </w:pPr>
            <w:r w:rsidRPr="00200234">
              <w:rPr>
                <w:rFonts w:cs="Segoe UI"/>
              </w:rPr>
              <w:t>Hawke’s Bay</w:t>
            </w:r>
          </w:p>
        </w:tc>
        <w:tc>
          <w:tcPr>
            <w:tcW w:w="638" w:type="dxa"/>
          </w:tcPr>
          <w:p w14:paraId="0DF498F7" w14:textId="77777777" w:rsidR="008361C5" w:rsidRPr="00200234" w:rsidRDefault="008361C5" w:rsidP="00526246">
            <w:pPr>
              <w:pStyle w:val="TableText"/>
              <w:keepNext/>
              <w:tabs>
                <w:tab w:val="decimal" w:pos="368"/>
              </w:tabs>
              <w:spacing w:before="55" w:after="55"/>
              <w:rPr>
                <w:rFonts w:cs="Segoe UI"/>
              </w:rPr>
            </w:pPr>
            <w:r w:rsidRPr="00200234">
              <w:rPr>
                <w:rFonts w:cs="Segoe UI"/>
              </w:rPr>
              <w:t>11</w:t>
            </w:r>
          </w:p>
        </w:tc>
        <w:tc>
          <w:tcPr>
            <w:tcW w:w="638" w:type="dxa"/>
          </w:tcPr>
          <w:p w14:paraId="7B9CEE61" w14:textId="77777777" w:rsidR="008361C5" w:rsidRPr="00200234" w:rsidRDefault="008361C5" w:rsidP="00526246">
            <w:pPr>
              <w:pStyle w:val="TableText"/>
              <w:keepNext/>
              <w:tabs>
                <w:tab w:val="decimal" w:pos="368"/>
              </w:tabs>
              <w:spacing w:before="55" w:after="55"/>
              <w:rPr>
                <w:rFonts w:cs="Segoe UI"/>
              </w:rPr>
            </w:pPr>
            <w:r w:rsidRPr="00200234">
              <w:rPr>
                <w:rFonts w:cs="Segoe UI"/>
              </w:rPr>
              <w:t>10</w:t>
            </w:r>
          </w:p>
        </w:tc>
        <w:tc>
          <w:tcPr>
            <w:tcW w:w="850" w:type="dxa"/>
          </w:tcPr>
          <w:p w14:paraId="4E71F759" w14:textId="77777777" w:rsidR="008361C5" w:rsidRPr="00200234" w:rsidRDefault="008361C5" w:rsidP="00526246">
            <w:pPr>
              <w:pStyle w:val="TableText"/>
              <w:keepNext/>
              <w:tabs>
                <w:tab w:val="decimal" w:pos="454"/>
              </w:tabs>
              <w:spacing w:before="55" w:after="55"/>
              <w:rPr>
                <w:rFonts w:cs="Segoe UI"/>
              </w:rPr>
            </w:pPr>
            <w:r w:rsidRPr="00200234">
              <w:rPr>
                <w:rFonts w:cs="Segoe UI"/>
              </w:rPr>
              <w:t>6</w:t>
            </w:r>
          </w:p>
        </w:tc>
        <w:tc>
          <w:tcPr>
            <w:tcW w:w="426" w:type="dxa"/>
            <w:tcBorders>
              <w:top w:val="nil"/>
              <w:bottom w:val="nil"/>
            </w:tcBorders>
            <w:shd w:val="clear" w:color="auto" w:fill="auto"/>
          </w:tcPr>
          <w:p w14:paraId="052AF1C5" w14:textId="77777777" w:rsidR="008361C5" w:rsidRPr="00200234" w:rsidRDefault="008361C5" w:rsidP="00526246">
            <w:pPr>
              <w:pStyle w:val="TableText"/>
              <w:keepNext/>
              <w:tabs>
                <w:tab w:val="decimal" w:pos="636"/>
              </w:tabs>
              <w:spacing w:before="55" w:after="55"/>
              <w:rPr>
                <w:rFonts w:cs="Segoe UI"/>
              </w:rPr>
            </w:pPr>
          </w:p>
        </w:tc>
        <w:tc>
          <w:tcPr>
            <w:tcW w:w="1843" w:type="dxa"/>
          </w:tcPr>
          <w:p w14:paraId="5B89BD46" w14:textId="77777777" w:rsidR="008361C5" w:rsidRPr="00200234" w:rsidRDefault="008361C5" w:rsidP="00526246">
            <w:pPr>
              <w:pStyle w:val="TableText"/>
              <w:keepNext/>
              <w:spacing w:before="55" w:after="55"/>
              <w:jc w:val="both"/>
              <w:rPr>
                <w:rFonts w:cs="Segoe UI"/>
              </w:rPr>
            </w:pPr>
            <w:r w:rsidRPr="00200234">
              <w:rPr>
                <w:rFonts w:cs="Segoe UI"/>
              </w:rPr>
              <w:t>Waikato</w:t>
            </w:r>
          </w:p>
        </w:tc>
        <w:tc>
          <w:tcPr>
            <w:tcW w:w="567" w:type="dxa"/>
          </w:tcPr>
          <w:p w14:paraId="4E2F14CC" w14:textId="77777777" w:rsidR="008361C5" w:rsidRPr="00200234" w:rsidRDefault="008361C5" w:rsidP="00526246">
            <w:pPr>
              <w:pStyle w:val="TableText"/>
              <w:keepNext/>
              <w:tabs>
                <w:tab w:val="decimal" w:pos="368"/>
              </w:tabs>
              <w:spacing w:before="55" w:after="55"/>
              <w:rPr>
                <w:rFonts w:cs="Segoe UI"/>
              </w:rPr>
            </w:pPr>
            <w:r w:rsidRPr="00200234">
              <w:rPr>
                <w:rFonts w:cs="Segoe UI"/>
              </w:rPr>
              <w:t>19</w:t>
            </w:r>
          </w:p>
        </w:tc>
        <w:tc>
          <w:tcPr>
            <w:tcW w:w="568" w:type="dxa"/>
          </w:tcPr>
          <w:p w14:paraId="7F3DC54D" w14:textId="77777777" w:rsidR="008361C5" w:rsidRPr="00200234" w:rsidRDefault="008361C5" w:rsidP="00526246">
            <w:pPr>
              <w:pStyle w:val="TableText"/>
              <w:keepNext/>
              <w:tabs>
                <w:tab w:val="decimal" w:pos="368"/>
              </w:tabs>
              <w:spacing w:before="55" w:after="55"/>
              <w:rPr>
                <w:rFonts w:cs="Segoe UI"/>
              </w:rPr>
            </w:pPr>
            <w:r w:rsidRPr="00200234">
              <w:rPr>
                <w:rFonts w:cs="Segoe UI"/>
              </w:rPr>
              <w:t>18</w:t>
            </w:r>
          </w:p>
        </w:tc>
        <w:tc>
          <w:tcPr>
            <w:tcW w:w="709" w:type="dxa"/>
          </w:tcPr>
          <w:p w14:paraId="7FC70A16" w14:textId="77777777" w:rsidR="008361C5" w:rsidRPr="00200234" w:rsidRDefault="008361C5" w:rsidP="00526246">
            <w:pPr>
              <w:pStyle w:val="TableText"/>
              <w:keepNext/>
              <w:tabs>
                <w:tab w:val="decimal" w:pos="454"/>
              </w:tabs>
              <w:spacing w:before="55" w:after="55"/>
              <w:rPr>
                <w:rFonts w:cs="Segoe UI"/>
              </w:rPr>
            </w:pPr>
            <w:r w:rsidRPr="00200234">
              <w:rPr>
                <w:rFonts w:cs="Segoe UI"/>
              </w:rPr>
              <w:t>12</w:t>
            </w:r>
          </w:p>
        </w:tc>
      </w:tr>
      <w:tr w:rsidR="008361C5" w:rsidRPr="00200234" w14:paraId="23DD6AE4" w14:textId="77777777" w:rsidTr="008361C5">
        <w:trPr>
          <w:cantSplit/>
        </w:trPr>
        <w:tc>
          <w:tcPr>
            <w:tcW w:w="1843" w:type="dxa"/>
          </w:tcPr>
          <w:p w14:paraId="1918AD15" w14:textId="77777777" w:rsidR="008361C5" w:rsidRPr="00200234" w:rsidRDefault="008361C5" w:rsidP="00526246">
            <w:pPr>
              <w:pStyle w:val="TableText"/>
              <w:keepNext/>
              <w:spacing w:before="55" w:after="55"/>
              <w:rPr>
                <w:rFonts w:cs="Segoe UI"/>
              </w:rPr>
            </w:pPr>
            <w:r w:rsidRPr="00200234">
              <w:rPr>
                <w:rFonts w:cs="Segoe UI"/>
              </w:rPr>
              <w:t>Hutt Valley</w:t>
            </w:r>
          </w:p>
        </w:tc>
        <w:tc>
          <w:tcPr>
            <w:tcW w:w="638" w:type="dxa"/>
          </w:tcPr>
          <w:p w14:paraId="62B4C702" w14:textId="77777777" w:rsidR="008361C5" w:rsidRPr="00200234" w:rsidRDefault="008361C5" w:rsidP="00526246">
            <w:pPr>
              <w:pStyle w:val="TableText"/>
              <w:keepNext/>
              <w:tabs>
                <w:tab w:val="decimal" w:pos="368"/>
              </w:tabs>
              <w:spacing w:before="55" w:after="55"/>
              <w:rPr>
                <w:rFonts w:cs="Segoe UI"/>
              </w:rPr>
            </w:pPr>
            <w:r w:rsidRPr="00200234">
              <w:rPr>
                <w:rFonts w:cs="Segoe UI"/>
              </w:rPr>
              <w:t>17</w:t>
            </w:r>
          </w:p>
        </w:tc>
        <w:tc>
          <w:tcPr>
            <w:tcW w:w="638" w:type="dxa"/>
          </w:tcPr>
          <w:p w14:paraId="4C438366" w14:textId="77777777" w:rsidR="008361C5" w:rsidRPr="00200234" w:rsidRDefault="008361C5" w:rsidP="00526246">
            <w:pPr>
              <w:pStyle w:val="TableText"/>
              <w:keepNext/>
              <w:tabs>
                <w:tab w:val="decimal" w:pos="368"/>
              </w:tabs>
              <w:spacing w:before="55" w:after="55"/>
              <w:rPr>
                <w:rFonts w:cs="Segoe UI"/>
              </w:rPr>
            </w:pPr>
            <w:r w:rsidRPr="00200234">
              <w:rPr>
                <w:rFonts w:cs="Segoe UI"/>
              </w:rPr>
              <w:t>18</w:t>
            </w:r>
          </w:p>
        </w:tc>
        <w:tc>
          <w:tcPr>
            <w:tcW w:w="850" w:type="dxa"/>
          </w:tcPr>
          <w:p w14:paraId="5514BA91" w14:textId="77777777" w:rsidR="008361C5" w:rsidRPr="00200234" w:rsidRDefault="008361C5" w:rsidP="00526246">
            <w:pPr>
              <w:pStyle w:val="TableText"/>
              <w:keepNext/>
              <w:tabs>
                <w:tab w:val="decimal" w:pos="454"/>
              </w:tabs>
              <w:spacing w:before="55" w:after="55"/>
              <w:rPr>
                <w:rFonts w:cs="Segoe UI"/>
              </w:rPr>
            </w:pPr>
            <w:r w:rsidRPr="00200234">
              <w:rPr>
                <w:rFonts w:cs="Segoe UI"/>
              </w:rPr>
              <w:t>9</w:t>
            </w:r>
          </w:p>
        </w:tc>
        <w:tc>
          <w:tcPr>
            <w:tcW w:w="426" w:type="dxa"/>
            <w:tcBorders>
              <w:top w:val="nil"/>
              <w:bottom w:val="nil"/>
            </w:tcBorders>
            <w:shd w:val="clear" w:color="auto" w:fill="auto"/>
          </w:tcPr>
          <w:p w14:paraId="174636B4" w14:textId="77777777" w:rsidR="008361C5" w:rsidRPr="00200234" w:rsidRDefault="008361C5" w:rsidP="00526246">
            <w:pPr>
              <w:pStyle w:val="TableText"/>
              <w:keepNext/>
              <w:tabs>
                <w:tab w:val="decimal" w:pos="636"/>
              </w:tabs>
              <w:spacing w:before="55" w:after="55"/>
              <w:rPr>
                <w:rFonts w:cs="Segoe UI"/>
              </w:rPr>
            </w:pPr>
          </w:p>
        </w:tc>
        <w:tc>
          <w:tcPr>
            <w:tcW w:w="1843" w:type="dxa"/>
          </w:tcPr>
          <w:p w14:paraId="7BAD4BB0" w14:textId="77777777" w:rsidR="008361C5" w:rsidRPr="00200234" w:rsidRDefault="008361C5" w:rsidP="00526246">
            <w:pPr>
              <w:pStyle w:val="TableText"/>
              <w:keepNext/>
              <w:spacing w:before="55" w:after="55"/>
              <w:jc w:val="both"/>
              <w:rPr>
                <w:rFonts w:cs="Segoe UI"/>
              </w:rPr>
            </w:pPr>
            <w:r w:rsidRPr="00200234">
              <w:rPr>
                <w:rFonts w:cs="Segoe UI"/>
              </w:rPr>
              <w:t>Wairarapa</w:t>
            </w:r>
          </w:p>
        </w:tc>
        <w:tc>
          <w:tcPr>
            <w:tcW w:w="567" w:type="dxa"/>
          </w:tcPr>
          <w:p w14:paraId="423D96E6" w14:textId="77777777" w:rsidR="008361C5" w:rsidRPr="00200234" w:rsidRDefault="008361C5" w:rsidP="00526246">
            <w:pPr>
              <w:pStyle w:val="TableText"/>
              <w:keepNext/>
              <w:tabs>
                <w:tab w:val="decimal" w:pos="368"/>
              </w:tabs>
              <w:spacing w:before="55" w:after="55"/>
              <w:rPr>
                <w:rFonts w:cs="Segoe UI"/>
              </w:rPr>
            </w:pPr>
            <w:r w:rsidRPr="00200234">
              <w:rPr>
                <w:rFonts w:cs="Segoe UI"/>
              </w:rPr>
              <w:t>7</w:t>
            </w:r>
          </w:p>
        </w:tc>
        <w:tc>
          <w:tcPr>
            <w:tcW w:w="568" w:type="dxa"/>
          </w:tcPr>
          <w:p w14:paraId="4FD2C80D" w14:textId="77777777" w:rsidR="008361C5" w:rsidRPr="00200234" w:rsidRDefault="008361C5" w:rsidP="00526246">
            <w:pPr>
              <w:pStyle w:val="TableText"/>
              <w:keepNext/>
              <w:tabs>
                <w:tab w:val="decimal" w:pos="368"/>
              </w:tabs>
              <w:spacing w:before="55" w:after="55"/>
              <w:rPr>
                <w:rFonts w:cs="Segoe UI"/>
              </w:rPr>
            </w:pPr>
            <w:r w:rsidRPr="00200234">
              <w:rPr>
                <w:rFonts w:cs="Segoe UI"/>
              </w:rPr>
              <w:t>3</w:t>
            </w:r>
          </w:p>
        </w:tc>
        <w:tc>
          <w:tcPr>
            <w:tcW w:w="709" w:type="dxa"/>
          </w:tcPr>
          <w:p w14:paraId="64517409" w14:textId="77777777" w:rsidR="008361C5" w:rsidRPr="00200234" w:rsidRDefault="008361C5" w:rsidP="00526246">
            <w:pPr>
              <w:pStyle w:val="TableText"/>
              <w:keepNext/>
              <w:tabs>
                <w:tab w:val="decimal" w:pos="454"/>
              </w:tabs>
              <w:spacing w:before="55" w:after="55"/>
              <w:rPr>
                <w:rFonts w:cs="Segoe UI"/>
              </w:rPr>
            </w:pPr>
            <w:r w:rsidRPr="00200234">
              <w:rPr>
                <w:rFonts w:cs="Segoe UI"/>
              </w:rPr>
              <w:t>9</w:t>
            </w:r>
          </w:p>
        </w:tc>
      </w:tr>
      <w:tr w:rsidR="008361C5" w:rsidRPr="00200234" w14:paraId="6DA5C381" w14:textId="77777777" w:rsidTr="008361C5">
        <w:trPr>
          <w:cantSplit/>
        </w:trPr>
        <w:tc>
          <w:tcPr>
            <w:tcW w:w="1843" w:type="dxa"/>
          </w:tcPr>
          <w:p w14:paraId="005A7CB5" w14:textId="77777777" w:rsidR="008361C5" w:rsidRPr="00200234" w:rsidRDefault="008361C5" w:rsidP="00526246">
            <w:pPr>
              <w:pStyle w:val="TableText"/>
              <w:keepNext/>
              <w:spacing w:before="55" w:after="55"/>
              <w:rPr>
                <w:rFonts w:cs="Segoe UI"/>
              </w:rPr>
            </w:pPr>
            <w:r w:rsidRPr="00200234">
              <w:rPr>
                <w:rFonts w:cs="Segoe UI"/>
              </w:rPr>
              <w:t>Lakes</w:t>
            </w:r>
          </w:p>
        </w:tc>
        <w:tc>
          <w:tcPr>
            <w:tcW w:w="638" w:type="dxa"/>
          </w:tcPr>
          <w:p w14:paraId="2A6ED0FF" w14:textId="77777777" w:rsidR="008361C5" w:rsidRPr="00200234" w:rsidRDefault="008361C5" w:rsidP="00526246">
            <w:pPr>
              <w:pStyle w:val="TableText"/>
              <w:keepNext/>
              <w:tabs>
                <w:tab w:val="decimal" w:pos="368"/>
              </w:tabs>
              <w:spacing w:before="55" w:after="55"/>
              <w:rPr>
                <w:rFonts w:cs="Segoe UI"/>
              </w:rPr>
            </w:pPr>
            <w:r w:rsidRPr="00200234">
              <w:rPr>
                <w:rFonts w:cs="Segoe UI"/>
              </w:rPr>
              <w:t>15</w:t>
            </w:r>
          </w:p>
        </w:tc>
        <w:tc>
          <w:tcPr>
            <w:tcW w:w="638" w:type="dxa"/>
          </w:tcPr>
          <w:p w14:paraId="785484AD" w14:textId="77777777" w:rsidR="008361C5" w:rsidRPr="00200234" w:rsidRDefault="008361C5" w:rsidP="00526246">
            <w:pPr>
              <w:pStyle w:val="TableText"/>
              <w:keepNext/>
              <w:tabs>
                <w:tab w:val="decimal" w:pos="368"/>
              </w:tabs>
              <w:spacing w:before="55" w:after="55"/>
              <w:rPr>
                <w:rFonts w:cs="Segoe UI"/>
              </w:rPr>
            </w:pPr>
            <w:r w:rsidRPr="00200234">
              <w:rPr>
                <w:rFonts w:cs="Segoe UI"/>
              </w:rPr>
              <w:t>11</w:t>
            </w:r>
          </w:p>
        </w:tc>
        <w:tc>
          <w:tcPr>
            <w:tcW w:w="850" w:type="dxa"/>
          </w:tcPr>
          <w:p w14:paraId="5D72D85B" w14:textId="77777777" w:rsidR="008361C5" w:rsidRPr="00200234" w:rsidRDefault="008361C5" w:rsidP="00526246">
            <w:pPr>
              <w:pStyle w:val="TableText"/>
              <w:keepNext/>
              <w:tabs>
                <w:tab w:val="decimal" w:pos="454"/>
              </w:tabs>
              <w:spacing w:before="55" w:after="55"/>
              <w:rPr>
                <w:rFonts w:cs="Segoe UI"/>
              </w:rPr>
            </w:pPr>
            <w:r w:rsidRPr="00200234">
              <w:rPr>
                <w:rFonts w:cs="Segoe UI"/>
              </w:rPr>
              <w:t>7</w:t>
            </w:r>
          </w:p>
        </w:tc>
        <w:tc>
          <w:tcPr>
            <w:tcW w:w="426" w:type="dxa"/>
            <w:tcBorders>
              <w:top w:val="nil"/>
              <w:bottom w:val="nil"/>
            </w:tcBorders>
            <w:shd w:val="clear" w:color="auto" w:fill="auto"/>
          </w:tcPr>
          <w:p w14:paraId="19E31079" w14:textId="77777777" w:rsidR="008361C5" w:rsidRPr="00200234" w:rsidRDefault="008361C5" w:rsidP="00526246">
            <w:pPr>
              <w:pStyle w:val="TableText"/>
              <w:keepNext/>
              <w:tabs>
                <w:tab w:val="decimal" w:pos="636"/>
              </w:tabs>
              <w:spacing w:before="55" w:after="55"/>
              <w:rPr>
                <w:rFonts w:cs="Segoe UI"/>
              </w:rPr>
            </w:pPr>
          </w:p>
        </w:tc>
        <w:tc>
          <w:tcPr>
            <w:tcW w:w="1843" w:type="dxa"/>
          </w:tcPr>
          <w:p w14:paraId="36FBBDA3" w14:textId="77777777" w:rsidR="008361C5" w:rsidRPr="00200234" w:rsidRDefault="008361C5" w:rsidP="00526246">
            <w:pPr>
              <w:pStyle w:val="TableText"/>
              <w:keepNext/>
              <w:spacing w:before="55" w:after="55"/>
              <w:jc w:val="both"/>
              <w:rPr>
                <w:rFonts w:cs="Segoe UI"/>
              </w:rPr>
            </w:pPr>
            <w:proofErr w:type="spellStart"/>
            <w:r w:rsidRPr="00200234">
              <w:rPr>
                <w:rFonts w:cs="Segoe UI"/>
              </w:rPr>
              <w:t>Waitematā</w:t>
            </w:r>
            <w:proofErr w:type="spellEnd"/>
          </w:p>
        </w:tc>
        <w:tc>
          <w:tcPr>
            <w:tcW w:w="567" w:type="dxa"/>
          </w:tcPr>
          <w:p w14:paraId="72A6DB39" w14:textId="77777777" w:rsidR="008361C5" w:rsidRPr="00200234" w:rsidRDefault="008361C5" w:rsidP="00526246">
            <w:pPr>
              <w:pStyle w:val="TableText"/>
              <w:keepNext/>
              <w:tabs>
                <w:tab w:val="decimal" w:pos="368"/>
              </w:tabs>
              <w:spacing w:before="55" w:after="55"/>
              <w:rPr>
                <w:rFonts w:cs="Segoe UI"/>
              </w:rPr>
            </w:pPr>
            <w:r w:rsidRPr="00200234">
              <w:rPr>
                <w:rFonts w:cs="Segoe UI"/>
              </w:rPr>
              <w:t>11</w:t>
            </w:r>
          </w:p>
        </w:tc>
        <w:tc>
          <w:tcPr>
            <w:tcW w:w="568" w:type="dxa"/>
          </w:tcPr>
          <w:p w14:paraId="0634FEB7" w14:textId="77777777" w:rsidR="008361C5" w:rsidRPr="00200234" w:rsidRDefault="008361C5" w:rsidP="00526246">
            <w:pPr>
              <w:pStyle w:val="TableText"/>
              <w:keepNext/>
              <w:tabs>
                <w:tab w:val="decimal" w:pos="368"/>
              </w:tabs>
              <w:spacing w:before="55" w:after="55"/>
              <w:rPr>
                <w:rFonts w:cs="Segoe UI"/>
              </w:rPr>
            </w:pPr>
            <w:r w:rsidRPr="00200234">
              <w:rPr>
                <w:rFonts w:cs="Segoe UI"/>
              </w:rPr>
              <w:t>13</w:t>
            </w:r>
          </w:p>
        </w:tc>
        <w:tc>
          <w:tcPr>
            <w:tcW w:w="709" w:type="dxa"/>
          </w:tcPr>
          <w:p w14:paraId="3A1C6043" w14:textId="77777777" w:rsidR="008361C5" w:rsidRPr="00200234" w:rsidRDefault="008361C5" w:rsidP="00526246">
            <w:pPr>
              <w:pStyle w:val="TableText"/>
              <w:keepNext/>
              <w:tabs>
                <w:tab w:val="decimal" w:pos="454"/>
              </w:tabs>
              <w:spacing w:before="55" w:after="55"/>
              <w:rPr>
                <w:rFonts w:cs="Segoe UI"/>
              </w:rPr>
            </w:pPr>
            <w:r w:rsidRPr="00200234">
              <w:rPr>
                <w:rFonts w:cs="Segoe UI"/>
              </w:rPr>
              <w:t>9</w:t>
            </w:r>
          </w:p>
        </w:tc>
      </w:tr>
      <w:tr w:rsidR="008361C5" w:rsidRPr="00200234" w14:paraId="50F8DF30" w14:textId="77777777" w:rsidTr="008361C5">
        <w:trPr>
          <w:cantSplit/>
        </w:trPr>
        <w:tc>
          <w:tcPr>
            <w:tcW w:w="1843" w:type="dxa"/>
          </w:tcPr>
          <w:p w14:paraId="0B4A0B8D" w14:textId="77777777" w:rsidR="008361C5" w:rsidRPr="00200234" w:rsidRDefault="008361C5" w:rsidP="00526246">
            <w:pPr>
              <w:pStyle w:val="TableText"/>
              <w:keepNext/>
              <w:spacing w:before="55" w:after="55"/>
              <w:rPr>
                <w:rFonts w:cs="Segoe UI"/>
              </w:rPr>
            </w:pPr>
            <w:proofErr w:type="spellStart"/>
            <w:r w:rsidRPr="00200234">
              <w:rPr>
                <w:rFonts w:cs="Segoe UI"/>
              </w:rPr>
              <w:t>MidCentral</w:t>
            </w:r>
            <w:proofErr w:type="spellEnd"/>
          </w:p>
        </w:tc>
        <w:tc>
          <w:tcPr>
            <w:tcW w:w="638" w:type="dxa"/>
          </w:tcPr>
          <w:p w14:paraId="32A9D20D" w14:textId="77777777" w:rsidR="008361C5" w:rsidRPr="00200234" w:rsidRDefault="008361C5" w:rsidP="00526246">
            <w:pPr>
              <w:pStyle w:val="TableText"/>
              <w:keepNext/>
              <w:tabs>
                <w:tab w:val="decimal" w:pos="368"/>
              </w:tabs>
              <w:spacing w:before="55" w:after="55"/>
              <w:rPr>
                <w:rFonts w:cs="Segoe UI"/>
              </w:rPr>
            </w:pPr>
            <w:r w:rsidRPr="00200234">
              <w:rPr>
                <w:rFonts w:cs="Segoe UI"/>
              </w:rPr>
              <w:t>15</w:t>
            </w:r>
          </w:p>
        </w:tc>
        <w:tc>
          <w:tcPr>
            <w:tcW w:w="638" w:type="dxa"/>
          </w:tcPr>
          <w:p w14:paraId="37EC0E8C" w14:textId="77777777" w:rsidR="008361C5" w:rsidRPr="00200234" w:rsidRDefault="008361C5" w:rsidP="00526246">
            <w:pPr>
              <w:pStyle w:val="TableText"/>
              <w:keepNext/>
              <w:tabs>
                <w:tab w:val="decimal" w:pos="368"/>
              </w:tabs>
              <w:spacing w:before="55" w:after="55"/>
              <w:rPr>
                <w:rFonts w:cs="Segoe UI"/>
              </w:rPr>
            </w:pPr>
            <w:r w:rsidRPr="00200234">
              <w:rPr>
                <w:rFonts w:cs="Segoe UI"/>
              </w:rPr>
              <w:t>11</w:t>
            </w:r>
          </w:p>
        </w:tc>
        <w:tc>
          <w:tcPr>
            <w:tcW w:w="850" w:type="dxa"/>
          </w:tcPr>
          <w:p w14:paraId="75F6D1D2" w14:textId="77777777" w:rsidR="008361C5" w:rsidRPr="00200234" w:rsidRDefault="008361C5" w:rsidP="00526246">
            <w:pPr>
              <w:pStyle w:val="TableText"/>
              <w:keepNext/>
              <w:tabs>
                <w:tab w:val="decimal" w:pos="454"/>
              </w:tabs>
              <w:spacing w:before="55" w:after="55"/>
              <w:rPr>
                <w:rFonts w:cs="Segoe UI"/>
              </w:rPr>
            </w:pPr>
            <w:r w:rsidRPr="00200234">
              <w:rPr>
                <w:rFonts w:cs="Segoe UI"/>
              </w:rPr>
              <w:t>9</w:t>
            </w:r>
          </w:p>
        </w:tc>
        <w:tc>
          <w:tcPr>
            <w:tcW w:w="426" w:type="dxa"/>
            <w:tcBorders>
              <w:top w:val="nil"/>
              <w:bottom w:val="nil"/>
            </w:tcBorders>
            <w:shd w:val="clear" w:color="auto" w:fill="auto"/>
          </w:tcPr>
          <w:p w14:paraId="18DC51A3" w14:textId="77777777" w:rsidR="008361C5" w:rsidRPr="00200234" w:rsidRDefault="008361C5" w:rsidP="00526246">
            <w:pPr>
              <w:pStyle w:val="TableText"/>
              <w:keepNext/>
              <w:tabs>
                <w:tab w:val="decimal" w:pos="636"/>
              </w:tabs>
              <w:spacing w:before="55" w:after="55"/>
              <w:rPr>
                <w:rFonts w:cs="Segoe UI"/>
              </w:rPr>
            </w:pPr>
          </w:p>
        </w:tc>
        <w:tc>
          <w:tcPr>
            <w:tcW w:w="1843" w:type="dxa"/>
          </w:tcPr>
          <w:p w14:paraId="5734A6DE" w14:textId="77777777" w:rsidR="008361C5" w:rsidRPr="00200234" w:rsidRDefault="008361C5" w:rsidP="00526246">
            <w:pPr>
              <w:pStyle w:val="TableText"/>
              <w:keepNext/>
              <w:spacing w:before="55" w:after="55"/>
              <w:jc w:val="both"/>
              <w:rPr>
                <w:rFonts w:cs="Segoe UI"/>
              </w:rPr>
            </w:pPr>
            <w:r w:rsidRPr="00200234">
              <w:rPr>
                <w:rFonts w:cs="Segoe UI"/>
              </w:rPr>
              <w:t>West Coast</w:t>
            </w:r>
          </w:p>
        </w:tc>
        <w:tc>
          <w:tcPr>
            <w:tcW w:w="567" w:type="dxa"/>
          </w:tcPr>
          <w:p w14:paraId="19F26586" w14:textId="77777777" w:rsidR="008361C5" w:rsidRPr="00200234" w:rsidRDefault="008361C5" w:rsidP="00526246">
            <w:pPr>
              <w:pStyle w:val="TableText"/>
              <w:keepNext/>
              <w:tabs>
                <w:tab w:val="decimal" w:pos="368"/>
              </w:tabs>
              <w:spacing w:before="55" w:after="55"/>
              <w:rPr>
                <w:rFonts w:cs="Segoe UI"/>
              </w:rPr>
            </w:pPr>
            <w:r w:rsidRPr="00200234">
              <w:rPr>
                <w:rFonts w:cs="Segoe UI"/>
              </w:rPr>
              <w:t>11</w:t>
            </w:r>
          </w:p>
        </w:tc>
        <w:tc>
          <w:tcPr>
            <w:tcW w:w="568" w:type="dxa"/>
          </w:tcPr>
          <w:p w14:paraId="032D751D" w14:textId="77777777" w:rsidR="008361C5" w:rsidRPr="00200234" w:rsidRDefault="008361C5" w:rsidP="00526246">
            <w:pPr>
              <w:pStyle w:val="TableText"/>
              <w:keepNext/>
              <w:tabs>
                <w:tab w:val="decimal" w:pos="368"/>
              </w:tabs>
              <w:spacing w:before="55" w:after="55"/>
              <w:rPr>
                <w:rFonts w:cs="Segoe UI"/>
              </w:rPr>
            </w:pPr>
            <w:r w:rsidRPr="00200234">
              <w:rPr>
                <w:rFonts w:cs="Segoe UI"/>
              </w:rPr>
              <w:t>9</w:t>
            </w:r>
          </w:p>
        </w:tc>
        <w:tc>
          <w:tcPr>
            <w:tcW w:w="709" w:type="dxa"/>
          </w:tcPr>
          <w:p w14:paraId="01F28C31" w14:textId="77777777" w:rsidR="008361C5" w:rsidRPr="00200234" w:rsidRDefault="008361C5" w:rsidP="00526246">
            <w:pPr>
              <w:pStyle w:val="TableText"/>
              <w:keepNext/>
              <w:tabs>
                <w:tab w:val="decimal" w:pos="454"/>
              </w:tabs>
              <w:spacing w:before="55" w:after="55"/>
              <w:rPr>
                <w:rFonts w:cs="Segoe UI"/>
              </w:rPr>
            </w:pPr>
            <w:r w:rsidRPr="00200234">
              <w:rPr>
                <w:rFonts w:cs="Segoe UI"/>
              </w:rPr>
              <w:t>9</w:t>
            </w:r>
          </w:p>
        </w:tc>
      </w:tr>
      <w:tr w:rsidR="008361C5" w:rsidRPr="00200234" w14:paraId="07A7674E" w14:textId="77777777" w:rsidTr="008361C5">
        <w:trPr>
          <w:cantSplit/>
        </w:trPr>
        <w:tc>
          <w:tcPr>
            <w:tcW w:w="1843" w:type="dxa"/>
            <w:tcBorders>
              <w:bottom w:val="single" w:sz="4" w:space="0" w:color="A6A6A6" w:themeColor="background1" w:themeShade="A6"/>
            </w:tcBorders>
          </w:tcPr>
          <w:p w14:paraId="7697056D" w14:textId="77777777" w:rsidR="008361C5" w:rsidRPr="00200234" w:rsidRDefault="008361C5" w:rsidP="00526246">
            <w:pPr>
              <w:pStyle w:val="TableText"/>
              <w:keepNext/>
              <w:spacing w:before="55" w:after="55"/>
              <w:rPr>
                <w:rFonts w:cs="Segoe UI"/>
              </w:rPr>
            </w:pPr>
            <w:r w:rsidRPr="00200234">
              <w:rPr>
                <w:rFonts w:cs="Segoe UI"/>
              </w:rPr>
              <w:t>Nelson Marlborough</w:t>
            </w:r>
          </w:p>
        </w:tc>
        <w:tc>
          <w:tcPr>
            <w:tcW w:w="638" w:type="dxa"/>
            <w:tcBorders>
              <w:bottom w:val="single" w:sz="4" w:space="0" w:color="A6A6A6" w:themeColor="background1" w:themeShade="A6"/>
            </w:tcBorders>
          </w:tcPr>
          <w:p w14:paraId="1AB82CB9" w14:textId="77777777" w:rsidR="008361C5" w:rsidRPr="00200234" w:rsidRDefault="008361C5" w:rsidP="00526246">
            <w:pPr>
              <w:pStyle w:val="TableText"/>
              <w:keepNext/>
              <w:tabs>
                <w:tab w:val="decimal" w:pos="368"/>
              </w:tabs>
              <w:spacing w:before="55" w:after="55"/>
              <w:rPr>
                <w:rFonts w:cs="Segoe UI"/>
              </w:rPr>
            </w:pPr>
            <w:r w:rsidRPr="00200234">
              <w:rPr>
                <w:rFonts w:cs="Segoe UI"/>
              </w:rPr>
              <w:t>11</w:t>
            </w:r>
          </w:p>
        </w:tc>
        <w:tc>
          <w:tcPr>
            <w:tcW w:w="638" w:type="dxa"/>
            <w:tcBorders>
              <w:bottom w:val="single" w:sz="4" w:space="0" w:color="A6A6A6" w:themeColor="background1" w:themeShade="A6"/>
            </w:tcBorders>
          </w:tcPr>
          <w:p w14:paraId="26986E14" w14:textId="77777777" w:rsidR="008361C5" w:rsidRPr="00200234" w:rsidRDefault="008361C5" w:rsidP="00526246">
            <w:pPr>
              <w:pStyle w:val="TableText"/>
              <w:keepNext/>
              <w:tabs>
                <w:tab w:val="decimal" w:pos="368"/>
              </w:tabs>
              <w:spacing w:before="55" w:after="55"/>
              <w:rPr>
                <w:rFonts w:cs="Segoe UI"/>
              </w:rPr>
            </w:pPr>
            <w:r w:rsidRPr="00200234">
              <w:rPr>
                <w:rFonts w:cs="Segoe UI"/>
              </w:rPr>
              <w:t>10</w:t>
            </w:r>
          </w:p>
        </w:tc>
        <w:tc>
          <w:tcPr>
            <w:tcW w:w="850" w:type="dxa"/>
            <w:tcBorders>
              <w:bottom w:val="single" w:sz="4" w:space="0" w:color="A6A6A6" w:themeColor="background1" w:themeShade="A6"/>
            </w:tcBorders>
          </w:tcPr>
          <w:p w14:paraId="40C3C9EF" w14:textId="77777777" w:rsidR="008361C5" w:rsidRPr="00200234" w:rsidRDefault="008361C5" w:rsidP="00526246">
            <w:pPr>
              <w:pStyle w:val="TableText"/>
              <w:keepNext/>
              <w:tabs>
                <w:tab w:val="decimal" w:pos="454"/>
              </w:tabs>
              <w:spacing w:before="55" w:after="55"/>
              <w:rPr>
                <w:rFonts w:cs="Segoe UI"/>
              </w:rPr>
            </w:pPr>
            <w:r w:rsidRPr="00200234">
              <w:rPr>
                <w:rFonts w:cs="Segoe UI"/>
              </w:rPr>
              <w:t>11</w:t>
            </w:r>
          </w:p>
        </w:tc>
        <w:tc>
          <w:tcPr>
            <w:tcW w:w="426" w:type="dxa"/>
            <w:tcBorders>
              <w:top w:val="nil"/>
              <w:bottom w:val="nil"/>
            </w:tcBorders>
            <w:shd w:val="clear" w:color="auto" w:fill="auto"/>
          </w:tcPr>
          <w:p w14:paraId="3226B968" w14:textId="77777777" w:rsidR="008361C5" w:rsidRPr="00200234" w:rsidRDefault="008361C5" w:rsidP="00526246">
            <w:pPr>
              <w:pStyle w:val="TableText"/>
              <w:keepNext/>
              <w:tabs>
                <w:tab w:val="decimal" w:pos="636"/>
              </w:tabs>
              <w:spacing w:before="55" w:after="55"/>
              <w:rPr>
                <w:rFonts w:cs="Segoe UI"/>
              </w:rPr>
            </w:pPr>
          </w:p>
        </w:tc>
        <w:tc>
          <w:tcPr>
            <w:tcW w:w="1843" w:type="dxa"/>
          </w:tcPr>
          <w:p w14:paraId="12A38D9F" w14:textId="77777777" w:rsidR="008361C5" w:rsidRPr="00200234" w:rsidRDefault="008361C5" w:rsidP="00526246">
            <w:pPr>
              <w:pStyle w:val="TableText"/>
              <w:keepNext/>
              <w:spacing w:before="55" w:after="55"/>
              <w:jc w:val="both"/>
              <w:rPr>
                <w:rFonts w:cs="Segoe UI"/>
              </w:rPr>
            </w:pPr>
            <w:r w:rsidRPr="00200234">
              <w:rPr>
                <w:rFonts w:cs="Segoe UI"/>
              </w:rPr>
              <w:t>Whanganui</w:t>
            </w:r>
          </w:p>
        </w:tc>
        <w:tc>
          <w:tcPr>
            <w:tcW w:w="567" w:type="dxa"/>
          </w:tcPr>
          <w:p w14:paraId="277CC123" w14:textId="77777777" w:rsidR="008361C5" w:rsidRPr="00200234" w:rsidRDefault="008361C5" w:rsidP="00526246">
            <w:pPr>
              <w:pStyle w:val="TableText"/>
              <w:keepNext/>
              <w:tabs>
                <w:tab w:val="decimal" w:pos="368"/>
              </w:tabs>
              <w:spacing w:before="55" w:after="55"/>
              <w:rPr>
                <w:rFonts w:cs="Segoe UI"/>
              </w:rPr>
            </w:pPr>
            <w:r w:rsidRPr="00200234">
              <w:rPr>
                <w:rFonts w:cs="Segoe UI"/>
              </w:rPr>
              <w:t>16</w:t>
            </w:r>
          </w:p>
        </w:tc>
        <w:tc>
          <w:tcPr>
            <w:tcW w:w="568" w:type="dxa"/>
          </w:tcPr>
          <w:p w14:paraId="780A3447" w14:textId="77777777" w:rsidR="008361C5" w:rsidRPr="00200234" w:rsidRDefault="008361C5" w:rsidP="00526246">
            <w:pPr>
              <w:pStyle w:val="TableText"/>
              <w:keepNext/>
              <w:tabs>
                <w:tab w:val="decimal" w:pos="368"/>
              </w:tabs>
              <w:spacing w:before="55" w:after="55"/>
              <w:rPr>
                <w:rFonts w:cs="Segoe UI"/>
              </w:rPr>
            </w:pPr>
            <w:r w:rsidRPr="00200234">
              <w:rPr>
                <w:rFonts w:cs="Segoe UI"/>
              </w:rPr>
              <w:t>14</w:t>
            </w:r>
          </w:p>
        </w:tc>
        <w:tc>
          <w:tcPr>
            <w:tcW w:w="709" w:type="dxa"/>
          </w:tcPr>
          <w:p w14:paraId="3A847C75" w14:textId="77777777" w:rsidR="008361C5" w:rsidRPr="00200234" w:rsidRDefault="008361C5" w:rsidP="00526246">
            <w:pPr>
              <w:pStyle w:val="TableText"/>
              <w:keepNext/>
              <w:tabs>
                <w:tab w:val="decimal" w:pos="454"/>
              </w:tabs>
              <w:spacing w:before="55" w:after="55"/>
              <w:rPr>
                <w:rFonts w:cs="Segoe UI"/>
              </w:rPr>
            </w:pPr>
            <w:r w:rsidRPr="00200234">
              <w:rPr>
                <w:rFonts w:cs="Segoe UI"/>
              </w:rPr>
              <w:t>12</w:t>
            </w:r>
          </w:p>
        </w:tc>
      </w:tr>
      <w:tr w:rsidR="008361C5" w:rsidRPr="00200234" w14:paraId="4814A2A1" w14:textId="77777777" w:rsidTr="008361C5">
        <w:trPr>
          <w:cantSplit/>
        </w:trPr>
        <w:tc>
          <w:tcPr>
            <w:tcW w:w="1843" w:type="dxa"/>
            <w:tcBorders>
              <w:bottom w:val="nil"/>
            </w:tcBorders>
          </w:tcPr>
          <w:p w14:paraId="3C32C3CC" w14:textId="77777777" w:rsidR="008361C5" w:rsidRPr="00200234" w:rsidRDefault="008361C5" w:rsidP="00526246">
            <w:pPr>
              <w:pStyle w:val="TableText"/>
              <w:keepNext/>
              <w:spacing w:before="55" w:after="55"/>
              <w:rPr>
                <w:rFonts w:cs="Segoe UI"/>
              </w:rPr>
            </w:pPr>
          </w:p>
        </w:tc>
        <w:tc>
          <w:tcPr>
            <w:tcW w:w="638" w:type="dxa"/>
            <w:tcBorders>
              <w:bottom w:val="nil"/>
            </w:tcBorders>
          </w:tcPr>
          <w:p w14:paraId="028E4640" w14:textId="77777777" w:rsidR="008361C5" w:rsidRPr="00200234" w:rsidRDefault="008361C5" w:rsidP="00526246">
            <w:pPr>
              <w:pStyle w:val="TableText"/>
              <w:keepNext/>
              <w:tabs>
                <w:tab w:val="decimal" w:pos="636"/>
              </w:tabs>
              <w:spacing w:before="55" w:after="55"/>
              <w:rPr>
                <w:rFonts w:cs="Segoe UI"/>
              </w:rPr>
            </w:pPr>
          </w:p>
        </w:tc>
        <w:tc>
          <w:tcPr>
            <w:tcW w:w="638" w:type="dxa"/>
            <w:tcBorders>
              <w:bottom w:val="nil"/>
            </w:tcBorders>
          </w:tcPr>
          <w:p w14:paraId="2729B043" w14:textId="77777777" w:rsidR="008361C5" w:rsidRPr="00200234" w:rsidRDefault="008361C5" w:rsidP="00526246">
            <w:pPr>
              <w:pStyle w:val="TableText"/>
              <w:keepNext/>
              <w:tabs>
                <w:tab w:val="decimal" w:pos="636"/>
              </w:tabs>
              <w:spacing w:before="55" w:after="55"/>
              <w:rPr>
                <w:rFonts w:cs="Segoe UI"/>
              </w:rPr>
            </w:pPr>
          </w:p>
        </w:tc>
        <w:tc>
          <w:tcPr>
            <w:tcW w:w="850" w:type="dxa"/>
            <w:tcBorders>
              <w:bottom w:val="nil"/>
            </w:tcBorders>
          </w:tcPr>
          <w:p w14:paraId="055BB7DD" w14:textId="77777777" w:rsidR="008361C5" w:rsidRPr="00200234" w:rsidRDefault="008361C5" w:rsidP="00526246">
            <w:pPr>
              <w:pStyle w:val="TableText"/>
              <w:keepNext/>
              <w:tabs>
                <w:tab w:val="decimal" w:pos="636"/>
              </w:tabs>
              <w:spacing w:before="55" w:after="55"/>
              <w:rPr>
                <w:rFonts w:cs="Segoe UI"/>
              </w:rPr>
            </w:pPr>
          </w:p>
        </w:tc>
        <w:tc>
          <w:tcPr>
            <w:tcW w:w="426" w:type="dxa"/>
            <w:tcBorders>
              <w:top w:val="nil"/>
              <w:bottom w:val="nil"/>
            </w:tcBorders>
            <w:shd w:val="clear" w:color="auto" w:fill="auto"/>
          </w:tcPr>
          <w:p w14:paraId="2AA94246" w14:textId="77777777" w:rsidR="008361C5" w:rsidRPr="00200234" w:rsidRDefault="008361C5" w:rsidP="00526246">
            <w:pPr>
              <w:pStyle w:val="TableText"/>
              <w:keepNext/>
              <w:tabs>
                <w:tab w:val="decimal" w:pos="636"/>
              </w:tabs>
              <w:spacing w:before="55" w:after="55"/>
              <w:rPr>
                <w:rFonts w:cs="Segoe UI"/>
              </w:rPr>
            </w:pPr>
          </w:p>
        </w:tc>
        <w:tc>
          <w:tcPr>
            <w:tcW w:w="1843" w:type="dxa"/>
          </w:tcPr>
          <w:p w14:paraId="3A60389E" w14:textId="77777777" w:rsidR="008361C5" w:rsidRPr="00200234" w:rsidRDefault="008361C5" w:rsidP="00526246">
            <w:pPr>
              <w:pStyle w:val="TableText"/>
              <w:keepNext/>
              <w:spacing w:before="55" w:after="55"/>
              <w:jc w:val="both"/>
              <w:rPr>
                <w:rFonts w:cs="Segoe UI"/>
              </w:rPr>
            </w:pPr>
            <w:r w:rsidRPr="00200234">
              <w:rPr>
                <w:rFonts w:cs="Segoe UI"/>
                <w:b/>
              </w:rPr>
              <w:t>National average</w:t>
            </w:r>
          </w:p>
        </w:tc>
        <w:tc>
          <w:tcPr>
            <w:tcW w:w="567" w:type="dxa"/>
          </w:tcPr>
          <w:p w14:paraId="1868E04A" w14:textId="77777777" w:rsidR="008361C5" w:rsidRPr="00200234" w:rsidRDefault="008361C5" w:rsidP="00526246">
            <w:pPr>
              <w:pStyle w:val="TableText"/>
              <w:keepNext/>
              <w:tabs>
                <w:tab w:val="decimal" w:pos="368"/>
              </w:tabs>
              <w:spacing w:before="55" w:after="55"/>
              <w:rPr>
                <w:rFonts w:cs="Segoe UI"/>
              </w:rPr>
            </w:pPr>
            <w:r w:rsidRPr="00200234">
              <w:rPr>
                <w:rFonts w:cs="Segoe UI"/>
                <w:b/>
              </w:rPr>
              <w:t>13</w:t>
            </w:r>
          </w:p>
        </w:tc>
        <w:tc>
          <w:tcPr>
            <w:tcW w:w="568" w:type="dxa"/>
          </w:tcPr>
          <w:p w14:paraId="0A713706" w14:textId="77777777" w:rsidR="008361C5" w:rsidRPr="00200234" w:rsidRDefault="008361C5" w:rsidP="00526246">
            <w:pPr>
              <w:pStyle w:val="TableText"/>
              <w:keepNext/>
              <w:tabs>
                <w:tab w:val="decimal" w:pos="368"/>
              </w:tabs>
              <w:spacing w:before="55" w:after="55"/>
              <w:rPr>
                <w:rFonts w:cs="Segoe UI"/>
              </w:rPr>
            </w:pPr>
            <w:r w:rsidRPr="00200234">
              <w:rPr>
                <w:rFonts w:cs="Segoe UI"/>
                <w:b/>
              </w:rPr>
              <w:t>13</w:t>
            </w:r>
          </w:p>
        </w:tc>
        <w:tc>
          <w:tcPr>
            <w:tcW w:w="709" w:type="dxa"/>
          </w:tcPr>
          <w:p w14:paraId="3458A73D" w14:textId="77777777" w:rsidR="008361C5" w:rsidRPr="00200234" w:rsidRDefault="008361C5" w:rsidP="00526246">
            <w:pPr>
              <w:pStyle w:val="TableText"/>
              <w:keepNext/>
              <w:tabs>
                <w:tab w:val="decimal" w:pos="454"/>
              </w:tabs>
              <w:spacing w:before="55" w:after="55"/>
              <w:rPr>
                <w:rFonts w:cs="Segoe UI"/>
              </w:rPr>
            </w:pPr>
            <w:r w:rsidRPr="00200234">
              <w:rPr>
                <w:rFonts w:cs="Segoe UI"/>
                <w:b/>
              </w:rPr>
              <w:t>9</w:t>
            </w:r>
          </w:p>
        </w:tc>
      </w:tr>
    </w:tbl>
    <w:p w14:paraId="2871152B" w14:textId="1C46C80B" w:rsidR="008361C5" w:rsidRPr="00200234" w:rsidRDefault="008361C5" w:rsidP="00526246">
      <w:pPr>
        <w:pStyle w:val="Note"/>
        <w:keepNext/>
      </w:pPr>
      <w:r w:rsidRPr="00200234">
        <w:t xml:space="preserve">Note: Section 14(4) data may also include PRIMHD records for sections 15(1) and 15(2). The latter provisions describe similar circumstances in which a patient is waiting for a court decision on compulsory treatment. Volumes of section 14(4) in some DHBs may be higher due to reporting extension and indefinite order applications under section 14(4) in addition to original </w:t>
      </w:r>
      <w:r w:rsidR="00E74727" w:rsidRPr="00200234">
        <w:t>compulsory treatment order</w:t>
      </w:r>
      <w:r w:rsidRPr="00200234">
        <w:t xml:space="preserve"> applications. This is down to local reporting variation.</w:t>
      </w:r>
    </w:p>
    <w:p w14:paraId="1545E75E" w14:textId="63B9A8D7" w:rsidR="008361C5" w:rsidRPr="00200234" w:rsidRDefault="008361C5" w:rsidP="008361C5">
      <w:pPr>
        <w:pStyle w:val="Note"/>
      </w:pPr>
      <w:r w:rsidRPr="00200234">
        <w:t>Source: PRIMHD data</w:t>
      </w:r>
      <w:r w:rsidR="0015429E">
        <w:t xml:space="preserve"> (extracted</w:t>
      </w:r>
      <w:r w:rsidRPr="00200234">
        <w:t xml:space="preserve"> 19 October 2020</w:t>
      </w:r>
      <w:r w:rsidR="000E756E">
        <w:t>)</w:t>
      </w:r>
      <w:r w:rsidRPr="00200234">
        <w:t>.</w:t>
      </w:r>
    </w:p>
    <w:p w14:paraId="35C9C556" w14:textId="77777777" w:rsidR="008361C5" w:rsidRPr="00200234" w:rsidRDefault="008361C5" w:rsidP="00060DF7"/>
    <w:p w14:paraId="18A432F6" w14:textId="30B1EFFD" w:rsidR="008361C5" w:rsidRPr="00200234" w:rsidRDefault="008361C5" w:rsidP="008361C5">
      <w:pPr>
        <w:pStyle w:val="Table"/>
        <w:rPr>
          <w:rFonts w:cstheme="minorBidi"/>
        </w:rPr>
      </w:pPr>
      <w:bookmarkStart w:id="21" w:name="_Ref65671789"/>
      <w:bookmarkStart w:id="22" w:name="_Toc34653647"/>
      <w:bookmarkStart w:id="23" w:name="_Toc63764667"/>
      <w:bookmarkStart w:id="24" w:name="_Toc69306773"/>
      <w:r w:rsidRPr="00200234">
        <w:t xml:space="preserve">Table </w:t>
      </w:r>
      <w:fldSimple w:instr=" SEQ Table \* ARABIC ">
        <w:r w:rsidR="00422361">
          <w:rPr>
            <w:noProof/>
          </w:rPr>
          <w:t>3</w:t>
        </w:r>
      </w:fldSimple>
      <w:bookmarkEnd w:id="21"/>
      <w:r w:rsidRPr="00200234">
        <w:t>: Average number of people on a given day subject to sections 29, 30 and 31 of the Mental Health Act per 100,000 population, by DHB, 1 January to 31 December 2018</w:t>
      </w:r>
      <w:bookmarkEnd w:id="22"/>
      <w:bookmarkEnd w:id="23"/>
      <w:bookmarkEnd w:id="24"/>
    </w:p>
    <w:tbl>
      <w:tblPr>
        <w:tblW w:w="8082"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43"/>
        <w:gridCol w:w="708"/>
        <w:gridCol w:w="709"/>
        <w:gridCol w:w="709"/>
        <w:gridCol w:w="426"/>
        <w:gridCol w:w="1843"/>
        <w:gridCol w:w="614"/>
        <w:gridCol w:w="615"/>
        <w:gridCol w:w="615"/>
      </w:tblGrid>
      <w:tr w:rsidR="008361C5" w:rsidRPr="00200234" w14:paraId="2A111127" w14:textId="77777777" w:rsidTr="008361C5">
        <w:trPr>
          <w:cantSplit/>
          <w:tblHeader/>
        </w:trPr>
        <w:tc>
          <w:tcPr>
            <w:tcW w:w="1843" w:type="dxa"/>
            <w:tcBorders>
              <w:top w:val="nil"/>
              <w:bottom w:val="nil"/>
              <w:right w:val="nil"/>
            </w:tcBorders>
            <w:shd w:val="clear" w:color="auto" w:fill="D9D9D9" w:themeFill="background1" w:themeFillShade="D9"/>
          </w:tcPr>
          <w:p w14:paraId="6E43BC1D" w14:textId="77777777" w:rsidR="008361C5" w:rsidRPr="00200234" w:rsidRDefault="008361C5" w:rsidP="008361C5">
            <w:pPr>
              <w:pStyle w:val="TableText"/>
              <w:spacing w:before="55" w:after="55"/>
              <w:rPr>
                <w:rFonts w:cs="Segoe UI"/>
                <w:b/>
              </w:rPr>
            </w:pPr>
            <w:r w:rsidRPr="00200234">
              <w:rPr>
                <w:rFonts w:cs="Segoe UI"/>
                <w:b/>
              </w:rPr>
              <w:t>DHB</w:t>
            </w:r>
          </w:p>
        </w:tc>
        <w:tc>
          <w:tcPr>
            <w:tcW w:w="708" w:type="dxa"/>
            <w:tcBorders>
              <w:top w:val="nil"/>
              <w:left w:val="nil"/>
              <w:bottom w:val="nil"/>
              <w:right w:val="nil"/>
            </w:tcBorders>
            <w:shd w:val="clear" w:color="auto" w:fill="D9D9D9" w:themeFill="background1" w:themeFillShade="D9"/>
          </w:tcPr>
          <w:p w14:paraId="37949FF1" w14:textId="77777777" w:rsidR="008361C5" w:rsidRPr="00200234" w:rsidRDefault="008361C5" w:rsidP="008361C5">
            <w:pPr>
              <w:pStyle w:val="TableText"/>
              <w:spacing w:before="55" w:after="55"/>
              <w:jc w:val="center"/>
              <w:rPr>
                <w:rFonts w:cs="Segoe UI"/>
                <w:b/>
              </w:rPr>
            </w:pPr>
            <w:r w:rsidRPr="00200234">
              <w:rPr>
                <w:rFonts w:cs="Segoe UI"/>
                <w:b/>
              </w:rPr>
              <w:t>s 29</w:t>
            </w:r>
          </w:p>
        </w:tc>
        <w:tc>
          <w:tcPr>
            <w:tcW w:w="709" w:type="dxa"/>
            <w:tcBorders>
              <w:top w:val="nil"/>
              <w:left w:val="nil"/>
              <w:bottom w:val="nil"/>
              <w:right w:val="nil"/>
            </w:tcBorders>
            <w:shd w:val="clear" w:color="auto" w:fill="D9D9D9" w:themeFill="background1" w:themeFillShade="D9"/>
          </w:tcPr>
          <w:p w14:paraId="5BC8C0AF" w14:textId="77777777" w:rsidR="008361C5" w:rsidRPr="00200234" w:rsidRDefault="008361C5" w:rsidP="008361C5">
            <w:pPr>
              <w:pStyle w:val="TableText"/>
              <w:spacing w:before="55" w:after="55"/>
              <w:jc w:val="center"/>
              <w:rPr>
                <w:rFonts w:cs="Segoe UI"/>
                <w:b/>
              </w:rPr>
            </w:pPr>
            <w:r w:rsidRPr="00200234">
              <w:rPr>
                <w:rFonts w:cs="Segoe UI"/>
                <w:b/>
              </w:rPr>
              <w:t>s 30</w:t>
            </w:r>
          </w:p>
        </w:tc>
        <w:tc>
          <w:tcPr>
            <w:tcW w:w="709" w:type="dxa"/>
            <w:tcBorders>
              <w:top w:val="nil"/>
              <w:left w:val="nil"/>
              <w:bottom w:val="nil"/>
            </w:tcBorders>
            <w:shd w:val="clear" w:color="auto" w:fill="D9D9D9" w:themeFill="background1" w:themeFillShade="D9"/>
          </w:tcPr>
          <w:p w14:paraId="3F94D523" w14:textId="77777777" w:rsidR="008361C5" w:rsidRPr="00200234" w:rsidRDefault="008361C5" w:rsidP="008361C5">
            <w:pPr>
              <w:pStyle w:val="TableText"/>
              <w:spacing w:before="55" w:after="55"/>
              <w:jc w:val="center"/>
              <w:rPr>
                <w:rFonts w:cs="Segoe UI"/>
                <w:b/>
              </w:rPr>
            </w:pPr>
            <w:r w:rsidRPr="00200234">
              <w:rPr>
                <w:rFonts w:cs="Segoe UI"/>
                <w:b/>
              </w:rPr>
              <w:t>s 31</w:t>
            </w:r>
          </w:p>
        </w:tc>
        <w:tc>
          <w:tcPr>
            <w:tcW w:w="426" w:type="dxa"/>
            <w:tcBorders>
              <w:top w:val="nil"/>
              <w:bottom w:val="nil"/>
            </w:tcBorders>
            <w:shd w:val="clear" w:color="auto" w:fill="auto"/>
          </w:tcPr>
          <w:p w14:paraId="4BC17834" w14:textId="77777777" w:rsidR="008361C5" w:rsidRPr="00200234" w:rsidRDefault="008361C5" w:rsidP="008361C5">
            <w:pPr>
              <w:pStyle w:val="TableText"/>
              <w:spacing w:before="55" w:after="55"/>
              <w:jc w:val="center"/>
              <w:rPr>
                <w:rFonts w:cs="Segoe UI"/>
                <w:b/>
              </w:rPr>
            </w:pPr>
          </w:p>
        </w:tc>
        <w:tc>
          <w:tcPr>
            <w:tcW w:w="1843" w:type="dxa"/>
            <w:tcBorders>
              <w:top w:val="nil"/>
              <w:bottom w:val="nil"/>
            </w:tcBorders>
            <w:shd w:val="clear" w:color="auto" w:fill="D9D9D9" w:themeFill="background1" w:themeFillShade="D9"/>
          </w:tcPr>
          <w:p w14:paraId="582D5096" w14:textId="77777777" w:rsidR="008361C5" w:rsidRPr="00200234" w:rsidRDefault="008361C5" w:rsidP="008361C5">
            <w:pPr>
              <w:pStyle w:val="TableText"/>
              <w:spacing w:before="55" w:after="55"/>
              <w:rPr>
                <w:rFonts w:cs="Segoe UI"/>
                <w:b/>
              </w:rPr>
            </w:pPr>
            <w:r w:rsidRPr="00200234">
              <w:rPr>
                <w:rFonts w:cs="Segoe UI"/>
                <w:b/>
              </w:rPr>
              <w:t>DHB</w:t>
            </w:r>
          </w:p>
        </w:tc>
        <w:tc>
          <w:tcPr>
            <w:tcW w:w="614" w:type="dxa"/>
            <w:tcBorders>
              <w:top w:val="nil"/>
              <w:bottom w:val="nil"/>
            </w:tcBorders>
            <w:shd w:val="clear" w:color="auto" w:fill="D9D9D9" w:themeFill="background1" w:themeFillShade="D9"/>
          </w:tcPr>
          <w:p w14:paraId="5D796155" w14:textId="77777777" w:rsidR="008361C5" w:rsidRPr="00200234" w:rsidRDefault="008361C5" w:rsidP="008361C5">
            <w:pPr>
              <w:pStyle w:val="TableText"/>
              <w:spacing w:before="55" w:after="55"/>
              <w:jc w:val="center"/>
              <w:rPr>
                <w:rFonts w:cs="Segoe UI"/>
                <w:b/>
              </w:rPr>
            </w:pPr>
            <w:r w:rsidRPr="00200234">
              <w:rPr>
                <w:rFonts w:cs="Segoe UI"/>
                <w:b/>
              </w:rPr>
              <w:t>s 29</w:t>
            </w:r>
          </w:p>
        </w:tc>
        <w:tc>
          <w:tcPr>
            <w:tcW w:w="615" w:type="dxa"/>
            <w:tcBorders>
              <w:top w:val="nil"/>
              <w:bottom w:val="nil"/>
            </w:tcBorders>
            <w:shd w:val="clear" w:color="auto" w:fill="D9D9D9" w:themeFill="background1" w:themeFillShade="D9"/>
          </w:tcPr>
          <w:p w14:paraId="1497E7BA" w14:textId="77777777" w:rsidR="008361C5" w:rsidRPr="00200234" w:rsidRDefault="008361C5" w:rsidP="008361C5">
            <w:pPr>
              <w:pStyle w:val="TableText"/>
              <w:spacing w:before="55" w:after="55"/>
              <w:jc w:val="center"/>
              <w:rPr>
                <w:rFonts w:cs="Segoe UI"/>
                <w:b/>
              </w:rPr>
            </w:pPr>
            <w:r w:rsidRPr="00200234">
              <w:rPr>
                <w:rFonts w:cs="Segoe UI"/>
                <w:b/>
              </w:rPr>
              <w:t>s 30</w:t>
            </w:r>
          </w:p>
        </w:tc>
        <w:tc>
          <w:tcPr>
            <w:tcW w:w="615" w:type="dxa"/>
            <w:tcBorders>
              <w:top w:val="nil"/>
              <w:bottom w:val="nil"/>
            </w:tcBorders>
            <w:shd w:val="clear" w:color="auto" w:fill="D9D9D9" w:themeFill="background1" w:themeFillShade="D9"/>
          </w:tcPr>
          <w:p w14:paraId="22A188FD" w14:textId="77777777" w:rsidR="008361C5" w:rsidRPr="00200234" w:rsidRDefault="008361C5" w:rsidP="008361C5">
            <w:pPr>
              <w:pStyle w:val="TableText"/>
              <w:spacing w:before="55" w:after="55"/>
              <w:jc w:val="center"/>
              <w:rPr>
                <w:rFonts w:cs="Segoe UI"/>
                <w:b/>
              </w:rPr>
            </w:pPr>
            <w:r w:rsidRPr="00200234">
              <w:rPr>
                <w:rFonts w:cs="Segoe UI"/>
                <w:b/>
              </w:rPr>
              <w:t>s 31</w:t>
            </w:r>
          </w:p>
        </w:tc>
      </w:tr>
      <w:tr w:rsidR="008361C5" w:rsidRPr="00200234" w14:paraId="30C58567" w14:textId="77777777" w:rsidTr="008361C5">
        <w:trPr>
          <w:cantSplit/>
        </w:trPr>
        <w:tc>
          <w:tcPr>
            <w:tcW w:w="1843" w:type="dxa"/>
            <w:tcBorders>
              <w:top w:val="nil"/>
              <w:right w:val="nil"/>
            </w:tcBorders>
          </w:tcPr>
          <w:p w14:paraId="6BCBC455" w14:textId="77777777" w:rsidR="008361C5" w:rsidRPr="00200234" w:rsidRDefault="008361C5" w:rsidP="008361C5">
            <w:pPr>
              <w:pStyle w:val="TableText"/>
              <w:spacing w:before="55" w:after="55"/>
              <w:rPr>
                <w:rFonts w:cs="Segoe UI"/>
              </w:rPr>
            </w:pPr>
            <w:r w:rsidRPr="00200234">
              <w:rPr>
                <w:rFonts w:cs="Segoe UI"/>
              </w:rPr>
              <w:t>Auckland</w:t>
            </w:r>
          </w:p>
        </w:tc>
        <w:tc>
          <w:tcPr>
            <w:tcW w:w="708" w:type="dxa"/>
            <w:tcBorders>
              <w:top w:val="nil"/>
              <w:left w:val="nil"/>
              <w:right w:val="nil"/>
            </w:tcBorders>
          </w:tcPr>
          <w:p w14:paraId="0337CF71" w14:textId="77777777" w:rsidR="008361C5" w:rsidRPr="00200234" w:rsidRDefault="008361C5" w:rsidP="008361C5">
            <w:pPr>
              <w:pStyle w:val="TableText"/>
              <w:tabs>
                <w:tab w:val="decimal" w:pos="510"/>
              </w:tabs>
              <w:spacing w:before="55" w:after="55"/>
              <w:rPr>
                <w:rFonts w:cs="Segoe UI"/>
              </w:rPr>
            </w:pPr>
            <w:r w:rsidRPr="00200234">
              <w:rPr>
                <w:rFonts w:cs="Segoe UI"/>
              </w:rPr>
              <w:t>125</w:t>
            </w:r>
          </w:p>
        </w:tc>
        <w:tc>
          <w:tcPr>
            <w:tcW w:w="709" w:type="dxa"/>
            <w:tcBorders>
              <w:top w:val="nil"/>
              <w:left w:val="nil"/>
              <w:right w:val="nil"/>
            </w:tcBorders>
          </w:tcPr>
          <w:p w14:paraId="0F1DDE85" w14:textId="77777777" w:rsidR="008361C5" w:rsidRPr="00200234" w:rsidRDefault="008361C5" w:rsidP="008361C5">
            <w:pPr>
              <w:pStyle w:val="TableText"/>
              <w:tabs>
                <w:tab w:val="decimal" w:pos="510"/>
              </w:tabs>
              <w:spacing w:before="55" w:after="55"/>
              <w:rPr>
                <w:rFonts w:cs="Segoe UI"/>
              </w:rPr>
            </w:pPr>
            <w:r w:rsidRPr="00200234">
              <w:rPr>
                <w:rFonts w:cs="Segoe UI"/>
              </w:rPr>
              <w:t>26</w:t>
            </w:r>
          </w:p>
        </w:tc>
        <w:tc>
          <w:tcPr>
            <w:tcW w:w="709" w:type="dxa"/>
            <w:tcBorders>
              <w:top w:val="nil"/>
              <w:left w:val="nil"/>
            </w:tcBorders>
          </w:tcPr>
          <w:p w14:paraId="07EE5E34" w14:textId="77777777" w:rsidR="008361C5" w:rsidRPr="00200234" w:rsidRDefault="008361C5" w:rsidP="008361C5">
            <w:pPr>
              <w:pStyle w:val="TableText"/>
              <w:tabs>
                <w:tab w:val="decimal" w:pos="454"/>
              </w:tabs>
              <w:spacing w:before="55" w:after="55"/>
              <w:rPr>
                <w:rFonts w:cs="Segoe UI"/>
              </w:rPr>
            </w:pPr>
            <w:r w:rsidRPr="00200234">
              <w:rPr>
                <w:rFonts w:cs="Segoe UI"/>
              </w:rPr>
              <w:t>2</w:t>
            </w:r>
          </w:p>
        </w:tc>
        <w:tc>
          <w:tcPr>
            <w:tcW w:w="426" w:type="dxa"/>
            <w:tcBorders>
              <w:top w:val="nil"/>
              <w:bottom w:val="nil"/>
            </w:tcBorders>
            <w:shd w:val="clear" w:color="auto" w:fill="auto"/>
          </w:tcPr>
          <w:p w14:paraId="5EA098C0"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5210EFDD" w14:textId="77777777" w:rsidR="008361C5" w:rsidRPr="00200234" w:rsidRDefault="008361C5" w:rsidP="008361C5">
            <w:pPr>
              <w:pStyle w:val="TableText"/>
              <w:spacing w:before="55" w:after="55"/>
              <w:jc w:val="both"/>
              <w:rPr>
                <w:rFonts w:cs="Segoe UI"/>
              </w:rPr>
            </w:pPr>
            <w:r w:rsidRPr="00200234">
              <w:rPr>
                <w:rFonts w:cs="Segoe UI"/>
              </w:rPr>
              <w:t>Northland</w:t>
            </w:r>
          </w:p>
        </w:tc>
        <w:tc>
          <w:tcPr>
            <w:tcW w:w="614" w:type="dxa"/>
            <w:tcBorders>
              <w:top w:val="nil"/>
            </w:tcBorders>
          </w:tcPr>
          <w:p w14:paraId="6ECEE3A0" w14:textId="77777777" w:rsidR="008361C5" w:rsidRPr="00200234" w:rsidRDefault="008361C5" w:rsidP="008361C5">
            <w:pPr>
              <w:pStyle w:val="TableText"/>
              <w:tabs>
                <w:tab w:val="decimal" w:pos="454"/>
              </w:tabs>
              <w:spacing w:before="55" w:after="55"/>
              <w:rPr>
                <w:rFonts w:cs="Segoe UI"/>
              </w:rPr>
            </w:pPr>
            <w:r w:rsidRPr="00200234">
              <w:rPr>
                <w:rFonts w:cs="Segoe UI"/>
              </w:rPr>
              <w:t>179</w:t>
            </w:r>
          </w:p>
        </w:tc>
        <w:tc>
          <w:tcPr>
            <w:tcW w:w="615" w:type="dxa"/>
            <w:tcBorders>
              <w:top w:val="nil"/>
            </w:tcBorders>
          </w:tcPr>
          <w:p w14:paraId="11FF5203" w14:textId="77777777" w:rsidR="008361C5" w:rsidRPr="00200234" w:rsidRDefault="008361C5" w:rsidP="008361C5">
            <w:pPr>
              <w:pStyle w:val="TableText"/>
              <w:tabs>
                <w:tab w:val="decimal" w:pos="454"/>
              </w:tabs>
              <w:spacing w:before="55" w:after="55"/>
              <w:rPr>
                <w:rFonts w:cs="Segoe UI"/>
              </w:rPr>
            </w:pPr>
            <w:r w:rsidRPr="00200234">
              <w:rPr>
                <w:rFonts w:cs="Segoe UI"/>
              </w:rPr>
              <w:t>17</w:t>
            </w:r>
          </w:p>
        </w:tc>
        <w:tc>
          <w:tcPr>
            <w:tcW w:w="615" w:type="dxa"/>
            <w:tcBorders>
              <w:top w:val="nil"/>
            </w:tcBorders>
          </w:tcPr>
          <w:p w14:paraId="0AF9EB53" w14:textId="77777777" w:rsidR="008361C5" w:rsidRPr="00200234" w:rsidRDefault="008361C5" w:rsidP="008361C5">
            <w:pPr>
              <w:pStyle w:val="TableText"/>
              <w:spacing w:before="55" w:after="55"/>
              <w:jc w:val="center"/>
              <w:rPr>
                <w:rFonts w:cs="Segoe UI"/>
              </w:rPr>
            </w:pPr>
            <w:r w:rsidRPr="00200234">
              <w:rPr>
                <w:rFonts w:cs="Segoe UI"/>
              </w:rPr>
              <w:t>2</w:t>
            </w:r>
          </w:p>
        </w:tc>
      </w:tr>
      <w:tr w:rsidR="008361C5" w:rsidRPr="00200234" w14:paraId="24BD4F41" w14:textId="77777777" w:rsidTr="008361C5">
        <w:trPr>
          <w:cantSplit/>
        </w:trPr>
        <w:tc>
          <w:tcPr>
            <w:tcW w:w="1843" w:type="dxa"/>
            <w:tcBorders>
              <w:top w:val="nil"/>
              <w:right w:val="nil"/>
            </w:tcBorders>
          </w:tcPr>
          <w:p w14:paraId="249B8761" w14:textId="77777777" w:rsidR="008361C5" w:rsidRPr="00200234" w:rsidRDefault="008361C5" w:rsidP="008361C5">
            <w:pPr>
              <w:pStyle w:val="TableText"/>
              <w:spacing w:before="55" w:after="55"/>
              <w:rPr>
                <w:rFonts w:cs="Segoe UI"/>
              </w:rPr>
            </w:pPr>
            <w:r w:rsidRPr="00200234">
              <w:rPr>
                <w:rFonts w:cs="Segoe UI"/>
              </w:rPr>
              <w:t>Bay of Plenty</w:t>
            </w:r>
          </w:p>
        </w:tc>
        <w:tc>
          <w:tcPr>
            <w:tcW w:w="708" w:type="dxa"/>
            <w:tcBorders>
              <w:top w:val="nil"/>
              <w:left w:val="nil"/>
              <w:right w:val="nil"/>
            </w:tcBorders>
          </w:tcPr>
          <w:p w14:paraId="7DA5483C" w14:textId="77777777" w:rsidR="008361C5" w:rsidRPr="00200234" w:rsidRDefault="008361C5" w:rsidP="008361C5">
            <w:pPr>
              <w:pStyle w:val="TableText"/>
              <w:tabs>
                <w:tab w:val="decimal" w:pos="510"/>
              </w:tabs>
              <w:spacing w:before="55" w:after="55"/>
              <w:rPr>
                <w:rFonts w:cs="Segoe UI"/>
              </w:rPr>
            </w:pPr>
            <w:r w:rsidRPr="00200234">
              <w:rPr>
                <w:rFonts w:cs="Segoe UI"/>
              </w:rPr>
              <w:t>47</w:t>
            </w:r>
          </w:p>
        </w:tc>
        <w:tc>
          <w:tcPr>
            <w:tcW w:w="709" w:type="dxa"/>
            <w:tcBorders>
              <w:top w:val="nil"/>
              <w:left w:val="nil"/>
              <w:right w:val="nil"/>
            </w:tcBorders>
          </w:tcPr>
          <w:p w14:paraId="48D1283F" w14:textId="77777777" w:rsidR="008361C5" w:rsidRPr="00200234" w:rsidRDefault="008361C5" w:rsidP="008361C5">
            <w:pPr>
              <w:pStyle w:val="TableText"/>
              <w:tabs>
                <w:tab w:val="decimal" w:pos="510"/>
              </w:tabs>
              <w:spacing w:before="55" w:after="55"/>
              <w:rPr>
                <w:rFonts w:cs="Segoe UI"/>
              </w:rPr>
            </w:pPr>
            <w:r w:rsidRPr="00200234">
              <w:rPr>
                <w:rFonts w:cs="Segoe UI"/>
              </w:rPr>
              <w:t>16</w:t>
            </w:r>
          </w:p>
        </w:tc>
        <w:tc>
          <w:tcPr>
            <w:tcW w:w="709" w:type="dxa"/>
            <w:tcBorders>
              <w:top w:val="nil"/>
              <w:left w:val="nil"/>
            </w:tcBorders>
          </w:tcPr>
          <w:p w14:paraId="1B01DBDF" w14:textId="77777777" w:rsidR="008361C5" w:rsidRPr="00200234" w:rsidRDefault="008361C5" w:rsidP="008361C5">
            <w:pPr>
              <w:pStyle w:val="TableText"/>
              <w:tabs>
                <w:tab w:val="decimal" w:pos="454"/>
              </w:tabs>
              <w:spacing w:before="55" w:after="55"/>
              <w:rPr>
                <w:rFonts w:cs="Segoe UI"/>
              </w:rPr>
            </w:pPr>
            <w:r w:rsidRPr="00200234">
              <w:rPr>
                <w:rFonts w:cs="Segoe UI"/>
              </w:rPr>
              <w:t>7</w:t>
            </w:r>
          </w:p>
        </w:tc>
        <w:tc>
          <w:tcPr>
            <w:tcW w:w="426" w:type="dxa"/>
            <w:tcBorders>
              <w:top w:val="nil"/>
              <w:bottom w:val="nil"/>
            </w:tcBorders>
            <w:shd w:val="clear" w:color="auto" w:fill="auto"/>
          </w:tcPr>
          <w:p w14:paraId="315CAB77"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4B2AC993" w14:textId="77777777" w:rsidR="008361C5" w:rsidRPr="00200234" w:rsidRDefault="008361C5" w:rsidP="008361C5">
            <w:pPr>
              <w:pStyle w:val="TableText"/>
              <w:spacing w:before="55" w:after="55"/>
              <w:jc w:val="both"/>
              <w:rPr>
                <w:rFonts w:cs="Segoe UI"/>
              </w:rPr>
            </w:pPr>
            <w:r w:rsidRPr="00200234">
              <w:rPr>
                <w:rFonts w:cs="Segoe UI"/>
              </w:rPr>
              <w:t>South Canterbury</w:t>
            </w:r>
          </w:p>
        </w:tc>
        <w:tc>
          <w:tcPr>
            <w:tcW w:w="614" w:type="dxa"/>
            <w:tcBorders>
              <w:top w:val="nil"/>
            </w:tcBorders>
          </w:tcPr>
          <w:p w14:paraId="4383E1F8" w14:textId="77777777" w:rsidR="008361C5" w:rsidRPr="00200234" w:rsidRDefault="008361C5" w:rsidP="008361C5">
            <w:pPr>
              <w:pStyle w:val="TableText"/>
              <w:tabs>
                <w:tab w:val="decimal" w:pos="454"/>
              </w:tabs>
              <w:spacing w:before="55" w:after="55"/>
              <w:rPr>
                <w:rFonts w:cs="Segoe UI"/>
              </w:rPr>
            </w:pPr>
            <w:r w:rsidRPr="00200234">
              <w:rPr>
                <w:rFonts w:cs="Segoe UI"/>
              </w:rPr>
              <w:t>70</w:t>
            </w:r>
          </w:p>
        </w:tc>
        <w:tc>
          <w:tcPr>
            <w:tcW w:w="615" w:type="dxa"/>
            <w:tcBorders>
              <w:top w:val="nil"/>
            </w:tcBorders>
          </w:tcPr>
          <w:p w14:paraId="3580D191" w14:textId="77777777" w:rsidR="008361C5" w:rsidRPr="00200234" w:rsidRDefault="008361C5" w:rsidP="008361C5">
            <w:pPr>
              <w:pStyle w:val="TableText"/>
              <w:tabs>
                <w:tab w:val="decimal" w:pos="454"/>
              </w:tabs>
              <w:spacing w:before="55" w:after="55"/>
              <w:rPr>
                <w:rFonts w:cs="Segoe UI"/>
              </w:rPr>
            </w:pPr>
            <w:r w:rsidRPr="00200234">
              <w:rPr>
                <w:rFonts w:cs="Segoe UI"/>
              </w:rPr>
              <w:t>4</w:t>
            </w:r>
          </w:p>
        </w:tc>
        <w:tc>
          <w:tcPr>
            <w:tcW w:w="615" w:type="dxa"/>
            <w:tcBorders>
              <w:top w:val="nil"/>
            </w:tcBorders>
          </w:tcPr>
          <w:p w14:paraId="29F485CA" w14:textId="77777777" w:rsidR="008361C5" w:rsidRPr="00200234" w:rsidRDefault="008361C5" w:rsidP="008361C5">
            <w:pPr>
              <w:pStyle w:val="TableText"/>
              <w:spacing w:before="55" w:after="55"/>
              <w:jc w:val="center"/>
              <w:rPr>
                <w:rFonts w:cs="Segoe UI"/>
              </w:rPr>
            </w:pPr>
            <w:r w:rsidRPr="00200234">
              <w:rPr>
                <w:rFonts w:cs="Segoe UI"/>
              </w:rPr>
              <w:t>3</w:t>
            </w:r>
          </w:p>
        </w:tc>
      </w:tr>
      <w:tr w:rsidR="008361C5" w:rsidRPr="00200234" w14:paraId="4DB52140" w14:textId="77777777" w:rsidTr="008361C5">
        <w:trPr>
          <w:cantSplit/>
        </w:trPr>
        <w:tc>
          <w:tcPr>
            <w:tcW w:w="1843" w:type="dxa"/>
            <w:tcBorders>
              <w:top w:val="nil"/>
              <w:right w:val="nil"/>
            </w:tcBorders>
          </w:tcPr>
          <w:p w14:paraId="0D964549" w14:textId="77777777" w:rsidR="008361C5" w:rsidRPr="00200234" w:rsidRDefault="008361C5" w:rsidP="008361C5">
            <w:pPr>
              <w:pStyle w:val="TableText"/>
              <w:spacing w:before="55" w:after="55"/>
              <w:rPr>
                <w:rFonts w:cs="Segoe UI"/>
              </w:rPr>
            </w:pPr>
            <w:r w:rsidRPr="00200234">
              <w:rPr>
                <w:rFonts w:cs="Segoe UI"/>
              </w:rPr>
              <w:t>Canterbury</w:t>
            </w:r>
          </w:p>
        </w:tc>
        <w:tc>
          <w:tcPr>
            <w:tcW w:w="708" w:type="dxa"/>
            <w:tcBorders>
              <w:top w:val="nil"/>
              <w:left w:val="nil"/>
              <w:right w:val="nil"/>
            </w:tcBorders>
          </w:tcPr>
          <w:p w14:paraId="58ECBEBC" w14:textId="77777777" w:rsidR="008361C5" w:rsidRPr="00200234" w:rsidRDefault="008361C5" w:rsidP="008361C5">
            <w:pPr>
              <w:pStyle w:val="TableText"/>
              <w:tabs>
                <w:tab w:val="decimal" w:pos="510"/>
              </w:tabs>
              <w:spacing w:before="55" w:after="55"/>
              <w:rPr>
                <w:rFonts w:cs="Segoe UI"/>
              </w:rPr>
            </w:pPr>
            <w:r w:rsidRPr="00200234">
              <w:rPr>
                <w:rFonts w:cs="Segoe UI"/>
              </w:rPr>
              <w:t>66</w:t>
            </w:r>
          </w:p>
        </w:tc>
        <w:tc>
          <w:tcPr>
            <w:tcW w:w="709" w:type="dxa"/>
            <w:tcBorders>
              <w:top w:val="nil"/>
              <w:left w:val="nil"/>
              <w:right w:val="nil"/>
            </w:tcBorders>
          </w:tcPr>
          <w:p w14:paraId="0D5E1B80" w14:textId="77777777" w:rsidR="008361C5" w:rsidRPr="00200234" w:rsidRDefault="008361C5" w:rsidP="008361C5">
            <w:pPr>
              <w:pStyle w:val="TableText"/>
              <w:tabs>
                <w:tab w:val="decimal" w:pos="510"/>
              </w:tabs>
              <w:spacing w:before="55" w:after="55"/>
              <w:rPr>
                <w:rFonts w:cs="Segoe UI"/>
              </w:rPr>
            </w:pPr>
            <w:r w:rsidRPr="00200234">
              <w:rPr>
                <w:rFonts w:cs="Segoe UI"/>
              </w:rPr>
              <w:t>19</w:t>
            </w:r>
          </w:p>
        </w:tc>
        <w:tc>
          <w:tcPr>
            <w:tcW w:w="709" w:type="dxa"/>
            <w:tcBorders>
              <w:top w:val="nil"/>
              <w:left w:val="nil"/>
            </w:tcBorders>
          </w:tcPr>
          <w:p w14:paraId="6E51B1DF" w14:textId="77777777" w:rsidR="008361C5" w:rsidRPr="00200234" w:rsidRDefault="008361C5" w:rsidP="008361C5">
            <w:pPr>
              <w:pStyle w:val="TableText"/>
              <w:tabs>
                <w:tab w:val="decimal" w:pos="454"/>
              </w:tabs>
              <w:spacing w:before="55" w:after="55"/>
              <w:rPr>
                <w:rFonts w:cs="Segoe UI"/>
              </w:rPr>
            </w:pPr>
            <w:r w:rsidRPr="00200234">
              <w:rPr>
                <w:rFonts w:cs="Segoe UI"/>
              </w:rPr>
              <w:t>7</w:t>
            </w:r>
          </w:p>
        </w:tc>
        <w:tc>
          <w:tcPr>
            <w:tcW w:w="426" w:type="dxa"/>
            <w:tcBorders>
              <w:top w:val="nil"/>
              <w:bottom w:val="nil"/>
            </w:tcBorders>
            <w:shd w:val="clear" w:color="auto" w:fill="auto"/>
          </w:tcPr>
          <w:p w14:paraId="4F21B6F1"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5B740A00" w14:textId="77777777" w:rsidR="008361C5" w:rsidRPr="00200234" w:rsidRDefault="008361C5" w:rsidP="008361C5">
            <w:pPr>
              <w:pStyle w:val="TableText"/>
              <w:spacing w:before="55" w:after="55"/>
              <w:jc w:val="both"/>
              <w:rPr>
                <w:rFonts w:cs="Segoe UI"/>
              </w:rPr>
            </w:pPr>
            <w:r w:rsidRPr="00200234">
              <w:rPr>
                <w:rFonts w:cs="Segoe UI"/>
              </w:rPr>
              <w:t>Southern</w:t>
            </w:r>
          </w:p>
        </w:tc>
        <w:tc>
          <w:tcPr>
            <w:tcW w:w="614" w:type="dxa"/>
            <w:tcBorders>
              <w:top w:val="nil"/>
            </w:tcBorders>
          </w:tcPr>
          <w:p w14:paraId="0DB082A9" w14:textId="77777777" w:rsidR="008361C5" w:rsidRPr="00200234" w:rsidRDefault="008361C5" w:rsidP="008361C5">
            <w:pPr>
              <w:pStyle w:val="TableText"/>
              <w:tabs>
                <w:tab w:val="decimal" w:pos="454"/>
              </w:tabs>
              <w:spacing w:before="55" w:after="55"/>
              <w:rPr>
                <w:rFonts w:cs="Segoe UI"/>
              </w:rPr>
            </w:pPr>
            <w:r w:rsidRPr="00200234">
              <w:rPr>
                <w:rFonts w:cs="Segoe UI"/>
              </w:rPr>
              <w:t>78</w:t>
            </w:r>
          </w:p>
        </w:tc>
        <w:tc>
          <w:tcPr>
            <w:tcW w:w="615" w:type="dxa"/>
            <w:tcBorders>
              <w:top w:val="nil"/>
            </w:tcBorders>
          </w:tcPr>
          <w:p w14:paraId="47914D02" w14:textId="77777777" w:rsidR="008361C5" w:rsidRPr="00200234" w:rsidRDefault="008361C5" w:rsidP="008361C5">
            <w:pPr>
              <w:pStyle w:val="TableText"/>
              <w:tabs>
                <w:tab w:val="decimal" w:pos="454"/>
              </w:tabs>
              <w:spacing w:before="55" w:after="55"/>
              <w:rPr>
                <w:rFonts w:cs="Segoe UI"/>
              </w:rPr>
            </w:pPr>
            <w:r w:rsidRPr="00200234">
              <w:rPr>
                <w:rFonts w:cs="Segoe UI"/>
              </w:rPr>
              <w:t>13</w:t>
            </w:r>
          </w:p>
        </w:tc>
        <w:tc>
          <w:tcPr>
            <w:tcW w:w="615" w:type="dxa"/>
            <w:tcBorders>
              <w:top w:val="nil"/>
            </w:tcBorders>
          </w:tcPr>
          <w:p w14:paraId="2C4427BC" w14:textId="77777777" w:rsidR="008361C5" w:rsidRPr="00200234" w:rsidRDefault="008361C5" w:rsidP="008361C5">
            <w:pPr>
              <w:pStyle w:val="TableText"/>
              <w:spacing w:before="55" w:after="55"/>
              <w:jc w:val="center"/>
              <w:rPr>
                <w:rFonts w:cs="Segoe UI"/>
              </w:rPr>
            </w:pPr>
            <w:r w:rsidRPr="00200234">
              <w:rPr>
                <w:rFonts w:cs="Segoe UI"/>
              </w:rPr>
              <w:t>3</w:t>
            </w:r>
          </w:p>
        </w:tc>
      </w:tr>
      <w:tr w:rsidR="008361C5" w:rsidRPr="00200234" w14:paraId="5EA97868" w14:textId="77777777" w:rsidTr="008361C5">
        <w:trPr>
          <w:cantSplit/>
        </w:trPr>
        <w:tc>
          <w:tcPr>
            <w:tcW w:w="1843" w:type="dxa"/>
            <w:tcBorders>
              <w:top w:val="nil"/>
              <w:right w:val="nil"/>
            </w:tcBorders>
          </w:tcPr>
          <w:p w14:paraId="38C978CE" w14:textId="77777777" w:rsidR="008361C5" w:rsidRPr="00200234" w:rsidRDefault="008361C5" w:rsidP="008361C5">
            <w:pPr>
              <w:pStyle w:val="TableText"/>
              <w:spacing w:before="55" w:after="55"/>
              <w:rPr>
                <w:rFonts w:cs="Segoe UI"/>
              </w:rPr>
            </w:pPr>
            <w:r w:rsidRPr="00200234">
              <w:rPr>
                <w:rFonts w:cs="Segoe UI"/>
              </w:rPr>
              <w:t>Capital &amp; Coast</w:t>
            </w:r>
          </w:p>
        </w:tc>
        <w:tc>
          <w:tcPr>
            <w:tcW w:w="708" w:type="dxa"/>
            <w:tcBorders>
              <w:top w:val="nil"/>
              <w:left w:val="nil"/>
              <w:right w:val="nil"/>
            </w:tcBorders>
          </w:tcPr>
          <w:p w14:paraId="242C4789" w14:textId="77777777" w:rsidR="008361C5" w:rsidRPr="00200234" w:rsidRDefault="008361C5" w:rsidP="008361C5">
            <w:pPr>
              <w:pStyle w:val="TableText"/>
              <w:tabs>
                <w:tab w:val="decimal" w:pos="510"/>
              </w:tabs>
              <w:spacing w:before="55" w:after="55"/>
              <w:rPr>
                <w:rFonts w:cs="Segoe UI"/>
              </w:rPr>
            </w:pPr>
            <w:r w:rsidRPr="00200234">
              <w:rPr>
                <w:rFonts w:cs="Segoe UI"/>
              </w:rPr>
              <w:t>121</w:t>
            </w:r>
          </w:p>
        </w:tc>
        <w:tc>
          <w:tcPr>
            <w:tcW w:w="709" w:type="dxa"/>
            <w:tcBorders>
              <w:top w:val="nil"/>
              <w:left w:val="nil"/>
              <w:right w:val="nil"/>
            </w:tcBorders>
          </w:tcPr>
          <w:p w14:paraId="51C11E4C" w14:textId="77777777" w:rsidR="008361C5" w:rsidRPr="00200234" w:rsidRDefault="008361C5" w:rsidP="008361C5">
            <w:pPr>
              <w:pStyle w:val="TableText"/>
              <w:tabs>
                <w:tab w:val="decimal" w:pos="510"/>
              </w:tabs>
              <w:spacing w:before="55" w:after="55"/>
              <w:rPr>
                <w:rFonts w:cs="Segoe UI"/>
              </w:rPr>
            </w:pPr>
            <w:r w:rsidRPr="00200234">
              <w:rPr>
                <w:rFonts w:cs="Segoe UI"/>
              </w:rPr>
              <w:t>27</w:t>
            </w:r>
          </w:p>
        </w:tc>
        <w:tc>
          <w:tcPr>
            <w:tcW w:w="709" w:type="dxa"/>
            <w:tcBorders>
              <w:top w:val="nil"/>
              <w:left w:val="nil"/>
            </w:tcBorders>
          </w:tcPr>
          <w:p w14:paraId="78B4270B" w14:textId="77777777" w:rsidR="008361C5" w:rsidRPr="00200234" w:rsidRDefault="008361C5" w:rsidP="008361C5">
            <w:pPr>
              <w:pStyle w:val="TableText"/>
              <w:tabs>
                <w:tab w:val="decimal" w:pos="454"/>
              </w:tabs>
              <w:spacing w:before="55" w:after="55"/>
              <w:rPr>
                <w:rFonts w:cs="Segoe UI"/>
              </w:rPr>
            </w:pPr>
            <w:r w:rsidRPr="00200234">
              <w:rPr>
                <w:rFonts w:cs="Segoe UI"/>
              </w:rPr>
              <w:t>3</w:t>
            </w:r>
          </w:p>
        </w:tc>
        <w:tc>
          <w:tcPr>
            <w:tcW w:w="426" w:type="dxa"/>
            <w:tcBorders>
              <w:top w:val="nil"/>
              <w:bottom w:val="nil"/>
            </w:tcBorders>
            <w:shd w:val="clear" w:color="auto" w:fill="auto"/>
          </w:tcPr>
          <w:p w14:paraId="324ABE3E"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78712411" w14:textId="77777777" w:rsidR="008361C5" w:rsidRPr="00200234" w:rsidRDefault="008361C5" w:rsidP="008361C5">
            <w:pPr>
              <w:pStyle w:val="TableText"/>
              <w:spacing w:before="55" w:after="55"/>
              <w:jc w:val="both"/>
              <w:rPr>
                <w:rFonts w:cs="Segoe UI"/>
              </w:rPr>
            </w:pPr>
            <w:proofErr w:type="spellStart"/>
            <w:r w:rsidRPr="00200234">
              <w:rPr>
                <w:rFonts w:cs="Segoe UI"/>
              </w:rPr>
              <w:t>Tairāwhiti</w:t>
            </w:r>
            <w:proofErr w:type="spellEnd"/>
          </w:p>
        </w:tc>
        <w:tc>
          <w:tcPr>
            <w:tcW w:w="614" w:type="dxa"/>
            <w:tcBorders>
              <w:top w:val="nil"/>
            </w:tcBorders>
          </w:tcPr>
          <w:p w14:paraId="27818E52" w14:textId="77777777" w:rsidR="008361C5" w:rsidRPr="00200234" w:rsidRDefault="008361C5" w:rsidP="008361C5">
            <w:pPr>
              <w:pStyle w:val="TableText"/>
              <w:tabs>
                <w:tab w:val="decimal" w:pos="454"/>
              </w:tabs>
              <w:spacing w:before="55" w:after="55"/>
              <w:rPr>
                <w:rFonts w:cs="Segoe UI"/>
              </w:rPr>
            </w:pPr>
            <w:r w:rsidRPr="00200234">
              <w:rPr>
                <w:rFonts w:cs="Segoe UI"/>
              </w:rPr>
              <w:t>135</w:t>
            </w:r>
          </w:p>
        </w:tc>
        <w:tc>
          <w:tcPr>
            <w:tcW w:w="615" w:type="dxa"/>
            <w:tcBorders>
              <w:top w:val="nil"/>
            </w:tcBorders>
          </w:tcPr>
          <w:p w14:paraId="303DBA3B" w14:textId="77777777" w:rsidR="008361C5" w:rsidRPr="00200234" w:rsidRDefault="008361C5" w:rsidP="008361C5">
            <w:pPr>
              <w:pStyle w:val="TableText"/>
              <w:tabs>
                <w:tab w:val="decimal" w:pos="454"/>
              </w:tabs>
              <w:spacing w:before="55" w:after="55"/>
              <w:rPr>
                <w:rFonts w:cs="Segoe UI"/>
              </w:rPr>
            </w:pPr>
            <w:r w:rsidRPr="00200234">
              <w:rPr>
                <w:rFonts w:cs="Segoe UI"/>
              </w:rPr>
              <w:t>5</w:t>
            </w:r>
          </w:p>
        </w:tc>
        <w:tc>
          <w:tcPr>
            <w:tcW w:w="615" w:type="dxa"/>
            <w:tcBorders>
              <w:top w:val="nil"/>
            </w:tcBorders>
          </w:tcPr>
          <w:p w14:paraId="4B1E2620" w14:textId="77777777" w:rsidR="008361C5" w:rsidRPr="00200234" w:rsidRDefault="008361C5" w:rsidP="008361C5">
            <w:pPr>
              <w:pStyle w:val="TableText"/>
              <w:spacing w:before="55" w:after="55"/>
              <w:jc w:val="center"/>
              <w:rPr>
                <w:rFonts w:cs="Segoe UI"/>
              </w:rPr>
            </w:pPr>
            <w:r w:rsidRPr="00200234">
              <w:rPr>
                <w:rFonts w:cs="Segoe UI"/>
              </w:rPr>
              <w:t>2</w:t>
            </w:r>
          </w:p>
        </w:tc>
      </w:tr>
      <w:tr w:rsidR="008361C5" w:rsidRPr="00200234" w14:paraId="43A28E0D" w14:textId="77777777" w:rsidTr="008361C5">
        <w:trPr>
          <w:cantSplit/>
        </w:trPr>
        <w:tc>
          <w:tcPr>
            <w:tcW w:w="1843" w:type="dxa"/>
            <w:tcBorders>
              <w:top w:val="nil"/>
              <w:right w:val="nil"/>
            </w:tcBorders>
          </w:tcPr>
          <w:p w14:paraId="267D255E" w14:textId="77777777" w:rsidR="008361C5" w:rsidRPr="00200234" w:rsidRDefault="008361C5" w:rsidP="008361C5">
            <w:pPr>
              <w:pStyle w:val="TableText"/>
              <w:spacing w:before="55" w:after="55"/>
              <w:rPr>
                <w:rFonts w:cs="Segoe UI"/>
              </w:rPr>
            </w:pPr>
            <w:r w:rsidRPr="00200234">
              <w:rPr>
                <w:rFonts w:cs="Segoe UI"/>
              </w:rPr>
              <w:t>Counties Manukau</w:t>
            </w:r>
          </w:p>
        </w:tc>
        <w:tc>
          <w:tcPr>
            <w:tcW w:w="708" w:type="dxa"/>
            <w:tcBorders>
              <w:top w:val="nil"/>
              <w:left w:val="nil"/>
              <w:right w:val="nil"/>
            </w:tcBorders>
          </w:tcPr>
          <w:p w14:paraId="2A0F5D18" w14:textId="77777777" w:rsidR="008361C5" w:rsidRPr="00200234" w:rsidRDefault="008361C5" w:rsidP="008361C5">
            <w:pPr>
              <w:pStyle w:val="TableText"/>
              <w:tabs>
                <w:tab w:val="decimal" w:pos="510"/>
              </w:tabs>
              <w:spacing w:before="55" w:after="55"/>
              <w:rPr>
                <w:rFonts w:cs="Segoe UI"/>
              </w:rPr>
            </w:pPr>
            <w:r w:rsidRPr="00200234">
              <w:rPr>
                <w:rFonts w:cs="Segoe UI"/>
              </w:rPr>
              <w:t>84</w:t>
            </w:r>
          </w:p>
        </w:tc>
        <w:tc>
          <w:tcPr>
            <w:tcW w:w="709" w:type="dxa"/>
            <w:tcBorders>
              <w:top w:val="nil"/>
              <w:left w:val="nil"/>
              <w:right w:val="nil"/>
            </w:tcBorders>
          </w:tcPr>
          <w:p w14:paraId="2A73224F" w14:textId="77777777" w:rsidR="008361C5" w:rsidRPr="00200234" w:rsidRDefault="008361C5" w:rsidP="008361C5">
            <w:pPr>
              <w:pStyle w:val="TableText"/>
              <w:tabs>
                <w:tab w:val="decimal" w:pos="510"/>
              </w:tabs>
              <w:spacing w:before="55" w:after="55"/>
              <w:rPr>
                <w:rFonts w:cs="Segoe UI"/>
              </w:rPr>
            </w:pPr>
            <w:r w:rsidRPr="00200234">
              <w:rPr>
                <w:rFonts w:cs="Segoe UI"/>
              </w:rPr>
              <w:t>11</w:t>
            </w:r>
          </w:p>
        </w:tc>
        <w:tc>
          <w:tcPr>
            <w:tcW w:w="709" w:type="dxa"/>
            <w:tcBorders>
              <w:top w:val="nil"/>
              <w:left w:val="nil"/>
            </w:tcBorders>
          </w:tcPr>
          <w:p w14:paraId="1DF7FA35" w14:textId="77777777" w:rsidR="008361C5" w:rsidRPr="00200234" w:rsidRDefault="008361C5" w:rsidP="008361C5">
            <w:pPr>
              <w:pStyle w:val="TableText"/>
              <w:tabs>
                <w:tab w:val="decimal" w:pos="454"/>
              </w:tabs>
              <w:spacing w:before="55" w:after="55"/>
              <w:rPr>
                <w:rFonts w:cs="Segoe UI"/>
              </w:rPr>
            </w:pPr>
            <w:r w:rsidRPr="00200234">
              <w:rPr>
                <w:rFonts w:cs="Segoe UI"/>
              </w:rPr>
              <w:t>2</w:t>
            </w:r>
          </w:p>
        </w:tc>
        <w:tc>
          <w:tcPr>
            <w:tcW w:w="426" w:type="dxa"/>
            <w:tcBorders>
              <w:top w:val="nil"/>
              <w:bottom w:val="nil"/>
            </w:tcBorders>
            <w:shd w:val="clear" w:color="auto" w:fill="auto"/>
          </w:tcPr>
          <w:p w14:paraId="4D467DFF"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245C8910" w14:textId="77777777" w:rsidR="008361C5" w:rsidRPr="00200234" w:rsidRDefault="008361C5" w:rsidP="008361C5">
            <w:pPr>
              <w:pStyle w:val="TableText"/>
              <w:spacing w:before="55" w:after="55"/>
              <w:jc w:val="both"/>
              <w:rPr>
                <w:rFonts w:cs="Segoe UI"/>
              </w:rPr>
            </w:pPr>
            <w:r w:rsidRPr="00200234">
              <w:rPr>
                <w:rFonts w:cs="Segoe UI"/>
              </w:rPr>
              <w:t>Taranaki</w:t>
            </w:r>
          </w:p>
        </w:tc>
        <w:tc>
          <w:tcPr>
            <w:tcW w:w="614" w:type="dxa"/>
            <w:tcBorders>
              <w:top w:val="nil"/>
            </w:tcBorders>
          </w:tcPr>
          <w:p w14:paraId="0D02F419" w14:textId="77777777" w:rsidR="008361C5" w:rsidRPr="00200234" w:rsidRDefault="008361C5" w:rsidP="008361C5">
            <w:pPr>
              <w:pStyle w:val="TableText"/>
              <w:tabs>
                <w:tab w:val="decimal" w:pos="454"/>
              </w:tabs>
              <w:spacing w:before="55" w:after="55"/>
              <w:rPr>
                <w:rFonts w:cs="Segoe UI"/>
              </w:rPr>
            </w:pPr>
            <w:r w:rsidRPr="00200234">
              <w:rPr>
                <w:rFonts w:cs="Segoe UI"/>
              </w:rPr>
              <w:t>84</w:t>
            </w:r>
          </w:p>
        </w:tc>
        <w:tc>
          <w:tcPr>
            <w:tcW w:w="615" w:type="dxa"/>
            <w:tcBorders>
              <w:top w:val="nil"/>
            </w:tcBorders>
          </w:tcPr>
          <w:p w14:paraId="455B08EC" w14:textId="77777777" w:rsidR="008361C5" w:rsidRPr="00200234" w:rsidRDefault="008361C5" w:rsidP="008361C5">
            <w:pPr>
              <w:pStyle w:val="TableText"/>
              <w:tabs>
                <w:tab w:val="decimal" w:pos="454"/>
              </w:tabs>
              <w:spacing w:before="55" w:after="55"/>
              <w:rPr>
                <w:rFonts w:cs="Segoe UI"/>
              </w:rPr>
            </w:pPr>
            <w:r w:rsidRPr="00200234">
              <w:rPr>
                <w:rFonts w:cs="Segoe UI"/>
              </w:rPr>
              <w:t>4</w:t>
            </w:r>
          </w:p>
        </w:tc>
        <w:tc>
          <w:tcPr>
            <w:tcW w:w="615" w:type="dxa"/>
            <w:tcBorders>
              <w:top w:val="nil"/>
            </w:tcBorders>
          </w:tcPr>
          <w:p w14:paraId="50721528" w14:textId="77777777" w:rsidR="008361C5" w:rsidRPr="00200234" w:rsidRDefault="008361C5" w:rsidP="008361C5">
            <w:pPr>
              <w:pStyle w:val="TableText"/>
              <w:spacing w:before="55" w:after="55"/>
              <w:jc w:val="center"/>
              <w:rPr>
                <w:rFonts w:cs="Segoe UI"/>
              </w:rPr>
            </w:pPr>
            <w:r w:rsidRPr="00200234">
              <w:rPr>
                <w:rFonts w:cs="Segoe UI"/>
              </w:rPr>
              <w:t>2</w:t>
            </w:r>
          </w:p>
        </w:tc>
      </w:tr>
      <w:tr w:rsidR="008361C5" w:rsidRPr="00200234" w14:paraId="138C85B4" w14:textId="77777777" w:rsidTr="008361C5">
        <w:trPr>
          <w:cantSplit/>
        </w:trPr>
        <w:tc>
          <w:tcPr>
            <w:tcW w:w="1843" w:type="dxa"/>
            <w:tcBorders>
              <w:top w:val="nil"/>
              <w:right w:val="nil"/>
            </w:tcBorders>
          </w:tcPr>
          <w:p w14:paraId="4E305F7D" w14:textId="77777777" w:rsidR="008361C5" w:rsidRPr="00200234" w:rsidRDefault="008361C5" w:rsidP="008361C5">
            <w:pPr>
              <w:pStyle w:val="TableText"/>
              <w:spacing w:before="55" w:after="55"/>
              <w:rPr>
                <w:rFonts w:cs="Segoe UI"/>
              </w:rPr>
            </w:pPr>
            <w:r w:rsidRPr="00200234">
              <w:rPr>
                <w:rFonts w:cs="Segoe UI"/>
              </w:rPr>
              <w:t>Hawke’s Bay</w:t>
            </w:r>
          </w:p>
        </w:tc>
        <w:tc>
          <w:tcPr>
            <w:tcW w:w="708" w:type="dxa"/>
            <w:tcBorders>
              <w:top w:val="nil"/>
              <w:left w:val="nil"/>
              <w:right w:val="nil"/>
            </w:tcBorders>
          </w:tcPr>
          <w:p w14:paraId="30CC254A" w14:textId="77777777" w:rsidR="008361C5" w:rsidRPr="00200234" w:rsidRDefault="008361C5" w:rsidP="008361C5">
            <w:pPr>
              <w:pStyle w:val="TableText"/>
              <w:tabs>
                <w:tab w:val="decimal" w:pos="510"/>
              </w:tabs>
              <w:spacing w:before="55" w:after="55"/>
              <w:rPr>
                <w:rFonts w:cs="Segoe UI"/>
              </w:rPr>
            </w:pPr>
            <w:r w:rsidRPr="00200234">
              <w:rPr>
                <w:rFonts w:cs="Segoe UI"/>
              </w:rPr>
              <w:t>163</w:t>
            </w:r>
          </w:p>
        </w:tc>
        <w:tc>
          <w:tcPr>
            <w:tcW w:w="709" w:type="dxa"/>
            <w:tcBorders>
              <w:top w:val="nil"/>
              <w:left w:val="nil"/>
              <w:right w:val="nil"/>
            </w:tcBorders>
          </w:tcPr>
          <w:p w14:paraId="22BF4A6C" w14:textId="77777777" w:rsidR="008361C5" w:rsidRPr="00200234" w:rsidRDefault="008361C5" w:rsidP="008361C5">
            <w:pPr>
              <w:pStyle w:val="TableText"/>
              <w:tabs>
                <w:tab w:val="decimal" w:pos="510"/>
              </w:tabs>
              <w:spacing w:before="55" w:after="55"/>
              <w:rPr>
                <w:rFonts w:cs="Segoe UI"/>
              </w:rPr>
            </w:pPr>
            <w:r w:rsidRPr="00200234">
              <w:rPr>
                <w:rFonts w:cs="Segoe UI"/>
              </w:rPr>
              <w:t>18</w:t>
            </w:r>
          </w:p>
        </w:tc>
        <w:tc>
          <w:tcPr>
            <w:tcW w:w="709" w:type="dxa"/>
            <w:tcBorders>
              <w:top w:val="nil"/>
              <w:left w:val="nil"/>
            </w:tcBorders>
          </w:tcPr>
          <w:p w14:paraId="1F96D01A" w14:textId="77777777" w:rsidR="008361C5" w:rsidRPr="00200234" w:rsidRDefault="008361C5" w:rsidP="008361C5">
            <w:pPr>
              <w:pStyle w:val="TableText"/>
              <w:tabs>
                <w:tab w:val="decimal" w:pos="454"/>
              </w:tabs>
              <w:spacing w:before="55" w:after="55"/>
              <w:rPr>
                <w:rFonts w:cs="Segoe UI"/>
              </w:rPr>
            </w:pPr>
            <w:r w:rsidRPr="00200234">
              <w:rPr>
                <w:rFonts w:cs="Segoe UI"/>
              </w:rPr>
              <w:t>19</w:t>
            </w:r>
          </w:p>
        </w:tc>
        <w:tc>
          <w:tcPr>
            <w:tcW w:w="426" w:type="dxa"/>
            <w:tcBorders>
              <w:top w:val="nil"/>
              <w:bottom w:val="nil"/>
            </w:tcBorders>
            <w:shd w:val="clear" w:color="auto" w:fill="auto"/>
          </w:tcPr>
          <w:p w14:paraId="77BA3821"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3E083D27" w14:textId="77777777" w:rsidR="008361C5" w:rsidRPr="00200234" w:rsidRDefault="008361C5" w:rsidP="008361C5">
            <w:pPr>
              <w:pStyle w:val="TableText"/>
              <w:spacing w:before="55" w:after="55"/>
              <w:jc w:val="both"/>
              <w:rPr>
                <w:rFonts w:cs="Segoe UI"/>
              </w:rPr>
            </w:pPr>
            <w:r w:rsidRPr="00200234">
              <w:rPr>
                <w:rFonts w:cs="Segoe UI"/>
              </w:rPr>
              <w:t>Waikato</w:t>
            </w:r>
          </w:p>
        </w:tc>
        <w:tc>
          <w:tcPr>
            <w:tcW w:w="614" w:type="dxa"/>
            <w:tcBorders>
              <w:top w:val="nil"/>
            </w:tcBorders>
          </w:tcPr>
          <w:p w14:paraId="5D1EE20C" w14:textId="77777777" w:rsidR="008361C5" w:rsidRPr="00200234" w:rsidRDefault="008361C5" w:rsidP="008361C5">
            <w:pPr>
              <w:pStyle w:val="TableText"/>
              <w:tabs>
                <w:tab w:val="decimal" w:pos="454"/>
              </w:tabs>
              <w:spacing w:before="55" w:after="55"/>
              <w:rPr>
                <w:rFonts w:cs="Segoe UI"/>
              </w:rPr>
            </w:pPr>
            <w:r w:rsidRPr="00200234">
              <w:rPr>
                <w:rFonts w:cs="Segoe UI"/>
              </w:rPr>
              <w:t>131</w:t>
            </w:r>
          </w:p>
        </w:tc>
        <w:tc>
          <w:tcPr>
            <w:tcW w:w="615" w:type="dxa"/>
            <w:tcBorders>
              <w:top w:val="nil"/>
            </w:tcBorders>
          </w:tcPr>
          <w:p w14:paraId="04D2E13F" w14:textId="77777777" w:rsidR="008361C5" w:rsidRPr="00200234" w:rsidRDefault="008361C5" w:rsidP="008361C5">
            <w:pPr>
              <w:pStyle w:val="TableText"/>
              <w:tabs>
                <w:tab w:val="decimal" w:pos="454"/>
              </w:tabs>
              <w:spacing w:before="55" w:after="55"/>
              <w:rPr>
                <w:rFonts w:cs="Segoe UI"/>
              </w:rPr>
            </w:pPr>
            <w:r w:rsidRPr="00200234">
              <w:rPr>
                <w:rFonts w:cs="Segoe UI"/>
              </w:rPr>
              <w:t>16</w:t>
            </w:r>
          </w:p>
        </w:tc>
        <w:tc>
          <w:tcPr>
            <w:tcW w:w="615" w:type="dxa"/>
            <w:tcBorders>
              <w:top w:val="nil"/>
            </w:tcBorders>
          </w:tcPr>
          <w:p w14:paraId="2917DD2B" w14:textId="77777777" w:rsidR="008361C5" w:rsidRPr="00200234" w:rsidRDefault="008361C5" w:rsidP="008361C5">
            <w:pPr>
              <w:pStyle w:val="TableText"/>
              <w:spacing w:before="55" w:after="55"/>
              <w:jc w:val="center"/>
              <w:rPr>
                <w:rFonts w:cs="Segoe UI"/>
              </w:rPr>
            </w:pPr>
            <w:r w:rsidRPr="00200234">
              <w:rPr>
                <w:rFonts w:cs="Segoe UI"/>
              </w:rPr>
              <w:t>3</w:t>
            </w:r>
          </w:p>
        </w:tc>
      </w:tr>
      <w:tr w:rsidR="008361C5" w:rsidRPr="00200234" w14:paraId="27C4B31A" w14:textId="77777777" w:rsidTr="008361C5">
        <w:trPr>
          <w:cantSplit/>
        </w:trPr>
        <w:tc>
          <w:tcPr>
            <w:tcW w:w="1843" w:type="dxa"/>
            <w:tcBorders>
              <w:top w:val="nil"/>
              <w:right w:val="nil"/>
            </w:tcBorders>
          </w:tcPr>
          <w:p w14:paraId="10F1FE05" w14:textId="77777777" w:rsidR="008361C5" w:rsidRPr="00200234" w:rsidRDefault="008361C5" w:rsidP="008361C5">
            <w:pPr>
              <w:pStyle w:val="TableText"/>
              <w:spacing w:before="55" w:after="55"/>
              <w:rPr>
                <w:rFonts w:cs="Segoe UI"/>
              </w:rPr>
            </w:pPr>
            <w:r w:rsidRPr="00200234">
              <w:rPr>
                <w:rFonts w:cs="Segoe UI"/>
              </w:rPr>
              <w:t>Hutt Valley</w:t>
            </w:r>
          </w:p>
        </w:tc>
        <w:tc>
          <w:tcPr>
            <w:tcW w:w="708" w:type="dxa"/>
            <w:tcBorders>
              <w:top w:val="nil"/>
              <w:left w:val="nil"/>
              <w:right w:val="nil"/>
            </w:tcBorders>
          </w:tcPr>
          <w:p w14:paraId="2EAABF10" w14:textId="77777777" w:rsidR="008361C5" w:rsidRPr="00200234" w:rsidRDefault="008361C5" w:rsidP="008361C5">
            <w:pPr>
              <w:pStyle w:val="TableText"/>
              <w:tabs>
                <w:tab w:val="decimal" w:pos="510"/>
              </w:tabs>
              <w:spacing w:before="55" w:after="55"/>
              <w:rPr>
                <w:rFonts w:cs="Segoe UI"/>
              </w:rPr>
            </w:pPr>
            <w:r w:rsidRPr="00200234">
              <w:rPr>
                <w:rFonts w:cs="Segoe UI"/>
              </w:rPr>
              <w:t>68</w:t>
            </w:r>
          </w:p>
        </w:tc>
        <w:tc>
          <w:tcPr>
            <w:tcW w:w="709" w:type="dxa"/>
            <w:tcBorders>
              <w:top w:val="nil"/>
              <w:left w:val="nil"/>
              <w:right w:val="nil"/>
            </w:tcBorders>
          </w:tcPr>
          <w:p w14:paraId="677099F5" w14:textId="77777777" w:rsidR="008361C5" w:rsidRPr="00200234" w:rsidRDefault="008361C5" w:rsidP="008361C5">
            <w:pPr>
              <w:pStyle w:val="TableText"/>
              <w:tabs>
                <w:tab w:val="decimal" w:pos="510"/>
              </w:tabs>
              <w:spacing w:before="55" w:after="55"/>
              <w:rPr>
                <w:rFonts w:cs="Segoe UI"/>
              </w:rPr>
            </w:pPr>
            <w:r w:rsidRPr="00200234">
              <w:rPr>
                <w:rFonts w:cs="Segoe UI"/>
              </w:rPr>
              <w:t>7</w:t>
            </w:r>
          </w:p>
        </w:tc>
        <w:tc>
          <w:tcPr>
            <w:tcW w:w="709" w:type="dxa"/>
            <w:tcBorders>
              <w:top w:val="nil"/>
              <w:left w:val="nil"/>
            </w:tcBorders>
          </w:tcPr>
          <w:p w14:paraId="65CF4157" w14:textId="77777777" w:rsidR="008361C5" w:rsidRPr="00200234" w:rsidRDefault="008361C5" w:rsidP="008361C5">
            <w:pPr>
              <w:pStyle w:val="TableText"/>
              <w:tabs>
                <w:tab w:val="decimal" w:pos="454"/>
              </w:tabs>
              <w:spacing w:before="55" w:after="55"/>
              <w:rPr>
                <w:rFonts w:cs="Segoe UI"/>
              </w:rPr>
            </w:pPr>
            <w:r w:rsidRPr="00200234">
              <w:rPr>
                <w:rFonts w:cs="Segoe UI"/>
              </w:rPr>
              <w:t>1</w:t>
            </w:r>
          </w:p>
        </w:tc>
        <w:tc>
          <w:tcPr>
            <w:tcW w:w="426" w:type="dxa"/>
            <w:tcBorders>
              <w:top w:val="nil"/>
              <w:bottom w:val="nil"/>
            </w:tcBorders>
            <w:shd w:val="clear" w:color="auto" w:fill="auto"/>
          </w:tcPr>
          <w:p w14:paraId="5B0A91AD"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3F838957" w14:textId="77777777" w:rsidR="008361C5" w:rsidRPr="00200234" w:rsidRDefault="008361C5" w:rsidP="008361C5">
            <w:pPr>
              <w:pStyle w:val="TableText"/>
              <w:spacing w:before="55" w:after="55"/>
              <w:jc w:val="both"/>
              <w:rPr>
                <w:rFonts w:cs="Segoe UI"/>
              </w:rPr>
            </w:pPr>
            <w:r w:rsidRPr="00200234">
              <w:rPr>
                <w:rFonts w:cs="Segoe UI"/>
              </w:rPr>
              <w:t>Wairarapa</w:t>
            </w:r>
          </w:p>
        </w:tc>
        <w:tc>
          <w:tcPr>
            <w:tcW w:w="614" w:type="dxa"/>
            <w:tcBorders>
              <w:top w:val="nil"/>
            </w:tcBorders>
          </w:tcPr>
          <w:p w14:paraId="3438B33C" w14:textId="77777777" w:rsidR="008361C5" w:rsidRPr="00200234" w:rsidRDefault="008361C5" w:rsidP="008361C5">
            <w:pPr>
              <w:pStyle w:val="TableText"/>
              <w:tabs>
                <w:tab w:val="decimal" w:pos="454"/>
              </w:tabs>
              <w:spacing w:before="55" w:after="55"/>
              <w:rPr>
                <w:rFonts w:cs="Segoe UI"/>
              </w:rPr>
            </w:pPr>
            <w:r w:rsidRPr="00200234">
              <w:rPr>
                <w:rFonts w:cs="Segoe UI"/>
              </w:rPr>
              <w:t>83</w:t>
            </w:r>
          </w:p>
        </w:tc>
        <w:tc>
          <w:tcPr>
            <w:tcW w:w="615" w:type="dxa"/>
            <w:tcBorders>
              <w:top w:val="nil"/>
            </w:tcBorders>
          </w:tcPr>
          <w:p w14:paraId="7E40DC76" w14:textId="77777777" w:rsidR="008361C5" w:rsidRPr="00200234" w:rsidRDefault="008361C5" w:rsidP="008361C5">
            <w:pPr>
              <w:pStyle w:val="TableText"/>
              <w:tabs>
                <w:tab w:val="decimal" w:pos="454"/>
              </w:tabs>
              <w:spacing w:before="55" w:after="55"/>
              <w:rPr>
                <w:rFonts w:cs="Segoe UI"/>
              </w:rPr>
            </w:pPr>
            <w:r w:rsidRPr="00200234">
              <w:rPr>
                <w:rFonts w:cs="Segoe UI"/>
              </w:rPr>
              <w:t>–</w:t>
            </w:r>
          </w:p>
        </w:tc>
        <w:tc>
          <w:tcPr>
            <w:tcW w:w="615" w:type="dxa"/>
            <w:tcBorders>
              <w:top w:val="nil"/>
            </w:tcBorders>
          </w:tcPr>
          <w:p w14:paraId="195688A4" w14:textId="77777777" w:rsidR="008361C5" w:rsidRPr="00200234" w:rsidRDefault="008361C5" w:rsidP="008361C5">
            <w:pPr>
              <w:pStyle w:val="TableText"/>
              <w:spacing w:before="55" w:after="55"/>
              <w:jc w:val="center"/>
              <w:rPr>
                <w:rFonts w:cs="Segoe UI"/>
              </w:rPr>
            </w:pPr>
            <w:r w:rsidRPr="00200234">
              <w:rPr>
                <w:rFonts w:cs="Segoe UI"/>
              </w:rPr>
              <w:t>–</w:t>
            </w:r>
          </w:p>
        </w:tc>
      </w:tr>
      <w:tr w:rsidR="008361C5" w:rsidRPr="00200234" w14:paraId="0730E202" w14:textId="77777777" w:rsidTr="008361C5">
        <w:trPr>
          <w:cantSplit/>
        </w:trPr>
        <w:tc>
          <w:tcPr>
            <w:tcW w:w="1843" w:type="dxa"/>
            <w:tcBorders>
              <w:top w:val="nil"/>
              <w:right w:val="nil"/>
            </w:tcBorders>
          </w:tcPr>
          <w:p w14:paraId="4017B6C6" w14:textId="77777777" w:rsidR="008361C5" w:rsidRPr="00200234" w:rsidRDefault="008361C5" w:rsidP="008361C5">
            <w:pPr>
              <w:pStyle w:val="TableText"/>
              <w:spacing w:before="55" w:after="55"/>
              <w:rPr>
                <w:rFonts w:cs="Segoe UI"/>
              </w:rPr>
            </w:pPr>
            <w:r w:rsidRPr="00200234">
              <w:rPr>
                <w:rFonts w:cs="Segoe UI"/>
              </w:rPr>
              <w:t>Lakes</w:t>
            </w:r>
          </w:p>
        </w:tc>
        <w:tc>
          <w:tcPr>
            <w:tcW w:w="708" w:type="dxa"/>
            <w:tcBorders>
              <w:top w:val="nil"/>
              <w:left w:val="nil"/>
              <w:right w:val="nil"/>
            </w:tcBorders>
          </w:tcPr>
          <w:p w14:paraId="68CBAAF6" w14:textId="77777777" w:rsidR="008361C5" w:rsidRPr="00200234" w:rsidRDefault="008361C5" w:rsidP="008361C5">
            <w:pPr>
              <w:pStyle w:val="TableText"/>
              <w:tabs>
                <w:tab w:val="decimal" w:pos="510"/>
              </w:tabs>
              <w:spacing w:before="55" w:after="55"/>
              <w:rPr>
                <w:rFonts w:cs="Segoe UI"/>
              </w:rPr>
            </w:pPr>
            <w:r w:rsidRPr="00200234">
              <w:rPr>
                <w:rFonts w:cs="Segoe UI"/>
              </w:rPr>
              <w:t>117</w:t>
            </w:r>
          </w:p>
        </w:tc>
        <w:tc>
          <w:tcPr>
            <w:tcW w:w="709" w:type="dxa"/>
            <w:tcBorders>
              <w:top w:val="nil"/>
              <w:left w:val="nil"/>
              <w:right w:val="nil"/>
            </w:tcBorders>
          </w:tcPr>
          <w:p w14:paraId="686A81D2" w14:textId="77777777" w:rsidR="008361C5" w:rsidRPr="00200234" w:rsidRDefault="008361C5" w:rsidP="008361C5">
            <w:pPr>
              <w:pStyle w:val="TableText"/>
              <w:tabs>
                <w:tab w:val="decimal" w:pos="510"/>
              </w:tabs>
              <w:spacing w:before="55" w:after="55"/>
              <w:rPr>
                <w:rFonts w:cs="Segoe UI"/>
              </w:rPr>
            </w:pPr>
            <w:r w:rsidRPr="00200234">
              <w:rPr>
                <w:rFonts w:cs="Segoe UI"/>
              </w:rPr>
              <w:t>19</w:t>
            </w:r>
          </w:p>
        </w:tc>
        <w:tc>
          <w:tcPr>
            <w:tcW w:w="709" w:type="dxa"/>
            <w:tcBorders>
              <w:top w:val="nil"/>
              <w:left w:val="nil"/>
            </w:tcBorders>
          </w:tcPr>
          <w:p w14:paraId="5903490D" w14:textId="77777777" w:rsidR="008361C5" w:rsidRPr="00200234" w:rsidRDefault="008361C5" w:rsidP="008361C5">
            <w:pPr>
              <w:pStyle w:val="TableText"/>
              <w:tabs>
                <w:tab w:val="decimal" w:pos="454"/>
              </w:tabs>
              <w:spacing w:before="55" w:after="55"/>
              <w:rPr>
                <w:rFonts w:cs="Segoe UI"/>
              </w:rPr>
            </w:pPr>
            <w:r w:rsidRPr="00200234">
              <w:rPr>
                <w:rFonts w:cs="Segoe UI"/>
              </w:rPr>
              <w:t>11</w:t>
            </w:r>
          </w:p>
        </w:tc>
        <w:tc>
          <w:tcPr>
            <w:tcW w:w="426" w:type="dxa"/>
            <w:tcBorders>
              <w:top w:val="nil"/>
              <w:bottom w:val="nil"/>
            </w:tcBorders>
            <w:shd w:val="clear" w:color="auto" w:fill="auto"/>
          </w:tcPr>
          <w:p w14:paraId="6E1669E9"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6CEA08F3" w14:textId="77777777" w:rsidR="008361C5" w:rsidRPr="00200234" w:rsidRDefault="008361C5" w:rsidP="008361C5">
            <w:pPr>
              <w:pStyle w:val="TableText"/>
              <w:spacing w:before="55" w:after="55"/>
              <w:jc w:val="both"/>
              <w:rPr>
                <w:rFonts w:cs="Segoe UI"/>
              </w:rPr>
            </w:pPr>
            <w:proofErr w:type="spellStart"/>
            <w:r w:rsidRPr="00200234">
              <w:rPr>
                <w:rFonts w:cs="Segoe UI"/>
              </w:rPr>
              <w:t>Waitematā</w:t>
            </w:r>
            <w:proofErr w:type="spellEnd"/>
          </w:p>
        </w:tc>
        <w:tc>
          <w:tcPr>
            <w:tcW w:w="614" w:type="dxa"/>
            <w:tcBorders>
              <w:top w:val="nil"/>
            </w:tcBorders>
          </w:tcPr>
          <w:p w14:paraId="69665579" w14:textId="77777777" w:rsidR="008361C5" w:rsidRPr="00200234" w:rsidRDefault="008361C5" w:rsidP="008361C5">
            <w:pPr>
              <w:pStyle w:val="TableText"/>
              <w:tabs>
                <w:tab w:val="decimal" w:pos="454"/>
              </w:tabs>
              <w:spacing w:before="55" w:after="55"/>
              <w:rPr>
                <w:rFonts w:cs="Segoe UI"/>
              </w:rPr>
            </w:pPr>
            <w:r w:rsidRPr="00200234">
              <w:rPr>
                <w:rFonts w:cs="Segoe UI"/>
              </w:rPr>
              <w:t>69</w:t>
            </w:r>
          </w:p>
        </w:tc>
        <w:tc>
          <w:tcPr>
            <w:tcW w:w="615" w:type="dxa"/>
            <w:tcBorders>
              <w:top w:val="nil"/>
            </w:tcBorders>
          </w:tcPr>
          <w:p w14:paraId="15EA0543" w14:textId="77777777" w:rsidR="008361C5" w:rsidRPr="00200234" w:rsidRDefault="008361C5" w:rsidP="008361C5">
            <w:pPr>
              <w:pStyle w:val="TableText"/>
              <w:tabs>
                <w:tab w:val="decimal" w:pos="454"/>
              </w:tabs>
              <w:spacing w:before="55" w:after="55"/>
              <w:rPr>
                <w:rFonts w:cs="Segoe UI"/>
              </w:rPr>
            </w:pPr>
            <w:r w:rsidRPr="00200234">
              <w:rPr>
                <w:rFonts w:cs="Segoe UI"/>
              </w:rPr>
              <w:t>12</w:t>
            </w:r>
          </w:p>
        </w:tc>
        <w:tc>
          <w:tcPr>
            <w:tcW w:w="615" w:type="dxa"/>
            <w:tcBorders>
              <w:top w:val="nil"/>
            </w:tcBorders>
          </w:tcPr>
          <w:p w14:paraId="4DD889F2" w14:textId="77777777" w:rsidR="008361C5" w:rsidRPr="00200234" w:rsidRDefault="008361C5" w:rsidP="008361C5">
            <w:pPr>
              <w:pStyle w:val="TableText"/>
              <w:spacing w:before="55" w:after="55"/>
              <w:jc w:val="center"/>
              <w:rPr>
                <w:rFonts w:cs="Segoe UI"/>
              </w:rPr>
            </w:pPr>
            <w:r w:rsidRPr="00200234">
              <w:rPr>
                <w:rFonts w:cs="Segoe UI"/>
              </w:rPr>
              <w:t>2</w:t>
            </w:r>
          </w:p>
        </w:tc>
      </w:tr>
      <w:tr w:rsidR="008361C5" w:rsidRPr="00200234" w14:paraId="246037AC" w14:textId="77777777" w:rsidTr="008361C5">
        <w:trPr>
          <w:cantSplit/>
        </w:trPr>
        <w:tc>
          <w:tcPr>
            <w:tcW w:w="1843" w:type="dxa"/>
            <w:tcBorders>
              <w:top w:val="nil"/>
              <w:right w:val="nil"/>
            </w:tcBorders>
          </w:tcPr>
          <w:p w14:paraId="795B1913" w14:textId="77777777" w:rsidR="008361C5" w:rsidRPr="00200234" w:rsidRDefault="008361C5" w:rsidP="008361C5">
            <w:pPr>
              <w:pStyle w:val="TableText"/>
              <w:spacing w:before="55" w:after="55"/>
              <w:rPr>
                <w:rFonts w:cs="Segoe UI"/>
              </w:rPr>
            </w:pPr>
            <w:proofErr w:type="spellStart"/>
            <w:r w:rsidRPr="00200234">
              <w:rPr>
                <w:rFonts w:cs="Segoe UI"/>
              </w:rPr>
              <w:t>MidCentral</w:t>
            </w:r>
            <w:proofErr w:type="spellEnd"/>
          </w:p>
        </w:tc>
        <w:tc>
          <w:tcPr>
            <w:tcW w:w="708" w:type="dxa"/>
            <w:tcBorders>
              <w:top w:val="nil"/>
              <w:left w:val="nil"/>
              <w:right w:val="nil"/>
            </w:tcBorders>
          </w:tcPr>
          <w:p w14:paraId="36DDF081" w14:textId="77777777" w:rsidR="008361C5" w:rsidRPr="00200234" w:rsidRDefault="008361C5" w:rsidP="008361C5">
            <w:pPr>
              <w:pStyle w:val="TableText"/>
              <w:tabs>
                <w:tab w:val="decimal" w:pos="510"/>
              </w:tabs>
              <w:spacing w:before="55" w:after="55"/>
              <w:rPr>
                <w:rFonts w:cs="Segoe UI"/>
              </w:rPr>
            </w:pPr>
            <w:r w:rsidRPr="00200234">
              <w:rPr>
                <w:rFonts w:cs="Segoe UI"/>
              </w:rPr>
              <w:t>96</w:t>
            </w:r>
          </w:p>
        </w:tc>
        <w:tc>
          <w:tcPr>
            <w:tcW w:w="709" w:type="dxa"/>
            <w:tcBorders>
              <w:top w:val="nil"/>
              <w:left w:val="nil"/>
              <w:right w:val="nil"/>
            </w:tcBorders>
          </w:tcPr>
          <w:p w14:paraId="7B604F6A" w14:textId="77777777" w:rsidR="008361C5" w:rsidRPr="00200234" w:rsidRDefault="008361C5" w:rsidP="008361C5">
            <w:pPr>
              <w:pStyle w:val="TableText"/>
              <w:tabs>
                <w:tab w:val="decimal" w:pos="510"/>
              </w:tabs>
              <w:spacing w:before="55" w:after="55"/>
              <w:rPr>
                <w:rFonts w:cs="Segoe UI"/>
              </w:rPr>
            </w:pPr>
            <w:r w:rsidRPr="00200234">
              <w:rPr>
                <w:rFonts w:cs="Segoe UI"/>
              </w:rPr>
              <w:t>10</w:t>
            </w:r>
          </w:p>
        </w:tc>
        <w:tc>
          <w:tcPr>
            <w:tcW w:w="709" w:type="dxa"/>
            <w:tcBorders>
              <w:top w:val="nil"/>
              <w:left w:val="nil"/>
            </w:tcBorders>
          </w:tcPr>
          <w:p w14:paraId="38D38B72" w14:textId="77777777" w:rsidR="008361C5" w:rsidRPr="00200234" w:rsidRDefault="008361C5" w:rsidP="008361C5">
            <w:pPr>
              <w:pStyle w:val="TableText"/>
              <w:tabs>
                <w:tab w:val="decimal" w:pos="454"/>
              </w:tabs>
              <w:spacing w:before="55" w:after="55"/>
              <w:rPr>
                <w:rFonts w:cs="Segoe UI"/>
              </w:rPr>
            </w:pPr>
            <w:r w:rsidRPr="00200234">
              <w:rPr>
                <w:rFonts w:cs="Segoe UI"/>
              </w:rPr>
              <w:t>0</w:t>
            </w:r>
          </w:p>
        </w:tc>
        <w:tc>
          <w:tcPr>
            <w:tcW w:w="426" w:type="dxa"/>
            <w:tcBorders>
              <w:top w:val="nil"/>
              <w:bottom w:val="nil"/>
            </w:tcBorders>
            <w:shd w:val="clear" w:color="auto" w:fill="auto"/>
          </w:tcPr>
          <w:p w14:paraId="26996AA9"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669D8B7E" w14:textId="77777777" w:rsidR="008361C5" w:rsidRPr="00200234" w:rsidRDefault="008361C5" w:rsidP="008361C5">
            <w:pPr>
              <w:pStyle w:val="TableText"/>
              <w:spacing w:before="55" w:after="55"/>
              <w:jc w:val="both"/>
              <w:rPr>
                <w:rFonts w:cs="Segoe UI"/>
              </w:rPr>
            </w:pPr>
            <w:r w:rsidRPr="00200234">
              <w:rPr>
                <w:rFonts w:cs="Segoe UI"/>
              </w:rPr>
              <w:t>West Coast</w:t>
            </w:r>
          </w:p>
        </w:tc>
        <w:tc>
          <w:tcPr>
            <w:tcW w:w="614" w:type="dxa"/>
            <w:tcBorders>
              <w:top w:val="nil"/>
            </w:tcBorders>
          </w:tcPr>
          <w:p w14:paraId="44FD4028" w14:textId="77777777" w:rsidR="008361C5" w:rsidRPr="00200234" w:rsidRDefault="008361C5" w:rsidP="008361C5">
            <w:pPr>
              <w:pStyle w:val="TableText"/>
              <w:tabs>
                <w:tab w:val="decimal" w:pos="454"/>
              </w:tabs>
              <w:spacing w:before="55" w:after="55"/>
              <w:rPr>
                <w:rFonts w:cs="Segoe UI"/>
              </w:rPr>
            </w:pPr>
            <w:r w:rsidRPr="00200234">
              <w:rPr>
                <w:rFonts w:cs="Segoe UI"/>
              </w:rPr>
              <w:t>89</w:t>
            </w:r>
          </w:p>
        </w:tc>
        <w:tc>
          <w:tcPr>
            <w:tcW w:w="615" w:type="dxa"/>
            <w:tcBorders>
              <w:top w:val="nil"/>
            </w:tcBorders>
          </w:tcPr>
          <w:p w14:paraId="42932123" w14:textId="77777777" w:rsidR="008361C5" w:rsidRPr="00200234" w:rsidRDefault="008361C5" w:rsidP="008361C5">
            <w:pPr>
              <w:pStyle w:val="TableText"/>
              <w:tabs>
                <w:tab w:val="decimal" w:pos="454"/>
              </w:tabs>
              <w:spacing w:before="55" w:after="55"/>
              <w:rPr>
                <w:rFonts w:cs="Segoe UI"/>
              </w:rPr>
            </w:pPr>
            <w:r w:rsidRPr="00200234">
              <w:rPr>
                <w:rFonts w:cs="Segoe UI"/>
              </w:rPr>
              <w:t>6</w:t>
            </w:r>
          </w:p>
        </w:tc>
        <w:tc>
          <w:tcPr>
            <w:tcW w:w="615" w:type="dxa"/>
            <w:tcBorders>
              <w:top w:val="nil"/>
            </w:tcBorders>
          </w:tcPr>
          <w:p w14:paraId="216B170E" w14:textId="77777777" w:rsidR="008361C5" w:rsidRPr="00200234" w:rsidRDefault="008361C5" w:rsidP="008361C5">
            <w:pPr>
              <w:pStyle w:val="TableText"/>
              <w:spacing w:before="55" w:after="55"/>
              <w:jc w:val="center"/>
              <w:rPr>
                <w:rFonts w:cs="Segoe UI"/>
              </w:rPr>
            </w:pPr>
            <w:r w:rsidRPr="00200234">
              <w:rPr>
                <w:rFonts w:cs="Segoe UI"/>
              </w:rPr>
              <w:t>2</w:t>
            </w:r>
          </w:p>
        </w:tc>
      </w:tr>
      <w:tr w:rsidR="008361C5" w:rsidRPr="00200234" w14:paraId="6740F538" w14:textId="77777777" w:rsidTr="008361C5">
        <w:trPr>
          <w:cantSplit/>
        </w:trPr>
        <w:tc>
          <w:tcPr>
            <w:tcW w:w="1843" w:type="dxa"/>
            <w:tcBorders>
              <w:top w:val="nil"/>
              <w:bottom w:val="single" w:sz="4" w:space="0" w:color="A6A6A6" w:themeColor="background1" w:themeShade="A6"/>
              <w:right w:val="nil"/>
            </w:tcBorders>
          </w:tcPr>
          <w:p w14:paraId="1A44952F" w14:textId="77777777" w:rsidR="008361C5" w:rsidRPr="00200234" w:rsidRDefault="008361C5" w:rsidP="008361C5">
            <w:pPr>
              <w:pStyle w:val="TableText"/>
              <w:spacing w:before="55" w:after="55"/>
              <w:rPr>
                <w:rFonts w:cs="Segoe UI"/>
              </w:rPr>
            </w:pPr>
            <w:r w:rsidRPr="00200234">
              <w:rPr>
                <w:rFonts w:cs="Segoe UI"/>
              </w:rPr>
              <w:t>Nelson Marlborough</w:t>
            </w:r>
          </w:p>
        </w:tc>
        <w:tc>
          <w:tcPr>
            <w:tcW w:w="708" w:type="dxa"/>
            <w:tcBorders>
              <w:top w:val="nil"/>
              <w:left w:val="nil"/>
              <w:bottom w:val="single" w:sz="4" w:space="0" w:color="A6A6A6" w:themeColor="background1" w:themeShade="A6"/>
              <w:right w:val="nil"/>
            </w:tcBorders>
          </w:tcPr>
          <w:p w14:paraId="541BDB6E" w14:textId="77777777" w:rsidR="008361C5" w:rsidRPr="00200234" w:rsidRDefault="008361C5" w:rsidP="008361C5">
            <w:pPr>
              <w:pStyle w:val="TableText"/>
              <w:tabs>
                <w:tab w:val="decimal" w:pos="510"/>
              </w:tabs>
              <w:spacing w:before="55" w:after="55"/>
              <w:rPr>
                <w:rFonts w:cs="Segoe UI"/>
              </w:rPr>
            </w:pPr>
            <w:r w:rsidRPr="00200234">
              <w:rPr>
                <w:rFonts w:cs="Segoe UI"/>
              </w:rPr>
              <w:t>71</w:t>
            </w:r>
          </w:p>
        </w:tc>
        <w:tc>
          <w:tcPr>
            <w:tcW w:w="709" w:type="dxa"/>
            <w:tcBorders>
              <w:top w:val="nil"/>
              <w:left w:val="nil"/>
              <w:bottom w:val="single" w:sz="4" w:space="0" w:color="A6A6A6" w:themeColor="background1" w:themeShade="A6"/>
              <w:right w:val="nil"/>
            </w:tcBorders>
          </w:tcPr>
          <w:p w14:paraId="4BBDDD02" w14:textId="77777777" w:rsidR="008361C5" w:rsidRPr="00200234" w:rsidRDefault="008361C5" w:rsidP="008361C5">
            <w:pPr>
              <w:pStyle w:val="TableText"/>
              <w:tabs>
                <w:tab w:val="decimal" w:pos="510"/>
              </w:tabs>
              <w:spacing w:before="55" w:after="55"/>
              <w:rPr>
                <w:rFonts w:cs="Segoe UI"/>
              </w:rPr>
            </w:pPr>
            <w:r w:rsidRPr="00200234">
              <w:rPr>
                <w:rFonts w:cs="Segoe UI"/>
              </w:rPr>
              <w:t>10</w:t>
            </w:r>
          </w:p>
        </w:tc>
        <w:tc>
          <w:tcPr>
            <w:tcW w:w="709" w:type="dxa"/>
            <w:tcBorders>
              <w:top w:val="nil"/>
              <w:left w:val="nil"/>
              <w:bottom w:val="single" w:sz="4" w:space="0" w:color="A6A6A6" w:themeColor="background1" w:themeShade="A6"/>
            </w:tcBorders>
          </w:tcPr>
          <w:p w14:paraId="4DD46B98" w14:textId="77777777" w:rsidR="008361C5" w:rsidRPr="00200234" w:rsidRDefault="008361C5" w:rsidP="008361C5">
            <w:pPr>
              <w:pStyle w:val="TableText"/>
              <w:tabs>
                <w:tab w:val="decimal" w:pos="454"/>
              </w:tabs>
              <w:spacing w:before="55" w:after="55"/>
              <w:rPr>
                <w:rFonts w:cs="Segoe UI"/>
              </w:rPr>
            </w:pPr>
            <w:r w:rsidRPr="00200234">
              <w:rPr>
                <w:rFonts w:cs="Segoe UI"/>
              </w:rPr>
              <w:t>–</w:t>
            </w:r>
          </w:p>
        </w:tc>
        <w:tc>
          <w:tcPr>
            <w:tcW w:w="426" w:type="dxa"/>
            <w:tcBorders>
              <w:top w:val="nil"/>
              <w:bottom w:val="nil"/>
            </w:tcBorders>
            <w:shd w:val="clear" w:color="auto" w:fill="auto"/>
          </w:tcPr>
          <w:p w14:paraId="69308633"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05994685" w14:textId="77777777" w:rsidR="008361C5" w:rsidRPr="00200234" w:rsidRDefault="008361C5" w:rsidP="008361C5">
            <w:pPr>
              <w:pStyle w:val="TableText"/>
              <w:spacing w:before="55" w:after="55"/>
              <w:jc w:val="both"/>
              <w:rPr>
                <w:rFonts w:cs="Segoe UI"/>
              </w:rPr>
            </w:pPr>
            <w:r w:rsidRPr="00200234">
              <w:rPr>
                <w:rFonts w:cs="Segoe UI"/>
              </w:rPr>
              <w:t>Whanganui</w:t>
            </w:r>
          </w:p>
        </w:tc>
        <w:tc>
          <w:tcPr>
            <w:tcW w:w="614" w:type="dxa"/>
            <w:tcBorders>
              <w:top w:val="nil"/>
            </w:tcBorders>
          </w:tcPr>
          <w:p w14:paraId="643316AF" w14:textId="77777777" w:rsidR="008361C5" w:rsidRPr="00200234" w:rsidRDefault="008361C5" w:rsidP="008361C5">
            <w:pPr>
              <w:pStyle w:val="TableText"/>
              <w:tabs>
                <w:tab w:val="decimal" w:pos="454"/>
              </w:tabs>
              <w:spacing w:before="55" w:after="55"/>
              <w:rPr>
                <w:rFonts w:cs="Segoe UI"/>
              </w:rPr>
            </w:pPr>
            <w:r w:rsidRPr="00200234">
              <w:rPr>
                <w:rFonts w:cs="Segoe UI"/>
              </w:rPr>
              <w:t>104</w:t>
            </w:r>
          </w:p>
        </w:tc>
        <w:tc>
          <w:tcPr>
            <w:tcW w:w="615" w:type="dxa"/>
            <w:tcBorders>
              <w:top w:val="nil"/>
            </w:tcBorders>
          </w:tcPr>
          <w:p w14:paraId="16FA2486" w14:textId="77777777" w:rsidR="008361C5" w:rsidRPr="00200234" w:rsidRDefault="008361C5" w:rsidP="008361C5">
            <w:pPr>
              <w:pStyle w:val="TableText"/>
              <w:tabs>
                <w:tab w:val="decimal" w:pos="454"/>
              </w:tabs>
              <w:spacing w:before="55" w:after="55"/>
              <w:rPr>
                <w:rFonts w:cs="Segoe UI"/>
              </w:rPr>
            </w:pPr>
            <w:r w:rsidRPr="00200234">
              <w:rPr>
                <w:rFonts w:cs="Segoe UI"/>
              </w:rPr>
              <w:t>24</w:t>
            </w:r>
          </w:p>
        </w:tc>
        <w:tc>
          <w:tcPr>
            <w:tcW w:w="615" w:type="dxa"/>
            <w:tcBorders>
              <w:top w:val="nil"/>
            </w:tcBorders>
          </w:tcPr>
          <w:p w14:paraId="1557E034" w14:textId="77777777" w:rsidR="008361C5" w:rsidRPr="00200234" w:rsidRDefault="008361C5" w:rsidP="008361C5">
            <w:pPr>
              <w:pStyle w:val="TableText"/>
              <w:spacing w:before="55" w:after="55"/>
              <w:jc w:val="center"/>
              <w:rPr>
                <w:rFonts w:cs="Segoe UI"/>
              </w:rPr>
            </w:pPr>
            <w:r w:rsidRPr="00200234">
              <w:rPr>
                <w:rFonts w:cs="Segoe UI"/>
              </w:rPr>
              <w:t>3</w:t>
            </w:r>
          </w:p>
        </w:tc>
      </w:tr>
      <w:tr w:rsidR="008361C5" w:rsidRPr="00200234" w14:paraId="0EF05834" w14:textId="77777777" w:rsidTr="008361C5">
        <w:trPr>
          <w:cantSplit/>
        </w:trPr>
        <w:tc>
          <w:tcPr>
            <w:tcW w:w="1843" w:type="dxa"/>
            <w:tcBorders>
              <w:top w:val="single" w:sz="4" w:space="0" w:color="A6A6A6" w:themeColor="background1" w:themeShade="A6"/>
              <w:bottom w:val="nil"/>
              <w:right w:val="nil"/>
            </w:tcBorders>
          </w:tcPr>
          <w:p w14:paraId="420C4660" w14:textId="77777777" w:rsidR="008361C5" w:rsidRPr="00200234" w:rsidRDefault="008361C5" w:rsidP="008361C5">
            <w:pPr>
              <w:pStyle w:val="TableText"/>
              <w:spacing w:before="55" w:after="55"/>
              <w:rPr>
                <w:rFonts w:cs="Segoe UI"/>
              </w:rPr>
            </w:pPr>
          </w:p>
        </w:tc>
        <w:tc>
          <w:tcPr>
            <w:tcW w:w="708" w:type="dxa"/>
            <w:tcBorders>
              <w:top w:val="single" w:sz="4" w:space="0" w:color="A6A6A6" w:themeColor="background1" w:themeShade="A6"/>
              <w:left w:val="nil"/>
              <w:bottom w:val="nil"/>
              <w:right w:val="nil"/>
            </w:tcBorders>
          </w:tcPr>
          <w:p w14:paraId="6BF4B354" w14:textId="77777777" w:rsidR="008361C5" w:rsidRPr="00200234" w:rsidRDefault="008361C5" w:rsidP="008361C5">
            <w:pPr>
              <w:pStyle w:val="TableText"/>
              <w:tabs>
                <w:tab w:val="decimal" w:pos="636"/>
              </w:tabs>
              <w:spacing w:before="55" w:after="55"/>
              <w:rPr>
                <w:rFonts w:cs="Segoe UI"/>
              </w:rPr>
            </w:pPr>
          </w:p>
        </w:tc>
        <w:tc>
          <w:tcPr>
            <w:tcW w:w="709" w:type="dxa"/>
            <w:tcBorders>
              <w:top w:val="single" w:sz="4" w:space="0" w:color="A6A6A6" w:themeColor="background1" w:themeShade="A6"/>
              <w:left w:val="nil"/>
              <w:bottom w:val="nil"/>
              <w:right w:val="nil"/>
            </w:tcBorders>
          </w:tcPr>
          <w:p w14:paraId="25909148" w14:textId="77777777" w:rsidR="008361C5" w:rsidRPr="00200234" w:rsidRDefault="008361C5" w:rsidP="008361C5">
            <w:pPr>
              <w:pStyle w:val="TableText"/>
              <w:tabs>
                <w:tab w:val="decimal" w:pos="636"/>
              </w:tabs>
              <w:spacing w:before="55" w:after="55"/>
              <w:rPr>
                <w:rFonts w:cs="Segoe UI"/>
              </w:rPr>
            </w:pPr>
          </w:p>
        </w:tc>
        <w:tc>
          <w:tcPr>
            <w:tcW w:w="709" w:type="dxa"/>
            <w:tcBorders>
              <w:top w:val="single" w:sz="4" w:space="0" w:color="A6A6A6" w:themeColor="background1" w:themeShade="A6"/>
              <w:left w:val="nil"/>
              <w:bottom w:val="nil"/>
            </w:tcBorders>
          </w:tcPr>
          <w:p w14:paraId="3622430F" w14:textId="77777777" w:rsidR="008361C5" w:rsidRPr="00200234" w:rsidRDefault="008361C5" w:rsidP="008361C5">
            <w:pPr>
              <w:pStyle w:val="TableText"/>
              <w:tabs>
                <w:tab w:val="decimal" w:pos="636"/>
              </w:tabs>
              <w:spacing w:before="55" w:after="55"/>
              <w:rPr>
                <w:rFonts w:cs="Segoe UI"/>
              </w:rPr>
            </w:pPr>
          </w:p>
        </w:tc>
        <w:tc>
          <w:tcPr>
            <w:tcW w:w="426" w:type="dxa"/>
            <w:tcBorders>
              <w:top w:val="nil"/>
              <w:bottom w:val="nil"/>
            </w:tcBorders>
            <w:shd w:val="clear" w:color="auto" w:fill="auto"/>
          </w:tcPr>
          <w:p w14:paraId="5B73705D"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76AA786C" w14:textId="77777777" w:rsidR="008361C5" w:rsidRPr="00200234" w:rsidRDefault="008361C5" w:rsidP="008361C5">
            <w:pPr>
              <w:pStyle w:val="TableText"/>
              <w:spacing w:before="55" w:after="55"/>
              <w:jc w:val="both"/>
              <w:rPr>
                <w:rFonts w:cs="Segoe UI"/>
                <w:b/>
              </w:rPr>
            </w:pPr>
            <w:r w:rsidRPr="00200234">
              <w:rPr>
                <w:rFonts w:cs="Segoe UI"/>
                <w:b/>
              </w:rPr>
              <w:t>National average</w:t>
            </w:r>
          </w:p>
        </w:tc>
        <w:tc>
          <w:tcPr>
            <w:tcW w:w="614" w:type="dxa"/>
            <w:tcBorders>
              <w:top w:val="nil"/>
            </w:tcBorders>
          </w:tcPr>
          <w:p w14:paraId="04DAC2DF" w14:textId="77777777" w:rsidR="008361C5" w:rsidRPr="00200234" w:rsidRDefault="008361C5" w:rsidP="008361C5">
            <w:pPr>
              <w:pStyle w:val="TableText"/>
              <w:tabs>
                <w:tab w:val="decimal" w:pos="454"/>
              </w:tabs>
              <w:spacing w:before="55" w:after="55"/>
              <w:rPr>
                <w:rFonts w:cs="Segoe UI"/>
                <w:b/>
              </w:rPr>
            </w:pPr>
            <w:r w:rsidRPr="00200234">
              <w:rPr>
                <w:rFonts w:cs="Segoe UI"/>
                <w:b/>
              </w:rPr>
              <w:t>109</w:t>
            </w:r>
          </w:p>
        </w:tc>
        <w:tc>
          <w:tcPr>
            <w:tcW w:w="615" w:type="dxa"/>
            <w:tcBorders>
              <w:top w:val="nil"/>
            </w:tcBorders>
          </w:tcPr>
          <w:p w14:paraId="57728D66" w14:textId="77777777" w:rsidR="008361C5" w:rsidRPr="00200234" w:rsidRDefault="008361C5" w:rsidP="008361C5">
            <w:pPr>
              <w:pStyle w:val="TableText"/>
              <w:tabs>
                <w:tab w:val="decimal" w:pos="454"/>
              </w:tabs>
              <w:spacing w:before="55" w:after="55"/>
              <w:rPr>
                <w:rFonts w:cs="Segoe UI"/>
                <w:b/>
              </w:rPr>
            </w:pPr>
            <w:r w:rsidRPr="00200234">
              <w:rPr>
                <w:rFonts w:cs="Segoe UI"/>
                <w:b/>
              </w:rPr>
              <w:t>16</w:t>
            </w:r>
          </w:p>
        </w:tc>
        <w:tc>
          <w:tcPr>
            <w:tcW w:w="615" w:type="dxa"/>
            <w:tcBorders>
              <w:top w:val="nil"/>
            </w:tcBorders>
          </w:tcPr>
          <w:p w14:paraId="60A75838" w14:textId="77777777" w:rsidR="008361C5" w:rsidRPr="00200234" w:rsidRDefault="008361C5" w:rsidP="008361C5">
            <w:pPr>
              <w:pStyle w:val="TableText"/>
              <w:spacing w:before="55" w:after="55"/>
              <w:jc w:val="center"/>
              <w:rPr>
                <w:rFonts w:cs="Segoe UI"/>
                <w:b/>
              </w:rPr>
            </w:pPr>
            <w:r w:rsidRPr="00200234">
              <w:rPr>
                <w:rFonts w:cs="Segoe UI"/>
                <w:b/>
              </w:rPr>
              <w:t>4</w:t>
            </w:r>
          </w:p>
        </w:tc>
      </w:tr>
    </w:tbl>
    <w:p w14:paraId="35748008" w14:textId="2A14D0D3" w:rsidR="008361C5" w:rsidRPr="00200234" w:rsidRDefault="008361C5" w:rsidP="008361C5">
      <w:pPr>
        <w:pStyle w:val="Note"/>
      </w:pPr>
      <w:r w:rsidRPr="00200234">
        <w:t>Note: ‘On a given day’ is the average of the last day of each month.</w:t>
      </w:r>
    </w:p>
    <w:p w14:paraId="01463E94" w14:textId="4D57E941" w:rsidR="008361C5" w:rsidRPr="00200234" w:rsidRDefault="008361C5" w:rsidP="00CF5A84">
      <w:pPr>
        <w:pStyle w:val="Note"/>
      </w:pPr>
      <w:r w:rsidRPr="00200234">
        <w:t>Source</w:t>
      </w:r>
      <w:r w:rsidR="00AE7C60" w:rsidRPr="00200234">
        <w:t>s</w:t>
      </w:r>
      <w:r w:rsidRPr="00200234">
        <w:t xml:space="preserve">: </w:t>
      </w:r>
      <w:r w:rsidR="00CF5A84" w:rsidRPr="00200234">
        <w:t>PRIMHD data</w:t>
      </w:r>
      <w:r w:rsidR="0015429E">
        <w:t xml:space="preserve"> (extracted</w:t>
      </w:r>
      <w:r w:rsidR="00CF5A84" w:rsidRPr="00200234">
        <w:t xml:space="preserve"> 29 July 2019</w:t>
      </w:r>
      <w:r w:rsidR="000E756E">
        <w:t>)</w:t>
      </w:r>
      <w:r w:rsidR="00CF5A84" w:rsidRPr="00200234">
        <w:t xml:space="preserve"> and manual data from Auckland, Lakes, Nelson Marlborough and </w:t>
      </w:r>
      <w:proofErr w:type="spellStart"/>
      <w:r w:rsidR="00CF5A84" w:rsidRPr="00200234">
        <w:t>Waitematā</w:t>
      </w:r>
      <w:proofErr w:type="spellEnd"/>
      <w:r w:rsidR="00CF5A84" w:rsidRPr="00200234">
        <w:t xml:space="preserve"> DHBs. </w:t>
      </w:r>
    </w:p>
    <w:p w14:paraId="690805C5" w14:textId="77777777" w:rsidR="004E657C" w:rsidRPr="004E657C" w:rsidRDefault="004E657C" w:rsidP="00C236F9">
      <w:bookmarkStart w:id="25" w:name="_Ref65671792"/>
      <w:bookmarkStart w:id="26" w:name="_Toc63764668"/>
    </w:p>
    <w:p w14:paraId="7EDB6597" w14:textId="2D096D41" w:rsidR="008361C5" w:rsidRPr="00200234" w:rsidRDefault="008361C5" w:rsidP="008361C5">
      <w:pPr>
        <w:pStyle w:val="Table"/>
        <w:rPr>
          <w:rFonts w:cstheme="minorBidi"/>
        </w:rPr>
      </w:pPr>
      <w:bookmarkStart w:id="27" w:name="_Toc69306774"/>
      <w:r w:rsidRPr="00200234">
        <w:lastRenderedPageBreak/>
        <w:t xml:space="preserve">Table </w:t>
      </w:r>
      <w:fldSimple w:instr=" SEQ Table \* ARABIC ">
        <w:r w:rsidR="00422361">
          <w:rPr>
            <w:noProof/>
          </w:rPr>
          <w:t>4</w:t>
        </w:r>
      </w:fldSimple>
      <w:bookmarkEnd w:id="25"/>
      <w:r w:rsidRPr="00200234">
        <w:t>: Average number of people on a given day subject to sections 29, 30 and 31 of the Mental Health Act per 100,000 population, by DHB, 1 January to 31 December 2019</w:t>
      </w:r>
      <w:bookmarkEnd w:id="26"/>
      <w:bookmarkEnd w:id="27"/>
    </w:p>
    <w:tbl>
      <w:tblPr>
        <w:tblW w:w="8082"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43"/>
        <w:gridCol w:w="708"/>
        <w:gridCol w:w="709"/>
        <w:gridCol w:w="709"/>
        <w:gridCol w:w="426"/>
        <w:gridCol w:w="1843"/>
        <w:gridCol w:w="614"/>
        <w:gridCol w:w="615"/>
        <w:gridCol w:w="615"/>
      </w:tblGrid>
      <w:tr w:rsidR="008361C5" w:rsidRPr="00200234" w14:paraId="584F56E7" w14:textId="77777777" w:rsidTr="008361C5">
        <w:trPr>
          <w:cantSplit/>
          <w:tblHeader/>
        </w:trPr>
        <w:tc>
          <w:tcPr>
            <w:tcW w:w="1843" w:type="dxa"/>
            <w:tcBorders>
              <w:top w:val="nil"/>
              <w:bottom w:val="nil"/>
              <w:right w:val="nil"/>
            </w:tcBorders>
            <w:shd w:val="clear" w:color="auto" w:fill="D9D9D9" w:themeFill="background1" w:themeFillShade="D9"/>
          </w:tcPr>
          <w:p w14:paraId="41D54A0B" w14:textId="77777777" w:rsidR="008361C5" w:rsidRPr="00200234" w:rsidRDefault="008361C5" w:rsidP="008361C5">
            <w:pPr>
              <w:pStyle w:val="TableText"/>
              <w:spacing w:before="55" w:after="55"/>
              <w:rPr>
                <w:rFonts w:cs="Segoe UI"/>
                <w:b/>
              </w:rPr>
            </w:pPr>
            <w:r w:rsidRPr="00200234">
              <w:rPr>
                <w:rFonts w:cs="Segoe UI"/>
                <w:b/>
              </w:rPr>
              <w:t>DHB</w:t>
            </w:r>
          </w:p>
        </w:tc>
        <w:tc>
          <w:tcPr>
            <w:tcW w:w="708" w:type="dxa"/>
            <w:tcBorders>
              <w:top w:val="nil"/>
              <w:left w:val="nil"/>
              <w:bottom w:val="nil"/>
              <w:right w:val="nil"/>
            </w:tcBorders>
            <w:shd w:val="clear" w:color="auto" w:fill="D9D9D9" w:themeFill="background1" w:themeFillShade="D9"/>
          </w:tcPr>
          <w:p w14:paraId="2E865480" w14:textId="77777777" w:rsidR="008361C5" w:rsidRPr="00200234" w:rsidRDefault="008361C5" w:rsidP="008361C5">
            <w:pPr>
              <w:pStyle w:val="TableText"/>
              <w:spacing w:before="55" w:after="55"/>
              <w:jc w:val="center"/>
              <w:rPr>
                <w:rFonts w:cs="Segoe UI"/>
                <w:b/>
              </w:rPr>
            </w:pPr>
            <w:r w:rsidRPr="00200234">
              <w:rPr>
                <w:rFonts w:cs="Segoe UI"/>
                <w:b/>
              </w:rPr>
              <w:t>s 29</w:t>
            </w:r>
          </w:p>
        </w:tc>
        <w:tc>
          <w:tcPr>
            <w:tcW w:w="709" w:type="dxa"/>
            <w:tcBorders>
              <w:top w:val="nil"/>
              <w:left w:val="nil"/>
              <w:bottom w:val="nil"/>
              <w:right w:val="nil"/>
            </w:tcBorders>
            <w:shd w:val="clear" w:color="auto" w:fill="D9D9D9" w:themeFill="background1" w:themeFillShade="D9"/>
          </w:tcPr>
          <w:p w14:paraId="7264776E" w14:textId="77777777" w:rsidR="008361C5" w:rsidRPr="00200234" w:rsidRDefault="008361C5" w:rsidP="008361C5">
            <w:pPr>
              <w:pStyle w:val="TableText"/>
              <w:spacing w:before="55" w:after="55"/>
              <w:jc w:val="center"/>
              <w:rPr>
                <w:rFonts w:cs="Segoe UI"/>
                <w:b/>
              </w:rPr>
            </w:pPr>
            <w:r w:rsidRPr="00200234">
              <w:rPr>
                <w:rFonts w:cs="Segoe UI"/>
                <w:b/>
              </w:rPr>
              <w:t>s 30</w:t>
            </w:r>
          </w:p>
        </w:tc>
        <w:tc>
          <w:tcPr>
            <w:tcW w:w="709" w:type="dxa"/>
            <w:tcBorders>
              <w:top w:val="nil"/>
              <w:left w:val="nil"/>
              <w:bottom w:val="nil"/>
            </w:tcBorders>
            <w:shd w:val="clear" w:color="auto" w:fill="D9D9D9" w:themeFill="background1" w:themeFillShade="D9"/>
          </w:tcPr>
          <w:p w14:paraId="1346BB5D" w14:textId="77777777" w:rsidR="008361C5" w:rsidRPr="00200234" w:rsidRDefault="008361C5" w:rsidP="008361C5">
            <w:pPr>
              <w:pStyle w:val="TableText"/>
              <w:spacing w:before="55" w:after="55"/>
              <w:jc w:val="center"/>
              <w:rPr>
                <w:rFonts w:cs="Segoe UI"/>
                <w:b/>
              </w:rPr>
            </w:pPr>
            <w:r w:rsidRPr="00200234">
              <w:rPr>
                <w:rFonts w:cs="Segoe UI"/>
                <w:b/>
              </w:rPr>
              <w:t>s 31</w:t>
            </w:r>
          </w:p>
        </w:tc>
        <w:tc>
          <w:tcPr>
            <w:tcW w:w="426" w:type="dxa"/>
            <w:tcBorders>
              <w:top w:val="nil"/>
              <w:bottom w:val="nil"/>
            </w:tcBorders>
            <w:shd w:val="clear" w:color="auto" w:fill="auto"/>
          </w:tcPr>
          <w:p w14:paraId="1B8E90C4" w14:textId="77777777" w:rsidR="008361C5" w:rsidRPr="00200234" w:rsidRDefault="008361C5" w:rsidP="008361C5">
            <w:pPr>
              <w:pStyle w:val="TableText"/>
              <w:spacing w:before="55" w:after="55"/>
              <w:jc w:val="center"/>
              <w:rPr>
                <w:rFonts w:cs="Segoe UI"/>
                <w:b/>
              </w:rPr>
            </w:pPr>
          </w:p>
        </w:tc>
        <w:tc>
          <w:tcPr>
            <w:tcW w:w="1843" w:type="dxa"/>
            <w:tcBorders>
              <w:top w:val="nil"/>
              <w:bottom w:val="nil"/>
            </w:tcBorders>
            <w:shd w:val="clear" w:color="auto" w:fill="D9D9D9" w:themeFill="background1" w:themeFillShade="D9"/>
          </w:tcPr>
          <w:p w14:paraId="47546899" w14:textId="77777777" w:rsidR="008361C5" w:rsidRPr="00200234" w:rsidRDefault="008361C5" w:rsidP="008361C5">
            <w:pPr>
              <w:pStyle w:val="TableText"/>
              <w:spacing w:before="55" w:after="55"/>
              <w:rPr>
                <w:rFonts w:cs="Segoe UI"/>
                <w:b/>
              </w:rPr>
            </w:pPr>
            <w:r w:rsidRPr="00200234">
              <w:rPr>
                <w:rFonts w:cs="Segoe UI"/>
                <w:b/>
              </w:rPr>
              <w:t>DHB</w:t>
            </w:r>
          </w:p>
        </w:tc>
        <w:tc>
          <w:tcPr>
            <w:tcW w:w="614" w:type="dxa"/>
            <w:tcBorders>
              <w:top w:val="nil"/>
              <w:bottom w:val="nil"/>
            </w:tcBorders>
            <w:shd w:val="clear" w:color="auto" w:fill="D9D9D9" w:themeFill="background1" w:themeFillShade="D9"/>
          </w:tcPr>
          <w:p w14:paraId="0C3D94AB" w14:textId="77777777" w:rsidR="008361C5" w:rsidRPr="00200234" w:rsidRDefault="008361C5" w:rsidP="008361C5">
            <w:pPr>
              <w:pStyle w:val="TableText"/>
              <w:spacing w:before="55" w:after="55"/>
              <w:jc w:val="center"/>
              <w:rPr>
                <w:rFonts w:cs="Segoe UI"/>
                <w:b/>
              </w:rPr>
            </w:pPr>
            <w:r w:rsidRPr="00200234">
              <w:rPr>
                <w:rFonts w:cs="Segoe UI"/>
                <w:b/>
              </w:rPr>
              <w:t>s 29</w:t>
            </w:r>
          </w:p>
        </w:tc>
        <w:tc>
          <w:tcPr>
            <w:tcW w:w="615" w:type="dxa"/>
            <w:tcBorders>
              <w:top w:val="nil"/>
              <w:bottom w:val="nil"/>
            </w:tcBorders>
            <w:shd w:val="clear" w:color="auto" w:fill="D9D9D9" w:themeFill="background1" w:themeFillShade="D9"/>
          </w:tcPr>
          <w:p w14:paraId="317D2ADB" w14:textId="77777777" w:rsidR="008361C5" w:rsidRPr="00200234" w:rsidRDefault="008361C5" w:rsidP="008361C5">
            <w:pPr>
              <w:pStyle w:val="TableText"/>
              <w:spacing w:before="55" w:after="55"/>
              <w:jc w:val="center"/>
              <w:rPr>
                <w:rFonts w:cs="Segoe UI"/>
                <w:b/>
              </w:rPr>
            </w:pPr>
            <w:r w:rsidRPr="00200234">
              <w:rPr>
                <w:rFonts w:cs="Segoe UI"/>
                <w:b/>
              </w:rPr>
              <w:t>s 30</w:t>
            </w:r>
          </w:p>
        </w:tc>
        <w:tc>
          <w:tcPr>
            <w:tcW w:w="615" w:type="dxa"/>
            <w:tcBorders>
              <w:top w:val="nil"/>
              <w:bottom w:val="nil"/>
            </w:tcBorders>
            <w:shd w:val="clear" w:color="auto" w:fill="D9D9D9" w:themeFill="background1" w:themeFillShade="D9"/>
          </w:tcPr>
          <w:p w14:paraId="29E1D905" w14:textId="77777777" w:rsidR="008361C5" w:rsidRPr="00200234" w:rsidRDefault="008361C5" w:rsidP="008361C5">
            <w:pPr>
              <w:pStyle w:val="TableText"/>
              <w:spacing w:before="55" w:after="55"/>
              <w:jc w:val="center"/>
              <w:rPr>
                <w:rFonts w:cs="Segoe UI"/>
                <w:b/>
              </w:rPr>
            </w:pPr>
            <w:r w:rsidRPr="00200234">
              <w:rPr>
                <w:rFonts w:cs="Segoe UI"/>
                <w:b/>
              </w:rPr>
              <w:t>s 31</w:t>
            </w:r>
          </w:p>
        </w:tc>
      </w:tr>
      <w:tr w:rsidR="008361C5" w:rsidRPr="00200234" w14:paraId="3C6BEECC" w14:textId="77777777" w:rsidTr="008361C5">
        <w:trPr>
          <w:cantSplit/>
        </w:trPr>
        <w:tc>
          <w:tcPr>
            <w:tcW w:w="1843" w:type="dxa"/>
            <w:tcBorders>
              <w:top w:val="nil"/>
              <w:right w:val="nil"/>
            </w:tcBorders>
          </w:tcPr>
          <w:p w14:paraId="76C5BDB2" w14:textId="77777777" w:rsidR="008361C5" w:rsidRPr="00200234" w:rsidRDefault="008361C5" w:rsidP="008361C5">
            <w:pPr>
              <w:pStyle w:val="TableText"/>
              <w:spacing w:before="55" w:after="55"/>
              <w:rPr>
                <w:rFonts w:cs="Segoe UI"/>
              </w:rPr>
            </w:pPr>
            <w:r w:rsidRPr="00200234">
              <w:rPr>
                <w:rFonts w:cs="Segoe UI"/>
              </w:rPr>
              <w:t>Auckland</w:t>
            </w:r>
          </w:p>
        </w:tc>
        <w:tc>
          <w:tcPr>
            <w:tcW w:w="708" w:type="dxa"/>
            <w:tcBorders>
              <w:top w:val="nil"/>
              <w:left w:val="nil"/>
              <w:right w:val="nil"/>
            </w:tcBorders>
          </w:tcPr>
          <w:p w14:paraId="1B0B5771" w14:textId="77777777" w:rsidR="008361C5" w:rsidRPr="00200234" w:rsidRDefault="008361C5" w:rsidP="008361C5">
            <w:pPr>
              <w:pStyle w:val="TableText"/>
              <w:tabs>
                <w:tab w:val="decimal" w:pos="510"/>
              </w:tabs>
              <w:spacing w:before="55" w:after="55"/>
              <w:rPr>
                <w:rFonts w:cs="Segoe UI"/>
              </w:rPr>
            </w:pPr>
            <w:r w:rsidRPr="00200234">
              <w:rPr>
                <w:rFonts w:cs="Segoe UI"/>
              </w:rPr>
              <w:t>112</w:t>
            </w:r>
          </w:p>
        </w:tc>
        <w:tc>
          <w:tcPr>
            <w:tcW w:w="709" w:type="dxa"/>
            <w:tcBorders>
              <w:top w:val="nil"/>
              <w:left w:val="nil"/>
              <w:right w:val="nil"/>
            </w:tcBorders>
          </w:tcPr>
          <w:p w14:paraId="1D26549B" w14:textId="77777777" w:rsidR="008361C5" w:rsidRPr="00200234" w:rsidRDefault="008361C5" w:rsidP="008361C5">
            <w:pPr>
              <w:pStyle w:val="TableText"/>
              <w:tabs>
                <w:tab w:val="decimal" w:pos="510"/>
              </w:tabs>
              <w:spacing w:before="55" w:after="55"/>
              <w:rPr>
                <w:rFonts w:cs="Segoe UI"/>
              </w:rPr>
            </w:pPr>
            <w:r w:rsidRPr="00200234">
              <w:rPr>
                <w:rFonts w:cs="Segoe UI"/>
              </w:rPr>
              <w:t>10</w:t>
            </w:r>
          </w:p>
        </w:tc>
        <w:tc>
          <w:tcPr>
            <w:tcW w:w="709" w:type="dxa"/>
            <w:tcBorders>
              <w:top w:val="nil"/>
              <w:left w:val="nil"/>
            </w:tcBorders>
          </w:tcPr>
          <w:p w14:paraId="62888DE1" w14:textId="77777777" w:rsidR="008361C5" w:rsidRPr="00200234" w:rsidRDefault="008361C5" w:rsidP="008361C5">
            <w:pPr>
              <w:pStyle w:val="TableText"/>
              <w:tabs>
                <w:tab w:val="decimal" w:pos="454"/>
              </w:tabs>
              <w:spacing w:before="55" w:after="55"/>
              <w:rPr>
                <w:rFonts w:cs="Segoe UI"/>
              </w:rPr>
            </w:pPr>
            <w:r w:rsidRPr="00200234">
              <w:rPr>
                <w:rFonts w:cs="Segoe UI"/>
              </w:rPr>
              <w:t>4</w:t>
            </w:r>
          </w:p>
        </w:tc>
        <w:tc>
          <w:tcPr>
            <w:tcW w:w="426" w:type="dxa"/>
            <w:tcBorders>
              <w:top w:val="nil"/>
              <w:bottom w:val="nil"/>
            </w:tcBorders>
            <w:shd w:val="clear" w:color="auto" w:fill="auto"/>
          </w:tcPr>
          <w:p w14:paraId="2BB7ED32"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4A1365B0" w14:textId="77777777" w:rsidR="008361C5" w:rsidRPr="00200234" w:rsidRDefault="008361C5" w:rsidP="008361C5">
            <w:pPr>
              <w:pStyle w:val="TableText"/>
              <w:spacing w:before="55" w:after="55"/>
              <w:jc w:val="both"/>
              <w:rPr>
                <w:rFonts w:cs="Segoe UI"/>
              </w:rPr>
            </w:pPr>
            <w:r w:rsidRPr="00200234">
              <w:rPr>
                <w:rFonts w:cs="Segoe UI"/>
              </w:rPr>
              <w:t>Northland</w:t>
            </w:r>
          </w:p>
        </w:tc>
        <w:tc>
          <w:tcPr>
            <w:tcW w:w="614" w:type="dxa"/>
            <w:tcBorders>
              <w:top w:val="nil"/>
            </w:tcBorders>
          </w:tcPr>
          <w:p w14:paraId="6530F890" w14:textId="77777777" w:rsidR="008361C5" w:rsidRPr="00200234" w:rsidRDefault="008361C5" w:rsidP="008361C5">
            <w:pPr>
              <w:pStyle w:val="TableText"/>
              <w:tabs>
                <w:tab w:val="decimal" w:pos="454"/>
              </w:tabs>
              <w:spacing w:before="55" w:after="55"/>
              <w:rPr>
                <w:rFonts w:cs="Segoe UI"/>
              </w:rPr>
            </w:pPr>
            <w:r w:rsidRPr="00200234">
              <w:rPr>
                <w:rFonts w:cs="Segoe UI"/>
              </w:rPr>
              <w:t>181</w:t>
            </w:r>
          </w:p>
        </w:tc>
        <w:tc>
          <w:tcPr>
            <w:tcW w:w="615" w:type="dxa"/>
            <w:tcBorders>
              <w:top w:val="nil"/>
            </w:tcBorders>
          </w:tcPr>
          <w:p w14:paraId="22BC8E2C" w14:textId="77777777" w:rsidR="008361C5" w:rsidRPr="00200234" w:rsidRDefault="008361C5" w:rsidP="008361C5">
            <w:pPr>
              <w:pStyle w:val="TableText"/>
              <w:tabs>
                <w:tab w:val="decimal" w:pos="454"/>
              </w:tabs>
              <w:spacing w:before="55" w:after="55"/>
              <w:rPr>
                <w:rFonts w:cs="Segoe UI"/>
              </w:rPr>
            </w:pPr>
            <w:r w:rsidRPr="00200234">
              <w:rPr>
                <w:rFonts w:cs="Segoe UI"/>
              </w:rPr>
              <w:t>12</w:t>
            </w:r>
          </w:p>
        </w:tc>
        <w:tc>
          <w:tcPr>
            <w:tcW w:w="615" w:type="dxa"/>
            <w:tcBorders>
              <w:top w:val="nil"/>
            </w:tcBorders>
          </w:tcPr>
          <w:p w14:paraId="36A6EA01" w14:textId="77777777" w:rsidR="008361C5" w:rsidRPr="00200234" w:rsidRDefault="008361C5" w:rsidP="008361C5">
            <w:pPr>
              <w:pStyle w:val="TableText"/>
              <w:spacing w:before="55" w:after="55"/>
              <w:jc w:val="center"/>
              <w:rPr>
                <w:rFonts w:cs="Segoe UI"/>
              </w:rPr>
            </w:pPr>
            <w:r w:rsidRPr="00200234">
              <w:rPr>
                <w:rFonts w:cs="Segoe UI"/>
              </w:rPr>
              <w:t>3</w:t>
            </w:r>
          </w:p>
        </w:tc>
      </w:tr>
      <w:tr w:rsidR="008361C5" w:rsidRPr="00200234" w14:paraId="039558F2" w14:textId="77777777" w:rsidTr="008361C5">
        <w:trPr>
          <w:cantSplit/>
        </w:trPr>
        <w:tc>
          <w:tcPr>
            <w:tcW w:w="1843" w:type="dxa"/>
            <w:tcBorders>
              <w:top w:val="nil"/>
              <w:right w:val="nil"/>
            </w:tcBorders>
          </w:tcPr>
          <w:p w14:paraId="13B4D810" w14:textId="77777777" w:rsidR="008361C5" w:rsidRPr="00200234" w:rsidRDefault="008361C5" w:rsidP="008361C5">
            <w:pPr>
              <w:pStyle w:val="TableText"/>
              <w:spacing w:before="55" w:after="55"/>
              <w:rPr>
                <w:rFonts w:cs="Segoe UI"/>
              </w:rPr>
            </w:pPr>
            <w:r w:rsidRPr="00200234">
              <w:rPr>
                <w:rFonts w:cs="Segoe UI"/>
              </w:rPr>
              <w:t>Bay of Plenty</w:t>
            </w:r>
          </w:p>
        </w:tc>
        <w:tc>
          <w:tcPr>
            <w:tcW w:w="708" w:type="dxa"/>
            <w:tcBorders>
              <w:top w:val="nil"/>
              <w:left w:val="nil"/>
              <w:right w:val="nil"/>
            </w:tcBorders>
          </w:tcPr>
          <w:p w14:paraId="1BD18A06" w14:textId="77777777" w:rsidR="008361C5" w:rsidRPr="00200234" w:rsidRDefault="008361C5" w:rsidP="008361C5">
            <w:pPr>
              <w:pStyle w:val="TableText"/>
              <w:tabs>
                <w:tab w:val="decimal" w:pos="510"/>
              </w:tabs>
              <w:spacing w:before="55" w:after="55"/>
              <w:rPr>
                <w:rFonts w:cs="Segoe UI"/>
              </w:rPr>
            </w:pPr>
            <w:r w:rsidRPr="00200234">
              <w:rPr>
                <w:rFonts w:cs="Segoe UI"/>
              </w:rPr>
              <w:t>51</w:t>
            </w:r>
          </w:p>
        </w:tc>
        <w:tc>
          <w:tcPr>
            <w:tcW w:w="709" w:type="dxa"/>
            <w:tcBorders>
              <w:top w:val="nil"/>
              <w:left w:val="nil"/>
              <w:right w:val="nil"/>
            </w:tcBorders>
          </w:tcPr>
          <w:p w14:paraId="50A8C219" w14:textId="77777777" w:rsidR="008361C5" w:rsidRPr="00200234" w:rsidRDefault="008361C5" w:rsidP="008361C5">
            <w:pPr>
              <w:pStyle w:val="TableText"/>
              <w:tabs>
                <w:tab w:val="decimal" w:pos="510"/>
              </w:tabs>
              <w:spacing w:before="55" w:after="55"/>
              <w:rPr>
                <w:rFonts w:cs="Segoe UI"/>
              </w:rPr>
            </w:pPr>
            <w:r w:rsidRPr="00200234">
              <w:rPr>
                <w:rFonts w:cs="Segoe UI"/>
              </w:rPr>
              <w:t>10</w:t>
            </w:r>
          </w:p>
        </w:tc>
        <w:tc>
          <w:tcPr>
            <w:tcW w:w="709" w:type="dxa"/>
            <w:tcBorders>
              <w:top w:val="nil"/>
              <w:left w:val="nil"/>
            </w:tcBorders>
          </w:tcPr>
          <w:p w14:paraId="752B2294" w14:textId="77777777" w:rsidR="008361C5" w:rsidRPr="00200234" w:rsidRDefault="008361C5" w:rsidP="008361C5">
            <w:pPr>
              <w:pStyle w:val="TableText"/>
              <w:tabs>
                <w:tab w:val="decimal" w:pos="454"/>
              </w:tabs>
              <w:spacing w:before="55" w:after="55"/>
              <w:rPr>
                <w:rFonts w:cs="Segoe UI"/>
              </w:rPr>
            </w:pPr>
            <w:r w:rsidRPr="00200234">
              <w:rPr>
                <w:rFonts w:cs="Segoe UI"/>
              </w:rPr>
              <w:t>3</w:t>
            </w:r>
          </w:p>
        </w:tc>
        <w:tc>
          <w:tcPr>
            <w:tcW w:w="426" w:type="dxa"/>
            <w:tcBorders>
              <w:top w:val="nil"/>
              <w:bottom w:val="nil"/>
            </w:tcBorders>
            <w:shd w:val="clear" w:color="auto" w:fill="auto"/>
          </w:tcPr>
          <w:p w14:paraId="12DA7E61"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632F1764" w14:textId="77777777" w:rsidR="008361C5" w:rsidRPr="00200234" w:rsidRDefault="008361C5" w:rsidP="008361C5">
            <w:pPr>
              <w:pStyle w:val="TableText"/>
              <w:spacing w:before="55" w:after="55"/>
              <w:jc w:val="both"/>
              <w:rPr>
                <w:rFonts w:cs="Segoe UI"/>
              </w:rPr>
            </w:pPr>
            <w:r w:rsidRPr="00200234">
              <w:rPr>
                <w:rFonts w:cs="Segoe UI"/>
              </w:rPr>
              <w:t>South Canterbury</w:t>
            </w:r>
          </w:p>
        </w:tc>
        <w:tc>
          <w:tcPr>
            <w:tcW w:w="614" w:type="dxa"/>
            <w:tcBorders>
              <w:top w:val="nil"/>
            </w:tcBorders>
          </w:tcPr>
          <w:p w14:paraId="20A15476" w14:textId="77777777" w:rsidR="008361C5" w:rsidRPr="00200234" w:rsidRDefault="008361C5" w:rsidP="008361C5">
            <w:pPr>
              <w:pStyle w:val="TableText"/>
              <w:tabs>
                <w:tab w:val="decimal" w:pos="454"/>
              </w:tabs>
              <w:spacing w:before="55" w:after="55"/>
              <w:rPr>
                <w:rFonts w:cs="Segoe UI"/>
              </w:rPr>
            </w:pPr>
            <w:r w:rsidRPr="00200234">
              <w:rPr>
                <w:rFonts w:cs="Segoe UI"/>
              </w:rPr>
              <w:t>74</w:t>
            </w:r>
          </w:p>
        </w:tc>
        <w:tc>
          <w:tcPr>
            <w:tcW w:w="615" w:type="dxa"/>
            <w:tcBorders>
              <w:top w:val="nil"/>
            </w:tcBorders>
          </w:tcPr>
          <w:p w14:paraId="6831F361" w14:textId="77777777" w:rsidR="008361C5" w:rsidRPr="00200234" w:rsidRDefault="008361C5" w:rsidP="008361C5">
            <w:pPr>
              <w:pStyle w:val="TableText"/>
              <w:tabs>
                <w:tab w:val="decimal" w:pos="454"/>
              </w:tabs>
              <w:spacing w:before="55" w:after="55"/>
              <w:rPr>
                <w:rFonts w:cs="Segoe UI"/>
              </w:rPr>
            </w:pPr>
            <w:r w:rsidRPr="00200234">
              <w:rPr>
                <w:rFonts w:cs="Segoe UI"/>
              </w:rPr>
              <w:t>5</w:t>
            </w:r>
          </w:p>
        </w:tc>
        <w:tc>
          <w:tcPr>
            <w:tcW w:w="615" w:type="dxa"/>
            <w:tcBorders>
              <w:top w:val="nil"/>
            </w:tcBorders>
          </w:tcPr>
          <w:p w14:paraId="5F52B923" w14:textId="77777777" w:rsidR="008361C5" w:rsidRPr="00200234" w:rsidRDefault="008361C5" w:rsidP="008361C5">
            <w:pPr>
              <w:pStyle w:val="TableText"/>
              <w:spacing w:before="55" w:after="55"/>
              <w:jc w:val="center"/>
              <w:rPr>
                <w:rFonts w:cs="Segoe UI"/>
              </w:rPr>
            </w:pPr>
            <w:r w:rsidRPr="00200234">
              <w:rPr>
                <w:rFonts w:cs="Segoe UI"/>
              </w:rPr>
              <w:t>3</w:t>
            </w:r>
          </w:p>
        </w:tc>
      </w:tr>
      <w:tr w:rsidR="008361C5" w:rsidRPr="00200234" w14:paraId="624ABD03" w14:textId="77777777" w:rsidTr="008361C5">
        <w:trPr>
          <w:cantSplit/>
        </w:trPr>
        <w:tc>
          <w:tcPr>
            <w:tcW w:w="1843" w:type="dxa"/>
            <w:tcBorders>
              <w:top w:val="nil"/>
              <w:right w:val="nil"/>
            </w:tcBorders>
          </w:tcPr>
          <w:p w14:paraId="1381FE9A" w14:textId="77777777" w:rsidR="008361C5" w:rsidRPr="00200234" w:rsidRDefault="008361C5" w:rsidP="008361C5">
            <w:pPr>
              <w:pStyle w:val="TableText"/>
              <w:spacing w:before="55" w:after="55"/>
              <w:rPr>
                <w:rFonts w:cs="Segoe UI"/>
              </w:rPr>
            </w:pPr>
            <w:r w:rsidRPr="00200234">
              <w:rPr>
                <w:rFonts w:cs="Segoe UI"/>
              </w:rPr>
              <w:t>Canterbury</w:t>
            </w:r>
          </w:p>
        </w:tc>
        <w:tc>
          <w:tcPr>
            <w:tcW w:w="708" w:type="dxa"/>
            <w:tcBorders>
              <w:top w:val="nil"/>
              <w:left w:val="nil"/>
              <w:right w:val="nil"/>
            </w:tcBorders>
          </w:tcPr>
          <w:p w14:paraId="7D1126BE" w14:textId="77777777" w:rsidR="008361C5" w:rsidRPr="00200234" w:rsidRDefault="008361C5" w:rsidP="008361C5">
            <w:pPr>
              <w:pStyle w:val="TableText"/>
              <w:tabs>
                <w:tab w:val="decimal" w:pos="510"/>
              </w:tabs>
              <w:spacing w:before="55" w:after="55"/>
              <w:rPr>
                <w:rFonts w:cs="Segoe UI"/>
              </w:rPr>
            </w:pPr>
            <w:r w:rsidRPr="00200234">
              <w:rPr>
                <w:rFonts w:cs="Segoe UI"/>
              </w:rPr>
              <w:t>63</w:t>
            </w:r>
          </w:p>
        </w:tc>
        <w:tc>
          <w:tcPr>
            <w:tcW w:w="709" w:type="dxa"/>
            <w:tcBorders>
              <w:top w:val="nil"/>
              <w:left w:val="nil"/>
              <w:right w:val="nil"/>
            </w:tcBorders>
          </w:tcPr>
          <w:p w14:paraId="16084E32" w14:textId="77777777" w:rsidR="008361C5" w:rsidRPr="00200234" w:rsidRDefault="008361C5" w:rsidP="008361C5">
            <w:pPr>
              <w:pStyle w:val="TableText"/>
              <w:tabs>
                <w:tab w:val="decimal" w:pos="510"/>
              </w:tabs>
              <w:spacing w:before="55" w:after="55"/>
              <w:rPr>
                <w:rFonts w:cs="Segoe UI"/>
              </w:rPr>
            </w:pPr>
            <w:r w:rsidRPr="00200234">
              <w:rPr>
                <w:rFonts w:cs="Segoe UI"/>
              </w:rPr>
              <w:t>19</w:t>
            </w:r>
          </w:p>
        </w:tc>
        <w:tc>
          <w:tcPr>
            <w:tcW w:w="709" w:type="dxa"/>
            <w:tcBorders>
              <w:top w:val="nil"/>
              <w:left w:val="nil"/>
            </w:tcBorders>
          </w:tcPr>
          <w:p w14:paraId="57ACA1B7" w14:textId="77777777" w:rsidR="008361C5" w:rsidRPr="00200234" w:rsidRDefault="008361C5" w:rsidP="008361C5">
            <w:pPr>
              <w:pStyle w:val="TableText"/>
              <w:tabs>
                <w:tab w:val="decimal" w:pos="454"/>
              </w:tabs>
              <w:spacing w:before="55" w:after="55"/>
              <w:rPr>
                <w:rFonts w:cs="Segoe UI"/>
              </w:rPr>
            </w:pPr>
            <w:r w:rsidRPr="00200234">
              <w:rPr>
                <w:rFonts w:cs="Segoe UI"/>
              </w:rPr>
              <w:t>8</w:t>
            </w:r>
          </w:p>
        </w:tc>
        <w:tc>
          <w:tcPr>
            <w:tcW w:w="426" w:type="dxa"/>
            <w:tcBorders>
              <w:top w:val="nil"/>
              <w:bottom w:val="nil"/>
            </w:tcBorders>
            <w:shd w:val="clear" w:color="auto" w:fill="auto"/>
          </w:tcPr>
          <w:p w14:paraId="14C4C33F"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5B831297" w14:textId="77777777" w:rsidR="008361C5" w:rsidRPr="00200234" w:rsidRDefault="008361C5" w:rsidP="008361C5">
            <w:pPr>
              <w:pStyle w:val="TableText"/>
              <w:spacing w:before="55" w:after="55"/>
              <w:jc w:val="both"/>
              <w:rPr>
                <w:rFonts w:cs="Segoe UI"/>
              </w:rPr>
            </w:pPr>
            <w:r w:rsidRPr="00200234">
              <w:rPr>
                <w:rFonts w:cs="Segoe UI"/>
              </w:rPr>
              <w:t>Southern</w:t>
            </w:r>
          </w:p>
        </w:tc>
        <w:tc>
          <w:tcPr>
            <w:tcW w:w="614" w:type="dxa"/>
            <w:tcBorders>
              <w:top w:val="nil"/>
            </w:tcBorders>
          </w:tcPr>
          <w:p w14:paraId="4E6D085E" w14:textId="77777777" w:rsidR="008361C5" w:rsidRPr="00200234" w:rsidRDefault="008361C5" w:rsidP="008361C5">
            <w:pPr>
              <w:pStyle w:val="TableText"/>
              <w:tabs>
                <w:tab w:val="decimal" w:pos="454"/>
              </w:tabs>
              <w:spacing w:before="55" w:after="55"/>
              <w:rPr>
                <w:rFonts w:cs="Segoe UI"/>
              </w:rPr>
            </w:pPr>
            <w:r w:rsidRPr="00200234">
              <w:rPr>
                <w:rFonts w:cs="Segoe UI"/>
              </w:rPr>
              <w:t>76</w:t>
            </w:r>
          </w:p>
        </w:tc>
        <w:tc>
          <w:tcPr>
            <w:tcW w:w="615" w:type="dxa"/>
            <w:tcBorders>
              <w:top w:val="nil"/>
            </w:tcBorders>
          </w:tcPr>
          <w:p w14:paraId="47E6CC00" w14:textId="77777777" w:rsidR="008361C5" w:rsidRPr="00200234" w:rsidRDefault="008361C5" w:rsidP="008361C5">
            <w:pPr>
              <w:pStyle w:val="TableText"/>
              <w:tabs>
                <w:tab w:val="decimal" w:pos="454"/>
              </w:tabs>
              <w:spacing w:before="55" w:after="55"/>
              <w:rPr>
                <w:rFonts w:cs="Segoe UI"/>
              </w:rPr>
            </w:pPr>
            <w:r w:rsidRPr="00200234">
              <w:rPr>
                <w:rFonts w:cs="Segoe UI"/>
              </w:rPr>
              <w:t>12</w:t>
            </w:r>
          </w:p>
        </w:tc>
        <w:tc>
          <w:tcPr>
            <w:tcW w:w="615" w:type="dxa"/>
            <w:tcBorders>
              <w:top w:val="nil"/>
            </w:tcBorders>
          </w:tcPr>
          <w:p w14:paraId="7C2CEB45" w14:textId="77777777" w:rsidR="008361C5" w:rsidRPr="00200234" w:rsidRDefault="008361C5" w:rsidP="008361C5">
            <w:pPr>
              <w:pStyle w:val="TableText"/>
              <w:spacing w:before="55" w:after="55"/>
              <w:jc w:val="center"/>
              <w:rPr>
                <w:rFonts w:cs="Segoe UI"/>
              </w:rPr>
            </w:pPr>
            <w:r w:rsidRPr="00200234">
              <w:rPr>
                <w:rFonts w:cs="Segoe UI"/>
              </w:rPr>
              <w:t>2</w:t>
            </w:r>
          </w:p>
        </w:tc>
      </w:tr>
      <w:tr w:rsidR="008361C5" w:rsidRPr="00200234" w14:paraId="102CA32B" w14:textId="77777777" w:rsidTr="008361C5">
        <w:trPr>
          <w:cantSplit/>
        </w:trPr>
        <w:tc>
          <w:tcPr>
            <w:tcW w:w="1843" w:type="dxa"/>
            <w:tcBorders>
              <w:top w:val="nil"/>
              <w:right w:val="nil"/>
            </w:tcBorders>
          </w:tcPr>
          <w:p w14:paraId="6841FB2C" w14:textId="77777777" w:rsidR="008361C5" w:rsidRPr="00200234" w:rsidRDefault="008361C5" w:rsidP="008361C5">
            <w:pPr>
              <w:pStyle w:val="TableText"/>
              <w:spacing w:before="55" w:after="55"/>
              <w:rPr>
                <w:rFonts w:cs="Segoe UI"/>
              </w:rPr>
            </w:pPr>
            <w:r w:rsidRPr="00200234">
              <w:rPr>
                <w:rFonts w:cs="Segoe UI"/>
              </w:rPr>
              <w:t>Capital &amp; Coast</w:t>
            </w:r>
          </w:p>
        </w:tc>
        <w:tc>
          <w:tcPr>
            <w:tcW w:w="708" w:type="dxa"/>
            <w:tcBorders>
              <w:top w:val="nil"/>
              <w:left w:val="nil"/>
              <w:right w:val="nil"/>
            </w:tcBorders>
          </w:tcPr>
          <w:p w14:paraId="464DB414" w14:textId="77777777" w:rsidR="008361C5" w:rsidRPr="00200234" w:rsidRDefault="008361C5" w:rsidP="008361C5">
            <w:pPr>
              <w:pStyle w:val="TableText"/>
              <w:tabs>
                <w:tab w:val="decimal" w:pos="510"/>
              </w:tabs>
              <w:spacing w:before="55" w:after="55"/>
              <w:rPr>
                <w:rFonts w:cs="Segoe UI"/>
              </w:rPr>
            </w:pPr>
            <w:r w:rsidRPr="00200234">
              <w:rPr>
                <w:rFonts w:cs="Segoe UI"/>
              </w:rPr>
              <w:t>136</w:t>
            </w:r>
          </w:p>
        </w:tc>
        <w:tc>
          <w:tcPr>
            <w:tcW w:w="709" w:type="dxa"/>
            <w:tcBorders>
              <w:top w:val="nil"/>
              <w:left w:val="nil"/>
              <w:right w:val="nil"/>
            </w:tcBorders>
          </w:tcPr>
          <w:p w14:paraId="2E024F17" w14:textId="77777777" w:rsidR="008361C5" w:rsidRPr="00200234" w:rsidRDefault="008361C5" w:rsidP="008361C5">
            <w:pPr>
              <w:pStyle w:val="TableText"/>
              <w:tabs>
                <w:tab w:val="decimal" w:pos="510"/>
              </w:tabs>
              <w:spacing w:before="55" w:after="55"/>
              <w:rPr>
                <w:rFonts w:cs="Segoe UI"/>
              </w:rPr>
            </w:pPr>
            <w:r w:rsidRPr="00200234">
              <w:rPr>
                <w:rFonts w:cs="Segoe UI"/>
              </w:rPr>
              <w:t>29</w:t>
            </w:r>
          </w:p>
        </w:tc>
        <w:tc>
          <w:tcPr>
            <w:tcW w:w="709" w:type="dxa"/>
            <w:tcBorders>
              <w:top w:val="nil"/>
              <w:left w:val="nil"/>
            </w:tcBorders>
          </w:tcPr>
          <w:p w14:paraId="29A0E772" w14:textId="77777777" w:rsidR="008361C5" w:rsidRPr="00200234" w:rsidRDefault="008361C5" w:rsidP="008361C5">
            <w:pPr>
              <w:pStyle w:val="TableText"/>
              <w:tabs>
                <w:tab w:val="decimal" w:pos="454"/>
              </w:tabs>
              <w:spacing w:before="55" w:after="55"/>
              <w:rPr>
                <w:rFonts w:cs="Segoe UI"/>
              </w:rPr>
            </w:pPr>
            <w:r w:rsidRPr="00200234">
              <w:rPr>
                <w:rFonts w:cs="Segoe UI"/>
              </w:rPr>
              <w:t>3</w:t>
            </w:r>
          </w:p>
        </w:tc>
        <w:tc>
          <w:tcPr>
            <w:tcW w:w="426" w:type="dxa"/>
            <w:tcBorders>
              <w:top w:val="nil"/>
              <w:bottom w:val="nil"/>
            </w:tcBorders>
            <w:shd w:val="clear" w:color="auto" w:fill="auto"/>
          </w:tcPr>
          <w:p w14:paraId="1CDBBBD6"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34C1B5CB" w14:textId="77777777" w:rsidR="008361C5" w:rsidRPr="00200234" w:rsidRDefault="008361C5" w:rsidP="008361C5">
            <w:pPr>
              <w:pStyle w:val="TableText"/>
              <w:spacing w:before="55" w:after="55"/>
              <w:jc w:val="both"/>
              <w:rPr>
                <w:rFonts w:cs="Segoe UI"/>
              </w:rPr>
            </w:pPr>
            <w:proofErr w:type="spellStart"/>
            <w:r w:rsidRPr="00200234">
              <w:rPr>
                <w:rFonts w:cs="Segoe UI"/>
              </w:rPr>
              <w:t>Tairāwhiti</w:t>
            </w:r>
            <w:proofErr w:type="spellEnd"/>
          </w:p>
        </w:tc>
        <w:tc>
          <w:tcPr>
            <w:tcW w:w="614" w:type="dxa"/>
            <w:tcBorders>
              <w:top w:val="nil"/>
            </w:tcBorders>
          </w:tcPr>
          <w:p w14:paraId="0667F74E" w14:textId="77777777" w:rsidR="008361C5" w:rsidRPr="00200234" w:rsidRDefault="008361C5" w:rsidP="008361C5">
            <w:pPr>
              <w:pStyle w:val="TableText"/>
              <w:tabs>
                <w:tab w:val="decimal" w:pos="454"/>
              </w:tabs>
              <w:spacing w:before="55" w:after="55"/>
              <w:rPr>
                <w:rFonts w:cs="Segoe UI"/>
              </w:rPr>
            </w:pPr>
            <w:r w:rsidRPr="00200234">
              <w:rPr>
                <w:rFonts w:cs="Segoe UI"/>
              </w:rPr>
              <w:t>110</w:t>
            </w:r>
          </w:p>
        </w:tc>
        <w:tc>
          <w:tcPr>
            <w:tcW w:w="615" w:type="dxa"/>
            <w:tcBorders>
              <w:top w:val="nil"/>
            </w:tcBorders>
          </w:tcPr>
          <w:p w14:paraId="5D87148C" w14:textId="77777777" w:rsidR="008361C5" w:rsidRPr="00200234" w:rsidRDefault="008361C5" w:rsidP="008361C5">
            <w:pPr>
              <w:pStyle w:val="TableText"/>
              <w:tabs>
                <w:tab w:val="decimal" w:pos="454"/>
              </w:tabs>
              <w:spacing w:before="55" w:after="55"/>
              <w:rPr>
                <w:rFonts w:cs="Segoe UI"/>
              </w:rPr>
            </w:pPr>
            <w:r w:rsidRPr="00200234">
              <w:rPr>
                <w:rFonts w:cs="Segoe UI"/>
              </w:rPr>
              <w:t>3</w:t>
            </w:r>
          </w:p>
        </w:tc>
        <w:tc>
          <w:tcPr>
            <w:tcW w:w="615" w:type="dxa"/>
            <w:tcBorders>
              <w:top w:val="nil"/>
            </w:tcBorders>
          </w:tcPr>
          <w:p w14:paraId="222C14F4" w14:textId="77777777" w:rsidR="008361C5" w:rsidRPr="00200234" w:rsidRDefault="008361C5" w:rsidP="008361C5">
            <w:pPr>
              <w:pStyle w:val="TableText"/>
              <w:spacing w:before="55" w:after="55"/>
              <w:jc w:val="center"/>
              <w:rPr>
                <w:rFonts w:cs="Segoe UI"/>
              </w:rPr>
            </w:pPr>
            <w:r w:rsidRPr="00200234">
              <w:rPr>
                <w:rFonts w:cs="Segoe UI"/>
              </w:rPr>
              <w:t>2</w:t>
            </w:r>
          </w:p>
        </w:tc>
      </w:tr>
      <w:tr w:rsidR="008361C5" w:rsidRPr="00200234" w14:paraId="55F4F3BA" w14:textId="77777777" w:rsidTr="008361C5">
        <w:trPr>
          <w:cantSplit/>
        </w:trPr>
        <w:tc>
          <w:tcPr>
            <w:tcW w:w="1843" w:type="dxa"/>
            <w:tcBorders>
              <w:top w:val="nil"/>
              <w:right w:val="nil"/>
            </w:tcBorders>
          </w:tcPr>
          <w:p w14:paraId="1B7C69E3" w14:textId="77777777" w:rsidR="008361C5" w:rsidRPr="00200234" w:rsidRDefault="008361C5" w:rsidP="008361C5">
            <w:pPr>
              <w:pStyle w:val="TableText"/>
              <w:spacing w:before="55" w:after="55"/>
              <w:rPr>
                <w:rFonts w:cs="Segoe UI"/>
              </w:rPr>
            </w:pPr>
            <w:r w:rsidRPr="00200234">
              <w:rPr>
                <w:rFonts w:cs="Segoe UI"/>
              </w:rPr>
              <w:t>Counties Manukau</w:t>
            </w:r>
          </w:p>
        </w:tc>
        <w:tc>
          <w:tcPr>
            <w:tcW w:w="708" w:type="dxa"/>
            <w:tcBorders>
              <w:top w:val="nil"/>
              <w:left w:val="nil"/>
              <w:right w:val="nil"/>
            </w:tcBorders>
          </w:tcPr>
          <w:p w14:paraId="0EF6E4F6" w14:textId="77777777" w:rsidR="008361C5" w:rsidRPr="00200234" w:rsidRDefault="008361C5" w:rsidP="008361C5">
            <w:pPr>
              <w:pStyle w:val="TableText"/>
              <w:tabs>
                <w:tab w:val="decimal" w:pos="510"/>
              </w:tabs>
              <w:spacing w:before="55" w:after="55"/>
              <w:rPr>
                <w:rFonts w:cs="Segoe UI"/>
              </w:rPr>
            </w:pPr>
            <w:r w:rsidRPr="00200234">
              <w:rPr>
                <w:rFonts w:cs="Segoe UI"/>
              </w:rPr>
              <w:t>76</w:t>
            </w:r>
          </w:p>
        </w:tc>
        <w:tc>
          <w:tcPr>
            <w:tcW w:w="709" w:type="dxa"/>
            <w:tcBorders>
              <w:top w:val="nil"/>
              <w:left w:val="nil"/>
              <w:right w:val="nil"/>
            </w:tcBorders>
          </w:tcPr>
          <w:p w14:paraId="30BA6D63" w14:textId="77777777" w:rsidR="008361C5" w:rsidRPr="00200234" w:rsidRDefault="008361C5" w:rsidP="008361C5">
            <w:pPr>
              <w:pStyle w:val="TableText"/>
              <w:tabs>
                <w:tab w:val="decimal" w:pos="510"/>
              </w:tabs>
              <w:spacing w:before="55" w:after="55"/>
              <w:rPr>
                <w:rFonts w:cs="Segoe UI"/>
              </w:rPr>
            </w:pPr>
            <w:r w:rsidRPr="00200234">
              <w:rPr>
                <w:rFonts w:cs="Segoe UI"/>
              </w:rPr>
              <w:t>11</w:t>
            </w:r>
          </w:p>
        </w:tc>
        <w:tc>
          <w:tcPr>
            <w:tcW w:w="709" w:type="dxa"/>
            <w:tcBorders>
              <w:top w:val="nil"/>
              <w:left w:val="nil"/>
            </w:tcBorders>
          </w:tcPr>
          <w:p w14:paraId="7B033565" w14:textId="77777777" w:rsidR="008361C5" w:rsidRPr="00200234" w:rsidRDefault="008361C5" w:rsidP="008361C5">
            <w:pPr>
              <w:pStyle w:val="TableText"/>
              <w:tabs>
                <w:tab w:val="decimal" w:pos="454"/>
              </w:tabs>
              <w:spacing w:before="55" w:after="55"/>
              <w:rPr>
                <w:rFonts w:cs="Segoe UI"/>
              </w:rPr>
            </w:pPr>
            <w:r w:rsidRPr="00200234">
              <w:rPr>
                <w:rFonts w:cs="Segoe UI"/>
              </w:rPr>
              <w:t>2</w:t>
            </w:r>
          </w:p>
        </w:tc>
        <w:tc>
          <w:tcPr>
            <w:tcW w:w="426" w:type="dxa"/>
            <w:tcBorders>
              <w:top w:val="nil"/>
              <w:bottom w:val="nil"/>
            </w:tcBorders>
            <w:shd w:val="clear" w:color="auto" w:fill="auto"/>
          </w:tcPr>
          <w:p w14:paraId="45245A01"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1E9DAB03" w14:textId="77777777" w:rsidR="008361C5" w:rsidRPr="00200234" w:rsidRDefault="008361C5" w:rsidP="008361C5">
            <w:pPr>
              <w:pStyle w:val="TableText"/>
              <w:spacing w:before="55" w:after="55"/>
              <w:jc w:val="both"/>
              <w:rPr>
                <w:rFonts w:cs="Segoe UI"/>
              </w:rPr>
            </w:pPr>
            <w:r w:rsidRPr="00200234">
              <w:rPr>
                <w:rFonts w:cs="Segoe UI"/>
              </w:rPr>
              <w:t>Taranaki</w:t>
            </w:r>
          </w:p>
        </w:tc>
        <w:tc>
          <w:tcPr>
            <w:tcW w:w="614" w:type="dxa"/>
            <w:tcBorders>
              <w:top w:val="nil"/>
            </w:tcBorders>
          </w:tcPr>
          <w:p w14:paraId="21B652FB" w14:textId="77777777" w:rsidR="008361C5" w:rsidRPr="00200234" w:rsidRDefault="008361C5" w:rsidP="008361C5">
            <w:pPr>
              <w:pStyle w:val="TableText"/>
              <w:tabs>
                <w:tab w:val="decimal" w:pos="454"/>
              </w:tabs>
              <w:spacing w:before="55" w:after="55"/>
              <w:rPr>
                <w:rFonts w:cs="Segoe UI"/>
              </w:rPr>
            </w:pPr>
            <w:r w:rsidRPr="00200234">
              <w:rPr>
                <w:rFonts w:cs="Segoe UI"/>
              </w:rPr>
              <w:t>88</w:t>
            </w:r>
          </w:p>
        </w:tc>
        <w:tc>
          <w:tcPr>
            <w:tcW w:w="615" w:type="dxa"/>
            <w:tcBorders>
              <w:top w:val="nil"/>
            </w:tcBorders>
          </w:tcPr>
          <w:p w14:paraId="6A9A2632" w14:textId="77777777" w:rsidR="008361C5" w:rsidRPr="00200234" w:rsidRDefault="008361C5" w:rsidP="008361C5">
            <w:pPr>
              <w:pStyle w:val="TableText"/>
              <w:tabs>
                <w:tab w:val="decimal" w:pos="454"/>
              </w:tabs>
              <w:spacing w:before="55" w:after="55"/>
              <w:rPr>
                <w:rFonts w:cs="Segoe UI"/>
              </w:rPr>
            </w:pPr>
            <w:r w:rsidRPr="00200234">
              <w:rPr>
                <w:rFonts w:cs="Segoe UI"/>
              </w:rPr>
              <w:t>5</w:t>
            </w:r>
          </w:p>
        </w:tc>
        <w:tc>
          <w:tcPr>
            <w:tcW w:w="615" w:type="dxa"/>
            <w:tcBorders>
              <w:top w:val="nil"/>
            </w:tcBorders>
          </w:tcPr>
          <w:p w14:paraId="36B84327" w14:textId="77777777" w:rsidR="008361C5" w:rsidRPr="00200234" w:rsidRDefault="008361C5" w:rsidP="008361C5">
            <w:pPr>
              <w:pStyle w:val="TableText"/>
              <w:spacing w:before="55" w:after="55"/>
              <w:jc w:val="center"/>
              <w:rPr>
                <w:rFonts w:cs="Segoe UI"/>
              </w:rPr>
            </w:pPr>
            <w:r w:rsidRPr="00200234">
              <w:rPr>
                <w:rFonts w:cs="Segoe UI"/>
              </w:rPr>
              <w:t>3</w:t>
            </w:r>
          </w:p>
        </w:tc>
      </w:tr>
      <w:tr w:rsidR="008361C5" w:rsidRPr="00200234" w14:paraId="7FEA24E9" w14:textId="77777777" w:rsidTr="008361C5">
        <w:trPr>
          <w:cantSplit/>
        </w:trPr>
        <w:tc>
          <w:tcPr>
            <w:tcW w:w="1843" w:type="dxa"/>
            <w:tcBorders>
              <w:top w:val="nil"/>
              <w:right w:val="nil"/>
            </w:tcBorders>
          </w:tcPr>
          <w:p w14:paraId="31370821" w14:textId="77777777" w:rsidR="008361C5" w:rsidRPr="00200234" w:rsidRDefault="008361C5" w:rsidP="008361C5">
            <w:pPr>
              <w:pStyle w:val="TableText"/>
              <w:spacing w:before="55" w:after="55"/>
              <w:rPr>
                <w:rFonts w:cs="Segoe UI"/>
              </w:rPr>
            </w:pPr>
            <w:r w:rsidRPr="00200234">
              <w:rPr>
                <w:rFonts w:cs="Segoe UI"/>
              </w:rPr>
              <w:t>Hawke’s Bay</w:t>
            </w:r>
          </w:p>
        </w:tc>
        <w:tc>
          <w:tcPr>
            <w:tcW w:w="708" w:type="dxa"/>
            <w:tcBorders>
              <w:top w:val="nil"/>
              <w:left w:val="nil"/>
              <w:right w:val="nil"/>
            </w:tcBorders>
          </w:tcPr>
          <w:p w14:paraId="273FA07F" w14:textId="77777777" w:rsidR="008361C5" w:rsidRPr="00200234" w:rsidRDefault="008361C5" w:rsidP="008361C5">
            <w:pPr>
              <w:pStyle w:val="TableText"/>
              <w:tabs>
                <w:tab w:val="decimal" w:pos="510"/>
              </w:tabs>
              <w:spacing w:before="55" w:after="55"/>
              <w:rPr>
                <w:rFonts w:cs="Segoe UI"/>
              </w:rPr>
            </w:pPr>
            <w:r w:rsidRPr="00200234">
              <w:rPr>
                <w:rFonts w:cs="Segoe UI"/>
              </w:rPr>
              <w:t>162</w:t>
            </w:r>
          </w:p>
        </w:tc>
        <w:tc>
          <w:tcPr>
            <w:tcW w:w="709" w:type="dxa"/>
            <w:tcBorders>
              <w:top w:val="nil"/>
              <w:left w:val="nil"/>
              <w:right w:val="nil"/>
            </w:tcBorders>
          </w:tcPr>
          <w:p w14:paraId="4EFCFF0E" w14:textId="77777777" w:rsidR="008361C5" w:rsidRPr="00200234" w:rsidRDefault="008361C5" w:rsidP="008361C5">
            <w:pPr>
              <w:pStyle w:val="TableText"/>
              <w:tabs>
                <w:tab w:val="decimal" w:pos="510"/>
              </w:tabs>
              <w:spacing w:before="55" w:after="55"/>
              <w:rPr>
                <w:rFonts w:cs="Segoe UI"/>
              </w:rPr>
            </w:pPr>
            <w:r w:rsidRPr="00200234">
              <w:rPr>
                <w:rFonts w:cs="Segoe UI"/>
              </w:rPr>
              <w:t>20</w:t>
            </w:r>
          </w:p>
        </w:tc>
        <w:tc>
          <w:tcPr>
            <w:tcW w:w="709" w:type="dxa"/>
            <w:tcBorders>
              <w:top w:val="nil"/>
              <w:left w:val="nil"/>
            </w:tcBorders>
          </w:tcPr>
          <w:p w14:paraId="5AD18A89" w14:textId="77777777" w:rsidR="008361C5" w:rsidRPr="00200234" w:rsidRDefault="008361C5" w:rsidP="008361C5">
            <w:pPr>
              <w:pStyle w:val="TableText"/>
              <w:tabs>
                <w:tab w:val="decimal" w:pos="454"/>
              </w:tabs>
              <w:spacing w:before="55" w:after="55"/>
              <w:rPr>
                <w:rFonts w:cs="Segoe UI"/>
              </w:rPr>
            </w:pPr>
            <w:r w:rsidRPr="00200234">
              <w:rPr>
                <w:rFonts w:cs="Segoe UI"/>
              </w:rPr>
              <w:t>16</w:t>
            </w:r>
          </w:p>
        </w:tc>
        <w:tc>
          <w:tcPr>
            <w:tcW w:w="426" w:type="dxa"/>
            <w:tcBorders>
              <w:top w:val="nil"/>
              <w:bottom w:val="nil"/>
            </w:tcBorders>
            <w:shd w:val="clear" w:color="auto" w:fill="auto"/>
          </w:tcPr>
          <w:p w14:paraId="33BC8A6E"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63175D93" w14:textId="77777777" w:rsidR="008361C5" w:rsidRPr="00200234" w:rsidRDefault="008361C5" w:rsidP="008361C5">
            <w:pPr>
              <w:pStyle w:val="TableText"/>
              <w:spacing w:before="55" w:after="55"/>
              <w:jc w:val="both"/>
              <w:rPr>
                <w:rFonts w:cs="Segoe UI"/>
              </w:rPr>
            </w:pPr>
            <w:r w:rsidRPr="00200234">
              <w:rPr>
                <w:rFonts w:cs="Segoe UI"/>
              </w:rPr>
              <w:t>Waikato</w:t>
            </w:r>
          </w:p>
        </w:tc>
        <w:tc>
          <w:tcPr>
            <w:tcW w:w="614" w:type="dxa"/>
            <w:tcBorders>
              <w:top w:val="nil"/>
            </w:tcBorders>
          </w:tcPr>
          <w:p w14:paraId="126DB269" w14:textId="77777777" w:rsidR="008361C5" w:rsidRPr="00200234" w:rsidRDefault="008361C5" w:rsidP="008361C5">
            <w:pPr>
              <w:pStyle w:val="TableText"/>
              <w:tabs>
                <w:tab w:val="decimal" w:pos="454"/>
              </w:tabs>
              <w:spacing w:before="55" w:after="55"/>
              <w:rPr>
                <w:rFonts w:cs="Segoe UI"/>
              </w:rPr>
            </w:pPr>
            <w:r w:rsidRPr="00200234">
              <w:rPr>
                <w:rFonts w:cs="Segoe UI"/>
              </w:rPr>
              <w:t>127</w:t>
            </w:r>
          </w:p>
        </w:tc>
        <w:tc>
          <w:tcPr>
            <w:tcW w:w="615" w:type="dxa"/>
            <w:tcBorders>
              <w:top w:val="nil"/>
            </w:tcBorders>
          </w:tcPr>
          <w:p w14:paraId="1562301A" w14:textId="77777777" w:rsidR="008361C5" w:rsidRPr="00200234" w:rsidRDefault="008361C5" w:rsidP="008361C5">
            <w:pPr>
              <w:pStyle w:val="TableText"/>
              <w:tabs>
                <w:tab w:val="decimal" w:pos="454"/>
              </w:tabs>
              <w:spacing w:before="55" w:after="55"/>
              <w:rPr>
                <w:rFonts w:cs="Segoe UI"/>
              </w:rPr>
            </w:pPr>
            <w:r w:rsidRPr="00200234">
              <w:rPr>
                <w:rFonts w:cs="Segoe UI"/>
              </w:rPr>
              <w:t>16</w:t>
            </w:r>
          </w:p>
        </w:tc>
        <w:tc>
          <w:tcPr>
            <w:tcW w:w="615" w:type="dxa"/>
            <w:tcBorders>
              <w:top w:val="nil"/>
            </w:tcBorders>
          </w:tcPr>
          <w:p w14:paraId="72DC13A2" w14:textId="77777777" w:rsidR="008361C5" w:rsidRPr="00200234" w:rsidRDefault="008361C5" w:rsidP="008361C5">
            <w:pPr>
              <w:pStyle w:val="TableText"/>
              <w:spacing w:before="55" w:after="55"/>
              <w:jc w:val="center"/>
              <w:rPr>
                <w:rFonts w:cs="Segoe UI"/>
              </w:rPr>
            </w:pPr>
            <w:r w:rsidRPr="00200234">
              <w:rPr>
                <w:rFonts w:cs="Segoe UI"/>
              </w:rPr>
              <w:t>2</w:t>
            </w:r>
          </w:p>
        </w:tc>
      </w:tr>
      <w:tr w:rsidR="008361C5" w:rsidRPr="00200234" w14:paraId="0577C01B" w14:textId="77777777" w:rsidTr="008361C5">
        <w:trPr>
          <w:cantSplit/>
        </w:trPr>
        <w:tc>
          <w:tcPr>
            <w:tcW w:w="1843" w:type="dxa"/>
            <w:tcBorders>
              <w:top w:val="nil"/>
              <w:right w:val="nil"/>
            </w:tcBorders>
          </w:tcPr>
          <w:p w14:paraId="5496F09C" w14:textId="77777777" w:rsidR="008361C5" w:rsidRPr="00200234" w:rsidRDefault="008361C5" w:rsidP="008361C5">
            <w:pPr>
              <w:pStyle w:val="TableText"/>
              <w:spacing w:before="55" w:after="55"/>
              <w:rPr>
                <w:rFonts w:cs="Segoe UI"/>
              </w:rPr>
            </w:pPr>
            <w:r w:rsidRPr="00200234">
              <w:rPr>
                <w:rFonts w:cs="Segoe UI"/>
              </w:rPr>
              <w:t>Hutt Valley</w:t>
            </w:r>
          </w:p>
        </w:tc>
        <w:tc>
          <w:tcPr>
            <w:tcW w:w="708" w:type="dxa"/>
            <w:tcBorders>
              <w:top w:val="nil"/>
              <w:left w:val="nil"/>
              <w:right w:val="nil"/>
            </w:tcBorders>
          </w:tcPr>
          <w:p w14:paraId="3D997527" w14:textId="77777777" w:rsidR="008361C5" w:rsidRPr="00200234" w:rsidRDefault="008361C5" w:rsidP="008361C5">
            <w:pPr>
              <w:pStyle w:val="TableText"/>
              <w:tabs>
                <w:tab w:val="decimal" w:pos="510"/>
              </w:tabs>
              <w:spacing w:before="55" w:after="55"/>
              <w:rPr>
                <w:rFonts w:cs="Segoe UI"/>
              </w:rPr>
            </w:pPr>
            <w:r w:rsidRPr="00200234">
              <w:rPr>
                <w:rFonts w:cs="Segoe UI"/>
              </w:rPr>
              <w:t>80</w:t>
            </w:r>
          </w:p>
        </w:tc>
        <w:tc>
          <w:tcPr>
            <w:tcW w:w="709" w:type="dxa"/>
            <w:tcBorders>
              <w:top w:val="nil"/>
              <w:left w:val="nil"/>
              <w:right w:val="nil"/>
            </w:tcBorders>
          </w:tcPr>
          <w:p w14:paraId="433022E6" w14:textId="77777777" w:rsidR="008361C5" w:rsidRPr="00200234" w:rsidRDefault="008361C5" w:rsidP="008361C5">
            <w:pPr>
              <w:pStyle w:val="TableText"/>
              <w:tabs>
                <w:tab w:val="decimal" w:pos="510"/>
              </w:tabs>
              <w:spacing w:before="55" w:after="55"/>
              <w:rPr>
                <w:rFonts w:cs="Segoe UI"/>
              </w:rPr>
            </w:pPr>
            <w:r w:rsidRPr="00200234">
              <w:rPr>
                <w:rFonts w:cs="Segoe UI"/>
              </w:rPr>
              <w:t>9</w:t>
            </w:r>
          </w:p>
        </w:tc>
        <w:tc>
          <w:tcPr>
            <w:tcW w:w="709" w:type="dxa"/>
            <w:tcBorders>
              <w:top w:val="nil"/>
              <w:left w:val="nil"/>
            </w:tcBorders>
          </w:tcPr>
          <w:p w14:paraId="28B7A135" w14:textId="77777777" w:rsidR="008361C5" w:rsidRPr="00200234" w:rsidRDefault="008361C5" w:rsidP="008361C5">
            <w:pPr>
              <w:pStyle w:val="TableText"/>
              <w:tabs>
                <w:tab w:val="decimal" w:pos="454"/>
              </w:tabs>
              <w:spacing w:before="55" w:after="55"/>
              <w:rPr>
                <w:rFonts w:cs="Segoe UI"/>
              </w:rPr>
            </w:pPr>
            <w:r w:rsidRPr="00200234">
              <w:rPr>
                <w:rFonts w:cs="Segoe UI"/>
              </w:rPr>
              <w:t>2</w:t>
            </w:r>
          </w:p>
        </w:tc>
        <w:tc>
          <w:tcPr>
            <w:tcW w:w="426" w:type="dxa"/>
            <w:tcBorders>
              <w:top w:val="nil"/>
              <w:bottom w:val="nil"/>
            </w:tcBorders>
            <w:shd w:val="clear" w:color="auto" w:fill="auto"/>
          </w:tcPr>
          <w:p w14:paraId="27B024F4"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2B866F0C" w14:textId="77777777" w:rsidR="008361C5" w:rsidRPr="00200234" w:rsidRDefault="008361C5" w:rsidP="008361C5">
            <w:pPr>
              <w:pStyle w:val="TableText"/>
              <w:spacing w:before="55" w:after="55"/>
              <w:jc w:val="both"/>
              <w:rPr>
                <w:rFonts w:cs="Segoe UI"/>
              </w:rPr>
            </w:pPr>
            <w:r w:rsidRPr="00200234">
              <w:rPr>
                <w:rFonts w:cs="Segoe UI"/>
              </w:rPr>
              <w:t>Wairarapa</w:t>
            </w:r>
          </w:p>
        </w:tc>
        <w:tc>
          <w:tcPr>
            <w:tcW w:w="614" w:type="dxa"/>
            <w:tcBorders>
              <w:top w:val="nil"/>
            </w:tcBorders>
          </w:tcPr>
          <w:p w14:paraId="5F5EE0FF" w14:textId="77777777" w:rsidR="008361C5" w:rsidRPr="00200234" w:rsidRDefault="008361C5" w:rsidP="008361C5">
            <w:pPr>
              <w:pStyle w:val="TableText"/>
              <w:tabs>
                <w:tab w:val="decimal" w:pos="454"/>
              </w:tabs>
              <w:spacing w:before="55" w:after="55"/>
              <w:rPr>
                <w:rFonts w:cs="Segoe UI"/>
              </w:rPr>
            </w:pPr>
            <w:r w:rsidRPr="00200234">
              <w:rPr>
                <w:rFonts w:cs="Segoe UI"/>
              </w:rPr>
              <w:t>53</w:t>
            </w:r>
          </w:p>
        </w:tc>
        <w:tc>
          <w:tcPr>
            <w:tcW w:w="615" w:type="dxa"/>
            <w:tcBorders>
              <w:top w:val="nil"/>
            </w:tcBorders>
          </w:tcPr>
          <w:p w14:paraId="55EA74F8" w14:textId="77777777" w:rsidR="008361C5" w:rsidRPr="00200234" w:rsidRDefault="008361C5" w:rsidP="008361C5">
            <w:pPr>
              <w:pStyle w:val="TableText"/>
              <w:tabs>
                <w:tab w:val="decimal" w:pos="454"/>
              </w:tabs>
              <w:spacing w:before="55" w:after="55"/>
              <w:rPr>
                <w:rFonts w:cs="Segoe UI"/>
              </w:rPr>
            </w:pPr>
            <w:r w:rsidRPr="00200234">
              <w:rPr>
                <w:rFonts w:cs="Segoe UI"/>
              </w:rPr>
              <w:t>–</w:t>
            </w:r>
          </w:p>
        </w:tc>
        <w:tc>
          <w:tcPr>
            <w:tcW w:w="615" w:type="dxa"/>
            <w:tcBorders>
              <w:top w:val="nil"/>
            </w:tcBorders>
          </w:tcPr>
          <w:p w14:paraId="1E96423C" w14:textId="77777777" w:rsidR="008361C5" w:rsidRPr="00200234" w:rsidRDefault="008361C5" w:rsidP="008361C5">
            <w:pPr>
              <w:pStyle w:val="TableText"/>
              <w:spacing w:before="55" w:after="55"/>
              <w:jc w:val="center"/>
              <w:rPr>
                <w:rFonts w:cs="Segoe UI"/>
              </w:rPr>
            </w:pPr>
            <w:r w:rsidRPr="00200234">
              <w:rPr>
                <w:rFonts w:cs="Segoe UI"/>
              </w:rPr>
              <w:t>–</w:t>
            </w:r>
          </w:p>
        </w:tc>
      </w:tr>
      <w:tr w:rsidR="008361C5" w:rsidRPr="00200234" w14:paraId="4804E729" w14:textId="77777777" w:rsidTr="008361C5">
        <w:trPr>
          <w:cantSplit/>
        </w:trPr>
        <w:tc>
          <w:tcPr>
            <w:tcW w:w="1843" w:type="dxa"/>
            <w:tcBorders>
              <w:top w:val="nil"/>
              <w:right w:val="nil"/>
            </w:tcBorders>
          </w:tcPr>
          <w:p w14:paraId="5E118A26" w14:textId="77777777" w:rsidR="008361C5" w:rsidRPr="00200234" w:rsidRDefault="008361C5" w:rsidP="008361C5">
            <w:pPr>
              <w:pStyle w:val="TableText"/>
              <w:spacing w:before="55" w:after="55"/>
              <w:rPr>
                <w:rFonts w:cs="Segoe UI"/>
              </w:rPr>
            </w:pPr>
            <w:r w:rsidRPr="00200234">
              <w:rPr>
                <w:rFonts w:cs="Segoe UI"/>
              </w:rPr>
              <w:t>Lakes</w:t>
            </w:r>
          </w:p>
        </w:tc>
        <w:tc>
          <w:tcPr>
            <w:tcW w:w="708" w:type="dxa"/>
            <w:tcBorders>
              <w:top w:val="nil"/>
              <w:left w:val="nil"/>
              <w:right w:val="nil"/>
            </w:tcBorders>
          </w:tcPr>
          <w:p w14:paraId="61EDB270" w14:textId="77777777" w:rsidR="008361C5" w:rsidRPr="00200234" w:rsidRDefault="008361C5" w:rsidP="008361C5">
            <w:pPr>
              <w:pStyle w:val="TableText"/>
              <w:tabs>
                <w:tab w:val="decimal" w:pos="510"/>
              </w:tabs>
              <w:spacing w:before="55" w:after="55"/>
              <w:rPr>
                <w:rFonts w:cs="Segoe UI"/>
              </w:rPr>
            </w:pPr>
            <w:r w:rsidRPr="00200234">
              <w:rPr>
                <w:rFonts w:cs="Segoe UI"/>
              </w:rPr>
              <w:t>77</w:t>
            </w:r>
          </w:p>
        </w:tc>
        <w:tc>
          <w:tcPr>
            <w:tcW w:w="709" w:type="dxa"/>
            <w:tcBorders>
              <w:top w:val="nil"/>
              <w:left w:val="nil"/>
              <w:right w:val="nil"/>
            </w:tcBorders>
          </w:tcPr>
          <w:p w14:paraId="76E35C55" w14:textId="77777777" w:rsidR="008361C5" w:rsidRPr="00200234" w:rsidRDefault="008361C5" w:rsidP="008361C5">
            <w:pPr>
              <w:pStyle w:val="TableText"/>
              <w:tabs>
                <w:tab w:val="decimal" w:pos="510"/>
              </w:tabs>
              <w:spacing w:before="55" w:after="55"/>
              <w:rPr>
                <w:rFonts w:cs="Segoe UI"/>
              </w:rPr>
            </w:pPr>
            <w:r w:rsidRPr="00200234">
              <w:rPr>
                <w:rFonts w:cs="Segoe UI"/>
              </w:rPr>
              <w:t>7</w:t>
            </w:r>
          </w:p>
        </w:tc>
        <w:tc>
          <w:tcPr>
            <w:tcW w:w="709" w:type="dxa"/>
            <w:tcBorders>
              <w:top w:val="nil"/>
              <w:left w:val="nil"/>
            </w:tcBorders>
          </w:tcPr>
          <w:p w14:paraId="0B5A2D6E" w14:textId="77777777" w:rsidR="008361C5" w:rsidRPr="00200234" w:rsidRDefault="008361C5" w:rsidP="008361C5">
            <w:pPr>
              <w:pStyle w:val="TableText"/>
              <w:tabs>
                <w:tab w:val="decimal" w:pos="454"/>
              </w:tabs>
              <w:spacing w:before="55" w:after="55"/>
              <w:rPr>
                <w:rFonts w:cs="Segoe UI"/>
              </w:rPr>
            </w:pPr>
            <w:r w:rsidRPr="00200234">
              <w:rPr>
                <w:rFonts w:cs="Segoe UI"/>
              </w:rPr>
              <w:t>3</w:t>
            </w:r>
          </w:p>
        </w:tc>
        <w:tc>
          <w:tcPr>
            <w:tcW w:w="426" w:type="dxa"/>
            <w:tcBorders>
              <w:top w:val="nil"/>
              <w:bottom w:val="nil"/>
            </w:tcBorders>
            <w:shd w:val="clear" w:color="auto" w:fill="auto"/>
          </w:tcPr>
          <w:p w14:paraId="1D8D94E1"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5B952CE4" w14:textId="77777777" w:rsidR="008361C5" w:rsidRPr="00200234" w:rsidRDefault="008361C5" w:rsidP="008361C5">
            <w:pPr>
              <w:pStyle w:val="TableText"/>
              <w:spacing w:before="55" w:after="55"/>
              <w:jc w:val="both"/>
              <w:rPr>
                <w:rFonts w:cs="Segoe UI"/>
              </w:rPr>
            </w:pPr>
            <w:proofErr w:type="spellStart"/>
            <w:r w:rsidRPr="00200234">
              <w:rPr>
                <w:rFonts w:cs="Segoe UI"/>
              </w:rPr>
              <w:t>Waitematā</w:t>
            </w:r>
            <w:proofErr w:type="spellEnd"/>
          </w:p>
        </w:tc>
        <w:tc>
          <w:tcPr>
            <w:tcW w:w="614" w:type="dxa"/>
            <w:tcBorders>
              <w:top w:val="nil"/>
            </w:tcBorders>
          </w:tcPr>
          <w:p w14:paraId="04E806AA" w14:textId="77777777" w:rsidR="008361C5" w:rsidRPr="00200234" w:rsidRDefault="008361C5" w:rsidP="008361C5">
            <w:pPr>
              <w:pStyle w:val="TableText"/>
              <w:tabs>
                <w:tab w:val="decimal" w:pos="454"/>
              </w:tabs>
              <w:spacing w:before="55" w:after="55"/>
              <w:rPr>
                <w:rFonts w:cs="Segoe UI"/>
              </w:rPr>
            </w:pPr>
            <w:r w:rsidRPr="00200234">
              <w:rPr>
                <w:rFonts w:cs="Segoe UI"/>
              </w:rPr>
              <w:t>74</w:t>
            </w:r>
          </w:p>
        </w:tc>
        <w:tc>
          <w:tcPr>
            <w:tcW w:w="615" w:type="dxa"/>
            <w:tcBorders>
              <w:top w:val="nil"/>
            </w:tcBorders>
          </w:tcPr>
          <w:p w14:paraId="54546772" w14:textId="77777777" w:rsidR="008361C5" w:rsidRPr="00200234" w:rsidRDefault="008361C5" w:rsidP="008361C5">
            <w:pPr>
              <w:pStyle w:val="TableText"/>
              <w:tabs>
                <w:tab w:val="decimal" w:pos="454"/>
              </w:tabs>
              <w:spacing w:before="55" w:after="55"/>
              <w:rPr>
                <w:rFonts w:cs="Segoe UI"/>
              </w:rPr>
            </w:pPr>
            <w:r w:rsidRPr="00200234">
              <w:rPr>
                <w:rFonts w:cs="Segoe UI"/>
              </w:rPr>
              <w:t>12</w:t>
            </w:r>
          </w:p>
        </w:tc>
        <w:tc>
          <w:tcPr>
            <w:tcW w:w="615" w:type="dxa"/>
            <w:tcBorders>
              <w:top w:val="nil"/>
            </w:tcBorders>
          </w:tcPr>
          <w:p w14:paraId="45116963" w14:textId="77777777" w:rsidR="008361C5" w:rsidRPr="00200234" w:rsidRDefault="008361C5" w:rsidP="008361C5">
            <w:pPr>
              <w:pStyle w:val="TableText"/>
              <w:spacing w:before="55" w:after="55"/>
              <w:jc w:val="center"/>
              <w:rPr>
                <w:rFonts w:cs="Segoe UI"/>
              </w:rPr>
            </w:pPr>
            <w:r w:rsidRPr="00200234">
              <w:rPr>
                <w:rFonts w:cs="Segoe UI"/>
              </w:rPr>
              <w:t>2</w:t>
            </w:r>
          </w:p>
        </w:tc>
      </w:tr>
      <w:tr w:rsidR="008361C5" w:rsidRPr="00200234" w14:paraId="3331A5AE" w14:textId="77777777" w:rsidTr="008361C5">
        <w:trPr>
          <w:cantSplit/>
        </w:trPr>
        <w:tc>
          <w:tcPr>
            <w:tcW w:w="1843" w:type="dxa"/>
            <w:tcBorders>
              <w:top w:val="nil"/>
              <w:right w:val="nil"/>
            </w:tcBorders>
          </w:tcPr>
          <w:p w14:paraId="7F24F4D2" w14:textId="77777777" w:rsidR="008361C5" w:rsidRPr="00200234" w:rsidRDefault="008361C5" w:rsidP="008361C5">
            <w:pPr>
              <w:pStyle w:val="TableText"/>
              <w:spacing w:before="55" w:after="55"/>
              <w:rPr>
                <w:rFonts w:cs="Segoe UI"/>
              </w:rPr>
            </w:pPr>
            <w:proofErr w:type="spellStart"/>
            <w:r w:rsidRPr="00200234">
              <w:rPr>
                <w:rFonts w:cs="Segoe UI"/>
              </w:rPr>
              <w:t>MidCentral</w:t>
            </w:r>
            <w:proofErr w:type="spellEnd"/>
          </w:p>
        </w:tc>
        <w:tc>
          <w:tcPr>
            <w:tcW w:w="708" w:type="dxa"/>
            <w:tcBorders>
              <w:top w:val="nil"/>
              <w:left w:val="nil"/>
              <w:right w:val="nil"/>
            </w:tcBorders>
          </w:tcPr>
          <w:p w14:paraId="47D10FD4" w14:textId="77777777" w:rsidR="008361C5" w:rsidRPr="00200234" w:rsidRDefault="008361C5" w:rsidP="008361C5">
            <w:pPr>
              <w:pStyle w:val="TableText"/>
              <w:tabs>
                <w:tab w:val="decimal" w:pos="510"/>
              </w:tabs>
              <w:spacing w:before="55" w:after="55"/>
              <w:rPr>
                <w:rFonts w:cs="Segoe UI"/>
              </w:rPr>
            </w:pPr>
            <w:r w:rsidRPr="00200234">
              <w:rPr>
                <w:rFonts w:cs="Segoe UI"/>
              </w:rPr>
              <w:t>99</w:t>
            </w:r>
          </w:p>
        </w:tc>
        <w:tc>
          <w:tcPr>
            <w:tcW w:w="709" w:type="dxa"/>
            <w:tcBorders>
              <w:top w:val="nil"/>
              <w:left w:val="nil"/>
              <w:right w:val="nil"/>
            </w:tcBorders>
          </w:tcPr>
          <w:p w14:paraId="3A591574" w14:textId="77777777" w:rsidR="008361C5" w:rsidRPr="00200234" w:rsidRDefault="008361C5" w:rsidP="008361C5">
            <w:pPr>
              <w:pStyle w:val="TableText"/>
              <w:tabs>
                <w:tab w:val="decimal" w:pos="510"/>
              </w:tabs>
              <w:spacing w:before="55" w:after="55"/>
              <w:rPr>
                <w:rFonts w:cs="Segoe UI"/>
              </w:rPr>
            </w:pPr>
            <w:r w:rsidRPr="00200234">
              <w:rPr>
                <w:rFonts w:cs="Segoe UI"/>
              </w:rPr>
              <w:t>5</w:t>
            </w:r>
          </w:p>
        </w:tc>
        <w:tc>
          <w:tcPr>
            <w:tcW w:w="709" w:type="dxa"/>
            <w:tcBorders>
              <w:top w:val="nil"/>
              <w:left w:val="nil"/>
            </w:tcBorders>
          </w:tcPr>
          <w:p w14:paraId="0698CA07" w14:textId="77777777" w:rsidR="008361C5" w:rsidRPr="00200234" w:rsidRDefault="008361C5" w:rsidP="008361C5">
            <w:pPr>
              <w:pStyle w:val="TableText"/>
              <w:tabs>
                <w:tab w:val="decimal" w:pos="454"/>
              </w:tabs>
              <w:spacing w:before="55" w:after="55"/>
              <w:rPr>
                <w:rFonts w:cs="Segoe UI"/>
              </w:rPr>
            </w:pPr>
            <w:r w:rsidRPr="00200234">
              <w:rPr>
                <w:rFonts w:cs="Segoe UI"/>
              </w:rPr>
              <w:t>1</w:t>
            </w:r>
          </w:p>
        </w:tc>
        <w:tc>
          <w:tcPr>
            <w:tcW w:w="426" w:type="dxa"/>
            <w:tcBorders>
              <w:top w:val="nil"/>
              <w:bottom w:val="nil"/>
            </w:tcBorders>
            <w:shd w:val="clear" w:color="auto" w:fill="auto"/>
          </w:tcPr>
          <w:p w14:paraId="2E8B1B94"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29ADB69D" w14:textId="77777777" w:rsidR="008361C5" w:rsidRPr="00200234" w:rsidRDefault="008361C5" w:rsidP="008361C5">
            <w:pPr>
              <w:pStyle w:val="TableText"/>
              <w:spacing w:before="55" w:after="55"/>
              <w:jc w:val="both"/>
              <w:rPr>
                <w:rFonts w:cs="Segoe UI"/>
              </w:rPr>
            </w:pPr>
            <w:r w:rsidRPr="00200234">
              <w:rPr>
                <w:rFonts w:cs="Segoe UI"/>
              </w:rPr>
              <w:t>West Coast</w:t>
            </w:r>
          </w:p>
        </w:tc>
        <w:tc>
          <w:tcPr>
            <w:tcW w:w="614" w:type="dxa"/>
            <w:tcBorders>
              <w:top w:val="nil"/>
            </w:tcBorders>
          </w:tcPr>
          <w:p w14:paraId="08436135" w14:textId="77777777" w:rsidR="008361C5" w:rsidRPr="00200234" w:rsidRDefault="008361C5" w:rsidP="008361C5">
            <w:pPr>
              <w:pStyle w:val="TableText"/>
              <w:tabs>
                <w:tab w:val="decimal" w:pos="454"/>
              </w:tabs>
              <w:spacing w:before="55" w:after="55"/>
              <w:rPr>
                <w:rFonts w:cs="Segoe UI"/>
              </w:rPr>
            </w:pPr>
            <w:r w:rsidRPr="00200234">
              <w:rPr>
                <w:rFonts w:cs="Segoe UI"/>
              </w:rPr>
              <w:t>80</w:t>
            </w:r>
          </w:p>
        </w:tc>
        <w:tc>
          <w:tcPr>
            <w:tcW w:w="615" w:type="dxa"/>
            <w:tcBorders>
              <w:top w:val="nil"/>
            </w:tcBorders>
          </w:tcPr>
          <w:p w14:paraId="1BF4DC43" w14:textId="77777777" w:rsidR="008361C5" w:rsidRPr="00200234" w:rsidRDefault="008361C5" w:rsidP="008361C5">
            <w:pPr>
              <w:pStyle w:val="TableText"/>
              <w:tabs>
                <w:tab w:val="decimal" w:pos="454"/>
              </w:tabs>
              <w:spacing w:before="55" w:after="55"/>
              <w:rPr>
                <w:rFonts w:cs="Segoe UI"/>
              </w:rPr>
            </w:pPr>
            <w:r w:rsidRPr="00200234">
              <w:rPr>
                <w:rFonts w:cs="Segoe UI"/>
              </w:rPr>
              <w:t>14</w:t>
            </w:r>
          </w:p>
        </w:tc>
        <w:tc>
          <w:tcPr>
            <w:tcW w:w="615" w:type="dxa"/>
            <w:tcBorders>
              <w:top w:val="nil"/>
            </w:tcBorders>
          </w:tcPr>
          <w:p w14:paraId="1BB2BE0C" w14:textId="77777777" w:rsidR="008361C5" w:rsidRPr="00200234" w:rsidRDefault="008361C5" w:rsidP="008361C5">
            <w:pPr>
              <w:pStyle w:val="TableText"/>
              <w:spacing w:before="55" w:after="55"/>
              <w:jc w:val="center"/>
              <w:rPr>
                <w:rFonts w:cs="Segoe UI"/>
              </w:rPr>
            </w:pPr>
            <w:r w:rsidRPr="00200234">
              <w:rPr>
                <w:rFonts w:cs="Segoe UI"/>
              </w:rPr>
              <w:t>6</w:t>
            </w:r>
          </w:p>
        </w:tc>
      </w:tr>
      <w:tr w:rsidR="008361C5" w:rsidRPr="00200234" w14:paraId="634C1538" w14:textId="77777777" w:rsidTr="008361C5">
        <w:trPr>
          <w:cantSplit/>
        </w:trPr>
        <w:tc>
          <w:tcPr>
            <w:tcW w:w="1843" w:type="dxa"/>
            <w:tcBorders>
              <w:top w:val="nil"/>
              <w:bottom w:val="single" w:sz="4" w:space="0" w:color="A6A6A6" w:themeColor="background1" w:themeShade="A6"/>
              <w:right w:val="nil"/>
            </w:tcBorders>
          </w:tcPr>
          <w:p w14:paraId="12ADDD74" w14:textId="77777777" w:rsidR="008361C5" w:rsidRPr="00200234" w:rsidRDefault="008361C5" w:rsidP="008361C5">
            <w:pPr>
              <w:pStyle w:val="TableText"/>
              <w:spacing w:before="55" w:after="55"/>
              <w:rPr>
                <w:rFonts w:cs="Segoe UI"/>
              </w:rPr>
            </w:pPr>
            <w:r w:rsidRPr="00200234">
              <w:rPr>
                <w:rFonts w:cs="Segoe UI"/>
              </w:rPr>
              <w:t>Nelson Marlborough</w:t>
            </w:r>
          </w:p>
        </w:tc>
        <w:tc>
          <w:tcPr>
            <w:tcW w:w="708" w:type="dxa"/>
            <w:tcBorders>
              <w:top w:val="nil"/>
              <w:left w:val="nil"/>
              <w:bottom w:val="single" w:sz="4" w:space="0" w:color="A6A6A6" w:themeColor="background1" w:themeShade="A6"/>
              <w:right w:val="nil"/>
            </w:tcBorders>
          </w:tcPr>
          <w:p w14:paraId="33156B6E" w14:textId="77777777" w:rsidR="008361C5" w:rsidRPr="00200234" w:rsidRDefault="008361C5" w:rsidP="008361C5">
            <w:pPr>
              <w:pStyle w:val="TableText"/>
              <w:tabs>
                <w:tab w:val="decimal" w:pos="510"/>
              </w:tabs>
              <w:spacing w:before="55" w:after="55"/>
              <w:rPr>
                <w:rFonts w:cs="Segoe UI"/>
              </w:rPr>
            </w:pPr>
            <w:r w:rsidRPr="00200234">
              <w:rPr>
                <w:rFonts w:cs="Segoe UI"/>
              </w:rPr>
              <w:t>75</w:t>
            </w:r>
          </w:p>
        </w:tc>
        <w:tc>
          <w:tcPr>
            <w:tcW w:w="709" w:type="dxa"/>
            <w:tcBorders>
              <w:top w:val="nil"/>
              <w:left w:val="nil"/>
              <w:bottom w:val="single" w:sz="4" w:space="0" w:color="A6A6A6" w:themeColor="background1" w:themeShade="A6"/>
              <w:right w:val="nil"/>
            </w:tcBorders>
          </w:tcPr>
          <w:p w14:paraId="57C72EF4" w14:textId="77777777" w:rsidR="008361C5" w:rsidRPr="00200234" w:rsidRDefault="008361C5" w:rsidP="008361C5">
            <w:pPr>
              <w:pStyle w:val="TableText"/>
              <w:tabs>
                <w:tab w:val="decimal" w:pos="510"/>
              </w:tabs>
              <w:spacing w:before="55" w:after="55"/>
              <w:rPr>
                <w:rFonts w:cs="Segoe UI"/>
              </w:rPr>
            </w:pPr>
            <w:r w:rsidRPr="00200234">
              <w:rPr>
                <w:rFonts w:cs="Segoe UI"/>
              </w:rPr>
              <w:t>9</w:t>
            </w:r>
          </w:p>
        </w:tc>
        <w:tc>
          <w:tcPr>
            <w:tcW w:w="709" w:type="dxa"/>
            <w:tcBorders>
              <w:top w:val="nil"/>
              <w:left w:val="nil"/>
              <w:bottom w:val="single" w:sz="4" w:space="0" w:color="A6A6A6" w:themeColor="background1" w:themeShade="A6"/>
            </w:tcBorders>
          </w:tcPr>
          <w:p w14:paraId="0F61383C" w14:textId="77777777" w:rsidR="008361C5" w:rsidRPr="00200234" w:rsidRDefault="008361C5" w:rsidP="008361C5">
            <w:pPr>
              <w:pStyle w:val="TableText"/>
              <w:tabs>
                <w:tab w:val="decimal" w:pos="454"/>
              </w:tabs>
              <w:spacing w:before="55" w:after="55"/>
              <w:rPr>
                <w:rFonts w:cs="Segoe UI"/>
              </w:rPr>
            </w:pPr>
            <w:r w:rsidRPr="00200234">
              <w:rPr>
                <w:rFonts w:cs="Segoe UI"/>
              </w:rPr>
              <w:t>–</w:t>
            </w:r>
          </w:p>
        </w:tc>
        <w:tc>
          <w:tcPr>
            <w:tcW w:w="426" w:type="dxa"/>
            <w:tcBorders>
              <w:top w:val="nil"/>
              <w:bottom w:val="nil"/>
            </w:tcBorders>
            <w:shd w:val="clear" w:color="auto" w:fill="auto"/>
          </w:tcPr>
          <w:p w14:paraId="1FB7175D"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4E07FBCA" w14:textId="77777777" w:rsidR="008361C5" w:rsidRPr="00200234" w:rsidRDefault="008361C5" w:rsidP="008361C5">
            <w:pPr>
              <w:pStyle w:val="TableText"/>
              <w:spacing w:before="55" w:after="55"/>
              <w:jc w:val="both"/>
              <w:rPr>
                <w:rFonts w:cs="Segoe UI"/>
              </w:rPr>
            </w:pPr>
            <w:r w:rsidRPr="00200234">
              <w:rPr>
                <w:rFonts w:cs="Segoe UI"/>
              </w:rPr>
              <w:t>Whanganui</w:t>
            </w:r>
          </w:p>
        </w:tc>
        <w:tc>
          <w:tcPr>
            <w:tcW w:w="614" w:type="dxa"/>
            <w:tcBorders>
              <w:top w:val="nil"/>
            </w:tcBorders>
          </w:tcPr>
          <w:p w14:paraId="23534648" w14:textId="77777777" w:rsidR="008361C5" w:rsidRPr="00200234" w:rsidRDefault="008361C5" w:rsidP="008361C5">
            <w:pPr>
              <w:pStyle w:val="TableText"/>
              <w:tabs>
                <w:tab w:val="decimal" w:pos="454"/>
              </w:tabs>
              <w:spacing w:before="55" w:after="55"/>
              <w:rPr>
                <w:rFonts w:cs="Segoe UI"/>
              </w:rPr>
            </w:pPr>
            <w:r w:rsidRPr="00200234">
              <w:rPr>
                <w:rFonts w:cs="Segoe UI"/>
              </w:rPr>
              <w:t>107</w:t>
            </w:r>
          </w:p>
        </w:tc>
        <w:tc>
          <w:tcPr>
            <w:tcW w:w="615" w:type="dxa"/>
            <w:tcBorders>
              <w:top w:val="nil"/>
            </w:tcBorders>
          </w:tcPr>
          <w:p w14:paraId="4CBC0016" w14:textId="77777777" w:rsidR="008361C5" w:rsidRPr="00200234" w:rsidRDefault="008361C5" w:rsidP="008361C5">
            <w:pPr>
              <w:pStyle w:val="TableText"/>
              <w:tabs>
                <w:tab w:val="decimal" w:pos="454"/>
              </w:tabs>
              <w:spacing w:before="55" w:after="55"/>
              <w:rPr>
                <w:rFonts w:cs="Segoe UI"/>
              </w:rPr>
            </w:pPr>
            <w:r w:rsidRPr="00200234">
              <w:rPr>
                <w:rFonts w:cs="Segoe UI"/>
              </w:rPr>
              <w:t>26</w:t>
            </w:r>
          </w:p>
        </w:tc>
        <w:tc>
          <w:tcPr>
            <w:tcW w:w="615" w:type="dxa"/>
            <w:tcBorders>
              <w:top w:val="nil"/>
            </w:tcBorders>
          </w:tcPr>
          <w:p w14:paraId="635C3437" w14:textId="77777777" w:rsidR="008361C5" w:rsidRPr="00200234" w:rsidRDefault="008361C5" w:rsidP="008361C5">
            <w:pPr>
              <w:pStyle w:val="TableText"/>
              <w:spacing w:before="55" w:after="55"/>
              <w:jc w:val="center"/>
              <w:rPr>
                <w:rFonts w:cs="Segoe UI"/>
              </w:rPr>
            </w:pPr>
            <w:r w:rsidRPr="00200234">
              <w:rPr>
                <w:rFonts w:cs="Segoe UI"/>
              </w:rPr>
              <w:t>6</w:t>
            </w:r>
          </w:p>
        </w:tc>
      </w:tr>
      <w:tr w:rsidR="008361C5" w:rsidRPr="00200234" w14:paraId="4284C70D" w14:textId="77777777" w:rsidTr="008361C5">
        <w:trPr>
          <w:cantSplit/>
        </w:trPr>
        <w:tc>
          <w:tcPr>
            <w:tcW w:w="1843" w:type="dxa"/>
            <w:tcBorders>
              <w:top w:val="single" w:sz="4" w:space="0" w:color="A6A6A6" w:themeColor="background1" w:themeShade="A6"/>
              <w:bottom w:val="nil"/>
              <w:right w:val="nil"/>
            </w:tcBorders>
          </w:tcPr>
          <w:p w14:paraId="78D6ED1E" w14:textId="77777777" w:rsidR="008361C5" w:rsidRPr="00200234" w:rsidRDefault="008361C5" w:rsidP="008361C5">
            <w:pPr>
              <w:pStyle w:val="TableText"/>
              <w:spacing w:before="55" w:after="55"/>
              <w:rPr>
                <w:rFonts w:cs="Segoe UI"/>
              </w:rPr>
            </w:pPr>
          </w:p>
        </w:tc>
        <w:tc>
          <w:tcPr>
            <w:tcW w:w="708" w:type="dxa"/>
            <w:tcBorders>
              <w:top w:val="single" w:sz="4" w:space="0" w:color="A6A6A6" w:themeColor="background1" w:themeShade="A6"/>
              <w:left w:val="nil"/>
              <w:bottom w:val="nil"/>
              <w:right w:val="nil"/>
            </w:tcBorders>
          </w:tcPr>
          <w:p w14:paraId="685387B0" w14:textId="77777777" w:rsidR="008361C5" w:rsidRPr="00200234" w:rsidRDefault="008361C5" w:rsidP="008361C5">
            <w:pPr>
              <w:pStyle w:val="TableText"/>
              <w:tabs>
                <w:tab w:val="decimal" w:pos="636"/>
              </w:tabs>
              <w:spacing w:before="55" w:after="55"/>
              <w:rPr>
                <w:rFonts w:cs="Segoe UI"/>
              </w:rPr>
            </w:pPr>
          </w:p>
        </w:tc>
        <w:tc>
          <w:tcPr>
            <w:tcW w:w="709" w:type="dxa"/>
            <w:tcBorders>
              <w:top w:val="single" w:sz="4" w:space="0" w:color="A6A6A6" w:themeColor="background1" w:themeShade="A6"/>
              <w:left w:val="nil"/>
              <w:bottom w:val="nil"/>
              <w:right w:val="nil"/>
            </w:tcBorders>
          </w:tcPr>
          <w:p w14:paraId="67896B70" w14:textId="77777777" w:rsidR="008361C5" w:rsidRPr="00200234" w:rsidRDefault="008361C5" w:rsidP="008361C5">
            <w:pPr>
              <w:pStyle w:val="TableText"/>
              <w:tabs>
                <w:tab w:val="decimal" w:pos="636"/>
              </w:tabs>
              <w:spacing w:before="55" w:after="55"/>
              <w:rPr>
                <w:rFonts w:cs="Segoe UI"/>
              </w:rPr>
            </w:pPr>
          </w:p>
        </w:tc>
        <w:tc>
          <w:tcPr>
            <w:tcW w:w="709" w:type="dxa"/>
            <w:tcBorders>
              <w:top w:val="single" w:sz="4" w:space="0" w:color="A6A6A6" w:themeColor="background1" w:themeShade="A6"/>
              <w:left w:val="nil"/>
              <w:bottom w:val="nil"/>
            </w:tcBorders>
          </w:tcPr>
          <w:p w14:paraId="1DEB953C" w14:textId="77777777" w:rsidR="008361C5" w:rsidRPr="00200234" w:rsidRDefault="008361C5" w:rsidP="008361C5">
            <w:pPr>
              <w:pStyle w:val="TableText"/>
              <w:tabs>
                <w:tab w:val="decimal" w:pos="636"/>
              </w:tabs>
              <w:spacing w:before="55" w:after="55"/>
              <w:rPr>
                <w:rFonts w:cs="Segoe UI"/>
              </w:rPr>
            </w:pPr>
          </w:p>
        </w:tc>
        <w:tc>
          <w:tcPr>
            <w:tcW w:w="426" w:type="dxa"/>
            <w:tcBorders>
              <w:top w:val="nil"/>
              <w:bottom w:val="nil"/>
            </w:tcBorders>
            <w:shd w:val="clear" w:color="auto" w:fill="auto"/>
          </w:tcPr>
          <w:p w14:paraId="71C8E7B3" w14:textId="77777777" w:rsidR="008361C5" w:rsidRPr="00200234" w:rsidRDefault="008361C5" w:rsidP="008361C5">
            <w:pPr>
              <w:pStyle w:val="TableText"/>
              <w:tabs>
                <w:tab w:val="decimal" w:pos="636"/>
              </w:tabs>
              <w:spacing w:before="55" w:after="55"/>
              <w:rPr>
                <w:rFonts w:cs="Segoe UI"/>
              </w:rPr>
            </w:pPr>
          </w:p>
        </w:tc>
        <w:tc>
          <w:tcPr>
            <w:tcW w:w="1843" w:type="dxa"/>
            <w:tcBorders>
              <w:top w:val="nil"/>
            </w:tcBorders>
          </w:tcPr>
          <w:p w14:paraId="436DB41D" w14:textId="77777777" w:rsidR="008361C5" w:rsidRPr="00200234" w:rsidRDefault="008361C5" w:rsidP="008361C5">
            <w:pPr>
              <w:pStyle w:val="TableText"/>
              <w:spacing w:before="55" w:after="55"/>
              <w:jc w:val="both"/>
              <w:rPr>
                <w:rFonts w:cs="Segoe UI"/>
                <w:b/>
              </w:rPr>
            </w:pPr>
            <w:r w:rsidRPr="00200234">
              <w:rPr>
                <w:rFonts w:cs="Segoe UI"/>
                <w:b/>
              </w:rPr>
              <w:t>National average</w:t>
            </w:r>
          </w:p>
        </w:tc>
        <w:tc>
          <w:tcPr>
            <w:tcW w:w="614" w:type="dxa"/>
            <w:tcBorders>
              <w:top w:val="nil"/>
            </w:tcBorders>
          </w:tcPr>
          <w:p w14:paraId="62A3A090" w14:textId="77777777" w:rsidR="008361C5" w:rsidRPr="00200234" w:rsidRDefault="008361C5" w:rsidP="008361C5">
            <w:pPr>
              <w:pStyle w:val="TableText"/>
              <w:tabs>
                <w:tab w:val="decimal" w:pos="454"/>
              </w:tabs>
              <w:spacing w:before="55" w:after="55"/>
              <w:rPr>
                <w:rFonts w:cs="Segoe UI"/>
                <w:b/>
              </w:rPr>
            </w:pPr>
            <w:r w:rsidRPr="00200234">
              <w:rPr>
                <w:rFonts w:cs="Segoe UI"/>
                <w:b/>
              </w:rPr>
              <w:t>90</w:t>
            </w:r>
          </w:p>
        </w:tc>
        <w:tc>
          <w:tcPr>
            <w:tcW w:w="615" w:type="dxa"/>
            <w:tcBorders>
              <w:top w:val="nil"/>
            </w:tcBorders>
          </w:tcPr>
          <w:p w14:paraId="3A53A0F6" w14:textId="77777777" w:rsidR="008361C5" w:rsidRPr="00200234" w:rsidRDefault="008361C5" w:rsidP="008361C5">
            <w:pPr>
              <w:pStyle w:val="TableText"/>
              <w:tabs>
                <w:tab w:val="decimal" w:pos="454"/>
              </w:tabs>
              <w:spacing w:before="55" w:after="55"/>
              <w:rPr>
                <w:rFonts w:cs="Segoe UI"/>
                <w:b/>
              </w:rPr>
            </w:pPr>
            <w:r w:rsidRPr="00200234">
              <w:rPr>
                <w:rFonts w:cs="Segoe UI"/>
                <w:b/>
              </w:rPr>
              <w:t>13</w:t>
            </w:r>
          </w:p>
        </w:tc>
        <w:tc>
          <w:tcPr>
            <w:tcW w:w="615" w:type="dxa"/>
            <w:tcBorders>
              <w:top w:val="nil"/>
            </w:tcBorders>
          </w:tcPr>
          <w:p w14:paraId="3552BF61" w14:textId="77777777" w:rsidR="008361C5" w:rsidRPr="00200234" w:rsidRDefault="008361C5" w:rsidP="008361C5">
            <w:pPr>
              <w:pStyle w:val="TableText"/>
              <w:spacing w:before="55" w:after="55"/>
              <w:jc w:val="center"/>
              <w:rPr>
                <w:rFonts w:cs="Segoe UI"/>
                <w:b/>
              </w:rPr>
            </w:pPr>
            <w:r w:rsidRPr="00200234">
              <w:rPr>
                <w:rFonts w:cs="Segoe UI"/>
                <w:b/>
              </w:rPr>
              <w:t>3</w:t>
            </w:r>
          </w:p>
        </w:tc>
      </w:tr>
    </w:tbl>
    <w:p w14:paraId="7AD51D41" w14:textId="77777777" w:rsidR="008361C5" w:rsidRPr="00200234" w:rsidRDefault="008361C5" w:rsidP="008361C5">
      <w:pPr>
        <w:pStyle w:val="Note"/>
      </w:pPr>
      <w:r w:rsidRPr="00200234">
        <w:t>Note: ‘On a given day’ is the average of the last day of each month.</w:t>
      </w:r>
    </w:p>
    <w:p w14:paraId="5CD03727" w14:textId="78142239" w:rsidR="008361C5" w:rsidRPr="00200234" w:rsidRDefault="008361C5" w:rsidP="008361C5">
      <w:pPr>
        <w:pStyle w:val="Note"/>
      </w:pPr>
      <w:r w:rsidRPr="00200234">
        <w:t>Source</w:t>
      </w:r>
      <w:r w:rsidR="007F70DA" w:rsidRPr="00200234">
        <w:t>s</w:t>
      </w:r>
      <w:r w:rsidRPr="00200234">
        <w:t>: PRIMHD data</w:t>
      </w:r>
      <w:r w:rsidR="0015429E">
        <w:t xml:space="preserve"> (extracted</w:t>
      </w:r>
      <w:r w:rsidRPr="00200234">
        <w:t xml:space="preserve"> 19 October 2020</w:t>
      </w:r>
      <w:r w:rsidR="000E756E">
        <w:t>)</w:t>
      </w:r>
      <w:r w:rsidRPr="00200234">
        <w:t xml:space="preserve"> </w:t>
      </w:r>
      <w:r w:rsidR="007F70DA" w:rsidRPr="00200234">
        <w:t xml:space="preserve">and manual data from </w:t>
      </w:r>
      <w:r w:rsidRPr="00200234">
        <w:t>Auckland DHB.</w:t>
      </w:r>
    </w:p>
    <w:p w14:paraId="3AE0CCC7" w14:textId="77777777" w:rsidR="008361C5" w:rsidRPr="00ED4FA1" w:rsidRDefault="008361C5" w:rsidP="008361C5">
      <w:pPr>
        <w:pStyle w:val="Bullet"/>
        <w:numPr>
          <w:ilvl w:val="0"/>
          <w:numId w:val="0"/>
        </w:numPr>
        <w:ind w:left="284" w:hanging="284"/>
        <w:rPr>
          <w:rFonts w:cs="Segoe UI"/>
          <w:szCs w:val="21"/>
        </w:rPr>
      </w:pPr>
    </w:p>
    <w:p w14:paraId="5D1CC090" w14:textId="7EBA3078" w:rsidR="008361C5" w:rsidRPr="00200234" w:rsidRDefault="008361C5" w:rsidP="008361C5">
      <w:pPr>
        <w:pStyle w:val="Figure"/>
        <w:rPr>
          <w:rFonts w:cs="Segoe UI"/>
        </w:rPr>
      </w:pPr>
      <w:bookmarkStart w:id="28" w:name="_Ref65671612"/>
      <w:bookmarkStart w:id="29" w:name="_Toc63764742"/>
      <w:bookmarkStart w:id="30" w:name="_Toc66716183"/>
      <w:r w:rsidRPr="00200234">
        <w:t xml:space="preserve">Figure </w:t>
      </w:r>
      <w:fldSimple w:instr=" SEQ Figure \* ARABIC ">
        <w:r w:rsidR="00422361">
          <w:rPr>
            <w:noProof/>
          </w:rPr>
          <w:t>1</w:t>
        </w:r>
      </w:fldSimple>
      <w:bookmarkEnd w:id="28"/>
      <w:r w:rsidRPr="00200234">
        <w:t>: Average number of people on a given day subject to a community treatment order (section 29 of the Mental Health Act) per 100,000 population, by DHB, 1 January to 31 December 2018</w:t>
      </w:r>
      <w:bookmarkEnd w:id="29"/>
      <w:bookmarkEnd w:id="30"/>
    </w:p>
    <w:p w14:paraId="33143F16" w14:textId="77777777" w:rsidR="008361C5" w:rsidRPr="00200234" w:rsidRDefault="008361C5" w:rsidP="00AB68ED">
      <w:pPr>
        <w:keepNext/>
        <w:rPr>
          <w:rFonts w:cs="Segoe UI"/>
        </w:rPr>
      </w:pPr>
      <w:r w:rsidRPr="00200234">
        <w:rPr>
          <w:noProof/>
        </w:rPr>
        <w:drawing>
          <wp:inline distT="0" distB="0" distL="0" distR="0" wp14:anchorId="6B4B7BE7" wp14:editId="2DD885CF">
            <wp:extent cx="5039995" cy="3397250"/>
            <wp:effectExtent l="0" t="0" r="8255" b="0"/>
            <wp:docPr id="4" name="Chart 4" descr="This graph shows that the average number of people subject to a community treatment order in each DHB was highest in Northland, Hawke's Bay and Tairawhiti. It was lowest in Bay of Plenty, Waitemata and Canterbury.">
              <a:extLst xmlns:a="http://schemas.openxmlformats.org/drawingml/2006/main">
                <a:ext uri="{FF2B5EF4-FFF2-40B4-BE49-F238E27FC236}">
                  <a16:creationId xmlns:a16="http://schemas.microsoft.com/office/drawing/2014/main" id="{00000000-0008-0000-1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C5029D" w14:textId="77777777" w:rsidR="008361C5" w:rsidRPr="00200234" w:rsidRDefault="008361C5" w:rsidP="00AB68ED">
      <w:pPr>
        <w:pStyle w:val="Note"/>
        <w:keepNext/>
        <w:rPr>
          <w:rStyle w:val="FootnoteTextChar"/>
          <w:rFonts w:eastAsia="MS Gothic"/>
        </w:rPr>
      </w:pPr>
      <w:r w:rsidRPr="00200234">
        <w:rPr>
          <w:rStyle w:val="FootnoteTextChar"/>
          <w:rFonts w:eastAsia="MS Gothic"/>
        </w:rPr>
        <w:t>Notes: ‘On a given day’ is the average of the last day of each month. This graph shows confidence intervals (for 99 percent confidence) to help in interpreting the data. Where a DHB region’s confidence interval crosses the national average, this means the DHB’s rate was not statistically different from the national average.</w:t>
      </w:r>
    </w:p>
    <w:p w14:paraId="63020FC8" w14:textId="6DF61C84" w:rsidR="008361C5" w:rsidRPr="00200234" w:rsidRDefault="008361C5" w:rsidP="008361C5">
      <w:pPr>
        <w:pStyle w:val="Note"/>
        <w:rPr>
          <w:rStyle w:val="FootnoteTextChar"/>
          <w:rFonts w:eastAsia="MS Gothic"/>
        </w:rPr>
      </w:pPr>
      <w:r w:rsidRPr="00200234">
        <w:rPr>
          <w:rStyle w:val="FootnoteTextChar"/>
          <w:rFonts w:eastAsia="MS Gothic"/>
        </w:rPr>
        <w:t>Source</w:t>
      </w:r>
      <w:r w:rsidR="00AE7C60" w:rsidRPr="00200234">
        <w:rPr>
          <w:rStyle w:val="FootnoteTextChar"/>
          <w:rFonts w:eastAsia="MS Gothic"/>
        </w:rPr>
        <w:t>s</w:t>
      </w:r>
      <w:r w:rsidRPr="00200234">
        <w:rPr>
          <w:rStyle w:val="FootnoteTextChar"/>
          <w:rFonts w:eastAsia="MS Gothic"/>
        </w:rPr>
        <w:t xml:space="preserve">: </w:t>
      </w:r>
      <w:r w:rsidR="00CF5A84" w:rsidRPr="00200234">
        <w:rPr>
          <w:rStyle w:val="FootnoteTextChar"/>
          <w:rFonts w:eastAsia="MS Gothic"/>
        </w:rPr>
        <w:t>PRIMHD data</w:t>
      </w:r>
      <w:r w:rsidR="0015429E">
        <w:rPr>
          <w:rStyle w:val="FootnoteTextChar"/>
          <w:rFonts w:eastAsia="MS Gothic"/>
        </w:rPr>
        <w:t xml:space="preserve"> (extracted</w:t>
      </w:r>
      <w:r w:rsidR="00CF5A84" w:rsidRPr="00200234">
        <w:rPr>
          <w:rStyle w:val="FootnoteTextChar"/>
          <w:rFonts w:eastAsia="MS Gothic"/>
        </w:rPr>
        <w:t xml:space="preserve"> 29 July 2019</w:t>
      </w:r>
      <w:r w:rsidR="000E756E">
        <w:rPr>
          <w:rStyle w:val="FootnoteTextChar"/>
          <w:rFonts w:eastAsia="MS Gothic"/>
        </w:rPr>
        <w:t>)</w:t>
      </w:r>
      <w:r w:rsidR="00CF5A84" w:rsidRPr="00200234">
        <w:rPr>
          <w:rStyle w:val="FootnoteTextChar"/>
          <w:rFonts w:eastAsia="MS Gothic"/>
        </w:rPr>
        <w:t xml:space="preserve"> and manual data from Auckland, Lakes, Nelson Marlborough and </w:t>
      </w:r>
      <w:proofErr w:type="spellStart"/>
      <w:r w:rsidR="00CF5A84" w:rsidRPr="00200234">
        <w:rPr>
          <w:rStyle w:val="FootnoteTextChar"/>
          <w:rFonts w:eastAsia="MS Gothic"/>
        </w:rPr>
        <w:t>Waitematā</w:t>
      </w:r>
      <w:proofErr w:type="spellEnd"/>
      <w:r w:rsidR="00CF5A84" w:rsidRPr="00200234">
        <w:rPr>
          <w:rStyle w:val="FootnoteTextChar"/>
          <w:rFonts w:eastAsia="MS Gothic"/>
        </w:rPr>
        <w:t xml:space="preserve"> DHBs.</w:t>
      </w:r>
    </w:p>
    <w:p w14:paraId="4CBDCEEE" w14:textId="4D0A2DCA" w:rsidR="008361C5" w:rsidRDefault="008361C5" w:rsidP="00224D18">
      <w:pPr>
        <w:pStyle w:val="Figure"/>
      </w:pPr>
      <w:bookmarkStart w:id="31" w:name="_Toc63764743"/>
      <w:bookmarkStart w:id="32" w:name="_Toc66716184"/>
      <w:r w:rsidRPr="00200234">
        <w:lastRenderedPageBreak/>
        <w:t xml:space="preserve">Figure </w:t>
      </w:r>
      <w:fldSimple w:instr=" SEQ Figure \* ARABIC ">
        <w:r w:rsidR="00422361">
          <w:rPr>
            <w:noProof/>
          </w:rPr>
          <w:t>2</w:t>
        </w:r>
      </w:fldSimple>
      <w:r w:rsidRPr="00200234">
        <w:t>: Average number of people on a given day subject to a community treatment order (section 29 of the Mental Health Act) per 100,000 population, by DHB, 1 January to 31 December 2019</w:t>
      </w:r>
      <w:bookmarkEnd w:id="31"/>
      <w:bookmarkEnd w:id="32"/>
    </w:p>
    <w:p w14:paraId="24E24DA6" w14:textId="3749239F" w:rsidR="00224D18" w:rsidRPr="00200234" w:rsidRDefault="00224D18" w:rsidP="008361C5">
      <w:pPr>
        <w:rPr>
          <w:rFonts w:cs="Segoe UI"/>
        </w:rPr>
      </w:pPr>
      <w:r>
        <w:rPr>
          <w:noProof/>
        </w:rPr>
        <w:drawing>
          <wp:inline distT="0" distB="0" distL="0" distR="0" wp14:anchorId="0BE85791" wp14:editId="6D988BCD">
            <wp:extent cx="5130165" cy="4171950"/>
            <wp:effectExtent l="0" t="0" r="0" b="0"/>
            <wp:docPr id="224" name="Chart 224" descr="This graph shows that the DHBs with the highest ratio of people subject to a community treatment order were Northland, Hawke's Bay and Capital &amp; Coast. It was lowest in Bay of Plenty, Canterbury and Wairarapa.">
              <a:extLst xmlns:a="http://schemas.openxmlformats.org/drawingml/2006/main">
                <a:ext uri="{FF2B5EF4-FFF2-40B4-BE49-F238E27FC236}">
                  <a16:creationId xmlns:a16="http://schemas.microsoft.com/office/drawing/2014/main" id="{00000000-0008-0000-1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B863F8" w14:textId="77777777" w:rsidR="008361C5" w:rsidRPr="00200234" w:rsidRDefault="008361C5" w:rsidP="008361C5">
      <w:pPr>
        <w:pStyle w:val="Note"/>
        <w:rPr>
          <w:rStyle w:val="FootnoteTextChar"/>
          <w:rFonts w:eastAsia="MS Gothic"/>
        </w:rPr>
      </w:pPr>
      <w:r w:rsidRPr="00200234">
        <w:rPr>
          <w:rStyle w:val="FootnoteTextChar"/>
          <w:rFonts w:eastAsia="MS Gothic"/>
        </w:rPr>
        <w:t>Notes: ‘On a given day’ is the average of the last day of each month. This graph shows confidence intervals (for 99 percent confidence) to help in interpreting the data. Where a DHB region’s confidence interval crosses the national average, this means the DHB’s rate was not statistically different from the national average.</w:t>
      </w:r>
    </w:p>
    <w:p w14:paraId="44DFDCF6" w14:textId="4AB8CFBD" w:rsidR="008361C5" w:rsidRPr="00200234" w:rsidRDefault="008361C5" w:rsidP="008361C5">
      <w:pPr>
        <w:pStyle w:val="Note"/>
        <w:rPr>
          <w:rStyle w:val="FootnoteTextChar"/>
          <w:rFonts w:eastAsia="MS Gothic"/>
        </w:rPr>
      </w:pPr>
      <w:r w:rsidRPr="00200234">
        <w:rPr>
          <w:rStyle w:val="FootnoteTextChar"/>
          <w:rFonts w:eastAsia="MS Gothic"/>
        </w:rPr>
        <w:t>Source: PRIMHD data</w:t>
      </w:r>
      <w:r w:rsidR="0015429E">
        <w:rPr>
          <w:rStyle w:val="FootnoteTextChar"/>
          <w:rFonts w:eastAsia="MS Gothic"/>
        </w:rPr>
        <w:t xml:space="preserve"> (extracted</w:t>
      </w:r>
      <w:r w:rsidRPr="00200234">
        <w:rPr>
          <w:rStyle w:val="FootnoteTextChar"/>
          <w:rFonts w:eastAsia="MS Gothic"/>
        </w:rPr>
        <w:t xml:space="preserve"> 19 October 2020</w:t>
      </w:r>
      <w:r w:rsidR="000E756E">
        <w:rPr>
          <w:rStyle w:val="FootnoteTextChar"/>
          <w:rFonts w:eastAsia="MS Gothic"/>
        </w:rPr>
        <w:t>)</w:t>
      </w:r>
      <w:r w:rsidRPr="00200234">
        <w:rPr>
          <w:rStyle w:val="FootnoteTextChar"/>
          <w:rFonts w:eastAsia="MS Gothic"/>
        </w:rPr>
        <w:t>.</w:t>
      </w:r>
    </w:p>
    <w:p w14:paraId="5B2CA83A" w14:textId="77777777" w:rsidR="008361C5" w:rsidRPr="00ED4FA1" w:rsidRDefault="008361C5" w:rsidP="008361C5">
      <w:pPr>
        <w:pStyle w:val="Bullet"/>
        <w:numPr>
          <w:ilvl w:val="0"/>
          <w:numId w:val="0"/>
        </w:numPr>
        <w:ind w:left="284" w:hanging="284"/>
        <w:rPr>
          <w:rFonts w:cs="Segoe UI"/>
          <w:szCs w:val="21"/>
        </w:rPr>
      </w:pPr>
    </w:p>
    <w:p w14:paraId="0A57892A" w14:textId="3634E74C" w:rsidR="008361C5" w:rsidRDefault="008361C5" w:rsidP="004542C5">
      <w:pPr>
        <w:pStyle w:val="Figure"/>
        <w:rPr>
          <w:rFonts w:cs="Segoe UI"/>
        </w:rPr>
      </w:pPr>
      <w:bookmarkStart w:id="33" w:name="_Toc63764744"/>
      <w:bookmarkStart w:id="34" w:name="_Toc66716185"/>
      <w:r w:rsidRPr="00200234">
        <w:lastRenderedPageBreak/>
        <w:t xml:space="preserve">Figure </w:t>
      </w:r>
      <w:fldSimple w:instr=" SEQ Figure \* ARABIC ">
        <w:r w:rsidR="00422361">
          <w:rPr>
            <w:noProof/>
          </w:rPr>
          <w:t>3</w:t>
        </w:r>
      </w:fldSimple>
      <w:r w:rsidRPr="00200234">
        <w:t>: Average number of people on a given day subject to an inpatient treatment order (section 30 of the Mental Health Act) per 100,000 population, by DHB, 1</w:t>
      </w:r>
      <w:r w:rsidR="00CE273D" w:rsidRPr="00200234">
        <w:t> </w:t>
      </w:r>
      <w:r w:rsidRPr="00200234">
        <w:t>January to 31 December 2018</w:t>
      </w:r>
      <w:bookmarkEnd w:id="33"/>
      <w:bookmarkEnd w:id="34"/>
    </w:p>
    <w:p w14:paraId="0415EA5A" w14:textId="306C8812" w:rsidR="004542C5" w:rsidRPr="00200234" w:rsidRDefault="004542C5" w:rsidP="008361C5">
      <w:pPr>
        <w:rPr>
          <w:rFonts w:cs="Segoe UI"/>
        </w:rPr>
      </w:pPr>
      <w:r>
        <w:rPr>
          <w:noProof/>
        </w:rPr>
        <w:drawing>
          <wp:inline distT="0" distB="0" distL="0" distR="0" wp14:anchorId="4EACDA9A" wp14:editId="0D109702">
            <wp:extent cx="5130165" cy="3897630"/>
            <wp:effectExtent l="0" t="0" r="0" b="0"/>
            <wp:docPr id="3" name="Chart 3" descr="This graph shows the average number of people subject to an inpatient treatment order in a DHB was highest in Auckland, Capital and Coast, and Whanganui. It was lowest in Wairarapa, Taranaki and South Canterbury.">
              <a:extLst xmlns:a="http://schemas.openxmlformats.org/drawingml/2006/main">
                <a:ext uri="{FF2B5EF4-FFF2-40B4-BE49-F238E27FC236}">
                  <a16:creationId xmlns:a16="http://schemas.microsoft.com/office/drawing/2014/main" id="{00000000-0008-0000-1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B35D138" w14:textId="77777777" w:rsidR="008361C5" w:rsidRPr="00200234" w:rsidRDefault="008361C5" w:rsidP="008361C5">
      <w:pPr>
        <w:pStyle w:val="Note"/>
        <w:rPr>
          <w:rStyle w:val="FootnoteTextChar"/>
          <w:rFonts w:eastAsia="MS Gothic"/>
        </w:rPr>
      </w:pPr>
      <w:r w:rsidRPr="00200234">
        <w:rPr>
          <w:rStyle w:val="FootnoteTextChar"/>
          <w:rFonts w:eastAsia="MS Gothic"/>
        </w:rPr>
        <w:t>Notes: ‘On a given day’ is the average of the last day of each month. This graph shows confidence intervals (for 99 percent confidence) to help in interpreting the data. Where a DHB region’s confidence interval crosses the national average, this means the DHB’s rate was not statistically different from the national average.</w:t>
      </w:r>
    </w:p>
    <w:p w14:paraId="3AA83DB1" w14:textId="1C2FC283" w:rsidR="008361C5" w:rsidRPr="00200234" w:rsidRDefault="008361C5" w:rsidP="008361C5">
      <w:pPr>
        <w:pStyle w:val="Note"/>
        <w:rPr>
          <w:rStyle w:val="FootnoteTextChar"/>
          <w:rFonts w:eastAsia="MS Gothic"/>
        </w:rPr>
      </w:pPr>
      <w:r w:rsidRPr="00200234">
        <w:rPr>
          <w:rStyle w:val="FootnoteTextChar"/>
          <w:rFonts w:eastAsia="MS Gothic"/>
        </w:rPr>
        <w:t>Source</w:t>
      </w:r>
      <w:r w:rsidR="007F70DA" w:rsidRPr="00200234">
        <w:rPr>
          <w:rStyle w:val="FootnoteTextChar"/>
          <w:rFonts w:eastAsia="MS Gothic"/>
        </w:rPr>
        <w:t>s</w:t>
      </w:r>
      <w:r w:rsidRPr="00200234">
        <w:rPr>
          <w:rStyle w:val="FootnoteTextChar"/>
          <w:rFonts w:eastAsia="MS Gothic"/>
        </w:rPr>
        <w:t>: PRIMHD data</w:t>
      </w:r>
      <w:r w:rsidR="0015429E">
        <w:rPr>
          <w:rStyle w:val="FootnoteTextChar"/>
          <w:rFonts w:eastAsia="MS Gothic"/>
        </w:rPr>
        <w:t xml:space="preserve"> (extracted</w:t>
      </w:r>
      <w:r w:rsidRPr="00200234">
        <w:rPr>
          <w:rStyle w:val="FootnoteTextChar"/>
          <w:rFonts w:eastAsia="MS Gothic"/>
        </w:rPr>
        <w:t xml:space="preserve"> 29 July 2019</w:t>
      </w:r>
      <w:r w:rsidR="000E756E">
        <w:rPr>
          <w:rStyle w:val="FootnoteTextChar"/>
          <w:rFonts w:eastAsia="MS Gothic"/>
        </w:rPr>
        <w:t>)</w:t>
      </w:r>
      <w:r w:rsidRPr="00200234">
        <w:rPr>
          <w:rStyle w:val="FootnoteTextChar"/>
          <w:rFonts w:eastAsia="MS Gothic"/>
        </w:rPr>
        <w:t xml:space="preserve"> </w:t>
      </w:r>
      <w:r w:rsidR="007414EC" w:rsidRPr="00200234">
        <w:rPr>
          <w:rStyle w:val="FootnoteTextChar"/>
          <w:rFonts w:eastAsia="MS Gothic"/>
        </w:rPr>
        <w:t>and manual data from Auckland, Lakes and Nelson Marlborough DHBs</w:t>
      </w:r>
      <w:r w:rsidRPr="00200234">
        <w:rPr>
          <w:rStyle w:val="FootnoteTextChar"/>
          <w:rFonts w:eastAsia="MS Gothic"/>
        </w:rPr>
        <w:t>.</w:t>
      </w:r>
    </w:p>
    <w:p w14:paraId="14C152C6" w14:textId="4F59D1D4" w:rsidR="008361C5" w:rsidRDefault="008361C5" w:rsidP="00A417C3">
      <w:pPr>
        <w:pStyle w:val="Figure"/>
      </w:pPr>
      <w:bookmarkStart w:id="35" w:name="_Ref65671623"/>
      <w:bookmarkStart w:id="36" w:name="_Toc63764745"/>
      <w:bookmarkStart w:id="37" w:name="_Toc66716186"/>
      <w:r w:rsidRPr="00200234">
        <w:lastRenderedPageBreak/>
        <w:t xml:space="preserve">Figure </w:t>
      </w:r>
      <w:fldSimple w:instr=" SEQ Figure \* ARABIC ">
        <w:r w:rsidR="00422361">
          <w:rPr>
            <w:noProof/>
          </w:rPr>
          <w:t>4</w:t>
        </w:r>
      </w:fldSimple>
      <w:bookmarkEnd w:id="35"/>
      <w:r w:rsidRPr="00200234">
        <w:t xml:space="preserve">: Average number of people on a given day subject to an inpatient treatment order (section </w:t>
      </w:r>
      <w:r w:rsidR="001674C3">
        <w:t>30</w:t>
      </w:r>
      <w:r w:rsidRPr="00200234">
        <w:t xml:space="preserve"> of the Mental Health Act) per 100,000 population, by DHB, 1</w:t>
      </w:r>
      <w:r w:rsidR="00CE273D" w:rsidRPr="00200234">
        <w:t> </w:t>
      </w:r>
      <w:r w:rsidRPr="00200234">
        <w:t>January to 31 December 2019</w:t>
      </w:r>
      <w:bookmarkEnd w:id="36"/>
      <w:bookmarkEnd w:id="37"/>
    </w:p>
    <w:p w14:paraId="1D620B89" w14:textId="5700A4F7" w:rsidR="00A417C3" w:rsidRPr="00200234" w:rsidRDefault="00A417C3" w:rsidP="008361C5">
      <w:pPr>
        <w:rPr>
          <w:rFonts w:cs="Segoe UI"/>
        </w:rPr>
      </w:pPr>
      <w:r>
        <w:rPr>
          <w:noProof/>
        </w:rPr>
        <w:drawing>
          <wp:inline distT="0" distB="0" distL="0" distR="0" wp14:anchorId="4EC58B7E" wp14:editId="3130023A">
            <wp:extent cx="5130165" cy="4000500"/>
            <wp:effectExtent l="0" t="0" r="0" b="0"/>
            <wp:docPr id="28" name="Chart 28" descr="This graph shows the average number of people subject to an inpatient treatment order in a DHB was highest in Capital and Coast, Whanganui and Hawke's Bay. It was lowest in Wairarapa, Tairawhiti and South Canterbury.">
              <a:extLst xmlns:a="http://schemas.openxmlformats.org/drawingml/2006/main">
                <a:ext uri="{FF2B5EF4-FFF2-40B4-BE49-F238E27FC236}">
                  <a16:creationId xmlns:a16="http://schemas.microsoft.com/office/drawing/2014/main" id="{00000000-0008-0000-1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912D9A" w14:textId="77777777" w:rsidR="008361C5" w:rsidRPr="00200234" w:rsidRDefault="008361C5" w:rsidP="008361C5">
      <w:pPr>
        <w:pStyle w:val="Note"/>
        <w:rPr>
          <w:rStyle w:val="FootnoteTextChar"/>
          <w:rFonts w:eastAsia="MS Gothic"/>
        </w:rPr>
      </w:pPr>
      <w:r w:rsidRPr="00200234">
        <w:rPr>
          <w:rStyle w:val="FootnoteTextChar"/>
          <w:rFonts w:eastAsia="MS Gothic"/>
        </w:rPr>
        <w:t>Notes: ‘On a given day’ is the average of the last day of each month. This graph shows confidence intervals (for 99 percent confidence) to help in interpreting the data. Where a DHB region’s confidence interval crosses the national average, this means the DHB’s rate was not statistically different from the national average.</w:t>
      </w:r>
    </w:p>
    <w:p w14:paraId="778F4535" w14:textId="59D3943E" w:rsidR="008361C5" w:rsidRPr="00200234" w:rsidRDefault="008361C5" w:rsidP="008361C5">
      <w:pPr>
        <w:pStyle w:val="Note"/>
        <w:rPr>
          <w:rStyle w:val="FootnoteTextChar"/>
          <w:rFonts w:eastAsia="MS Gothic"/>
        </w:rPr>
      </w:pPr>
      <w:r w:rsidRPr="00200234">
        <w:rPr>
          <w:rStyle w:val="FootnoteTextChar"/>
          <w:rFonts w:eastAsia="MS Gothic"/>
        </w:rPr>
        <w:t>Source: PRIMHD data</w:t>
      </w:r>
      <w:r w:rsidR="0015429E">
        <w:rPr>
          <w:rStyle w:val="FootnoteTextChar"/>
          <w:rFonts w:eastAsia="MS Gothic"/>
        </w:rPr>
        <w:t xml:space="preserve"> (extracted</w:t>
      </w:r>
      <w:r w:rsidRPr="00200234">
        <w:rPr>
          <w:rStyle w:val="FootnoteTextChar"/>
          <w:rFonts w:eastAsia="MS Gothic"/>
        </w:rPr>
        <w:t xml:space="preserve"> 19 October 2020</w:t>
      </w:r>
      <w:r w:rsidR="000E756E">
        <w:rPr>
          <w:rStyle w:val="FootnoteTextChar"/>
          <w:rFonts w:eastAsia="MS Gothic"/>
        </w:rPr>
        <w:t>)</w:t>
      </w:r>
      <w:r w:rsidRPr="00200234">
        <w:rPr>
          <w:rStyle w:val="FootnoteTextChar"/>
          <w:rFonts w:eastAsia="MS Gothic"/>
        </w:rPr>
        <w:t>.</w:t>
      </w:r>
    </w:p>
    <w:p w14:paraId="7E44EA0F" w14:textId="77777777" w:rsidR="00730559" w:rsidRPr="00090C73" w:rsidRDefault="00730559" w:rsidP="00090C73">
      <w:pPr>
        <w:rPr>
          <w:rFonts w:eastAsia="MS Gothic"/>
        </w:rPr>
      </w:pPr>
    </w:p>
    <w:p w14:paraId="2DC5D610" w14:textId="77777777" w:rsidR="008361C5" w:rsidRPr="00200234" w:rsidRDefault="008361C5" w:rsidP="00DC3196">
      <w:pPr>
        <w:pStyle w:val="Heading2"/>
      </w:pPr>
      <w:bookmarkStart w:id="38" w:name="_Toc65141615"/>
      <w:bookmarkStart w:id="39" w:name="_Toc69307695"/>
      <w:r w:rsidRPr="00200234">
        <w:t>Compulsory treatment by age and sex</w:t>
      </w:r>
      <w:bookmarkEnd w:id="38"/>
      <w:bookmarkEnd w:id="39"/>
    </w:p>
    <w:p w14:paraId="327D0E0B" w14:textId="24EAEB49" w:rsidR="00CF5810" w:rsidRPr="00200234" w:rsidRDefault="00CF5810" w:rsidP="00CF5810">
      <w:bookmarkStart w:id="40" w:name="_Toc65141618"/>
      <w:r w:rsidRPr="00200234">
        <w:t>During 2018</w:t>
      </w:r>
      <w:r w:rsidR="00730559" w:rsidRPr="00200234">
        <w:t>:</w:t>
      </w:r>
      <w:r w:rsidRPr="00200234">
        <w:rPr>
          <w:rStyle w:val="FootnoteReference"/>
          <w:rFonts w:cs="Segoe UI"/>
        </w:rPr>
        <w:footnoteReference w:id="5"/>
      </w:r>
    </w:p>
    <w:p w14:paraId="029082A8" w14:textId="2ACD83AB" w:rsidR="00CF5810" w:rsidRPr="00ED4FA1" w:rsidRDefault="00CF5810" w:rsidP="00CF5810">
      <w:pPr>
        <w:pStyle w:val="Bullet"/>
        <w:rPr>
          <w:szCs w:val="21"/>
        </w:rPr>
      </w:pPr>
      <w:r w:rsidRPr="00ED4FA1">
        <w:rPr>
          <w:szCs w:val="21"/>
        </w:rPr>
        <w:t>people aged 25</w:t>
      </w:r>
      <w:r w:rsidR="00912EAD" w:rsidRPr="00ED4FA1">
        <w:rPr>
          <w:szCs w:val="21"/>
        </w:rPr>
        <w:t>–</w:t>
      </w:r>
      <w:r w:rsidRPr="00ED4FA1">
        <w:rPr>
          <w:szCs w:val="21"/>
        </w:rPr>
        <w:t xml:space="preserve">34 years were the most likely to be subject to a compulsory treatment order (152 per 100,000), while people over 65 years of age were the least likely (56 per 100,000) (see </w:t>
      </w:r>
      <w:r w:rsidR="00D53A62" w:rsidRPr="00ED4FA1">
        <w:rPr>
          <w:szCs w:val="21"/>
        </w:rPr>
        <w:fldChar w:fldCharType="begin"/>
      </w:r>
      <w:r w:rsidR="00D53A62" w:rsidRPr="00ED4FA1">
        <w:rPr>
          <w:szCs w:val="21"/>
        </w:rPr>
        <w:instrText xml:space="preserve"> REF _Ref65671847 \h </w:instrText>
      </w:r>
      <w:r w:rsidR="00D53A62" w:rsidRPr="00ED4FA1">
        <w:rPr>
          <w:szCs w:val="21"/>
        </w:rPr>
      </w:r>
      <w:r w:rsidR="00D53A62" w:rsidRPr="00ED4FA1">
        <w:rPr>
          <w:szCs w:val="21"/>
        </w:rPr>
        <w:fldChar w:fldCharType="separate"/>
      </w:r>
      <w:r w:rsidR="00422361" w:rsidRPr="00200234">
        <w:t xml:space="preserve">Figure </w:t>
      </w:r>
      <w:r w:rsidR="00422361">
        <w:rPr>
          <w:noProof/>
        </w:rPr>
        <w:t>5</w:t>
      </w:r>
      <w:r w:rsidR="00D53A62" w:rsidRPr="00ED4FA1">
        <w:rPr>
          <w:szCs w:val="21"/>
        </w:rPr>
        <w:fldChar w:fldCharType="end"/>
      </w:r>
      <w:r w:rsidRPr="00ED4FA1">
        <w:rPr>
          <w:szCs w:val="21"/>
        </w:rPr>
        <w:t>)</w:t>
      </w:r>
    </w:p>
    <w:p w14:paraId="7CF12585" w14:textId="1E0244F2" w:rsidR="00CF5810" w:rsidRPr="00ED4FA1" w:rsidRDefault="00CF5810" w:rsidP="00CF5810">
      <w:pPr>
        <w:pStyle w:val="Bullet"/>
        <w:rPr>
          <w:szCs w:val="21"/>
        </w:rPr>
      </w:pPr>
      <w:r w:rsidRPr="00ED4FA1">
        <w:rPr>
          <w:szCs w:val="21"/>
        </w:rPr>
        <w:t xml:space="preserve">males were more likely to be subject to a compulsory treatment order (109 per 100,000) than females (75 per 100,000) (see </w:t>
      </w:r>
      <w:r w:rsidR="00D53A62" w:rsidRPr="00ED4FA1">
        <w:rPr>
          <w:szCs w:val="21"/>
        </w:rPr>
        <w:fldChar w:fldCharType="begin"/>
      </w:r>
      <w:r w:rsidR="00D53A62" w:rsidRPr="00ED4FA1">
        <w:rPr>
          <w:szCs w:val="21"/>
        </w:rPr>
        <w:instrText xml:space="preserve"> REF _Ref65671854 \h </w:instrText>
      </w:r>
      <w:r w:rsidR="00D53A62" w:rsidRPr="00ED4FA1">
        <w:rPr>
          <w:szCs w:val="21"/>
        </w:rPr>
      </w:r>
      <w:r w:rsidR="00D53A62" w:rsidRPr="00ED4FA1">
        <w:rPr>
          <w:szCs w:val="21"/>
        </w:rPr>
        <w:fldChar w:fldCharType="separate"/>
      </w:r>
      <w:r w:rsidR="00422361" w:rsidRPr="00200234">
        <w:t xml:space="preserve">Figure </w:t>
      </w:r>
      <w:r w:rsidR="00422361">
        <w:rPr>
          <w:noProof/>
        </w:rPr>
        <w:t>6</w:t>
      </w:r>
      <w:r w:rsidR="00D53A62" w:rsidRPr="00ED4FA1">
        <w:rPr>
          <w:szCs w:val="21"/>
        </w:rPr>
        <w:fldChar w:fldCharType="end"/>
      </w:r>
      <w:r w:rsidRPr="00ED4FA1">
        <w:rPr>
          <w:szCs w:val="21"/>
        </w:rPr>
        <w:t>)</w:t>
      </w:r>
      <w:r w:rsidR="00DA6750" w:rsidRPr="00ED4FA1">
        <w:rPr>
          <w:szCs w:val="21"/>
        </w:rPr>
        <w:t>.</w:t>
      </w:r>
    </w:p>
    <w:p w14:paraId="4A394BE4" w14:textId="77777777" w:rsidR="00CF5810" w:rsidRPr="00ED4FA1" w:rsidRDefault="00CF5810" w:rsidP="00CF5810">
      <w:pPr>
        <w:pStyle w:val="Bullet"/>
        <w:numPr>
          <w:ilvl w:val="0"/>
          <w:numId w:val="0"/>
        </w:numPr>
        <w:ind w:left="720"/>
        <w:rPr>
          <w:rFonts w:cs="Segoe UI"/>
          <w:szCs w:val="21"/>
        </w:rPr>
      </w:pPr>
    </w:p>
    <w:p w14:paraId="13213BE1" w14:textId="3C3A3D04" w:rsidR="00CF5810" w:rsidRPr="00200234" w:rsidRDefault="00CF5810" w:rsidP="00CF5810">
      <w:r w:rsidRPr="00200234">
        <w:t>During 2019</w:t>
      </w:r>
      <w:r w:rsidR="00730559" w:rsidRPr="00200234">
        <w:t>:</w:t>
      </w:r>
      <w:r w:rsidRPr="00200234">
        <w:rPr>
          <w:rStyle w:val="FootnoteReference"/>
          <w:rFonts w:cs="Segoe UI"/>
        </w:rPr>
        <w:footnoteReference w:id="6"/>
      </w:r>
    </w:p>
    <w:p w14:paraId="7D02D63D" w14:textId="079A3377" w:rsidR="00CF5810" w:rsidRPr="00ED4FA1" w:rsidRDefault="00CF5810" w:rsidP="00CF5810">
      <w:pPr>
        <w:pStyle w:val="Bullet"/>
        <w:rPr>
          <w:szCs w:val="21"/>
        </w:rPr>
      </w:pPr>
      <w:r w:rsidRPr="00ED4FA1">
        <w:rPr>
          <w:szCs w:val="21"/>
        </w:rPr>
        <w:lastRenderedPageBreak/>
        <w:t>people aged 25</w:t>
      </w:r>
      <w:r w:rsidR="00912EAD" w:rsidRPr="00ED4FA1">
        <w:rPr>
          <w:szCs w:val="21"/>
        </w:rPr>
        <w:t>–</w:t>
      </w:r>
      <w:r w:rsidRPr="00ED4FA1">
        <w:rPr>
          <w:szCs w:val="21"/>
        </w:rPr>
        <w:t xml:space="preserve">34 years were the most likely to be subject to a compulsory treatment order (164 per 100,000), while people over 65 were the least likely (54 per 100,000) (see </w:t>
      </w:r>
      <w:r w:rsidR="00D53A62" w:rsidRPr="00ED4FA1">
        <w:rPr>
          <w:szCs w:val="21"/>
        </w:rPr>
        <w:fldChar w:fldCharType="begin"/>
      </w:r>
      <w:r w:rsidR="00D53A62" w:rsidRPr="00ED4FA1">
        <w:rPr>
          <w:szCs w:val="21"/>
        </w:rPr>
        <w:instrText xml:space="preserve"> REF _Ref65671847 \h </w:instrText>
      </w:r>
      <w:r w:rsidR="00D53A62" w:rsidRPr="00ED4FA1">
        <w:rPr>
          <w:szCs w:val="21"/>
        </w:rPr>
      </w:r>
      <w:r w:rsidR="00D53A62" w:rsidRPr="00ED4FA1">
        <w:rPr>
          <w:szCs w:val="21"/>
        </w:rPr>
        <w:fldChar w:fldCharType="separate"/>
      </w:r>
      <w:r w:rsidR="00422361" w:rsidRPr="00200234">
        <w:t xml:space="preserve">Figure </w:t>
      </w:r>
      <w:r w:rsidR="00422361">
        <w:rPr>
          <w:noProof/>
        </w:rPr>
        <w:t>5</w:t>
      </w:r>
      <w:r w:rsidR="00D53A62" w:rsidRPr="00ED4FA1">
        <w:rPr>
          <w:szCs w:val="21"/>
        </w:rPr>
        <w:fldChar w:fldCharType="end"/>
      </w:r>
      <w:r w:rsidRPr="00ED4FA1">
        <w:rPr>
          <w:szCs w:val="21"/>
        </w:rPr>
        <w:t>)</w:t>
      </w:r>
    </w:p>
    <w:p w14:paraId="70E1E881" w14:textId="7D341A6C" w:rsidR="00CF5810" w:rsidRPr="00ED4FA1" w:rsidRDefault="00CF5810" w:rsidP="00CF5810">
      <w:pPr>
        <w:pStyle w:val="Bullet"/>
        <w:rPr>
          <w:szCs w:val="21"/>
        </w:rPr>
      </w:pPr>
      <w:r w:rsidRPr="00ED4FA1">
        <w:rPr>
          <w:szCs w:val="21"/>
        </w:rPr>
        <w:t xml:space="preserve">males were more likely to be subject to a compulsory treatment order (108 per 100,000) than females (76 per 100,000) (see </w:t>
      </w:r>
      <w:r w:rsidR="00D53A62" w:rsidRPr="00ED4FA1">
        <w:rPr>
          <w:szCs w:val="21"/>
        </w:rPr>
        <w:fldChar w:fldCharType="begin"/>
      </w:r>
      <w:r w:rsidR="00D53A62" w:rsidRPr="00ED4FA1">
        <w:rPr>
          <w:szCs w:val="21"/>
        </w:rPr>
        <w:instrText xml:space="preserve"> REF _Ref65671854 \h </w:instrText>
      </w:r>
      <w:r w:rsidR="00D53A62" w:rsidRPr="00ED4FA1">
        <w:rPr>
          <w:szCs w:val="21"/>
        </w:rPr>
      </w:r>
      <w:r w:rsidR="00D53A62" w:rsidRPr="00ED4FA1">
        <w:rPr>
          <w:szCs w:val="21"/>
        </w:rPr>
        <w:fldChar w:fldCharType="separate"/>
      </w:r>
      <w:r w:rsidR="00422361" w:rsidRPr="00200234">
        <w:t xml:space="preserve">Figure </w:t>
      </w:r>
      <w:r w:rsidR="00422361">
        <w:rPr>
          <w:noProof/>
        </w:rPr>
        <w:t>6</w:t>
      </w:r>
      <w:r w:rsidR="00D53A62" w:rsidRPr="00ED4FA1">
        <w:rPr>
          <w:szCs w:val="21"/>
        </w:rPr>
        <w:fldChar w:fldCharType="end"/>
      </w:r>
      <w:r w:rsidRPr="00ED4FA1">
        <w:rPr>
          <w:szCs w:val="21"/>
        </w:rPr>
        <w:t>)</w:t>
      </w:r>
      <w:r w:rsidR="00DA6750" w:rsidRPr="00ED4FA1">
        <w:rPr>
          <w:szCs w:val="21"/>
        </w:rPr>
        <w:t>.</w:t>
      </w:r>
    </w:p>
    <w:p w14:paraId="02852059" w14:textId="77777777" w:rsidR="00CF5810" w:rsidRPr="00200234" w:rsidRDefault="00CF5810" w:rsidP="00CF5810"/>
    <w:p w14:paraId="25A190EE" w14:textId="1A7160DD" w:rsidR="00CF5810" w:rsidRPr="00200234" w:rsidRDefault="00CF5810" w:rsidP="00CF5810">
      <w:pPr>
        <w:pStyle w:val="Figure"/>
      </w:pPr>
      <w:bookmarkStart w:id="41" w:name="_Ref65671847"/>
      <w:bookmarkStart w:id="42" w:name="_Toc65574434"/>
      <w:bookmarkStart w:id="43" w:name="_Toc66716187"/>
      <w:r w:rsidRPr="00200234">
        <w:t xml:space="preserve">Figure </w:t>
      </w:r>
      <w:fldSimple w:instr=" SEQ Figure \* ARABIC ">
        <w:r w:rsidR="00422361">
          <w:rPr>
            <w:noProof/>
          </w:rPr>
          <w:t>5</w:t>
        </w:r>
      </w:fldSimple>
      <w:bookmarkEnd w:id="41"/>
      <w:r w:rsidRPr="00200234">
        <w:t>: Rate of people subject to compulsory treatment order applications (including extensions) per 100,000 population, by age group, 2004</w:t>
      </w:r>
      <w:r w:rsidR="00912EAD" w:rsidRPr="00200234">
        <w:t>–</w:t>
      </w:r>
      <w:r w:rsidRPr="00200234">
        <w:t>2019</w:t>
      </w:r>
      <w:bookmarkEnd w:id="42"/>
      <w:bookmarkEnd w:id="43"/>
    </w:p>
    <w:p w14:paraId="4241BBE0" w14:textId="77777777" w:rsidR="00CF5810" w:rsidRPr="00200234" w:rsidRDefault="00CF5810" w:rsidP="002230A2">
      <w:pPr>
        <w:keepNext/>
      </w:pPr>
      <w:r w:rsidRPr="00200234">
        <w:rPr>
          <w:noProof/>
        </w:rPr>
        <w:drawing>
          <wp:inline distT="0" distB="0" distL="0" distR="0" wp14:anchorId="473D552F" wp14:editId="63AFF8A0">
            <wp:extent cx="5039995" cy="2632841"/>
            <wp:effectExtent l="0" t="0" r="8255" b="0"/>
            <wp:docPr id="34" name="Chart 34" descr="This graph shows that the people 25-34 had the highest compulsory treatment order rate, followed by those 35-44, 15-24, 45-54, 55-64, over 65 and under 14.">
              <a:extLst xmlns:a="http://schemas.openxmlformats.org/drawingml/2006/main">
                <a:ext uri="{FF2B5EF4-FFF2-40B4-BE49-F238E27FC236}">
                  <a16:creationId xmlns:a16="http://schemas.microsoft.com/office/drawing/2014/main" id="{00000000-0008-0000-07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D149CD" w14:textId="77777777" w:rsidR="00CF5810" w:rsidRPr="00200234" w:rsidRDefault="00CF5810" w:rsidP="002230A2">
      <w:pPr>
        <w:pStyle w:val="Note"/>
        <w:rPr>
          <w:rFonts w:eastAsia="MS Gothic"/>
        </w:rPr>
      </w:pPr>
      <w:r w:rsidRPr="00200234">
        <w:rPr>
          <w:rFonts w:eastAsia="MS Gothic"/>
        </w:rPr>
        <w:t xml:space="preserve">Notes: This system uses data </w:t>
      </w:r>
      <w:proofErr w:type="gramStart"/>
      <w:r w:rsidRPr="00200234">
        <w:rPr>
          <w:rFonts w:eastAsia="MS Gothic"/>
        </w:rPr>
        <w:t>entered into</w:t>
      </w:r>
      <w:proofErr w:type="gramEnd"/>
      <w:r w:rsidRPr="00200234">
        <w:rPr>
          <w:rFonts w:eastAsia="MS Gothic"/>
        </w:rPr>
        <w:t xml:space="preserve"> the case management system (CMS). The CMS is a live operational database. Figures are subject to minor changes at any time.</w:t>
      </w:r>
    </w:p>
    <w:p w14:paraId="6E093DF9" w14:textId="7763F508" w:rsidR="00CF5810" w:rsidRPr="00200234" w:rsidRDefault="00CF5810" w:rsidP="002230A2">
      <w:pPr>
        <w:pStyle w:val="Note"/>
        <w:rPr>
          <w:rFonts w:eastAsia="MS Gothic"/>
        </w:rPr>
      </w:pPr>
      <w:r w:rsidRPr="00200234">
        <w:rPr>
          <w:rFonts w:eastAsia="MS Gothic"/>
        </w:rPr>
        <w:t>Source: Ministry of Justice Integrated Sector Intelligence System as at 24 June 2019 for years 2004</w:t>
      </w:r>
      <w:r w:rsidR="00912EAD" w:rsidRPr="00200234">
        <w:rPr>
          <w:rFonts w:eastAsia="MS Gothic"/>
        </w:rPr>
        <w:t>–</w:t>
      </w:r>
      <w:r w:rsidRPr="00200234">
        <w:rPr>
          <w:rFonts w:eastAsia="MS Gothic"/>
        </w:rPr>
        <w:t>2018 and 1 February 2021 for year 2019.</w:t>
      </w:r>
    </w:p>
    <w:p w14:paraId="08AB77EA" w14:textId="77777777" w:rsidR="00CF5810" w:rsidRPr="00200234" w:rsidRDefault="00CF5810" w:rsidP="00CF5810">
      <w:pPr>
        <w:rPr>
          <w:rFonts w:eastAsia="MS Gothic"/>
        </w:rPr>
      </w:pPr>
    </w:p>
    <w:p w14:paraId="739B6713" w14:textId="7ABF5157" w:rsidR="00CF5810" w:rsidRPr="00200234" w:rsidRDefault="00CF5810" w:rsidP="00CF5810">
      <w:pPr>
        <w:pStyle w:val="Figure"/>
        <w:rPr>
          <w:rFonts w:cs="Segoe UI"/>
          <w:sz w:val="22"/>
        </w:rPr>
      </w:pPr>
      <w:bookmarkStart w:id="44" w:name="_Ref65671854"/>
      <w:bookmarkStart w:id="45" w:name="_Toc65574435"/>
      <w:bookmarkStart w:id="46" w:name="_Toc66716188"/>
      <w:r w:rsidRPr="00200234">
        <w:t xml:space="preserve">Figure </w:t>
      </w:r>
      <w:fldSimple w:instr=" SEQ Figure \* ARABIC ">
        <w:r w:rsidR="00422361">
          <w:rPr>
            <w:noProof/>
          </w:rPr>
          <w:t>6</w:t>
        </w:r>
      </w:fldSimple>
      <w:bookmarkEnd w:id="44"/>
      <w:r w:rsidRPr="00200234">
        <w:t>: Rate of people subject to compulsory treatment order applications (including extensions) per 100,000 population, by sex, 2004</w:t>
      </w:r>
      <w:r w:rsidR="00912EAD" w:rsidRPr="00200234">
        <w:t>–</w:t>
      </w:r>
      <w:r w:rsidRPr="00200234">
        <w:t>2019</w:t>
      </w:r>
      <w:bookmarkEnd w:id="45"/>
      <w:bookmarkEnd w:id="46"/>
    </w:p>
    <w:p w14:paraId="2BCE3A37" w14:textId="77777777" w:rsidR="00CF5810" w:rsidRPr="00200234" w:rsidRDefault="00CF5810" w:rsidP="002230A2">
      <w:pPr>
        <w:keepNext/>
      </w:pPr>
      <w:r w:rsidRPr="00200234">
        <w:rPr>
          <w:noProof/>
        </w:rPr>
        <w:drawing>
          <wp:inline distT="0" distB="0" distL="0" distR="0" wp14:anchorId="0866A575" wp14:editId="111227BA">
            <wp:extent cx="5039995" cy="2191407"/>
            <wp:effectExtent l="0" t="0" r="8255" b="0"/>
            <wp:docPr id="35" name="Chart 35" descr="This graph shows that males have a higher rate of compulsory treatment order than females.">
              <a:extLst xmlns:a="http://schemas.openxmlformats.org/drawingml/2006/main">
                <a:ext uri="{FF2B5EF4-FFF2-40B4-BE49-F238E27FC236}">
                  <a16:creationId xmlns:a16="http://schemas.microsoft.com/office/drawing/2014/main" id="{41338D25-AF2D-4FA9-BB77-F89B8D17F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9C22A1" w14:textId="77777777" w:rsidR="00CF5810" w:rsidRPr="00200234" w:rsidRDefault="00CF5810" w:rsidP="00090C73">
      <w:pPr>
        <w:pStyle w:val="Note"/>
        <w:keepNext/>
        <w:rPr>
          <w:rFonts w:eastAsia="MS Gothic"/>
        </w:rPr>
      </w:pPr>
      <w:r w:rsidRPr="00200234">
        <w:rPr>
          <w:rFonts w:eastAsia="MS Gothic"/>
        </w:rPr>
        <w:t xml:space="preserve">Notes: This system uses data </w:t>
      </w:r>
      <w:proofErr w:type="gramStart"/>
      <w:r w:rsidRPr="00200234">
        <w:rPr>
          <w:rFonts w:eastAsia="MS Gothic"/>
        </w:rPr>
        <w:t>entered into</w:t>
      </w:r>
      <w:proofErr w:type="gramEnd"/>
      <w:r w:rsidRPr="00200234">
        <w:rPr>
          <w:rFonts w:eastAsia="MS Gothic"/>
        </w:rPr>
        <w:t xml:space="preserve"> the case management system (CMS). The CMS is a live operational database. Figures are subject to minor changes at any time.</w:t>
      </w:r>
    </w:p>
    <w:p w14:paraId="7DE93B5F" w14:textId="77777777" w:rsidR="00CF5810" w:rsidRPr="00200234" w:rsidRDefault="00CF5810" w:rsidP="002230A2">
      <w:pPr>
        <w:pStyle w:val="Note"/>
        <w:rPr>
          <w:rFonts w:eastAsia="MS Gothic"/>
        </w:rPr>
      </w:pPr>
      <w:r w:rsidRPr="00200234">
        <w:rPr>
          <w:rFonts w:eastAsia="MS Gothic"/>
        </w:rPr>
        <w:t>Source: Ministry of Justice Integrated Sector Intelligence System as at 1 February 2021.</w:t>
      </w:r>
    </w:p>
    <w:p w14:paraId="125E0950" w14:textId="77777777" w:rsidR="00CF5810" w:rsidRPr="00200234" w:rsidRDefault="00CF5810" w:rsidP="00B27DB1">
      <w:pPr>
        <w:pStyle w:val="Heading1"/>
      </w:pPr>
      <w:bookmarkStart w:id="47" w:name="_Toc65236597"/>
      <w:bookmarkStart w:id="48" w:name="_Toc65141616"/>
      <w:bookmarkStart w:id="49" w:name="_Toc69307696"/>
      <w:r w:rsidRPr="00200234">
        <w:lastRenderedPageBreak/>
        <w:t>Indefinite compulsory treatment orders</w:t>
      </w:r>
      <w:bookmarkEnd w:id="47"/>
      <w:bookmarkEnd w:id="48"/>
      <w:bookmarkEnd w:id="49"/>
    </w:p>
    <w:p w14:paraId="3C980DAA" w14:textId="77777777" w:rsidR="00CF5810" w:rsidRPr="00200234" w:rsidRDefault="00CF5810" w:rsidP="002230A2">
      <w:r w:rsidRPr="00200234">
        <w:t>In summary, on 31 December 2018:</w:t>
      </w:r>
      <w:r w:rsidRPr="00200234">
        <w:rPr>
          <w:rStyle w:val="FootnoteReference"/>
          <w:rFonts w:cs="Segoe UI"/>
        </w:rPr>
        <w:footnoteReference w:id="7"/>
      </w:r>
    </w:p>
    <w:p w14:paraId="3051172A" w14:textId="77777777" w:rsidR="00CF5810" w:rsidRPr="00ED4FA1" w:rsidRDefault="00CF5810" w:rsidP="002230A2">
      <w:pPr>
        <w:pStyle w:val="Bullet"/>
        <w:rPr>
          <w:szCs w:val="21"/>
        </w:rPr>
      </w:pPr>
      <w:r w:rsidRPr="00ED4FA1">
        <w:rPr>
          <w:szCs w:val="21"/>
        </w:rPr>
        <w:t>2,497 clients were subject to indefinite compulsory treatment orders</w:t>
      </w:r>
    </w:p>
    <w:p w14:paraId="31F26905" w14:textId="77777777" w:rsidR="00CF5810" w:rsidRPr="00ED4FA1" w:rsidRDefault="00CF5810" w:rsidP="002230A2">
      <w:pPr>
        <w:pStyle w:val="Bullet"/>
        <w:rPr>
          <w:szCs w:val="21"/>
        </w:rPr>
      </w:pPr>
      <w:r w:rsidRPr="00ED4FA1">
        <w:rPr>
          <w:szCs w:val="21"/>
        </w:rPr>
        <w:t>2,332 clients (53 percent of all clients on community treatment orders) were subject to indefinite community treatment orders</w:t>
      </w:r>
    </w:p>
    <w:p w14:paraId="3BB3B896" w14:textId="77E92F00" w:rsidR="00CF5810" w:rsidRPr="00ED4FA1" w:rsidRDefault="00CF5810" w:rsidP="002230A2">
      <w:pPr>
        <w:pStyle w:val="Bullet"/>
        <w:rPr>
          <w:szCs w:val="21"/>
        </w:rPr>
      </w:pPr>
      <w:r w:rsidRPr="00ED4FA1">
        <w:rPr>
          <w:szCs w:val="21"/>
        </w:rPr>
        <w:t>174 clients were subject to indefinite inpatient treatment orders</w:t>
      </w:r>
      <w:r w:rsidR="00122650">
        <w:rPr>
          <w:szCs w:val="21"/>
        </w:rPr>
        <w:t xml:space="preserve"> –</w:t>
      </w:r>
      <w:r w:rsidRPr="00ED4FA1">
        <w:rPr>
          <w:szCs w:val="21"/>
        </w:rPr>
        <w:t xml:space="preserve"> </w:t>
      </w:r>
      <w:r w:rsidR="00760979" w:rsidRPr="00ED4FA1">
        <w:rPr>
          <w:szCs w:val="21"/>
        </w:rPr>
        <w:t>t</w:t>
      </w:r>
      <w:r w:rsidRPr="00ED4FA1">
        <w:rPr>
          <w:szCs w:val="21"/>
        </w:rPr>
        <w:t>his represents 27 percent of all clients on inpatient treatment orders</w:t>
      </w:r>
    </w:p>
    <w:p w14:paraId="78BD2F2D" w14:textId="05B49E75" w:rsidR="00CF5810" w:rsidRPr="00ED4FA1" w:rsidRDefault="00CF5810" w:rsidP="002230A2">
      <w:pPr>
        <w:pStyle w:val="Bullet"/>
        <w:rPr>
          <w:szCs w:val="21"/>
        </w:rPr>
      </w:pPr>
      <w:r w:rsidRPr="00ED4FA1">
        <w:rPr>
          <w:szCs w:val="21"/>
        </w:rPr>
        <w:t>the average period for which a client was subject to an indefinite community treatment order was 1,193 days</w:t>
      </w:r>
      <w:r w:rsidR="00122650">
        <w:rPr>
          <w:szCs w:val="21"/>
        </w:rPr>
        <w:t>,</w:t>
      </w:r>
      <w:r w:rsidRPr="00ED4FA1">
        <w:rPr>
          <w:szCs w:val="21"/>
        </w:rPr>
        <w:t xml:space="preserve"> and the maximum period was 10,439 days (approximately 28 years)</w:t>
      </w:r>
    </w:p>
    <w:p w14:paraId="0CC7C5A4" w14:textId="4A76F5A7" w:rsidR="00CF5810" w:rsidRPr="00ED4FA1" w:rsidRDefault="00CF5810" w:rsidP="002230A2">
      <w:pPr>
        <w:pStyle w:val="Bullet"/>
        <w:rPr>
          <w:szCs w:val="21"/>
        </w:rPr>
      </w:pPr>
      <w:r w:rsidRPr="00ED4FA1">
        <w:rPr>
          <w:szCs w:val="21"/>
        </w:rPr>
        <w:t>the average period for which a client was subject to an indefinite inpatient treatment order was 609 days</w:t>
      </w:r>
      <w:r w:rsidR="00122650">
        <w:rPr>
          <w:szCs w:val="21"/>
        </w:rPr>
        <w:t>,</w:t>
      </w:r>
      <w:r w:rsidRPr="00ED4FA1">
        <w:rPr>
          <w:szCs w:val="21"/>
        </w:rPr>
        <w:t xml:space="preserve"> and the maximum period was 7,693 days (approximately 21 years).</w:t>
      </w:r>
    </w:p>
    <w:p w14:paraId="66F5D475" w14:textId="77777777" w:rsidR="00CF5810" w:rsidRPr="00200234" w:rsidRDefault="00CF5810" w:rsidP="002230A2"/>
    <w:p w14:paraId="7FE468F6" w14:textId="47BCFD06" w:rsidR="00CF5810" w:rsidRPr="00200234" w:rsidRDefault="00A90330" w:rsidP="002230A2">
      <w:r>
        <w:t>O</w:t>
      </w:r>
      <w:r w:rsidR="00CF5810" w:rsidRPr="00200234">
        <w:t>n 31 December 2019:</w:t>
      </w:r>
      <w:r w:rsidR="00CF5810" w:rsidRPr="00200234">
        <w:rPr>
          <w:rStyle w:val="FootnoteReference"/>
          <w:rFonts w:cs="Segoe UI"/>
        </w:rPr>
        <w:footnoteReference w:id="8"/>
      </w:r>
    </w:p>
    <w:p w14:paraId="789BAB1C" w14:textId="77777777" w:rsidR="00CF5810" w:rsidRPr="00ED4FA1" w:rsidRDefault="00CF5810" w:rsidP="002230A2">
      <w:pPr>
        <w:pStyle w:val="Bullet"/>
        <w:rPr>
          <w:szCs w:val="21"/>
        </w:rPr>
      </w:pPr>
      <w:r w:rsidRPr="00ED4FA1">
        <w:rPr>
          <w:szCs w:val="21"/>
        </w:rPr>
        <w:t>2,866 clients were subject to indefinite compulsory treatment orders</w:t>
      </w:r>
    </w:p>
    <w:p w14:paraId="07005A38" w14:textId="77777777" w:rsidR="00CF5810" w:rsidRPr="00ED4FA1" w:rsidRDefault="00CF5810" w:rsidP="002230A2">
      <w:pPr>
        <w:pStyle w:val="Bullet"/>
        <w:rPr>
          <w:szCs w:val="21"/>
        </w:rPr>
      </w:pPr>
      <w:r w:rsidRPr="00ED4FA1">
        <w:rPr>
          <w:szCs w:val="21"/>
        </w:rPr>
        <w:t>2,699 clients (60 percent of all clients on community treatment orders) were subject to indefinite community treatment orders</w:t>
      </w:r>
    </w:p>
    <w:p w14:paraId="3391D25D" w14:textId="16DA74F0" w:rsidR="00CF5810" w:rsidRPr="00ED4FA1" w:rsidRDefault="00CF5810" w:rsidP="002230A2">
      <w:pPr>
        <w:pStyle w:val="Bullet"/>
        <w:rPr>
          <w:szCs w:val="21"/>
        </w:rPr>
      </w:pPr>
      <w:r w:rsidRPr="00ED4FA1">
        <w:rPr>
          <w:szCs w:val="21"/>
        </w:rPr>
        <w:t>187 clients were subject to indefinite inpatient treatment orders</w:t>
      </w:r>
      <w:r w:rsidR="00122650">
        <w:rPr>
          <w:szCs w:val="21"/>
        </w:rPr>
        <w:t xml:space="preserve"> –</w:t>
      </w:r>
      <w:r w:rsidRPr="00ED4FA1">
        <w:rPr>
          <w:szCs w:val="21"/>
        </w:rPr>
        <w:t xml:space="preserve"> </w:t>
      </w:r>
      <w:r w:rsidR="00D544E0" w:rsidRPr="00ED4FA1">
        <w:rPr>
          <w:szCs w:val="21"/>
        </w:rPr>
        <w:t>t</w:t>
      </w:r>
      <w:r w:rsidRPr="00ED4FA1">
        <w:rPr>
          <w:szCs w:val="21"/>
        </w:rPr>
        <w:t>his represents 28 percent of all clients on inpatient treatment orders</w:t>
      </w:r>
    </w:p>
    <w:p w14:paraId="7C400037" w14:textId="555A3B35" w:rsidR="00CF5810" w:rsidRPr="00ED4FA1" w:rsidRDefault="00CF5810" w:rsidP="002230A2">
      <w:pPr>
        <w:pStyle w:val="Bullet"/>
        <w:rPr>
          <w:szCs w:val="21"/>
        </w:rPr>
      </w:pPr>
      <w:r w:rsidRPr="00ED4FA1">
        <w:rPr>
          <w:szCs w:val="21"/>
        </w:rPr>
        <w:t>the average period for which a client was subject to an indefinite community treatment order was 1,562 days</w:t>
      </w:r>
      <w:r w:rsidR="00122650">
        <w:rPr>
          <w:szCs w:val="21"/>
        </w:rPr>
        <w:t>,</w:t>
      </w:r>
      <w:r w:rsidRPr="00ED4FA1">
        <w:rPr>
          <w:szCs w:val="21"/>
        </w:rPr>
        <w:t xml:space="preserve"> and the maximum period was 9,556 days (approximately 26 years)</w:t>
      </w:r>
    </w:p>
    <w:p w14:paraId="3E55344B" w14:textId="14DDC817" w:rsidR="00CF5810" w:rsidRPr="00ED4FA1" w:rsidRDefault="00CF5810" w:rsidP="002230A2">
      <w:pPr>
        <w:pStyle w:val="Bullet"/>
        <w:rPr>
          <w:szCs w:val="21"/>
        </w:rPr>
      </w:pPr>
      <w:r w:rsidRPr="00ED4FA1">
        <w:rPr>
          <w:szCs w:val="21"/>
        </w:rPr>
        <w:t>the average period for which a client was subject to an indefinite inpatient treatment order was 1,364 days</w:t>
      </w:r>
      <w:r w:rsidR="00122650">
        <w:rPr>
          <w:szCs w:val="21"/>
        </w:rPr>
        <w:t>,</w:t>
      </w:r>
      <w:r w:rsidRPr="00ED4FA1">
        <w:rPr>
          <w:szCs w:val="21"/>
        </w:rPr>
        <w:t xml:space="preserve"> and the maximum period was 7,384 days (approximately 20 years)</w:t>
      </w:r>
      <w:r w:rsidR="00ED7786">
        <w:rPr>
          <w:szCs w:val="21"/>
        </w:rPr>
        <w:t>.</w:t>
      </w:r>
    </w:p>
    <w:p w14:paraId="29705915" w14:textId="77777777" w:rsidR="00CF5810" w:rsidRPr="00200234" w:rsidRDefault="00CF5810" w:rsidP="00B27DB1">
      <w:pPr>
        <w:pStyle w:val="Heading2"/>
      </w:pPr>
      <w:bookmarkStart w:id="50" w:name="_Toc65236598"/>
      <w:bookmarkStart w:id="51" w:name="_Toc65141617"/>
      <w:bookmarkStart w:id="52" w:name="_Toc69307697"/>
      <w:r w:rsidRPr="00200234">
        <w:t>Indefinite community treatment orders</w:t>
      </w:r>
      <w:bookmarkEnd w:id="50"/>
      <w:bookmarkEnd w:id="51"/>
      <w:bookmarkEnd w:id="52"/>
    </w:p>
    <w:p w14:paraId="561639A5" w14:textId="0DEEE1AD" w:rsidR="00CF5810" w:rsidRPr="00200234" w:rsidRDefault="00CF5810" w:rsidP="002230A2">
      <w:r w:rsidRPr="00200234">
        <w:t xml:space="preserve">In 2018, 47.3 people per 100,000 population across New Zealand were subject to indefinite community treatment orders. </w:t>
      </w:r>
      <w:r w:rsidR="00D53A62" w:rsidRPr="00200234">
        <w:fldChar w:fldCharType="begin"/>
      </w:r>
      <w:r w:rsidR="00D53A62" w:rsidRPr="00200234">
        <w:instrText xml:space="preserve"> REF _Ref65671888 \h </w:instrText>
      </w:r>
      <w:r w:rsidR="00D53A62" w:rsidRPr="00200234">
        <w:fldChar w:fldCharType="separate"/>
      </w:r>
      <w:r w:rsidR="00422361" w:rsidRPr="00200234">
        <w:t xml:space="preserve">Figure </w:t>
      </w:r>
      <w:r w:rsidR="00422361">
        <w:rPr>
          <w:noProof/>
        </w:rPr>
        <w:t>7</w:t>
      </w:r>
      <w:r w:rsidR="00D53A62" w:rsidRPr="00200234">
        <w:fldChar w:fldCharType="end"/>
      </w:r>
      <w:r w:rsidRPr="00200234">
        <w:t xml:space="preserve"> show</w:t>
      </w:r>
      <w:r w:rsidR="00D544E0" w:rsidRPr="00200234">
        <w:t>s</w:t>
      </w:r>
      <w:r w:rsidRPr="00200234">
        <w:t xml:space="preserve"> the rates of indefinite community treatment orders in each DHB, per 100,000 of the general population. </w:t>
      </w:r>
    </w:p>
    <w:p w14:paraId="48CE24E6" w14:textId="77777777" w:rsidR="002230A2" w:rsidRPr="00200234" w:rsidRDefault="002230A2" w:rsidP="002230A2"/>
    <w:p w14:paraId="2DAE3F91" w14:textId="3B4CFF4F" w:rsidR="00CF5810" w:rsidRPr="00200234" w:rsidRDefault="00CF5810" w:rsidP="00CF5810">
      <w:pPr>
        <w:pStyle w:val="Figure"/>
      </w:pPr>
      <w:bookmarkStart w:id="53" w:name="_Ref65671888"/>
      <w:bookmarkStart w:id="54" w:name="_Toc65574436"/>
      <w:bookmarkStart w:id="55" w:name="_Toc63764746"/>
      <w:bookmarkStart w:id="56" w:name="_Toc66716189"/>
      <w:r w:rsidRPr="00200234">
        <w:lastRenderedPageBreak/>
        <w:t xml:space="preserve">Figure </w:t>
      </w:r>
      <w:fldSimple w:instr=" SEQ Figure \* ARABIC ">
        <w:r w:rsidR="00422361">
          <w:rPr>
            <w:noProof/>
          </w:rPr>
          <w:t>7</w:t>
        </w:r>
      </w:fldSimple>
      <w:bookmarkEnd w:id="53"/>
      <w:r w:rsidRPr="00200234">
        <w:t>: Rate of people subject to indefinite community treatment orders per 100,000 population, by DHB, open on 31 December 2018</w:t>
      </w:r>
      <w:bookmarkEnd w:id="54"/>
      <w:bookmarkEnd w:id="55"/>
      <w:bookmarkEnd w:id="56"/>
    </w:p>
    <w:p w14:paraId="10C9623D" w14:textId="70CF78E7" w:rsidR="00CF5810" w:rsidRPr="00200234" w:rsidRDefault="004D34B3" w:rsidP="002230A2">
      <w:pPr>
        <w:keepNext/>
      </w:pPr>
      <w:r>
        <w:rPr>
          <w:noProof/>
        </w:rPr>
        <w:drawing>
          <wp:inline distT="0" distB="0" distL="0" distR="0" wp14:anchorId="2BB19BD4" wp14:editId="00F767E2">
            <wp:extent cx="5079206" cy="3448050"/>
            <wp:effectExtent l="0" t="0" r="7620" b="0"/>
            <wp:docPr id="236" name="Chart 236" descr="This graph shows that Northland has the highest rate of people subject to an indefinite community treatment order, followed by Tairawhiti and Capital and Coast. Hawke's Bay has the lowest rate, followed by Waitemata and Bay of Plenty.">
              <a:extLst xmlns:a="http://schemas.openxmlformats.org/drawingml/2006/main">
                <a:ext uri="{FF2B5EF4-FFF2-40B4-BE49-F238E27FC236}">
                  <a16:creationId xmlns:a16="http://schemas.microsoft.com/office/drawing/2014/main" id="{8F09C44C-453F-453C-BA48-231F8B484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CA795B" w14:textId="2F503D96" w:rsidR="00CF5810" w:rsidRPr="00200234" w:rsidRDefault="00CF5810" w:rsidP="00CF5810">
      <w:pPr>
        <w:pStyle w:val="Note"/>
      </w:pPr>
      <w:r w:rsidRPr="00200234">
        <w:t>Source</w:t>
      </w:r>
      <w:r w:rsidR="00CF5A84" w:rsidRPr="00200234">
        <w:t>s</w:t>
      </w:r>
      <w:r w:rsidRPr="00200234">
        <w:t>: PRIMHD data</w:t>
      </w:r>
      <w:r w:rsidR="0015429E">
        <w:t xml:space="preserve"> (extracted</w:t>
      </w:r>
      <w:r w:rsidRPr="00200234">
        <w:t xml:space="preserve"> 29 July 2019</w:t>
      </w:r>
      <w:r w:rsidR="000E756E">
        <w:t>)</w:t>
      </w:r>
      <w:r w:rsidRPr="00200234">
        <w:t xml:space="preserve"> and manual data from Auckland, Lakes, Nelson Marlborough and </w:t>
      </w:r>
      <w:proofErr w:type="spellStart"/>
      <w:r w:rsidRPr="00200234">
        <w:t>Waitematā</w:t>
      </w:r>
      <w:proofErr w:type="spellEnd"/>
      <w:r w:rsidRPr="00200234">
        <w:t xml:space="preserve"> DHBs. </w:t>
      </w:r>
    </w:p>
    <w:p w14:paraId="2A9E5E91" w14:textId="77777777" w:rsidR="00CF5810" w:rsidRPr="00200234" w:rsidRDefault="00CF5810" w:rsidP="002230A2"/>
    <w:p w14:paraId="1BF610AC" w14:textId="679C517F" w:rsidR="00CF5810" w:rsidRPr="00200234" w:rsidRDefault="00CF5810" w:rsidP="002230A2">
      <w:r w:rsidRPr="00200234">
        <w:t xml:space="preserve">In 2019, 54.5 people per 100,000 population across New Zealand were subject to indefinite community treatment orders. </w:t>
      </w:r>
      <w:r w:rsidR="00D53A62" w:rsidRPr="00200234">
        <w:fldChar w:fldCharType="begin"/>
      </w:r>
      <w:r w:rsidR="00D53A62" w:rsidRPr="00200234">
        <w:instrText xml:space="preserve"> REF _Ref65671897 \h </w:instrText>
      </w:r>
      <w:r w:rsidR="00D53A62" w:rsidRPr="00200234">
        <w:fldChar w:fldCharType="separate"/>
      </w:r>
      <w:r w:rsidR="00422361" w:rsidRPr="00200234">
        <w:t xml:space="preserve">Figure </w:t>
      </w:r>
      <w:r w:rsidR="00422361">
        <w:rPr>
          <w:noProof/>
        </w:rPr>
        <w:t>8</w:t>
      </w:r>
      <w:r w:rsidR="00D53A62" w:rsidRPr="00200234">
        <w:fldChar w:fldCharType="end"/>
      </w:r>
      <w:r w:rsidRPr="00200234">
        <w:t xml:space="preserve"> show</w:t>
      </w:r>
      <w:r w:rsidR="00D53A62" w:rsidRPr="00200234">
        <w:t>s</w:t>
      </w:r>
      <w:r w:rsidRPr="00200234">
        <w:t xml:space="preserve"> the rates of indefinite community treatment orders in each DHB, per 100,000 of the general population. </w:t>
      </w:r>
    </w:p>
    <w:p w14:paraId="49EA50C7" w14:textId="77777777" w:rsidR="00CF5810" w:rsidRPr="00200234" w:rsidRDefault="00CF5810" w:rsidP="002230A2"/>
    <w:p w14:paraId="3D29C845" w14:textId="51C04028" w:rsidR="00CF5810" w:rsidRPr="00200234" w:rsidRDefault="00CF5810" w:rsidP="000933C8">
      <w:pPr>
        <w:pStyle w:val="Figure"/>
      </w:pPr>
      <w:bookmarkStart w:id="57" w:name="_Ref65671897"/>
      <w:bookmarkStart w:id="58" w:name="_Toc65574437"/>
      <w:bookmarkStart w:id="59" w:name="_Toc63764747"/>
      <w:bookmarkStart w:id="60" w:name="_Toc66716190"/>
      <w:r w:rsidRPr="00200234">
        <w:t xml:space="preserve">Figure </w:t>
      </w:r>
      <w:fldSimple w:instr=" SEQ Figure \* ARABIC ">
        <w:r w:rsidR="00422361">
          <w:rPr>
            <w:noProof/>
          </w:rPr>
          <w:t>8</w:t>
        </w:r>
      </w:fldSimple>
      <w:bookmarkEnd w:id="57"/>
      <w:r w:rsidRPr="00200234">
        <w:t>: Rate of people subject to indefinite community treatment orders per 100,000 population, by DHB, open on 31 December 2019</w:t>
      </w:r>
      <w:bookmarkEnd w:id="58"/>
      <w:bookmarkEnd w:id="59"/>
      <w:bookmarkEnd w:id="60"/>
    </w:p>
    <w:p w14:paraId="06F4E114" w14:textId="77777777" w:rsidR="00CF5810" w:rsidRPr="00200234" w:rsidRDefault="00CF5810" w:rsidP="002230A2">
      <w:pPr>
        <w:keepNext/>
      </w:pPr>
      <w:r w:rsidRPr="00200234">
        <w:rPr>
          <w:noProof/>
        </w:rPr>
        <w:drawing>
          <wp:inline distT="0" distB="0" distL="0" distR="0" wp14:anchorId="1AECC66C" wp14:editId="269763F7">
            <wp:extent cx="5039995" cy="3232297"/>
            <wp:effectExtent l="0" t="0" r="8255" b="6350"/>
            <wp:docPr id="9" name="Chart 9" descr="This graph shows that Northland has the highest rate of people subject to an indefinite community treatment order, followed by Capital and Coast and Whanganui. Hawke's Bay has the lowest rate, followed by Wairarapa and Bay of Plenty.">
              <a:extLst xmlns:a="http://schemas.openxmlformats.org/drawingml/2006/main">
                <a:ext uri="{FF2B5EF4-FFF2-40B4-BE49-F238E27FC236}">
                  <a16:creationId xmlns:a16="http://schemas.microsoft.com/office/drawing/2014/main" id="{8F09C44C-453F-453C-BA48-231F8B484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B6B5FDA" w14:textId="1B281AC9" w:rsidR="00CF5810" w:rsidRPr="00200234" w:rsidRDefault="00CF5810" w:rsidP="00CF5810">
      <w:pPr>
        <w:pStyle w:val="Note"/>
      </w:pPr>
      <w:r w:rsidRPr="00200234">
        <w:t>Source: PRIMHD data</w:t>
      </w:r>
      <w:r w:rsidR="0015429E">
        <w:t xml:space="preserve"> (extracted</w:t>
      </w:r>
      <w:r w:rsidRPr="00200234">
        <w:t xml:space="preserve"> 19 October 2020</w:t>
      </w:r>
      <w:r w:rsidR="000E756E">
        <w:t>)</w:t>
      </w:r>
      <w:r w:rsidRPr="00200234">
        <w:t xml:space="preserve">. </w:t>
      </w:r>
    </w:p>
    <w:p w14:paraId="6149391C" w14:textId="77777777" w:rsidR="00CF5810" w:rsidRPr="00ED4FA1" w:rsidRDefault="00CF5810" w:rsidP="00CF5810">
      <w:pPr>
        <w:pStyle w:val="Bullet"/>
        <w:numPr>
          <w:ilvl w:val="0"/>
          <w:numId w:val="0"/>
        </w:numPr>
        <w:rPr>
          <w:rFonts w:cs="Segoe UI"/>
          <w:szCs w:val="21"/>
        </w:rPr>
      </w:pPr>
    </w:p>
    <w:p w14:paraId="5120DE62" w14:textId="23C5E395" w:rsidR="00CF5810" w:rsidRPr="00200234" w:rsidRDefault="00CF5810" w:rsidP="002230A2">
      <w:r w:rsidRPr="00200234">
        <w:t xml:space="preserve">In 2018, nationwide, Māori were 3.5 times more likely to be subject to an indefinite community treatment order than non-Māori. In 2019, Māori were 2.9 times more likely to be subject to an indefinite community treatment order than non-Māori. </w:t>
      </w:r>
      <w:r w:rsidR="007F0A9A" w:rsidRPr="00200234">
        <w:fldChar w:fldCharType="begin"/>
      </w:r>
      <w:r w:rsidR="007F0A9A" w:rsidRPr="00200234">
        <w:instrText xml:space="preserve"> REF _Ref65673000 \h </w:instrText>
      </w:r>
      <w:r w:rsidR="004D34B3">
        <w:instrText xml:space="preserve"> \* MERGEFORMAT </w:instrText>
      </w:r>
      <w:r w:rsidR="007F0A9A" w:rsidRPr="00200234">
        <w:fldChar w:fldCharType="separate"/>
      </w:r>
      <w:r w:rsidR="00422361" w:rsidRPr="00200234">
        <w:t xml:space="preserve">Table </w:t>
      </w:r>
      <w:r w:rsidR="00422361">
        <w:t>5</w:t>
      </w:r>
      <w:r w:rsidR="007F0A9A" w:rsidRPr="00200234">
        <w:fldChar w:fldCharType="end"/>
      </w:r>
      <w:r w:rsidRPr="00200234">
        <w:t xml:space="preserve"> shows the rate ratio of Māori to non-Māori in each DHB, per 100,000 people subject to indefinite community treatment orders.</w:t>
      </w:r>
    </w:p>
    <w:p w14:paraId="5571899D" w14:textId="77777777" w:rsidR="002230A2" w:rsidRPr="00200234" w:rsidRDefault="002230A2" w:rsidP="00501C8E"/>
    <w:p w14:paraId="75002F10" w14:textId="7FFA9FBC" w:rsidR="00CF5810" w:rsidRPr="00200234" w:rsidRDefault="00CF5810" w:rsidP="00CF5810">
      <w:pPr>
        <w:pStyle w:val="Table"/>
      </w:pPr>
      <w:bookmarkStart w:id="61" w:name="_Ref65673000"/>
      <w:bookmarkStart w:id="62" w:name="_Toc34653648"/>
      <w:bookmarkStart w:id="63" w:name="_Toc65574502"/>
      <w:bookmarkStart w:id="64" w:name="_Toc63764669"/>
      <w:bookmarkStart w:id="65" w:name="_Toc69306775"/>
      <w:r w:rsidRPr="00200234">
        <w:t xml:space="preserve">Table </w:t>
      </w:r>
      <w:fldSimple w:instr=" SEQ Table \* ARABIC ">
        <w:r w:rsidR="00422361">
          <w:rPr>
            <w:noProof/>
          </w:rPr>
          <w:t>5</w:t>
        </w:r>
      </w:fldSimple>
      <w:bookmarkEnd w:id="61"/>
      <w:r w:rsidRPr="00200234">
        <w:t>: Rate ratio of Māori to non-Māori subject to indefinite community treatment orders per 100,000 population, open on 31 December 2018 and 31 December 2019</w:t>
      </w:r>
      <w:bookmarkEnd w:id="62"/>
      <w:bookmarkEnd w:id="63"/>
      <w:bookmarkEnd w:id="64"/>
      <w:bookmarkEnd w:id="65"/>
    </w:p>
    <w:tbl>
      <w:tblPr>
        <w:tblW w:w="0" w:type="auto"/>
        <w:tblBorders>
          <w:top w:val="single" w:sz="4" w:space="0" w:color="A6A6A6"/>
          <w:bottom w:val="single" w:sz="4" w:space="0" w:color="A6A6A6"/>
          <w:insideH w:val="single" w:sz="4" w:space="0" w:color="A6A6A6"/>
        </w:tblBorders>
        <w:tblLook w:val="04A0" w:firstRow="1" w:lastRow="0" w:firstColumn="1" w:lastColumn="0" w:noHBand="0" w:noVBand="1"/>
      </w:tblPr>
      <w:tblGrid>
        <w:gridCol w:w="1870"/>
        <w:gridCol w:w="718"/>
        <w:gridCol w:w="829"/>
        <w:gridCol w:w="1557"/>
        <w:gridCol w:w="718"/>
        <w:gridCol w:w="830"/>
        <w:gridCol w:w="1557"/>
      </w:tblGrid>
      <w:tr w:rsidR="00CF5810" w:rsidRPr="000C5A1A" w14:paraId="4453B5FF" w14:textId="77777777" w:rsidTr="00090C73">
        <w:trPr>
          <w:trHeight w:val="30"/>
        </w:trPr>
        <w:tc>
          <w:tcPr>
            <w:tcW w:w="0" w:type="auto"/>
            <w:tcBorders>
              <w:top w:val="nil"/>
              <w:bottom w:val="nil"/>
            </w:tcBorders>
            <w:shd w:val="clear" w:color="000000" w:fill="D9D9D9"/>
            <w:noWrap/>
            <w:vAlign w:val="center"/>
          </w:tcPr>
          <w:p w14:paraId="231A745F" w14:textId="77777777" w:rsidR="00CF5810" w:rsidRPr="000C5A1A" w:rsidRDefault="00CF5810" w:rsidP="00954F8C">
            <w:pPr>
              <w:keepNext/>
              <w:spacing w:before="60" w:after="60"/>
              <w:rPr>
                <w:rFonts w:cs="Segoe UI"/>
                <w:color w:val="000000"/>
                <w:sz w:val="18"/>
                <w:szCs w:val="18"/>
                <w:lang w:eastAsia="en-NZ"/>
              </w:rPr>
            </w:pPr>
          </w:p>
        </w:tc>
        <w:tc>
          <w:tcPr>
            <w:tcW w:w="0" w:type="auto"/>
            <w:gridSpan w:val="3"/>
            <w:tcBorders>
              <w:top w:val="nil"/>
              <w:bottom w:val="nil"/>
            </w:tcBorders>
            <w:shd w:val="clear" w:color="auto" w:fill="D9D9D9"/>
            <w:vAlign w:val="center"/>
          </w:tcPr>
          <w:p w14:paraId="48EF2838" w14:textId="2C684131" w:rsidR="00CF5810" w:rsidRPr="000C5A1A" w:rsidRDefault="00CF5810" w:rsidP="00954F8C">
            <w:pPr>
              <w:keepNext/>
              <w:spacing w:before="60" w:after="60"/>
              <w:jc w:val="center"/>
              <w:rPr>
                <w:rFonts w:cs="Segoe UI"/>
                <w:b/>
                <w:bCs/>
                <w:color w:val="000000"/>
                <w:sz w:val="18"/>
                <w:szCs w:val="18"/>
                <w:lang w:eastAsia="en-NZ"/>
              </w:rPr>
            </w:pPr>
            <w:r w:rsidRPr="000C5A1A">
              <w:rPr>
                <w:rFonts w:cs="Segoe UI"/>
                <w:b/>
                <w:bCs/>
                <w:color w:val="000000"/>
                <w:sz w:val="18"/>
                <w:szCs w:val="18"/>
                <w:lang w:eastAsia="en-NZ"/>
              </w:rPr>
              <w:t>Orders open on</w:t>
            </w:r>
            <w:r w:rsidR="00910670" w:rsidRPr="000C5A1A">
              <w:rPr>
                <w:rFonts w:cs="Segoe UI"/>
                <w:b/>
                <w:bCs/>
                <w:color w:val="000000"/>
                <w:sz w:val="18"/>
                <w:szCs w:val="18"/>
                <w:lang w:eastAsia="en-NZ"/>
              </w:rPr>
              <w:br/>
            </w:r>
            <w:r w:rsidRPr="000C5A1A">
              <w:rPr>
                <w:rFonts w:cs="Segoe UI"/>
                <w:b/>
                <w:bCs/>
                <w:color w:val="000000"/>
                <w:sz w:val="18"/>
                <w:szCs w:val="18"/>
                <w:lang w:eastAsia="en-NZ"/>
              </w:rPr>
              <w:t>31 December 2018</w:t>
            </w:r>
          </w:p>
        </w:tc>
        <w:tc>
          <w:tcPr>
            <w:tcW w:w="0" w:type="auto"/>
            <w:gridSpan w:val="3"/>
            <w:tcBorders>
              <w:top w:val="nil"/>
              <w:bottom w:val="nil"/>
            </w:tcBorders>
            <w:shd w:val="clear" w:color="000000" w:fill="D9D9D9"/>
          </w:tcPr>
          <w:p w14:paraId="19E6BFAB" w14:textId="3699CBF1" w:rsidR="00CF5810" w:rsidRPr="000C5A1A" w:rsidRDefault="00CF5810" w:rsidP="00954F8C">
            <w:pPr>
              <w:keepNext/>
              <w:spacing w:before="60" w:after="60"/>
              <w:jc w:val="center"/>
              <w:rPr>
                <w:rFonts w:cs="Segoe UI"/>
                <w:b/>
                <w:bCs/>
                <w:color w:val="000000"/>
                <w:sz w:val="18"/>
                <w:szCs w:val="18"/>
                <w:lang w:eastAsia="en-NZ"/>
              </w:rPr>
            </w:pPr>
            <w:r w:rsidRPr="000C5A1A">
              <w:rPr>
                <w:rFonts w:cs="Segoe UI"/>
                <w:b/>
                <w:bCs/>
                <w:color w:val="000000"/>
                <w:sz w:val="18"/>
                <w:szCs w:val="18"/>
                <w:lang w:eastAsia="en-NZ"/>
              </w:rPr>
              <w:t>Orders open on</w:t>
            </w:r>
            <w:r w:rsidR="00910670" w:rsidRPr="000C5A1A">
              <w:rPr>
                <w:rFonts w:cs="Segoe UI"/>
                <w:b/>
                <w:bCs/>
                <w:color w:val="000000"/>
                <w:sz w:val="18"/>
                <w:szCs w:val="18"/>
                <w:lang w:eastAsia="en-NZ"/>
              </w:rPr>
              <w:br/>
            </w:r>
            <w:r w:rsidRPr="000C5A1A">
              <w:rPr>
                <w:rFonts w:cs="Segoe UI"/>
                <w:b/>
                <w:bCs/>
                <w:color w:val="000000"/>
                <w:sz w:val="18"/>
                <w:szCs w:val="18"/>
                <w:lang w:eastAsia="en-NZ"/>
              </w:rPr>
              <w:t>31 December 2019</w:t>
            </w:r>
          </w:p>
        </w:tc>
      </w:tr>
      <w:tr w:rsidR="00CF5810" w:rsidRPr="000C5A1A" w14:paraId="480B8444" w14:textId="77777777" w:rsidTr="00090C73">
        <w:trPr>
          <w:trHeight w:val="30"/>
        </w:trPr>
        <w:tc>
          <w:tcPr>
            <w:tcW w:w="0" w:type="auto"/>
            <w:tcBorders>
              <w:top w:val="nil"/>
            </w:tcBorders>
            <w:shd w:val="clear" w:color="000000" w:fill="D9D9D9"/>
            <w:noWrap/>
            <w:vAlign w:val="center"/>
            <w:hideMark/>
          </w:tcPr>
          <w:p w14:paraId="5A79DE4A" w14:textId="4531BFE8" w:rsidR="00CF5810" w:rsidRPr="000C5A1A" w:rsidRDefault="00CF5810" w:rsidP="00954F8C">
            <w:pPr>
              <w:keepNext/>
              <w:spacing w:before="60" w:after="60"/>
              <w:rPr>
                <w:rFonts w:cs="Segoe UI"/>
                <w:b/>
                <w:bCs/>
                <w:color w:val="000000"/>
                <w:sz w:val="18"/>
                <w:szCs w:val="18"/>
                <w:lang w:eastAsia="en-NZ"/>
              </w:rPr>
            </w:pPr>
            <w:r w:rsidRPr="000C5A1A">
              <w:rPr>
                <w:rFonts w:cs="Segoe UI"/>
                <w:b/>
                <w:bCs/>
                <w:color w:val="000000"/>
                <w:sz w:val="18"/>
                <w:szCs w:val="18"/>
                <w:lang w:eastAsia="en-NZ"/>
              </w:rPr>
              <w:t xml:space="preserve">DHB of </w:t>
            </w:r>
            <w:r w:rsidR="00954F8C">
              <w:rPr>
                <w:rFonts w:cs="Segoe UI"/>
                <w:b/>
                <w:bCs/>
                <w:color w:val="000000"/>
                <w:sz w:val="18"/>
                <w:szCs w:val="18"/>
                <w:lang w:eastAsia="en-NZ"/>
              </w:rPr>
              <w:t>s</w:t>
            </w:r>
            <w:r w:rsidRPr="000C5A1A">
              <w:rPr>
                <w:rFonts w:cs="Segoe UI"/>
                <w:b/>
                <w:bCs/>
                <w:color w:val="000000"/>
                <w:sz w:val="18"/>
                <w:szCs w:val="18"/>
                <w:lang w:eastAsia="en-NZ"/>
              </w:rPr>
              <w:t>ervice</w:t>
            </w:r>
          </w:p>
        </w:tc>
        <w:tc>
          <w:tcPr>
            <w:tcW w:w="0" w:type="auto"/>
            <w:tcBorders>
              <w:top w:val="nil"/>
            </w:tcBorders>
            <w:shd w:val="clear" w:color="000000" w:fill="D9D9D9"/>
            <w:vAlign w:val="center"/>
            <w:hideMark/>
          </w:tcPr>
          <w:p w14:paraId="105190E1" w14:textId="77777777" w:rsidR="00CF5810" w:rsidRPr="000933C8" w:rsidRDefault="00CF5810" w:rsidP="00954F8C">
            <w:pPr>
              <w:keepNext/>
              <w:spacing w:before="60" w:after="60"/>
              <w:jc w:val="center"/>
              <w:rPr>
                <w:rFonts w:cs="Segoe UI"/>
                <w:b/>
                <w:bCs/>
                <w:color w:val="000000"/>
                <w:sz w:val="18"/>
                <w:szCs w:val="18"/>
                <w:lang w:eastAsia="en-NZ"/>
              </w:rPr>
            </w:pPr>
            <w:r w:rsidRPr="000933C8">
              <w:rPr>
                <w:rFonts w:cs="Segoe UI"/>
                <w:b/>
                <w:bCs/>
                <w:color w:val="000000"/>
                <w:sz w:val="18"/>
                <w:szCs w:val="18"/>
                <w:lang w:eastAsia="en-NZ"/>
              </w:rPr>
              <w:t>Māori</w:t>
            </w:r>
          </w:p>
        </w:tc>
        <w:tc>
          <w:tcPr>
            <w:tcW w:w="0" w:type="auto"/>
            <w:tcBorders>
              <w:top w:val="nil"/>
            </w:tcBorders>
            <w:shd w:val="clear" w:color="000000" w:fill="D9D9D9"/>
            <w:vAlign w:val="center"/>
            <w:hideMark/>
          </w:tcPr>
          <w:p w14:paraId="242FD2F8" w14:textId="77777777" w:rsidR="00CF5810" w:rsidRPr="000933C8" w:rsidRDefault="00CF5810" w:rsidP="00954F8C">
            <w:pPr>
              <w:keepNext/>
              <w:spacing w:before="60" w:after="60"/>
              <w:jc w:val="center"/>
              <w:rPr>
                <w:rFonts w:cs="Segoe UI"/>
                <w:b/>
                <w:bCs/>
                <w:color w:val="000000"/>
                <w:sz w:val="18"/>
                <w:szCs w:val="18"/>
                <w:lang w:eastAsia="en-NZ"/>
              </w:rPr>
            </w:pPr>
            <w:r w:rsidRPr="000933C8">
              <w:rPr>
                <w:rFonts w:cs="Segoe UI"/>
                <w:b/>
                <w:bCs/>
                <w:color w:val="000000"/>
                <w:sz w:val="18"/>
                <w:szCs w:val="18"/>
                <w:lang w:eastAsia="en-NZ"/>
              </w:rPr>
              <w:t>Non-Māori</w:t>
            </w:r>
          </w:p>
        </w:tc>
        <w:tc>
          <w:tcPr>
            <w:tcW w:w="0" w:type="auto"/>
            <w:tcBorders>
              <w:top w:val="nil"/>
            </w:tcBorders>
            <w:shd w:val="clear" w:color="000000" w:fill="D9D9D9"/>
            <w:vAlign w:val="center"/>
            <w:hideMark/>
          </w:tcPr>
          <w:p w14:paraId="59BD35A8" w14:textId="1B0F1D82" w:rsidR="00CF5810" w:rsidRPr="000933C8" w:rsidRDefault="00CF5810" w:rsidP="00954F8C">
            <w:pPr>
              <w:keepNext/>
              <w:spacing w:before="60" w:after="60"/>
              <w:jc w:val="center"/>
              <w:rPr>
                <w:rFonts w:cs="Segoe UI"/>
                <w:b/>
                <w:bCs/>
                <w:color w:val="000000"/>
                <w:sz w:val="18"/>
                <w:szCs w:val="18"/>
                <w:lang w:eastAsia="en-NZ"/>
              </w:rPr>
            </w:pPr>
            <w:r w:rsidRPr="000933C8">
              <w:rPr>
                <w:rFonts w:cs="Segoe UI"/>
                <w:b/>
                <w:bCs/>
                <w:color w:val="000000"/>
                <w:sz w:val="18"/>
                <w:szCs w:val="18"/>
                <w:lang w:eastAsia="en-NZ"/>
              </w:rPr>
              <w:t xml:space="preserve">Rate </w:t>
            </w:r>
            <w:r w:rsidR="00954F8C">
              <w:rPr>
                <w:rFonts w:cs="Segoe UI"/>
                <w:b/>
                <w:bCs/>
                <w:color w:val="000000"/>
                <w:sz w:val="18"/>
                <w:szCs w:val="18"/>
                <w:lang w:eastAsia="en-NZ"/>
              </w:rPr>
              <w:t>r</w:t>
            </w:r>
            <w:r w:rsidRPr="000933C8">
              <w:rPr>
                <w:rFonts w:cs="Segoe UI"/>
                <w:b/>
                <w:bCs/>
                <w:color w:val="000000"/>
                <w:sz w:val="18"/>
                <w:szCs w:val="18"/>
                <w:lang w:eastAsia="en-NZ"/>
              </w:rPr>
              <w:t xml:space="preserve">atio </w:t>
            </w:r>
            <w:proofErr w:type="spellStart"/>
            <w:r w:rsidRPr="000933C8">
              <w:rPr>
                <w:rFonts w:cs="Segoe UI"/>
                <w:b/>
                <w:bCs/>
                <w:color w:val="000000"/>
                <w:sz w:val="18"/>
                <w:szCs w:val="18"/>
                <w:lang w:eastAsia="en-NZ"/>
              </w:rPr>
              <w:t>Māori:Non-Māori</w:t>
            </w:r>
            <w:proofErr w:type="spellEnd"/>
          </w:p>
        </w:tc>
        <w:tc>
          <w:tcPr>
            <w:tcW w:w="0" w:type="auto"/>
            <w:tcBorders>
              <w:top w:val="nil"/>
            </w:tcBorders>
            <w:shd w:val="clear" w:color="000000" w:fill="D9D9D9"/>
            <w:vAlign w:val="center"/>
          </w:tcPr>
          <w:p w14:paraId="4AC04566" w14:textId="77777777" w:rsidR="00CF5810" w:rsidRPr="000933C8" w:rsidRDefault="00CF5810" w:rsidP="00954F8C">
            <w:pPr>
              <w:keepNext/>
              <w:spacing w:before="60" w:after="60"/>
              <w:jc w:val="center"/>
              <w:rPr>
                <w:rFonts w:cs="Segoe UI"/>
                <w:b/>
                <w:bCs/>
                <w:color w:val="000000"/>
                <w:sz w:val="18"/>
                <w:szCs w:val="18"/>
                <w:lang w:eastAsia="en-NZ"/>
              </w:rPr>
            </w:pPr>
            <w:r w:rsidRPr="000933C8">
              <w:rPr>
                <w:rFonts w:cs="Segoe UI"/>
                <w:b/>
                <w:bCs/>
                <w:color w:val="000000"/>
                <w:sz w:val="18"/>
                <w:szCs w:val="18"/>
                <w:lang w:eastAsia="en-NZ"/>
              </w:rPr>
              <w:t>Māori</w:t>
            </w:r>
          </w:p>
        </w:tc>
        <w:tc>
          <w:tcPr>
            <w:tcW w:w="0" w:type="auto"/>
            <w:tcBorders>
              <w:top w:val="nil"/>
            </w:tcBorders>
            <w:shd w:val="clear" w:color="000000" w:fill="D9D9D9"/>
            <w:vAlign w:val="center"/>
          </w:tcPr>
          <w:p w14:paraId="4D332BF3" w14:textId="77777777" w:rsidR="00CF5810" w:rsidRPr="000933C8" w:rsidRDefault="00CF5810" w:rsidP="00954F8C">
            <w:pPr>
              <w:keepNext/>
              <w:spacing w:before="60" w:after="60"/>
              <w:jc w:val="center"/>
              <w:rPr>
                <w:rFonts w:cs="Segoe UI"/>
                <w:b/>
                <w:bCs/>
                <w:color w:val="000000"/>
                <w:sz w:val="18"/>
                <w:szCs w:val="18"/>
                <w:lang w:eastAsia="en-NZ"/>
              </w:rPr>
            </w:pPr>
            <w:r w:rsidRPr="000933C8">
              <w:rPr>
                <w:rFonts w:cs="Segoe UI"/>
                <w:b/>
                <w:bCs/>
                <w:color w:val="000000"/>
                <w:sz w:val="18"/>
                <w:szCs w:val="18"/>
                <w:lang w:eastAsia="en-NZ"/>
              </w:rPr>
              <w:t>Non-Māori</w:t>
            </w:r>
          </w:p>
        </w:tc>
        <w:tc>
          <w:tcPr>
            <w:tcW w:w="0" w:type="auto"/>
            <w:tcBorders>
              <w:top w:val="nil"/>
            </w:tcBorders>
            <w:shd w:val="clear" w:color="000000" w:fill="D9D9D9"/>
            <w:vAlign w:val="center"/>
          </w:tcPr>
          <w:p w14:paraId="3F29F792" w14:textId="46974A33" w:rsidR="00CF5810" w:rsidRPr="000933C8" w:rsidRDefault="00CF5810" w:rsidP="00954F8C">
            <w:pPr>
              <w:keepNext/>
              <w:spacing w:before="60" w:after="60"/>
              <w:jc w:val="center"/>
              <w:rPr>
                <w:rFonts w:cs="Segoe UI"/>
                <w:b/>
                <w:bCs/>
                <w:color w:val="000000"/>
                <w:sz w:val="18"/>
                <w:szCs w:val="18"/>
                <w:lang w:eastAsia="en-NZ"/>
              </w:rPr>
            </w:pPr>
            <w:r w:rsidRPr="000933C8">
              <w:rPr>
                <w:rFonts w:cs="Segoe UI"/>
                <w:b/>
                <w:bCs/>
                <w:color w:val="000000"/>
                <w:sz w:val="18"/>
                <w:szCs w:val="18"/>
                <w:lang w:eastAsia="en-NZ"/>
              </w:rPr>
              <w:t xml:space="preserve">Rate </w:t>
            </w:r>
            <w:r w:rsidR="00954F8C">
              <w:rPr>
                <w:rFonts w:cs="Segoe UI"/>
                <w:b/>
                <w:bCs/>
                <w:color w:val="000000"/>
                <w:sz w:val="18"/>
                <w:szCs w:val="18"/>
                <w:lang w:eastAsia="en-NZ"/>
              </w:rPr>
              <w:t>r</w:t>
            </w:r>
            <w:r w:rsidRPr="000933C8">
              <w:rPr>
                <w:rFonts w:cs="Segoe UI"/>
                <w:b/>
                <w:bCs/>
                <w:color w:val="000000"/>
                <w:sz w:val="18"/>
                <w:szCs w:val="18"/>
                <w:lang w:eastAsia="en-NZ"/>
              </w:rPr>
              <w:t xml:space="preserve">atio </w:t>
            </w:r>
            <w:proofErr w:type="spellStart"/>
            <w:r w:rsidRPr="000933C8">
              <w:rPr>
                <w:rFonts w:cs="Segoe UI"/>
                <w:b/>
                <w:bCs/>
                <w:color w:val="000000"/>
                <w:sz w:val="18"/>
                <w:szCs w:val="18"/>
                <w:lang w:eastAsia="en-NZ"/>
              </w:rPr>
              <w:t>Māori:Non-Māori</w:t>
            </w:r>
            <w:proofErr w:type="spellEnd"/>
          </w:p>
        </w:tc>
      </w:tr>
      <w:tr w:rsidR="00CF5810" w:rsidRPr="000C5A1A" w14:paraId="31071AC3" w14:textId="77777777" w:rsidTr="00090C73">
        <w:trPr>
          <w:trHeight w:val="30"/>
        </w:trPr>
        <w:tc>
          <w:tcPr>
            <w:tcW w:w="0" w:type="auto"/>
            <w:shd w:val="clear" w:color="auto" w:fill="auto"/>
            <w:noWrap/>
            <w:vAlign w:val="center"/>
            <w:hideMark/>
          </w:tcPr>
          <w:p w14:paraId="7CDDF193" w14:textId="77777777"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Auckland</w:t>
            </w:r>
          </w:p>
        </w:tc>
        <w:tc>
          <w:tcPr>
            <w:tcW w:w="0" w:type="auto"/>
            <w:shd w:val="clear" w:color="auto" w:fill="auto"/>
            <w:noWrap/>
            <w:hideMark/>
          </w:tcPr>
          <w:p w14:paraId="6989A28A" w14:textId="77777777" w:rsidR="00CF5810" w:rsidRPr="00DD06AB" w:rsidRDefault="00CF5810" w:rsidP="00954F8C">
            <w:pPr>
              <w:spacing w:before="60" w:after="60"/>
              <w:jc w:val="center"/>
              <w:rPr>
                <w:sz w:val="18"/>
                <w:szCs w:val="18"/>
              </w:rPr>
            </w:pPr>
            <w:r w:rsidRPr="00DD06AB">
              <w:rPr>
                <w:sz w:val="18"/>
                <w:szCs w:val="18"/>
              </w:rPr>
              <w:t>51</w:t>
            </w:r>
          </w:p>
        </w:tc>
        <w:tc>
          <w:tcPr>
            <w:tcW w:w="0" w:type="auto"/>
            <w:shd w:val="clear" w:color="auto" w:fill="auto"/>
            <w:noWrap/>
            <w:hideMark/>
          </w:tcPr>
          <w:p w14:paraId="602D7800" w14:textId="77777777" w:rsidR="00CF5810" w:rsidRPr="00DD06AB" w:rsidRDefault="00CF5810" w:rsidP="00954F8C">
            <w:pPr>
              <w:spacing w:before="60" w:after="60"/>
              <w:jc w:val="center"/>
              <w:rPr>
                <w:sz w:val="18"/>
                <w:szCs w:val="18"/>
              </w:rPr>
            </w:pPr>
            <w:r w:rsidRPr="00DD06AB">
              <w:rPr>
                <w:sz w:val="18"/>
                <w:szCs w:val="18"/>
              </w:rPr>
              <w:t>7</w:t>
            </w:r>
          </w:p>
        </w:tc>
        <w:tc>
          <w:tcPr>
            <w:tcW w:w="0" w:type="auto"/>
            <w:shd w:val="clear" w:color="auto" w:fill="auto"/>
            <w:noWrap/>
            <w:hideMark/>
          </w:tcPr>
          <w:p w14:paraId="4B61791B" w14:textId="77777777" w:rsidR="00CF5810" w:rsidRPr="00DD06AB" w:rsidRDefault="00CF5810" w:rsidP="00954F8C">
            <w:pPr>
              <w:spacing w:before="60" w:after="60"/>
              <w:jc w:val="center"/>
              <w:rPr>
                <w:sz w:val="18"/>
                <w:szCs w:val="18"/>
              </w:rPr>
            </w:pPr>
            <w:r w:rsidRPr="00DD06AB">
              <w:rPr>
                <w:sz w:val="18"/>
                <w:szCs w:val="18"/>
              </w:rPr>
              <w:t>7.7</w:t>
            </w:r>
          </w:p>
        </w:tc>
        <w:tc>
          <w:tcPr>
            <w:tcW w:w="0" w:type="auto"/>
          </w:tcPr>
          <w:p w14:paraId="756FEA3B" w14:textId="09BB7B6B" w:rsidR="00CF5810" w:rsidRPr="00DD06AB" w:rsidRDefault="00CF5810" w:rsidP="00954F8C">
            <w:pPr>
              <w:spacing w:before="60" w:after="60"/>
              <w:jc w:val="center"/>
              <w:rPr>
                <w:sz w:val="18"/>
                <w:szCs w:val="18"/>
              </w:rPr>
            </w:pPr>
            <w:r w:rsidRPr="00DD06AB">
              <w:rPr>
                <w:sz w:val="18"/>
                <w:szCs w:val="18"/>
              </w:rPr>
              <w:t>180</w:t>
            </w:r>
          </w:p>
        </w:tc>
        <w:tc>
          <w:tcPr>
            <w:tcW w:w="0" w:type="auto"/>
          </w:tcPr>
          <w:p w14:paraId="6179C913" w14:textId="77777777" w:rsidR="00CF5810" w:rsidRPr="00DD06AB" w:rsidRDefault="00CF5810" w:rsidP="00954F8C">
            <w:pPr>
              <w:spacing w:before="60" w:after="60"/>
              <w:jc w:val="center"/>
              <w:rPr>
                <w:sz w:val="18"/>
                <w:szCs w:val="18"/>
              </w:rPr>
            </w:pPr>
            <w:r w:rsidRPr="00DD06AB">
              <w:rPr>
                <w:sz w:val="18"/>
                <w:szCs w:val="18"/>
              </w:rPr>
              <w:t>61</w:t>
            </w:r>
          </w:p>
        </w:tc>
        <w:tc>
          <w:tcPr>
            <w:tcW w:w="0" w:type="auto"/>
          </w:tcPr>
          <w:p w14:paraId="1823D09F" w14:textId="0EAB2205" w:rsidR="00CF5810" w:rsidRPr="00DD06AB" w:rsidRDefault="00CF5810" w:rsidP="00954F8C">
            <w:pPr>
              <w:spacing w:before="60" w:after="60"/>
              <w:jc w:val="center"/>
              <w:rPr>
                <w:sz w:val="18"/>
                <w:szCs w:val="18"/>
              </w:rPr>
            </w:pPr>
            <w:r w:rsidRPr="00DD06AB">
              <w:rPr>
                <w:sz w:val="18"/>
                <w:szCs w:val="18"/>
              </w:rPr>
              <w:t>3.0</w:t>
            </w:r>
          </w:p>
        </w:tc>
      </w:tr>
      <w:tr w:rsidR="00CF5810" w:rsidRPr="000C5A1A" w14:paraId="243E14BC" w14:textId="77777777" w:rsidTr="00090C73">
        <w:trPr>
          <w:trHeight w:val="30"/>
        </w:trPr>
        <w:tc>
          <w:tcPr>
            <w:tcW w:w="0" w:type="auto"/>
            <w:shd w:val="clear" w:color="auto" w:fill="auto"/>
            <w:noWrap/>
            <w:vAlign w:val="center"/>
            <w:hideMark/>
          </w:tcPr>
          <w:p w14:paraId="789A6AC0" w14:textId="77777777"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Bay of Plenty</w:t>
            </w:r>
          </w:p>
        </w:tc>
        <w:tc>
          <w:tcPr>
            <w:tcW w:w="0" w:type="auto"/>
            <w:shd w:val="clear" w:color="auto" w:fill="auto"/>
            <w:noWrap/>
            <w:hideMark/>
          </w:tcPr>
          <w:p w14:paraId="56FE45A1" w14:textId="77777777" w:rsidR="00CF5810" w:rsidRPr="00DD06AB" w:rsidRDefault="00CF5810" w:rsidP="00954F8C">
            <w:pPr>
              <w:spacing w:before="60" w:after="60"/>
              <w:jc w:val="center"/>
              <w:rPr>
                <w:sz w:val="18"/>
                <w:szCs w:val="18"/>
              </w:rPr>
            </w:pPr>
            <w:r w:rsidRPr="00DD06AB">
              <w:rPr>
                <w:sz w:val="18"/>
                <w:szCs w:val="18"/>
              </w:rPr>
              <w:t>84</w:t>
            </w:r>
          </w:p>
        </w:tc>
        <w:tc>
          <w:tcPr>
            <w:tcW w:w="0" w:type="auto"/>
            <w:shd w:val="clear" w:color="auto" w:fill="auto"/>
            <w:noWrap/>
            <w:hideMark/>
          </w:tcPr>
          <w:p w14:paraId="73C21152" w14:textId="77777777" w:rsidR="00CF5810" w:rsidRPr="00DD06AB" w:rsidRDefault="00CF5810" w:rsidP="00954F8C">
            <w:pPr>
              <w:spacing w:before="60" w:after="60"/>
              <w:jc w:val="center"/>
              <w:rPr>
                <w:sz w:val="18"/>
                <w:szCs w:val="18"/>
              </w:rPr>
            </w:pPr>
            <w:r w:rsidRPr="00DD06AB">
              <w:rPr>
                <w:sz w:val="18"/>
                <w:szCs w:val="18"/>
              </w:rPr>
              <w:t>18</w:t>
            </w:r>
          </w:p>
        </w:tc>
        <w:tc>
          <w:tcPr>
            <w:tcW w:w="0" w:type="auto"/>
            <w:shd w:val="clear" w:color="auto" w:fill="auto"/>
            <w:noWrap/>
            <w:hideMark/>
          </w:tcPr>
          <w:p w14:paraId="771F5CD7" w14:textId="77777777" w:rsidR="00CF5810" w:rsidRPr="00DD06AB" w:rsidRDefault="00CF5810" w:rsidP="00954F8C">
            <w:pPr>
              <w:spacing w:before="60" w:after="60"/>
              <w:jc w:val="center"/>
              <w:rPr>
                <w:sz w:val="18"/>
                <w:szCs w:val="18"/>
              </w:rPr>
            </w:pPr>
            <w:r w:rsidRPr="00DD06AB">
              <w:rPr>
                <w:sz w:val="18"/>
                <w:szCs w:val="18"/>
              </w:rPr>
              <w:t>4.6</w:t>
            </w:r>
          </w:p>
        </w:tc>
        <w:tc>
          <w:tcPr>
            <w:tcW w:w="0" w:type="auto"/>
          </w:tcPr>
          <w:p w14:paraId="09398D3C" w14:textId="2A0B7655" w:rsidR="00CF5810" w:rsidRPr="00DD06AB" w:rsidRDefault="00CF5810" w:rsidP="00954F8C">
            <w:pPr>
              <w:spacing w:before="60" w:after="60"/>
              <w:jc w:val="center"/>
              <w:rPr>
                <w:sz w:val="18"/>
                <w:szCs w:val="18"/>
              </w:rPr>
            </w:pPr>
            <w:r w:rsidRPr="00DD06AB">
              <w:rPr>
                <w:sz w:val="18"/>
                <w:szCs w:val="18"/>
              </w:rPr>
              <w:t>80</w:t>
            </w:r>
          </w:p>
        </w:tc>
        <w:tc>
          <w:tcPr>
            <w:tcW w:w="0" w:type="auto"/>
          </w:tcPr>
          <w:p w14:paraId="7FEBE446" w14:textId="77777777" w:rsidR="00CF5810" w:rsidRPr="00DD06AB" w:rsidRDefault="00CF5810" w:rsidP="00954F8C">
            <w:pPr>
              <w:spacing w:before="60" w:after="60"/>
              <w:jc w:val="center"/>
              <w:rPr>
                <w:sz w:val="18"/>
                <w:szCs w:val="18"/>
              </w:rPr>
            </w:pPr>
            <w:r w:rsidRPr="00DD06AB">
              <w:rPr>
                <w:sz w:val="18"/>
                <w:szCs w:val="18"/>
              </w:rPr>
              <w:t>16</w:t>
            </w:r>
          </w:p>
        </w:tc>
        <w:tc>
          <w:tcPr>
            <w:tcW w:w="0" w:type="auto"/>
          </w:tcPr>
          <w:p w14:paraId="17A15B73" w14:textId="3F4371A4" w:rsidR="00CF5810" w:rsidRPr="00DD06AB" w:rsidRDefault="00CF5810" w:rsidP="00954F8C">
            <w:pPr>
              <w:spacing w:before="60" w:after="60"/>
              <w:jc w:val="center"/>
              <w:rPr>
                <w:sz w:val="18"/>
                <w:szCs w:val="18"/>
              </w:rPr>
            </w:pPr>
            <w:r w:rsidRPr="00DD06AB">
              <w:rPr>
                <w:sz w:val="18"/>
                <w:szCs w:val="18"/>
              </w:rPr>
              <w:t>5.0</w:t>
            </w:r>
          </w:p>
        </w:tc>
      </w:tr>
      <w:tr w:rsidR="00CF5810" w:rsidRPr="000C5A1A" w14:paraId="0EB17B74" w14:textId="77777777" w:rsidTr="00090C73">
        <w:trPr>
          <w:trHeight w:val="30"/>
        </w:trPr>
        <w:tc>
          <w:tcPr>
            <w:tcW w:w="0" w:type="auto"/>
            <w:shd w:val="clear" w:color="auto" w:fill="auto"/>
            <w:noWrap/>
            <w:vAlign w:val="center"/>
            <w:hideMark/>
          </w:tcPr>
          <w:p w14:paraId="7CAE2E7C" w14:textId="77777777"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Canterbury</w:t>
            </w:r>
          </w:p>
        </w:tc>
        <w:tc>
          <w:tcPr>
            <w:tcW w:w="0" w:type="auto"/>
            <w:shd w:val="clear" w:color="auto" w:fill="auto"/>
            <w:noWrap/>
            <w:hideMark/>
          </w:tcPr>
          <w:p w14:paraId="413A421C" w14:textId="77777777" w:rsidR="00CF5810" w:rsidRPr="00DD06AB" w:rsidRDefault="00CF5810" w:rsidP="00954F8C">
            <w:pPr>
              <w:spacing w:before="60" w:after="60"/>
              <w:jc w:val="center"/>
              <w:rPr>
                <w:sz w:val="18"/>
                <w:szCs w:val="18"/>
              </w:rPr>
            </w:pPr>
            <w:r w:rsidRPr="00DD06AB">
              <w:rPr>
                <w:sz w:val="18"/>
                <w:szCs w:val="18"/>
              </w:rPr>
              <w:t>96</w:t>
            </w:r>
          </w:p>
        </w:tc>
        <w:tc>
          <w:tcPr>
            <w:tcW w:w="0" w:type="auto"/>
            <w:shd w:val="clear" w:color="auto" w:fill="auto"/>
            <w:noWrap/>
            <w:hideMark/>
          </w:tcPr>
          <w:p w14:paraId="7306F7C6" w14:textId="77777777" w:rsidR="00CF5810" w:rsidRPr="00DD06AB" w:rsidRDefault="00CF5810" w:rsidP="00954F8C">
            <w:pPr>
              <w:spacing w:before="60" w:after="60"/>
              <w:jc w:val="center"/>
              <w:rPr>
                <w:sz w:val="18"/>
                <w:szCs w:val="18"/>
              </w:rPr>
            </w:pPr>
            <w:r w:rsidRPr="00DD06AB">
              <w:rPr>
                <w:sz w:val="18"/>
                <w:szCs w:val="18"/>
              </w:rPr>
              <w:t>39</w:t>
            </w:r>
          </w:p>
        </w:tc>
        <w:tc>
          <w:tcPr>
            <w:tcW w:w="0" w:type="auto"/>
            <w:shd w:val="clear" w:color="auto" w:fill="auto"/>
            <w:noWrap/>
            <w:hideMark/>
          </w:tcPr>
          <w:p w14:paraId="6D5C4B55" w14:textId="77777777" w:rsidR="00CF5810" w:rsidRPr="00DD06AB" w:rsidRDefault="00CF5810" w:rsidP="00954F8C">
            <w:pPr>
              <w:spacing w:before="60" w:after="60"/>
              <w:jc w:val="center"/>
              <w:rPr>
                <w:sz w:val="18"/>
                <w:szCs w:val="18"/>
              </w:rPr>
            </w:pPr>
            <w:r w:rsidRPr="00DD06AB">
              <w:rPr>
                <w:sz w:val="18"/>
                <w:szCs w:val="18"/>
              </w:rPr>
              <w:t>2.5</w:t>
            </w:r>
          </w:p>
        </w:tc>
        <w:tc>
          <w:tcPr>
            <w:tcW w:w="0" w:type="auto"/>
          </w:tcPr>
          <w:p w14:paraId="08C2E502" w14:textId="4C1EA2B7" w:rsidR="00CF5810" w:rsidRPr="00DD06AB" w:rsidRDefault="00CF5810" w:rsidP="00954F8C">
            <w:pPr>
              <w:spacing w:before="60" w:after="60"/>
              <w:jc w:val="center"/>
              <w:rPr>
                <w:sz w:val="18"/>
                <w:szCs w:val="18"/>
              </w:rPr>
            </w:pPr>
            <w:r w:rsidRPr="00DD06AB">
              <w:rPr>
                <w:sz w:val="18"/>
                <w:szCs w:val="18"/>
              </w:rPr>
              <w:t>92</w:t>
            </w:r>
          </w:p>
        </w:tc>
        <w:tc>
          <w:tcPr>
            <w:tcW w:w="0" w:type="auto"/>
          </w:tcPr>
          <w:p w14:paraId="37D82B35" w14:textId="77777777" w:rsidR="00CF5810" w:rsidRPr="00DD06AB" w:rsidRDefault="00CF5810" w:rsidP="00954F8C">
            <w:pPr>
              <w:spacing w:before="60" w:after="60"/>
              <w:jc w:val="center"/>
              <w:rPr>
                <w:sz w:val="18"/>
                <w:szCs w:val="18"/>
              </w:rPr>
            </w:pPr>
            <w:r w:rsidRPr="00DD06AB">
              <w:rPr>
                <w:sz w:val="18"/>
                <w:szCs w:val="18"/>
              </w:rPr>
              <w:t>38</w:t>
            </w:r>
          </w:p>
        </w:tc>
        <w:tc>
          <w:tcPr>
            <w:tcW w:w="0" w:type="auto"/>
          </w:tcPr>
          <w:p w14:paraId="7AFE73E8" w14:textId="31C3071A" w:rsidR="00CF5810" w:rsidRPr="00DD06AB" w:rsidRDefault="00CF5810" w:rsidP="00954F8C">
            <w:pPr>
              <w:spacing w:before="60" w:after="60"/>
              <w:jc w:val="center"/>
              <w:rPr>
                <w:sz w:val="18"/>
                <w:szCs w:val="18"/>
              </w:rPr>
            </w:pPr>
            <w:r w:rsidRPr="00DD06AB">
              <w:rPr>
                <w:sz w:val="18"/>
                <w:szCs w:val="18"/>
              </w:rPr>
              <w:t>2.4</w:t>
            </w:r>
          </w:p>
        </w:tc>
      </w:tr>
      <w:tr w:rsidR="00CF5810" w:rsidRPr="000C5A1A" w14:paraId="68E7B198" w14:textId="77777777" w:rsidTr="00090C73">
        <w:trPr>
          <w:trHeight w:val="30"/>
        </w:trPr>
        <w:tc>
          <w:tcPr>
            <w:tcW w:w="0" w:type="auto"/>
            <w:shd w:val="clear" w:color="auto" w:fill="auto"/>
            <w:noWrap/>
            <w:vAlign w:val="center"/>
            <w:hideMark/>
          </w:tcPr>
          <w:p w14:paraId="49D9C178" w14:textId="77777777"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 xml:space="preserve">Capital &amp; Coast </w:t>
            </w:r>
          </w:p>
        </w:tc>
        <w:tc>
          <w:tcPr>
            <w:tcW w:w="0" w:type="auto"/>
            <w:shd w:val="clear" w:color="auto" w:fill="auto"/>
            <w:noWrap/>
            <w:hideMark/>
          </w:tcPr>
          <w:p w14:paraId="41DFF881" w14:textId="77777777" w:rsidR="00CF5810" w:rsidRPr="00DD06AB" w:rsidRDefault="00CF5810" w:rsidP="00954F8C">
            <w:pPr>
              <w:spacing w:before="60" w:after="60"/>
              <w:jc w:val="center"/>
              <w:rPr>
                <w:sz w:val="18"/>
                <w:szCs w:val="18"/>
              </w:rPr>
            </w:pPr>
            <w:r w:rsidRPr="00DD06AB">
              <w:rPr>
                <w:sz w:val="18"/>
                <w:szCs w:val="18"/>
              </w:rPr>
              <w:t>210</w:t>
            </w:r>
          </w:p>
        </w:tc>
        <w:tc>
          <w:tcPr>
            <w:tcW w:w="0" w:type="auto"/>
            <w:shd w:val="clear" w:color="auto" w:fill="auto"/>
            <w:noWrap/>
            <w:hideMark/>
          </w:tcPr>
          <w:p w14:paraId="484D3385" w14:textId="77777777" w:rsidR="00CF5810" w:rsidRPr="00DD06AB" w:rsidRDefault="00CF5810" w:rsidP="00954F8C">
            <w:pPr>
              <w:spacing w:before="60" w:after="60"/>
              <w:jc w:val="center"/>
              <w:rPr>
                <w:sz w:val="18"/>
                <w:szCs w:val="18"/>
              </w:rPr>
            </w:pPr>
            <w:r w:rsidRPr="00DD06AB">
              <w:rPr>
                <w:sz w:val="18"/>
                <w:szCs w:val="18"/>
              </w:rPr>
              <w:t>74</w:t>
            </w:r>
          </w:p>
        </w:tc>
        <w:tc>
          <w:tcPr>
            <w:tcW w:w="0" w:type="auto"/>
            <w:shd w:val="clear" w:color="auto" w:fill="auto"/>
            <w:noWrap/>
            <w:hideMark/>
          </w:tcPr>
          <w:p w14:paraId="54BE5A2B" w14:textId="77777777" w:rsidR="00CF5810" w:rsidRPr="00DD06AB" w:rsidRDefault="00CF5810" w:rsidP="00954F8C">
            <w:pPr>
              <w:spacing w:before="60" w:after="60"/>
              <w:jc w:val="center"/>
              <w:rPr>
                <w:sz w:val="18"/>
                <w:szCs w:val="18"/>
              </w:rPr>
            </w:pPr>
            <w:r w:rsidRPr="00DD06AB">
              <w:rPr>
                <w:sz w:val="18"/>
                <w:szCs w:val="18"/>
              </w:rPr>
              <w:t>2.8</w:t>
            </w:r>
          </w:p>
        </w:tc>
        <w:tc>
          <w:tcPr>
            <w:tcW w:w="0" w:type="auto"/>
          </w:tcPr>
          <w:p w14:paraId="25961032" w14:textId="31D8BAF4" w:rsidR="00CF5810" w:rsidRPr="00DD06AB" w:rsidRDefault="00CF5810" w:rsidP="00954F8C">
            <w:pPr>
              <w:spacing w:before="60" w:after="60"/>
              <w:jc w:val="center"/>
              <w:rPr>
                <w:sz w:val="18"/>
                <w:szCs w:val="18"/>
              </w:rPr>
            </w:pPr>
            <w:r w:rsidRPr="00DD06AB">
              <w:rPr>
                <w:sz w:val="18"/>
                <w:szCs w:val="18"/>
              </w:rPr>
              <w:t>209</w:t>
            </w:r>
          </w:p>
        </w:tc>
        <w:tc>
          <w:tcPr>
            <w:tcW w:w="0" w:type="auto"/>
          </w:tcPr>
          <w:p w14:paraId="08F80936" w14:textId="77777777" w:rsidR="00CF5810" w:rsidRPr="00DD06AB" w:rsidRDefault="00CF5810" w:rsidP="00954F8C">
            <w:pPr>
              <w:spacing w:before="60" w:after="60"/>
              <w:jc w:val="center"/>
              <w:rPr>
                <w:sz w:val="18"/>
                <w:szCs w:val="18"/>
              </w:rPr>
            </w:pPr>
            <w:r w:rsidRPr="00DD06AB">
              <w:rPr>
                <w:sz w:val="18"/>
                <w:szCs w:val="18"/>
              </w:rPr>
              <w:t>79</w:t>
            </w:r>
          </w:p>
        </w:tc>
        <w:tc>
          <w:tcPr>
            <w:tcW w:w="0" w:type="auto"/>
          </w:tcPr>
          <w:p w14:paraId="2E861530" w14:textId="3BAF9357" w:rsidR="00CF5810" w:rsidRPr="00DD06AB" w:rsidRDefault="00CF5810" w:rsidP="00954F8C">
            <w:pPr>
              <w:spacing w:before="60" w:after="60"/>
              <w:jc w:val="center"/>
              <w:rPr>
                <w:sz w:val="18"/>
                <w:szCs w:val="18"/>
              </w:rPr>
            </w:pPr>
            <w:r w:rsidRPr="00DD06AB">
              <w:rPr>
                <w:sz w:val="18"/>
                <w:szCs w:val="18"/>
              </w:rPr>
              <w:t>2.7</w:t>
            </w:r>
          </w:p>
        </w:tc>
      </w:tr>
      <w:tr w:rsidR="00CF5810" w:rsidRPr="000C5A1A" w14:paraId="208CC0BA" w14:textId="77777777" w:rsidTr="00090C73">
        <w:trPr>
          <w:trHeight w:val="30"/>
        </w:trPr>
        <w:tc>
          <w:tcPr>
            <w:tcW w:w="0" w:type="auto"/>
            <w:shd w:val="clear" w:color="auto" w:fill="auto"/>
            <w:noWrap/>
            <w:vAlign w:val="center"/>
            <w:hideMark/>
          </w:tcPr>
          <w:p w14:paraId="1B950849" w14:textId="77777777"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Counties Manukau</w:t>
            </w:r>
          </w:p>
        </w:tc>
        <w:tc>
          <w:tcPr>
            <w:tcW w:w="0" w:type="auto"/>
            <w:shd w:val="clear" w:color="auto" w:fill="auto"/>
            <w:noWrap/>
            <w:hideMark/>
          </w:tcPr>
          <w:p w14:paraId="3F6B99DB" w14:textId="77777777" w:rsidR="00CF5810" w:rsidRPr="00DD06AB" w:rsidRDefault="00CF5810" w:rsidP="00954F8C">
            <w:pPr>
              <w:spacing w:before="60" w:after="60"/>
              <w:jc w:val="center"/>
              <w:rPr>
                <w:sz w:val="18"/>
                <w:szCs w:val="18"/>
              </w:rPr>
            </w:pPr>
            <w:r w:rsidRPr="00DD06AB">
              <w:rPr>
                <w:sz w:val="18"/>
                <w:szCs w:val="18"/>
              </w:rPr>
              <w:t>139</w:t>
            </w:r>
          </w:p>
        </w:tc>
        <w:tc>
          <w:tcPr>
            <w:tcW w:w="0" w:type="auto"/>
            <w:shd w:val="clear" w:color="auto" w:fill="auto"/>
            <w:noWrap/>
            <w:hideMark/>
          </w:tcPr>
          <w:p w14:paraId="1DFA4F63" w14:textId="77777777" w:rsidR="00CF5810" w:rsidRPr="00DD06AB" w:rsidRDefault="00CF5810" w:rsidP="00954F8C">
            <w:pPr>
              <w:spacing w:before="60" w:after="60"/>
              <w:jc w:val="center"/>
              <w:rPr>
                <w:sz w:val="18"/>
                <w:szCs w:val="18"/>
              </w:rPr>
            </w:pPr>
            <w:r w:rsidRPr="00DD06AB">
              <w:rPr>
                <w:sz w:val="18"/>
                <w:szCs w:val="18"/>
              </w:rPr>
              <w:t>34</w:t>
            </w:r>
          </w:p>
        </w:tc>
        <w:tc>
          <w:tcPr>
            <w:tcW w:w="0" w:type="auto"/>
            <w:shd w:val="clear" w:color="auto" w:fill="auto"/>
            <w:noWrap/>
            <w:hideMark/>
          </w:tcPr>
          <w:p w14:paraId="26C440DD" w14:textId="77777777" w:rsidR="00CF5810" w:rsidRPr="00DD06AB" w:rsidRDefault="00CF5810" w:rsidP="00954F8C">
            <w:pPr>
              <w:spacing w:before="60" w:after="60"/>
              <w:jc w:val="center"/>
              <w:rPr>
                <w:sz w:val="18"/>
                <w:szCs w:val="18"/>
              </w:rPr>
            </w:pPr>
            <w:r w:rsidRPr="00DD06AB">
              <w:rPr>
                <w:sz w:val="18"/>
                <w:szCs w:val="18"/>
              </w:rPr>
              <w:t>4.1</w:t>
            </w:r>
          </w:p>
        </w:tc>
        <w:tc>
          <w:tcPr>
            <w:tcW w:w="0" w:type="auto"/>
          </w:tcPr>
          <w:p w14:paraId="51F92517" w14:textId="7362570D" w:rsidR="00CF5810" w:rsidRPr="00DD06AB" w:rsidRDefault="00CF5810" w:rsidP="00954F8C">
            <w:pPr>
              <w:spacing w:before="60" w:after="60"/>
              <w:jc w:val="center"/>
              <w:rPr>
                <w:sz w:val="18"/>
                <w:szCs w:val="18"/>
              </w:rPr>
            </w:pPr>
            <w:r w:rsidRPr="00DD06AB">
              <w:rPr>
                <w:sz w:val="18"/>
                <w:szCs w:val="18"/>
              </w:rPr>
              <w:t>108</w:t>
            </w:r>
          </w:p>
        </w:tc>
        <w:tc>
          <w:tcPr>
            <w:tcW w:w="0" w:type="auto"/>
          </w:tcPr>
          <w:p w14:paraId="5E10D625" w14:textId="77777777" w:rsidR="00CF5810" w:rsidRPr="00DD06AB" w:rsidRDefault="00CF5810" w:rsidP="00954F8C">
            <w:pPr>
              <w:spacing w:before="60" w:after="60"/>
              <w:jc w:val="center"/>
              <w:rPr>
                <w:sz w:val="18"/>
                <w:szCs w:val="18"/>
              </w:rPr>
            </w:pPr>
            <w:r w:rsidRPr="00DD06AB">
              <w:rPr>
                <w:sz w:val="18"/>
                <w:szCs w:val="18"/>
              </w:rPr>
              <w:t>31</w:t>
            </w:r>
          </w:p>
        </w:tc>
        <w:tc>
          <w:tcPr>
            <w:tcW w:w="0" w:type="auto"/>
          </w:tcPr>
          <w:p w14:paraId="46F42DC5" w14:textId="409FEA01" w:rsidR="00CF5810" w:rsidRPr="00DD06AB" w:rsidRDefault="00CF5810" w:rsidP="00954F8C">
            <w:pPr>
              <w:spacing w:before="60" w:after="60"/>
              <w:jc w:val="center"/>
              <w:rPr>
                <w:sz w:val="18"/>
                <w:szCs w:val="18"/>
              </w:rPr>
            </w:pPr>
            <w:r w:rsidRPr="00DD06AB">
              <w:rPr>
                <w:sz w:val="18"/>
                <w:szCs w:val="18"/>
              </w:rPr>
              <w:t>3.4</w:t>
            </w:r>
          </w:p>
        </w:tc>
      </w:tr>
      <w:tr w:rsidR="00CF5810" w:rsidRPr="000C5A1A" w14:paraId="66922163" w14:textId="77777777" w:rsidTr="00090C73">
        <w:trPr>
          <w:trHeight w:val="30"/>
        </w:trPr>
        <w:tc>
          <w:tcPr>
            <w:tcW w:w="0" w:type="auto"/>
            <w:shd w:val="clear" w:color="auto" w:fill="auto"/>
            <w:noWrap/>
            <w:vAlign w:val="center"/>
            <w:hideMark/>
          </w:tcPr>
          <w:p w14:paraId="52CA5119" w14:textId="350670B4"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Hawke</w:t>
            </w:r>
            <w:r w:rsidR="00825884" w:rsidRPr="000C5A1A">
              <w:rPr>
                <w:rFonts w:cs="Segoe UI"/>
                <w:color w:val="000000"/>
                <w:sz w:val="18"/>
                <w:szCs w:val="18"/>
                <w:lang w:eastAsia="en-NZ"/>
              </w:rPr>
              <w:t>’</w:t>
            </w:r>
            <w:r w:rsidRPr="000C5A1A">
              <w:rPr>
                <w:rFonts w:cs="Segoe UI"/>
                <w:color w:val="000000"/>
                <w:sz w:val="18"/>
                <w:szCs w:val="18"/>
                <w:lang w:eastAsia="en-NZ"/>
              </w:rPr>
              <w:t>s Bay</w:t>
            </w:r>
          </w:p>
        </w:tc>
        <w:tc>
          <w:tcPr>
            <w:tcW w:w="0" w:type="auto"/>
            <w:shd w:val="clear" w:color="auto" w:fill="auto"/>
            <w:noWrap/>
            <w:hideMark/>
          </w:tcPr>
          <w:p w14:paraId="36960865" w14:textId="77777777" w:rsidR="00CF5810" w:rsidRPr="00DD06AB" w:rsidRDefault="00CF5810" w:rsidP="00954F8C">
            <w:pPr>
              <w:spacing w:before="60" w:after="60"/>
              <w:jc w:val="center"/>
              <w:rPr>
                <w:sz w:val="18"/>
                <w:szCs w:val="18"/>
              </w:rPr>
            </w:pPr>
            <w:r w:rsidRPr="00DD06AB">
              <w:rPr>
                <w:sz w:val="18"/>
                <w:szCs w:val="18"/>
              </w:rPr>
              <w:t>16</w:t>
            </w:r>
          </w:p>
        </w:tc>
        <w:tc>
          <w:tcPr>
            <w:tcW w:w="0" w:type="auto"/>
            <w:shd w:val="clear" w:color="auto" w:fill="auto"/>
            <w:noWrap/>
            <w:hideMark/>
          </w:tcPr>
          <w:p w14:paraId="34CCDC24" w14:textId="77777777" w:rsidR="00CF5810" w:rsidRPr="00DD06AB" w:rsidRDefault="00CF5810" w:rsidP="00954F8C">
            <w:pPr>
              <w:spacing w:before="60" w:after="60"/>
              <w:jc w:val="center"/>
              <w:rPr>
                <w:sz w:val="18"/>
                <w:szCs w:val="18"/>
              </w:rPr>
            </w:pPr>
            <w:r w:rsidRPr="00DD06AB">
              <w:rPr>
                <w:sz w:val="18"/>
                <w:szCs w:val="18"/>
              </w:rPr>
              <w:t>8</w:t>
            </w:r>
          </w:p>
        </w:tc>
        <w:tc>
          <w:tcPr>
            <w:tcW w:w="0" w:type="auto"/>
            <w:shd w:val="clear" w:color="auto" w:fill="auto"/>
            <w:noWrap/>
            <w:hideMark/>
          </w:tcPr>
          <w:p w14:paraId="32261590" w14:textId="77777777" w:rsidR="00CF5810" w:rsidRPr="00DD06AB" w:rsidRDefault="00CF5810" w:rsidP="00954F8C">
            <w:pPr>
              <w:spacing w:before="60" w:after="60"/>
              <w:jc w:val="center"/>
              <w:rPr>
                <w:sz w:val="18"/>
                <w:szCs w:val="18"/>
              </w:rPr>
            </w:pPr>
            <w:r w:rsidRPr="00DD06AB">
              <w:rPr>
                <w:sz w:val="18"/>
                <w:szCs w:val="18"/>
              </w:rPr>
              <w:t>2.0</w:t>
            </w:r>
          </w:p>
        </w:tc>
        <w:tc>
          <w:tcPr>
            <w:tcW w:w="0" w:type="auto"/>
          </w:tcPr>
          <w:p w14:paraId="7A160FE6" w14:textId="3E8EC88A" w:rsidR="00CF5810" w:rsidRPr="00DD06AB" w:rsidRDefault="00CF5810" w:rsidP="00954F8C">
            <w:pPr>
              <w:spacing w:before="60" w:after="60"/>
              <w:jc w:val="center"/>
              <w:rPr>
                <w:sz w:val="18"/>
                <w:szCs w:val="18"/>
              </w:rPr>
            </w:pPr>
            <w:r w:rsidRPr="00DD06AB">
              <w:rPr>
                <w:sz w:val="18"/>
                <w:szCs w:val="18"/>
              </w:rPr>
              <w:t>25</w:t>
            </w:r>
          </w:p>
        </w:tc>
        <w:tc>
          <w:tcPr>
            <w:tcW w:w="0" w:type="auto"/>
          </w:tcPr>
          <w:p w14:paraId="3B6CDB8C" w14:textId="77777777" w:rsidR="00CF5810" w:rsidRPr="00DD06AB" w:rsidRDefault="00CF5810" w:rsidP="00954F8C">
            <w:pPr>
              <w:spacing w:before="60" w:after="60"/>
              <w:jc w:val="center"/>
              <w:rPr>
                <w:sz w:val="18"/>
                <w:szCs w:val="18"/>
              </w:rPr>
            </w:pPr>
            <w:r w:rsidRPr="00DD06AB">
              <w:rPr>
                <w:sz w:val="18"/>
                <w:szCs w:val="18"/>
              </w:rPr>
              <w:t>5</w:t>
            </w:r>
          </w:p>
        </w:tc>
        <w:tc>
          <w:tcPr>
            <w:tcW w:w="0" w:type="auto"/>
          </w:tcPr>
          <w:p w14:paraId="5A2F6066" w14:textId="2FB75A6F" w:rsidR="00CF5810" w:rsidRPr="00DD06AB" w:rsidRDefault="00CF5810" w:rsidP="00954F8C">
            <w:pPr>
              <w:spacing w:before="60" w:after="60"/>
              <w:jc w:val="center"/>
              <w:rPr>
                <w:sz w:val="18"/>
                <w:szCs w:val="18"/>
              </w:rPr>
            </w:pPr>
            <w:r w:rsidRPr="00DD06AB">
              <w:rPr>
                <w:sz w:val="18"/>
                <w:szCs w:val="18"/>
              </w:rPr>
              <w:t>4.6</w:t>
            </w:r>
          </w:p>
        </w:tc>
      </w:tr>
      <w:tr w:rsidR="00CF5810" w:rsidRPr="000C5A1A" w14:paraId="08E4900E" w14:textId="77777777" w:rsidTr="00090C73">
        <w:trPr>
          <w:trHeight w:val="30"/>
        </w:trPr>
        <w:tc>
          <w:tcPr>
            <w:tcW w:w="0" w:type="auto"/>
            <w:shd w:val="clear" w:color="auto" w:fill="auto"/>
            <w:noWrap/>
            <w:vAlign w:val="center"/>
            <w:hideMark/>
          </w:tcPr>
          <w:p w14:paraId="0F17C83B" w14:textId="77777777"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Hutt Valley</w:t>
            </w:r>
          </w:p>
        </w:tc>
        <w:tc>
          <w:tcPr>
            <w:tcW w:w="0" w:type="auto"/>
            <w:shd w:val="clear" w:color="auto" w:fill="auto"/>
            <w:noWrap/>
            <w:hideMark/>
          </w:tcPr>
          <w:p w14:paraId="1E693D2D" w14:textId="77777777" w:rsidR="00CF5810" w:rsidRPr="00DD06AB" w:rsidRDefault="00CF5810" w:rsidP="00954F8C">
            <w:pPr>
              <w:spacing w:before="60" w:after="60"/>
              <w:jc w:val="center"/>
              <w:rPr>
                <w:sz w:val="18"/>
                <w:szCs w:val="18"/>
              </w:rPr>
            </w:pPr>
            <w:r w:rsidRPr="00DD06AB">
              <w:rPr>
                <w:sz w:val="18"/>
                <w:szCs w:val="18"/>
              </w:rPr>
              <w:t>77</w:t>
            </w:r>
          </w:p>
        </w:tc>
        <w:tc>
          <w:tcPr>
            <w:tcW w:w="0" w:type="auto"/>
            <w:shd w:val="clear" w:color="auto" w:fill="auto"/>
            <w:noWrap/>
            <w:hideMark/>
          </w:tcPr>
          <w:p w14:paraId="465CB499" w14:textId="77777777" w:rsidR="00CF5810" w:rsidRPr="00DD06AB" w:rsidRDefault="00CF5810" w:rsidP="00954F8C">
            <w:pPr>
              <w:spacing w:before="60" w:after="60"/>
              <w:jc w:val="center"/>
              <w:rPr>
                <w:sz w:val="18"/>
                <w:szCs w:val="18"/>
              </w:rPr>
            </w:pPr>
            <w:r w:rsidRPr="00DD06AB">
              <w:rPr>
                <w:sz w:val="18"/>
                <w:szCs w:val="18"/>
              </w:rPr>
              <w:t>35</w:t>
            </w:r>
          </w:p>
        </w:tc>
        <w:tc>
          <w:tcPr>
            <w:tcW w:w="0" w:type="auto"/>
            <w:shd w:val="clear" w:color="auto" w:fill="auto"/>
            <w:noWrap/>
            <w:hideMark/>
          </w:tcPr>
          <w:p w14:paraId="6D8935D5" w14:textId="77777777" w:rsidR="00CF5810" w:rsidRPr="00DD06AB" w:rsidRDefault="00CF5810" w:rsidP="00954F8C">
            <w:pPr>
              <w:spacing w:before="60" w:after="60"/>
              <w:jc w:val="center"/>
              <w:rPr>
                <w:sz w:val="18"/>
                <w:szCs w:val="18"/>
              </w:rPr>
            </w:pPr>
            <w:r w:rsidRPr="00DD06AB">
              <w:rPr>
                <w:sz w:val="18"/>
                <w:szCs w:val="18"/>
              </w:rPr>
              <w:t>2.2</w:t>
            </w:r>
          </w:p>
        </w:tc>
        <w:tc>
          <w:tcPr>
            <w:tcW w:w="0" w:type="auto"/>
          </w:tcPr>
          <w:p w14:paraId="43E32DEE" w14:textId="4C1ADB26" w:rsidR="00CF5810" w:rsidRPr="00DD06AB" w:rsidRDefault="00CF5810" w:rsidP="00954F8C">
            <w:pPr>
              <w:spacing w:before="60" w:after="60"/>
              <w:jc w:val="center"/>
              <w:rPr>
                <w:sz w:val="18"/>
                <w:szCs w:val="18"/>
              </w:rPr>
            </w:pPr>
            <w:r w:rsidRPr="00DD06AB">
              <w:rPr>
                <w:sz w:val="18"/>
                <w:szCs w:val="18"/>
              </w:rPr>
              <w:t>101</w:t>
            </w:r>
          </w:p>
        </w:tc>
        <w:tc>
          <w:tcPr>
            <w:tcW w:w="0" w:type="auto"/>
          </w:tcPr>
          <w:p w14:paraId="7D65DF8B" w14:textId="77777777" w:rsidR="00CF5810" w:rsidRPr="00DD06AB" w:rsidRDefault="00CF5810" w:rsidP="00954F8C">
            <w:pPr>
              <w:spacing w:before="60" w:after="60"/>
              <w:jc w:val="center"/>
              <w:rPr>
                <w:sz w:val="18"/>
                <w:szCs w:val="18"/>
              </w:rPr>
            </w:pPr>
            <w:r w:rsidRPr="00DD06AB">
              <w:rPr>
                <w:sz w:val="18"/>
                <w:szCs w:val="18"/>
              </w:rPr>
              <w:t>38</w:t>
            </w:r>
          </w:p>
        </w:tc>
        <w:tc>
          <w:tcPr>
            <w:tcW w:w="0" w:type="auto"/>
          </w:tcPr>
          <w:p w14:paraId="483DE0C4" w14:textId="2D90835D" w:rsidR="00CF5810" w:rsidRPr="00DD06AB" w:rsidRDefault="00CF5810" w:rsidP="00954F8C">
            <w:pPr>
              <w:spacing w:before="60" w:after="60"/>
              <w:jc w:val="center"/>
              <w:rPr>
                <w:sz w:val="18"/>
                <w:szCs w:val="18"/>
              </w:rPr>
            </w:pPr>
            <w:r w:rsidRPr="00DD06AB">
              <w:rPr>
                <w:sz w:val="18"/>
                <w:szCs w:val="18"/>
              </w:rPr>
              <w:t>2.7</w:t>
            </w:r>
          </w:p>
        </w:tc>
      </w:tr>
      <w:tr w:rsidR="00CF5810" w:rsidRPr="000C5A1A" w14:paraId="61C46862" w14:textId="77777777" w:rsidTr="00090C73">
        <w:trPr>
          <w:trHeight w:val="30"/>
        </w:trPr>
        <w:tc>
          <w:tcPr>
            <w:tcW w:w="0" w:type="auto"/>
            <w:shd w:val="clear" w:color="auto" w:fill="auto"/>
            <w:noWrap/>
            <w:vAlign w:val="center"/>
            <w:hideMark/>
          </w:tcPr>
          <w:p w14:paraId="43771C30" w14:textId="77777777"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Lakes</w:t>
            </w:r>
          </w:p>
        </w:tc>
        <w:tc>
          <w:tcPr>
            <w:tcW w:w="0" w:type="auto"/>
            <w:shd w:val="clear" w:color="auto" w:fill="auto"/>
            <w:noWrap/>
            <w:hideMark/>
          </w:tcPr>
          <w:p w14:paraId="4B8132A1" w14:textId="77777777" w:rsidR="00CF5810" w:rsidRPr="00DD06AB" w:rsidRDefault="00CF5810" w:rsidP="00954F8C">
            <w:pPr>
              <w:spacing w:before="60" w:after="60"/>
              <w:jc w:val="center"/>
              <w:rPr>
                <w:sz w:val="18"/>
                <w:szCs w:val="18"/>
              </w:rPr>
            </w:pPr>
            <w:r w:rsidRPr="00DD06AB">
              <w:rPr>
                <w:sz w:val="18"/>
                <w:szCs w:val="18"/>
              </w:rPr>
              <w:t>123</w:t>
            </w:r>
          </w:p>
        </w:tc>
        <w:tc>
          <w:tcPr>
            <w:tcW w:w="0" w:type="auto"/>
            <w:shd w:val="clear" w:color="auto" w:fill="auto"/>
            <w:noWrap/>
            <w:hideMark/>
          </w:tcPr>
          <w:p w14:paraId="3680387C" w14:textId="77777777" w:rsidR="00CF5810" w:rsidRPr="00DD06AB" w:rsidRDefault="00CF5810" w:rsidP="00954F8C">
            <w:pPr>
              <w:spacing w:before="60" w:after="60"/>
              <w:jc w:val="center"/>
              <w:rPr>
                <w:sz w:val="18"/>
                <w:szCs w:val="18"/>
              </w:rPr>
            </w:pPr>
            <w:r w:rsidRPr="00DD06AB">
              <w:rPr>
                <w:sz w:val="18"/>
                <w:szCs w:val="18"/>
              </w:rPr>
              <w:t>28</w:t>
            </w:r>
          </w:p>
        </w:tc>
        <w:tc>
          <w:tcPr>
            <w:tcW w:w="0" w:type="auto"/>
            <w:shd w:val="clear" w:color="auto" w:fill="auto"/>
            <w:noWrap/>
            <w:hideMark/>
          </w:tcPr>
          <w:p w14:paraId="7003B965" w14:textId="77777777" w:rsidR="00CF5810" w:rsidRPr="00DD06AB" w:rsidRDefault="00CF5810" w:rsidP="00954F8C">
            <w:pPr>
              <w:spacing w:before="60" w:after="60"/>
              <w:jc w:val="center"/>
              <w:rPr>
                <w:sz w:val="18"/>
                <w:szCs w:val="18"/>
              </w:rPr>
            </w:pPr>
            <w:r w:rsidRPr="00DD06AB">
              <w:rPr>
                <w:sz w:val="18"/>
                <w:szCs w:val="18"/>
              </w:rPr>
              <w:t>4.4</w:t>
            </w:r>
          </w:p>
        </w:tc>
        <w:tc>
          <w:tcPr>
            <w:tcW w:w="0" w:type="auto"/>
          </w:tcPr>
          <w:p w14:paraId="59EC5B6A" w14:textId="1D2F41FD" w:rsidR="00CF5810" w:rsidRPr="00DD06AB" w:rsidRDefault="00CF5810" w:rsidP="00954F8C">
            <w:pPr>
              <w:spacing w:before="60" w:after="60"/>
              <w:jc w:val="center"/>
              <w:rPr>
                <w:sz w:val="18"/>
                <w:szCs w:val="18"/>
              </w:rPr>
            </w:pPr>
            <w:r w:rsidRPr="00DD06AB">
              <w:rPr>
                <w:sz w:val="18"/>
                <w:szCs w:val="18"/>
              </w:rPr>
              <w:t>88</w:t>
            </w:r>
          </w:p>
        </w:tc>
        <w:tc>
          <w:tcPr>
            <w:tcW w:w="0" w:type="auto"/>
          </w:tcPr>
          <w:p w14:paraId="5B7BD7EF" w14:textId="77777777" w:rsidR="00CF5810" w:rsidRPr="00DD06AB" w:rsidRDefault="00CF5810" w:rsidP="00954F8C">
            <w:pPr>
              <w:spacing w:before="60" w:after="60"/>
              <w:jc w:val="center"/>
              <w:rPr>
                <w:sz w:val="18"/>
                <w:szCs w:val="18"/>
              </w:rPr>
            </w:pPr>
            <w:r w:rsidRPr="00DD06AB">
              <w:rPr>
                <w:sz w:val="18"/>
                <w:szCs w:val="18"/>
              </w:rPr>
              <w:t>23</w:t>
            </w:r>
          </w:p>
        </w:tc>
        <w:tc>
          <w:tcPr>
            <w:tcW w:w="0" w:type="auto"/>
          </w:tcPr>
          <w:p w14:paraId="3917D147" w14:textId="4BE0D9C4" w:rsidR="00CF5810" w:rsidRPr="00DD06AB" w:rsidRDefault="00CF5810" w:rsidP="00954F8C">
            <w:pPr>
              <w:spacing w:before="60" w:after="60"/>
              <w:jc w:val="center"/>
              <w:rPr>
                <w:sz w:val="18"/>
                <w:szCs w:val="18"/>
              </w:rPr>
            </w:pPr>
            <w:r w:rsidRPr="00DD06AB">
              <w:rPr>
                <w:sz w:val="18"/>
                <w:szCs w:val="18"/>
              </w:rPr>
              <w:t>3.8</w:t>
            </w:r>
          </w:p>
        </w:tc>
      </w:tr>
      <w:tr w:rsidR="00CF5810" w:rsidRPr="000C5A1A" w14:paraId="79F9965E" w14:textId="77777777" w:rsidTr="00090C73">
        <w:trPr>
          <w:trHeight w:val="30"/>
        </w:trPr>
        <w:tc>
          <w:tcPr>
            <w:tcW w:w="0" w:type="auto"/>
            <w:shd w:val="clear" w:color="auto" w:fill="auto"/>
            <w:noWrap/>
            <w:vAlign w:val="center"/>
            <w:hideMark/>
          </w:tcPr>
          <w:p w14:paraId="46E55E67" w14:textId="77777777"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Mid Central</w:t>
            </w:r>
          </w:p>
        </w:tc>
        <w:tc>
          <w:tcPr>
            <w:tcW w:w="0" w:type="auto"/>
            <w:shd w:val="clear" w:color="auto" w:fill="auto"/>
            <w:noWrap/>
            <w:hideMark/>
          </w:tcPr>
          <w:p w14:paraId="68637759" w14:textId="77777777" w:rsidR="00CF5810" w:rsidRPr="00DD06AB" w:rsidRDefault="00CF5810" w:rsidP="00954F8C">
            <w:pPr>
              <w:spacing w:before="60" w:after="60"/>
              <w:jc w:val="center"/>
              <w:rPr>
                <w:sz w:val="18"/>
                <w:szCs w:val="18"/>
              </w:rPr>
            </w:pPr>
            <w:r w:rsidRPr="00DD06AB">
              <w:rPr>
                <w:sz w:val="18"/>
                <w:szCs w:val="18"/>
              </w:rPr>
              <w:t>116</w:t>
            </w:r>
          </w:p>
        </w:tc>
        <w:tc>
          <w:tcPr>
            <w:tcW w:w="0" w:type="auto"/>
            <w:shd w:val="clear" w:color="auto" w:fill="auto"/>
            <w:noWrap/>
            <w:hideMark/>
          </w:tcPr>
          <w:p w14:paraId="4AE67AAE" w14:textId="77777777" w:rsidR="00CF5810" w:rsidRPr="00DD06AB" w:rsidRDefault="00CF5810" w:rsidP="00954F8C">
            <w:pPr>
              <w:spacing w:before="60" w:after="60"/>
              <w:jc w:val="center"/>
              <w:rPr>
                <w:sz w:val="18"/>
                <w:szCs w:val="18"/>
              </w:rPr>
            </w:pPr>
            <w:r w:rsidRPr="00DD06AB">
              <w:rPr>
                <w:sz w:val="18"/>
                <w:szCs w:val="18"/>
              </w:rPr>
              <w:t>42</w:t>
            </w:r>
          </w:p>
        </w:tc>
        <w:tc>
          <w:tcPr>
            <w:tcW w:w="0" w:type="auto"/>
            <w:shd w:val="clear" w:color="auto" w:fill="auto"/>
            <w:noWrap/>
            <w:hideMark/>
          </w:tcPr>
          <w:p w14:paraId="06FD4DE4" w14:textId="77777777" w:rsidR="00CF5810" w:rsidRPr="00DD06AB" w:rsidRDefault="00CF5810" w:rsidP="00954F8C">
            <w:pPr>
              <w:spacing w:before="60" w:after="60"/>
              <w:jc w:val="center"/>
              <w:rPr>
                <w:sz w:val="18"/>
                <w:szCs w:val="18"/>
              </w:rPr>
            </w:pPr>
            <w:r w:rsidRPr="00DD06AB">
              <w:rPr>
                <w:sz w:val="18"/>
                <w:szCs w:val="18"/>
              </w:rPr>
              <w:t>2.8</w:t>
            </w:r>
          </w:p>
        </w:tc>
        <w:tc>
          <w:tcPr>
            <w:tcW w:w="0" w:type="auto"/>
          </w:tcPr>
          <w:p w14:paraId="3EA1CDCA" w14:textId="39276755" w:rsidR="00CF5810" w:rsidRPr="00DD06AB" w:rsidRDefault="00CF5810" w:rsidP="00954F8C">
            <w:pPr>
              <w:spacing w:before="60" w:after="60"/>
              <w:jc w:val="center"/>
              <w:rPr>
                <w:sz w:val="18"/>
                <w:szCs w:val="18"/>
              </w:rPr>
            </w:pPr>
            <w:r w:rsidRPr="00DD06AB">
              <w:rPr>
                <w:sz w:val="18"/>
                <w:szCs w:val="18"/>
              </w:rPr>
              <w:t>120</w:t>
            </w:r>
          </w:p>
        </w:tc>
        <w:tc>
          <w:tcPr>
            <w:tcW w:w="0" w:type="auto"/>
          </w:tcPr>
          <w:p w14:paraId="60608D6E" w14:textId="77777777" w:rsidR="00CF5810" w:rsidRPr="00DD06AB" w:rsidRDefault="00CF5810" w:rsidP="00954F8C">
            <w:pPr>
              <w:spacing w:before="60" w:after="60"/>
              <w:jc w:val="center"/>
              <w:rPr>
                <w:sz w:val="18"/>
                <w:szCs w:val="18"/>
              </w:rPr>
            </w:pPr>
            <w:r w:rsidRPr="00DD06AB">
              <w:rPr>
                <w:sz w:val="18"/>
                <w:szCs w:val="18"/>
              </w:rPr>
              <w:t>49</w:t>
            </w:r>
          </w:p>
        </w:tc>
        <w:tc>
          <w:tcPr>
            <w:tcW w:w="0" w:type="auto"/>
          </w:tcPr>
          <w:p w14:paraId="731EA700" w14:textId="0E1D73C1" w:rsidR="00CF5810" w:rsidRPr="00DD06AB" w:rsidRDefault="00CF5810" w:rsidP="00954F8C">
            <w:pPr>
              <w:spacing w:before="60" w:after="60"/>
              <w:jc w:val="center"/>
              <w:rPr>
                <w:sz w:val="18"/>
                <w:szCs w:val="18"/>
              </w:rPr>
            </w:pPr>
            <w:r w:rsidRPr="00DD06AB">
              <w:rPr>
                <w:sz w:val="18"/>
                <w:szCs w:val="18"/>
              </w:rPr>
              <w:t>2.5</w:t>
            </w:r>
          </w:p>
        </w:tc>
      </w:tr>
      <w:tr w:rsidR="00CF5810" w:rsidRPr="000C5A1A" w14:paraId="3DE14BAF" w14:textId="77777777" w:rsidTr="00090C73">
        <w:trPr>
          <w:trHeight w:val="30"/>
        </w:trPr>
        <w:tc>
          <w:tcPr>
            <w:tcW w:w="0" w:type="auto"/>
            <w:shd w:val="clear" w:color="auto" w:fill="auto"/>
            <w:noWrap/>
            <w:vAlign w:val="center"/>
            <w:hideMark/>
          </w:tcPr>
          <w:p w14:paraId="770A9F96" w14:textId="77777777"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Nelson Marlborough</w:t>
            </w:r>
          </w:p>
        </w:tc>
        <w:tc>
          <w:tcPr>
            <w:tcW w:w="0" w:type="auto"/>
            <w:shd w:val="clear" w:color="auto" w:fill="auto"/>
            <w:noWrap/>
            <w:hideMark/>
          </w:tcPr>
          <w:p w14:paraId="6D993F0A" w14:textId="77777777" w:rsidR="00CF5810" w:rsidRPr="00DD06AB" w:rsidRDefault="00CF5810" w:rsidP="00954F8C">
            <w:pPr>
              <w:spacing w:before="60" w:after="60"/>
              <w:jc w:val="center"/>
              <w:rPr>
                <w:sz w:val="18"/>
                <w:szCs w:val="18"/>
              </w:rPr>
            </w:pPr>
            <w:r w:rsidRPr="00DD06AB">
              <w:rPr>
                <w:sz w:val="18"/>
                <w:szCs w:val="18"/>
              </w:rPr>
              <w:t>107</w:t>
            </w:r>
          </w:p>
        </w:tc>
        <w:tc>
          <w:tcPr>
            <w:tcW w:w="0" w:type="auto"/>
            <w:shd w:val="clear" w:color="auto" w:fill="auto"/>
            <w:noWrap/>
            <w:hideMark/>
          </w:tcPr>
          <w:p w14:paraId="2B146516" w14:textId="77777777" w:rsidR="00CF5810" w:rsidRPr="00DD06AB" w:rsidRDefault="00CF5810" w:rsidP="00954F8C">
            <w:pPr>
              <w:spacing w:before="60" w:after="60"/>
              <w:jc w:val="center"/>
              <w:rPr>
                <w:sz w:val="18"/>
                <w:szCs w:val="18"/>
              </w:rPr>
            </w:pPr>
            <w:r w:rsidRPr="00DD06AB">
              <w:rPr>
                <w:sz w:val="18"/>
                <w:szCs w:val="18"/>
              </w:rPr>
              <w:t>46</w:t>
            </w:r>
          </w:p>
        </w:tc>
        <w:tc>
          <w:tcPr>
            <w:tcW w:w="0" w:type="auto"/>
            <w:shd w:val="clear" w:color="auto" w:fill="auto"/>
            <w:noWrap/>
            <w:hideMark/>
          </w:tcPr>
          <w:p w14:paraId="4876B99C" w14:textId="77777777" w:rsidR="00CF5810" w:rsidRPr="00DD06AB" w:rsidRDefault="00CF5810" w:rsidP="00954F8C">
            <w:pPr>
              <w:spacing w:before="60" w:after="60"/>
              <w:jc w:val="center"/>
              <w:rPr>
                <w:sz w:val="18"/>
                <w:szCs w:val="18"/>
              </w:rPr>
            </w:pPr>
            <w:r w:rsidRPr="00DD06AB">
              <w:rPr>
                <w:sz w:val="18"/>
                <w:szCs w:val="18"/>
              </w:rPr>
              <w:t>2.3</w:t>
            </w:r>
          </w:p>
        </w:tc>
        <w:tc>
          <w:tcPr>
            <w:tcW w:w="0" w:type="auto"/>
          </w:tcPr>
          <w:p w14:paraId="0DBB6D7E" w14:textId="47A8D79B" w:rsidR="00CF5810" w:rsidRPr="00DD06AB" w:rsidRDefault="00CF5810" w:rsidP="00954F8C">
            <w:pPr>
              <w:spacing w:before="60" w:after="60"/>
              <w:jc w:val="center"/>
              <w:rPr>
                <w:sz w:val="18"/>
                <w:szCs w:val="18"/>
              </w:rPr>
            </w:pPr>
            <w:r w:rsidRPr="00DD06AB">
              <w:rPr>
                <w:sz w:val="18"/>
                <w:szCs w:val="18"/>
              </w:rPr>
              <w:t>132</w:t>
            </w:r>
          </w:p>
        </w:tc>
        <w:tc>
          <w:tcPr>
            <w:tcW w:w="0" w:type="auto"/>
          </w:tcPr>
          <w:p w14:paraId="6A6429C0" w14:textId="77777777" w:rsidR="00CF5810" w:rsidRPr="00DD06AB" w:rsidRDefault="00CF5810" w:rsidP="00954F8C">
            <w:pPr>
              <w:spacing w:before="60" w:after="60"/>
              <w:jc w:val="center"/>
              <w:rPr>
                <w:sz w:val="18"/>
                <w:szCs w:val="18"/>
              </w:rPr>
            </w:pPr>
            <w:r w:rsidRPr="00DD06AB">
              <w:rPr>
                <w:sz w:val="18"/>
                <w:szCs w:val="18"/>
              </w:rPr>
              <w:t>46</w:t>
            </w:r>
          </w:p>
        </w:tc>
        <w:tc>
          <w:tcPr>
            <w:tcW w:w="0" w:type="auto"/>
          </w:tcPr>
          <w:p w14:paraId="1FA2A6AF" w14:textId="2301D28B" w:rsidR="00CF5810" w:rsidRPr="00DD06AB" w:rsidRDefault="00CF5810" w:rsidP="00954F8C">
            <w:pPr>
              <w:spacing w:before="60" w:after="60"/>
              <w:jc w:val="center"/>
              <w:rPr>
                <w:sz w:val="18"/>
                <w:szCs w:val="18"/>
              </w:rPr>
            </w:pPr>
            <w:r w:rsidRPr="00DD06AB">
              <w:rPr>
                <w:sz w:val="18"/>
                <w:szCs w:val="18"/>
              </w:rPr>
              <w:t>2.9</w:t>
            </w:r>
          </w:p>
        </w:tc>
      </w:tr>
      <w:tr w:rsidR="00CF5810" w:rsidRPr="000C5A1A" w14:paraId="1D9826DF" w14:textId="77777777" w:rsidTr="00090C73">
        <w:trPr>
          <w:trHeight w:val="30"/>
        </w:trPr>
        <w:tc>
          <w:tcPr>
            <w:tcW w:w="0" w:type="auto"/>
            <w:shd w:val="clear" w:color="auto" w:fill="auto"/>
            <w:noWrap/>
            <w:vAlign w:val="center"/>
            <w:hideMark/>
          </w:tcPr>
          <w:p w14:paraId="072156B0" w14:textId="77777777"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Northland</w:t>
            </w:r>
          </w:p>
        </w:tc>
        <w:tc>
          <w:tcPr>
            <w:tcW w:w="0" w:type="auto"/>
            <w:shd w:val="clear" w:color="auto" w:fill="auto"/>
            <w:noWrap/>
            <w:hideMark/>
          </w:tcPr>
          <w:p w14:paraId="250756CF" w14:textId="77777777" w:rsidR="00CF5810" w:rsidRPr="00DD06AB" w:rsidRDefault="00CF5810" w:rsidP="00954F8C">
            <w:pPr>
              <w:spacing w:before="60" w:after="60"/>
              <w:jc w:val="center"/>
              <w:rPr>
                <w:sz w:val="18"/>
                <w:szCs w:val="18"/>
              </w:rPr>
            </w:pPr>
            <w:r w:rsidRPr="00DD06AB">
              <w:rPr>
                <w:sz w:val="18"/>
                <w:szCs w:val="18"/>
              </w:rPr>
              <w:t>221</w:t>
            </w:r>
          </w:p>
        </w:tc>
        <w:tc>
          <w:tcPr>
            <w:tcW w:w="0" w:type="auto"/>
            <w:shd w:val="clear" w:color="auto" w:fill="auto"/>
            <w:noWrap/>
            <w:hideMark/>
          </w:tcPr>
          <w:p w14:paraId="259A17DF" w14:textId="77777777" w:rsidR="00CF5810" w:rsidRPr="00DD06AB" w:rsidRDefault="00CF5810" w:rsidP="00954F8C">
            <w:pPr>
              <w:spacing w:before="60" w:after="60"/>
              <w:jc w:val="center"/>
              <w:rPr>
                <w:sz w:val="18"/>
                <w:szCs w:val="18"/>
              </w:rPr>
            </w:pPr>
            <w:r w:rsidRPr="00DD06AB">
              <w:rPr>
                <w:sz w:val="18"/>
                <w:szCs w:val="18"/>
              </w:rPr>
              <w:t>66</w:t>
            </w:r>
          </w:p>
        </w:tc>
        <w:tc>
          <w:tcPr>
            <w:tcW w:w="0" w:type="auto"/>
            <w:shd w:val="clear" w:color="auto" w:fill="auto"/>
            <w:noWrap/>
            <w:hideMark/>
          </w:tcPr>
          <w:p w14:paraId="2392833B" w14:textId="77777777" w:rsidR="00CF5810" w:rsidRPr="00DD06AB" w:rsidRDefault="00CF5810" w:rsidP="00954F8C">
            <w:pPr>
              <w:spacing w:before="60" w:after="60"/>
              <w:jc w:val="center"/>
              <w:rPr>
                <w:sz w:val="18"/>
                <w:szCs w:val="18"/>
              </w:rPr>
            </w:pPr>
            <w:r w:rsidRPr="00DD06AB">
              <w:rPr>
                <w:sz w:val="18"/>
                <w:szCs w:val="18"/>
              </w:rPr>
              <w:t>3.4</w:t>
            </w:r>
          </w:p>
        </w:tc>
        <w:tc>
          <w:tcPr>
            <w:tcW w:w="0" w:type="auto"/>
          </w:tcPr>
          <w:p w14:paraId="46C13145" w14:textId="7499DB57" w:rsidR="00CF5810" w:rsidRPr="00DD06AB" w:rsidRDefault="00CF5810" w:rsidP="00954F8C">
            <w:pPr>
              <w:spacing w:before="60" w:after="60"/>
              <w:jc w:val="center"/>
              <w:rPr>
                <w:sz w:val="18"/>
                <w:szCs w:val="18"/>
              </w:rPr>
            </w:pPr>
            <w:r w:rsidRPr="00DD06AB">
              <w:rPr>
                <w:sz w:val="18"/>
                <w:szCs w:val="18"/>
              </w:rPr>
              <w:t>204</w:t>
            </w:r>
          </w:p>
        </w:tc>
        <w:tc>
          <w:tcPr>
            <w:tcW w:w="0" w:type="auto"/>
          </w:tcPr>
          <w:p w14:paraId="7C8BFECD" w14:textId="77777777" w:rsidR="00CF5810" w:rsidRPr="00DD06AB" w:rsidRDefault="00CF5810" w:rsidP="00954F8C">
            <w:pPr>
              <w:spacing w:before="60" w:after="60"/>
              <w:jc w:val="center"/>
              <w:rPr>
                <w:sz w:val="18"/>
                <w:szCs w:val="18"/>
              </w:rPr>
            </w:pPr>
            <w:r w:rsidRPr="00DD06AB">
              <w:rPr>
                <w:sz w:val="18"/>
                <w:szCs w:val="18"/>
              </w:rPr>
              <w:t>67</w:t>
            </w:r>
          </w:p>
        </w:tc>
        <w:tc>
          <w:tcPr>
            <w:tcW w:w="0" w:type="auto"/>
          </w:tcPr>
          <w:p w14:paraId="21BAFD67" w14:textId="56E0CCA3" w:rsidR="00CF5810" w:rsidRPr="00DD06AB" w:rsidRDefault="00CF5810" w:rsidP="00954F8C">
            <w:pPr>
              <w:spacing w:before="60" w:after="60"/>
              <w:jc w:val="center"/>
              <w:rPr>
                <w:sz w:val="18"/>
                <w:szCs w:val="18"/>
              </w:rPr>
            </w:pPr>
            <w:r w:rsidRPr="00DD06AB">
              <w:rPr>
                <w:sz w:val="18"/>
                <w:szCs w:val="18"/>
              </w:rPr>
              <w:t>3.0</w:t>
            </w:r>
          </w:p>
        </w:tc>
      </w:tr>
      <w:tr w:rsidR="00CF5810" w:rsidRPr="000C5A1A" w14:paraId="3D59E192" w14:textId="77777777" w:rsidTr="00090C73">
        <w:trPr>
          <w:trHeight w:val="30"/>
        </w:trPr>
        <w:tc>
          <w:tcPr>
            <w:tcW w:w="0" w:type="auto"/>
            <w:shd w:val="clear" w:color="auto" w:fill="auto"/>
            <w:noWrap/>
            <w:vAlign w:val="center"/>
            <w:hideMark/>
          </w:tcPr>
          <w:p w14:paraId="7117F34E" w14:textId="77777777"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South Canterbury</w:t>
            </w:r>
          </w:p>
        </w:tc>
        <w:tc>
          <w:tcPr>
            <w:tcW w:w="0" w:type="auto"/>
            <w:shd w:val="clear" w:color="auto" w:fill="auto"/>
            <w:noWrap/>
            <w:hideMark/>
          </w:tcPr>
          <w:p w14:paraId="3EDDDD50" w14:textId="77777777" w:rsidR="00CF5810" w:rsidRPr="00DD06AB" w:rsidRDefault="00CF5810" w:rsidP="00954F8C">
            <w:pPr>
              <w:spacing w:before="60" w:after="60"/>
              <w:jc w:val="center"/>
              <w:rPr>
                <w:sz w:val="18"/>
                <w:szCs w:val="18"/>
              </w:rPr>
            </w:pPr>
            <w:r w:rsidRPr="00DD06AB">
              <w:rPr>
                <w:sz w:val="18"/>
                <w:szCs w:val="18"/>
              </w:rPr>
              <w:t>133</w:t>
            </w:r>
          </w:p>
        </w:tc>
        <w:tc>
          <w:tcPr>
            <w:tcW w:w="0" w:type="auto"/>
            <w:shd w:val="clear" w:color="auto" w:fill="auto"/>
            <w:noWrap/>
            <w:hideMark/>
          </w:tcPr>
          <w:p w14:paraId="60802824" w14:textId="77777777" w:rsidR="00CF5810" w:rsidRPr="00DD06AB" w:rsidRDefault="00CF5810" w:rsidP="00954F8C">
            <w:pPr>
              <w:spacing w:before="60" w:after="60"/>
              <w:jc w:val="center"/>
              <w:rPr>
                <w:sz w:val="18"/>
                <w:szCs w:val="18"/>
              </w:rPr>
            </w:pPr>
            <w:r w:rsidRPr="00DD06AB">
              <w:rPr>
                <w:sz w:val="18"/>
                <w:szCs w:val="18"/>
              </w:rPr>
              <w:t>51</w:t>
            </w:r>
          </w:p>
        </w:tc>
        <w:tc>
          <w:tcPr>
            <w:tcW w:w="0" w:type="auto"/>
            <w:shd w:val="clear" w:color="auto" w:fill="auto"/>
            <w:noWrap/>
            <w:hideMark/>
          </w:tcPr>
          <w:p w14:paraId="2F90E45E" w14:textId="77777777" w:rsidR="00CF5810" w:rsidRPr="00DD06AB" w:rsidRDefault="00CF5810" w:rsidP="00954F8C">
            <w:pPr>
              <w:spacing w:before="60" w:after="60"/>
              <w:jc w:val="center"/>
              <w:rPr>
                <w:sz w:val="18"/>
                <w:szCs w:val="18"/>
              </w:rPr>
            </w:pPr>
            <w:r w:rsidRPr="00DD06AB">
              <w:rPr>
                <w:sz w:val="18"/>
                <w:szCs w:val="18"/>
              </w:rPr>
              <w:t>2.6</w:t>
            </w:r>
          </w:p>
        </w:tc>
        <w:tc>
          <w:tcPr>
            <w:tcW w:w="0" w:type="auto"/>
          </w:tcPr>
          <w:p w14:paraId="6495A437" w14:textId="60F804FD" w:rsidR="00CF5810" w:rsidRPr="00DD06AB" w:rsidRDefault="00CF5810" w:rsidP="00954F8C">
            <w:pPr>
              <w:spacing w:before="60" w:after="60"/>
              <w:jc w:val="center"/>
              <w:rPr>
                <w:sz w:val="18"/>
                <w:szCs w:val="18"/>
              </w:rPr>
            </w:pPr>
            <w:r w:rsidRPr="00DD06AB">
              <w:rPr>
                <w:sz w:val="18"/>
                <w:szCs w:val="18"/>
              </w:rPr>
              <w:t>127</w:t>
            </w:r>
          </w:p>
        </w:tc>
        <w:tc>
          <w:tcPr>
            <w:tcW w:w="0" w:type="auto"/>
          </w:tcPr>
          <w:p w14:paraId="5BC9C96A" w14:textId="77777777" w:rsidR="00CF5810" w:rsidRPr="00DD06AB" w:rsidRDefault="00CF5810" w:rsidP="00954F8C">
            <w:pPr>
              <w:spacing w:before="60" w:after="60"/>
              <w:jc w:val="center"/>
              <w:rPr>
                <w:sz w:val="18"/>
                <w:szCs w:val="18"/>
              </w:rPr>
            </w:pPr>
            <w:r w:rsidRPr="00DD06AB">
              <w:rPr>
                <w:sz w:val="18"/>
                <w:szCs w:val="18"/>
              </w:rPr>
              <w:t>54</w:t>
            </w:r>
          </w:p>
        </w:tc>
        <w:tc>
          <w:tcPr>
            <w:tcW w:w="0" w:type="auto"/>
          </w:tcPr>
          <w:p w14:paraId="6740D5E0" w14:textId="431B45CE" w:rsidR="00CF5810" w:rsidRPr="00DD06AB" w:rsidRDefault="00CF5810" w:rsidP="00954F8C">
            <w:pPr>
              <w:spacing w:before="60" w:after="60"/>
              <w:jc w:val="center"/>
              <w:rPr>
                <w:sz w:val="18"/>
                <w:szCs w:val="18"/>
              </w:rPr>
            </w:pPr>
            <w:r w:rsidRPr="00DD06AB">
              <w:rPr>
                <w:sz w:val="18"/>
                <w:szCs w:val="18"/>
              </w:rPr>
              <w:t>2.4</w:t>
            </w:r>
          </w:p>
        </w:tc>
      </w:tr>
      <w:tr w:rsidR="00CF5810" w:rsidRPr="000C5A1A" w14:paraId="0B6BD6B8" w14:textId="77777777" w:rsidTr="00090C73">
        <w:trPr>
          <w:trHeight w:val="30"/>
        </w:trPr>
        <w:tc>
          <w:tcPr>
            <w:tcW w:w="0" w:type="auto"/>
            <w:shd w:val="clear" w:color="auto" w:fill="auto"/>
            <w:noWrap/>
            <w:vAlign w:val="center"/>
            <w:hideMark/>
          </w:tcPr>
          <w:p w14:paraId="3C2F66CC" w14:textId="77777777"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Southern</w:t>
            </w:r>
          </w:p>
        </w:tc>
        <w:tc>
          <w:tcPr>
            <w:tcW w:w="0" w:type="auto"/>
            <w:shd w:val="clear" w:color="auto" w:fill="auto"/>
            <w:noWrap/>
            <w:hideMark/>
          </w:tcPr>
          <w:p w14:paraId="018761E7" w14:textId="77777777" w:rsidR="00CF5810" w:rsidRPr="00DD06AB" w:rsidRDefault="00CF5810" w:rsidP="00954F8C">
            <w:pPr>
              <w:spacing w:before="60" w:after="60"/>
              <w:jc w:val="center"/>
              <w:rPr>
                <w:sz w:val="18"/>
                <w:szCs w:val="18"/>
              </w:rPr>
            </w:pPr>
            <w:r w:rsidRPr="00DD06AB">
              <w:rPr>
                <w:sz w:val="18"/>
                <w:szCs w:val="18"/>
              </w:rPr>
              <w:t>138</w:t>
            </w:r>
          </w:p>
        </w:tc>
        <w:tc>
          <w:tcPr>
            <w:tcW w:w="0" w:type="auto"/>
            <w:shd w:val="clear" w:color="auto" w:fill="auto"/>
            <w:noWrap/>
            <w:hideMark/>
          </w:tcPr>
          <w:p w14:paraId="41C37A77" w14:textId="77777777" w:rsidR="00CF5810" w:rsidRPr="00DD06AB" w:rsidRDefault="00CF5810" w:rsidP="00954F8C">
            <w:pPr>
              <w:spacing w:before="60" w:after="60"/>
              <w:jc w:val="center"/>
              <w:rPr>
                <w:sz w:val="18"/>
                <w:szCs w:val="18"/>
              </w:rPr>
            </w:pPr>
            <w:r w:rsidRPr="00DD06AB">
              <w:rPr>
                <w:sz w:val="18"/>
                <w:szCs w:val="18"/>
              </w:rPr>
              <w:t>42</w:t>
            </w:r>
          </w:p>
        </w:tc>
        <w:tc>
          <w:tcPr>
            <w:tcW w:w="0" w:type="auto"/>
            <w:shd w:val="clear" w:color="auto" w:fill="auto"/>
            <w:noWrap/>
            <w:hideMark/>
          </w:tcPr>
          <w:p w14:paraId="033DECC5" w14:textId="77777777" w:rsidR="00CF5810" w:rsidRPr="00DD06AB" w:rsidRDefault="00CF5810" w:rsidP="00954F8C">
            <w:pPr>
              <w:spacing w:before="60" w:after="60"/>
              <w:jc w:val="center"/>
              <w:rPr>
                <w:sz w:val="18"/>
                <w:szCs w:val="18"/>
              </w:rPr>
            </w:pPr>
            <w:r w:rsidRPr="00DD06AB">
              <w:rPr>
                <w:sz w:val="18"/>
                <w:szCs w:val="18"/>
              </w:rPr>
              <w:t>3.3</w:t>
            </w:r>
          </w:p>
        </w:tc>
        <w:tc>
          <w:tcPr>
            <w:tcW w:w="0" w:type="auto"/>
          </w:tcPr>
          <w:p w14:paraId="79B0EFB8" w14:textId="4448684E" w:rsidR="00CF5810" w:rsidRPr="00DD06AB" w:rsidRDefault="00CF5810" w:rsidP="00954F8C">
            <w:pPr>
              <w:spacing w:before="60" w:after="60"/>
              <w:jc w:val="center"/>
              <w:rPr>
                <w:sz w:val="18"/>
                <w:szCs w:val="18"/>
              </w:rPr>
            </w:pPr>
            <w:r w:rsidRPr="00DD06AB">
              <w:rPr>
                <w:sz w:val="18"/>
                <w:szCs w:val="18"/>
              </w:rPr>
              <w:t>124</w:t>
            </w:r>
          </w:p>
        </w:tc>
        <w:tc>
          <w:tcPr>
            <w:tcW w:w="0" w:type="auto"/>
          </w:tcPr>
          <w:p w14:paraId="13E961DB" w14:textId="77777777" w:rsidR="00CF5810" w:rsidRPr="00DD06AB" w:rsidRDefault="00CF5810" w:rsidP="00954F8C">
            <w:pPr>
              <w:spacing w:before="60" w:after="60"/>
              <w:jc w:val="center"/>
              <w:rPr>
                <w:sz w:val="18"/>
                <w:szCs w:val="18"/>
              </w:rPr>
            </w:pPr>
            <w:r w:rsidRPr="00DD06AB">
              <w:rPr>
                <w:sz w:val="18"/>
                <w:szCs w:val="18"/>
              </w:rPr>
              <w:t>40</w:t>
            </w:r>
          </w:p>
        </w:tc>
        <w:tc>
          <w:tcPr>
            <w:tcW w:w="0" w:type="auto"/>
          </w:tcPr>
          <w:p w14:paraId="7B5BCA46" w14:textId="40E4BC7A" w:rsidR="00CF5810" w:rsidRPr="00DD06AB" w:rsidRDefault="00CF5810" w:rsidP="00954F8C">
            <w:pPr>
              <w:spacing w:before="60" w:after="60"/>
              <w:jc w:val="center"/>
              <w:rPr>
                <w:sz w:val="18"/>
                <w:szCs w:val="18"/>
              </w:rPr>
            </w:pPr>
            <w:r w:rsidRPr="00DD06AB">
              <w:rPr>
                <w:sz w:val="18"/>
                <w:szCs w:val="18"/>
              </w:rPr>
              <w:t>3.1</w:t>
            </w:r>
          </w:p>
        </w:tc>
      </w:tr>
      <w:tr w:rsidR="00CF5810" w:rsidRPr="000C5A1A" w14:paraId="2BB64771" w14:textId="77777777" w:rsidTr="00090C73">
        <w:trPr>
          <w:trHeight w:val="30"/>
        </w:trPr>
        <w:tc>
          <w:tcPr>
            <w:tcW w:w="0" w:type="auto"/>
            <w:shd w:val="clear" w:color="auto" w:fill="auto"/>
            <w:noWrap/>
            <w:vAlign w:val="center"/>
            <w:hideMark/>
          </w:tcPr>
          <w:p w14:paraId="43190AEA" w14:textId="77777777" w:rsidR="00CF5810" w:rsidRPr="000C5A1A" w:rsidRDefault="00CF5810" w:rsidP="00954F8C">
            <w:pPr>
              <w:keepNext/>
              <w:spacing w:before="60" w:after="60"/>
              <w:rPr>
                <w:rFonts w:cs="Segoe UI"/>
                <w:color w:val="000000"/>
                <w:sz w:val="18"/>
                <w:szCs w:val="18"/>
                <w:lang w:eastAsia="en-NZ"/>
              </w:rPr>
            </w:pPr>
            <w:proofErr w:type="spellStart"/>
            <w:r w:rsidRPr="000C5A1A">
              <w:rPr>
                <w:rFonts w:cs="Segoe UI"/>
                <w:color w:val="000000"/>
                <w:sz w:val="18"/>
                <w:szCs w:val="18"/>
                <w:lang w:eastAsia="en-NZ"/>
              </w:rPr>
              <w:t>Tairāwhiti</w:t>
            </w:r>
            <w:proofErr w:type="spellEnd"/>
          </w:p>
        </w:tc>
        <w:tc>
          <w:tcPr>
            <w:tcW w:w="0" w:type="auto"/>
            <w:shd w:val="clear" w:color="auto" w:fill="auto"/>
            <w:noWrap/>
            <w:hideMark/>
          </w:tcPr>
          <w:p w14:paraId="32C48415" w14:textId="77777777" w:rsidR="00CF5810" w:rsidRPr="00DD06AB" w:rsidRDefault="00CF5810" w:rsidP="00954F8C">
            <w:pPr>
              <w:spacing w:before="60" w:after="60"/>
              <w:jc w:val="center"/>
              <w:rPr>
                <w:sz w:val="18"/>
                <w:szCs w:val="18"/>
              </w:rPr>
            </w:pPr>
            <w:r w:rsidRPr="00DD06AB">
              <w:rPr>
                <w:sz w:val="18"/>
                <w:szCs w:val="18"/>
              </w:rPr>
              <w:t>142</w:t>
            </w:r>
          </w:p>
        </w:tc>
        <w:tc>
          <w:tcPr>
            <w:tcW w:w="0" w:type="auto"/>
            <w:shd w:val="clear" w:color="auto" w:fill="auto"/>
            <w:noWrap/>
            <w:hideMark/>
          </w:tcPr>
          <w:p w14:paraId="380BE1A3" w14:textId="77777777" w:rsidR="00CF5810" w:rsidRPr="00DD06AB" w:rsidRDefault="00CF5810" w:rsidP="00954F8C">
            <w:pPr>
              <w:spacing w:before="60" w:after="60"/>
              <w:jc w:val="center"/>
              <w:rPr>
                <w:sz w:val="18"/>
                <w:szCs w:val="18"/>
              </w:rPr>
            </w:pPr>
            <w:r w:rsidRPr="00DD06AB">
              <w:rPr>
                <w:sz w:val="18"/>
                <w:szCs w:val="18"/>
              </w:rPr>
              <w:t>49</w:t>
            </w:r>
          </w:p>
        </w:tc>
        <w:tc>
          <w:tcPr>
            <w:tcW w:w="0" w:type="auto"/>
            <w:shd w:val="clear" w:color="auto" w:fill="auto"/>
            <w:noWrap/>
            <w:hideMark/>
          </w:tcPr>
          <w:p w14:paraId="3ADBF30C" w14:textId="77777777" w:rsidR="00CF5810" w:rsidRPr="00DD06AB" w:rsidRDefault="00CF5810" w:rsidP="00954F8C">
            <w:pPr>
              <w:spacing w:before="60" w:after="60"/>
              <w:jc w:val="center"/>
              <w:rPr>
                <w:sz w:val="18"/>
                <w:szCs w:val="18"/>
              </w:rPr>
            </w:pPr>
            <w:r w:rsidRPr="00DD06AB">
              <w:rPr>
                <w:sz w:val="18"/>
                <w:szCs w:val="18"/>
              </w:rPr>
              <w:t>2.9</w:t>
            </w:r>
          </w:p>
        </w:tc>
        <w:tc>
          <w:tcPr>
            <w:tcW w:w="0" w:type="auto"/>
          </w:tcPr>
          <w:p w14:paraId="2307DC1E" w14:textId="2AFD0AA1" w:rsidR="00CF5810" w:rsidRPr="00DD06AB" w:rsidRDefault="00CF5810" w:rsidP="00954F8C">
            <w:pPr>
              <w:spacing w:before="60" w:after="60"/>
              <w:jc w:val="center"/>
              <w:rPr>
                <w:sz w:val="18"/>
                <w:szCs w:val="18"/>
              </w:rPr>
            </w:pPr>
            <w:r w:rsidRPr="00DD06AB">
              <w:rPr>
                <w:sz w:val="18"/>
                <w:szCs w:val="18"/>
              </w:rPr>
              <w:t>80</w:t>
            </w:r>
          </w:p>
        </w:tc>
        <w:tc>
          <w:tcPr>
            <w:tcW w:w="0" w:type="auto"/>
          </w:tcPr>
          <w:p w14:paraId="7F942CAF" w14:textId="77777777" w:rsidR="00CF5810" w:rsidRPr="00DD06AB" w:rsidRDefault="00CF5810" w:rsidP="00954F8C">
            <w:pPr>
              <w:spacing w:before="60" w:after="60"/>
              <w:jc w:val="center"/>
              <w:rPr>
                <w:sz w:val="18"/>
                <w:szCs w:val="18"/>
              </w:rPr>
            </w:pPr>
            <w:r w:rsidRPr="00DD06AB">
              <w:rPr>
                <w:sz w:val="18"/>
                <w:szCs w:val="18"/>
              </w:rPr>
              <w:t>34</w:t>
            </w:r>
          </w:p>
        </w:tc>
        <w:tc>
          <w:tcPr>
            <w:tcW w:w="0" w:type="auto"/>
          </w:tcPr>
          <w:p w14:paraId="728321D8" w14:textId="781E1D70" w:rsidR="00CF5810" w:rsidRPr="00DD06AB" w:rsidRDefault="00CF5810" w:rsidP="00954F8C">
            <w:pPr>
              <w:spacing w:before="60" w:after="60"/>
              <w:jc w:val="center"/>
              <w:rPr>
                <w:sz w:val="18"/>
                <w:szCs w:val="18"/>
              </w:rPr>
            </w:pPr>
            <w:r w:rsidRPr="00DD06AB">
              <w:rPr>
                <w:sz w:val="18"/>
                <w:szCs w:val="18"/>
              </w:rPr>
              <w:t>2.3</w:t>
            </w:r>
          </w:p>
        </w:tc>
      </w:tr>
      <w:tr w:rsidR="00CF5810" w:rsidRPr="000C5A1A" w14:paraId="14F4DB1C" w14:textId="77777777" w:rsidTr="00090C73">
        <w:trPr>
          <w:trHeight w:val="30"/>
        </w:trPr>
        <w:tc>
          <w:tcPr>
            <w:tcW w:w="0" w:type="auto"/>
            <w:shd w:val="clear" w:color="auto" w:fill="auto"/>
            <w:noWrap/>
            <w:vAlign w:val="center"/>
            <w:hideMark/>
          </w:tcPr>
          <w:p w14:paraId="0ADF8A27" w14:textId="77777777"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Taranaki</w:t>
            </w:r>
          </w:p>
        </w:tc>
        <w:tc>
          <w:tcPr>
            <w:tcW w:w="0" w:type="auto"/>
            <w:shd w:val="clear" w:color="auto" w:fill="auto"/>
            <w:noWrap/>
            <w:hideMark/>
          </w:tcPr>
          <w:p w14:paraId="3CC3B450" w14:textId="77777777" w:rsidR="00CF5810" w:rsidRPr="00DD06AB" w:rsidRDefault="00CF5810" w:rsidP="00954F8C">
            <w:pPr>
              <w:spacing w:before="60" w:after="60"/>
              <w:jc w:val="center"/>
              <w:rPr>
                <w:sz w:val="18"/>
                <w:szCs w:val="18"/>
              </w:rPr>
            </w:pPr>
            <w:r w:rsidRPr="00DD06AB">
              <w:rPr>
                <w:sz w:val="18"/>
                <w:szCs w:val="18"/>
              </w:rPr>
              <w:t>108</w:t>
            </w:r>
          </w:p>
        </w:tc>
        <w:tc>
          <w:tcPr>
            <w:tcW w:w="0" w:type="auto"/>
            <w:shd w:val="clear" w:color="auto" w:fill="auto"/>
            <w:noWrap/>
            <w:hideMark/>
          </w:tcPr>
          <w:p w14:paraId="3AE9391B" w14:textId="77777777" w:rsidR="00CF5810" w:rsidRPr="00DD06AB" w:rsidRDefault="00CF5810" w:rsidP="00954F8C">
            <w:pPr>
              <w:spacing w:before="60" w:after="60"/>
              <w:jc w:val="center"/>
              <w:rPr>
                <w:sz w:val="18"/>
                <w:szCs w:val="18"/>
              </w:rPr>
            </w:pPr>
            <w:r w:rsidRPr="00DD06AB">
              <w:rPr>
                <w:sz w:val="18"/>
                <w:szCs w:val="18"/>
              </w:rPr>
              <w:t>46</w:t>
            </w:r>
          </w:p>
        </w:tc>
        <w:tc>
          <w:tcPr>
            <w:tcW w:w="0" w:type="auto"/>
            <w:shd w:val="clear" w:color="auto" w:fill="auto"/>
            <w:noWrap/>
            <w:hideMark/>
          </w:tcPr>
          <w:p w14:paraId="204084B2" w14:textId="77777777" w:rsidR="00CF5810" w:rsidRPr="00DD06AB" w:rsidRDefault="00CF5810" w:rsidP="00954F8C">
            <w:pPr>
              <w:spacing w:before="60" w:after="60"/>
              <w:jc w:val="center"/>
              <w:rPr>
                <w:sz w:val="18"/>
                <w:szCs w:val="18"/>
              </w:rPr>
            </w:pPr>
            <w:r w:rsidRPr="00DD06AB">
              <w:rPr>
                <w:sz w:val="18"/>
                <w:szCs w:val="18"/>
              </w:rPr>
              <w:t>2.3</w:t>
            </w:r>
          </w:p>
        </w:tc>
        <w:tc>
          <w:tcPr>
            <w:tcW w:w="0" w:type="auto"/>
          </w:tcPr>
          <w:p w14:paraId="662F69DE" w14:textId="1036F8B6" w:rsidR="00CF5810" w:rsidRPr="00DD06AB" w:rsidRDefault="00CF5810" w:rsidP="00954F8C">
            <w:pPr>
              <w:spacing w:before="60" w:after="60"/>
              <w:jc w:val="center"/>
              <w:rPr>
                <w:sz w:val="18"/>
                <w:szCs w:val="18"/>
              </w:rPr>
            </w:pPr>
            <w:r w:rsidRPr="00DD06AB">
              <w:rPr>
                <w:sz w:val="18"/>
                <w:szCs w:val="18"/>
              </w:rPr>
              <w:t>121</w:t>
            </w:r>
          </w:p>
        </w:tc>
        <w:tc>
          <w:tcPr>
            <w:tcW w:w="0" w:type="auto"/>
          </w:tcPr>
          <w:p w14:paraId="43FD553F" w14:textId="77777777" w:rsidR="00CF5810" w:rsidRPr="00DD06AB" w:rsidRDefault="00CF5810" w:rsidP="00954F8C">
            <w:pPr>
              <w:spacing w:before="60" w:after="60"/>
              <w:jc w:val="center"/>
              <w:rPr>
                <w:sz w:val="18"/>
                <w:szCs w:val="18"/>
              </w:rPr>
            </w:pPr>
            <w:r w:rsidRPr="00DD06AB">
              <w:rPr>
                <w:sz w:val="18"/>
                <w:szCs w:val="18"/>
              </w:rPr>
              <w:t>48</w:t>
            </w:r>
          </w:p>
        </w:tc>
        <w:tc>
          <w:tcPr>
            <w:tcW w:w="0" w:type="auto"/>
          </w:tcPr>
          <w:p w14:paraId="68BC256E" w14:textId="417AD366" w:rsidR="00CF5810" w:rsidRPr="00DD06AB" w:rsidRDefault="00CF5810" w:rsidP="00954F8C">
            <w:pPr>
              <w:spacing w:before="60" w:after="60"/>
              <w:jc w:val="center"/>
              <w:rPr>
                <w:sz w:val="18"/>
                <w:szCs w:val="18"/>
              </w:rPr>
            </w:pPr>
            <w:r w:rsidRPr="00DD06AB">
              <w:rPr>
                <w:sz w:val="18"/>
                <w:szCs w:val="18"/>
              </w:rPr>
              <w:t>2.5</w:t>
            </w:r>
          </w:p>
        </w:tc>
      </w:tr>
      <w:tr w:rsidR="00CF5810" w:rsidRPr="000C5A1A" w14:paraId="64EDA6F7" w14:textId="77777777" w:rsidTr="00090C73">
        <w:trPr>
          <w:trHeight w:val="30"/>
        </w:trPr>
        <w:tc>
          <w:tcPr>
            <w:tcW w:w="0" w:type="auto"/>
            <w:shd w:val="clear" w:color="auto" w:fill="auto"/>
            <w:noWrap/>
            <w:vAlign w:val="center"/>
            <w:hideMark/>
          </w:tcPr>
          <w:p w14:paraId="1086751A" w14:textId="77777777"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Waikato</w:t>
            </w:r>
          </w:p>
        </w:tc>
        <w:tc>
          <w:tcPr>
            <w:tcW w:w="0" w:type="auto"/>
            <w:shd w:val="clear" w:color="auto" w:fill="auto"/>
            <w:noWrap/>
            <w:hideMark/>
          </w:tcPr>
          <w:p w14:paraId="11471534" w14:textId="77777777" w:rsidR="00CF5810" w:rsidRPr="00DD06AB" w:rsidRDefault="00CF5810" w:rsidP="00954F8C">
            <w:pPr>
              <w:spacing w:before="60" w:after="60"/>
              <w:jc w:val="center"/>
              <w:rPr>
                <w:sz w:val="18"/>
                <w:szCs w:val="18"/>
              </w:rPr>
            </w:pPr>
            <w:r w:rsidRPr="00DD06AB">
              <w:rPr>
                <w:sz w:val="18"/>
                <w:szCs w:val="18"/>
              </w:rPr>
              <w:t>185</w:t>
            </w:r>
          </w:p>
        </w:tc>
        <w:tc>
          <w:tcPr>
            <w:tcW w:w="0" w:type="auto"/>
            <w:shd w:val="clear" w:color="auto" w:fill="auto"/>
            <w:noWrap/>
            <w:hideMark/>
          </w:tcPr>
          <w:p w14:paraId="6F052C8D" w14:textId="77777777" w:rsidR="00CF5810" w:rsidRPr="00DD06AB" w:rsidRDefault="00CF5810" w:rsidP="00954F8C">
            <w:pPr>
              <w:spacing w:before="60" w:after="60"/>
              <w:jc w:val="center"/>
              <w:rPr>
                <w:sz w:val="18"/>
                <w:szCs w:val="18"/>
              </w:rPr>
            </w:pPr>
            <w:r w:rsidRPr="00DD06AB">
              <w:rPr>
                <w:sz w:val="18"/>
                <w:szCs w:val="18"/>
              </w:rPr>
              <w:t>43</w:t>
            </w:r>
          </w:p>
        </w:tc>
        <w:tc>
          <w:tcPr>
            <w:tcW w:w="0" w:type="auto"/>
            <w:shd w:val="clear" w:color="auto" w:fill="auto"/>
            <w:noWrap/>
            <w:hideMark/>
          </w:tcPr>
          <w:p w14:paraId="348B140F" w14:textId="77777777" w:rsidR="00CF5810" w:rsidRPr="00DD06AB" w:rsidRDefault="00CF5810" w:rsidP="00954F8C">
            <w:pPr>
              <w:spacing w:before="60" w:after="60"/>
              <w:jc w:val="center"/>
              <w:rPr>
                <w:sz w:val="18"/>
                <w:szCs w:val="18"/>
              </w:rPr>
            </w:pPr>
            <w:r w:rsidRPr="00DD06AB">
              <w:rPr>
                <w:sz w:val="18"/>
                <w:szCs w:val="18"/>
              </w:rPr>
              <w:t>4.3</w:t>
            </w:r>
          </w:p>
        </w:tc>
        <w:tc>
          <w:tcPr>
            <w:tcW w:w="0" w:type="auto"/>
          </w:tcPr>
          <w:p w14:paraId="568D6096" w14:textId="23852091" w:rsidR="00CF5810" w:rsidRPr="00DD06AB" w:rsidRDefault="00CF5810" w:rsidP="00954F8C">
            <w:pPr>
              <w:spacing w:before="60" w:after="60"/>
              <w:jc w:val="center"/>
              <w:rPr>
                <w:sz w:val="18"/>
                <w:szCs w:val="18"/>
              </w:rPr>
            </w:pPr>
            <w:r w:rsidRPr="00DD06AB">
              <w:rPr>
                <w:sz w:val="18"/>
                <w:szCs w:val="18"/>
              </w:rPr>
              <w:t>176</w:t>
            </w:r>
          </w:p>
        </w:tc>
        <w:tc>
          <w:tcPr>
            <w:tcW w:w="0" w:type="auto"/>
          </w:tcPr>
          <w:p w14:paraId="08BF2BDE" w14:textId="77777777" w:rsidR="00CF5810" w:rsidRPr="00DD06AB" w:rsidRDefault="00CF5810" w:rsidP="00954F8C">
            <w:pPr>
              <w:spacing w:before="60" w:after="60"/>
              <w:jc w:val="center"/>
              <w:rPr>
                <w:sz w:val="18"/>
                <w:szCs w:val="18"/>
              </w:rPr>
            </w:pPr>
            <w:r w:rsidRPr="00DD06AB">
              <w:rPr>
                <w:sz w:val="18"/>
                <w:szCs w:val="18"/>
              </w:rPr>
              <w:t>40</w:t>
            </w:r>
          </w:p>
        </w:tc>
        <w:tc>
          <w:tcPr>
            <w:tcW w:w="0" w:type="auto"/>
          </w:tcPr>
          <w:p w14:paraId="2902A12B" w14:textId="21F73E59" w:rsidR="00CF5810" w:rsidRPr="00DD06AB" w:rsidRDefault="00CF5810" w:rsidP="00954F8C">
            <w:pPr>
              <w:spacing w:before="60" w:after="60"/>
              <w:jc w:val="center"/>
              <w:rPr>
                <w:sz w:val="18"/>
                <w:szCs w:val="18"/>
              </w:rPr>
            </w:pPr>
            <w:r w:rsidRPr="00DD06AB">
              <w:rPr>
                <w:sz w:val="18"/>
                <w:szCs w:val="18"/>
              </w:rPr>
              <w:t>4.4</w:t>
            </w:r>
          </w:p>
        </w:tc>
      </w:tr>
      <w:tr w:rsidR="00CF5810" w:rsidRPr="000C5A1A" w14:paraId="002AFE87" w14:textId="77777777" w:rsidTr="00090C73">
        <w:trPr>
          <w:trHeight w:val="30"/>
        </w:trPr>
        <w:tc>
          <w:tcPr>
            <w:tcW w:w="0" w:type="auto"/>
            <w:shd w:val="clear" w:color="auto" w:fill="auto"/>
            <w:noWrap/>
            <w:vAlign w:val="center"/>
            <w:hideMark/>
          </w:tcPr>
          <w:p w14:paraId="0C2B425A" w14:textId="77777777"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Wairarapa</w:t>
            </w:r>
          </w:p>
        </w:tc>
        <w:tc>
          <w:tcPr>
            <w:tcW w:w="0" w:type="auto"/>
            <w:shd w:val="clear" w:color="auto" w:fill="auto"/>
            <w:noWrap/>
            <w:hideMark/>
          </w:tcPr>
          <w:p w14:paraId="729D2A65" w14:textId="77777777" w:rsidR="00CF5810" w:rsidRPr="00DD06AB" w:rsidRDefault="00CF5810" w:rsidP="00954F8C">
            <w:pPr>
              <w:spacing w:before="60" w:after="60"/>
              <w:jc w:val="center"/>
              <w:rPr>
                <w:sz w:val="18"/>
                <w:szCs w:val="18"/>
              </w:rPr>
            </w:pPr>
            <w:r w:rsidRPr="00DD06AB">
              <w:rPr>
                <w:sz w:val="18"/>
                <w:szCs w:val="18"/>
              </w:rPr>
              <w:t>177</w:t>
            </w:r>
          </w:p>
        </w:tc>
        <w:tc>
          <w:tcPr>
            <w:tcW w:w="0" w:type="auto"/>
            <w:shd w:val="clear" w:color="auto" w:fill="auto"/>
            <w:noWrap/>
            <w:hideMark/>
          </w:tcPr>
          <w:p w14:paraId="12704B45" w14:textId="77777777" w:rsidR="00CF5810" w:rsidRPr="00DD06AB" w:rsidRDefault="00CF5810" w:rsidP="00954F8C">
            <w:pPr>
              <w:spacing w:before="60" w:after="60"/>
              <w:jc w:val="center"/>
              <w:rPr>
                <w:sz w:val="18"/>
                <w:szCs w:val="18"/>
              </w:rPr>
            </w:pPr>
            <w:r w:rsidRPr="00DD06AB">
              <w:rPr>
                <w:sz w:val="18"/>
                <w:szCs w:val="18"/>
              </w:rPr>
              <w:t>24</w:t>
            </w:r>
          </w:p>
        </w:tc>
        <w:tc>
          <w:tcPr>
            <w:tcW w:w="0" w:type="auto"/>
            <w:shd w:val="clear" w:color="auto" w:fill="auto"/>
            <w:noWrap/>
            <w:hideMark/>
          </w:tcPr>
          <w:p w14:paraId="7904632A" w14:textId="77777777" w:rsidR="00CF5810" w:rsidRPr="00DD06AB" w:rsidRDefault="00CF5810" w:rsidP="00954F8C">
            <w:pPr>
              <w:spacing w:before="60" w:after="60"/>
              <w:jc w:val="center"/>
              <w:rPr>
                <w:sz w:val="18"/>
                <w:szCs w:val="18"/>
              </w:rPr>
            </w:pPr>
            <w:r w:rsidRPr="00DD06AB">
              <w:rPr>
                <w:sz w:val="18"/>
                <w:szCs w:val="18"/>
              </w:rPr>
              <w:t>7.5</w:t>
            </w:r>
          </w:p>
        </w:tc>
        <w:tc>
          <w:tcPr>
            <w:tcW w:w="0" w:type="auto"/>
          </w:tcPr>
          <w:p w14:paraId="385D3EF0" w14:textId="47D11EE1" w:rsidR="00CF5810" w:rsidRPr="00DD06AB" w:rsidRDefault="00CF5810" w:rsidP="00954F8C">
            <w:pPr>
              <w:spacing w:before="60" w:after="60"/>
              <w:jc w:val="center"/>
              <w:rPr>
                <w:sz w:val="18"/>
                <w:szCs w:val="18"/>
              </w:rPr>
            </w:pPr>
            <w:r w:rsidRPr="00DD06AB">
              <w:rPr>
                <w:sz w:val="18"/>
                <w:szCs w:val="18"/>
              </w:rPr>
              <w:t>34</w:t>
            </w:r>
          </w:p>
        </w:tc>
        <w:tc>
          <w:tcPr>
            <w:tcW w:w="0" w:type="auto"/>
          </w:tcPr>
          <w:p w14:paraId="6C44609D" w14:textId="77777777" w:rsidR="00CF5810" w:rsidRPr="00DD06AB" w:rsidRDefault="00CF5810" w:rsidP="00954F8C">
            <w:pPr>
              <w:spacing w:before="60" w:after="60"/>
              <w:jc w:val="center"/>
              <w:rPr>
                <w:sz w:val="18"/>
                <w:szCs w:val="18"/>
              </w:rPr>
            </w:pPr>
            <w:r w:rsidRPr="00DD06AB">
              <w:rPr>
                <w:sz w:val="18"/>
                <w:szCs w:val="18"/>
              </w:rPr>
              <w:t>18</w:t>
            </w:r>
          </w:p>
        </w:tc>
        <w:tc>
          <w:tcPr>
            <w:tcW w:w="0" w:type="auto"/>
          </w:tcPr>
          <w:p w14:paraId="163B68AA" w14:textId="0C1863E2" w:rsidR="00CF5810" w:rsidRPr="00DD06AB" w:rsidRDefault="00CF5810" w:rsidP="00954F8C">
            <w:pPr>
              <w:spacing w:before="60" w:after="60"/>
              <w:jc w:val="center"/>
              <w:rPr>
                <w:sz w:val="18"/>
                <w:szCs w:val="18"/>
              </w:rPr>
            </w:pPr>
            <w:r w:rsidRPr="00DD06AB">
              <w:rPr>
                <w:sz w:val="18"/>
                <w:szCs w:val="18"/>
              </w:rPr>
              <w:t>1.9</w:t>
            </w:r>
          </w:p>
        </w:tc>
      </w:tr>
      <w:tr w:rsidR="00CF5810" w:rsidRPr="000C5A1A" w14:paraId="1F4A5348" w14:textId="77777777" w:rsidTr="00090C73">
        <w:trPr>
          <w:trHeight w:val="30"/>
        </w:trPr>
        <w:tc>
          <w:tcPr>
            <w:tcW w:w="0" w:type="auto"/>
            <w:shd w:val="clear" w:color="auto" w:fill="auto"/>
            <w:noWrap/>
            <w:vAlign w:val="center"/>
            <w:hideMark/>
          </w:tcPr>
          <w:p w14:paraId="0C734070" w14:textId="77777777" w:rsidR="00CF5810" w:rsidRPr="000C5A1A" w:rsidRDefault="00CF5810" w:rsidP="00954F8C">
            <w:pPr>
              <w:keepNext/>
              <w:spacing w:before="60" w:after="60"/>
              <w:rPr>
                <w:rFonts w:cs="Segoe UI"/>
                <w:color w:val="000000"/>
                <w:sz w:val="18"/>
                <w:szCs w:val="18"/>
                <w:lang w:eastAsia="en-NZ"/>
              </w:rPr>
            </w:pPr>
            <w:proofErr w:type="spellStart"/>
            <w:r w:rsidRPr="000C5A1A">
              <w:rPr>
                <w:rFonts w:cs="Segoe UI"/>
                <w:color w:val="000000"/>
                <w:sz w:val="18"/>
                <w:szCs w:val="18"/>
                <w:lang w:eastAsia="en-NZ"/>
              </w:rPr>
              <w:t>Waitematā</w:t>
            </w:r>
            <w:proofErr w:type="spellEnd"/>
          </w:p>
        </w:tc>
        <w:tc>
          <w:tcPr>
            <w:tcW w:w="0" w:type="auto"/>
            <w:shd w:val="clear" w:color="auto" w:fill="auto"/>
            <w:noWrap/>
            <w:hideMark/>
          </w:tcPr>
          <w:p w14:paraId="3C7BAF6D" w14:textId="77777777" w:rsidR="00CF5810" w:rsidRPr="00DD06AB" w:rsidRDefault="00CF5810" w:rsidP="00954F8C">
            <w:pPr>
              <w:spacing w:before="60" w:after="60"/>
              <w:jc w:val="center"/>
              <w:rPr>
                <w:sz w:val="18"/>
                <w:szCs w:val="18"/>
              </w:rPr>
            </w:pPr>
            <w:r w:rsidRPr="00DD06AB">
              <w:rPr>
                <w:sz w:val="18"/>
                <w:szCs w:val="18"/>
              </w:rPr>
              <w:t>65</w:t>
            </w:r>
          </w:p>
        </w:tc>
        <w:tc>
          <w:tcPr>
            <w:tcW w:w="0" w:type="auto"/>
            <w:shd w:val="clear" w:color="auto" w:fill="auto"/>
            <w:noWrap/>
            <w:hideMark/>
          </w:tcPr>
          <w:p w14:paraId="7005CD4A" w14:textId="77777777" w:rsidR="00CF5810" w:rsidRPr="00DD06AB" w:rsidRDefault="00CF5810" w:rsidP="00954F8C">
            <w:pPr>
              <w:spacing w:before="60" w:after="60"/>
              <w:jc w:val="center"/>
              <w:rPr>
                <w:sz w:val="18"/>
                <w:szCs w:val="18"/>
              </w:rPr>
            </w:pPr>
            <w:r w:rsidRPr="00DD06AB">
              <w:rPr>
                <w:sz w:val="18"/>
                <w:szCs w:val="18"/>
              </w:rPr>
              <w:t>21</w:t>
            </w:r>
          </w:p>
        </w:tc>
        <w:tc>
          <w:tcPr>
            <w:tcW w:w="0" w:type="auto"/>
            <w:shd w:val="clear" w:color="auto" w:fill="auto"/>
            <w:noWrap/>
            <w:hideMark/>
          </w:tcPr>
          <w:p w14:paraId="29A18599" w14:textId="77777777" w:rsidR="00CF5810" w:rsidRPr="00DD06AB" w:rsidRDefault="00CF5810" w:rsidP="00954F8C">
            <w:pPr>
              <w:spacing w:before="60" w:after="60"/>
              <w:jc w:val="center"/>
              <w:rPr>
                <w:sz w:val="18"/>
                <w:szCs w:val="18"/>
              </w:rPr>
            </w:pPr>
            <w:r w:rsidRPr="00DD06AB">
              <w:rPr>
                <w:sz w:val="18"/>
                <w:szCs w:val="18"/>
              </w:rPr>
              <w:t>3.1</w:t>
            </w:r>
          </w:p>
        </w:tc>
        <w:tc>
          <w:tcPr>
            <w:tcW w:w="0" w:type="auto"/>
          </w:tcPr>
          <w:p w14:paraId="348EFFD8" w14:textId="40D652B0" w:rsidR="00CF5810" w:rsidRPr="00DD06AB" w:rsidRDefault="00CF5810" w:rsidP="00954F8C">
            <w:pPr>
              <w:spacing w:before="60" w:after="60"/>
              <w:jc w:val="center"/>
              <w:rPr>
                <w:sz w:val="18"/>
                <w:szCs w:val="18"/>
              </w:rPr>
            </w:pPr>
            <w:r w:rsidRPr="00DD06AB">
              <w:rPr>
                <w:sz w:val="18"/>
                <w:szCs w:val="18"/>
              </w:rPr>
              <w:t>113</w:t>
            </w:r>
          </w:p>
        </w:tc>
        <w:tc>
          <w:tcPr>
            <w:tcW w:w="0" w:type="auto"/>
          </w:tcPr>
          <w:p w14:paraId="6CF9E353" w14:textId="77777777" w:rsidR="00CF5810" w:rsidRPr="00DD06AB" w:rsidRDefault="00CF5810" w:rsidP="00954F8C">
            <w:pPr>
              <w:spacing w:before="60" w:after="60"/>
              <w:jc w:val="center"/>
              <w:rPr>
                <w:sz w:val="18"/>
                <w:szCs w:val="18"/>
              </w:rPr>
            </w:pPr>
            <w:r w:rsidRPr="00DD06AB">
              <w:rPr>
                <w:sz w:val="18"/>
                <w:szCs w:val="18"/>
              </w:rPr>
              <w:t>35</w:t>
            </w:r>
          </w:p>
        </w:tc>
        <w:tc>
          <w:tcPr>
            <w:tcW w:w="0" w:type="auto"/>
          </w:tcPr>
          <w:p w14:paraId="4992C988" w14:textId="1D9C44DA" w:rsidR="00CF5810" w:rsidRPr="00DD06AB" w:rsidRDefault="00CF5810" w:rsidP="00954F8C">
            <w:pPr>
              <w:spacing w:before="60" w:after="60"/>
              <w:jc w:val="center"/>
              <w:rPr>
                <w:sz w:val="18"/>
                <w:szCs w:val="18"/>
              </w:rPr>
            </w:pPr>
            <w:r w:rsidRPr="00DD06AB">
              <w:rPr>
                <w:sz w:val="18"/>
                <w:szCs w:val="18"/>
              </w:rPr>
              <w:t>3.2</w:t>
            </w:r>
          </w:p>
        </w:tc>
      </w:tr>
      <w:tr w:rsidR="00CF5810" w:rsidRPr="000C5A1A" w14:paraId="5B260C26" w14:textId="77777777" w:rsidTr="00090C73">
        <w:trPr>
          <w:trHeight w:val="30"/>
        </w:trPr>
        <w:tc>
          <w:tcPr>
            <w:tcW w:w="0" w:type="auto"/>
            <w:shd w:val="clear" w:color="auto" w:fill="auto"/>
            <w:noWrap/>
            <w:vAlign w:val="center"/>
            <w:hideMark/>
          </w:tcPr>
          <w:p w14:paraId="0169A1B7" w14:textId="77777777"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West Coast</w:t>
            </w:r>
          </w:p>
        </w:tc>
        <w:tc>
          <w:tcPr>
            <w:tcW w:w="0" w:type="auto"/>
            <w:shd w:val="clear" w:color="auto" w:fill="auto"/>
            <w:noWrap/>
            <w:hideMark/>
          </w:tcPr>
          <w:p w14:paraId="4C6D9191" w14:textId="77777777" w:rsidR="00CF5810" w:rsidRPr="00DD06AB" w:rsidRDefault="00CF5810" w:rsidP="00954F8C">
            <w:pPr>
              <w:spacing w:before="60" w:after="60"/>
              <w:jc w:val="center"/>
              <w:rPr>
                <w:sz w:val="18"/>
                <w:szCs w:val="18"/>
              </w:rPr>
            </w:pPr>
            <w:r w:rsidRPr="00DD06AB">
              <w:rPr>
                <w:sz w:val="18"/>
                <w:szCs w:val="18"/>
              </w:rPr>
              <w:t>129</w:t>
            </w:r>
          </w:p>
        </w:tc>
        <w:tc>
          <w:tcPr>
            <w:tcW w:w="0" w:type="auto"/>
            <w:shd w:val="clear" w:color="auto" w:fill="auto"/>
            <w:noWrap/>
            <w:hideMark/>
          </w:tcPr>
          <w:p w14:paraId="22764856" w14:textId="77777777" w:rsidR="00CF5810" w:rsidRPr="00DD06AB" w:rsidRDefault="00CF5810" w:rsidP="00954F8C">
            <w:pPr>
              <w:spacing w:before="60" w:after="60"/>
              <w:jc w:val="center"/>
              <w:rPr>
                <w:sz w:val="18"/>
                <w:szCs w:val="18"/>
              </w:rPr>
            </w:pPr>
            <w:r w:rsidRPr="00DD06AB">
              <w:rPr>
                <w:sz w:val="18"/>
                <w:szCs w:val="18"/>
              </w:rPr>
              <w:t>52</w:t>
            </w:r>
          </w:p>
        </w:tc>
        <w:tc>
          <w:tcPr>
            <w:tcW w:w="0" w:type="auto"/>
            <w:shd w:val="clear" w:color="auto" w:fill="auto"/>
            <w:noWrap/>
            <w:hideMark/>
          </w:tcPr>
          <w:p w14:paraId="2EC1D652" w14:textId="77777777" w:rsidR="00CF5810" w:rsidRPr="00DD06AB" w:rsidRDefault="00CF5810" w:rsidP="00954F8C">
            <w:pPr>
              <w:spacing w:before="60" w:after="60"/>
              <w:jc w:val="center"/>
              <w:rPr>
                <w:sz w:val="18"/>
                <w:szCs w:val="18"/>
              </w:rPr>
            </w:pPr>
            <w:r w:rsidRPr="00DD06AB">
              <w:rPr>
                <w:sz w:val="18"/>
                <w:szCs w:val="18"/>
              </w:rPr>
              <w:t>2.4</w:t>
            </w:r>
          </w:p>
        </w:tc>
        <w:tc>
          <w:tcPr>
            <w:tcW w:w="0" w:type="auto"/>
          </w:tcPr>
          <w:p w14:paraId="5D47E1C7" w14:textId="140D3909" w:rsidR="00CF5810" w:rsidRPr="00DD06AB" w:rsidRDefault="00CF5810" w:rsidP="00954F8C">
            <w:pPr>
              <w:spacing w:before="60" w:after="60"/>
              <w:jc w:val="center"/>
              <w:rPr>
                <w:sz w:val="18"/>
                <w:szCs w:val="18"/>
              </w:rPr>
            </w:pPr>
            <w:r w:rsidRPr="00DD06AB">
              <w:rPr>
                <w:sz w:val="18"/>
                <w:szCs w:val="18"/>
              </w:rPr>
              <w:t>103</w:t>
            </w:r>
          </w:p>
        </w:tc>
        <w:tc>
          <w:tcPr>
            <w:tcW w:w="0" w:type="auto"/>
          </w:tcPr>
          <w:p w14:paraId="29AD6EE7" w14:textId="77777777" w:rsidR="00CF5810" w:rsidRPr="00DD06AB" w:rsidRDefault="00CF5810" w:rsidP="00954F8C">
            <w:pPr>
              <w:spacing w:before="60" w:after="60"/>
              <w:jc w:val="center"/>
              <w:rPr>
                <w:sz w:val="18"/>
                <w:szCs w:val="18"/>
              </w:rPr>
            </w:pPr>
            <w:r w:rsidRPr="00DD06AB">
              <w:rPr>
                <w:sz w:val="18"/>
                <w:szCs w:val="18"/>
              </w:rPr>
              <w:t>56</w:t>
            </w:r>
          </w:p>
        </w:tc>
        <w:tc>
          <w:tcPr>
            <w:tcW w:w="0" w:type="auto"/>
          </w:tcPr>
          <w:p w14:paraId="7D846510" w14:textId="0C859971" w:rsidR="00CF5810" w:rsidRPr="00DD06AB" w:rsidRDefault="00CF5810" w:rsidP="00954F8C">
            <w:pPr>
              <w:spacing w:before="60" w:after="60"/>
              <w:jc w:val="center"/>
              <w:rPr>
                <w:sz w:val="18"/>
                <w:szCs w:val="18"/>
              </w:rPr>
            </w:pPr>
            <w:r w:rsidRPr="00DD06AB">
              <w:rPr>
                <w:sz w:val="18"/>
                <w:szCs w:val="18"/>
              </w:rPr>
              <w:t>1.9</w:t>
            </w:r>
          </w:p>
        </w:tc>
      </w:tr>
      <w:tr w:rsidR="00CF5810" w:rsidRPr="000C5A1A" w14:paraId="2A558ED8" w14:textId="77777777" w:rsidTr="00090C73">
        <w:trPr>
          <w:trHeight w:val="30"/>
        </w:trPr>
        <w:tc>
          <w:tcPr>
            <w:tcW w:w="0" w:type="auto"/>
            <w:shd w:val="clear" w:color="auto" w:fill="auto"/>
            <w:noWrap/>
            <w:vAlign w:val="center"/>
            <w:hideMark/>
          </w:tcPr>
          <w:p w14:paraId="5DACF907" w14:textId="77777777" w:rsidR="00CF5810" w:rsidRPr="000C5A1A" w:rsidRDefault="00CF5810" w:rsidP="00954F8C">
            <w:pPr>
              <w:keepNext/>
              <w:spacing w:before="60" w:after="60"/>
              <w:rPr>
                <w:rFonts w:cs="Segoe UI"/>
                <w:color w:val="000000"/>
                <w:sz w:val="18"/>
                <w:szCs w:val="18"/>
                <w:lang w:eastAsia="en-NZ"/>
              </w:rPr>
            </w:pPr>
            <w:r w:rsidRPr="000C5A1A">
              <w:rPr>
                <w:rFonts w:cs="Segoe UI"/>
                <w:color w:val="000000"/>
                <w:sz w:val="18"/>
                <w:szCs w:val="18"/>
                <w:lang w:eastAsia="en-NZ"/>
              </w:rPr>
              <w:t>Whanganui</w:t>
            </w:r>
          </w:p>
        </w:tc>
        <w:tc>
          <w:tcPr>
            <w:tcW w:w="0" w:type="auto"/>
            <w:shd w:val="clear" w:color="auto" w:fill="auto"/>
            <w:noWrap/>
            <w:hideMark/>
          </w:tcPr>
          <w:p w14:paraId="4FDA589C" w14:textId="77777777" w:rsidR="00CF5810" w:rsidRPr="00DD06AB" w:rsidRDefault="00CF5810" w:rsidP="00954F8C">
            <w:pPr>
              <w:spacing w:before="60" w:after="60"/>
              <w:jc w:val="center"/>
              <w:rPr>
                <w:sz w:val="18"/>
                <w:szCs w:val="18"/>
              </w:rPr>
            </w:pPr>
            <w:r w:rsidRPr="00DD06AB">
              <w:rPr>
                <w:sz w:val="18"/>
                <w:szCs w:val="18"/>
              </w:rPr>
              <w:t>98</w:t>
            </w:r>
          </w:p>
        </w:tc>
        <w:tc>
          <w:tcPr>
            <w:tcW w:w="0" w:type="auto"/>
            <w:shd w:val="clear" w:color="auto" w:fill="auto"/>
            <w:noWrap/>
            <w:hideMark/>
          </w:tcPr>
          <w:p w14:paraId="06863510" w14:textId="77777777" w:rsidR="00CF5810" w:rsidRPr="00DD06AB" w:rsidRDefault="00CF5810" w:rsidP="00954F8C">
            <w:pPr>
              <w:spacing w:before="60" w:after="60"/>
              <w:jc w:val="center"/>
              <w:rPr>
                <w:sz w:val="18"/>
                <w:szCs w:val="18"/>
              </w:rPr>
            </w:pPr>
            <w:r w:rsidRPr="00DD06AB">
              <w:rPr>
                <w:sz w:val="18"/>
                <w:szCs w:val="18"/>
              </w:rPr>
              <w:t>67</w:t>
            </w:r>
          </w:p>
        </w:tc>
        <w:tc>
          <w:tcPr>
            <w:tcW w:w="0" w:type="auto"/>
            <w:shd w:val="clear" w:color="auto" w:fill="auto"/>
            <w:noWrap/>
            <w:hideMark/>
          </w:tcPr>
          <w:p w14:paraId="65AE58DD" w14:textId="77777777" w:rsidR="00CF5810" w:rsidRPr="00DD06AB" w:rsidRDefault="00CF5810" w:rsidP="00954F8C">
            <w:pPr>
              <w:spacing w:before="60" w:after="60"/>
              <w:jc w:val="center"/>
              <w:rPr>
                <w:sz w:val="18"/>
                <w:szCs w:val="18"/>
              </w:rPr>
            </w:pPr>
            <w:r w:rsidRPr="00DD06AB">
              <w:rPr>
                <w:sz w:val="18"/>
                <w:szCs w:val="18"/>
              </w:rPr>
              <w:t>1.5</w:t>
            </w:r>
          </w:p>
        </w:tc>
        <w:tc>
          <w:tcPr>
            <w:tcW w:w="0" w:type="auto"/>
          </w:tcPr>
          <w:p w14:paraId="6C93FD02" w14:textId="7B54AA7C" w:rsidR="00CF5810" w:rsidRPr="00DD06AB" w:rsidRDefault="00CF5810" w:rsidP="00954F8C">
            <w:pPr>
              <w:spacing w:before="60" w:after="60"/>
              <w:jc w:val="center"/>
              <w:rPr>
                <w:sz w:val="18"/>
                <w:szCs w:val="18"/>
              </w:rPr>
            </w:pPr>
            <w:r w:rsidRPr="00DD06AB">
              <w:rPr>
                <w:sz w:val="18"/>
                <w:szCs w:val="18"/>
              </w:rPr>
              <w:t>135</w:t>
            </w:r>
          </w:p>
        </w:tc>
        <w:tc>
          <w:tcPr>
            <w:tcW w:w="0" w:type="auto"/>
          </w:tcPr>
          <w:p w14:paraId="045E370F" w14:textId="77777777" w:rsidR="00CF5810" w:rsidRPr="00DD06AB" w:rsidRDefault="00CF5810" w:rsidP="00954F8C">
            <w:pPr>
              <w:spacing w:before="60" w:after="60"/>
              <w:jc w:val="center"/>
              <w:rPr>
                <w:sz w:val="18"/>
                <w:szCs w:val="18"/>
              </w:rPr>
            </w:pPr>
            <w:r w:rsidRPr="00DD06AB">
              <w:rPr>
                <w:sz w:val="18"/>
                <w:szCs w:val="18"/>
              </w:rPr>
              <w:t>65</w:t>
            </w:r>
          </w:p>
        </w:tc>
        <w:tc>
          <w:tcPr>
            <w:tcW w:w="0" w:type="auto"/>
          </w:tcPr>
          <w:p w14:paraId="2D72DB58" w14:textId="50FF9723" w:rsidR="00CF5810" w:rsidRPr="00DD06AB" w:rsidRDefault="00CF5810" w:rsidP="00954F8C">
            <w:pPr>
              <w:spacing w:before="60" w:after="60"/>
              <w:jc w:val="center"/>
              <w:rPr>
                <w:sz w:val="18"/>
                <w:szCs w:val="18"/>
              </w:rPr>
            </w:pPr>
            <w:r w:rsidRPr="00DD06AB">
              <w:rPr>
                <w:sz w:val="18"/>
                <w:szCs w:val="18"/>
              </w:rPr>
              <w:t>2.1</w:t>
            </w:r>
          </w:p>
        </w:tc>
      </w:tr>
      <w:tr w:rsidR="00CF5810" w:rsidRPr="000C5A1A" w14:paraId="561AC3E7" w14:textId="77777777" w:rsidTr="00090C73">
        <w:trPr>
          <w:trHeight w:val="30"/>
        </w:trPr>
        <w:tc>
          <w:tcPr>
            <w:tcW w:w="0" w:type="auto"/>
            <w:shd w:val="clear" w:color="auto" w:fill="auto"/>
            <w:noWrap/>
            <w:vAlign w:val="center"/>
            <w:hideMark/>
          </w:tcPr>
          <w:p w14:paraId="2F55C013" w14:textId="77777777" w:rsidR="00CF5810" w:rsidRPr="000C5A1A" w:rsidRDefault="00CF5810" w:rsidP="00954F8C">
            <w:pPr>
              <w:keepNext/>
              <w:spacing w:before="60" w:after="60"/>
              <w:rPr>
                <w:rFonts w:cs="Segoe UI"/>
                <w:b/>
                <w:color w:val="000000"/>
                <w:sz w:val="18"/>
                <w:szCs w:val="18"/>
                <w:lang w:eastAsia="en-NZ"/>
              </w:rPr>
            </w:pPr>
            <w:r w:rsidRPr="000C5A1A">
              <w:rPr>
                <w:rFonts w:cs="Segoe UI"/>
                <w:b/>
                <w:color w:val="000000"/>
                <w:sz w:val="18"/>
                <w:szCs w:val="18"/>
                <w:lang w:eastAsia="en-NZ"/>
              </w:rPr>
              <w:t>NZ</w:t>
            </w:r>
          </w:p>
        </w:tc>
        <w:tc>
          <w:tcPr>
            <w:tcW w:w="0" w:type="auto"/>
            <w:shd w:val="clear" w:color="auto" w:fill="auto"/>
            <w:noWrap/>
            <w:hideMark/>
          </w:tcPr>
          <w:p w14:paraId="07B656F2" w14:textId="77777777" w:rsidR="00CF5810" w:rsidRPr="00DD06AB" w:rsidRDefault="00CF5810" w:rsidP="00954F8C">
            <w:pPr>
              <w:spacing w:before="60" w:after="60"/>
              <w:jc w:val="center"/>
              <w:rPr>
                <w:sz w:val="18"/>
                <w:szCs w:val="18"/>
              </w:rPr>
            </w:pPr>
            <w:r w:rsidRPr="00DD06AB">
              <w:rPr>
                <w:sz w:val="18"/>
                <w:szCs w:val="18"/>
              </w:rPr>
              <w:t>119</w:t>
            </w:r>
          </w:p>
        </w:tc>
        <w:tc>
          <w:tcPr>
            <w:tcW w:w="0" w:type="auto"/>
            <w:shd w:val="clear" w:color="auto" w:fill="auto"/>
            <w:noWrap/>
            <w:hideMark/>
          </w:tcPr>
          <w:p w14:paraId="793244AC" w14:textId="77777777" w:rsidR="00CF5810" w:rsidRPr="00DD06AB" w:rsidRDefault="00CF5810" w:rsidP="00954F8C">
            <w:pPr>
              <w:spacing w:before="60" w:after="60"/>
              <w:jc w:val="center"/>
              <w:rPr>
                <w:sz w:val="18"/>
                <w:szCs w:val="18"/>
              </w:rPr>
            </w:pPr>
            <w:r w:rsidRPr="00DD06AB">
              <w:rPr>
                <w:sz w:val="18"/>
                <w:szCs w:val="18"/>
              </w:rPr>
              <w:t>34</w:t>
            </w:r>
          </w:p>
        </w:tc>
        <w:tc>
          <w:tcPr>
            <w:tcW w:w="0" w:type="auto"/>
            <w:shd w:val="clear" w:color="auto" w:fill="auto"/>
            <w:noWrap/>
            <w:hideMark/>
          </w:tcPr>
          <w:p w14:paraId="1881749F" w14:textId="77777777" w:rsidR="00CF5810" w:rsidRPr="00DD06AB" w:rsidRDefault="00CF5810" w:rsidP="00954F8C">
            <w:pPr>
              <w:spacing w:before="60" w:after="60"/>
              <w:jc w:val="center"/>
              <w:rPr>
                <w:sz w:val="18"/>
                <w:szCs w:val="18"/>
              </w:rPr>
            </w:pPr>
            <w:r w:rsidRPr="00DD06AB">
              <w:rPr>
                <w:sz w:val="18"/>
                <w:szCs w:val="18"/>
              </w:rPr>
              <w:t>3.5</w:t>
            </w:r>
          </w:p>
        </w:tc>
        <w:tc>
          <w:tcPr>
            <w:tcW w:w="0" w:type="auto"/>
          </w:tcPr>
          <w:p w14:paraId="3963AE3C" w14:textId="14D4DB9B" w:rsidR="00CF5810" w:rsidRPr="00DD06AB" w:rsidRDefault="00CF5810" w:rsidP="00954F8C">
            <w:pPr>
              <w:spacing w:before="60" w:after="60"/>
              <w:jc w:val="center"/>
              <w:rPr>
                <w:sz w:val="18"/>
                <w:szCs w:val="18"/>
              </w:rPr>
            </w:pPr>
            <w:r w:rsidRPr="00DD06AB">
              <w:rPr>
                <w:sz w:val="18"/>
                <w:szCs w:val="18"/>
              </w:rPr>
              <w:t>120</w:t>
            </w:r>
          </w:p>
        </w:tc>
        <w:tc>
          <w:tcPr>
            <w:tcW w:w="0" w:type="auto"/>
          </w:tcPr>
          <w:p w14:paraId="40200FA9" w14:textId="77777777" w:rsidR="00CF5810" w:rsidRPr="00DD06AB" w:rsidRDefault="00CF5810" w:rsidP="00954F8C">
            <w:pPr>
              <w:spacing w:before="60" w:after="60"/>
              <w:jc w:val="center"/>
              <w:rPr>
                <w:sz w:val="18"/>
                <w:szCs w:val="18"/>
              </w:rPr>
            </w:pPr>
            <w:r w:rsidRPr="00DD06AB">
              <w:rPr>
                <w:sz w:val="18"/>
                <w:szCs w:val="18"/>
              </w:rPr>
              <w:t>41</w:t>
            </w:r>
          </w:p>
        </w:tc>
        <w:tc>
          <w:tcPr>
            <w:tcW w:w="0" w:type="auto"/>
          </w:tcPr>
          <w:p w14:paraId="29059466" w14:textId="32ECF46A" w:rsidR="00CF5810" w:rsidRPr="00DD06AB" w:rsidRDefault="00CF5810" w:rsidP="00954F8C">
            <w:pPr>
              <w:spacing w:before="60" w:after="60"/>
              <w:jc w:val="center"/>
              <w:rPr>
                <w:sz w:val="18"/>
                <w:szCs w:val="18"/>
              </w:rPr>
            </w:pPr>
            <w:r w:rsidRPr="00DD06AB">
              <w:rPr>
                <w:sz w:val="18"/>
                <w:szCs w:val="18"/>
              </w:rPr>
              <w:t>2.9</w:t>
            </w:r>
          </w:p>
        </w:tc>
      </w:tr>
    </w:tbl>
    <w:p w14:paraId="5BDA4D42" w14:textId="3DAA19A3" w:rsidR="00CF5810" w:rsidRPr="00200234" w:rsidRDefault="00CF5810" w:rsidP="00CF5810">
      <w:pPr>
        <w:pStyle w:val="Note"/>
      </w:pPr>
      <w:r w:rsidRPr="00200234">
        <w:t>Source</w:t>
      </w:r>
      <w:r w:rsidR="00E212A1" w:rsidRPr="00200234">
        <w:t>s</w:t>
      </w:r>
      <w:r w:rsidRPr="00200234">
        <w:t xml:space="preserve">: </w:t>
      </w:r>
      <w:r w:rsidR="00312FC3" w:rsidRPr="00200234">
        <w:t>For 2018</w:t>
      </w:r>
      <w:r w:rsidR="00C84ABD" w:rsidRPr="00200234">
        <w:t>:</w:t>
      </w:r>
      <w:r w:rsidR="00312FC3" w:rsidRPr="00200234">
        <w:t xml:space="preserve"> </w:t>
      </w:r>
      <w:r w:rsidRPr="00200234">
        <w:t>PRIMHD data</w:t>
      </w:r>
      <w:r w:rsidR="00346BD1" w:rsidRPr="00200234">
        <w:t>,</w:t>
      </w:r>
      <w:r w:rsidRPr="00200234">
        <w:t xml:space="preserve"> extracted 29 July 2019, and manual data from Auckland, Lakes, Nelson Marlborough and </w:t>
      </w:r>
      <w:proofErr w:type="spellStart"/>
      <w:r w:rsidRPr="00200234">
        <w:t>Waitematā</w:t>
      </w:r>
      <w:proofErr w:type="spellEnd"/>
      <w:r w:rsidRPr="00200234">
        <w:t xml:space="preserve"> DHBs. </w:t>
      </w:r>
      <w:r w:rsidR="00312FC3" w:rsidRPr="00200234">
        <w:t>For 2019</w:t>
      </w:r>
      <w:r w:rsidR="00C84ABD" w:rsidRPr="00200234">
        <w:t>:</w:t>
      </w:r>
      <w:r w:rsidR="00312FC3" w:rsidRPr="00200234">
        <w:t xml:space="preserve"> </w:t>
      </w:r>
      <w:r w:rsidRPr="00200234">
        <w:t>PRIMHD data</w:t>
      </w:r>
      <w:r w:rsidR="00346BD1" w:rsidRPr="00200234">
        <w:t>,</w:t>
      </w:r>
      <w:r w:rsidRPr="00200234">
        <w:t xml:space="preserve"> extracted 19 October 2020.</w:t>
      </w:r>
    </w:p>
    <w:p w14:paraId="60D2BCBC" w14:textId="77777777" w:rsidR="00CF5810" w:rsidRPr="00200234" w:rsidRDefault="00CF5810" w:rsidP="00501C8E"/>
    <w:p w14:paraId="0F9F5762" w14:textId="4777AD19" w:rsidR="00CF5810" w:rsidRPr="00200234" w:rsidRDefault="00CF5810" w:rsidP="00501C8E">
      <w:r w:rsidRPr="00200234">
        <w:t xml:space="preserve">In 2018, 70 percent of people subject to indefinite community treatment orders were male (see </w:t>
      </w:r>
      <w:r w:rsidR="00D53A62" w:rsidRPr="00200234">
        <w:fldChar w:fldCharType="begin"/>
      </w:r>
      <w:r w:rsidR="00D53A62" w:rsidRPr="00200234">
        <w:instrText xml:space="preserve"> REF _Ref65671919 \h </w:instrText>
      </w:r>
      <w:r w:rsidR="00D53A62" w:rsidRPr="00200234">
        <w:fldChar w:fldCharType="separate"/>
      </w:r>
      <w:r w:rsidR="00422361" w:rsidRPr="00200234">
        <w:t xml:space="preserve">Figure </w:t>
      </w:r>
      <w:r w:rsidR="00422361">
        <w:rPr>
          <w:noProof/>
        </w:rPr>
        <w:t>9</w:t>
      </w:r>
      <w:r w:rsidR="00D53A62" w:rsidRPr="00200234">
        <w:fldChar w:fldCharType="end"/>
      </w:r>
      <w:r w:rsidRPr="00200234">
        <w:t xml:space="preserve">). In 2019, 69 percent of people subject to indefinite community treatment orders were male (see </w:t>
      </w:r>
      <w:r w:rsidR="00D53A62" w:rsidRPr="00200234">
        <w:fldChar w:fldCharType="begin"/>
      </w:r>
      <w:r w:rsidR="00D53A62" w:rsidRPr="00200234">
        <w:instrText xml:space="preserve"> REF _Ref65671932 \h </w:instrText>
      </w:r>
      <w:r w:rsidR="00D53A62" w:rsidRPr="00200234">
        <w:fldChar w:fldCharType="separate"/>
      </w:r>
      <w:r w:rsidR="00422361" w:rsidRPr="00200234">
        <w:t xml:space="preserve">Figure </w:t>
      </w:r>
      <w:r w:rsidR="00422361">
        <w:rPr>
          <w:noProof/>
        </w:rPr>
        <w:t>10</w:t>
      </w:r>
      <w:r w:rsidR="00D53A62" w:rsidRPr="00200234">
        <w:fldChar w:fldCharType="end"/>
      </w:r>
      <w:r w:rsidRPr="00200234">
        <w:t xml:space="preserve">). These trends are consistent with the higher rate of males subject to compulsory treatment order applications. </w:t>
      </w:r>
    </w:p>
    <w:p w14:paraId="6EE81155" w14:textId="77777777" w:rsidR="00CF5810" w:rsidRPr="00200234" w:rsidRDefault="00CF5810" w:rsidP="00501C8E">
      <w:bookmarkStart w:id="66" w:name="_Toc34653560"/>
    </w:p>
    <w:p w14:paraId="57EDD5B3" w14:textId="110BBD8D" w:rsidR="00CF5810" w:rsidRPr="00200234" w:rsidRDefault="00CF5810" w:rsidP="00CF5810">
      <w:pPr>
        <w:pStyle w:val="Figure"/>
      </w:pPr>
      <w:bookmarkStart w:id="67" w:name="_Ref65671919"/>
      <w:bookmarkStart w:id="68" w:name="_Toc65574438"/>
      <w:bookmarkStart w:id="69" w:name="_Toc63764748"/>
      <w:bookmarkStart w:id="70" w:name="_Toc66716191"/>
      <w:bookmarkEnd w:id="66"/>
      <w:r w:rsidRPr="00200234">
        <w:lastRenderedPageBreak/>
        <w:t xml:space="preserve">Figure </w:t>
      </w:r>
      <w:fldSimple w:instr=" SEQ Figure \* ARABIC ">
        <w:r w:rsidR="00422361">
          <w:rPr>
            <w:noProof/>
          </w:rPr>
          <w:t>9</w:t>
        </w:r>
      </w:fldSimple>
      <w:bookmarkEnd w:id="67"/>
      <w:r w:rsidRPr="00200234">
        <w:t>: Percentage of people subject to indefinite community treatment orders, by sex, 1 January to 31 December 2018</w:t>
      </w:r>
      <w:bookmarkEnd w:id="68"/>
      <w:bookmarkEnd w:id="69"/>
      <w:bookmarkEnd w:id="70"/>
    </w:p>
    <w:p w14:paraId="5A2C1C8D" w14:textId="719540F5" w:rsidR="00CF5810" w:rsidRPr="00200234" w:rsidRDefault="00501C8E" w:rsidP="00501C8E">
      <w:pPr>
        <w:pStyle w:val="Note"/>
        <w:keepNext/>
        <w:rPr>
          <w:rFonts w:cs="Segoe UI"/>
        </w:rPr>
      </w:pPr>
      <w:r w:rsidRPr="00200234">
        <w:rPr>
          <w:noProof/>
        </w:rPr>
        <w:drawing>
          <wp:inline distT="0" distB="0" distL="0" distR="0" wp14:anchorId="05E9DF02" wp14:editId="6FBEE9CE">
            <wp:extent cx="3667760" cy="2243455"/>
            <wp:effectExtent l="0" t="0" r="8890" b="4445"/>
            <wp:docPr id="37" name="Chart 37" descr="This pie charge shows that 30% of people subject to an indefinite community treatment order are female and 70% are male.">
              <a:extLst xmlns:a="http://schemas.openxmlformats.org/drawingml/2006/main">
                <a:ext uri="{FF2B5EF4-FFF2-40B4-BE49-F238E27FC236}">
                  <a16:creationId xmlns:a16="http://schemas.microsoft.com/office/drawing/2014/main" id="{ADC91B0E-44A0-4DA6-8F0A-7764B7D773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A47E1B5" w14:textId="25E73037" w:rsidR="00CF5810" w:rsidRPr="00200234" w:rsidRDefault="00CF5810" w:rsidP="00CF5810">
      <w:pPr>
        <w:pStyle w:val="Note"/>
      </w:pPr>
      <w:r w:rsidRPr="00200234">
        <w:t>Source</w:t>
      </w:r>
      <w:r w:rsidR="00BF5381" w:rsidRPr="00200234">
        <w:t>s</w:t>
      </w:r>
      <w:r w:rsidRPr="00200234">
        <w:t>: PRIMHD data</w:t>
      </w:r>
      <w:r w:rsidR="0015429E">
        <w:t xml:space="preserve"> (extracted</w:t>
      </w:r>
      <w:r w:rsidRPr="00200234">
        <w:t xml:space="preserve"> 29 July 2019</w:t>
      </w:r>
      <w:r w:rsidR="000E756E">
        <w:t>)</w:t>
      </w:r>
      <w:r w:rsidRPr="00200234">
        <w:t xml:space="preserve"> and manual data from Auckland, Lakes, Nelson Marlborough and </w:t>
      </w:r>
      <w:proofErr w:type="spellStart"/>
      <w:r w:rsidRPr="00200234">
        <w:t>Waitematā</w:t>
      </w:r>
      <w:proofErr w:type="spellEnd"/>
      <w:r w:rsidRPr="00200234">
        <w:t xml:space="preserve"> DHBs. </w:t>
      </w:r>
    </w:p>
    <w:p w14:paraId="22AAACB4" w14:textId="77777777" w:rsidR="00CF5810" w:rsidRPr="00200234" w:rsidRDefault="00CF5810" w:rsidP="00501C8E"/>
    <w:p w14:paraId="08B047F7" w14:textId="444EED4F" w:rsidR="00CF5810" w:rsidRPr="00200234" w:rsidRDefault="00CF5810" w:rsidP="00CF5810">
      <w:pPr>
        <w:pStyle w:val="Figure"/>
      </w:pPr>
      <w:bookmarkStart w:id="71" w:name="_Ref65671932"/>
      <w:bookmarkStart w:id="72" w:name="_Toc65574439"/>
      <w:bookmarkStart w:id="73" w:name="_Toc63764749"/>
      <w:bookmarkStart w:id="74" w:name="_Toc66716192"/>
      <w:r w:rsidRPr="00200234">
        <w:t xml:space="preserve">Figure </w:t>
      </w:r>
      <w:fldSimple w:instr=" SEQ Figure \* ARABIC ">
        <w:r w:rsidR="00422361">
          <w:rPr>
            <w:noProof/>
          </w:rPr>
          <w:t>10</w:t>
        </w:r>
      </w:fldSimple>
      <w:bookmarkEnd w:id="71"/>
      <w:r w:rsidRPr="00200234">
        <w:t>: Percentage of people subject to indefinite community treatment orders, by sex, 1 January to 31 December 2019</w:t>
      </w:r>
      <w:bookmarkEnd w:id="72"/>
      <w:bookmarkEnd w:id="73"/>
      <w:bookmarkEnd w:id="74"/>
    </w:p>
    <w:p w14:paraId="6DC588A6" w14:textId="77777777" w:rsidR="00CF5810" w:rsidRPr="00200234" w:rsidRDefault="00CF5810" w:rsidP="00501C8E">
      <w:pPr>
        <w:keepNext/>
        <w:rPr>
          <w:rFonts w:cs="Segoe UI"/>
        </w:rPr>
      </w:pPr>
      <w:r w:rsidRPr="00200234">
        <w:rPr>
          <w:noProof/>
        </w:rPr>
        <w:drawing>
          <wp:inline distT="0" distB="0" distL="0" distR="0" wp14:anchorId="2D379BC0" wp14:editId="3E404517">
            <wp:extent cx="3604437" cy="2264735"/>
            <wp:effectExtent l="0" t="0" r="0" b="2540"/>
            <wp:docPr id="16" name="Chart 16" descr="This pie charge shows that 31% of people subject to an indefinite community treatment order are female and 69% are male.">
              <a:extLst xmlns:a="http://schemas.openxmlformats.org/drawingml/2006/main">
                <a:ext uri="{FF2B5EF4-FFF2-40B4-BE49-F238E27FC236}">
                  <a16:creationId xmlns:a16="http://schemas.microsoft.com/office/drawing/2014/main" id="{ADC91B0E-44A0-4DA6-8F0A-7764B7D773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E1831CE" w14:textId="313161E8" w:rsidR="00CF5810" w:rsidRPr="00200234" w:rsidRDefault="00CF5810" w:rsidP="00CF5810">
      <w:pPr>
        <w:pStyle w:val="Note"/>
      </w:pPr>
      <w:r w:rsidRPr="00200234">
        <w:t>Source: PRIMHD data</w:t>
      </w:r>
      <w:r w:rsidR="0015429E">
        <w:t xml:space="preserve"> (extracted</w:t>
      </w:r>
      <w:r w:rsidRPr="00200234">
        <w:t xml:space="preserve"> 19 October 2020</w:t>
      </w:r>
      <w:r w:rsidR="000E756E">
        <w:t>)</w:t>
      </w:r>
      <w:r w:rsidRPr="00200234">
        <w:t>.</w:t>
      </w:r>
    </w:p>
    <w:p w14:paraId="491F48B3" w14:textId="77777777" w:rsidR="00CF5810" w:rsidRPr="00200234" w:rsidRDefault="00CF5810" w:rsidP="00B27DB1">
      <w:pPr>
        <w:pStyle w:val="Heading2"/>
      </w:pPr>
      <w:bookmarkStart w:id="75" w:name="_Toc65236599"/>
      <w:bookmarkStart w:id="76" w:name="_Toc69307698"/>
      <w:r w:rsidRPr="00200234">
        <w:t>Indefinite inpatient treatment orders</w:t>
      </w:r>
      <w:bookmarkEnd w:id="75"/>
      <w:bookmarkEnd w:id="76"/>
    </w:p>
    <w:p w14:paraId="5034E606" w14:textId="40F0E86A" w:rsidR="00CF5810" w:rsidRPr="00200234" w:rsidRDefault="00CF5810" w:rsidP="00501C8E">
      <w:r w:rsidRPr="00200234">
        <w:t xml:space="preserve">In 2018, 3.5 people per 100,000 across New Zealand were subject to indefinite inpatient treatment orders. </w:t>
      </w:r>
      <w:r w:rsidR="00D53A62" w:rsidRPr="00200234">
        <w:fldChar w:fldCharType="begin"/>
      </w:r>
      <w:r w:rsidR="00D53A62" w:rsidRPr="00200234">
        <w:instrText xml:space="preserve"> REF _Ref65671941 \h </w:instrText>
      </w:r>
      <w:r w:rsidR="00D53A62" w:rsidRPr="00200234">
        <w:fldChar w:fldCharType="separate"/>
      </w:r>
      <w:r w:rsidR="00422361" w:rsidRPr="00200234">
        <w:t xml:space="preserve">Figure </w:t>
      </w:r>
      <w:r w:rsidR="00422361">
        <w:rPr>
          <w:noProof/>
        </w:rPr>
        <w:t>11</w:t>
      </w:r>
      <w:r w:rsidR="00D53A62" w:rsidRPr="00200234">
        <w:fldChar w:fldCharType="end"/>
      </w:r>
      <w:r w:rsidRPr="00200234">
        <w:t xml:space="preserve"> shows the rates of indefinite inpatient treatment orders in each DHB, per 100,000 of the general population for 2018. </w:t>
      </w:r>
    </w:p>
    <w:p w14:paraId="0EF01F92" w14:textId="77777777" w:rsidR="00501C8E" w:rsidRPr="00200234" w:rsidRDefault="00501C8E" w:rsidP="00501C8E"/>
    <w:p w14:paraId="18695CB5" w14:textId="5183E5AC" w:rsidR="00CF5810" w:rsidRPr="00200234" w:rsidRDefault="00CF5810" w:rsidP="00501C8E">
      <w:r w:rsidRPr="00200234">
        <w:t xml:space="preserve">In 2019, 3.8 people per 100,000 across New Zealand were subject to indefinite inpatient treatment orders. </w:t>
      </w:r>
      <w:r w:rsidR="00D53A62" w:rsidRPr="00200234">
        <w:fldChar w:fldCharType="begin"/>
      </w:r>
      <w:r w:rsidR="00D53A62" w:rsidRPr="00200234">
        <w:instrText xml:space="preserve"> REF _Ref65671946 \h </w:instrText>
      </w:r>
      <w:r w:rsidR="00D53A62" w:rsidRPr="00200234">
        <w:fldChar w:fldCharType="separate"/>
      </w:r>
      <w:r w:rsidR="00422361" w:rsidRPr="00200234">
        <w:t xml:space="preserve">Figure </w:t>
      </w:r>
      <w:r w:rsidR="00422361">
        <w:rPr>
          <w:noProof/>
        </w:rPr>
        <w:t>12</w:t>
      </w:r>
      <w:r w:rsidR="00D53A62" w:rsidRPr="00200234">
        <w:fldChar w:fldCharType="end"/>
      </w:r>
      <w:r w:rsidRPr="00200234">
        <w:t xml:space="preserve"> shows the rates of indefinite inpatient treatment orders in each DHB, per 100,000 of the general population for 2019.</w:t>
      </w:r>
    </w:p>
    <w:p w14:paraId="3A44BDF0" w14:textId="77777777" w:rsidR="00501C8E" w:rsidRPr="00200234" w:rsidRDefault="00501C8E" w:rsidP="00501C8E"/>
    <w:p w14:paraId="1D164E25" w14:textId="2CF7D21F" w:rsidR="00CF5810" w:rsidRPr="00200234" w:rsidRDefault="00CF5810" w:rsidP="00501C8E">
      <w:r w:rsidRPr="00200234">
        <w:lastRenderedPageBreak/>
        <w:t>Some services may have higher rates of inpatient indefinite orders because they care for more patients with forensic and intellectual disability needs. Smaller services may be less likely to offer long-term inpatient care for people with complex needs.</w:t>
      </w:r>
    </w:p>
    <w:p w14:paraId="3BB90294" w14:textId="77777777" w:rsidR="00501C8E" w:rsidRPr="00200234" w:rsidRDefault="00501C8E" w:rsidP="00501C8E">
      <w:bookmarkStart w:id="77" w:name="_Toc65574440"/>
    </w:p>
    <w:p w14:paraId="7BC0925E" w14:textId="68A3BB54" w:rsidR="00CF5810" w:rsidRPr="00200234" w:rsidRDefault="00CF5810" w:rsidP="00CF5810">
      <w:pPr>
        <w:pStyle w:val="Figure"/>
      </w:pPr>
      <w:bookmarkStart w:id="78" w:name="_Ref65671941"/>
      <w:bookmarkStart w:id="79" w:name="_Toc66716193"/>
      <w:r w:rsidRPr="00200234">
        <w:t xml:space="preserve">Figure </w:t>
      </w:r>
      <w:fldSimple w:instr=" SEQ Figure \* ARABIC ">
        <w:r w:rsidR="00422361">
          <w:rPr>
            <w:noProof/>
          </w:rPr>
          <w:t>11</w:t>
        </w:r>
      </w:fldSimple>
      <w:bookmarkEnd w:id="78"/>
      <w:r w:rsidRPr="00200234">
        <w:t>: Number of people subject to indefinite inpatient treatment orders per 100,000 population, by DHB, 1 January to 31 December 2018</w:t>
      </w:r>
      <w:bookmarkEnd w:id="77"/>
      <w:bookmarkEnd w:id="79"/>
    </w:p>
    <w:p w14:paraId="25BC1171" w14:textId="77777777" w:rsidR="00CF5810" w:rsidRPr="00200234" w:rsidRDefault="00CF5810" w:rsidP="00CF5810">
      <w:pPr>
        <w:rPr>
          <w:rFonts w:cs="Segoe UI"/>
        </w:rPr>
      </w:pPr>
      <w:r w:rsidRPr="00200234">
        <w:rPr>
          <w:noProof/>
        </w:rPr>
        <w:drawing>
          <wp:inline distT="0" distB="0" distL="0" distR="0" wp14:anchorId="56703101" wp14:editId="1490BF85">
            <wp:extent cx="5076825" cy="3069125"/>
            <wp:effectExtent l="0" t="0" r="0" b="0"/>
            <wp:docPr id="253" name="Chart 253" descr="This bar graph shows that Capital and Coast had the highest rate of people subject to indefinite inpatient treatment orders in 2018, followed by Whanganui. Auckland, Tairawhiti and Wairarapa all had 0 people.">
              <a:extLst xmlns:a="http://schemas.openxmlformats.org/drawingml/2006/main">
                <a:ext uri="{FF2B5EF4-FFF2-40B4-BE49-F238E27FC236}">
                  <a16:creationId xmlns:a16="http://schemas.microsoft.com/office/drawing/2014/main" id="{A38B5429-E9C3-48E0-BC89-AF6827B69E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AF5E81B" w14:textId="3A4124BC" w:rsidR="00CF5810" w:rsidRPr="00200234" w:rsidRDefault="00CF5810" w:rsidP="00CF5810">
      <w:pPr>
        <w:pStyle w:val="Note"/>
        <w:rPr>
          <w:rFonts w:cs="Segoe UI"/>
        </w:rPr>
      </w:pPr>
      <w:r w:rsidRPr="00200234">
        <w:rPr>
          <w:rFonts w:cs="Segoe UI"/>
        </w:rPr>
        <w:t xml:space="preserve">Note: Wairarapa DHB does not have an inpatient service. Auckland and </w:t>
      </w:r>
      <w:proofErr w:type="spellStart"/>
      <w:r w:rsidRPr="00200234">
        <w:rPr>
          <w:rFonts w:cs="Segoe UI"/>
        </w:rPr>
        <w:t>Tairāwhiti</w:t>
      </w:r>
      <w:proofErr w:type="spellEnd"/>
      <w:r w:rsidRPr="00200234">
        <w:rPr>
          <w:rFonts w:cs="Segoe UI"/>
        </w:rPr>
        <w:t xml:space="preserve"> DHB</w:t>
      </w:r>
      <w:r w:rsidR="005D41A9" w:rsidRPr="00200234">
        <w:rPr>
          <w:rFonts w:cs="Segoe UI"/>
        </w:rPr>
        <w:t>s</w:t>
      </w:r>
      <w:r w:rsidRPr="00200234">
        <w:rPr>
          <w:rFonts w:cs="Segoe UI"/>
        </w:rPr>
        <w:t xml:space="preserve"> have no indefinite inpatient treatment orders.</w:t>
      </w:r>
    </w:p>
    <w:p w14:paraId="06D6154D" w14:textId="50966B80" w:rsidR="00CF5810" w:rsidRPr="00200234" w:rsidRDefault="00CF5810" w:rsidP="00CF5810">
      <w:pPr>
        <w:pStyle w:val="Source"/>
      </w:pPr>
      <w:r w:rsidRPr="00200234">
        <w:t>Source</w:t>
      </w:r>
      <w:r w:rsidR="00346BD1" w:rsidRPr="00200234">
        <w:t>s</w:t>
      </w:r>
      <w:r w:rsidRPr="00200234">
        <w:t>: PRIMHD data</w:t>
      </w:r>
      <w:r w:rsidR="0015429E">
        <w:t xml:space="preserve"> (extracted</w:t>
      </w:r>
      <w:r w:rsidRPr="00200234">
        <w:t xml:space="preserve"> 29 July 2019</w:t>
      </w:r>
      <w:r w:rsidR="000E756E">
        <w:t>)</w:t>
      </w:r>
      <w:r w:rsidRPr="00200234">
        <w:t xml:space="preserve"> and manual data from Auckland, Lakes and </w:t>
      </w:r>
      <w:proofErr w:type="spellStart"/>
      <w:r w:rsidRPr="00200234">
        <w:t>Waitematā</w:t>
      </w:r>
      <w:proofErr w:type="spellEnd"/>
      <w:r w:rsidRPr="00200234">
        <w:t xml:space="preserve"> DHBs. </w:t>
      </w:r>
    </w:p>
    <w:p w14:paraId="5DFBD502" w14:textId="77777777" w:rsidR="00CF5810" w:rsidRPr="00200234" w:rsidRDefault="00CF5810" w:rsidP="00CF5810">
      <w:pPr>
        <w:rPr>
          <w:rFonts w:cs="Segoe UI"/>
        </w:rPr>
      </w:pPr>
    </w:p>
    <w:p w14:paraId="212783BF" w14:textId="03492E2C" w:rsidR="00CF5810" w:rsidRPr="00200234" w:rsidRDefault="00CF5810" w:rsidP="00CF5810">
      <w:pPr>
        <w:pStyle w:val="Figure"/>
      </w:pPr>
      <w:bookmarkStart w:id="80" w:name="_Ref65671946"/>
      <w:bookmarkStart w:id="81" w:name="_Toc65574441"/>
      <w:bookmarkStart w:id="82" w:name="_Toc66716194"/>
      <w:r w:rsidRPr="00200234">
        <w:t xml:space="preserve">Figure </w:t>
      </w:r>
      <w:fldSimple w:instr=" SEQ Figure \* ARABIC ">
        <w:r w:rsidR="00422361">
          <w:rPr>
            <w:noProof/>
          </w:rPr>
          <w:t>12</w:t>
        </w:r>
      </w:fldSimple>
      <w:bookmarkEnd w:id="80"/>
      <w:r w:rsidRPr="00200234">
        <w:t>: Number of people subject to indefinite inpatient treatment orders per 100,000 population, by DHB, 1 January to 31 December 2019</w:t>
      </w:r>
      <w:bookmarkEnd w:id="81"/>
      <w:bookmarkEnd w:id="82"/>
    </w:p>
    <w:p w14:paraId="03F5FDF2" w14:textId="77777777" w:rsidR="00CF5810" w:rsidRPr="00200234" w:rsidRDefault="00CF5810" w:rsidP="00501C8E">
      <w:pPr>
        <w:keepNext/>
        <w:rPr>
          <w:rFonts w:cs="Segoe UI"/>
        </w:rPr>
      </w:pPr>
      <w:r w:rsidRPr="00200234">
        <w:rPr>
          <w:noProof/>
        </w:rPr>
        <w:drawing>
          <wp:inline distT="0" distB="0" distL="0" distR="0" wp14:anchorId="2194CD16" wp14:editId="24D4AB9C">
            <wp:extent cx="5076825" cy="2770360"/>
            <wp:effectExtent l="0" t="0" r="0" b="0"/>
            <wp:docPr id="250" name="Chart 250" descr="This bar graph shows that Capital and Coast had the highest rate of people subject to indefinite inpatient treatment orders in 2019, followed by Whanganui. Lakes, Tairawhiti and Wairarapa had no people under indefinite treatment orders.">
              <a:extLst xmlns:a="http://schemas.openxmlformats.org/drawingml/2006/main">
                <a:ext uri="{FF2B5EF4-FFF2-40B4-BE49-F238E27FC236}">
                  <a16:creationId xmlns:a16="http://schemas.microsoft.com/office/drawing/2014/main" id="{A38B5429-E9C3-48E0-BC89-AF6827B69E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1BF24D" w14:textId="77777777" w:rsidR="00CF5810" w:rsidRPr="00200234" w:rsidRDefault="00CF5810" w:rsidP="00501C8E">
      <w:pPr>
        <w:pStyle w:val="Note"/>
        <w:keepNext/>
        <w:rPr>
          <w:rFonts w:cs="Segoe UI"/>
        </w:rPr>
      </w:pPr>
      <w:r w:rsidRPr="00200234">
        <w:rPr>
          <w:rFonts w:cs="Segoe UI"/>
        </w:rPr>
        <w:t xml:space="preserve">Note: Wairarapa DHB does not have an inpatient service. </w:t>
      </w:r>
      <w:proofErr w:type="spellStart"/>
      <w:r w:rsidRPr="00200234">
        <w:rPr>
          <w:rFonts w:cs="Segoe UI"/>
        </w:rPr>
        <w:t>Tairāwhiti</w:t>
      </w:r>
      <w:proofErr w:type="spellEnd"/>
      <w:r w:rsidRPr="00200234">
        <w:rPr>
          <w:rFonts w:cs="Segoe UI"/>
        </w:rPr>
        <w:t xml:space="preserve"> DHB has no indefinite inpatient treatment orders.</w:t>
      </w:r>
    </w:p>
    <w:p w14:paraId="3E2B2F17" w14:textId="35A6F161" w:rsidR="00CF5810" w:rsidRPr="00200234" w:rsidRDefault="00CF5810" w:rsidP="00CF5810">
      <w:pPr>
        <w:pStyle w:val="Source"/>
      </w:pPr>
      <w:r w:rsidRPr="00200234">
        <w:t>Source: PRIMHD data</w:t>
      </w:r>
      <w:r w:rsidR="0015429E">
        <w:t xml:space="preserve"> (extracted</w:t>
      </w:r>
      <w:r w:rsidRPr="00200234">
        <w:t xml:space="preserve"> 19 October 2020</w:t>
      </w:r>
      <w:r w:rsidR="000E756E">
        <w:t>)</w:t>
      </w:r>
      <w:r w:rsidRPr="00200234">
        <w:t>.</w:t>
      </w:r>
    </w:p>
    <w:p w14:paraId="19BA6B43" w14:textId="77777777" w:rsidR="00CF5810" w:rsidRPr="00200234" w:rsidRDefault="00CF5810" w:rsidP="00501C8E"/>
    <w:p w14:paraId="1FB19E04" w14:textId="416F90A2" w:rsidR="00CF5810" w:rsidRPr="00200234" w:rsidRDefault="00CF5810" w:rsidP="00B27DB1">
      <w:r w:rsidRPr="00200234">
        <w:t xml:space="preserve">Nationwide in 2018, Māori were 2.8 times more likely to be subject to an indefinite inpatient treatment order than non-Māori. In 2019, Māori were 2.7 times more likely to be subject to an indefinite inpatient treatment order than non-Māori. </w:t>
      </w:r>
      <w:r w:rsidR="007F0A9A" w:rsidRPr="00200234">
        <w:fldChar w:fldCharType="begin"/>
      </w:r>
      <w:r w:rsidR="007F0A9A" w:rsidRPr="00200234">
        <w:instrText xml:space="preserve"> REF _Ref65673007 \h </w:instrText>
      </w:r>
      <w:r w:rsidR="007F0A9A" w:rsidRPr="00200234">
        <w:fldChar w:fldCharType="separate"/>
      </w:r>
      <w:r w:rsidR="00422361" w:rsidRPr="00200234">
        <w:t xml:space="preserve">Table </w:t>
      </w:r>
      <w:r w:rsidR="00422361">
        <w:rPr>
          <w:noProof/>
        </w:rPr>
        <w:t>6</w:t>
      </w:r>
      <w:r w:rsidR="007F0A9A" w:rsidRPr="00200234">
        <w:fldChar w:fldCharType="end"/>
      </w:r>
      <w:r w:rsidRPr="00200234">
        <w:t xml:space="preserve"> shows the rate ratio of Māori to non-Māori in each DHB per 100,000 people subject to indefinite inpatient treatment orders for both years.</w:t>
      </w:r>
    </w:p>
    <w:p w14:paraId="685F6C3C" w14:textId="77777777" w:rsidR="00501C8E" w:rsidRPr="00200234" w:rsidRDefault="00501C8E" w:rsidP="00501C8E"/>
    <w:p w14:paraId="7C07CD86" w14:textId="5CB9C34F" w:rsidR="00CF5810" w:rsidRPr="00200234" w:rsidRDefault="00CF5810" w:rsidP="000933C8">
      <w:pPr>
        <w:pStyle w:val="Table"/>
      </w:pPr>
      <w:bookmarkStart w:id="83" w:name="_Ref65673007"/>
      <w:bookmarkStart w:id="84" w:name="_Toc65574503"/>
      <w:bookmarkStart w:id="85" w:name="_Toc69306776"/>
      <w:r w:rsidRPr="00200234">
        <w:t xml:space="preserve">Table </w:t>
      </w:r>
      <w:fldSimple w:instr=" SEQ Table \* ARABIC ">
        <w:r w:rsidR="00422361">
          <w:rPr>
            <w:noProof/>
          </w:rPr>
          <w:t>6</w:t>
        </w:r>
      </w:fldSimple>
      <w:bookmarkEnd w:id="83"/>
      <w:r w:rsidRPr="00200234">
        <w:t>: Rate ratio of Māori to non-Māori subject to indefinite inpatient treatment orders per 100,000 population, open on 31 December 2018 and 31 December 2019</w:t>
      </w:r>
      <w:bookmarkEnd w:id="84"/>
      <w:bookmarkEnd w:id="85"/>
    </w:p>
    <w:tbl>
      <w:tblPr>
        <w:tblW w:w="0" w:type="auto"/>
        <w:tblBorders>
          <w:top w:val="single" w:sz="4" w:space="0" w:color="A6A6A6"/>
          <w:bottom w:val="single" w:sz="4" w:space="0" w:color="A6A6A6"/>
          <w:insideH w:val="single" w:sz="4" w:space="0" w:color="A6A6A6"/>
        </w:tblBorders>
        <w:tblLook w:val="04A0" w:firstRow="1" w:lastRow="0" w:firstColumn="1" w:lastColumn="0" w:noHBand="0" w:noVBand="1"/>
      </w:tblPr>
      <w:tblGrid>
        <w:gridCol w:w="1870"/>
        <w:gridCol w:w="718"/>
        <w:gridCol w:w="829"/>
        <w:gridCol w:w="778"/>
        <w:gridCol w:w="779"/>
        <w:gridCol w:w="718"/>
        <w:gridCol w:w="830"/>
        <w:gridCol w:w="1557"/>
      </w:tblGrid>
      <w:tr w:rsidR="00CF5810" w:rsidRPr="00DD06AB" w14:paraId="3FAC36E3" w14:textId="77777777" w:rsidTr="00DD06AB">
        <w:trPr>
          <w:trHeight w:val="30"/>
        </w:trPr>
        <w:tc>
          <w:tcPr>
            <w:tcW w:w="0" w:type="auto"/>
            <w:tcBorders>
              <w:top w:val="nil"/>
              <w:bottom w:val="nil"/>
            </w:tcBorders>
            <w:shd w:val="clear" w:color="auto" w:fill="D9D9D9"/>
            <w:noWrap/>
            <w:vAlign w:val="center"/>
          </w:tcPr>
          <w:p w14:paraId="52649839" w14:textId="77777777" w:rsidR="00CF5810" w:rsidRPr="00DD06AB" w:rsidRDefault="00CF5810" w:rsidP="004A50BB">
            <w:pPr>
              <w:keepNext/>
              <w:spacing w:before="60" w:after="60"/>
              <w:rPr>
                <w:sz w:val="18"/>
                <w:szCs w:val="18"/>
              </w:rPr>
            </w:pPr>
          </w:p>
        </w:tc>
        <w:tc>
          <w:tcPr>
            <w:tcW w:w="0" w:type="auto"/>
            <w:gridSpan w:val="3"/>
            <w:tcBorders>
              <w:top w:val="nil"/>
              <w:bottom w:val="nil"/>
            </w:tcBorders>
            <w:shd w:val="clear" w:color="auto" w:fill="D9D9D9"/>
            <w:hideMark/>
          </w:tcPr>
          <w:p w14:paraId="78309700" w14:textId="702B0D06" w:rsidR="00CF5810" w:rsidRPr="00DD06AB" w:rsidRDefault="00CF5810" w:rsidP="004A50BB">
            <w:pPr>
              <w:keepNext/>
              <w:spacing w:before="60" w:after="60"/>
              <w:jc w:val="center"/>
              <w:rPr>
                <w:b/>
                <w:bCs/>
                <w:sz w:val="18"/>
                <w:szCs w:val="18"/>
              </w:rPr>
            </w:pPr>
            <w:r w:rsidRPr="00DD06AB">
              <w:rPr>
                <w:b/>
                <w:bCs/>
                <w:sz w:val="18"/>
                <w:szCs w:val="18"/>
              </w:rPr>
              <w:t xml:space="preserve">Orders open on </w:t>
            </w:r>
            <w:r w:rsidR="005D41A9" w:rsidRPr="00DD06AB">
              <w:rPr>
                <w:b/>
                <w:bCs/>
                <w:sz w:val="18"/>
                <w:szCs w:val="18"/>
              </w:rPr>
              <w:br/>
            </w:r>
            <w:r w:rsidRPr="00DD06AB">
              <w:rPr>
                <w:b/>
                <w:bCs/>
                <w:sz w:val="18"/>
                <w:szCs w:val="18"/>
              </w:rPr>
              <w:t>31 December 2018</w:t>
            </w:r>
          </w:p>
        </w:tc>
        <w:tc>
          <w:tcPr>
            <w:tcW w:w="0" w:type="auto"/>
            <w:gridSpan w:val="4"/>
            <w:tcBorders>
              <w:top w:val="nil"/>
              <w:bottom w:val="nil"/>
            </w:tcBorders>
            <w:shd w:val="clear" w:color="auto" w:fill="D9D9D9"/>
            <w:hideMark/>
          </w:tcPr>
          <w:p w14:paraId="7B1DC219" w14:textId="3E9F9006" w:rsidR="00CF5810" w:rsidRPr="00DD06AB" w:rsidRDefault="00CF5810" w:rsidP="004A50BB">
            <w:pPr>
              <w:keepNext/>
              <w:spacing w:before="60" w:after="60"/>
              <w:jc w:val="center"/>
              <w:rPr>
                <w:b/>
                <w:bCs/>
                <w:sz w:val="18"/>
                <w:szCs w:val="18"/>
              </w:rPr>
            </w:pPr>
            <w:r w:rsidRPr="00DD06AB">
              <w:rPr>
                <w:b/>
                <w:bCs/>
                <w:sz w:val="18"/>
                <w:szCs w:val="18"/>
              </w:rPr>
              <w:t xml:space="preserve">Orders open on </w:t>
            </w:r>
            <w:r w:rsidR="005D41A9" w:rsidRPr="00DD06AB">
              <w:rPr>
                <w:b/>
                <w:bCs/>
                <w:sz w:val="18"/>
                <w:szCs w:val="18"/>
              </w:rPr>
              <w:br/>
            </w:r>
            <w:r w:rsidRPr="00DD06AB">
              <w:rPr>
                <w:b/>
                <w:bCs/>
                <w:sz w:val="18"/>
                <w:szCs w:val="18"/>
              </w:rPr>
              <w:t>31 December 2019</w:t>
            </w:r>
          </w:p>
        </w:tc>
      </w:tr>
      <w:tr w:rsidR="00CF5810" w:rsidRPr="00DD06AB" w14:paraId="4A8456BA" w14:textId="77777777" w:rsidTr="00DD06AB">
        <w:trPr>
          <w:trHeight w:val="30"/>
        </w:trPr>
        <w:tc>
          <w:tcPr>
            <w:tcW w:w="0" w:type="auto"/>
            <w:tcBorders>
              <w:top w:val="nil"/>
            </w:tcBorders>
            <w:shd w:val="clear" w:color="auto" w:fill="D9D9D9"/>
            <w:noWrap/>
            <w:vAlign w:val="center"/>
            <w:hideMark/>
          </w:tcPr>
          <w:p w14:paraId="4CC27B67" w14:textId="346FD888" w:rsidR="00CF5810" w:rsidRPr="00DD06AB" w:rsidRDefault="00CF5810" w:rsidP="004A50BB">
            <w:pPr>
              <w:keepNext/>
              <w:spacing w:before="60" w:after="60"/>
              <w:rPr>
                <w:b/>
                <w:bCs/>
                <w:sz w:val="18"/>
                <w:szCs w:val="18"/>
              </w:rPr>
            </w:pPr>
            <w:r w:rsidRPr="00DD06AB">
              <w:rPr>
                <w:b/>
                <w:bCs/>
                <w:sz w:val="18"/>
                <w:szCs w:val="18"/>
              </w:rPr>
              <w:t xml:space="preserve">DHB of </w:t>
            </w:r>
            <w:r w:rsidR="00954F8C">
              <w:rPr>
                <w:b/>
                <w:bCs/>
                <w:sz w:val="18"/>
                <w:szCs w:val="18"/>
              </w:rPr>
              <w:t>s</w:t>
            </w:r>
            <w:r w:rsidRPr="00DD06AB">
              <w:rPr>
                <w:b/>
                <w:bCs/>
                <w:sz w:val="18"/>
                <w:szCs w:val="18"/>
              </w:rPr>
              <w:t>ervice</w:t>
            </w:r>
          </w:p>
        </w:tc>
        <w:tc>
          <w:tcPr>
            <w:tcW w:w="0" w:type="auto"/>
            <w:tcBorders>
              <w:top w:val="nil"/>
            </w:tcBorders>
            <w:shd w:val="clear" w:color="auto" w:fill="D9D9D9"/>
            <w:hideMark/>
          </w:tcPr>
          <w:p w14:paraId="5C050F8F" w14:textId="77777777" w:rsidR="00CF5810" w:rsidRPr="00DD06AB" w:rsidRDefault="00CF5810" w:rsidP="004A50BB">
            <w:pPr>
              <w:keepNext/>
              <w:spacing w:before="60" w:after="60"/>
              <w:jc w:val="center"/>
              <w:rPr>
                <w:b/>
                <w:bCs/>
                <w:sz w:val="18"/>
                <w:szCs w:val="18"/>
              </w:rPr>
            </w:pPr>
            <w:r w:rsidRPr="00DD06AB">
              <w:rPr>
                <w:b/>
                <w:bCs/>
                <w:sz w:val="18"/>
                <w:szCs w:val="18"/>
              </w:rPr>
              <w:t>Māori</w:t>
            </w:r>
          </w:p>
        </w:tc>
        <w:tc>
          <w:tcPr>
            <w:tcW w:w="0" w:type="auto"/>
            <w:tcBorders>
              <w:top w:val="nil"/>
            </w:tcBorders>
            <w:shd w:val="clear" w:color="auto" w:fill="D9D9D9"/>
            <w:hideMark/>
          </w:tcPr>
          <w:p w14:paraId="4932C56E" w14:textId="77777777" w:rsidR="00CF5810" w:rsidRPr="00DD06AB" w:rsidRDefault="00CF5810" w:rsidP="004A50BB">
            <w:pPr>
              <w:keepNext/>
              <w:spacing w:before="60" w:after="60"/>
              <w:jc w:val="center"/>
              <w:rPr>
                <w:b/>
                <w:bCs/>
                <w:sz w:val="18"/>
                <w:szCs w:val="18"/>
              </w:rPr>
            </w:pPr>
            <w:r w:rsidRPr="00DD06AB">
              <w:rPr>
                <w:b/>
                <w:bCs/>
                <w:sz w:val="18"/>
                <w:szCs w:val="18"/>
              </w:rPr>
              <w:t>Non-Māori</w:t>
            </w:r>
          </w:p>
        </w:tc>
        <w:tc>
          <w:tcPr>
            <w:tcW w:w="0" w:type="auto"/>
            <w:gridSpan w:val="2"/>
            <w:tcBorders>
              <w:top w:val="nil"/>
            </w:tcBorders>
            <w:shd w:val="clear" w:color="auto" w:fill="D9D9D9"/>
            <w:hideMark/>
          </w:tcPr>
          <w:p w14:paraId="3BCCD6B1" w14:textId="4B3BE92C" w:rsidR="00CF5810" w:rsidRPr="00DD06AB" w:rsidRDefault="00CF5810" w:rsidP="004A50BB">
            <w:pPr>
              <w:keepNext/>
              <w:spacing w:before="60" w:after="60"/>
              <w:jc w:val="center"/>
              <w:rPr>
                <w:b/>
                <w:bCs/>
                <w:sz w:val="18"/>
                <w:szCs w:val="18"/>
              </w:rPr>
            </w:pPr>
            <w:r w:rsidRPr="00DD06AB">
              <w:rPr>
                <w:b/>
                <w:bCs/>
                <w:sz w:val="18"/>
                <w:szCs w:val="18"/>
              </w:rPr>
              <w:t xml:space="preserve">Rate </w:t>
            </w:r>
            <w:r w:rsidR="00954F8C">
              <w:rPr>
                <w:b/>
                <w:bCs/>
                <w:sz w:val="18"/>
                <w:szCs w:val="18"/>
              </w:rPr>
              <w:t>r</w:t>
            </w:r>
            <w:r w:rsidRPr="00DD06AB">
              <w:rPr>
                <w:b/>
                <w:bCs/>
                <w:sz w:val="18"/>
                <w:szCs w:val="18"/>
              </w:rPr>
              <w:t xml:space="preserve">atio </w:t>
            </w:r>
            <w:proofErr w:type="spellStart"/>
            <w:r w:rsidRPr="00DD06AB">
              <w:rPr>
                <w:b/>
                <w:bCs/>
                <w:sz w:val="18"/>
                <w:szCs w:val="18"/>
              </w:rPr>
              <w:t>Māori:Non-Māori</w:t>
            </w:r>
            <w:proofErr w:type="spellEnd"/>
          </w:p>
        </w:tc>
        <w:tc>
          <w:tcPr>
            <w:tcW w:w="0" w:type="auto"/>
            <w:tcBorders>
              <w:top w:val="nil"/>
            </w:tcBorders>
            <w:shd w:val="clear" w:color="auto" w:fill="D9D9D9"/>
            <w:hideMark/>
          </w:tcPr>
          <w:p w14:paraId="3C5513F3" w14:textId="77777777" w:rsidR="00CF5810" w:rsidRPr="00DD06AB" w:rsidRDefault="00CF5810" w:rsidP="004A50BB">
            <w:pPr>
              <w:keepNext/>
              <w:spacing w:before="60" w:after="60"/>
              <w:jc w:val="center"/>
              <w:rPr>
                <w:b/>
                <w:bCs/>
                <w:sz w:val="18"/>
                <w:szCs w:val="18"/>
              </w:rPr>
            </w:pPr>
            <w:r w:rsidRPr="00DD06AB">
              <w:rPr>
                <w:b/>
                <w:bCs/>
                <w:sz w:val="18"/>
                <w:szCs w:val="18"/>
              </w:rPr>
              <w:t>Māori</w:t>
            </w:r>
          </w:p>
        </w:tc>
        <w:tc>
          <w:tcPr>
            <w:tcW w:w="0" w:type="auto"/>
            <w:tcBorders>
              <w:top w:val="nil"/>
            </w:tcBorders>
            <w:shd w:val="clear" w:color="auto" w:fill="D9D9D9"/>
            <w:hideMark/>
          </w:tcPr>
          <w:p w14:paraId="26EB2E57" w14:textId="77777777" w:rsidR="00CF5810" w:rsidRPr="00DD06AB" w:rsidRDefault="00CF5810" w:rsidP="004A50BB">
            <w:pPr>
              <w:keepNext/>
              <w:spacing w:before="60" w:after="60"/>
              <w:jc w:val="center"/>
              <w:rPr>
                <w:b/>
                <w:bCs/>
                <w:sz w:val="18"/>
                <w:szCs w:val="18"/>
              </w:rPr>
            </w:pPr>
            <w:r w:rsidRPr="00DD06AB">
              <w:rPr>
                <w:b/>
                <w:bCs/>
                <w:sz w:val="18"/>
                <w:szCs w:val="18"/>
              </w:rPr>
              <w:t>Non-Māori</w:t>
            </w:r>
          </w:p>
        </w:tc>
        <w:tc>
          <w:tcPr>
            <w:tcW w:w="0" w:type="auto"/>
            <w:tcBorders>
              <w:top w:val="nil"/>
            </w:tcBorders>
            <w:shd w:val="clear" w:color="auto" w:fill="D9D9D9"/>
            <w:hideMark/>
          </w:tcPr>
          <w:p w14:paraId="275D8A03" w14:textId="7625E470" w:rsidR="00CF5810" w:rsidRPr="00DD06AB" w:rsidRDefault="00CF5810" w:rsidP="004A50BB">
            <w:pPr>
              <w:keepNext/>
              <w:spacing w:before="60" w:after="60"/>
              <w:jc w:val="center"/>
              <w:rPr>
                <w:b/>
                <w:bCs/>
                <w:sz w:val="18"/>
                <w:szCs w:val="18"/>
              </w:rPr>
            </w:pPr>
            <w:r w:rsidRPr="00DD06AB">
              <w:rPr>
                <w:b/>
                <w:bCs/>
                <w:sz w:val="18"/>
                <w:szCs w:val="18"/>
              </w:rPr>
              <w:t xml:space="preserve">Rate </w:t>
            </w:r>
            <w:r w:rsidR="00954F8C">
              <w:rPr>
                <w:b/>
                <w:bCs/>
                <w:sz w:val="18"/>
                <w:szCs w:val="18"/>
              </w:rPr>
              <w:t>r</w:t>
            </w:r>
            <w:r w:rsidRPr="00DD06AB">
              <w:rPr>
                <w:b/>
                <w:bCs/>
                <w:sz w:val="18"/>
                <w:szCs w:val="18"/>
              </w:rPr>
              <w:t xml:space="preserve">atio </w:t>
            </w:r>
            <w:proofErr w:type="spellStart"/>
            <w:r w:rsidRPr="00DD06AB">
              <w:rPr>
                <w:b/>
                <w:bCs/>
                <w:sz w:val="18"/>
                <w:szCs w:val="18"/>
              </w:rPr>
              <w:t>Māori:Non-Māori</w:t>
            </w:r>
            <w:proofErr w:type="spellEnd"/>
          </w:p>
        </w:tc>
      </w:tr>
      <w:tr w:rsidR="00CF5810" w:rsidRPr="00DD06AB" w14:paraId="2E756768" w14:textId="77777777" w:rsidTr="00DD06AB">
        <w:trPr>
          <w:trHeight w:val="30"/>
        </w:trPr>
        <w:tc>
          <w:tcPr>
            <w:tcW w:w="0" w:type="auto"/>
            <w:noWrap/>
            <w:vAlign w:val="center"/>
            <w:hideMark/>
          </w:tcPr>
          <w:p w14:paraId="51FFFBE7" w14:textId="77777777" w:rsidR="00CF5810" w:rsidRPr="00DD06AB" w:rsidRDefault="00CF5810" w:rsidP="004A50BB">
            <w:pPr>
              <w:keepNext/>
              <w:spacing w:before="60" w:after="60"/>
              <w:rPr>
                <w:sz w:val="18"/>
                <w:szCs w:val="18"/>
              </w:rPr>
            </w:pPr>
            <w:r w:rsidRPr="00DD06AB">
              <w:rPr>
                <w:sz w:val="18"/>
                <w:szCs w:val="18"/>
              </w:rPr>
              <w:t>Auckland</w:t>
            </w:r>
          </w:p>
        </w:tc>
        <w:tc>
          <w:tcPr>
            <w:tcW w:w="0" w:type="auto"/>
            <w:noWrap/>
            <w:hideMark/>
          </w:tcPr>
          <w:p w14:paraId="646FC10E" w14:textId="26B9843E" w:rsidR="00CF5810" w:rsidRPr="00DD06AB" w:rsidRDefault="00F755B8" w:rsidP="004A50BB">
            <w:pPr>
              <w:keepNext/>
              <w:spacing w:before="60" w:after="60"/>
              <w:jc w:val="center"/>
              <w:rPr>
                <w:sz w:val="18"/>
                <w:szCs w:val="18"/>
              </w:rPr>
            </w:pPr>
            <w:r w:rsidRPr="00DD06AB">
              <w:rPr>
                <w:sz w:val="18"/>
                <w:szCs w:val="18"/>
              </w:rPr>
              <w:t>–</w:t>
            </w:r>
          </w:p>
        </w:tc>
        <w:tc>
          <w:tcPr>
            <w:tcW w:w="0" w:type="auto"/>
            <w:noWrap/>
            <w:hideMark/>
          </w:tcPr>
          <w:p w14:paraId="2E4E24C2" w14:textId="3612F333" w:rsidR="00CF5810" w:rsidRPr="00DD06AB" w:rsidRDefault="00F755B8" w:rsidP="004A50BB">
            <w:pPr>
              <w:keepNext/>
              <w:spacing w:before="60" w:after="60"/>
              <w:jc w:val="center"/>
              <w:rPr>
                <w:sz w:val="18"/>
                <w:szCs w:val="18"/>
              </w:rPr>
            </w:pPr>
            <w:r w:rsidRPr="00DD06AB">
              <w:rPr>
                <w:sz w:val="18"/>
                <w:szCs w:val="18"/>
              </w:rPr>
              <w:t>–</w:t>
            </w:r>
          </w:p>
        </w:tc>
        <w:tc>
          <w:tcPr>
            <w:tcW w:w="0" w:type="auto"/>
            <w:gridSpan w:val="2"/>
            <w:noWrap/>
            <w:hideMark/>
          </w:tcPr>
          <w:p w14:paraId="06E4E4D2" w14:textId="1008B99B" w:rsidR="00CF5810" w:rsidRPr="00DD06AB" w:rsidRDefault="00F755B8" w:rsidP="004A50BB">
            <w:pPr>
              <w:keepNext/>
              <w:spacing w:before="60" w:after="60"/>
              <w:jc w:val="center"/>
              <w:rPr>
                <w:sz w:val="18"/>
                <w:szCs w:val="18"/>
              </w:rPr>
            </w:pPr>
            <w:r w:rsidRPr="00DD06AB">
              <w:rPr>
                <w:sz w:val="18"/>
                <w:szCs w:val="18"/>
              </w:rPr>
              <w:t>–</w:t>
            </w:r>
          </w:p>
        </w:tc>
        <w:tc>
          <w:tcPr>
            <w:tcW w:w="0" w:type="auto"/>
            <w:hideMark/>
          </w:tcPr>
          <w:p w14:paraId="162B0490" w14:textId="77777777" w:rsidR="00CF5810" w:rsidRPr="00DD06AB" w:rsidRDefault="00CF5810" w:rsidP="004A50BB">
            <w:pPr>
              <w:keepNext/>
              <w:spacing w:before="60" w:after="60"/>
              <w:jc w:val="center"/>
              <w:rPr>
                <w:sz w:val="18"/>
                <w:szCs w:val="18"/>
              </w:rPr>
            </w:pPr>
            <w:r w:rsidRPr="00DD06AB">
              <w:rPr>
                <w:sz w:val="18"/>
                <w:szCs w:val="18"/>
              </w:rPr>
              <w:t>2</w:t>
            </w:r>
          </w:p>
        </w:tc>
        <w:tc>
          <w:tcPr>
            <w:tcW w:w="0" w:type="auto"/>
            <w:hideMark/>
          </w:tcPr>
          <w:p w14:paraId="0B5ACB9A" w14:textId="77777777" w:rsidR="00CF5810" w:rsidRPr="00DD06AB" w:rsidRDefault="00CF5810" w:rsidP="004A50BB">
            <w:pPr>
              <w:keepNext/>
              <w:spacing w:before="60" w:after="60"/>
              <w:jc w:val="center"/>
              <w:rPr>
                <w:sz w:val="18"/>
                <w:szCs w:val="18"/>
              </w:rPr>
            </w:pPr>
            <w:r w:rsidRPr="00DD06AB">
              <w:rPr>
                <w:sz w:val="18"/>
                <w:szCs w:val="18"/>
              </w:rPr>
              <w:t>1</w:t>
            </w:r>
          </w:p>
        </w:tc>
        <w:tc>
          <w:tcPr>
            <w:tcW w:w="0" w:type="auto"/>
            <w:hideMark/>
          </w:tcPr>
          <w:p w14:paraId="35418AC5" w14:textId="77777777" w:rsidR="00CF5810" w:rsidRPr="00DD06AB" w:rsidRDefault="00CF5810" w:rsidP="004A50BB">
            <w:pPr>
              <w:keepNext/>
              <w:spacing w:before="60" w:after="60"/>
              <w:jc w:val="center"/>
              <w:rPr>
                <w:sz w:val="18"/>
                <w:szCs w:val="18"/>
              </w:rPr>
            </w:pPr>
            <w:r w:rsidRPr="00DD06AB">
              <w:rPr>
                <w:sz w:val="18"/>
                <w:szCs w:val="18"/>
              </w:rPr>
              <w:t>2.8</w:t>
            </w:r>
          </w:p>
        </w:tc>
      </w:tr>
      <w:tr w:rsidR="00CF5810" w:rsidRPr="00DD06AB" w14:paraId="48A3D506" w14:textId="77777777" w:rsidTr="00DD06AB">
        <w:trPr>
          <w:trHeight w:val="30"/>
        </w:trPr>
        <w:tc>
          <w:tcPr>
            <w:tcW w:w="0" w:type="auto"/>
            <w:noWrap/>
            <w:vAlign w:val="center"/>
            <w:hideMark/>
          </w:tcPr>
          <w:p w14:paraId="690CD154" w14:textId="77777777" w:rsidR="00CF5810" w:rsidRPr="00DD06AB" w:rsidRDefault="00CF5810" w:rsidP="004A50BB">
            <w:pPr>
              <w:keepNext/>
              <w:spacing w:before="60" w:after="60"/>
              <w:rPr>
                <w:sz w:val="18"/>
                <w:szCs w:val="18"/>
              </w:rPr>
            </w:pPr>
            <w:r w:rsidRPr="00DD06AB">
              <w:rPr>
                <w:sz w:val="18"/>
                <w:szCs w:val="18"/>
              </w:rPr>
              <w:t>Bay of Plenty</w:t>
            </w:r>
          </w:p>
        </w:tc>
        <w:tc>
          <w:tcPr>
            <w:tcW w:w="0" w:type="auto"/>
            <w:noWrap/>
            <w:hideMark/>
          </w:tcPr>
          <w:p w14:paraId="2BC76779" w14:textId="77777777" w:rsidR="00CF5810" w:rsidRPr="00DD06AB" w:rsidRDefault="00CF5810" w:rsidP="004A50BB">
            <w:pPr>
              <w:keepNext/>
              <w:spacing w:before="60" w:after="60"/>
              <w:jc w:val="center"/>
              <w:rPr>
                <w:sz w:val="18"/>
                <w:szCs w:val="18"/>
              </w:rPr>
            </w:pPr>
            <w:r w:rsidRPr="00DD06AB">
              <w:rPr>
                <w:sz w:val="18"/>
                <w:szCs w:val="18"/>
              </w:rPr>
              <w:t>2</w:t>
            </w:r>
          </w:p>
        </w:tc>
        <w:tc>
          <w:tcPr>
            <w:tcW w:w="0" w:type="auto"/>
            <w:noWrap/>
            <w:hideMark/>
          </w:tcPr>
          <w:p w14:paraId="1BD94C46" w14:textId="77777777" w:rsidR="00CF5810" w:rsidRPr="00DD06AB" w:rsidRDefault="00CF5810" w:rsidP="004A50BB">
            <w:pPr>
              <w:keepNext/>
              <w:spacing w:before="60" w:after="60"/>
              <w:jc w:val="center"/>
              <w:rPr>
                <w:sz w:val="18"/>
                <w:szCs w:val="18"/>
              </w:rPr>
            </w:pPr>
            <w:r w:rsidRPr="00DD06AB">
              <w:rPr>
                <w:sz w:val="18"/>
                <w:szCs w:val="18"/>
              </w:rPr>
              <w:t>1</w:t>
            </w:r>
          </w:p>
        </w:tc>
        <w:tc>
          <w:tcPr>
            <w:tcW w:w="0" w:type="auto"/>
            <w:gridSpan w:val="2"/>
            <w:noWrap/>
            <w:hideMark/>
          </w:tcPr>
          <w:p w14:paraId="7A4FDF8F" w14:textId="77777777" w:rsidR="00CF5810" w:rsidRPr="00DD06AB" w:rsidRDefault="00CF5810" w:rsidP="004A50BB">
            <w:pPr>
              <w:keepNext/>
              <w:spacing w:before="60" w:after="60"/>
              <w:jc w:val="center"/>
              <w:rPr>
                <w:sz w:val="18"/>
                <w:szCs w:val="18"/>
              </w:rPr>
            </w:pPr>
            <w:r w:rsidRPr="00DD06AB">
              <w:rPr>
                <w:sz w:val="18"/>
                <w:szCs w:val="18"/>
              </w:rPr>
              <w:t>3.0</w:t>
            </w:r>
          </w:p>
        </w:tc>
        <w:tc>
          <w:tcPr>
            <w:tcW w:w="0" w:type="auto"/>
            <w:hideMark/>
          </w:tcPr>
          <w:p w14:paraId="654071C0" w14:textId="77777777" w:rsidR="00CF5810" w:rsidRPr="00DD06AB" w:rsidRDefault="00CF5810" w:rsidP="004A50BB">
            <w:pPr>
              <w:keepNext/>
              <w:spacing w:before="60" w:after="60"/>
              <w:jc w:val="center"/>
              <w:rPr>
                <w:sz w:val="18"/>
                <w:szCs w:val="18"/>
              </w:rPr>
            </w:pPr>
            <w:r w:rsidRPr="00DD06AB">
              <w:rPr>
                <w:sz w:val="18"/>
                <w:szCs w:val="18"/>
              </w:rPr>
              <w:t>5</w:t>
            </w:r>
          </w:p>
        </w:tc>
        <w:tc>
          <w:tcPr>
            <w:tcW w:w="0" w:type="auto"/>
            <w:hideMark/>
          </w:tcPr>
          <w:p w14:paraId="7458B5E1" w14:textId="77777777" w:rsidR="00CF5810" w:rsidRPr="00DD06AB" w:rsidRDefault="00CF5810" w:rsidP="004A50BB">
            <w:pPr>
              <w:keepNext/>
              <w:spacing w:before="60" w:after="60"/>
              <w:jc w:val="center"/>
              <w:rPr>
                <w:sz w:val="18"/>
                <w:szCs w:val="18"/>
              </w:rPr>
            </w:pPr>
            <w:r w:rsidRPr="00DD06AB">
              <w:rPr>
                <w:sz w:val="18"/>
                <w:szCs w:val="18"/>
              </w:rPr>
              <w:t>2</w:t>
            </w:r>
          </w:p>
        </w:tc>
        <w:tc>
          <w:tcPr>
            <w:tcW w:w="0" w:type="auto"/>
            <w:hideMark/>
          </w:tcPr>
          <w:p w14:paraId="0A465E7F" w14:textId="77777777" w:rsidR="00CF5810" w:rsidRPr="00DD06AB" w:rsidRDefault="00CF5810" w:rsidP="004A50BB">
            <w:pPr>
              <w:keepNext/>
              <w:spacing w:before="60" w:after="60"/>
              <w:jc w:val="center"/>
              <w:rPr>
                <w:sz w:val="18"/>
                <w:szCs w:val="18"/>
              </w:rPr>
            </w:pPr>
            <w:r w:rsidRPr="00DD06AB">
              <w:rPr>
                <w:sz w:val="18"/>
                <w:szCs w:val="18"/>
              </w:rPr>
              <w:t>2.9</w:t>
            </w:r>
          </w:p>
        </w:tc>
      </w:tr>
      <w:tr w:rsidR="00CF5810" w:rsidRPr="00DD06AB" w14:paraId="5C62A267" w14:textId="77777777" w:rsidTr="00DD06AB">
        <w:trPr>
          <w:trHeight w:val="30"/>
        </w:trPr>
        <w:tc>
          <w:tcPr>
            <w:tcW w:w="0" w:type="auto"/>
            <w:noWrap/>
            <w:vAlign w:val="center"/>
            <w:hideMark/>
          </w:tcPr>
          <w:p w14:paraId="50302B6F" w14:textId="77777777" w:rsidR="00CF5810" w:rsidRPr="00DD06AB" w:rsidRDefault="00CF5810" w:rsidP="004A50BB">
            <w:pPr>
              <w:keepNext/>
              <w:spacing w:before="60" w:after="60"/>
              <w:rPr>
                <w:sz w:val="18"/>
                <w:szCs w:val="18"/>
              </w:rPr>
            </w:pPr>
            <w:r w:rsidRPr="00DD06AB">
              <w:rPr>
                <w:sz w:val="18"/>
                <w:szCs w:val="18"/>
              </w:rPr>
              <w:t>Canterbury</w:t>
            </w:r>
          </w:p>
        </w:tc>
        <w:tc>
          <w:tcPr>
            <w:tcW w:w="0" w:type="auto"/>
            <w:noWrap/>
            <w:hideMark/>
          </w:tcPr>
          <w:p w14:paraId="62FF1C83" w14:textId="77777777" w:rsidR="00CF5810" w:rsidRPr="00DD06AB" w:rsidRDefault="00CF5810" w:rsidP="004A50BB">
            <w:pPr>
              <w:keepNext/>
              <w:spacing w:before="60" w:after="60"/>
              <w:jc w:val="center"/>
              <w:rPr>
                <w:sz w:val="18"/>
                <w:szCs w:val="18"/>
              </w:rPr>
            </w:pPr>
            <w:r w:rsidRPr="00DD06AB">
              <w:rPr>
                <w:sz w:val="18"/>
                <w:szCs w:val="18"/>
              </w:rPr>
              <w:t>10</w:t>
            </w:r>
          </w:p>
        </w:tc>
        <w:tc>
          <w:tcPr>
            <w:tcW w:w="0" w:type="auto"/>
            <w:noWrap/>
            <w:hideMark/>
          </w:tcPr>
          <w:p w14:paraId="6FF5A999" w14:textId="77777777" w:rsidR="00CF5810" w:rsidRPr="00DD06AB" w:rsidRDefault="00CF5810" w:rsidP="004A50BB">
            <w:pPr>
              <w:keepNext/>
              <w:spacing w:before="60" w:after="60"/>
              <w:jc w:val="center"/>
              <w:rPr>
                <w:sz w:val="18"/>
                <w:szCs w:val="18"/>
              </w:rPr>
            </w:pPr>
            <w:r w:rsidRPr="00DD06AB">
              <w:rPr>
                <w:sz w:val="18"/>
                <w:szCs w:val="18"/>
              </w:rPr>
              <w:t>5</w:t>
            </w:r>
          </w:p>
        </w:tc>
        <w:tc>
          <w:tcPr>
            <w:tcW w:w="0" w:type="auto"/>
            <w:gridSpan w:val="2"/>
            <w:noWrap/>
            <w:hideMark/>
          </w:tcPr>
          <w:p w14:paraId="3E7854E2" w14:textId="77777777" w:rsidR="00CF5810" w:rsidRPr="00DD06AB" w:rsidRDefault="00CF5810" w:rsidP="004A50BB">
            <w:pPr>
              <w:keepNext/>
              <w:spacing w:before="60" w:after="60"/>
              <w:jc w:val="center"/>
              <w:rPr>
                <w:sz w:val="18"/>
                <w:szCs w:val="18"/>
              </w:rPr>
            </w:pPr>
            <w:r w:rsidRPr="00DD06AB">
              <w:rPr>
                <w:sz w:val="18"/>
                <w:szCs w:val="18"/>
              </w:rPr>
              <w:t>2.1</w:t>
            </w:r>
          </w:p>
        </w:tc>
        <w:tc>
          <w:tcPr>
            <w:tcW w:w="0" w:type="auto"/>
            <w:hideMark/>
          </w:tcPr>
          <w:p w14:paraId="295D3726" w14:textId="77777777" w:rsidR="00CF5810" w:rsidRPr="00DD06AB" w:rsidRDefault="00CF5810" w:rsidP="004A50BB">
            <w:pPr>
              <w:keepNext/>
              <w:spacing w:before="60" w:after="60"/>
              <w:jc w:val="center"/>
              <w:rPr>
                <w:sz w:val="18"/>
                <w:szCs w:val="18"/>
              </w:rPr>
            </w:pPr>
            <w:r w:rsidRPr="00DD06AB">
              <w:rPr>
                <w:sz w:val="18"/>
                <w:szCs w:val="18"/>
              </w:rPr>
              <w:t>5</w:t>
            </w:r>
          </w:p>
        </w:tc>
        <w:tc>
          <w:tcPr>
            <w:tcW w:w="0" w:type="auto"/>
            <w:hideMark/>
          </w:tcPr>
          <w:p w14:paraId="7819667F" w14:textId="77777777" w:rsidR="00CF5810" w:rsidRPr="00DD06AB" w:rsidRDefault="00CF5810" w:rsidP="004A50BB">
            <w:pPr>
              <w:keepNext/>
              <w:spacing w:before="60" w:after="60"/>
              <w:jc w:val="center"/>
              <w:rPr>
                <w:sz w:val="18"/>
                <w:szCs w:val="18"/>
              </w:rPr>
            </w:pPr>
            <w:r w:rsidRPr="00DD06AB">
              <w:rPr>
                <w:sz w:val="18"/>
                <w:szCs w:val="18"/>
              </w:rPr>
              <w:t>4</w:t>
            </w:r>
          </w:p>
        </w:tc>
        <w:tc>
          <w:tcPr>
            <w:tcW w:w="0" w:type="auto"/>
            <w:hideMark/>
          </w:tcPr>
          <w:p w14:paraId="017E1119" w14:textId="77777777" w:rsidR="00CF5810" w:rsidRPr="00DD06AB" w:rsidRDefault="00CF5810" w:rsidP="004A50BB">
            <w:pPr>
              <w:keepNext/>
              <w:spacing w:before="60" w:after="60"/>
              <w:jc w:val="center"/>
              <w:rPr>
                <w:sz w:val="18"/>
                <w:szCs w:val="18"/>
              </w:rPr>
            </w:pPr>
            <w:r w:rsidRPr="00DD06AB">
              <w:rPr>
                <w:sz w:val="18"/>
                <w:szCs w:val="18"/>
              </w:rPr>
              <w:t>1.3</w:t>
            </w:r>
          </w:p>
        </w:tc>
      </w:tr>
      <w:tr w:rsidR="00CF5810" w:rsidRPr="00DD06AB" w14:paraId="3599B94F" w14:textId="77777777" w:rsidTr="00DD06AB">
        <w:trPr>
          <w:trHeight w:val="30"/>
        </w:trPr>
        <w:tc>
          <w:tcPr>
            <w:tcW w:w="0" w:type="auto"/>
            <w:noWrap/>
            <w:vAlign w:val="center"/>
            <w:hideMark/>
          </w:tcPr>
          <w:p w14:paraId="4EFD3DB5" w14:textId="77777777" w:rsidR="00CF5810" w:rsidRPr="00DD06AB" w:rsidRDefault="00CF5810" w:rsidP="004A50BB">
            <w:pPr>
              <w:keepNext/>
              <w:spacing w:before="60" w:after="60"/>
              <w:rPr>
                <w:sz w:val="18"/>
                <w:szCs w:val="18"/>
              </w:rPr>
            </w:pPr>
            <w:r w:rsidRPr="00DD06AB">
              <w:rPr>
                <w:sz w:val="18"/>
                <w:szCs w:val="18"/>
              </w:rPr>
              <w:t xml:space="preserve">Capital &amp; Coast </w:t>
            </w:r>
          </w:p>
        </w:tc>
        <w:tc>
          <w:tcPr>
            <w:tcW w:w="0" w:type="auto"/>
            <w:noWrap/>
            <w:hideMark/>
          </w:tcPr>
          <w:p w14:paraId="64352A75" w14:textId="77777777" w:rsidR="00CF5810" w:rsidRPr="00DD06AB" w:rsidRDefault="00CF5810" w:rsidP="004A50BB">
            <w:pPr>
              <w:keepNext/>
              <w:spacing w:before="60" w:after="60"/>
              <w:jc w:val="center"/>
              <w:rPr>
                <w:sz w:val="18"/>
                <w:szCs w:val="18"/>
              </w:rPr>
            </w:pPr>
            <w:r w:rsidRPr="00DD06AB">
              <w:rPr>
                <w:sz w:val="18"/>
                <w:szCs w:val="18"/>
              </w:rPr>
              <w:t>47</w:t>
            </w:r>
          </w:p>
        </w:tc>
        <w:tc>
          <w:tcPr>
            <w:tcW w:w="0" w:type="auto"/>
            <w:noWrap/>
            <w:hideMark/>
          </w:tcPr>
          <w:p w14:paraId="66AAC54F" w14:textId="77777777" w:rsidR="00CF5810" w:rsidRPr="00DD06AB" w:rsidRDefault="00CF5810" w:rsidP="004A50BB">
            <w:pPr>
              <w:keepNext/>
              <w:spacing w:before="60" w:after="60"/>
              <w:jc w:val="center"/>
              <w:rPr>
                <w:sz w:val="18"/>
                <w:szCs w:val="18"/>
              </w:rPr>
            </w:pPr>
            <w:r w:rsidRPr="00DD06AB">
              <w:rPr>
                <w:sz w:val="18"/>
                <w:szCs w:val="18"/>
              </w:rPr>
              <w:t>11</w:t>
            </w:r>
          </w:p>
        </w:tc>
        <w:tc>
          <w:tcPr>
            <w:tcW w:w="0" w:type="auto"/>
            <w:gridSpan w:val="2"/>
            <w:noWrap/>
            <w:hideMark/>
          </w:tcPr>
          <w:p w14:paraId="40605CBD" w14:textId="77777777" w:rsidR="00CF5810" w:rsidRPr="00DD06AB" w:rsidRDefault="00CF5810" w:rsidP="004A50BB">
            <w:pPr>
              <w:keepNext/>
              <w:spacing w:before="60" w:after="60"/>
              <w:jc w:val="center"/>
              <w:rPr>
                <w:sz w:val="18"/>
                <w:szCs w:val="18"/>
              </w:rPr>
            </w:pPr>
            <w:r w:rsidRPr="00DD06AB">
              <w:rPr>
                <w:sz w:val="18"/>
                <w:szCs w:val="18"/>
              </w:rPr>
              <w:t>4.2</w:t>
            </w:r>
          </w:p>
        </w:tc>
        <w:tc>
          <w:tcPr>
            <w:tcW w:w="0" w:type="auto"/>
            <w:hideMark/>
          </w:tcPr>
          <w:p w14:paraId="4BD28DDC" w14:textId="77777777" w:rsidR="00CF5810" w:rsidRPr="00DD06AB" w:rsidRDefault="00CF5810" w:rsidP="004A50BB">
            <w:pPr>
              <w:keepNext/>
              <w:spacing w:before="60" w:after="60"/>
              <w:jc w:val="center"/>
              <w:rPr>
                <w:sz w:val="18"/>
                <w:szCs w:val="18"/>
              </w:rPr>
            </w:pPr>
            <w:r w:rsidRPr="00DD06AB">
              <w:rPr>
                <w:sz w:val="18"/>
                <w:szCs w:val="18"/>
              </w:rPr>
              <w:t>62</w:t>
            </w:r>
          </w:p>
        </w:tc>
        <w:tc>
          <w:tcPr>
            <w:tcW w:w="0" w:type="auto"/>
            <w:hideMark/>
          </w:tcPr>
          <w:p w14:paraId="67990A89" w14:textId="77777777" w:rsidR="00CF5810" w:rsidRPr="00DD06AB" w:rsidRDefault="00CF5810" w:rsidP="004A50BB">
            <w:pPr>
              <w:keepNext/>
              <w:spacing w:before="60" w:after="60"/>
              <w:jc w:val="center"/>
              <w:rPr>
                <w:sz w:val="18"/>
                <w:szCs w:val="18"/>
              </w:rPr>
            </w:pPr>
            <w:r w:rsidRPr="00DD06AB">
              <w:rPr>
                <w:sz w:val="18"/>
                <w:szCs w:val="18"/>
              </w:rPr>
              <w:t>11</w:t>
            </w:r>
          </w:p>
        </w:tc>
        <w:tc>
          <w:tcPr>
            <w:tcW w:w="0" w:type="auto"/>
            <w:hideMark/>
          </w:tcPr>
          <w:p w14:paraId="75360CE6" w14:textId="77777777" w:rsidR="00CF5810" w:rsidRPr="00DD06AB" w:rsidRDefault="00CF5810" w:rsidP="004A50BB">
            <w:pPr>
              <w:keepNext/>
              <w:spacing w:before="60" w:after="60"/>
              <w:jc w:val="center"/>
              <w:rPr>
                <w:sz w:val="18"/>
                <w:szCs w:val="18"/>
              </w:rPr>
            </w:pPr>
            <w:r w:rsidRPr="00DD06AB">
              <w:rPr>
                <w:sz w:val="18"/>
                <w:szCs w:val="18"/>
              </w:rPr>
              <w:t>5.6</w:t>
            </w:r>
          </w:p>
        </w:tc>
      </w:tr>
      <w:tr w:rsidR="00CF5810" w:rsidRPr="00DD06AB" w14:paraId="28242AEE" w14:textId="77777777" w:rsidTr="00DD06AB">
        <w:trPr>
          <w:trHeight w:val="30"/>
        </w:trPr>
        <w:tc>
          <w:tcPr>
            <w:tcW w:w="0" w:type="auto"/>
            <w:noWrap/>
            <w:vAlign w:val="center"/>
            <w:hideMark/>
          </w:tcPr>
          <w:p w14:paraId="6566D8F3" w14:textId="77777777" w:rsidR="00CF5810" w:rsidRPr="00DD06AB" w:rsidRDefault="00CF5810" w:rsidP="004A50BB">
            <w:pPr>
              <w:keepNext/>
              <w:spacing w:before="60" w:after="60"/>
              <w:rPr>
                <w:sz w:val="18"/>
                <w:szCs w:val="18"/>
              </w:rPr>
            </w:pPr>
            <w:r w:rsidRPr="00DD06AB">
              <w:rPr>
                <w:sz w:val="18"/>
                <w:szCs w:val="18"/>
              </w:rPr>
              <w:t>Counties Manukau</w:t>
            </w:r>
          </w:p>
        </w:tc>
        <w:tc>
          <w:tcPr>
            <w:tcW w:w="0" w:type="auto"/>
            <w:noWrap/>
            <w:hideMark/>
          </w:tcPr>
          <w:p w14:paraId="359DC688" w14:textId="77777777" w:rsidR="00CF5810" w:rsidRPr="00DD06AB" w:rsidRDefault="00CF5810" w:rsidP="004A50BB">
            <w:pPr>
              <w:keepNext/>
              <w:spacing w:before="60" w:after="60"/>
              <w:jc w:val="center"/>
              <w:rPr>
                <w:sz w:val="18"/>
                <w:szCs w:val="18"/>
              </w:rPr>
            </w:pPr>
            <w:r w:rsidRPr="00DD06AB">
              <w:rPr>
                <w:sz w:val="18"/>
                <w:szCs w:val="18"/>
              </w:rPr>
              <w:t>6</w:t>
            </w:r>
          </w:p>
        </w:tc>
        <w:tc>
          <w:tcPr>
            <w:tcW w:w="0" w:type="auto"/>
            <w:noWrap/>
            <w:hideMark/>
          </w:tcPr>
          <w:p w14:paraId="00D62A99" w14:textId="77777777" w:rsidR="00CF5810" w:rsidRPr="00DD06AB" w:rsidRDefault="00CF5810" w:rsidP="004A50BB">
            <w:pPr>
              <w:keepNext/>
              <w:spacing w:before="60" w:after="60"/>
              <w:jc w:val="center"/>
              <w:rPr>
                <w:sz w:val="18"/>
                <w:szCs w:val="18"/>
              </w:rPr>
            </w:pPr>
            <w:r w:rsidRPr="00DD06AB">
              <w:rPr>
                <w:sz w:val="18"/>
                <w:szCs w:val="18"/>
              </w:rPr>
              <w:t>1</w:t>
            </w:r>
          </w:p>
        </w:tc>
        <w:tc>
          <w:tcPr>
            <w:tcW w:w="0" w:type="auto"/>
            <w:gridSpan w:val="2"/>
            <w:noWrap/>
            <w:hideMark/>
          </w:tcPr>
          <w:p w14:paraId="332CE53B" w14:textId="77777777" w:rsidR="00CF5810" w:rsidRPr="00DD06AB" w:rsidRDefault="00CF5810" w:rsidP="004A50BB">
            <w:pPr>
              <w:keepNext/>
              <w:spacing w:before="60" w:after="60"/>
              <w:jc w:val="center"/>
              <w:rPr>
                <w:sz w:val="18"/>
                <w:szCs w:val="18"/>
              </w:rPr>
            </w:pPr>
            <w:r w:rsidRPr="00DD06AB">
              <w:rPr>
                <w:sz w:val="18"/>
                <w:szCs w:val="18"/>
              </w:rPr>
              <w:t>6.7</w:t>
            </w:r>
          </w:p>
        </w:tc>
        <w:tc>
          <w:tcPr>
            <w:tcW w:w="0" w:type="auto"/>
            <w:hideMark/>
          </w:tcPr>
          <w:p w14:paraId="5C62E45F" w14:textId="77777777" w:rsidR="00CF5810" w:rsidRPr="00DD06AB" w:rsidRDefault="00CF5810" w:rsidP="004A50BB">
            <w:pPr>
              <w:keepNext/>
              <w:spacing w:before="60" w:after="60"/>
              <w:jc w:val="center"/>
              <w:rPr>
                <w:sz w:val="18"/>
                <w:szCs w:val="18"/>
              </w:rPr>
            </w:pPr>
            <w:r w:rsidRPr="00DD06AB">
              <w:rPr>
                <w:sz w:val="18"/>
                <w:szCs w:val="18"/>
              </w:rPr>
              <w:t>4</w:t>
            </w:r>
          </w:p>
        </w:tc>
        <w:tc>
          <w:tcPr>
            <w:tcW w:w="0" w:type="auto"/>
            <w:hideMark/>
          </w:tcPr>
          <w:p w14:paraId="58DFF0FB" w14:textId="77777777" w:rsidR="00CF5810" w:rsidRPr="00DD06AB" w:rsidRDefault="00CF5810" w:rsidP="004A50BB">
            <w:pPr>
              <w:keepNext/>
              <w:spacing w:before="60" w:after="60"/>
              <w:jc w:val="center"/>
              <w:rPr>
                <w:sz w:val="18"/>
                <w:szCs w:val="18"/>
              </w:rPr>
            </w:pPr>
            <w:r w:rsidRPr="00DD06AB">
              <w:rPr>
                <w:sz w:val="18"/>
                <w:szCs w:val="18"/>
              </w:rPr>
              <w:t>1</w:t>
            </w:r>
          </w:p>
        </w:tc>
        <w:tc>
          <w:tcPr>
            <w:tcW w:w="0" w:type="auto"/>
            <w:hideMark/>
          </w:tcPr>
          <w:p w14:paraId="222CB4E3" w14:textId="77777777" w:rsidR="00CF5810" w:rsidRPr="00DD06AB" w:rsidRDefault="00CF5810" w:rsidP="004A50BB">
            <w:pPr>
              <w:keepNext/>
              <w:spacing w:before="60" w:after="60"/>
              <w:jc w:val="center"/>
              <w:rPr>
                <w:sz w:val="18"/>
                <w:szCs w:val="18"/>
              </w:rPr>
            </w:pPr>
            <w:r w:rsidRPr="00DD06AB">
              <w:rPr>
                <w:sz w:val="18"/>
                <w:szCs w:val="18"/>
              </w:rPr>
              <w:t>2.9</w:t>
            </w:r>
          </w:p>
        </w:tc>
      </w:tr>
      <w:tr w:rsidR="00CF5810" w:rsidRPr="00DD06AB" w14:paraId="12B0368F" w14:textId="77777777" w:rsidTr="00DD06AB">
        <w:trPr>
          <w:trHeight w:val="30"/>
        </w:trPr>
        <w:tc>
          <w:tcPr>
            <w:tcW w:w="0" w:type="auto"/>
            <w:noWrap/>
            <w:vAlign w:val="center"/>
            <w:hideMark/>
          </w:tcPr>
          <w:p w14:paraId="0E8FA45C" w14:textId="39C52D20" w:rsidR="00CF5810" w:rsidRPr="00DD06AB" w:rsidRDefault="00CF5810" w:rsidP="004A50BB">
            <w:pPr>
              <w:keepNext/>
              <w:spacing w:before="60" w:after="60"/>
              <w:rPr>
                <w:sz w:val="18"/>
                <w:szCs w:val="18"/>
              </w:rPr>
            </w:pPr>
            <w:r w:rsidRPr="00DD06AB">
              <w:rPr>
                <w:sz w:val="18"/>
                <w:szCs w:val="18"/>
              </w:rPr>
              <w:t>Hawke</w:t>
            </w:r>
            <w:r w:rsidR="00825884" w:rsidRPr="00DD06AB">
              <w:rPr>
                <w:sz w:val="18"/>
                <w:szCs w:val="18"/>
              </w:rPr>
              <w:t>’</w:t>
            </w:r>
            <w:r w:rsidRPr="00DD06AB">
              <w:rPr>
                <w:sz w:val="18"/>
                <w:szCs w:val="18"/>
              </w:rPr>
              <w:t>s Bay</w:t>
            </w:r>
          </w:p>
        </w:tc>
        <w:tc>
          <w:tcPr>
            <w:tcW w:w="0" w:type="auto"/>
            <w:noWrap/>
            <w:hideMark/>
          </w:tcPr>
          <w:p w14:paraId="37A1243B" w14:textId="5C60F8D8" w:rsidR="00CF5810" w:rsidRPr="00DD06AB" w:rsidRDefault="00F755B8" w:rsidP="004A50BB">
            <w:pPr>
              <w:keepNext/>
              <w:spacing w:before="60" w:after="60"/>
              <w:jc w:val="center"/>
              <w:rPr>
                <w:sz w:val="18"/>
                <w:szCs w:val="18"/>
              </w:rPr>
            </w:pPr>
            <w:r w:rsidRPr="00DD06AB">
              <w:rPr>
                <w:sz w:val="18"/>
                <w:szCs w:val="18"/>
              </w:rPr>
              <w:t>–</w:t>
            </w:r>
          </w:p>
        </w:tc>
        <w:tc>
          <w:tcPr>
            <w:tcW w:w="0" w:type="auto"/>
            <w:noWrap/>
            <w:hideMark/>
          </w:tcPr>
          <w:p w14:paraId="3BF7B7DC" w14:textId="77777777" w:rsidR="00CF5810" w:rsidRPr="00DD06AB" w:rsidRDefault="00CF5810" w:rsidP="004A50BB">
            <w:pPr>
              <w:keepNext/>
              <w:spacing w:before="60" w:after="60"/>
              <w:jc w:val="center"/>
              <w:rPr>
                <w:sz w:val="18"/>
                <w:szCs w:val="18"/>
              </w:rPr>
            </w:pPr>
            <w:r w:rsidRPr="00DD06AB">
              <w:rPr>
                <w:sz w:val="18"/>
                <w:szCs w:val="18"/>
              </w:rPr>
              <w:t>1</w:t>
            </w:r>
          </w:p>
        </w:tc>
        <w:tc>
          <w:tcPr>
            <w:tcW w:w="0" w:type="auto"/>
            <w:gridSpan w:val="2"/>
            <w:noWrap/>
            <w:hideMark/>
          </w:tcPr>
          <w:p w14:paraId="29555741" w14:textId="0F37569B" w:rsidR="00CF5810" w:rsidRPr="00DD06AB" w:rsidRDefault="00F755B8" w:rsidP="004A50BB">
            <w:pPr>
              <w:keepNext/>
              <w:spacing w:before="60" w:after="60"/>
              <w:jc w:val="center"/>
              <w:rPr>
                <w:sz w:val="18"/>
                <w:szCs w:val="18"/>
              </w:rPr>
            </w:pPr>
            <w:r w:rsidRPr="00DD06AB">
              <w:rPr>
                <w:sz w:val="18"/>
                <w:szCs w:val="18"/>
              </w:rPr>
              <w:t>–</w:t>
            </w:r>
          </w:p>
        </w:tc>
        <w:tc>
          <w:tcPr>
            <w:tcW w:w="0" w:type="auto"/>
            <w:hideMark/>
          </w:tcPr>
          <w:p w14:paraId="4A011468" w14:textId="59022D82" w:rsidR="00CF5810" w:rsidRPr="00DD06AB" w:rsidRDefault="00F755B8" w:rsidP="004A50BB">
            <w:pPr>
              <w:keepNext/>
              <w:spacing w:before="60" w:after="60"/>
              <w:jc w:val="center"/>
              <w:rPr>
                <w:sz w:val="18"/>
                <w:szCs w:val="18"/>
              </w:rPr>
            </w:pPr>
            <w:r w:rsidRPr="00DD06AB">
              <w:rPr>
                <w:sz w:val="18"/>
                <w:szCs w:val="18"/>
              </w:rPr>
              <w:t>–</w:t>
            </w:r>
          </w:p>
        </w:tc>
        <w:tc>
          <w:tcPr>
            <w:tcW w:w="0" w:type="auto"/>
            <w:hideMark/>
          </w:tcPr>
          <w:p w14:paraId="2678B1AD" w14:textId="77777777" w:rsidR="00CF5810" w:rsidRPr="00DD06AB" w:rsidRDefault="00CF5810" w:rsidP="004A50BB">
            <w:pPr>
              <w:keepNext/>
              <w:spacing w:before="60" w:after="60"/>
              <w:jc w:val="center"/>
              <w:rPr>
                <w:sz w:val="18"/>
                <w:szCs w:val="18"/>
              </w:rPr>
            </w:pPr>
            <w:r w:rsidRPr="00DD06AB">
              <w:rPr>
                <w:sz w:val="18"/>
                <w:szCs w:val="18"/>
              </w:rPr>
              <w:t>1</w:t>
            </w:r>
          </w:p>
        </w:tc>
        <w:tc>
          <w:tcPr>
            <w:tcW w:w="0" w:type="auto"/>
            <w:hideMark/>
          </w:tcPr>
          <w:p w14:paraId="7F44EFCB" w14:textId="4398ACB8" w:rsidR="00CF5810" w:rsidRPr="00DD06AB" w:rsidRDefault="00F755B8" w:rsidP="004A50BB">
            <w:pPr>
              <w:keepNext/>
              <w:spacing w:before="60" w:after="60"/>
              <w:jc w:val="center"/>
              <w:rPr>
                <w:sz w:val="18"/>
                <w:szCs w:val="18"/>
              </w:rPr>
            </w:pPr>
            <w:r w:rsidRPr="00DD06AB">
              <w:rPr>
                <w:sz w:val="18"/>
                <w:szCs w:val="18"/>
              </w:rPr>
              <w:t>–</w:t>
            </w:r>
          </w:p>
        </w:tc>
      </w:tr>
      <w:tr w:rsidR="00CF5810" w:rsidRPr="00DD06AB" w14:paraId="55EB46A1" w14:textId="77777777" w:rsidTr="00DD06AB">
        <w:trPr>
          <w:trHeight w:val="30"/>
        </w:trPr>
        <w:tc>
          <w:tcPr>
            <w:tcW w:w="0" w:type="auto"/>
            <w:noWrap/>
            <w:vAlign w:val="center"/>
            <w:hideMark/>
          </w:tcPr>
          <w:p w14:paraId="0D29D083" w14:textId="77777777" w:rsidR="00CF5810" w:rsidRPr="00DD06AB" w:rsidRDefault="00CF5810" w:rsidP="004A50BB">
            <w:pPr>
              <w:keepNext/>
              <w:spacing w:before="60" w:after="60"/>
              <w:rPr>
                <w:sz w:val="18"/>
                <w:szCs w:val="18"/>
              </w:rPr>
            </w:pPr>
            <w:r w:rsidRPr="00DD06AB">
              <w:rPr>
                <w:sz w:val="18"/>
                <w:szCs w:val="18"/>
              </w:rPr>
              <w:t>Hutt Valley</w:t>
            </w:r>
          </w:p>
        </w:tc>
        <w:tc>
          <w:tcPr>
            <w:tcW w:w="0" w:type="auto"/>
            <w:noWrap/>
            <w:hideMark/>
          </w:tcPr>
          <w:p w14:paraId="1830ECC9" w14:textId="77777777" w:rsidR="00CF5810" w:rsidRPr="00DD06AB" w:rsidRDefault="00CF5810" w:rsidP="004A50BB">
            <w:pPr>
              <w:keepNext/>
              <w:spacing w:before="60" w:after="60"/>
              <w:jc w:val="center"/>
              <w:rPr>
                <w:sz w:val="18"/>
                <w:szCs w:val="18"/>
              </w:rPr>
            </w:pPr>
            <w:r w:rsidRPr="00DD06AB">
              <w:rPr>
                <w:sz w:val="18"/>
                <w:szCs w:val="18"/>
              </w:rPr>
              <w:t>4</w:t>
            </w:r>
          </w:p>
        </w:tc>
        <w:tc>
          <w:tcPr>
            <w:tcW w:w="0" w:type="auto"/>
            <w:noWrap/>
            <w:hideMark/>
          </w:tcPr>
          <w:p w14:paraId="27F8A187" w14:textId="77777777" w:rsidR="00CF5810" w:rsidRPr="00DD06AB" w:rsidRDefault="00CF5810" w:rsidP="004A50BB">
            <w:pPr>
              <w:keepNext/>
              <w:spacing w:before="60" w:after="60"/>
              <w:jc w:val="center"/>
              <w:rPr>
                <w:sz w:val="18"/>
                <w:szCs w:val="18"/>
              </w:rPr>
            </w:pPr>
            <w:r w:rsidRPr="00DD06AB">
              <w:rPr>
                <w:sz w:val="18"/>
                <w:szCs w:val="18"/>
              </w:rPr>
              <w:t>2</w:t>
            </w:r>
          </w:p>
        </w:tc>
        <w:tc>
          <w:tcPr>
            <w:tcW w:w="0" w:type="auto"/>
            <w:gridSpan w:val="2"/>
            <w:noWrap/>
            <w:hideMark/>
          </w:tcPr>
          <w:p w14:paraId="08598EF7" w14:textId="77777777" w:rsidR="00CF5810" w:rsidRPr="00DD06AB" w:rsidRDefault="00CF5810" w:rsidP="004A50BB">
            <w:pPr>
              <w:keepNext/>
              <w:spacing w:before="60" w:after="60"/>
              <w:jc w:val="center"/>
              <w:rPr>
                <w:sz w:val="18"/>
                <w:szCs w:val="18"/>
              </w:rPr>
            </w:pPr>
            <w:r w:rsidRPr="00DD06AB">
              <w:rPr>
                <w:sz w:val="18"/>
                <w:szCs w:val="18"/>
              </w:rPr>
              <w:t>2.4</w:t>
            </w:r>
          </w:p>
        </w:tc>
        <w:tc>
          <w:tcPr>
            <w:tcW w:w="0" w:type="auto"/>
            <w:hideMark/>
          </w:tcPr>
          <w:p w14:paraId="6ECE41D1" w14:textId="77777777" w:rsidR="00CF5810" w:rsidRPr="00DD06AB" w:rsidRDefault="00CF5810" w:rsidP="004A50BB">
            <w:pPr>
              <w:keepNext/>
              <w:spacing w:before="60" w:after="60"/>
              <w:jc w:val="center"/>
              <w:rPr>
                <w:sz w:val="18"/>
                <w:szCs w:val="18"/>
              </w:rPr>
            </w:pPr>
            <w:r w:rsidRPr="00DD06AB">
              <w:rPr>
                <w:sz w:val="18"/>
                <w:szCs w:val="18"/>
              </w:rPr>
              <w:t>4</w:t>
            </w:r>
          </w:p>
        </w:tc>
        <w:tc>
          <w:tcPr>
            <w:tcW w:w="0" w:type="auto"/>
            <w:hideMark/>
          </w:tcPr>
          <w:p w14:paraId="79BFCF95" w14:textId="77777777" w:rsidR="00CF5810" w:rsidRPr="00DD06AB" w:rsidRDefault="00CF5810" w:rsidP="004A50BB">
            <w:pPr>
              <w:keepNext/>
              <w:spacing w:before="60" w:after="60"/>
              <w:jc w:val="center"/>
              <w:rPr>
                <w:sz w:val="18"/>
                <w:szCs w:val="18"/>
              </w:rPr>
            </w:pPr>
            <w:r w:rsidRPr="00DD06AB">
              <w:rPr>
                <w:sz w:val="18"/>
                <w:szCs w:val="18"/>
              </w:rPr>
              <w:t>2</w:t>
            </w:r>
          </w:p>
        </w:tc>
        <w:tc>
          <w:tcPr>
            <w:tcW w:w="0" w:type="auto"/>
            <w:hideMark/>
          </w:tcPr>
          <w:p w14:paraId="4E8B6D41" w14:textId="77777777" w:rsidR="00CF5810" w:rsidRPr="00DD06AB" w:rsidRDefault="00CF5810" w:rsidP="004A50BB">
            <w:pPr>
              <w:keepNext/>
              <w:spacing w:before="60" w:after="60"/>
              <w:jc w:val="center"/>
              <w:rPr>
                <w:sz w:val="18"/>
                <w:szCs w:val="18"/>
              </w:rPr>
            </w:pPr>
            <w:r w:rsidRPr="00DD06AB">
              <w:rPr>
                <w:sz w:val="18"/>
                <w:szCs w:val="18"/>
              </w:rPr>
              <w:t>2.3</w:t>
            </w:r>
          </w:p>
        </w:tc>
      </w:tr>
      <w:tr w:rsidR="00CF5810" w:rsidRPr="00DD06AB" w14:paraId="7AE021BC" w14:textId="77777777" w:rsidTr="00DD06AB">
        <w:trPr>
          <w:trHeight w:val="30"/>
        </w:trPr>
        <w:tc>
          <w:tcPr>
            <w:tcW w:w="0" w:type="auto"/>
            <w:noWrap/>
            <w:vAlign w:val="center"/>
            <w:hideMark/>
          </w:tcPr>
          <w:p w14:paraId="3E017D88" w14:textId="77777777" w:rsidR="00CF5810" w:rsidRPr="00DD06AB" w:rsidRDefault="00CF5810" w:rsidP="004A50BB">
            <w:pPr>
              <w:keepNext/>
              <w:spacing w:before="60" w:after="60"/>
              <w:rPr>
                <w:sz w:val="18"/>
                <w:szCs w:val="18"/>
              </w:rPr>
            </w:pPr>
            <w:r w:rsidRPr="00DD06AB">
              <w:rPr>
                <w:sz w:val="18"/>
                <w:szCs w:val="18"/>
              </w:rPr>
              <w:t>Lakes</w:t>
            </w:r>
          </w:p>
        </w:tc>
        <w:tc>
          <w:tcPr>
            <w:tcW w:w="0" w:type="auto"/>
            <w:noWrap/>
            <w:hideMark/>
          </w:tcPr>
          <w:p w14:paraId="5A39AB96" w14:textId="77777777" w:rsidR="00CF5810" w:rsidRPr="00DD06AB" w:rsidRDefault="00CF5810" w:rsidP="004A50BB">
            <w:pPr>
              <w:keepNext/>
              <w:spacing w:before="60" w:after="60"/>
              <w:jc w:val="center"/>
              <w:rPr>
                <w:sz w:val="18"/>
                <w:szCs w:val="18"/>
              </w:rPr>
            </w:pPr>
            <w:r w:rsidRPr="00DD06AB">
              <w:rPr>
                <w:sz w:val="18"/>
                <w:szCs w:val="18"/>
              </w:rPr>
              <w:t>3</w:t>
            </w:r>
          </w:p>
        </w:tc>
        <w:tc>
          <w:tcPr>
            <w:tcW w:w="0" w:type="auto"/>
            <w:noWrap/>
            <w:hideMark/>
          </w:tcPr>
          <w:p w14:paraId="717889E2" w14:textId="5326D62D" w:rsidR="00CF5810" w:rsidRPr="00DD06AB" w:rsidRDefault="00F755B8" w:rsidP="004A50BB">
            <w:pPr>
              <w:keepNext/>
              <w:spacing w:before="60" w:after="60"/>
              <w:jc w:val="center"/>
              <w:rPr>
                <w:sz w:val="18"/>
                <w:szCs w:val="18"/>
              </w:rPr>
            </w:pPr>
            <w:r w:rsidRPr="00DD06AB">
              <w:rPr>
                <w:sz w:val="18"/>
                <w:szCs w:val="18"/>
              </w:rPr>
              <w:t>–</w:t>
            </w:r>
          </w:p>
        </w:tc>
        <w:tc>
          <w:tcPr>
            <w:tcW w:w="0" w:type="auto"/>
            <w:gridSpan w:val="2"/>
            <w:noWrap/>
            <w:hideMark/>
          </w:tcPr>
          <w:p w14:paraId="384E8EA0" w14:textId="13F35331" w:rsidR="00CF5810" w:rsidRPr="00DD06AB" w:rsidRDefault="00F755B8" w:rsidP="004A50BB">
            <w:pPr>
              <w:keepNext/>
              <w:spacing w:before="60" w:after="60"/>
              <w:jc w:val="center"/>
              <w:rPr>
                <w:sz w:val="18"/>
                <w:szCs w:val="18"/>
              </w:rPr>
            </w:pPr>
            <w:r w:rsidRPr="00DD06AB">
              <w:rPr>
                <w:sz w:val="18"/>
                <w:szCs w:val="18"/>
              </w:rPr>
              <w:t>–</w:t>
            </w:r>
          </w:p>
        </w:tc>
        <w:tc>
          <w:tcPr>
            <w:tcW w:w="0" w:type="auto"/>
            <w:hideMark/>
          </w:tcPr>
          <w:p w14:paraId="38C25CC7" w14:textId="78CB4647" w:rsidR="00CF5810" w:rsidRPr="00DD06AB" w:rsidRDefault="00F755B8" w:rsidP="004A50BB">
            <w:pPr>
              <w:keepNext/>
              <w:spacing w:before="60" w:after="60"/>
              <w:jc w:val="center"/>
              <w:rPr>
                <w:sz w:val="18"/>
                <w:szCs w:val="18"/>
              </w:rPr>
            </w:pPr>
            <w:r w:rsidRPr="00DD06AB">
              <w:rPr>
                <w:sz w:val="18"/>
                <w:szCs w:val="18"/>
              </w:rPr>
              <w:t>–</w:t>
            </w:r>
          </w:p>
        </w:tc>
        <w:tc>
          <w:tcPr>
            <w:tcW w:w="0" w:type="auto"/>
            <w:hideMark/>
          </w:tcPr>
          <w:p w14:paraId="136E112B" w14:textId="29541CF0" w:rsidR="00CF5810" w:rsidRPr="00DD06AB" w:rsidRDefault="00F755B8" w:rsidP="004A50BB">
            <w:pPr>
              <w:keepNext/>
              <w:spacing w:before="60" w:after="60"/>
              <w:jc w:val="center"/>
              <w:rPr>
                <w:sz w:val="18"/>
                <w:szCs w:val="18"/>
              </w:rPr>
            </w:pPr>
            <w:r w:rsidRPr="00DD06AB">
              <w:rPr>
                <w:sz w:val="18"/>
                <w:szCs w:val="18"/>
              </w:rPr>
              <w:t>–</w:t>
            </w:r>
          </w:p>
        </w:tc>
        <w:tc>
          <w:tcPr>
            <w:tcW w:w="0" w:type="auto"/>
            <w:hideMark/>
          </w:tcPr>
          <w:p w14:paraId="00954E0E" w14:textId="1AE6E281" w:rsidR="00CF5810" w:rsidRPr="00DD06AB" w:rsidRDefault="00F755B8" w:rsidP="004A50BB">
            <w:pPr>
              <w:keepNext/>
              <w:spacing w:before="60" w:after="60"/>
              <w:jc w:val="center"/>
              <w:rPr>
                <w:sz w:val="18"/>
                <w:szCs w:val="18"/>
              </w:rPr>
            </w:pPr>
            <w:r w:rsidRPr="00DD06AB">
              <w:rPr>
                <w:sz w:val="18"/>
                <w:szCs w:val="18"/>
              </w:rPr>
              <w:t>–</w:t>
            </w:r>
          </w:p>
        </w:tc>
      </w:tr>
      <w:tr w:rsidR="00CF5810" w:rsidRPr="00DD06AB" w14:paraId="4318C95B" w14:textId="77777777" w:rsidTr="00DD06AB">
        <w:trPr>
          <w:trHeight w:val="30"/>
        </w:trPr>
        <w:tc>
          <w:tcPr>
            <w:tcW w:w="0" w:type="auto"/>
            <w:noWrap/>
            <w:vAlign w:val="center"/>
            <w:hideMark/>
          </w:tcPr>
          <w:p w14:paraId="037B216A" w14:textId="77777777" w:rsidR="00CF5810" w:rsidRPr="00DD06AB" w:rsidRDefault="00CF5810" w:rsidP="004A50BB">
            <w:pPr>
              <w:keepNext/>
              <w:spacing w:before="60" w:after="60"/>
              <w:rPr>
                <w:sz w:val="18"/>
                <w:szCs w:val="18"/>
              </w:rPr>
            </w:pPr>
            <w:r w:rsidRPr="00DD06AB">
              <w:rPr>
                <w:sz w:val="18"/>
                <w:szCs w:val="18"/>
              </w:rPr>
              <w:t>Mid Central</w:t>
            </w:r>
          </w:p>
        </w:tc>
        <w:tc>
          <w:tcPr>
            <w:tcW w:w="0" w:type="auto"/>
            <w:noWrap/>
            <w:hideMark/>
          </w:tcPr>
          <w:p w14:paraId="25BD7EC1" w14:textId="77777777" w:rsidR="00CF5810" w:rsidRPr="00DD06AB" w:rsidRDefault="00CF5810" w:rsidP="004A50BB">
            <w:pPr>
              <w:keepNext/>
              <w:spacing w:before="60" w:after="60"/>
              <w:jc w:val="center"/>
              <w:rPr>
                <w:sz w:val="18"/>
                <w:szCs w:val="18"/>
              </w:rPr>
            </w:pPr>
            <w:r w:rsidRPr="00DD06AB">
              <w:rPr>
                <w:sz w:val="18"/>
                <w:szCs w:val="18"/>
              </w:rPr>
              <w:t>14</w:t>
            </w:r>
          </w:p>
        </w:tc>
        <w:tc>
          <w:tcPr>
            <w:tcW w:w="0" w:type="auto"/>
            <w:noWrap/>
            <w:hideMark/>
          </w:tcPr>
          <w:p w14:paraId="71B48222" w14:textId="77777777" w:rsidR="00CF5810" w:rsidRPr="00DD06AB" w:rsidRDefault="00CF5810" w:rsidP="004A50BB">
            <w:pPr>
              <w:keepNext/>
              <w:spacing w:before="60" w:after="60"/>
              <w:jc w:val="center"/>
              <w:rPr>
                <w:sz w:val="18"/>
                <w:szCs w:val="18"/>
              </w:rPr>
            </w:pPr>
            <w:r w:rsidRPr="00DD06AB">
              <w:rPr>
                <w:sz w:val="18"/>
                <w:szCs w:val="18"/>
              </w:rPr>
              <w:t>2</w:t>
            </w:r>
          </w:p>
        </w:tc>
        <w:tc>
          <w:tcPr>
            <w:tcW w:w="0" w:type="auto"/>
            <w:gridSpan w:val="2"/>
            <w:noWrap/>
            <w:hideMark/>
          </w:tcPr>
          <w:p w14:paraId="34F15241" w14:textId="77777777" w:rsidR="00CF5810" w:rsidRPr="00DD06AB" w:rsidRDefault="00CF5810" w:rsidP="004A50BB">
            <w:pPr>
              <w:keepNext/>
              <w:spacing w:before="60" w:after="60"/>
              <w:jc w:val="center"/>
              <w:rPr>
                <w:sz w:val="18"/>
                <w:szCs w:val="18"/>
              </w:rPr>
            </w:pPr>
            <w:r w:rsidRPr="00DD06AB">
              <w:rPr>
                <w:sz w:val="18"/>
                <w:szCs w:val="18"/>
              </w:rPr>
              <w:t>6.7</w:t>
            </w:r>
          </w:p>
        </w:tc>
        <w:tc>
          <w:tcPr>
            <w:tcW w:w="0" w:type="auto"/>
            <w:hideMark/>
          </w:tcPr>
          <w:p w14:paraId="28ED63DA" w14:textId="77777777" w:rsidR="00CF5810" w:rsidRPr="00DD06AB" w:rsidRDefault="00CF5810" w:rsidP="004A50BB">
            <w:pPr>
              <w:keepNext/>
              <w:spacing w:before="60" w:after="60"/>
              <w:jc w:val="center"/>
              <w:rPr>
                <w:sz w:val="18"/>
                <w:szCs w:val="18"/>
              </w:rPr>
            </w:pPr>
            <w:r w:rsidRPr="00DD06AB">
              <w:rPr>
                <w:sz w:val="18"/>
                <w:szCs w:val="18"/>
              </w:rPr>
              <w:t>5</w:t>
            </w:r>
          </w:p>
        </w:tc>
        <w:tc>
          <w:tcPr>
            <w:tcW w:w="0" w:type="auto"/>
            <w:hideMark/>
          </w:tcPr>
          <w:p w14:paraId="361C6CAD" w14:textId="77777777" w:rsidR="00CF5810" w:rsidRPr="00DD06AB" w:rsidRDefault="00CF5810" w:rsidP="004A50BB">
            <w:pPr>
              <w:keepNext/>
              <w:spacing w:before="60" w:after="60"/>
              <w:jc w:val="center"/>
              <w:rPr>
                <w:sz w:val="18"/>
                <w:szCs w:val="18"/>
              </w:rPr>
            </w:pPr>
            <w:r w:rsidRPr="00DD06AB">
              <w:rPr>
                <w:sz w:val="18"/>
                <w:szCs w:val="18"/>
              </w:rPr>
              <w:t>1</w:t>
            </w:r>
          </w:p>
        </w:tc>
        <w:tc>
          <w:tcPr>
            <w:tcW w:w="0" w:type="auto"/>
            <w:hideMark/>
          </w:tcPr>
          <w:p w14:paraId="7B81F173" w14:textId="77777777" w:rsidR="00CF5810" w:rsidRPr="00DD06AB" w:rsidRDefault="00CF5810" w:rsidP="004A50BB">
            <w:pPr>
              <w:keepNext/>
              <w:spacing w:before="60" w:after="60"/>
              <w:jc w:val="center"/>
              <w:rPr>
                <w:sz w:val="18"/>
                <w:szCs w:val="18"/>
              </w:rPr>
            </w:pPr>
            <w:r w:rsidRPr="00DD06AB">
              <w:rPr>
                <w:sz w:val="18"/>
                <w:szCs w:val="18"/>
              </w:rPr>
              <w:t>3.8</w:t>
            </w:r>
          </w:p>
        </w:tc>
      </w:tr>
      <w:tr w:rsidR="00CF5810" w:rsidRPr="00DD06AB" w14:paraId="484E2F03" w14:textId="77777777" w:rsidTr="00DD06AB">
        <w:trPr>
          <w:trHeight w:val="30"/>
        </w:trPr>
        <w:tc>
          <w:tcPr>
            <w:tcW w:w="0" w:type="auto"/>
            <w:noWrap/>
            <w:vAlign w:val="center"/>
            <w:hideMark/>
          </w:tcPr>
          <w:p w14:paraId="28F17636" w14:textId="77777777" w:rsidR="00CF5810" w:rsidRPr="00DD06AB" w:rsidRDefault="00CF5810" w:rsidP="004A50BB">
            <w:pPr>
              <w:keepNext/>
              <w:spacing w:before="60" w:after="60"/>
              <w:rPr>
                <w:sz w:val="18"/>
                <w:szCs w:val="18"/>
              </w:rPr>
            </w:pPr>
            <w:r w:rsidRPr="00DD06AB">
              <w:rPr>
                <w:sz w:val="18"/>
                <w:szCs w:val="18"/>
              </w:rPr>
              <w:t>Nelson Marlborough</w:t>
            </w:r>
          </w:p>
        </w:tc>
        <w:tc>
          <w:tcPr>
            <w:tcW w:w="0" w:type="auto"/>
            <w:noWrap/>
            <w:hideMark/>
          </w:tcPr>
          <w:p w14:paraId="5250BA67" w14:textId="268C34FF" w:rsidR="00CF5810" w:rsidRPr="00DD06AB" w:rsidRDefault="00F755B8" w:rsidP="004A50BB">
            <w:pPr>
              <w:keepNext/>
              <w:spacing w:before="60" w:after="60"/>
              <w:jc w:val="center"/>
              <w:rPr>
                <w:sz w:val="18"/>
                <w:szCs w:val="18"/>
              </w:rPr>
            </w:pPr>
            <w:r w:rsidRPr="00DD06AB">
              <w:rPr>
                <w:sz w:val="18"/>
                <w:szCs w:val="18"/>
              </w:rPr>
              <w:t>–</w:t>
            </w:r>
          </w:p>
        </w:tc>
        <w:tc>
          <w:tcPr>
            <w:tcW w:w="0" w:type="auto"/>
            <w:noWrap/>
            <w:hideMark/>
          </w:tcPr>
          <w:p w14:paraId="7E0BD183" w14:textId="77777777" w:rsidR="00CF5810" w:rsidRPr="00DD06AB" w:rsidRDefault="00CF5810" w:rsidP="004A50BB">
            <w:pPr>
              <w:keepNext/>
              <w:spacing w:before="60" w:after="60"/>
              <w:jc w:val="center"/>
              <w:rPr>
                <w:sz w:val="18"/>
                <w:szCs w:val="18"/>
              </w:rPr>
            </w:pPr>
            <w:r w:rsidRPr="00DD06AB">
              <w:rPr>
                <w:sz w:val="18"/>
                <w:szCs w:val="18"/>
              </w:rPr>
              <w:t>4</w:t>
            </w:r>
          </w:p>
        </w:tc>
        <w:tc>
          <w:tcPr>
            <w:tcW w:w="0" w:type="auto"/>
            <w:gridSpan w:val="2"/>
            <w:noWrap/>
            <w:hideMark/>
          </w:tcPr>
          <w:p w14:paraId="26719576" w14:textId="6BD9F513" w:rsidR="00CF5810" w:rsidRPr="00DD06AB" w:rsidRDefault="00F755B8" w:rsidP="004A50BB">
            <w:pPr>
              <w:keepNext/>
              <w:spacing w:before="60" w:after="60"/>
              <w:jc w:val="center"/>
              <w:rPr>
                <w:sz w:val="18"/>
                <w:szCs w:val="18"/>
              </w:rPr>
            </w:pPr>
            <w:r w:rsidRPr="00DD06AB">
              <w:rPr>
                <w:sz w:val="18"/>
                <w:szCs w:val="18"/>
              </w:rPr>
              <w:t>–</w:t>
            </w:r>
          </w:p>
        </w:tc>
        <w:tc>
          <w:tcPr>
            <w:tcW w:w="0" w:type="auto"/>
            <w:hideMark/>
          </w:tcPr>
          <w:p w14:paraId="6E7FA7E8" w14:textId="239BBCF6" w:rsidR="00CF5810" w:rsidRPr="00DD06AB" w:rsidRDefault="00F755B8" w:rsidP="004A50BB">
            <w:pPr>
              <w:keepNext/>
              <w:spacing w:before="60" w:after="60"/>
              <w:jc w:val="center"/>
              <w:rPr>
                <w:sz w:val="18"/>
                <w:szCs w:val="18"/>
              </w:rPr>
            </w:pPr>
            <w:r w:rsidRPr="00DD06AB">
              <w:rPr>
                <w:sz w:val="18"/>
                <w:szCs w:val="18"/>
              </w:rPr>
              <w:t>–</w:t>
            </w:r>
          </w:p>
        </w:tc>
        <w:tc>
          <w:tcPr>
            <w:tcW w:w="0" w:type="auto"/>
            <w:hideMark/>
          </w:tcPr>
          <w:p w14:paraId="32595988" w14:textId="77777777" w:rsidR="00CF5810" w:rsidRPr="00DD06AB" w:rsidRDefault="00CF5810" w:rsidP="004A50BB">
            <w:pPr>
              <w:keepNext/>
              <w:spacing w:before="60" w:after="60"/>
              <w:jc w:val="center"/>
              <w:rPr>
                <w:sz w:val="18"/>
                <w:szCs w:val="18"/>
              </w:rPr>
            </w:pPr>
            <w:r w:rsidRPr="00DD06AB">
              <w:rPr>
                <w:sz w:val="18"/>
                <w:szCs w:val="18"/>
              </w:rPr>
              <w:t>5</w:t>
            </w:r>
          </w:p>
        </w:tc>
        <w:tc>
          <w:tcPr>
            <w:tcW w:w="0" w:type="auto"/>
            <w:hideMark/>
          </w:tcPr>
          <w:p w14:paraId="28CC7FC3" w14:textId="28ACE1F1" w:rsidR="00CF5810" w:rsidRPr="00DD06AB" w:rsidRDefault="00F755B8" w:rsidP="004A50BB">
            <w:pPr>
              <w:keepNext/>
              <w:spacing w:before="60" w:after="60"/>
              <w:jc w:val="center"/>
              <w:rPr>
                <w:sz w:val="18"/>
                <w:szCs w:val="18"/>
              </w:rPr>
            </w:pPr>
            <w:r w:rsidRPr="00DD06AB">
              <w:rPr>
                <w:sz w:val="18"/>
                <w:szCs w:val="18"/>
              </w:rPr>
              <w:t>–</w:t>
            </w:r>
          </w:p>
        </w:tc>
      </w:tr>
      <w:tr w:rsidR="00CF5810" w:rsidRPr="00DD06AB" w14:paraId="2E584A38" w14:textId="77777777" w:rsidTr="00DD06AB">
        <w:trPr>
          <w:trHeight w:val="30"/>
        </w:trPr>
        <w:tc>
          <w:tcPr>
            <w:tcW w:w="0" w:type="auto"/>
            <w:noWrap/>
            <w:vAlign w:val="center"/>
            <w:hideMark/>
          </w:tcPr>
          <w:p w14:paraId="7A6E5164" w14:textId="77777777" w:rsidR="00CF5810" w:rsidRPr="00DD06AB" w:rsidRDefault="00CF5810" w:rsidP="004A50BB">
            <w:pPr>
              <w:keepNext/>
              <w:spacing w:before="60" w:after="60"/>
              <w:rPr>
                <w:sz w:val="18"/>
                <w:szCs w:val="18"/>
              </w:rPr>
            </w:pPr>
            <w:r w:rsidRPr="00DD06AB">
              <w:rPr>
                <w:sz w:val="18"/>
                <w:szCs w:val="18"/>
              </w:rPr>
              <w:t>Northland</w:t>
            </w:r>
          </w:p>
        </w:tc>
        <w:tc>
          <w:tcPr>
            <w:tcW w:w="0" w:type="auto"/>
            <w:noWrap/>
            <w:hideMark/>
          </w:tcPr>
          <w:p w14:paraId="75355838" w14:textId="77777777" w:rsidR="00CF5810" w:rsidRPr="00DD06AB" w:rsidRDefault="00CF5810" w:rsidP="004A50BB">
            <w:pPr>
              <w:keepNext/>
              <w:spacing w:before="60" w:after="60"/>
              <w:jc w:val="center"/>
              <w:rPr>
                <w:sz w:val="18"/>
                <w:szCs w:val="18"/>
              </w:rPr>
            </w:pPr>
            <w:r w:rsidRPr="00DD06AB">
              <w:rPr>
                <w:sz w:val="18"/>
                <w:szCs w:val="18"/>
              </w:rPr>
              <w:t>7</w:t>
            </w:r>
          </w:p>
        </w:tc>
        <w:tc>
          <w:tcPr>
            <w:tcW w:w="0" w:type="auto"/>
            <w:noWrap/>
            <w:hideMark/>
          </w:tcPr>
          <w:p w14:paraId="1A8655F4" w14:textId="77777777" w:rsidR="00CF5810" w:rsidRPr="00DD06AB" w:rsidRDefault="00CF5810" w:rsidP="004A50BB">
            <w:pPr>
              <w:keepNext/>
              <w:spacing w:before="60" w:after="60"/>
              <w:jc w:val="center"/>
              <w:rPr>
                <w:sz w:val="18"/>
                <w:szCs w:val="18"/>
              </w:rPr>
            </w:pPr>
            <w:r w:rsidRPr="00DD06AB">
              <w:rPr>
                <w:sz w:val="18"/>
                <w:szCs w:val="18"/>
              </w:rPr>
              <w:t>1</w:t>
            </w:r>
          </w:p>
        </w:tc>
        <w:tc>
          <w:tcPr>
            <w:tcW w:w="0" w:type="auto"/>
            <w:gridSpan w:val="2"/>
            <w:noWrap/>
            <w:hideMark/>
          </w:tcPr>
          <w:p w14:paraId="2E9C43FD" w14:textId="77777777" w:rsidR="00CF5810" w:rsidRPr="00DD06AB" w:rsidRDefault="00CF5810" w:rsidP="004A50BB">
            <w:pPr>
              <w:keepNext/>
              <w:spacing w:before="60" w:after="60"/>
              <w:jc w:val="center"/>
              <w:rPr>
                <w:sz w:val="18"/>
                <w:szCs w:val="18"/>
              </w:rPr>
            </w:pPr>
            <w:r w:rsidRPr="00DD06AB">
              <w:rPr>
                <w:sz w:val="18"/>
                <w:szCs w:val="18"/>
              </w:rPr>
              <w:t>7.9</w:t>
            </w:r>
          </w:p>
        </w:tc>
        <w:tc>
          <w:tcPr>
            <w:tcW w:w="0" w:type="auto"/>
            <w:hideMark/>
          </w:tcPr>
          <w:p w14:paraId="3BE90C4A" w14:textId="0B64935A" w:rsidR="00CF5810" w:rsidRPr="00DD06AB" w:rsidRDefault="00F755B8" w:rsidP="004A50BB">
            <w:pPr>
              <w:keepNext/>
              <w:spacing w:before="60" w:after="60"/>
              <w:jc w:val="center"/>
              <w:rPr>
                <w:sz w:val="18"/>
                <w:szCs w:val="18"/>
              </w:rPr>
            </w:pPr>
            <w:r w:rsidRPr="00DD06AB">
              <w:rPr>
                <w:sz w:val="18"/>
                <w:szCs w:val="18"/>
              </w:rPr>
              <w:t>–</w:t>
            </w:r>
          </w:p>
        </w:tc>
        <w:tc>
          <w:tcPr>
            <w:tcW w:w="0" w:type="auto"/>
            <w:hideMark/>
          </w:tcPr>
          <w:p w14:paraId="76894261" w14:textId="77777777" w:rsidR="00CF5810" w:rsidRPr="00DD06AB" w:rsidRDefault="00CF5810" w:rsidP="004A50BB">
            <w:pPr>
              <w:keepNext/>
              <w:spacing w:before="60" w:after="60"/>
              <w:jc w:val="center"/>
              <w:rPr>
                <w:sz w:val="18"/>
                <w:szCs w:val="18"/>
              </w:rPr>
            </w:pPr>
            <w:r w:rsidRPr="00DD06AB">
              <w:rPr>
                <w:sz w:val="18"/>
                <w:szCs w:val="18"/>
              </w:rPr>
              <w:t>2</w:t>
            </w:r>
          </w:p>
        </w:tc>
        <w:tc>
          <w:tcPr>
            <w:tcW w:w="0" w:type="auto"/>
            <w:hideMark/>
          </w:tcPr>
          <w:p w14:paraId="0AC478BB" w14:textId="2C758B09" w:rsidR="00CF5810" w:rsidRPr="00DD06AB" w:rsidRDefault="00F755B8" w:rsidP="004A50BB">
            <w:pPr>
              <w:keepNext/>
              <w:spacing w:before="60" w:after="60"/>
              <w:jc w:val="center"/>
              <w:rPr>
                <w:sz w:val="18"/>
                <w:szCs w:val="18"/>
              </w:rPr>
            </w:pPr>
            <w:r w:rsidRPr="00DD06AB">
              <w:rPr>
                <w:sz w:val="18"/>
                <w:szCs w:val="18"/>
              </w:rPr>
              <w:t>–</w:t>
            </w:r>
          </w:p>
        </w:tc>
      </w:tr>
      <w:tr w:rsidR="00CF5810" w:rsidRPr="00DD06AB" w14:paraId="79F442BC" w14:textId="77777777" w:rsidTr="00DD06AB">
        <w:trPr>
          <w:trHeight w:val="30"/>
        </w:trPr>
        <w:tc>
          <w:tcPr>
            <w:tcW w:w="0" w:type="auto"/>
            <w:noWrap/>
            <w:vAlign w:val="center"/>
            <w:hideMark/>
          </w:tcPr>
          <w:p w14:paraId="0C24073C" w14:textId="77777777" w:rsidR="00CF5810" w:rsidRPr="00DD06AB" w:rsidRDefault="00CF5810" w:rsidP="004A50BB">
            <w:pPr>
              <w:keepNext/>
              <w:spacing w:before="60" w:after="60"/>
              <w:rPr>
                <w:sz w:val="18"/>
                <w:szCs w:val="18"/>
              </w:rPr>
            </w:pPr>
            <w:r w:rsidRPr="00DD06AB">
              <w:rPr>
                <w:sz w:val="18"/>
                <w:szCs w:val="18"/>
              </w:rPr>
              <w:t>South Canterbury</w:t>
            </w:r>
          </w:p>
        </w:tc>
        <w:tc>
          <w:tcPr>
            <w:tcW w:w="0" w:type="auto"/>
            <w:noWrap/>
            <w:hideMark/>
          </w:tcPr>
          <w:p w14:paraId="5D3647CF" w14:textId="3463999C" w:rsidR="00CF5810" w:rsidRPr="00DD06AB" w:rsidRDefault="00F755B8" w:rsidP="004A50BB">
            <w:pPr>
              <w:keepNext/>
              <w:spacing w:before="60" w:after="60"/>
              <w:jc w:val="center"/>
              <w:rPr>
                <w:sz w:val="18"/>
                <w:szCs w:val="18"/>
              </w:rPr>
            </w:pPr>
            <w:r w:rsidRPr="00DD06AB">
              <w:rPr>
                <w:sz w:val="18"/>
                <w:szCs w:val="18"/>
              </w:rPr>
              <w:t>–</w:t>
            </w:r>
          </w:p>
        </w:tc>
        <w:tc>
          <w:tcPr>
            <w:tcW w:w="0" w:type="auto"/>
            <w:noWrap/>
            <w:hideMark/>
          </w:tcPr>
          <w:p w14:paraId="066DC730" w14:textId="77777777" w:rsidR="00CF5810" w:rsidRPr="00DD06AB" w:rsidRDefault="00CF5810" w:rsidP="004A50BB">
            <w:pPr>
              <w:keepNext/>
              <w:spacing w:before="60" w:after="60"/>
              <w:jc w:val="center"/>
              <w:rPr>
                <w:sz w:val="18"/>
                <w:szCs w:val="18"/>
              </w:rPr>
            </w:pPr>
            <w:r w:rsidRPr="00DD06AB">
              <w:rPr>
                <w:sz w:val="18"/>
                <w:szCs w:val="18"/>
              </w:rPr>
              <w:t>2</w:t>
            </w:r>
          </w:p>
        </w:tc>
        <w:tc>
          <w:tcPr>
            <w:tcW w:w="0" w:type="auto"/>
            <w:gridSpan w:val="2"/>
            <w:noWrap/>
            <w:hideMark/>
          </w:tcPr>
          <w:p w14:paraId="3C7F40FF" w14:textId="6C08B822" w:rsidR="00CF5810" w:rsidRPr="00DD06AB" w:rsidRDefault="00F755B8" w:rsidP="004A50BB">
            <w:pPr>
              <w:keepNext/>
              <w:spacing w:before="60" w:after="60"/>
              <w:jc w:val="center"/>
              <w:rPr>
                <w:sz w:val="18"/>
                <w:szCs w:val="18"/>
              </w:rPr>
            </w:pPr>
            <w:r w:rsidRPr="00DD06AB">
              <w:rPr>
                <w:sz w:val="18"/>
                <w:szCs w:val="18"/>
              </w:rPr>
              <w:t>–</w:t>
            </w:r>
          </w:p>
        </w:tc>
        <w:tc>
          <w:tcPr>
            <w:tcW w:w="0" w:type="auto"/>
            <w:hideMark/>
          </w:tcPr>
          <w:p w14:paraId="78ED5831" w14:textId="258CCE9D" w:rsidR="00CF5810" w:rsidRPr="00DD06AB" w:rsidRDefault="00F755B8" w:rsidP="004A50BB">
            <w:pPr>
              <w:keepNext/>
              <w:spacing w:before="60" w:after="60"/>
              <w:jc w:val="center"/>
              <w:rPr>
                <w:sz w:val="18"/>
                <w:szCs w:val="18"/>
              </w:rPr>
            </w:pPr>
            <w:r w:rsidRPr="00DD06AB">
              <w:rPr>
                <w:sz w:val="18"/>
                <w:szCs w:val="18"/>
              </w:rPr>
              <w:t>–</w:t>
            </w:r>
          </w:p>
        </w:tc>
        <w:tc>
          <w:tcPr>
            <w:tcW w:w="0" w:type="auto"/>
            <w:hideMark/>
          </w:tcPr>
          <w:p w14:paraId="445D3CAC" w14:textId="77777777" w:rsidR="00CF5810" w:rsidRPr="00DD06AB" w:rsidRDefault="00CF5810" w:rsidP="004A50BB">
            <w:pPr>
              <w:keepNext/>
              <w:spacing w:before="60" w:after="60"/>
              <w:jc w:val="center"/>
              <w:rPr>
                <w:sz w:val="18"/>
                <w:szCs w:val="18"/>
              </w:rPr>
            </w:pPr>
            <w:r w:rsidRPr="00DD06AB">
              <w:rPr>
                <w:sz w:val="18"/>
                <w:szCs w:val="18"/>
              </w:rPr>
              <w:t>2</w:t>
            </w:r>
          </w:p>
        </w:tc>
        <w:tc>
          <w:tcPr>
            <w:tcW w:w="0" w:type="auto"/>
            <w:hideMark/>
          </w:tcPr>
          <w:p w14:paraId="47ED697A" w14:textId="25DF23FF" w:rsidR="00CF5810" w:rsidRPr="00DD06AB" w:rsidRDefault="00F755B8" w:rsidP="004A50BB">
            <w:pPr>
              <w:keepNext/>
              <w:spacing w:before="60" w:after="60"/>
              <w:jc w:val="center"/>
              <w:rPr>
                <w:sz w:val="18"/>
                <w:szCs w:val="18"/>
              </w:rPr>
            </w:pPr>
            <w:r w:rsidRPr="00DD06AB">
              <w:rPr>
                <w:sz w:val="18"/>
                <w:szCs w:val="18"/>
              </w:rPr>
              <w:t>–</w:t>
            </w:r>
          </w:p>
        </w:tc>
      </w:tr>
      <w:tr w:rsidR="00CF5810" w:rsidRPr="00DD06AB" w14:paraId="4EA2E74B" w14:textId="77777777" w:rsidTr="00DD06AB">
        <w:trPr>
          <w:trHeight w:val="30"/>
        </w:trPr>
        <w:tc>
          <w:tcPr>
            <w:tcW w:w="0" w:type="auto"/>
            <w:noWrap/>
            <w:vAlign w:val="center"/>
            <w:hideMark/>
          </w:tcPr>
          <w:p w14:paraId="2AB12933" w14:textId="77777777" w:rsidR="00CF5810" w:rsidRPr="00DD06AB" w:rsidRDefault="00CF5810" w:rsidP="004A50BB">
            <w:pPr>
              <w:keepNext/>
              <w:spacing w:before="60" w:after="60"/>
              <w:rPr>
                <w:sz w:val="18"/>
                <w:szCs w:val="18"/>
              </w:rPr>
            </w:pPr>
            <w:r w:rsidRPr="00DD06AB">
              <w:rPr>
                <w:sz w:val="18"/>
                <w:szCs w:val="18"/>
              </w:rPr>
              <w:t>Southern</w:t>
            </w:r>
          </w:p>
        </w:tc>
        <w:tc>
          <w:tcPr>
            <w:tcW w:w="0" w:type="auto"/>
            <w:noWrap/>
            <w:hideMark/>
          </w:tcPr>
          <w:p w14:paraId="69864997" w14:textId="77777777" w:rsidR="00CF5810" w:rsidRPr="00DD06AB" w:rsidRDefault="00CF5810" w:rsidP="004A50BB">
            <w:pPr>
              <w:keepNext/>
              <w:spacing w:before="60" w:after="60"/>
              <w:jc w:val="center"/>
              <w:rPr>
                <w:sz w:val="18"/>
                <w:szCs w:val="18"/>
              </w:rPr>
            </w:pPr>
            <w:r w:rsidRPr="00DD06AB">
              <w:rPr>
                <w:sz w:val="18"/>
                <w:szCs w:val="18"/>
              </w:rPr>
              <w:t>3</w:t>
            </w:r>
          </w:p>
        </w:tc>
        <w:tc>
          <w:tcPr>
            <w:tcW w:w="0" w:type="auto"/>
            <w:noWrap/>
            <w:hideMark/>
          </w:tcPr>
          <w:p w14:paraId="5FC20B4F" w14:textId="77777777" w:rsidR="00CF5810" w:rsidRPr="00DD06AB" w:rsidRDefault="00CF5810" w:rsidP="004A50BB">
            <w:pPr>
              <w:keepNext/>
              <w:spacing w:before="60" w:after="60"/>
              <w:jc w:val="center"/>
              <w:rPr>
                <w:sz w:val="18"/>
                <w:szCs w:val="18"/>
              </w:rPr>
            </w:pPr>
            <w:r w:rsidRPr="00DD06AB">
              <w:rPr>
                <w:sz w:val="18"/>
                <w:szCs w:val="18"/>
              </w:rPr>
              <w:t>3</w:t>
            </w:r>
          </w:p>
        </w:tc>
        <w:tc>
          <w:tcPr>
            <w:tcW w:w="0" w:type="auto"/>
            <w:gridSpan w:val="2"/>
            <w:noWrap/>
            <w:hideMark/>
          </w:tcPr>
          <w:p w14:paraId="3238AD4B" w14:textId="77777777" w:rsidR="00CF5810" w:rsidRPr="00DD06AB" w:rsidRDefault="00CF5810" w:rsidP="004A50BB">
            <w:pPr>
              <w:keepNext/>
              <w:spacing w:before="60" w:after="60"/>
              <w:jc w:val="center"/>
              <w:rPr>
                <w:sz w:val="18"/>
                <w:szCs w:val="18"/>
              </w:rPr>
            </w:pPr>
            <w:r w:rsidRPr="00DD06AB">
              <w:rPr>
                <w:sz w:val="18"/>
                <w:szCs w:val="18"/>
              </w:rPr>
              <w:t>0.9</w:t>
            </w:r>
          </w:p>
        </w:tc>
        <w:tc>
          <w:tcPr>
            <w:tcW w:w="0" w:type="auto"/>
            <w:hideMark/>
          </w:tcPr>
          <w:p w14:paraId="435CD6AF" w14:textId="7C74A1A2" w:rsidR="00CF5810" w:rsidRPr="00DD06AB" w:rsidRDefault="00F755B8" w:rsidP="004A50BB">
            <w:pPr>
              <w:keepNext/>
              <w:spacing w:before="60" w:after="60"/>
              <w:jc w:val="center"/>
              <w:rPr>
                <w:sz w:val="18"/>
                <w:szCs w:val="18"/>
              </w:rPr>
            </w:pPr>
            <w:r w:rsidRPr="00DD06AB">
              <w:rPr>
                <w:sz w:val="18"/>
                <w:szCs w:val="18"/>
              </w:rPr>
              <w:t>–</w:t>
            </w:r>
          </w:p>
        </w:tc>
        <w:tc>
          <w:tcPr>
            <w:tcW w:w="0" w:type="auto"/>
            <w:hideMark/>
          </w:tcPr>
          <w:p w14:paraId="5BA4D981" w14:textId="77777777" w:rsidR="00CF5810" w:rsidRPr="00DD06AB" w:rsidRDefault="00CF5810" w:rsidP="004A50BB">
            <w:pPr>
              <w:keepNext/>
              <w:spacing w:before="60" w:after="60"/>
              <w:jc w:val="center"/>
              <w:rPr>
                <w:sz w:val="18"/>
                <w:szCs w:val="18"/>
              </w:rPr>
            </w:pPr>
            <w:r w:rsidRPr="00DD06AB">
              <w:rPr>
                <w:sz w:val="18"/>
                <w:szCs w:val="18"/>
              </w:rPr>
              <w:t>3</w:t>
            </w:r>
          </w:p>
        </w:tc>
        <w:tc>
          <w:tcPr>
            <w:tcW w:w="0" w:type="auto"/>
            <w:hideMark/>
          </w:tcPr>
          <w:p w14:paraId="5E391336" w14:textId="2169C64E" w:rsidR="00CF5810" w:rsidRPr="00DD06AB" w:rsidRDefault="00F755B8" w:rsidP="004A50BB">
            <w:pPr>
              <w:keepNext/>
              <w:spacing w:before="60" w:after="60"/>
              <w:jc w:val="center"/>
              <w:rPr>
                <w:sz w:val="18"/>
                <w:szCs w:val="18"/>
              </w:rPr>
            </w:pPr>
            <w:r w:rsidRPr="00DD06AB">
              <w:rPr>
                <w:sz w:val="18"/>
                <w:szCs w:val="18"/>
              </w:rPr>
              <w:t>–</w:t>
            </w:r>
          </w:p>
        </w:tc>
      </w:tr>
      <w:tr w:rsidR="00CF5810" w:rsidRPr="00DD06AB" w14:paraId="0C9E59FB" w14:textId="77777777" w:rsidTr="00DD06AB">
        <w:trPr>
          <w:trHeight w:val="30"/>
        </w:trPr>
        <w:tc>
          <w:tcPr>
            <w:tcW w:w="0" w:type="auto"/>
            <w:noWrap/>
            <w:vAlign w:val="center"/>
            <w:hideMark/>
          </w:tcPr>
          <w:p w14:paraId="5A8FF891" w14:textId="77777777" w:rsidR="00CF5810" w:rsidRPr="00DD06AB" w:rsidRDefault="00CF5810" w:rsidP="004A50BB">
            <w:pPr>
              <w:keepNext/>
              <w:spacing w:before="60" w:after="60"/>
              <w:rPr>
                <w:sz w:val="18"/>
                <w:szCs w:val="18"/>
              </w:rPr>
            </w:pPr>
            <w:r w:rsidRPr="00DD06AB">
              <w:rPr>
                <w:sz w:val="18"/>
                <w:szCs w:val="18"/>
              </w:rPr>
              <w:t>Taranaki</w:t>
            </w:r>
          </w:p>
        </w:tc>
        <w:tc>
          <w:tcPr>
            <w:tcW w:w="0" w:type="auto"/>
            <w:noWrap/>
            <w:hideMark/>
          </w:tcPr>
          <w:p w14:paraId="603FC816" w14:textId="77777777" w:rsidR="00CF5810" w:rsidRPr="00DD06AB" w:rsidRDefault="00CF5810" w:rsidP="004A50BB">
            <w:pPr>
              <w:keepNext/>
              <w:spacing w:before="60" w:after="60"/>
              <w:jc w:val="center"/>
              <w:rPr>
                <w:sz w:val="18"/>
                <w:szCs w:val="18"/>
              </w:rPr>
            </w:pPr>
            <w:r w:rsidRPr="00DD06AB">
              <w:rPr>
                <w:sz w:val="18"/>
                <w:szCs w:val="18"/>
              </w:rPr>
              <w:t>4</w:t>
            </w:r>
          </w:p>
        </w:tc>
        <w:tc>
          <w:tcPr>
            <w:tcW w:w="0" w:type="auto"/>
            <w:noWrap/>
            <w:hideMark/>
          </w:tcPr>
          <w:p w14:paraId="09EBE609" w14:textId="71E95AF3" w:rsidR="00CF5810" w:rsidRPr="00DD06AB" w:rsidRDefault="00F755B8" w:rsidP="004A50BB">
            <w:pPr>
              <w:keepNext/>
              <w:spacing w:before="60" w:after="60"/>
              <w:jc w:val="center"/>
              <w:rPr>
                <w:sz w:val="18"/>
                <w:szCs w:val="18"/>
              </w:rPr>
            </w:pPr>
            <w:r w:rsidRPr="00DD06AB">
              <w:rPr>
                <w:sz w:val="18"/>
                <w:szCs w:val="18"/>
              </w:rPr>
              <w:t>–</w:t>
            </w:r>
          </w:p>
        </w:tc>
        <w:tc>
          <w:tcPr>
            <w:tcW w:w="0" w:type="auto"/>
            <w:gridSpan w:val="2"/>
            <w:noWrap/>
            <w:hideMark/>
          </w:tcPr>
          <w:p w14:paraId="39E4AC47" w14:textId="20531A75" w:rsidR="00CF5810" w:rsidRPr="00DD06AB" w:rsidRDefault="00F755B8" w:rsidP="004A50BB">
            <w:pPr>
              <w:keepNext/>
              <w:spacing w:before="60" w:after="60"/>
              <w:jc w:val="center"/>
              <w:rPr>
                <w:sz w:val="18"/>
                <w:szCs w:val="18"/>
              </w:rPr>
            </w:pPr>
            <w:r w:rsidRPr="00DD06AB">
              <w:rPr>
                <w:sz w:val="18"/>
                <w:szCs w:val="18"/>
              </w:rPr>
              <w:t>–</w:t>
            </w:r>
          </w:p>
        </w:tc>
        <w:tc>
          <w:tcPr>
            <w:tcW w:w="0" w:type="auto"/>
            <w:hideMark/>
          </w:tcPr>
          <w:p w14:paraId="14B204CD" w14:textId="77777777" w:rsidR="00CF5810" w:rsidRPr="00DD06AB" w:rsidRDefault="00CF5810" w:rsidP="004A50BB">
            <w:pPr>
              <w:keepNext/>
              <w:spacing w:before="60" w:after="60"/>
              <w:jc w:val="center"/>
              <w:rPr>
                <w:sz w:val="18"/>
                <w:szCs w:val="18"/>
              </w:rPr>
            </w:pPr>
            <w:r w:rsidRPr="00DD06AB">
              <w:rPr>
                <w:sz w:val="18"/>
                <w:szCs w:val="18"/>
              </w:rPr>
              <w:t>4</w:t>
            </w:r>
          </w:p>
        </w:tc>
        <w:tc>
          <w:tcPr>
            <w:tcW w:w="0" w:type="auto"/>
            <w:hideMark/>
          </w:tcPr>
          <w:p w14:paraId="0C6EDA42" w14:textId="77777777" w:rsidR="00CF5810" w:rsidRPr="00DD06AB" w:rsidRDefault="00CF5810" w:rsidP="004A50BB">
            <w:pPr>
              <w:keepNext/>
              <w:spacing w:before="60" w:after="60"/>
              <w:jc w:val="center"/>
              <w:rPr>
                <w:sz w:val="18"/>
                <w:szCs w:val="18"/>
              </w:rPr>
            </w:pPr>
            <w:r w:rsidRPr="00DD06AB">
              <w:rPr>
                <w:sz w:val="18"/>
                <w:szCs w:val="18"/>
              </w:rPr>
              <w:t>1</w:t>
            </w:r>
          </w:p>
        </w:tc>
        <w:tc>
          <w:tcPr>
            <w:tcW w:w="0" w:type="auto"/>
            <w:hideMark/>
          </w:tcPr>
          <w:p w14:paraId="13B7C8C8" w14:textId="77777777" w:rsidR="00CF5810" w:rsidRPr="00DD06AB" w:rsidRDefault="00CF5810" w:rsidP="004A50BB">
            <w:pPr>
              <w:keepNext/>
              <w:spacing w:before="60" w:after="60"/>
              <w:jc w:val="center"/>
              <w:rPr>
                <w:sz w:val="18"/>
                <w:szCs w:val="18"/>
              </w:rPr>
            </w:pPr>
            <w:r w:rsidRPr="00DD06AB">
              <w:rPr>
                <w:sz w:val="18"/>
                <w:szCs w:val="18"/>
              </w:rPr>
              <w:t>4.0</w:t>
            </w:r>
          </w:p>
        </w:tc>
      </w:tr>
      <w:tr w:rsidR="00CF5810" w:rsidRPr="00DD06AB" w14:paraId="3EBA620A" w14:textId="77777777" w:rsidTr="00DD06AB">
        <w:trPr>
          <w:trHeight w:val="30"/>
        </w:trPr>
        <w:tc>
          <w:tcPr>
            <w:tcW w:w="0" w:type="auto"/>
            <w:noWrap/>
            <w:vAlign w:val="center"/>
            <w:hideMark/>
          </w:tcPr>
          <w:p w14:paraId="31EEA3F0" w14:textId="77777777" w:rsidR="00CF5810" w:rsidRPr="00DD06AB" w:rsidRDefault="00CF5810" w:rsidP="004A50BB">
            <w:pPr>
              <w:keepNext/>
              <w:spacing w:before="60" w:after="60"/>
              <w:rPr>
                <w:sz w:val="18"/>
                <w:szCs w:val="18"/>
              </w:rPr>
            </w:pPr>
            <w:r w:rsidRPr="00DD06AB">
              <w:rPr>
                <w:sz w:val="18"/>
                <w:szCs w:val="18"/>
              </w:rPr>
              <w:t>Waikato</w:t>
            </w:r>
          </w:p>
        </w:tc>
        <w:tc>
          <w:tcPr>
            <w:tcW w:w="0" w:type="auto"/>
            <w:noWrap/>
            <w:hideMark/>
          </w:tcPr>
          <w:p w14:paraId="2B13F90B" w14:textId="77777777" w:rsidR="00CF5810" w:rsidRPr="00DD06AB" w:rsidRDefault="00CF5810" w:rsidP="004A50BB">
            <w:pPr>
              <w:keepNext/>
              <w:spacing w:before="60" w:after="60"/>
              <w:jc w:val="center"/>
              <w:rPr>
                <w:sz w:val="18"/>
                <w:szCs w:val="18"/>
              </w:rPr>
            </w:pPr>
            <w:r w:rsidRPr="00DD06AB">
              <w:rPr>
                <w:sz w:val="18"/>
                <w:szCs w:val="18"/>
              </w:rPr>
              <w:t>14</w:t>
            </w:r>
          </w:p>
        </w:tc>
        <w:tc>
          <w:tcPr>
            <w:tcW w:w="0" w:type="auto"/>
            <w:noWrap/>
            <w:hideMark/>
          </w:tcPr>
          <w:p w14:paraId="3845E015" w14:textId="77777777" w:rsidR="00CF5810" w:rsidRPr="00DD06AB" w:rsidRDefault="00CF5810" w:rsidP="004A50BB">
            <w:pPr>
              <w:keepNext/>
              <w:spacing w:before="60" w:after="60"/>
              <w:jc w:val="center"/>
              <w:rPr>
                <w:sz w:val="18"/>
                <w:szCs w:val="18"/>
              </w:rPr>
            </w:pPr>
            <w:r w:rsidRPr="00DD06AB">
              <w:rPr>
                <w:sz w:val="18"/>
                <w:szCs w:val="18"/>
              </w:rPr>
              <w:t>2</w:t>
            </w:r>
          </w:p>
        </w:tc>
        <w:tc>
          <w:tcPr>
            <w:tcW w:w="0" w:type="auto"/>
            <w:gridSpan w:val="2"/>
            <w:noWrap/>
            <w:hideMark/>
          </w:tcPr>
          <w:p w14:paraId="6BB24B3C" w14:textId="77777777" w:rsidR="00CF5810" w:rsidRPr="00DD06AB" w:rsidRDefault="00CF5810" w:rsidP="004A50BB">
            <w:pPr>
              <w:keepNext/>
              <w:spacing w:before="60" w:after="60"/>
              <w:jc w:val="center"/>
              <w:rPr>
                <w:sz w:val="18"/>
                <w:szCs w:val="18"/>
              </w:rPr>
            </w:pPr>
            <w:r w:rsidRPr="00DD06AB">
              <w:rPr>
                <w:sz w:val="18"/>
                <w:szCs w:val="18"/>
              </w:rPr>
              <w:t>5.5</w:t>
            </w:r>
          </w:p>
        </w:tc>
        <w:tc>
          <w:tcPr>
            <w:tcW w:w="0" w:type="auto"/>
            <w:hideMark/>
          </w:tcPr>
          <w:p w14:paraId="31FD332F" w14:textId="77777777" w:rsidR="00CF5810" w:rsidRPr="00DD06AB" w:rsidRDefault="00CF5810" w:rsidP="004A50BB">
            <w:pPr>
              <w:keepNext/>
              <w:spacing w:before="60" w:after="60"/>
              <w:jc w:val="center"/>
              <w:rPr>
                <w:sz w:val="18"/>
                <w:szCs w:val="18"/>
              </w:rPr>
            </w:pPr>
            <w:r w:rsidRPr="00DD06AB">
              <w:rPr>
                <w:sz w:val="18"/>
                <w:szCs w:val="18"/>
              </w:rPr>
              <w:t>17</w:t>
            </w:r>
          </w:p>
        </w:tc>
        <w:tc>
          <w:tcPr>
            <w:tcW w:w="0" w:type="auto"/>
            <w:hideMark/>
          </w:tcPr>
          <w:p w14:paraId="59A16B9D" w14:textId="77777777" w:rsidR="00CF5810" w:rsidRPr="00DD06AB" w:rsidRDefault="00CF5810" w:rsidP="004A50BB">
            <w:pPr>
              <w:keepNext/>
              <w:spacing w:before="60" w:after="60"/>
              <w:jc w:val="center"/>
              <w:rPr>
                <w:sz w:val="18"/>
                <w:szCs w:val="18"/>
              </w:rPr>
            </w:pPr>
            <w:r w:rsidRPr="00DD06AB">
              <w:rPr>
                <w:sz w:val="18"/>
                <w:szCs w:val="18"/>
              </w:rPr>
              <w:t>3</w:t>
            </w:r>
          </w:p>
        </w:tc>
        <w:tc>
          <w:tcPr>
            <w:tcW w:w="0" w:type="auto"/>
            <w:hideMark/>
          </w:tcPr>
          <w:p w14:paraId="20AA4233" w14:textId="77777777" w:rsidR="00CF5810" w:rsidRPr="00DD06AB" w:rsidRDefault="00CF5810" w:rsidP="004A50BB">
            <w:pPr>
              <w:keepNext/>
              <w:spacing w:before="60" w:after="60"/>
              <w:jc w:val="center"/>
              <w:rPr>
                <w:sz w:val="18"/>
                <w:szCs w:val="18"/>
              </w:rPr>
            </w:pPr>
            <w:r w:rsidRPr="00DD06AB">
              <w:rPr>
                <w:sz w:val="18"/>
                <w:szCs w:val="18"/>
              </w:rPr>
              <w:t>6.0</w:t>
            </w:r>
          </w:p>
        </w:tc>
      </w:tr>
      <w:tr w:rsidR="00CF5810" w:rsidRPr="00DD06AB" w14:paraId="156A47F1" w14:textId="77777777" w:rsidTr="00DD06AB">
        <w:trPr>
          <w:trHeight w:val="30"/>
        </w:trPr>
        <w:tc>
          <w:tcPr>
            <w:tcW w:w="0" w:type="auto"/>
            <w:noWrap/>
            <w:vAlign w:val="center"/>
            <w:hideMark/>
          </w:tcPr>
          <w:p w14:paraId="0F4FE65D" w14:textId="77777777" w:rsidR="00CF5810" w:rsidRPr="00DD06AB" w:rsidRDefault="00CF5810" w:rsidP="004A50BB">
            <w:pPr>
              <w:keepNext/>
              <w:spacing w:before="60" w:after="60"/>
              <w:rPr>
                <w:sz w:val="18"/>
                <w:szCs w:val="18"/>
              </w:rPr>
            </w:pPr>
            <w:proofErr w:type="spellStart"/>
            <w:r w:rsidRPr="00DD06AB">
              <w:rPr>
                <w:sz w:val="18"/>
                <w:szCs w:val="18"/>
              </w:rPr>
              <w:t>Waitematā</w:t>
            </w:r>
            <w:proofErr w:type="spellEnd"/>
          </w:p>
        </w:tc>
        <w:tc>
          <w:tcPr>
            <w:tcW w:w="0" w:type="auto"/>
            <w:noWrap/>
            <w:hideMark/>
          </w:tcPr>
          <w:p w14:paraId="07453144" w14:textId="77777777" w:rsidR="00CF5810" w:rsidRPr="00DD06AB" w:rsidRDefault="00CF5810" w:rsidP="004A50BB">
            <w:pPr>
              <w:keepNext/>
              <w:spacing w:before="60" w:after="60"/>
              <w:jc w:val="center"/>
              <w:rPr>
                <w:sz w:val="18"/>
                <w:szCs w:val="18"/>
              </w:rPr>
            </w:pPr>
            <w:r w:rsidRPr="00DD06AB">
              <w:rPr>
                <w:sz w:val="18"/>
                <w:szCs w:val="18"/>
              </w:rPr>
              <w:t>11</w:t>
            </w:r>
          </w:p>
        </w:tc>
        <w:tc>
          <w:tcPr>
            <w:tcW w:w="0" w:type="auto"/>
            <w:noWrap/>
            <w:hideMark/>
          </w:tcPr>
          <w:p w14:paraId="047FA904" w14:textId="77777777" w:rsidR="00CF5810" w:rsidRPr="00DD06AB" w:rsidRDefault="00CF5810" w:rsidP="004A50BB">
            <w:pPr>
              <w:keepNext/>
              <w:spacing w:before="60" w:after="60"/>
              <w:jc w:val="center"/>
              <w:rPr>
                <w:sz w:val="18"/>
                <w:szCs w:val="18"/>
              </w:rPr>
            </w:pPr>
            <w:r w:rsidRPr="00DD06AB">
              <w:rPr>
                <w:sz w:val="18"/>
                <w:szCs w:val="18"/>
              </w:rPr>
              <w:t>3</w:t>
            </w:r>
          </w:p>
        </w:tc>
        <w:tc>
          <w:tcPr>
            <w:tcW w:w="0" w:type="auto"/>
            <w:gridSpan w:val="2"/>
            <w:noWrap/>
            <w:hideMark/>
          </w:tcPr>
          <w:p w14:paraId="3083B17B" w14:textId="77777777" w:rsidR="00CF5810" w:rsidRPr="00DD06AB" w:rsidRDefault="00CF5810" w:rsidP="004A50BB">
            <w:pPr>
              <w:keepNext/>
              <w:spacing w:before="60" w:after="60"/>
              <w:jc w:val="center"/>
              <w:rPr>
                <w:sz w:val="18"/>
                <w:szCs w:val="18"/>
              </w:rPr>
            </w:pPr>
            <w:r w:rsidRPr="00DD06AB">
              <w:rPr>
                <w:sz w:val="18"/>
                <w:szCs w:val="18"/>
              </w:rPr>
              <w:t>4.3</w:t>
            </w:r>
          </w:p>
        </w:tc>
        <w:tc>
          <w:tcPr>
            <w:tcW w:w="0" w:type="auto"/>
            <w:hideMark/>
          </w:tcPr>
          <w:p w14:paraId="473C89E9" w14:textId="77777777" w:rsidR="00CF5810" w:rsidRPr="00DD06AB" w:rsidRDefault="00CF5810" w:rsidP="004A50BB">
            <w:pPr>
              <w:keepNext/>
              <w:spacing w:before="60" w:after="60"/>
              <w:jc w:val="center"/>
              <w:rPr>
                <w:sz w:val="18"/>
                <w:szCs w:val="18"/>
              </w:rPr>
            </w:pPr>
            <w:r w:rsidRPr="00DD06AB">
              <w:rPr>
                <w:sz w:val="18"/>
                <w:szCs w:val="18"/>
              </w:rPr>
              <w:t>13</w:t>
            </w:r>
          </w:p>
        </w:tc>
        <w:tc>
          <w:tcPr>
            <w:tcW w:w="0" w:type="auto"/>
            <w:hideMark/>
          </w:tcPr>
          <w:p w14:paraId="78837B65" w14:textId="77777777" w:rsidR="00CF5810" w:rsidRPr="00DD06AB" w:rsidRDefault="00CF5810" w:rsidP="004A50BB">
            <w:pPr>
              <w:keepNext/>
              <w:spacing w:before="60" w:after="60"/>
              <w:jc w:val="center"/>
              <w:rPr>
                <w:sz w:val="18"/>
                <w:szCs w:val="18"/>
              </w:rPr>
            </w:pPr>
            <w:r w:rsidRPr="00DD06AB">
              <w:rPr>
                <w:sz w:val="18"/>
                <w:szCs w:val="18"/>
              </w:rPr>
              <w:t>3</w:t>
            </w:r>
          </w:p>
        </w:tc>
        <w:tc>
          <w:tcPr>
            <w:tcW w:w="0" w:type="auto"/>
            <w:hideMark/>
          </w:tcPr>
          <w:p w14:paraId="6721C408" w14:textId="77777777" w:rsidR="00CF5810" w:rsidRPr="00DD06AB" w:rsidRDefault="00CF5810" w:rsidP="004A50BB">
            <w:pPr>
              <w:keepNext/>
              <w:spacing w:before="60" w:after="60"/>
              <w:jc w:val="center"/>
              <w:rPr>
                <w:sz w:val="18"/>
                <w:szCs w:val="18"/>
              </w:rPr>
            </w:pPr>
            <w:r w:rsidRPr="00DD06AB">
              <w:rPr>
                <w:sz w:val="18"/>
                <w:szCs w:val="18"/>
              </w:rPr>
              <w:t>5.1</w:t>
            </w:r>
          </w:p>
        </w:tc>
      </w:tr>
      <w:tr w:rsidR="00CF5810" w:rsidRPr="00DD06AB" w14:paraId="52BBD123" w14:textId="77777777" w:rsidTr="00DD06AB">
        <w:trPr>
          <w:trHeight w:val="30"/>
        </w:trPr>
        <w:tc>
          <w:tcPr>
            <w:tcW w:w="0" w:type="auto"/>
            <w:noWrap/>
            <w:vAlign w:val="center"/>
            <w:hideMark/>
          </w:tcPr>
          <w:p w14:paraId="2956A4A5" w14:textId="77777777" w:rsidR="00CF5810" w:rsidRPr="00DD06AB" w:rsidRDefault="00CF5810" w:rsidP="004A50BB">
            <w:pPr>
              <w:keepNext/>
              <w:spacing w:before="60" w:after="60"/>
              <w:rPr>
                <w:sz w:val="18"/>
                <w:szCs w:val="18"/>
              </w:rPr>
            </w:pPr>
            <w:r w:rsidRPr="00DD06AB">
              <w:rPr>
                <w:sz w:val="18"/>
                <w:szCs w:val="18"/>
              </w:rPr>
              <w:t>West Coast</w:t>
            </w:r>
          </w:p>
        </w:tc>
        <w:tc>
          <w:tcPr>
            <w:tcW w:w="0" w:type="auto"/>
            <w:noWrap/>
            <w:hideMark/>
          </w:tcPr>
          <w:p w14:paraId="7BF71B57" w14:textId="2F2ACFD9" w:rsidR="00CF5810" w:rsidRPr="00DD06AB" w:rsidRDefault="00F755B8" w:rsidP="004A50BB">
            <w:pPr>
              <w:keepNext/>
              <w:spacing w:before="60" w:after="60"/>
              <w:jc w:val="center"/>
              <w:rPr>
                <w:sz w:val="18"/>
                <w:szCs w:val="18"/>
              </w:rPr>
            </w:pPr>
            <w:r w:rsidRPr="00DD06AB">
              <w:rPr>
                <w:sz w:val="18"/>
                <w:szCs w:val="18"/>
              </w:rPr>
              <w:t>–</w:t>
            </w:r>
          </w:p>
        </w:tc>
        <w:tc>
          <w:tcPr>
            <w:tcW w:w="0" w:type="auto"/>
            <w:noWrap/>
            <w:hideMark/>
          </w:tcPr>
          <w:p w14:paraId="51E0CACC" w14:textId="77777777" w:rsidR="00CF5810" w:rsidRPr="00DD06AB" w:rsidRDefault="00CF5810" w:rsidP="004A50BB">
            <w:pPr>
              <w:keepNext/>
              <w:spacing w:before="60" w:after="60"/>
              <w:jc w:val="center"/>
              <w:rPr>
                <w:sz w:val="18"/>
                <w:szCs w:val="18"/>
              </w:rPr>
            </w:pPr>
            <w:r w:rsidRPr="00DD06AB">
              <w:rPr>
                <w:sz w:val="18"/>
                <w:szCs w:val="18"/>
              </w:rPr>
              <w:t>3</w:t>
            </w:r>
          </w:p>
        </w:tc>
        <w:tc>
          <w:tcPr>
            <w:tcW w:w="0" w:type="auto"/>
            <w:gridSpan w:val="2"/>
            <w:noWrap/>
            <w:hideMark/>
          </w:tcPr>
          <w:p w14:paraId="37D0C70E" w14:textId="18748D67" w:rsidR="00CF5810" w:rsidRPr="00DD06AB" w:rsidRDefault="00F755B8" w:rsidP="004A50BB">
            <w:pPr>
              <w:keepNext/>
              <w:spacing w:before="60" w:after="60"/>
              <w:jc w:val="center"/>
              <w:rPr>
                <w:sz w:val="18"/>
                <w:szCs w:val="18"/>
              </w:rPr>
            </w:pPr>
            <w:r w:rsidRPr="00DD06AB">
              <w:rPr>
                <w:sz w:val="18"/>
                <w:szCs w:val="18"/>
              </w:rPr>
              <w:t>–</w:t>
            </w:r>
          </w:p>
        </w:tc>
        <w:tc>
          <w:tcPr>
            <w:tcW w:w="0" w:type="auto"/>
            <w:hideMark/>
          </w:tcPr>
          <w:p w14:paraId="5F7140D8" w14:textId="4A616C87" w:rsidR="00CF5810" w:rsidRPr="00DD06AB" w:rsidRDefault="00F755B8" w:rsidP="004A50BB">
            <w:pPr>
              <w:keepNext/>
              <w:spacing w:before="60" w:after="60"/>
              <w:jc w:val="center"/>
              <w:rPr>
                <w:sz w:val="18"/>
                <w:szCs w:val="18"/>
              </w:rPr>
            </w:pPr>
            <w:r w:rsidRPr="00DD06AB">
              <w:rPr>
                <w:sz w:val="18"/>
                <w:szCs w:val="18"/>
              </w:rPr>
              <w:t>–</w:t>
            </w:r>
          </w:p>
        </w:tc>
        <w:tc>
          <w:tcPr>
            <w:tcW w:w="0" w:type="auto"/>
            <w:hideMark/>
          </w:tcPr>
          <w:p w14:paraId="16D199BB" w14:textId="77777777" w:rsidR="00CF5810" w:rsidRPr="00DD06AB" w:rsidRDefault="00CF5810" w:rsidP="004A50BB">
            <w:pPr>
              <w:keepNext/>
              <w:spacing w:before="60" w:after="60"/>
              <w:jc w:val="center"/>
              <w:rPr>
                <w:sz w:val="18"/>
                <w:szCs w:val="18"/>
              </w:rPr>
            </w:pPr>
            <w:r w:rsidRPr="00DD06AB">
              <w:rPr>
                <w:sz w:val="18"/>
                <w:szCs w:val="18"/>
              </w:rPr>
              <w:t>7</w:t>
            </w:r>
          </w:p>
        </w:tc>
        <w:tc>
          <w:tcPr>
            <w:tcW w:w="0" w:type="auto"/>
            <w:hideMark/>
          </w:tcPr>
          <w:p w14:paraId="020346B2" w14:textId="168D5528" w:rsidR="00CF5810" w:rsidRPr="00DD06AB" w:rsidRDefault="00F755B8" w:rsidP="004A50BB">
            <w:pPr>
              <w:keepNext/>
              <w:spacing w:before="60" w:after="60"/>
              <w:jc w:val="center"/>
              <w:rPr>
                <w:sz w:val="18"/>
                <w:szCs w:val="18"/>
              </w:rPr>
            </w:pPr>
            <w:r w:rsidRPr="00DD06AB">
              <w:rPr>
                <w:sz w:val="18"/>
                <w:szCs w:val="18"/>
              </w:rPr>
              <w:t>–</w:t>
            </w:r>
          </w:p>
        </w:tc>
      </w:tr>
      <w:tr w:rsidR="00CF5810" w:rsidRPr="00DD06AB" w14:paraId="5B002065" w14:textId="77777777" w:rsidTr="00DD06AB">
        <w:trPr>
          <w:trHeight w:val="30"/>
        </w:trPr>
        <w:tc>
          <w:tcPr>
            <w:tcW w:w="0" w:type="auto"/>
            <w:noWrap/>
            <w:vAlign w:val="center"/>
            <w:hideMark/>
          </w:tcPr>
          <w:p w14:paraId="0A530795" w14:textId="77777777" w:rsidR="00CF5810" w:rsidRPr="00DD06AB" w:rsidRDefault="00CF5810" w:rsidP="004A50BB">
            <w:pPr>
              <w:keepNext/>
              <w:spacing w:before="60" w:after="60"/>
              <w:rPr>
                <w:sz w:val="18"/>
                <w:szCs w:val="18"/>
              </w:rPr>
            </w:pPr>
            <w:r w:rsidRPr="00DD06AB">
              <w:rPr>
                <w:sz w:val="18"/>
                <w:szCs w:val="18"/>
              </w:rPr>
              <w:t>Whanganui</w:t>
            </w:r>
          </w:p>
        </w:tc>
        <w:tc>
          <w:tcPr>
            <w:tcW w:w="0" w:type="auto"/>
            <w:noWrap/>
            <w:hideMark/>
          </w:tcPr>
          <w:p w14:paraId="2E569DC5" w14:textId="77777777" w:rsidR="00CF5810" w:rsidRPr="00DD06AB" w:rsidRDefault="00CF5810" w:rsidP="004A50BB">
            <w:pPr>
              <w:keepNext/>
              <w:spacing w:before="60" w:after="60"/>
              <w:jc w:val="center"/>
              <w:rPr>
                <w:sz w:val="18"/>
                <w:szCs w:val="18"/>
              </w:rPr>
            </w:pPr>
            <w:r w:rsidRPr="00DD06AB">
              <w:rPr>
                <w:sz w:val="18"/>
                <w:szCs w:val="18"/>
              </w:rPr>
              <w:t>6</w:t>
            </w:r>
          </w:p>
        </w:tc>
        <w:tc>
          <w:tcPr>
            <w:tcW w:w="0" w:type="auto"/>
            <w:noWrap/>
            <w:hideMark/>
          </w:tcPr>
          <w:p w14:paraId="4BEF62B6" w14:textId="77777777" w:rsidR="00CF5810" w:rsidRPr="00DD06AB" w:rsidRDefault="00CF5810" w:rsidP="004A50BB">
            <w:pPr>
              <w:keepNext/>
              <w:spacing w:before="60" w:after="60"/>
              <w:jc w:val="center"/>
              <w:rPr>
                <w:sz w:val="18"/>
                <w:szCs w:val="18"/>
              </w:rPr>
            </w:pPr>
            <w:r w:rsidRPr="00DD06AB">
              <w:rPr>
                <w:sz w:val="18"/>
                <w:szCs w:val="18"/>
              </w:rPr>
              <w:t>13</w:t>
            </w:r>
          </w:p>
        </w:tc>
        <w:tc>
          <w:tcPr>
            <w:tcW w:w="0" w:type="auto"/>
            <w:gridSpan w:val="2"/>
            <w:noWrap/>
            <w:hideMark/>
          </w:tcPr>
          <w:p w14:paraId="39AAB948" w14:textId="77777777" w:rsidR="00CF5810" w:rsidRPr="00DD06AB" w:rsidRDefault="00CF5810" w:rsidP="004A50BB">
            <w:pPr>
              <w:keepNext/>
              <w:spacing w:before="60" w:after="60"/>
              <w:jc w:val="center"/>
              <w:rPr>
                <w:sz w:val="18"/>
                <w:szCs w:val="18"/>
              </w:rPr>
            </w:pPr>
            <w:r w:rsidRPr="00DD06AB">
              <w:rPr>
                <w:sz w:val="18"/>
                <w:szCs w:val="18"/>
              </w:rPr>
              <w:t>0.5</w:t>
            </w:r>
          </w:p>
        </w:tc>
        <w:tc>
          <w:tcPr>
            <w:tcW w:w="0" w:type="auto"/>
            <w:hideMark/>
          </w:tcPr>
          <w:p w14:paraId="6592DED6" w14:textId="77777777" w:rsidR="00CF5810" w:rsidRPr="00DD06AB" w:rsidRDefault="00CF5810" w:rsidP="004A50BB">
            <w:pPr>
              <w:keepNext/>
              <w:spacing w:before="60" w:after="60"/>
              <w:jc w:val="center"/>
              <w:rPr>
                <w:sz w:val="18"/>
                <w:szCs w:val="18"/>
              </w:rPr>
            </w:pPr>
            <w:r w:rsidRPr="00DD06AB">
              <w:rPr>
                <w:sz w:val="18"/>
                <w:szCs w:val="18"/>
              </w:rPr>
              <w:t>8</w:t>
            </w:r>
          </w:p>
        </w:tc>
        <w:tc>
          <w:tcPr>
            <w:tcW w:w="0" w:type="auto"/>
            <w:hideMark/>
          </w:tcPr>
          <w:p w14:paraId="4E7BB638" w14:textId="77777777" w:rsidR="00CF5810" w:rsidRPr="00DD06AB" w:rsidRDefault="00CF5810" w:rsidP="004A50BB">
            <w:pPr>
              <w:keepNext/>
              <w:spacing w:before="60" w:after="60"/>
              <w:jc w:val="center"/>
              <w:rPr>
                <w:sz w:val="18"/>
                <w:szCs w:val="18"/>
              </w:rPr>
            </w:pPr>
            <w:r w:rsidRPr="00DD06AB">
              <w:rPr>
                <w:sz w:val="18"/>
                <w:szCs w:val="18"/>
              </w:rPr>
              <w:t>3</w:t>
            </w:r>
          </w:p>
        </w:tc>
        <w:tc>
          <w:tcPr>
            <w:tcW w:w="0" w:type="auto"/>
            <w:hideMark/>
          </w:tcPr>
          <w:p w14:paraId="7B0A738F" w14:textId="77777777" w:rsidR="00CF5810" w:rsidRPr="00DD06AB" w:rsidRDefault="00CF5810" w:rsidP="004A50BB">
            <w:pPr>
              <w:keepNext/>
              <w:spacing w:before="60" w:after="60"/>
              <w:jc w:val="center"/>
              <w:rPr>
                <w:sz w:val="18"/>
                <w:szCs w:val="18"/>
              </w:rPr>
            </w:pPr>
            <w:r w:rsidRPr="00DD06AB">
              <w:rPr>
                <w:sz w:val="18"/>
                <w:szCs w:val="18"/>
              </w:rPr>
              <w:t>2.7</w:t>
            </w:r>
          </w:p>
        </w:tc>
      </w:tr>
      <w:tr w:rsidR="00CF5810" w:rsidRPr="00DD06AB" w14:paraId="432EE4CD" w14:textId="77777777" w:rsidTr="00DD06AB">
        <w:trPr>
          <w:trHeight w:val="30"/>
        </w:trPr>
        <w:tc>
          <w:tcPr>
            <w:tcW w:w="0" w:type="auto"/>
            <w:noWrap/>
            <w:vAlign w:val="center"/>
            <w:hideMark/>
          </w:tcPr>
          <w:p w14:paraId="2EE7AED0" w14:textId="77777777" w:rsidR="00CF5810" w:rsidRPr="00DD06AB" w:rsidRDefault="00CF5810" w:rsidP="004A50BB">
            <w:pPr>
              <w:keepNext/>
              <w:spacing w:before="60" w:after="60"/>
              <w:rPr>
                <w:b/>
                <w:bCs/>
                <w:sz w:val="18"/>
                <w:szCs w:val="18"/>
              </w:rPr>
            </w:pPr>
            <w:r w:rsidRPr="00DD06AB">
              <w:rPr>
                <w:b/>
                <w:bCs/>
                <w:sz w:val="18"/>
                <w:szCs w:val="18"/>
              </w:rPr>
              <w:t>NZ</w:t>
            </w:r>
          </w:p>
        </w:tc>
        <w:tc>
          <w:tcPr>
            <w:tcW w:w="0" w:type="auto"/>
            <w:noWrap/>
            <w:hideMark/>
          </w:tcPr>
          <w:p w14:paraId="092A3F87" w14:textId="77777777" w:rsidR="00CF5810" w:rsidRPr="00DD06AB" w:rsidRDefault="00CF5810" w:rsidP="004A50BB">
            <w:pPr>
              <w:keepNext/>
              <w:spacing w:before="60" w:after="60"/>
              <w:jc w:val="center"/>
              <w:rPr>
                <w:b/>
                <w:bCs/>
                <w:sz w:val="18"/>
                <w:szCs w:val="18"/>
              </w:rPr>
            </w:pPr>
            <w:r w:rsidRPr="00DD06AB">
              <w:rPr>
                <w:b/>
                <w:bCs/>
                <w:sz w:val="18"/>
                <w:szCs w:val="18"/>
              </w:rPr>
              <w:t>8</w:t>
            </w:r>
          </w:p>
        </w:tc>
        <w:tc>
          <w:tcPr>
            <w:tcW w:w="0" w:type="auto"/>
            <w:noWrap/>
            <w:hideMark/>
          </w:tcPr>
          <w:p w14:paraId="34D3C8FA" w14:textId="77777777" w:rsidR="00CF5810" w:rsidRPr="00DD06AB" w:rsidRDefault="00CF5810" w:rsidP="004A50BB">
            <w:pPr>
              <w:keepNext/>
              <w:spacing w:before="60" w:after="60"/>
              <w:jc w:val="center"/>
              <w:rPr>
                <w:b/>
                <w:bCs/>
                <w:sz w:val="18"/>
                <w:szCs w:val="18"/>
              </w:rPr>
            </w:pPr>
            <w:r w:rsidRPr="00DD06AB">
              <w:rPr>
                <w:b/>
                <w:bCs/>
                <w:sz w:val="18"/>
                <w:szCs w:val="18"/>
              </w:rPr>
              <w:t>3</w:t>
            </w:r>
          </w:p>
        </w:tc>
        <w:tc>
          <w:tcPr>
            <w:tcW w:w="0" w:type="auto"/>
            <w:gridSpan w:val="2"/>
            <w:noWrap/>
            <w:hideMark/>
          </w:tcPr>
          <w:p w14:paraId="3BD1FBBB" w14:textId="77777777" w:rsidR="00CF5810" w:rsidRPr="00DD06AB" w:rsidRDefault="00CF5810" w:rsidP="004A50BB">
            <w:pPr>
              <w:keepNext/>
              <w:spacing w:before="60" w:after="60"/>
              <w:jc w:val="center"/>
              <w:rPr>
                <w:b/>
                <w:bCs/>
                <w:sz w:val="18"/>
                <w:szCs w:val="18"/>
              </w:rPr>
            </w:pPr>
            <w:r w:rsidRPr="00DD06AB">
              <w:rPr>
                <w:b/>
                <w:bCs/>
                <w:sz w:val="18"/>
                <w:szCs w:val="18"/>
              </w:rPr>
              <w:t>2.8</w:t>
            </w:r>
          </w:p>
        </w:tc>
        <w:tc>
          <w:tcPr>
            <w:tcW w:w="0" w:type="auto"/>
            <w:hideMark/>
          </w:tcPr>
          <w:p w14:paraId="01B317C5" w14:textId="77777777" w:rsidR="00CF5810" w:rsidRPr="00DD06AB" w:rsidRDefault="00CF5810" w:rsidP="004A50BB">
            <w:pPr>
              <w:keepNext/>
              <w:spacing w:before="60" w:after="60"/>
              <w:jc w:val="center"/>
              <w:rPr>
                <w:b/>
                <w:bCs/>
                <w:sz w:val="18"/>
                <w:szCs w:val="18"/>
              </w:rPr>
            </w:pPr>
            <w:r w:rsidRPr="00DD06AB">
              <w:rPr>
                <w:b/>
                <w:bCs/>
                <w:sz w:val="18"/>
                <w:szCs w:val="18"/>
              </w:rPr>
              <w:t>8</w:t>
            </w:r>
          </w:p>
        </w:tc>
        <w:tc>
          <w:tcPr>
            <w:tcW w:w="0" w:type="auto"/>
            <w:hideMark/>
          </w:tcPr>
          <w:p w14:paraId="4EA38415" w14:textId="77777777" w:rsidR="00CF5810" w:rsidRPr="00DD06AB" w:rsidRDefault="00CF5810" w:rsidP="004A50BB">
            <w:pPr>
              <w:keepNext/>
              <w:spacing w:before="60" w:after="60"/>
              <w:jc w:val="center"/>
              <w:rPr>
                <w:b/>
                <w:bCs/>
                <w:sz w:val="18"/>
                <w:szCs w:val="18"/>
              </w:rPr>
            </w:pPr>
            <w:r w:rsidRPr="00DD06AB">
              <w:rPr>
                <w:b/>
                <w:bCs/>
                <w:sz w:val="18"/>
                <w:szCs w:val="18"/>
              </w:rPr>
              <w:t>3</w:t>
            </w:r>
          </w:p>
        </w:tc>
        <w:tc>
          <w:tcPr>
            <w:tcW w:w="0" w:type="auto"/>
            <w:hideMark/>
          </w:tcPr>
          <w:p w14:paraId="720EF737" w14:textId="77777777" w:rsidR="00CF5810" w:rsidRPr="00DD06AB" w:rsidRDefault="00CF5810" w:rsidP="004A50BB">
            <w:pPr>
              <w:keepNext/>
              <w:spacing w:before="60" w:after="60"/>
              <w:jc w:val="center"/>
              <w:rPr>
                <w:b/>
                <w:bCs/>
                <w:sz w:val="18"/>
                <w:szCs w:val="18"/>
              </w:rPr>
            </w:pPr>
            <w:r w:rsidRPr="00DD06AB">
              <w:rPr>
                <w:b/>
                <w:bCs/>
                <w:sz w:val="18"/>
                <w:szCs w:val="18"/>
              </w:rPr>
              <w:t>2.7</w:t>
            </w:r>
          </w:p>
        </w:tc>
      </w:tr>
    </w:tbl>
    <w:p w14:paraId="790C74FF" w14:textId="2FCB7C17" w:rsidR="00CF5810" w:rsidRPr="00200234" w:rsidRDefault="00CF5810" w:rsidP="004A50BB">
      <w:pPr>
        <w:pStyle w:val="Note"/>
        <w:keepNext/>
        <w:rPr>
          <w:rFonts w:cs="Segoe UI"/>
        </w:rPr>
      </w:pPr>
      <w:r w:rsidRPr="00200234">
        <w:rPr>
          <w:rFonts w:cs="Segoe UI"/>
        </w:rPr>
        <w:t xml:space="preserve">Note: </w:t>
      </w:r>
      <w:proofErr w:type="spellStart"/>
      <w:r w:rsidRPr="00200234">
        <w:rPr>
          <w:rFonts w:cs="Segoe UI"/>
        </w:rPr>
        <w:t>Tairāwhiti</w:t>
      </w:r>
      <w:proofErr w:type="spellEnd"/>
      <w:r w:rsidRPr="00200234">
        <w:rPr>
          <w:rFonts w:cs="Segoe UI"/>
        </w:rPr>
        <w:t xml:space="preserve"> and Wairarapa DHBs do not have indefinite inpatient treatment orders and are not included in this table.</w:t>
      </w:r>
    </w:p>
    <w:p w14:paraId="6DF14362" w14:textId="42703CC6" w:rsidR="00CF5810" w:rsidRPr="00200234" w:rsidRDefault="00CF5810" w:rsidP="00CF5810">
      <w:pPr>
        <w:pStyle w:val="Source"/>
      </w:pPr>
      <w:r w:rsidRPr="00200234">
        <w:t>Source</w:t>
      </w:r>
      <w:r w:rsidR="00346BD1" w:rsidRPr="00200234">
        <w:t>s</w:t>
      </w:r>
      <w:r w:rsidRPr="00200234">
        <w:t xml:space="preserve">: </w:t>
      </w:r>
      <w:r w:rsidR="00C84ABD" w:rsidRPr="00200234">
        <w:t xml:space="preserve">For 2018: </w:t>
      </w:r>
      <w:r w:rsidRPr="00200234">
        <w:t>PRIMHD data</w:t>
      </w:r>
      <w:r w:rsidR="0015429E">
        <w:t xml:space="preserve"> (extracted</w:t>
      </w:r>
      <w:r w:rsidRPr="00200234">
        <w:t xml:space="preserve"> 29 July 2019</w:t>
      </w:r>
      <w:r w:rsidR="000E756E">
        <w:t>)</w:t>
      </w:r>
      <w:r w:rsidRPr="00200234">
        <w:t xml:space="preserve"> and manual data from Auckland, Lakes and </w:t>
      </w:r>
      <w:proofErr w:type="spellStart"/>
      <w:r w:rsidRPr="00200234">
        <w:t>Waitematā</w:t>
      </w:r>
      <w:proofErr w:type="spellEnd"/>
      <w:r w:rsidRPr="00200234">
        <w:t xml:space="preserve"> DHBs</w:t>
      </w:r>
      <w:r w:rsidR="00C84ABD" w:rsidRPr="00200234">
        <w:t>. For 2019:</w:t>
      </w:r>
      <w:r w:rsidRPr="00200234">
        <w:t xml:space="preserve"> PRIMHD data</w:t>
      </w:r>
      <w:r w:rsidR="0015429E">
        <w:t xml:space="preserve"> (extracted</w:t>
      </w:r>
      <w:r w:rsidRPr="00200234">
        <w:t xml:space="preserve"> 19 October 2020</w:t>
      </w:r>
      <w:r w:rsidR="000E756E">
        <w:t>)</w:t>
      </w:r>
      <w:r w:rsidRPr="00200234">
        <w:t xml:space="preserve">. </w:t>
      </w:r>
    </w:p>
    <w:p w14:paraId="5F94FEF9" w14:textId="77777777" w:rsidR="005D41A9" w:rsidRPr="00200234" w:rsidRDefault="005D41A9" w:rsidP="00CF5810"/>
    <w:p w14:paraId="5BB30468" w14:textId="5296B516" w:rsidR="00CF5810" w:rsidRPr="00200234" w:rsidRDefault="00CF5810" w:rsidP="00CF5810">
      <w:r w:rsidRPr="00200234">
        <w:t xml:space="preserve">In 2018, 75 percent of people subject to indefinite inpatient treatment orders were male (see </w:t>
      </w:r>
      <w:r w:rsidR="006456D8">
        <w:fldChar w:fldCharType="begin"/>
      </w:r>
      <w:r w:rsidR="006456D8">
        <w:instrText xml:space="preserve"> REF _Ref65850760 \h </w:instrText>
      </w:r>
      <w:r w:rsidR="006456D8">
        <w:fldChar w:fldCharType="separate"/>
      </w:r>
      <w:r w:rsidR="00422361" w:rsidRPr="00200234">
        <w:t xml:space="preserve">Figure </w:t>
      </w:r>
      <w:r w:rsidR="00422361">
        <w:rPr>
          <w:noProof/>
        </w:rPr>
        <w:t>13</w:t>
      </w:r>
      <w:r w:rsidR="006456D8">
        <w:fldChar w:fldCharType="end"/>
      </w:r>
      <w:r w:rsidRPr="00200234">
        <w:t xml:space="preserve">). In 2019, 80 percent of people subject to indefinite inpatient treatment orders were male (see </w:t>
      </w:r>
      <w:r w:rsidR="006456D8">
        <w:fldChar w:fldCharType="begin"/>
      </w:r>
      <w:r w:rsidR="006456D8">
        <w:instrText xml:space="preserve"> REF _Ref65850766 \h </w:instrText>
      </w:r>
      <w:r w:rsidR="006456D8">
        <w:fldChar w:fldCharType="separate"/>
      </w:r>
      <w:r w:rsidR="00422361" w:rsidRPr="00200234">
        <w:t xml:space="preserve">Figure </w:t>
      </w:r>
      <w:r w:rsidR="00422361">
        <w:rPr>
          <w:noProof/>
        </w:rPr>
        <w:t>14</w:t>
      </w:r>
      <w:r w:rsidR="006456D8">
        <w:fldChar w:fldCharType="end"/>
      </w:r>
      <w:r w:rsidRPr="00200234">
        <w:t xml:space="preserve">). </w:t>
      </w:r>
    </w:p>
    <w:p w14:paraId="1DDD4956" w14:textId="77777777" w:rsidR="00B27DB1" w:rsidRPr="00200234" w:rsidRDefault="00B27DB1" w:rsidP="00B27DB1"/>
    <w:p w14:paraId="7DBCE2B8" w14:textId="681C39AB" w:rsidR="00CF5810" w:rsidRPr="00200234" w:rsidRDefault="00CF5810" w:rsidP="00B27DB1">
      <w:proofErr w:type="gramStart"/>
      <w:r w:rsidRPr="00200234">
        <w:lastRenderedPageBreak/>
        <w:t>Similar to</w:t>
      </w:r>
      <w:proofErr w:type="gramEnd"/>
      <w:r w:rsidRPr="00200234">
        <w:t xml:space="preserve"> the findings for indefinite community treatment orders, this trend is consistent with the higher rate of males subject to compulsory treatment order applications. </w:t>
      </w:r>
    </w:p>
    <w:p w14:paraId="0286B847" w14:textId="77777777" w:rsidR="00B27DB1" w:rsidRPr="00200234" w:rsidRDefault="00B27DB1" w:rsidP="00B27DB1"/>
    <w:p w14:paraId="52529DFC" w14:textId="668E6717" w:rsidR="00CF5810" w:rsidRPr="00200234" w:rsidRDefault="00CF5810" w:rsidP="00CF5810">
      <w:pPr>
        <w:pStyle w:val="Figure"/>
      </w:pPr>
      <w:bookmarkStart w:id="86" w:name="_Ref65850760"/>
      <w:bookmarkStart w:id="87" w:name="_Toc65574442"/>
      <w:bookmarkStart w:id="88" w:name="_Toc66716195"/>
      <w:r w:rsidRPr="00200234">
        <w:t xml:space="preserve">Figure </w:t>
      </w:r>
      <w:fldSimple w:instr=" SEQ Figure \* ARABIC ">
        <w:r w:rsidR="00422361">
          <w:rPr>
            <w:noProof/>
          </w:rPr>
          <w:t>13</w:t>
        </w:r>
      </w:fldSimple>
      <w:bookmarkEnd w:id="86"/>
      <w:r w:rsidRPr="00200234">
        <w:t>: Percentage of people subject to indefinite inpatient treatment orders, by sex, 1 January to 31 December 2018</w:t>
      </w:r>
      <w:bookmarkEnd w:id="87"/>
      <w:bookmarkEnd w:id="88"/>
    </w:p>
    <w:p w14:paraId="4683B12D" w14:textId="77777777" w:rsidR="00CF5810" w:rsidRPr="00200234" w:rsidRDefault="00CF5810" w:rsidP="00B27DB1">
      <w:pPr>
        <w:keepNext/>
        <w:rPr>
          <w:rFonts w:cs="Segoe UI"/>
          <w:b/>
          <w:sz w:val="20"/>
        </w:rPr>
      </w:pPr>
      <w:r w:rsidRPr="00200234">
        <w:rPr>
          <w:noProof/>
          <w:lang w:eastAsia="en-NZ"/>
        </w:rPr>
        <w:drawing>
          <wp:inline distT="0" distB="0" distL="0" distR="0" wp14:anchorId="7E0FED14" wp14:editId="74250145">
            <wp:extent cx="3521798" cy="2634559"/>
            <wp:effectExtent l="0" t="0" r="2540" b="0"/>
            <wp:docPr id="246" name="Chart 246" descr="This pie chart shows that 25% of people subject to indefinite treatment orders in 2018 were female and 75% were male.">
              <a:extLst xmlns:a="http://schemas.openxmlformats.org/drawingml/2006/main">
                <a:ext uri="{FF2B5EF4-FFF2-40B4-BE49-F238E27FC236}">
                  <a16:creationId xmlns:a16="http://schemas.microsoft.com/office/drawing/2014/main" id="{F986795D-F39B-4C16-83D4-E4726CD65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530E304" w14:textId="64BD9D75" w:rsidR="00CF5810" w:rsidRPr="00200234" w:rsidRDefault="00CF5810" w:rsidP="00CF5810">
      <w:pPr>
        <w:pStyle w:val="Source"/>
      </w:pPr>
      <w:r w:rsidRPr="00200234">
        <w:t>Source</w:t>
      </w:r>
      <w:r w:rsidR="00BF5381" w:rsidRPr="00200234">
        <w:t>s</w:t>
      </w:r>
      <w:r w:rsidRPr="00200234">
        <w:t>: PRIMHD data</w:t>
      </w:r>
      <w:r w:rsidR="0015429E">
        <w:t xml:space="preserve"> (extracted</w:t>
      </w:r>
      <w:r w:rsidRPr="00200234">
        <w:t xml:space="preserve"> 29 July 2019</w:t>
      </w:r>
      <w:r w:rsidR="000E756E">
        <w:t>)</w:t>
      </w:r>
      <w:r w:rsidRPr="00200234">
        <w:t xml:space="preserve"> and manual data from Auckland, Lakes, Nelson Marlborough and </w:t>
      </w:r>
      <w:proofErr w:type="spellStart"/>
      <w:r w:rsidRPr="00200234">
        <w:t>Waitematā</w:t>
      </w:r>
      <w:proofErr w:type="spellEnd"/>
      <w:r w:rsidRPr="00200234">
        <w:t xml:space="preserve"> DHBs. </w:t>
      </w:r>
    </w:p>
    <w:p w14:paraId="27938E48" w14:textId="77777777" w:rsidR="00B27DB1" w:rsidRPr="00200234" w:rsidRDefault="00B27DB1" w:rsidP="00B27DB1"/>
    <w:p w14:paraId="7F81D7DB" w14:textId="410A3824" w:rsidR="00CF5810" w:rsidRPr="00200234" w:rsidRDefault="00CF5810" w:rsidP="00CF5810">
      <w:pPr>
        <w:pStyle w:val="Figure"/>
      </w:pPr>
      <w:bookmarkStart w:id="89" w:name="_Ref65850766"/>
      <w:bookmarkStart w:id="90" w:name="_Toc65574443"/>
      <w:bookmarkStart w:id="91" w:name="_Toc66716196"/>
      <w:r w:rsidRPr="00200234">
        <w:t xml:space="preserve">Figure </w:t>
      </w:r>
      <w:fldSimple w:instr=" SEQ Figure \* ARABIC ">
        <w:r w:rsidR="00422361">
          <w:rPr>
            <w:noProof/>
          </w:rPr>
          <w:t>14</w:t>
        </w:r>
      </w:fldSimple>
      <w:bookmarkEnd w:id="89"/>
      <w:r w:rsidRPr="00200234">
        <w:t>: Percentage of people subject to indefinite inpatient treatment orders, by sex, 1 January to 31 December 2019</w:t>
      </w:r>
      <w:bookmarkEnd w:id="90"/>
      <w:bookmarkEnd w:id="91"/>
    </w:p>
    <w:p w14:paraId="3342F0BC" w14:textId="77777777" w:rsidR="00CF5810" w:rsidRPr="00200234" w:rsidRDefault="00CF5810" w:rsidP="00B27DB1">
      <w:pPr>
        <w:keepNext/>
        <w:rPr>
          <w:rFonts w:cs="Segoe UI"/>
          <w:b/>
          <w:sz w:val="20"/>
        </w:rPr>
      </w:pPr>
      <w:r w:rsidRPr="00200234">
        <w:rPr>
          <w:noProof/>
        </w:rPr>
        <w:drawing>
          <wp:inline distT="0" distB="0" distL="0" distR="0" wp14:anchorId="5EAFEBDC" wp14:editId="677FB8A8">
            <wp:extent cx="3390900" cy="2743200"/>
            <wp:effectExtent l="0" t="0" r="0" b="0"/>
            <wp:docPr id="22" name="Chart 22" descr="This pie chart shows that 20% of people subject to indefinite treatment orders in 2019 were female and 80% were male.">
              <a:extLst xmlns:a="http://schemas.openxmlformats.org/drawingml/2006/main">
                <a:ext uri="{FF2B5EF4-FFF2-40B4-BE49-F238E27FC236}">
                  <a16:creationId xmlns:a16="http://schemas.microsoft.com/office/drawing/2014/main" id="{F986795D-F39B-4C16-83D4-E4726CD65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1A1FA9" w14:textId="594E6AF8" w:rsidR="00CF5810" w:rsidRPr="00200234" w:rsidRDefault="00CF5810" w:rsidP="00CF5810">
      <w:pPr>
        <w:pStyle w:val="Source"/>
      </w:pPr>
      <w:r w:rsidRPr="00200234">
        <w:t>Source: PRIMHD data</w:t>
      </w:r>
      <w:r w:rsidR="0015429E">
        <w:t xml:space="preserve"> (extracted</w:t>
      </w:r>
      <w:r w:rsidRPr="00200234">
        <w:t xml:space="preserve"> 19 October 2020</w:t>
      </w:r>
      <w:r w:rsidR="000E756E">
        <w:t>)</w:t>
      </w:r>
      <w:r w:rsidRPr="00200234">
        <w:t xml:space="preserve">. </w:t>
      </w:r>
    </w:p>
    <w:p w14:paraId="38FCAE71" w14:textId="77777777" w:rsidR="008361C5" w:rsidRPr="00200234" w:rsidRDefault="008361C5" w:rsidP="00DC3196">
      <w:pPr>
        <w:pStyle w:val="Heading1"/>
      </w:pPr>
      <w:bookmarkStart w:id="92" w:name="_Toc69307699"/>
      <w:proofErr w:type="spellStart"/>
      <w:r w:rsidRPr="00200234">
        <w:lastRenderedPageBreak/>
        <w:t>Tāngata</w:t>
      </w:r>
      <w:proofErr w:type="spellEnd"/>
      <w:r w:rsidRPr="00200234">
        <w:t xml:space="preserve"> </w:t>
      </w:r>
      <w:proofErr w:type="spellStart"/>
      <w:r w:rsidRPr="00200234">
        <w:t>whaiora</w:t>
      </w:r>
      <w:bookmarkEnd w:id="40"/>
      <w:bookmarkEnd w:id="92"/>
      <w:proofErr w:type="spellEnd"/>
    </w:p>
    <w:p w14:paraId="50BCEABC" w14:textId="76B38E52" w:rsidR="008361C5" w:rsidRPr="00200234" w:rsidRDefault="008361C5" w:rsidP="00B03B37">
      <w:r w:rsidRPr="00200234">
        <w:t xml:space="preserve">This section presents statistics on </w:t>
      </w:r>
      <w:proofErr w:type="spellStart"/>
      <w:r w:rsidRPr="00200234">
        <w:t>tāngata</w:t>
      </w:r>
      <w:proofErr w:type="spellEnd"/>
      <w:r w:rsidRPr="00200234">
        <w:t xml:space="preserve"> </w:t>
      </w:r>
      <w:proofErr w:type="spellStart"/>
      <w:r w:rsidRPr="00200234">
        <w:t>whaiora</w:t>
      </w:r>
      <w:proofErr w:type="spellEnd"/>
      <w:r w:rsidRPr="00200234">
        <w:t xml:space="preserve"> (people seeking treatment) under the Mental Health Act and </w:t>
      </w:r>
      <w:r w:rsidR="00100AFA" w:rsidRPr="00200234">
        <w:t xml:space="preserve">the Substance Addiction (Compulsory Assessment and Treatment) Act 2017 (the </w:t>
      </w:r>
      <w:r w:rsidRPr="00200234">
        <w:t>Substance Addiction Act</w:t>
      </w:r>
      <w:r w:rsidR="00100AFA" w:rsidRPr="00200234">
        <w:t>)</w:t>
      </w:r>
      <w:r w:rsidRPr="00200234">
        <w:t>. This information underlines the need for mental health and addiction services to take meaningful actions to address the disparity in outcomes for Māori in New Zealand.</w:t>
      </w:r>
    </w:p>
    <w:p w14:paraId="11A0C89B" w14:textId="77777777" w:rsidR="005466E3" w:rsidRPr="00200234" w:rsidRDefault="005466E3" w:rsidP="00B03B37"/>
    <w:p w14:paraId="7A8613AC" w14:textId="00E94FA3" w:rsidR="008361C5" w:rsidRPr="00200234" w:rsidRDefault="008361C5" w:rsidP="00B03B37">
      <w:r w:rsidRPr="00200234">
        <w:t>In summary, in 2018:</w:t>
      </w:r>
    </w:p>
    <w:p w14:paraId="04ADA479" w14:textId="77777777" w:rsidR="008361C5" w:rsidRPr="00ED4FA1" w:rsidRDefault="008361C5" w:rsidP="00F96C45">
      <w:pPr>
        <w:pStyle w:val="Bullet"/>
        <w:rPr>
          <w:szCs w:val="21"/>
        </w:rPr>
      </w:pPr>
      <w:bookmarkStart w:id="93" w:name="_Hlk62549156"/>
      <w:r w:rsidRPr="00ED4FA1">
        <w:rPr>
          <w:szCs w:val="21"/>
        </w:rPr>
        <w:t>6.6 percent of Māori accessed mental health and addiction services, compared with 3.1 percent of non-Māori</w:t>
      </w:r>
    </w:p>
    <w:p w14:paraId="148B7A85" w14:textId="77777777" w:rsidR="008361C5" w:rsidRPr="00ED4FA1" w:rsidRDefault="008361C5" w:rsidP="00F96C45">
      <w:pPr>
        <w:pStyle w:val="Bullet"/>
        <w:rPr>
          <w:szCs w:val="21"/>
        </w:rPr>
      </w:pPr>
      <w:r w:rsidRPr="00ED4FA1">
        <w:rPr>
          <w:szCs w:val="21"/>
        </w:rPr>
        <w:t>Māori were 4 times more likely than non-Māori to be subject to a community treatment order and 3.7 times more likely to be subject to an inpatient treatment order</w:t>
      </w:r>
      <w:r w:rsidRPr="00ED4FA1">
        <w:rPr>
          <w:rStyle w:val="FootnoteReference"/>
          <w:rFonts w:cs="Segoe UI"/>
          <w:szCs w:val="21"/>
        </w:rPr>
        <w:footnoteReference w:id="9"/>
      </w:r>
    </w:p>
    <w:p w14:paraId="45E7FB82" w14:textId="77777777" w:rsidR="008361C5" w:rsidRPr="00ED4FA1" w:rsidRDefault="008361C5" w:rsidP="00F96C45">
      <w:pPr>
        <w:pStyle w:val="Bullet"/>
        <w:rPr>
          <w:szCs w:val="21"/>
        </w:rPr>
      </w:pPr>
      <w:r w:rsidRPr="00ED4FA1">
        <w:rPr>
          <w:szCs w:val="21"/>
        </w:rPr>
        <w:t>Māori males were the population group most likely to be subject to community and inpatient treatment orders (compared with non-Māori males and Māori and non-Māori females)</w:t>
      </w:r>
    </w:p>
    <w:p w14:paraId="6FA89718" w14:textId="77777777" w:rsidR="008361C5" w:rsidRPr="00ED4FA1" w:rsidRDefault="008361C5" w:rsidP="00F96C45">
      <w:pPr>
        <w:pStyle w:val="Bullet"/>
        <w:rPr>
          <w:szCs w:val="21"/>
        </w:rPr>
      </w:pPr>
      <w:r w:rsidRPr="00ED4FA1">
        <w:rPr>
          <w:szCs w:val="21"/>
        </w:rPr>
        <w:t>DHBs varied in their ratio of Māori to non-Māori subject to community and inpatient treatment orders</w:t>
      </w:r>
    </w:p>
    <w:p w14:paraId="31B97100" w14:textId="77777777" w:rsidR="008361C5" w:rsidRPr="00ED4FA1" w:rsidRDefault="008361C5" w:rsidP="00F96C45">
      <w:pPr>
        <w:pStyle w:val="Bullet"/>
        <w:rPr>
          <w:szCs w:val="21"/>
        </w:rPr>
      </w:pPr>
      <w:r w:rsidRPr="00ED4FA1">
        <w:rPr>
          <w:szCs w:val="21"/>
        </w:rPr>
        <w:t>on average, Māori and non-Māori remained on community and inpatient treatment orders for similar lengths of time</w:t>
      </w:r>
    </w:p>
    <w:p w14:paraId="3230DB73" w14:textId="306A814A" w:rsidR="008361C5" w:rsidRPr="00ED4FA1" w:rsidRDefault="008361C5" w:rsidP="00F96C45">
      <w:pPr>
        <w:pStyle w:val="Bullet"/>
        <w:rPr>
          <w:szCs w:val="21"/>
        </w:rPr>
      </w:pPr>
      <w:r w:rsidRPr="00ED4FA1">
        <w:rPr>
          <w:szCs w:val="21"/>
        </w:rPr>
        <w:t>Māori were 3.5 times more likely to be subject to indefinite community treatment orders than non-Māori, and 2.8 times more likely to be subject to indefinite inpatient treatment orders than non-Māori</w:t>
      </w:r>
    </w:p>
    <w:p w14:paraId="175FAB70" w14:textId="77777777" w:rsidR="008361C5" w:rsidRPr="00ED4FA1" w:rsidRDefault="008361C5" w:rsidP="00F96C45">
      <w:pPr>
        <w:pStyle w:val="Bullet"/>
        <w:rPr>
          <w:szCs w:val="21"/>
        </w:rPr>
      </w:pPr>
      <w:r w:rsidRPr="00ED4FA1">
        <w:rPr>
          <w:szCs w:val="21"/>
        </w:rPr>
        <w:t>Māori made up approximately 16 percent of New Zealand’s population, yet they accounted for 28 percent of all mental health service users</w:t>
      </w:r>
    </w:p>
    <w:p w14:paraId="4C40A74D" w14:textId="00EEBB85" w:rsidR="008361C5" w:rsidRPr="00ED4FA1" w:rsidRDefault="008531D3" w:rsidP="00F96C45">
      <w:pPr>
        <w:pStyle w:val="Bullet"/>
        <w:rPr>
          <w:szCs w:val="21"/>
        </w:rPr>
      </w:pPr>
      <w:r w:rsidRPr="00ED4FA1">
        <w:rPr>
          <w:szCs w:val="21"/>
        </w:rPr>
        <w:t>a</w:t>
      </w:r>
      <w:r w:rsidR="008361C5" w:rsidRPr="00ED4FA1">
        <w:rPr>
          <w:szCs w:val="21"/>
        </w:rPr>
        <w:t>pproximately half of all Māori service users were under 25 years of age, compared with approximately 30 percent of non-Māori service users</w:t>
      </w:r>
    </w:p>
    <w:p w14:paraId="675F16FA" w14:textId="059AB269" w:rsidR="008361C5" w:rsidRPr="00ED4FA1" w:rsidRDefault="008531D3" w:rsidP="00F96C45">
      <w:pPr>
        <w:pStyle w:val="Bullet"/>
        <w:rPr>
          <w:szCs w:val="21"/>
        </w:rPr>
      </w:pPr>
      <w:r w:rsidRPr="00ED4FA1">
        <w:rPr>
          <w:szCs w:val="21"/>
        </w:rPr>
        <w:t>a</w:t>
      </w:r>
      <w:r w:rsidR="008361C5" w:rsidRPr="00ED4FA1">
        <w:rPr>
          <w:szCs w:val="21"/>
        </w:rPr>
        <w:t xml:space="preserve">mong service users under a community treatment order, 52 percent of Māori </w:t>
      </w:r>
      <w:r w:rsidR="00331B61" w:rsidRPr="00ED4FA1">
        <w:rPr>
          <w:szCs w:val="21"/>
        </w:rPr>
        <w:t xml:space="preserve">were living </w:t>
      </w:r>
      <w:r w:rsidR="008361C5" w:rsidRPr="00ED4FA1">
        <w:rPr>
          <w:szCs w:val="21"/>
        </w:rPr>
        <w:t>in the most deprived deciles (8</w:t>
      </w:r>
      <w:r w:rsidR="00912EAD" w:rsidRPr="00ED4FA1">
        <w:rPr>
          <w:szCs w:val="21"/>
        </w:rPr>
        <w:t>–</w:t>
      </w:r>
      <w:r w:rsidR="008361C5" w:rsidRPr="00ED4FA1">
        <w:rPr>
          <w:szCs w:val="21"/>
        </w:rPr>
        <w:t>10)</w:t>
      </w:r>
      <w:r w:rsidRPr="00ED4FA1">
        <w:rPr>
          <w:szCs w:val="21"/>
        </w:rPr>
        <w:t>,</w:t>
      </w:r>
      <w:r w:rsidR="008361C5" w:rsidRPr="00ED4FA1">
        <w:rPr>
          <w:szCs w:val="21"/>
        </w:rPr>
        <w:t xml:space="preserve"> compared with 32 percent of non-Māori.</w:t>
      </w:r>
      <w:r w:rsidR="008361C5" w:rsidRPr="00ED4FA1">
        <w:rPr>
          <w:rStyle w:val="FootnoteReference"/>
          <w:rFonts w:cs="Segoe UI"/>
          <w:szCs w:val="21"/>
        </w:rPr>
        <w:footnoteReference w:id="10"/>
      </w:r>
    </w:p>
    <w:p w14:paraId="46016523" w14:textId="77777777" w:rsidR="008361C5" w:rsidRPr="00200234" w:rsidRDefault="008361C5" w:rsidP="00F96C45"/>
    <w:p w14:paraId="3E91D445" w14:textId="359766CD" w:rsidR="008361C5" w:rsidRPr="00200234" w:rsidRDefault="008361C5" w:rsidP="00F96C45">
      <w:r w:rsidRPr="00200234">
        <w:t>In 2019:</w:t>
      </w:r>
    </w:p>
    <w:p w14:paraId="7B892BC3" w14:textId="77777777" w:rsidR="008361C5" w:rsidRPr="00ED4FA1" w:rsidRDefault="008361C5" w:rsidP="00F96C45">
      <w:pPr>
        <w:pStyle w:val="Bullet"/>
        <w:rPr>
          <w:szCs w:val="21"/>
        </w:rPr>
      </w:pPr>
      <w:r w:rsidRPr="00ED4FA1">
        <w:rPr>
          <w:szCs w:val="21"/>
        </w:rPr>
        <w:t>6.6 percent of Māori accessed mental health and addiction services, compared with 3.2 percent of non-Māori</w:t>
      </w:r>
    </w:p>
    <w:p w14:paraId="5860C9BB" w14:textId="1FEA35D0" w:rsidR="008361C5" w:rsidRPr="00ED4FA1" w:rsidRDefault="008361C5" w:rsidP="00F96C45">
      <w:pPr>
        <w:pStyle w:val="Bullet"/>
        <w:rPr>
          <w:szCs w:val="21"/>
        </w:rPr>
      </w:pPr>
      <w:r w:rsidRPr="00ED4FA1">
        <w:rPr>
          <w:szCs w:val="21"/>
        </w:rPr>
        <w:lastRenderedPageBreak/>
        <w:t>Māori were 3.8 times more likely than non-Māori to be subject to a community treatment order and 3.6 times more likely to be subject to an inpatient treatment order</w:t>
      </w:r>
      <w:r w:rsidR="0003105E">
        <w:rPr>
          <w:rStyle w:val="FootnoteReference"/>
          <w:szCs w:val="21"/>
        </w:rPr>
        <w:footnoteReference w:id="11"/>
      </w:r>
    </w:p>
    <w:p w14:paraId="1427E85F" w14:textId="77777777" w:rsidR="008361C5" w:rsidRPr="00ED4FA1" w:rsidRDefault="008361C5" w:rsidP="00F96C45">
      <w:pPr>
        <w:pStyle w:val="Bullet"/>
        <w:rPr>
          <w:szCs w:val="21"/>
        </w:rPr>
      </w:pPr>
      <w:r w:rsidRPr="00ED4FA1">
        <w:rPr>
          <w:szCs w:val="21"/>
        </w:rPr>
        <w:t>Māori males were the population group most likely to be subject to community and inpatient treatment orders (compared with non-Māori males and Māori and non-Māori females)</w:t>
      </w:r>
    </w:p>
    <w:p w14:paraId="5A0A4B65" w14:textId="77777777" w:rsidR="008361C5" w:rsidRPr="00ED4FA1" w:rsidRDefault="008361C5" w:rsidP="00F96C45">
      <w:pPr>
        <w:pStyle w:val="Bullet"/>
        <w:rPr>
          <w:szCs w:val="21"/>
        </w:rPr>
      </w:pPr>
      <w:r w:rsidRPr="00ED4FA1">
        <w:rPr>
          <w:szCs w:val="21"/>
        </w:rPr>
        <w:t>DHBs varied in their ratio of Māori to non-Māori subject to community and inpatient treatment orders</w:t>
      </w:r>
    </w:p>
    <w:p w14:paraId="57FB3516" w14:textId="77777777" w:rsidR="008361C5" w:rsidRPr="00ED4FA1" w:rsidRDefault="008361C5" w:rsidP="00F96C45">
      <w:pPr>
        <w:pStyle w:val="Bullet"/>
        <w:rPr>
          <w:szCs w:val="21"/>
        </w:rPr>
      </w:pPr>
      <w:r w:rsidRPr="00ED4FA1">
        <w:rPr>
          <w:szCs w:val="21"/>
        </w:rPr>
        <w:t>on average, Māori and non-Māori remained on community and inpatient treatment orders for similar lengths of time</w:t>
      </w:r>
    </w:p>
    <w:p w14:paraId="5B306D33" w14:textId="77777777" w:rsidR="008361C5" w:rsidRPr="00ED4FA1" w:rsidRDefault="008361C5" w:rsidP="00F96C45">
      <w:pPr>
        <w:pStyle w:val="Bullet"/>
        <w:rPr>
          <w:szCs w:val="21"/>
        </w:rPr>
      </w:pPr>
      <w:r w:rsidRPr="00ED4FA1">
        <w:rPr>
          <w:szCs w:val="21"/>
        </w:rPr>
        <w:t>Māori were 2.9 times more likely to be subject to indefinite community treatment orders than non-Māori, and 2.7 times more likely to be subject to indefinite inpatient treatment orders than non-Māori</w:t>
      </w:r>
    </w:p>
    <w:p w14:paraId="6BDA200E" w14:textId="77777777" w:rsidR="008361C5" w:rsidRPr="00ED4FA1" w:rsidRDefault="008361C5" w:rsidP="00F96C45">
      <w:pPr>
        <w:pStyle w:val="Bullet"/>
        <w:rPr>
          <w:szCs w:val="21"/>
        </w:rPr>
      </w:pPr>
      <w:r w:rsidRPr="00ED4FA1">
        <w:rPr>
          <w:szCs w:val="21"/>
        </w:rPr>
        <w:t>Māori made up approximately 17 percent of New Zealand’s population, yet they accounted for 29 percent of all mental health service users</w:t>
      </w:r>
    </w:p>
    <w:p w14:paraId="2A0CB3D2" w14:textId="76BFD43B" w:rsidR="008361C5" w:rsidRPr="00ED4FA1" w:rsidRDefault="00331B61" w:rsidP="00F96C45">
      <w:pPr>
        <w:pStyle w:val="Bullet"/>
        <w:rPr>
          <w:szCs w:val="21"/>
        </w:rPr>
      </w:pPr>
      <w:r w:rsidRPr="00ED4FA1">
        <w:rPr>
          <w:szCs w:val="21"/>
        </w:rPr>
        <w:t>a</w:t>
      </w:r>
      <w:r w:rsidR="008361C5" w:rsidRPr="00ED4FA1">
        <w:rPr>
          <w:szCs w:val="21"/>
        </w:rPr>
        <w:t>pproximately half of all Māori service users were under 25 years of age, compared with approximately 29 percent of non-Māori service users</w:t>
      </w:r>
    </w:p>
    <w:p w14:paraId="445B4725" w14:textId="48C7AFBA" w:rsidR="008361C5" w:rsidRPr="00ED4FA1" w:rsidRDefault="00331B61" w:rsidP="00F96C45">
      <w:pPr>
        <w:pStyle w:val="Bullet"/>
        <w:rPr>
          <w:szCs w:val="21"/>
        </w:rPr>
      </w:pPr>
      <w:r w:rsidRPr="00ED4FA1">
        <w:rPr>
          <w:szCs w:val="21"/>
        </w:rPr>
        <w:t>a</w:t>
      </w:r>
      <w:r w:rsidR="008361C5" w:rsidRPr="00ED4FA1">
        <w:rPr>
          <w:szCs w:val="21"/>
        </w:rPr>
        <w:t xml:space="preserve">mong service users under a community treatment order, 79 percent of Māori </w:t>
      </w:r>
      <w:r w:rsidRPr="00ED4FA1">
        <w:rPr>
          <w:szCs w:val="21"/>
        </w:rPr>
        <w:t>were living</w:t>
      </w:r>
      <w:r w:rsidRPr="00ED4FA1" w:rsidDel="00331B61">
        <w:rPr>
          <w:szCs w:val="21"/>
        </w:rPr>
        <w:t xml:space="preserve"> </w:t>
      </w:r>
      <w:r w:rsidR="008361C5" w:rsidRPr="00ED4FA1">
        <w:rPr>
          <w:szCs w:val="21"/>
        </w:rPr>
        <w:t>in the most deprived deciles (8</w:t>
      </w:r>
      <w:r w:rsidR="00912EAD" w:rsidRPr="00ED4FA1">
        <w:rPr>
          <w:szCs w:val="21"/>
        </w:rPr>
        <w:t>–</w:t>
      </w:r>
      <w:r w:rsidR="008361C5" w:rsidRPr="00ED4FA1">
        <w:rPr>
          <w:szCs w:val="21"/>
        </w:rPr>
        <w:t>10)</w:t>
      </w:r>
      <w:r w:rsidR="008531D3" w:rsidRPr="00ED4FA1">
        <w:rPr>
          <w:szCs w:val="21"/>
        </w:rPr>
        <w:t>,</w:t>
      </w:r>
      <w:r w:rsidR="008361C5" w:rsidRPr="00ED4FA1">
        <w:rPr>
          <w:szCs w:val="21"/>
        </w:rPr>
        <w:t xml:space="preserve"> compared with 30 percent of non-Māori.</w:t>
      </w:r>
      <w:r w:rsidR="008361C5" w:rsidRPr="00ED4FA1">
        <w:rPr>
          <w:rStyle w:val="FootnoteReference"/>
          <w:rFonts w:cs="Segoe UI"/>
          <w:szCs w:val="21"/>
        </w:rPr>
        <w:footnoteReference w:id="12"/>
      </w:r>
    </w:p>
    <w:p w14:paraId="34F69F07" w14:textId="77777777" w:rsidR="008361C5" w:rsidRPr="00200234" w:rsidRDefault="008361C5" w:rsidP="00DC3196">
      <w:pPr>
        <w:pStyle w:val="Heading2"/>
      </w:pPr>
      <w:bookmarkStart w:id="94" w:name="_Toc65141619"/>
      <w:bookmarkStart w:id="95" w:name="_Toc69307700"/>
      <w:bookmarkEnd w:id="93"/>
      <w:r w:rsidRPr="00200234">
        <w:t>Māori and compulsory treatment orders</w:t>
      </w:r>
      <w:bookmarkEnd w:id="94"/>
      <w:bookmarkEnd w:id="95"/>
    </w:p>
    <w:p w14:paraId="743F90A7" w14:textId="5B006E8B" w:rsidR="008361C5" w:rsidRPr="00200234" w:rsidRDefault="008361C5" w:rsidP="00F96C45">
      <w:r w:rsidRPr="00200234">
        <w:t xml:space="preserve">In 2018 and 2019, Māori were more likely to be subject to community and inpatient treatment orders than non-Māori. Figures </w:t>
      </w:r>
      <w:r w:rsidR="001B42F3" w:rsidRPr="00200234">
        <w:fldChar w:fldCharType="begin"/>
      </w:r>
      <w:r w:rsidR="001B42F3" w:rsidRPr="00200234">
        <w:instrText xml:space="preserve"> REF _Ref65672076 \# 0 \h </w:instrText>
      </w:r>
      <w:r w:rsidR="001B42F3" w:rsidRPr="00200234">
        <w:fldChar w:fldCharType="separate"/>
      </w:r>
      <w:r w:rsidR="00422361">
        <w:t>15</w:t>
      </w:r>
      <w:r w:rsidR="001B42F3" w:rsidRPr="00200234">
        <w:fldChar w:fldCharType="end"/>
      </w:r>
      <w:r w:rsidRPr="00200234">
        <w:t xml:space="preserve"> to </w:t>
      </w:r>
      <w:r w:rsidR="001B42F3" w:rsidRPr="00200234">
        <w:fldChar w:fldCharType="begin"/>
      </w:r>
      <w:r w:rsidR="001B42F3" w:rsidRPr="00200234">
        <w:instrText xml:space="preserve"> REF _Ref65672084 \# 0 \h </w:instrText>
      </w:r>
      <w:r w:rsidR="001B42F3" w:rsidRPr="00200234">
        <w:fldChar w:fldCharType="separate"/>
      </w:r>
      <w:r w:rsidR="00422361">
        <w:t>18</w:t>
      </w:r>
      <w:r w:rsidR="001B42F3" w:rsidRPr="00200234">
        <w:fldChar w:fldCharType="end"/>
      </w:r>
      <w:r w:rsidRPr="00200234">
        <w:t xml:space="preserve"> show the rate ratio of Māori to non-Māori subject to these orders for each DHB. </w:t>
      </w:r>
    </w:p>
    <w:p w14:paraId="3BB53159" w14:textId="77777777" w:rsidR="00F96C45" w:rsidRPr="00200234" w:rsidRDefault="00F96C45" w:rsidP="008361C5"/>
    <w:p w14:paraId="459D50F3" w14:textId="29B60523" w:rsidR="008361C5" w:rsidRPr="00200234" w:rsidRDefault="008361C5" w:rsidP="00F96C45">
      <w:r w:rsidRPr="00200234">
        <w:t>It is difficult to interpret the range of rates because the proportions of different ethnic groups within a population vary greatly across DHBs</w:t>
      </w:r>
      <w:r w:rsidR="00CB4DD5" w:rsidRPr="00200234">
        <w:t>,</w:t>
      </w:r>
      <w:r w:rsidRPr="00200234">
        <w:t xml:space="preserve"> so it is hard to define an ideal rate ratio for a given population or DHB. However, to help make the comparison, each figure includes a line of ‘no difference’ to indicate where Māori and non-Māori would be subject to compulsory treatment orders at the same rate. The figures emphasise the need for in-depth, area-specific knowledge to understand why differences occur in each district and how to address them at a local level.</w:t>
      </w:r>
    </w:p>
    <w:p w14:paraId="3F3764E7" w14:textId="77777777" w:rsidR="008361C5" w:rsidRPr="00200234" w:rsidRDefault="008361C5" w:rsidP="00F96C45"/>
    <w:p w14:paraId="4B26B79A" w14:textId="2CE1F2A7" w:rsidR="008361C5" w:rsidRPr="00200234" w:rsidRDefault="008361C5" w:rsidP="008361C5">
      <w:pPr>
        <w:pStyle w:val="Figure"/>
      </w:pPr>
      <w:bookmarkStart w:id="96" w:name="_Ref65672076"/>
      <w:bookmarkStart w:id="97" w:name="_Toc63764750"/>
      <w:bookmarkStart w:id="98" w:name="_Toc66716197"/>
      <w:r w:rsidRPr="00200234">
        <w:lastRenderedPageBreak/>
        <w:t xml:space="preserve">Figure </w:t>
      </w:r>
      <w:fldSimple w:instr=" SEQ Figure \* ARABIC ">
        <w:r w:rsidR="00422361">
          <w:rPr>
            <w:noProof/>
          </w:rPr>
          <w:t>15</w:t>
        </w:r>
      </w:fldSimple>
      <w:bookmarkEnd w:id="96"/>
      <w:r w:rsidRPr="00200234">
        <w:t>: Rate ratio of Māori to non-Māori subject to a community treatment order (section 29) under the Mental Health Act per 100,000 population, by DHB, 1 January to 31 December 2018</w:t>
      </w:r>
      <w:bookmarkEnd w:id="97"/>
      <w:bookmarkEnd w:id="98"/>
    </w:p>
    <w:p w14:paraId="275E65F0" w14:textId="77777777" w:rsidR="008361C5" w:rsidRPr="00200234" w:rsidRDefault="008361C5" w:rsidP="008361C5">
      <w:pPr>
        <w:rPr>
          <w:rFonts w:eastAsia="Calibri" w:cs="Segoe UI"/>
        </w:rPr>
      </w:pPr>
      <w:r w:rsidRPr="00200234">
        <w:rPr>
          <w:rFonts w:ascii="Calibri Light" w:eastAsia="Calibri" w:hAnsi="Calibri Light"/>
          <w:noProof/>
          <w:lang w:eastAsia="en-NZ"/>
        </w:rPr>
        <w:drawing>
          <wp:inline distT="0" distB="0" distL="0" distR="0" wp14:anchorId="57D535D2" wp14:editId="65ED69FB">
            <wp:extent cx="5040000" cy="4316818"/>
            <wp:effectExtent l="0" t="0" r="8255" b="7620"/>
            <wp:docPr id="21" name="Chart 21" descr="This graph shows that in 2018, the DHBs with the highest Māori to non-Māori ratios in community treatment orders were Lakes, Bay of Plenty and Waikato, with a ratio of about 5 to 1. The average across New Zealand was 4 to 1. The DHBs with the lowest ratios were Nelson Marlborough, South Canterbury and Taranaki which had ratios between 2-3 to 1.">
              <a:extLst xmlns:a="http://schemas.openxmlformats.org/drawingml/2006/main">
                <a:ext uri="{FF2B5EF4-FFF2-40B4-BE49-F238E27FC236}">
                  <a16:creationId xmlns:a16="http://schemas.microsoft.com/office/drawing/2014/main" id="{00000000-0008-0000-0F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797D9A" w14:textId="799737F4" w:rsidR="008361C5" w:rsidRPr="00200234" w:rsidRDefault="008361C5" w:rsidP="008361C5">
      <w:pPr>
        <w:pStyle w:val="Note"/>
        <w:rPr>
          <w:rFonts w:eastAsia="Calibri"/>
        </w:rPr>
      </w:pPr>
      <w:r w:rsidRPr="00200234">
        <w:rPr>
          <w:rFonts w:eastAsia="Calibri"/>
        </w:rPr>
        <w:t>Note: Confidence intervals (for 99 percent confidence) have been used to aid interpretation. Where a DHB</w:t>
      </w:r>
      <w:r w:rsidR="00825884" w:rsidRPr="00200234">
        <w:rPr>
          <w:rFonts w:eastAsia="Calibri"/>
        </w:rPr>
        <w:t>’</w:t>
      </w:r>
      <w:r w:rsidRPr="00200234">
        <w:rPr>
          <w:rFonts w:eastAsia="Calibri"/>
        </w:rPr>
        <w:t>s confidence interval crosses the national average, the DHB</w:t>
      </w:r>
      <w:r w:rsidR="00825884" w:rsidRPr="00200234">
        <w:rPr>
          <w:rFonts w:eastAsia="Calibri"/>
        </w:rPr>
        <w:t>’</w:t>
      </w:r>
      <w:r w:rsidRPr="00200234">
        <w:rPr>
          <w:rFonts w:eastAsia="Calibri"/>
        </w:rPr>
        <w:t>s rate per 100,000 is not statistically different to the national average. These are age-standardised rates.</w:t>
      </w:r>
    </w:p>
    <w:p w14:paraId="2ED47FD9" w14:textId="6538786C" w:rsidR="008361C5" w:rsidRPr="00200234" w:rsidRDefault="008361C5" w:rsidP="008361C5">
      <w:pPr>
        <w:pStyle w:val="Note"/>
        <w:rPr>
          <w:rFonts w:eastAsia="Calibri"/>
        </w:rPr>
      </w:pPr>
      <w:r w:rsidRPr="00200234">
        <w:rPr>
          <w:rFonts w:eastAsia="Calibri"/>
        </w:rPr>
        <w:t>Source</w:t>
      </w:r>
      <w:r w:rsidR="00BF5381" w:rsidRPr="00200234">
        <w:rPr>
          <w:rFonts w:eastAsia="Calibri"/>
        </w:rPr>
        <w:t>s</w:t>
      </w:r>
      <w:r w:rsidRPr="00200234">
        <w:rPr>
          <w:rFonts w:eastAsia="Calibri"/>
        </w:rPr>
        <w:t xml:space="preserve">: </w:t>
      </w:r>
      <w:r w:rsidR="00BF5381" w:rsidRPr="00200234">
        <w:rPr>
          <w:rFonts w:eastAsia="Calibri"/>
        </w:rPr>
        <w:t>PRIMHD data</w:t>
      </w:r>
      <w:r w:rsidR="0015429E">
        <w:rPr>
          <w:rFonts w:eastAsia="Calibri"/>
        </w:rPr>
        <w:t xml:space="preserve"> (extracted</w:t>
      </w:r>
      <w:r w:rsidR="00BF5381" w:rsidRPr="00200234">
        <w:rPr>
          <w:rFonts w:eastAsia="Calibri"/>
        </w:rPr>
        <w:t xml:space="preserve"> 29 July 2019</w:t>
      </w:r>
      <w:r w:rsidR="000E756E">
        <w:rPr>
          <w:rFonts w:eastAsia="Calibri"/>
        </w:rPr>
        <w:t>)</w:t>
      </w:r>
      <w:r w:rsidR="00BF5381" w:rsidRPr="00200234">
        <w:rPr>
          <w:rFonts w:eastAsia="Calibri"/>
        </w:rPr>
        <w:t xml:space="preserve"> and manual data from Auckland, Lakes, Nelson Marlborough and </w:t>
      </w:r>
      <w:proofErr w:type="spellStart"/>
      <w:r w:rsidR="00BF5381" w:rsidRPr="00200234">
        <w:rPr>
          <w:rFonts w:eastAsia="Calibri"/>
        </w:rPr>
        <w:t>Waitematā</w:t>
      </w:r>
      <w:proofErr w:type="spellEnd"/>
      <w:r w:rsidR="00BF5381" w:rsidRPr="00200234">
        <w:rPr>
          <w:rFonts w:eastAsia="Calibri"/>
        </w:rPr>
        <w:t xml:space="preserve"> DHBs </w:t>
      </w:r>
      <w:r w:rsidRPr="00200234">
        <w:rPr>
          <w:rFonts w:eastAsia="Calibri"/>
        </w:rPr>
        <w:t>(</w:t>
      </w:r>
      <w:r w:rsidR="00BF5381" w:rsidRPr="00200234">
        <w:rPr>
          <w:rFonts w:eastAsia="Calibri"/>
        </w:rPr>
        <w:t>which</w:t>
      </w:r>
      <w:r w:rsidRPr="00200234">
        <w:rPr>
          <w:rFonts w:eastAsia="Calibri"/>
        </w:rPr>
        <w:t xml:space="preserve"> are excluded from this graph </w:t>
      </w:r>
      <w:r w:rsidR="00BF5381" w:rsidRPr="00200234">
        <w:rPr>
          <w:rFonts w:eastAsia="Calibri"/>
        </w:rPr>
        <w:t>because</w:t>
      </w:r>
      <w:r w:rsidRPr="00200234">
        <w:rPr>
          <w:rFonts w:eastAsia="Calibri"/>
        </w:rPr>
        <w:t xml:space="preserve"> we do not have their age-standardised rates). </w:t>
      </w:r>
    </w:p>
    <w:p w14:paraId="293967E6" w14:textId="77777777" w:rsidR="008361C5" w:rsidRPr="00200234" w:rsidRDefault="008361C5" w:rsidP="008361C5"/>
    <w:p w14:paraId="156D0E89" w14:textId="14EB7741" w:rsidR="008361C5" w:rsidRDefault="008361C5" w:rsidP="00550FF4">
      <w:pPr>
        <w:pStyle w:val="Figure"/>
        <w:rPr>
          <w:rFonts w:eastAsia="Calibri" w:cs="Segoe UI"/>
        </w:rPr>
      </w:pPr>
      <w:bookmarkStart w:id="99" w:name="_Toc63764751"/>
      <w:bookmarkStart w:id="100" w:name="_Toc66716198"/>
      <w:r w:rsidRPr="00200234">
        <w:lastRenderedPageBreak/>
        <w:t xml:space="preserve">Figure </w:t>
      </w:r>
      <w:fldSimple w:instr=" SEQ Figure \* ARABIC ">
        <w:r w:rsidR="00422361">
          <w:rPr>
            <w:noProof/>
          </w:rPr>
          <w:t>16</w:t>
        </w:r>
      </w:fldSimple>
      <w:r w:rsidRPr="00200234">
        <w:t>: Rate ratio of Māori to non-Māori subject to a community treatment order (section 29) under the Mental Health Act per 100,000 population, by DHB, 1 January to 31 December 2019</w:t>
      </w:r>
      <w:bookmarkEnd w:id="99"/>
      <w:bookmarkEnd w:id="100"/>
    </w:p>
    <w:p w14:paraId="5F16A444" w14:textId="0ADD6615" w:rsidR="00550FF4" w:rsidRPr="00200234" w:rsidRDefault="00550FF4" w:rsidP="008361C5">
      <w:pPr>
        <w:rPr>
          <w:rFonts w:eastAsia="Calibri" w:cs="Segoe UI"/>
        </w:rPr>
      </w:pPr>
      <w:r>
        <w:rPr>
          <w:noProof/>
        </w:rPr>
        <w:drawing>
          <wp:inline distT="0" distB="0" distL="0" distR="0" wp14:anchorId="6AA1FCE8" wp14:editId="18E064A8">
            <wp:extent cx="5130165" cy="4314825"/>
            <wp:effectExtent l="0" t="0" r="0" b="0"/>
            <wp:docPr id="247" name="Chart 247" descr="This graph shows that in 2019, the DHBs with the highest Māori to non-Māori ratios in community treatment orders were Waikato, Counties Manukau and Hawke's Bay, with ratios of about 4.5 to 1. The average across New Zealand was 3.75 to 1. The DHBs with the lowest ratios were South Canterbury, West Coast and Nelson Marlborough, which all had ratios below 3 to 1.">
              <a:extLst xmlns:a="http://schemas.openxmlformats.org/drawingml/2006/main">
                <a:ext uri="{FF2B5EF4-FFF2-40B4-BE49-F238E27FC236}">
                  <a16:creationId xmlns:a16="http://schemas.microsoft.com/office/drawing/2014/main" id="{00000000-0008-0000-1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3D35E36" w14:textId="78138E39" w:rsidR="008361C5" w:rsidRPr="00200234" w:rsidRDefault="008361C5" w:rsidP="008361C5">
      <w:pPr>
        <w:pStyle w:val="Note"/>
        <w:rPr>
          <w:rFonts w:eastAsia="Calibri"/>
        </w:rPr>
      </w:pPr>
      <w:r w:rsidRPr="00200234">
        <w:rPr>
          <w:rFonts w:eastAsia="Calibri"/>
        </w:rPr>
        <w:t>Note: Confidence intervals (for 99 percent confidence) have been used to aid interpretation. Where a DHB</w:t>
      </w:r>
      <w:r w:rsidR="00825884" w:rsidRPr="00200234">
        <w:rPr>
          <w:rFonts w:eastAsia="Calibri"/>
        </w:rPr>
        <w:t>’</w:t>
      </w:r>
      <w:r w:rsidRPr="00200234">
        <w:rPr>
          <w:rFonts w:eastAsia="Calibri"/>
        </w:rPr>
        <w:t>s confidence interval crosses the national average, the DHB</w:t>
      </w:r>
      <w:r w:rsidR="00825884" w:rsidRPr="00200234">
        <w:rPr>
          <w:rFonts w:eastAsia="Calibri"/>
        </w:rPr>
        <w:t>’</w:t>
      </w:r>
      <w:r w:rsidRPr="00200234">
        <w:rPr>
          <w:rFonts w:eastAsia="Calibri"/>
        </w:rPr>
        <w:t>s rate per 100,000 is not statistically different to the national average. These are age-standardised rates.</w:t>
      </w:r>
    </w:p>
    <w:p w14:paraId="2ED1F930" w14:textId="361E3867" w:rsidR="008361C5" w:rsidRPr="00200234" w:rsidRDefault="008361C5" w:rsidP="008361C5">
      <w:pPr>
        <w:pStyle w:val="Note"/>
        <w:rPr>
          <w:rFonts w:eastAsia="Calibri"/>
        </w:rPr>
      </w:pPr>
      <w:r w:rsidRPr="00200234">
        <w:rPr>
          <w:rFonts w:eastAsia="Calibri"/>
        </w:rPr>
        <w:t>Source: PRIMHD data</w:t>
      </w:r>
      <w:r w:rsidR="0015429E">
        <w:rPr>
          <w:rFonts w:eastAsia="Calibri"/>
        </w:rPr>
        <w:t xml:space="preserve"> (extracted</w:t>
      </w:r>
      <w:r w:rsidRPr="00200234">
        <w:rPr>
          <w:rFonts w:eastAsia="Calibri"/>
        </w:rPr>
        <w:t xml:space="preserve"> 19 October 2020</w:t>
      </w:r>
      <w:r w:rsidR="000E756E">
        <w:rPr>
          <w:rFonts w:eastAsia="Calibri"/>
        </w:rPr>
        <w:t>)</w:t>
      </w:r>
      <w:r w:rsidR="00E45A98" w:rsidRPr="00200234">
        <w:rPr>
          <w:rFonts w:eastAsia="Calibri"/>
        </w:rPr>
        <w:t>.</w:t>
      </w:r>
    </w:p>
    <w:p w14:paraId="4851696C" w14:textId="77777777" w:rsidR="008361C5" w:rsidRPr="00200234" w:rsidRDefault="008361C5" w:rsidP="008361C5"/>
    <w:p w14:paraId="76463CE8" w14:textId="77777777" w:rsidR="008361C5" w:rsidRPr="00200234" w:rsidRDefault="008361C5" w:rsidP="008361C5"/>
    <w:p w14:paraId="7F9B86F7" w14:textId="118B99DC" w:rsidR="008361C5" w:rsidRPr="00200234" w:rsidRDefault="008361C5" w:rsidP="008361C5">
      <w:pPr>
        <w:pStyle w:val="Figure"/>
      </w:pPr>
      <w:bookmarkStart w:id="101" w:name="_Toc63764752"/>
      <w:bookmarkStart w:id="102" w:name="_Toc66716199"/>
      <w:r w:rsidRPr="00200234">
        <w:lastRenderedPageBreak/>
        <w:t xml:space="preserve">Figure </w:t>
      </w:r>
      <w:fldSimple w:instr=" SEQ Figure \* ARABIC ">
        <w:r w:rsidR="00422361">
          <w:rPr>
            <w:noProof/>
          </w:rPr>
          <w:t>17</w:t>
        </w:r>
      </w:fldSimple>
      <w:r w:rsidRPr="00200234">
        <w:t>: Rate ratio of Māori to non-Māori subject to an inpatient treatment order (section 30) under the Mental Health Act per 100,000 population, by DHB, 1 January to 31 December 2018</w:t>
      </w:r>
      <w:bookmarkEnd w:id="101"/>
      <w:bookmarkEnd w:id="102"/>
    </w:p>
    <w:p w14:paraId="0C95A726" w14:textId="77777777" w:rsidR="008361C5" w:rsidRPr="00200234" w:rsidRDefault="008361C5" w:rsidP="008361C5">
      <w:r w:rsidRPr="00200234">
        <w:rPr>
          <w:noProof/>
        </w:rPr>
        <w:drawing>
          <wp:inline distT="0" distB="0" distL="0" distR="0" wp14:anchorId="6530B37C" wp14:editId="601FA2EE">
            <wp:extent cx="5039995" cy="4274289"/>
            <wp:effectExtent l="0" t="0" r="8255" b="0"/>
            <wp:docPr id="58" name="Chart 58" descr="This graph shows that in 2018, the DHBs with the highest Māori to non-Māori ratios in inpatient treatment orders were Waitemata, Waikato and Bay of Plenty with ratios of about 5 to 1. The average across New Zealand was 3 to 1. The DHBs with the lowest ratios were Wairarapa (which didn't have a ratio) and South Canterbury and Tairawhiti, which both had ratios below 2 to 1.">
              <a:extLst xmlns:a="http://schemas.openxmlformats.org/drawingml/2006/main">
                <a:ext uri="{FF2B5EF4-FFF2-40B4-BE49-F238E27FC236}">
                  <a16:creationId xmlns:a16="http://schemas.microsoft.com/office/drawing/2014/main" id="{00000000-0008-0000-1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43A0231" w14:textId="22037D44" w:rsidR="008361C5" w:rsidRPr="00200234" w:rsidRDefault="008361C5" w:rsidP="008361C5">
      <w:pPr>
        <w:pStyle w:val="Note"/>
        <w:rPr>
          <w:rFonts w:eastAsia="Calibri"/>
        </w:rPr>
      </w:pPr>
      <w:r w:rsidRPr="00200234">
        <w:rPr>
          <w:rFonts w:eastAsia="Calibri"/>
        </w:rPr>
        <w:t>Note: Confidence intervals (for 99 percent confidence) have been used to aid interpretation. Where a DHB</w:t>
      </w:r>
      <w:r w:rsidR="00825884" w:rsidRPr="00200234">
        <w:rPr>
          <w:rFonts w:eastAsia="Calibri"/>
        </w:rPr>
        <w:t>’</w:t>
      </w:r>
      <w:r w:rsidRPr="00200234">
        <w:rPr>
          <w:rFonts w:eastAsia="Calibri"/>
        </w:rPr>
        <w:t>s confidence interval crosses the national average, the DHB</w:t>
      </w:r>
      <w:r w:rsidR="00825884" w:rsidRPr="00200234">
        <w:rPr>
          <w:rFonts w:eastAsia="Calibri"/>
        </w:rPr>
        <w:t>’</w:t>
      </w:r>
      <w:r w:rsidRPr="00200234">
        <w:rPr>
          <w:rFonts w:eastAsia="Calibri"/>
        </w:rPr>
        <w:t xml:space="preserve">s rate per 100,000 is not statistically different to the national average. These are age-standardised rates. Because West Coast DHB has a small population, its rates are very volatile and error bars of the resulting calculations are large. </w:t>
      </w:r>
      <w:r w:rsidR="00CD597A" w:rsidRPr="00200234">
        <w:rPr>
          <w:rFonts w:eastAsia="Calibri"/>
        </w:rPr>
        <w:t>T</w:t>
      </w:r>
      <w:r w:rsidRPr="00200234">
        <w:rPr>
          <w:rFonts w:eastAsia="Calibri"/>
        </w:rPr>
        <w:t xml:space="preserve">his graph does not include its data to avoid skewing the overall results. </w:t>
      </w:r>
    </w:p>
    <w:p w14:paraId="20730425" w14:textId="0C6236D6" w:rsidR="008361C5" w:rsidRPr="00200234" w:rsidRDefault="008361C5" w:rsidP="008361C5">
      <w:pPr>
        <w:pStyle w:val="Note"/>
        <w:rPr>
          <w:rFonts w:eastAsia="Calibri"/>
        </w:rPr>
      </w:pPr>
      <w:r w:rsidRPr="00200234">
        <w:rPr>
          <w:rFonts w:eastAsia="Calibri"/>
        </w:rPr>
        <w:t>Source</w:t>
      </w:r>
      <w:r w:rsidR="00BF5381" w:rsidRPr="00200234">
        <w:rPr>
          <w:rFonts w:eastAsia="Calibri"/>
        </w:rPr>
        <w:t>s</w:t>
      </w:r>
      <w:r w:rsidRPr="00200234">
        <w:rPr>
          <w:rFonts w:eastAsia="Calibri"/>
        </w:rPr>
        <w:t xml:space="preserve">: </w:t>
      </w:r>
      <w:r w:rsidR="00BF5381" w:rsidRPr="00200234">
        <w:rPr>
          <w:rFonts w:eastAsia="Calibri"/>
        </w:rPr>
        <w:t>PRIMHD data</w:t>
      </w:r>
      <w:r w:rsidR="0015429E">
        <w:rPr>
          <w:rFonts w:eastAsia="Calibri"/>
        </w:rPr>
        <w:t xml:space="preserve"> (extracted</w:t>
      </w:r>
      <w:r w:rsidR="00BF5381" w:rsidRPr="00200234">
        <w:rPr>
          <w:rFonts w:eastAsia="Calibri"/>
        </w:rPr>
        <w:t xml:space="preserve"> 29 July 2019</w:t>
      </w:r>
      <w:r w:rsidR="000E756E">
        <w:rPr>
          <w:rFonts w:eastAsia="Calibri"/>
        </w:rPr>
        <w:t>)</w:t>
      </w:r>
      <w:r w:rsidR="00BF5381" w:rsidRPr="00200234">
        <w:rPr>
          <w:rFonts w:eastAsia="Calibri"/>
        </w:rPr>
        <w:t xml:space="preserve"> and manual data from Auckland, Lakes, Nelson Marlborough and </w:t>
      </w:r>
      <w:proofErr w:type="spellStart"/>
      <w:r w:rsidR="00BF5381" w:rsidRPr="00200234">
        <w:rPr>
          <w:rFonts w:eastAsia="Calibri"/>
        </w:rPr>
        <w:t>Waitematā</w:t>
      </w:r>
      <w:proofErr w:type="spellEnd"/>
      <w:r w:rsidR="00BF5381" w:rsidRPr="00200234">
        <w:rPr>
          <w:rFonts w:eastAsia="Calibri"/>
        </w:rPr>
        <w:t xml:space="preserve"> DHBs</w:t>
      </w:r>
      <w:r w:rsidR="00BF5381" w:rsidRPr="00200234" w:rsidDel="00BF5381">
        <w:rPr>
          <w:rFonts w:eastAsia="Calibri"/>
        </w:rPr>
        <w:t xml:space="preserve"> </w:t>
      </w:r>
      <w:r w:rsidRPr="00200234">
        <w:rPr>
          <w:rFonts w:eastAsia="Calibri"/>
        </w:rPr>
        <w:t>(</w:t>
      </w:r>
      <w:r w:rsidR="00BF5381" w:rsidRPr="00200234">
        <w:rPr>
          <w:rFonts w:eastAsia="Calibri"/>
        </w:rPr>
        <w:t>which</w:t>
      </w:r>
      <w:r w:rsidRPr="00200234">
        <w:rPr>
          <w:rFonts w:eastAsia="Calibri"/>
        </w:rPr>
        <w:t xml:space="preserve"> are excluded from this graph </w:t>
      </w:r>
      <w:r w:rsidR="00BF5381" w:rsidRPr="00200234">
        <w:rPr>
          <w:rFonts w:eastAsia="Calibri"/>
        </w:rPr>
        <w:t>because</w:t>
      </w:r>
      <w:r w:rsidRPr="00200234">
        <w:rPr>
          <w:rFonts w:eastAsia="Calibri"/>
        </w:rPr>
        <w:t xml:space="preserve"> we do not have their age-standardised rates)</w:t>
      </w:r>
      <w:r w:rsidR="00781EBE">
        <w:rPr>
          <w:rFonts w:eastAsia="Calibri"/>
        </w:rPr>
        <w:t>.</w:t>
      </w:r>
    </w:p>
    <w:p w14:paraId="7772B9F5" w14:textId="77777777" w:rsidR="008361C5" w:rsidRPr="00200234" w:rsidRDefault="008361C5" w:rsidP="008361C5"/>
    <w:p w14:paraId="5F2A681B" w14:textId="7C30BFDC" w:rsidR="008361C5" w:rsidRDefault="008361C5" w:rsidP="00B40B9F">
      <w:pPr>
        <w:pStyle w:val="Figure"/>
      </w:pPr>
      <w:bookmarkStart w:id="103" w:name="_Ref65672084"/>
      <w:bookmarkStart w:id="104" w:name="_Toc63764753"/>
      <w:bookmarkStart w:id="105" w:name="_Toc66716200"/>
      <w:r w:rsidRPr="00200234">
        <w:lastRenderedPageBreak/>
        <w:t xml:space="preserve">Figure </w:t>
      </w:r>
      <w:fldSimple w:instr=" SEQ Figure \* ARABIC ">
        <w:r w:rsidR="00422361">
          <w:rPr>
            <w:noProof/>
          </w:rPr>
          <w:t>18</w:t>
        </w:r>
      </w:fldSimple>
      <w:bookmarkEnd w:id="103"/>
      <w:r w:rsidRPr="00200234">
        <w:t>: Rate ratio of Māori to non-Māori subject to an inpatient treatment order (section 30) under the Mental Health Act per 100,000 population, by DHB, 1 January to 31 December 2019</w:t>
      </w:r>
      <w:bookmarkEnd w:id="104"/>
      <w:bookmarkEnd w:id="105"/>
    </w:p>
    <w:p w14:paraId="536CCCB8" w14:textId="5D94A8F4" w:rsidR="00C8737E" w:rsidRPr="00200234" w:rsidRDefault="00C8737E" w:rsidP="008361C5">
      <w:r>
        <w:rPr>
          <w:noProof/>
        </w:rPr>
        <w:drawing>
          <wp:inline distT="0" distB="0" distL="0" distR="0" wp14:anchorId="2B22757A" wp14:editId="56076C09">
            <wp:extent cx="5130165" cy="3962400"/>
            <wp:effectExtent l="0" t="0" r="0" b="0"/>
            <wp:docPr id="38" name="Chart 38" descr="This graph shows that in 2019, the DHBs with the highest Māori to non-Māori ratios in inpatient treatment orders were Auckland, Capital &amp; Coast and MidCentral, with ratios of about 5 to 1. The average across New Zealand was 3 to 1. The DHBs with the lowest ratios were Nelson Marlborough and Lakes, which had ratios between 2-3 to 1. Wairarapa had no ratio.">
              <a:extLst xmlns:a="http://schemas.openxmlformats.org/drawingml/2006/main">
                <a:ext uri="{FF2B5EF4-FFF2-40B4-BE49-F238E27FC236}">
                  <a16:creationId xmlns:a16="http://schemas.microsoft.com/office/drawing/2014/main" id="{00000000-0008-0000-1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8E8C53F" w14:textId="27CAAC73" w:rsidR="008361C5" w:rsidRPr="00200234" w:rsidRDefault="008361C5" w:rsidP="008361C5">
      <w:pPr>
        <w:pStyle w:val="Note"/>
        <w:rPr>
          <w:rFonts w:eastAsia="Calibri"/>
        </w:rPr>
      </w:pPr>
      <w:r w:rsidRPr="00200234">
        <w:rPr>
          <w:rFonts w:eastAsia="Calibri"/>
        </w:rPr>
        <w:t>Note: Confidence intervals (for 99 percent confidence) have been used to aid interpretation. Where a DHB</w:t>
      </w:r>
      <w:r w:rsidR="00825884" w:rsidRPr="00200234">
        <w:rPr>
          <w:rFonts w:eastAsia="Calibri"/>
        </w:rPr>
        <w:t>’</w:t>
      </w:r>
      <w:r w:rsidRPr="00200234">
        <w:rPr>
          <w:rFonts w:eastAsia="Calibri"/>
        </w:rPr>
        <w:t>s confidence interval crosses the national average, the DHB</w:t>
      </w:r>
      <w:r w:rsidR="00825884" w:rsidRPr="00200234">
        <w:rPr>
          <w:rFonts w:eastAsia="Calibri"/>
        </w:rPr>
        <w:t>’</w:t>
      </w:r>
      <w:r w:rsidRPr="00200234">
        <w:rPr>
          <w:rFonts w:eastAsia="Calibri"/>
        </w:rPr>
        <w:t xml:space="preserve">s rate per 100,000 is not statistically different to the national average. These are age-standardised rates. Because South Canterbury, </w:t>
      </w:r>
      <w:proofErr w:type="spellStart"/>
      <w:r w:rsidRPr="00200234">
        <w:rPr>
          <w:rFonts w:eastAsia="Calibri"/>
        </w:rPr>
        <w:t>Tairāwhiti</w:t>
      </w:r>
      <w:proofErr w:type="spellEnd"/>
      <w:r w:rsidRPr="00200234">
        <w:rPr>
          <w:rFonts w:eastAsia="Calibri"/>
        </w:rPr>
        <w:t xml:space="preserve"> and West Coast DHBs have small populations, their rates are very volatile and error bars of the resulting calculations are large. </w:t>
      </w:r>
      <w:r w:rsidR="00CD597A" w:rsidRPr="00200234">
        <w:rPr>
          <w:rFonts w:eastAsia="Calibri"/>
        </w:rPr>
        <w:t>T</w:t>
      </w:r>
      <w:r w:rsidRPr="00200234">
        <w:rPr>
          <w:rFonts w:eastAsia="Calibri"/>
        </w:rPr>
        <w:t xml:space="preserve">his graph does not include their data to avoid skewing the overall results. </w:t>
      </w:r>
    </w:p>
    <w:p w14:paraId="14E4023E" w14:textId="1DDD3CA0" w:rsidR="008361C5" w:rsidRPr="00200234" w:rsidRDefault="008361C5" w:rsidP="008361C5">
      <w:pPr>
        <w:pStyle w:val="Note"/>
        <w:rPr>
          <w:rFonts w:eastAsia="Calibri"/>
        </w:rPr>
      </w:pPr>
      <w:r w:rsidRPr="00200234">
        <w:rPr>
          <w:rFonts w:eastAsia="Calibri"/>
        </w:rPr>
        <w:t>Source: PRIMHD data</w:t>
      </w:r>
      <w:r w:rsidR="0015429E">
        <w:rPr>
          <w:rFonts w:eastAsia="Calibri"/>
        </w:rPr>
        <w:t xml:space="preserve"> (extracted</w:t>
      </w:r>
      <w:r w:rsidRPr="00200234">
        <w:rPr>
          <w:rFonts w:eastAsia="Calibri"/>
        </w:rPr>
        <w:t xml:space="preserve"> 19 October 2020</w:t>
      </w:r>
      <w:r w:rsidR="00D30615">
        <w:rPr>
          <w:rFonts w:eastAsia="Calibri"/>
        </w:rPr>
        <w:t>)</w:t>
      </w:r>
      <w:r w:rsidR="00E45A98" w:rsidRPr="00200234">
        <w:rPr>
          <w:rFonts w:eastAsia="Calibri"/>
        </w:rPr>
        <w:t>.</w:t>
      </w:r>
      <w:r w:rsidRPr="00200234">
        <w:rPr>
          <w:rFonts w:eastAsia="Calibri"/>
        </w:rPr>
        <w:t xml:space="preserve"> </w:t>
      </w:r>
    </w:p>
    <w:p w14:paraId="0A36BDD9" w14:textId="77777777" w:rsidR="008361C5" w:rsidRPr="00ED4FA1" w:rsidRDefault="008361C5" w:rsidP="008361C5">
      <w:pPr>
        <w:pStyle w:val="Bullet"/>
        <w:numPr>
          <w:ilvl w:val="0"/>
          <w:numId w:val="0"/>
        </w:numPr>
        <w:rPr>
          <w:rFonts w:cs="Segoe UI"/>
          <w:szCs w:val="21"/>
        </w:rPr>
      </w:pPr>
    </w:p>
    <w:p w14:paraId="711DDF95" w14:textId="7EA7E144" w:rsidR="008361C5" w:rsidRPr="00200234" w:rsidRDefault="008361C5" w:rsidP="008361C5">
      <w:pPr>
        <w:pStyle w:val="Table"/>
      </w:pPr>
      <w:bookmarkStart w:id="106" w:name="_Toc34653650"/>
      <w:bookmarkStart w:id="107" w:name="_Toc63764670"/>
      <w:bookmarkStart w:id="108" w:name="_Toc69306777"/>
      <w:r w:rsidRPr="00200234">
        <w:t xml:space="preserve">Table </w:t>
      </w:r>
      <w:fldSimple w:instr=" SEQ Table \* ARABIC ">
        <w:r w:rsidR="00422361">
          <w:rPr>
            <w:noProof/>
          </w:rPr>
          <w:t>7</w:t>
        </w:r>
      </w:fldSimple>
      <w:r w:rsidRPr="00200234">
        <w:t>: Age-standardised rates of Māori and non-Māori subject to community and inpatient treatment orders (sections 29 and 30 respectively) under the Mental Health Act, by sex, 1 January to 31 December 2018</w:t>
      </w:r>
      <w:bookmarkEnd w:id="106"/>
      <w:bookmarkEnd w:id="107"/>
      <w:bookmarkEnd w:id="108"/>
    </w:p>
    <w:tbl>
      <w:tblPr>
        <w:tblW w:w="8080" w:type="dxa"/>
        <w:tblInd w:w="57" w:type="dxa"/>
        <w:tblBorders>
          <w:top w:val="single" w:sz="4" w:space="0" w:color="A6A6A6"/>
          <w:bottom w:val="single" w:sz="4" w:space="0" w:color="A6A6A6"/>
          <w:insideH w:val="single" w:sz="4" w:space="0" w:color="A6A6A6"/>
        </w:tblBorders>
        <w:tblLayout w:type="fixed"/>
        <w:tblCellMar>
          <w:left w:w="57" w:type="dxa"/>
          <w:right w:w="57" w:type="dxa"/>
        </w:tblCellMar>
        <w:tblLook w:val="01E0" w:firstRow="1" w:lastRow="1" w:firstColumn="1" w:lastColumn="1" w:noHBand="0" w:noVBand="0"/>
      </w:tblPr>
      <w:tblGrid>
        <w:gridCol w:w="2694"/>
        <w:gridCol w:w="1346"/>
        <w:gridCol w:w="1347"/>
        <w:gridCol w:w="1346"/>
        <w:gridCol w:w="1347"/>
      </w:tblGrid>
      <w:tr w:rsidR="008361C5" w:rsidRPr="00200234" w14:paraId="0E9319C0" w14:textId="77777777" w:rsidTr="008371F6">
        <w:trPr>
          <w:cantSplit/>
        </w:trPr>
        <w:tc>
          <w:tcPr>
            <w:tcW w:w="2694" w:type="dxa"/>
            <w:vMerge w:val="restart"/>
            <w:tcBorders>
              <w:top w:val="nil"/>
              <w:bottom w:val="nil"/>
            </w:tcBorders>
            <w:shd w:val="clear" w:color="auto" w:fill="D9D9D9"/>
          </w:tcPr>
          <w:p w14:paraId="22174859" w14:textId="77777777" w:rsidR="008361C5" w:rsidRPr="00200234" w:rsidRDefault="008361C5" w:rsidP="00E024AD">
            <w:pPr>
              <w:keepNext/>
              <w:spacing w:before="60" w:after="60"/>
              <w:rPr>
                <w:rFonts w:cs="Segoe UI"/>
                <w:sz w:val="18"/>
              </w:rPr>
            </w:pPr>
          </w:p>
        </w:tc>
        <w:tc>
          <w:tcPr>
            <w:tcW w:w="2693" w:type="dxa"/>
            <w:gridSpan w:val="2"/>
            <w:tcBorders>
              <w:top w:val="nil"/>
              <w:bottom w:val="nil"/>
            </w:tcBorders>
            <w:shd w:val="clear" w:color="auto" w:fill="D9D9D9"/>
          </w:tcPr>
          <w:p w14:paraId="723F437D" w14:textId="77777777" w:rsidR="008361C5" w:rsidRPr="00200234" w:rsidRDefault="008361C5" w:rsidP="00E024AD">
            <w:pPr>
              <w:keepNext/>
              <w:spacing w:before="60" w:after="60"/>
              <w:jc w:val="center"/>
              <w:rPr>
                <w:rFonts w:cs="Segoe UI"/>
                <w:b/>
                <w:sz w:val="18"/>
              </w:rPr>
            </w:pPr>
            <w:r w:rsidRPr="00200234">
              <w:rPr>
                <w:rFonts w:cs="Segoe UI"/>
                <w:b/>
                <w:sz w:val="18"/>
              </w:rPr>
              <w:t>Community treatment orders</w:t>
            </w:r>
          </w:p>
        </w:tc>
        <w:tc>
          <w:tcPr>
            <w:tcW w:w="2693" w:type="dxa"/>
            <w:gridSpan w:val="2"/>
            <w:tcBorders>
              <w:top w:val="nil"/>
              <w:bottom w:val="nil"/>
            </w:tcBorders>
            <w:shd w:val="clear" w:color="auto" w:fill="D9D9D9"/>
          </w:tcPr>
          <w:p w14:paraId="000D055B" w14:textId="77777777" w:rsidR="008361C5" w:rsidRPr="00200234" w:rsidRDefault="008361C5" w:rsidP="00E024AD">
            <w:pPr>
              <w:keepNext/>
              <w:spacing w:before="60" w:after="60"/>
              <w:jc w:val="center"/>
              <w:rPr>
                <w:rFonts w:cs="Segoe UI"/>
                <w:b/>
                <w:sz w:val="18"/>
              </w:rPr>
            </w:pPr>
            <w:r w:rsidRPr="00200234">
              <w:rPr>
                <w:rFonts w:cs="Segoe UI"/>
                <w:b/>
                <w:sz w:val="18"/>
              </w:rPr>
              <w:t>Inpatient treatment orders</w:t>
            </w:r>
          </w:p>
        </w:tc>
      </w:tr>
      <w:tr w:rsidR="008361C5" w:rsidRPr="00200234" w14:paraId="3EC25727" w14:textId="77777777" w:rsidTr="008371F6">
        <w:trPr>
          <w:cantSplit/>
        </w:trPr>
        <w:tc>
          <w:tcPr>
            <w:tcW w:w="2694" w:type="dxa"/>
            <w:vMerge/>
            <w:tcBorders>
              <w:top w:val="nil"/>
            </w:tcBorders>
            <w:shd w:val="clear" w:color="auto" w:fill="D9D9D9"/>
          </w:tcPr>
          <w:p w14:paraId="3C4F9C3D" w14:textId="77777777" w:rsidR="008361C5" w:rsidRPr="00200234" w:rsidRDefault="008361C5" w:rsidP="00E024AD">
            <w:pPr>
              <w:keepNext/>
              <w:spacing w:before="60" w:after="60"/>
              <w:rPr>
                <w:rFonts w:cs="Segoe UI"/>
                <w:sz w:val="18"/>
              </w:rPr>
            </w:pPr>
          </w:p>
        </w:tc>
        <w:tc>
          <w:tcPr>
            <w:tcW w:w="1346" w:type="dxa"/>
            <w:tcBorders>
              <w:top w:val="nil"/>
            </w:tcBorders>
            <w:shd w:val="clear" w:color="auto" w:fill="D9D9D9"/>
          </w:tcPr>
          <w:p w14:paraId="5529AE37" w14:textId="77777777" w:rsidR="008361C5" w:rsidRPr="00200234" w:rsidRDefault="008361C5" w:rsidP="00E024AD">
            <w:pPr>
              <w:keepNext/>
              <w:spacing w:after="60"/>
              <w:jc w:val="center"/>
              <w:rPr>
                <w:rFonts w:cs="Segoe UI"/>
                <w:b/>
                <w:sz w:val="18"/>
              </w:rPr>
            </w:pPr>
            <w:r w:rsidRPr="00200234">
              <w:rPr>
                <w:rFonts w:cs="Segoe UI"/>
                <w:b/>
                <w:sz w:val="18"/>
              </w:rPr>
              <w:t>Male</w:t>
            </w:r>
          </w:p>
        </w:tc>
        <w:tc>
          <w:tcPr>
            <w:tcW w:w="1347" w:type="dxa"/>
            <w:tcBorders>
              <w:top w:val="nil"/>
            </w:tcBorders>
            <w:shd w:val="clear" w:color="auto" w:fill="D9D9D9"/>
          </w:tcPr>
          <w:p w14:paraId="3B0D4461" w14:textId="77777777" w:rsidR="008361C5" w:rsidRPr="00200234" w:rsidRDefault="008361C5" w:rsidP="00E024AD">
            <w:pPr>
              <w:keepNext/>
              <w:spacing w:after="60"/>
              <w:jc w:val="center"/>
              <w:rPr>
                <w:rFonts w:cs="Segoe UI"/>
                <w:b/>
                <w:sz w:val="18"/>
              </w:rPr>
            </w:pPr>
            <w:r w:rsidRPr="00200234">
              <w:rPr>
                <w:rFonts w:cs="Segoe UI"/>
                <w:b/>
                <w:sz w:val="18"/>
              </w:rPr>
              <w:t>Female</w:t>
            </w:r>
          </w:p>
        </w:tc>
        <w:tc>
          <w:tcPr>
            <w:tcW w:w="1346" w:type="dxa"/>
            <w:tcBorders>
              <w:top w:val="nil"/>
            </w:tcBorders>
            <w:shd w:val="clear" w:color="auto" w:fill="D9D9D9"/>
          </w:tcPr>
          <w:p w14:paraId="07051342" w14:textId="77777777" w:rsidR="008361C5" w:rsidRPr="00200234" w:rsidRDefault="008361C5" w:rsidP="00E024AD">
            <w:pPr>
              <w:keepNext/>
              <w:spacing w:after="60"/>
              <w:jc w:val="center"/>
              <w:rPr>
                <w:rFonts w:cs="Segoe UI"/>
                <w:b/>
                <w:sz w:val="18"/>
              </w:rPr>
            </w:pPr>
            <w:r w:rsidRPr="00200234">
              <w:rPr>
                <w:rFonts w:cs="Segoe UI"/>
                <w:b/>
                <w:sz w:val="18"/>
              </w:rPr>
              <w:t>Male</w:t>
            </w:r>
          </w:p>
        </w:tc>
        <w:tc>
          <w:tcPr>
            <w:tcW w:w="1347" w:type="dxa"/>
            <w:tcBorders>
              <w:top w:val="nil"/>
            </w:tcBorders>
            <w:shd w:val="clear" w:color="auto" w:fill="D9D9D9"/>
          </w:tcPr>
          <w:p w14:paraId="68C09288" w14:textId="77777777" w:rsidR="008361C5" w:rsidRPr="00200234" w:rsidRDefault="008361C5" w:rsidP="00E024AD">
            <w:pPr>
              <w:keepNext/>
              <w:spacing w:after="60"/>
              <w:jc w:val="center"/>
              <w:rPr>
                <w:rFonts w:cs="Segoe UI"/>
                <w:b/>
                <w:sz w:val="18"/>
              </w:rPr>
            </w:pPr>
            <w:r w:rsidRPr="00200234">
              <w:rPr>
                <w:rFonts w:cs="Segoe UI"/>
                <w:b/>
                <w:sz w:val="18"/>
              </w:rPr>
              <w:t>Female</w:t>
            </w:r>
          </w:p>
        </w:tc>
      </w:tr>
      <w:tr w:rsidR="008361C5" w:rsidRPr="00200234" w14:paraId="3B2F200E" w14:textId="77777777" w:rsidTr="00A12280">
        <w:trPr>
          <w:cantSplit/>
        </w:trPr>
        <w:tc>
          <w:tcPr>
            <w:tcW w:w="2694" w:type="dxa"/>
          </w:tcPr>
          <w:p w14:paraId="409654A6" w14:textId="77777777" w:rsidR="008361C5" w:rsidRPr="00200234" w:rsidRDefault="008361C5" w:rsidP="00E024AD">
            <w:pPr>
              <w:keepNext/>
              <w:spacing w:before="60" w:after="60"/>
              <w:rPr>
                <w:rFonts w:cs="Segoe UI"/>
                <w:sz w:val="18"/>
              </w:rPr>
            </w:pPr>
            <w:r w:rsidRPr="00200234">
              <w:rPr>
                <w:rFonts w:cs="Segoe UI"/>
                <w:sz w:val="18"/>
              </w:rPr>
              <w:t>Māori</w:t>
            </w:r>
          </w:p>
        </w:tc>
        <w:tc>
          <w:tcPr>
            <w:tcW w:w="1346" w:type="dxa"/>
          </w:tcPr>
          <w:p w14:paraId="623A4A35" w14:textId="77777777" w:rsidR="008361C5" w:rsidRPr="00200234" w:rsidRDefault="008361C5" w:rsidP="00E024AD">
            <w:pPr>
              <w:keepNext/>
              <w:spacing w:before="60" w:after="60"/>
              <w:jc w:val="center"/>
              <w:rPr>
                <w:rFonts w:cs="Segoe UI"/>
                <w:sz w:val="18"/>
              </w:rPr>
            </w:pPr>
            <w:r w:rsidRPr="00200234">
              <w:rPr>
                <w:rFonts w:cs="Segoe UI"/>
                <w:sz w:val="18"/>
              </w:rPr>
              <w:t>478.6</w:t>
            </w:r>
          </w:p>
        </w:tc>
        <w:tc>
          <w:tcPr>
            <w:tcW w:w="1347" w:type="dxa"/>
          </w:tcPr>
          <w:p w14:paraId="713DAE4A" w14:textId="77777777" w:rsidR="008361C5" w:rsidRPr="00200234" w:rsidRDefault="008361C5" w:rsidP="00E024AD">
            <w:pPr>
              <w:keepNext/>
              <w:spacing w:before="60" w:after="60"/>
              <w:jc w:val="center"/>
              <w:rPr>
                <w:rFonts w:cs="Segoe UI"/>
                <w:sz w:val="18"/>
              </w:rPr>
            </w:pPr>
            <w:r w:rsidRPr="00200234">
              <w:rPr>
                <w:rFonts w:cs="Segoe UI"/>
                <w:sz w:val="18"/>
              </w:rPr>
              <w:t>225.0</w:t>
            </w:r>
          </w:p>
        </w:tc>
        <w:tc>
          <w:tcPr>
            <w:tcW w:w="1346" w:type="dxa"/>
          </w:tcPr>
          <w:p w14:paraId="66544152" w14:textId="77777777" w:rsidR="008361C5" w:rsidRPr="00200234" w:rsidRDefault="008361C5" w:rsidP="00E024AD">
            <w:pPr>
              <w:keepNext/>
              <w:spacing w:before="60" w:after="60"/>
              <w:jc w:val="center"/>
              <w:rPr>
                <w:rFonts w:cs="Segoe UI"/>
                <w:sz w:val="18"/>
              </w:rPr>
            </w:pPr>
            <w:r w:rsidRPr="00200234">
              <w:rPr>
                <w:rFonts w:cs="Segoe UI"/>
                <w:sz w:val="18"/>
              </w:rPr>
              <w:t>156.8</w:t>
            </w:r>
          </w:p>
        </w:tc>
        <w:tc>
          <w:tcPr>
            <w:tcW w:w="1347" w:type="dxa"/>
          </w:tcPr>
          <w:p w14:paraId="495ACB1E" w14:textId="77777777" w:rsidR="008361C5" w:rsidRPr="00200234" w:rsidRDefault="008361C5" w:rsidP="00E024AD">
            <w:pPr>
              <w:keepNext/>
              <w:spacing w:before="60" w:after="60"/>
              <w:jc w:val="center"/>
              <w:rPr>
                <w:rFonts w:cs="Segoe UI"/>
                <w:sz w:val="18"/>
              </w:rPr>
            </w:pPr>
            <w:r w:rsidRPr="00200234">
              <w:rPr>
                <w:rFonts w:cs="Segoe UI"/>
                <w:sz w:val="18"/>
              </w:rPr>
              <w:t>73.8</w:t>
            </w:r>
          </w:p>
        </w:tc>
      </w:tr>
      <w:tr w:rsidR="008361C5" w:rsidRPr="00200234" w14:paraId="05E63ADA" w14:textId="77777777" w:rsidTr="00A12280">
        <w:trPr>
          <w:cantSplit/>
        </w:trPr>
        <w:tc>
          <w:tcPr>
            <w:tcW w:w="2694" w:type="dxa"/>
          </w:tcPr>
          <w:p w14:paraId="19ED90FB" w14:textId="77777777" w:rsidR="008361C5" w:rsidRPr="00200234" w:rsidRDefault="008361C5" w:rsidP="00E024AD">
            <w:pPr>
              <w:keepNext/>
              <w:spacing w:before="60" w:after="60"/>
              <w:rPr>
                <w:rFonts w:cs="Segoe UI"/>
                <w:sz w:val="18"/>
              </w:rPr>
            </w:pPr>
            <w:r w:rsidRPr="00200234">
              <w:rPr>
                <w:rFonts w:cs="Segoe UI"/>
                <w:sz w:val="18"/>
              </w:rPr>
              <w:t>Non-Māori</w:t>
            </w:r>
          </w:p>
        </w:tc>
        <w:tc>
          <w:tcPr>
            <w:tcW w:w="1346" w:type="dxa"/>
          </w:tcPr>
          <w:p w14:paraId="49DFA322" w14:textId="77777777" w:rsidR="008361C5" w:rsidRPr="00200234" w:rsidRDefault="008361C5" w:rsidP="00E024AD">
            <w:pPr>
              <w:keepNext/>
              <w:spacing w:before="60" w:after="60"/>
              <w:jc w:val="center"/>
              <w:rPr>
                <w:rFonts w:cs="Segoe UI"/>
                <w:sz w:val="18"/>
              </w:rPr>
            </w:pPr>
            <w:r w:rsidRPr="00200234">
              <w:rPr>
                <w:rFonts w:cs="Segoe UI"/>
                <w:sz w:val="18"/>
              </w:rPr>
              <w:t>112.4</w:t>
            </w:r>
          </w:p>
        </w:tc>
        <w:tc>
          <w:tcPr>
            <w:tcW w:w="1347" w:type="dxa"/>
          </w:tcPr>
          <w:p w14:paraId="238220CD" w14:textId="77777777" w:rsidR="008361C5" w:rsidRPr="00200234" w:rsidRDefault="008361C5" w:rsidP="00E024AD">
            <w:pPr>
              <w:keepNext/>
              <w:spacing w:before="60" w:after="60"/>
              <w:jc w:val="center"/>
              <w:rPr>
                <w:rFonts w:cs="Segoe UI"/>
                <w:sz w:val="18"/>
              </w:rPr>
            </w:pPr>
            <w:r w:rsidRPr="00200234">
              <w:rPr>
                <w:rFonts w:cs="Segoe UI"/>
                <w:sz w:val="18"/>
              </w:rPr>
              <w:t>60.3</w:t>
            </w:r>
          </w:p>
        </w:tc>
        <w:tc>
          <w:tcPr>
            <w:tcW w:w="1346" w:type="dxa"/>
          </w:tcPr>
          <w:p w14:paraId="52311CF5" w14:textId="77777777" w:rsidR="008361C5" w:rsidRPr="00200234" w:rsidRDefault="008361C5" w:rsidP="00E024AD">
            <w:pPr>
              <w:keepNext/>
              <w:spacing w:before="60" w:after="60"/>
              <w:jc w:val="center"/>
              <w:rPr>
                <w:rFonts w:cs="Segoe UI"/>
                <w:sz w:val="18"/>
              </w:rPr>
            </w:pPr>
            <w:r w:rsidRPr="00200234">
              <w:rPr>
                <w:rFonts w:cs="Segoe UI"/>
                <w:sz w:val="18"/>
              </w:rPr>
              <w:t>36.5</w:t>
            </w:r>
          </w:p>
        </w:tc>
        <w:tc>
          <w:tcPr>
            <w:tcW w:w="1347" w:type="dxa"/>
          </w:tcPr>
          <w:p w14:paraId="4130BD98" w14:textId="77777777" w:rsidR="008361C5" w:rsidRPr="00200234" w:rsidRDefault="008361C5" w:rsidP="00E024AD">
            <w:pPr>
              <w:keepNext/>
              <w:spacing w:before="60" w:after="60"/>
              <w:jc w:val="center"/>
              <w:rPr>
                <w:rFonts w:cs="Segoe UI"/>
                <w:sz w:val="18"/>
              </w:rPr>
            </w:pPr>
            <w:r w:rsidRPr="00200234">
              <w:rPr>
                <w:rFonts w:cs="Segoe UI"/>
                <w:sz w:val="18"/>
              </w:rPr>
              <w:t>24.7</w:t>
            </w:r>
          </w:p>
        </w:tc>
      </w:tr>
      <w:tr w:rsidR="008361C5" w:rsidRPr="00200234" w14:paraId="36717481" w14:textId="77777777" w:rsidTr="00A12280">
        <w:trPr>
          <w:cantSplit/>
        </w:trPr>
        <w:tc>
          <w:tcPr>
            <w:tcW w:w="2694" w:type="dxa"/>
          </w:tcPr>
          <w:p w14:paraId="6C6C6D5F" w14:textId="16E35855" w:rsidR="008361C5" w:rsidRPr="00200234" w:rsidRDefault="008361C5" w:rsidP="00E024AD">
            <w:pPr>
              <w:keepNext/>
              <w:spacing w:before="60" w:after="60"/>
              <w:rPr>
                <w:rFonts w:cs="Segoe UI"/>
                <w:sz w:val="18"/>
              </w:rPr>
            </w:pPr>
            <w:r w:rsidRPr="00200234">
              <w:rPr>
                <w:rFonts w:cs="Segoe UI"/>
                <w:sz w:val="18"/>
              </w:rPr>
              <w:t>Māori</w:t>
            </w:r>
            <w:r w:rsidR="00486A72">
              <w:rPr>
                <w:rFonts w:cs="Segoe UI"/>
                <w:sz w:val="18"/>
              </w:rPr>
              <w:t xml:space="preserve"> to </w:t>
            </w:r>
            <w:r w:rsidRPr="00200234">
              <w:rPr>
                <w:rFonts w:cs="Segoe UI"/>
                <w:sz w:val="18"/>
              </w:rPr>
              <w:t>non-Māori</w:t>
            </w:r>
            <w:r w:rsidR="00486A72">
              <w:rPr>
                <w:rFonts w:cs="Segoe UI"/>
                <w:sz w:val="18"/>
              </w:rPr>
              <w:t xml:space="preserve"> rate ratio</w:t>
            </w:r>
          </w:p>
        </w:tc>
        <w:tc>
          <w:tcPr>
            <w:tcW w:w="1346" w:type="dxa"/>
          </w:tcPr>
          <w:p w14:paraId="16ACCDD9" w14:textId="77777777" w:rsidR="008361C5" w:rsidRPr="00200234" w:rsidRDefault="008361C5" w:rsidP="00E024AD">
            <w:pPr>
              <w:keepNext/>
              <w:spacing w:before="60" w:after="60"/>
              <w:jc w:val="center"/>
              <w:rPr>
                <w:rFonts w:cs="Segoe UI"/>
                <w:sz w:val="18"/>
              </w:rPr>
            </w:pPr>
            <w:r w:rsidRPr="00200234">
              <w:rPr>
                <w:rFonts w:cs="Segoe UI"/>
                <w:sz w:val="18"/>
              </w:rPr>
              <w:t>4.3:1</w:t>
            </w:r>
          </w:p>
        </w:tc>
        <w:tc>
          <w:tcPr>
            <w:tcW w:w="1347" w:type="dxa"/>
          </w:tcPr>
          <w:p w14:paraId="7E61CCE1" w14:textId="77777777" w:rsidR="008361C5" w:rsidRPr="00200234" w:rsidRDefault="008361C5" w:rsidP="00E024AD">
            <w:pPr>
              <w:keepNext/>
              <w:spacing w:before="60" w:after="60"/>
              <w:jc w:val="center"/>
              <w:rPr>
                <w:rFonts w:cs="Segoe UI"/>
                <w:sz w:val="18"/>
              </w:rPr>
            </w:pPr>
            <w:r w:rsidRPr="00200234">
              <w:rPr>
                <w:rFonts w:cs="Segoe UI"/>
                <w:sz w:val="18"/>
              </w:rPr>
              <w:t>3.7:1</w:t>
            </w:r>
          </w:p>
        </w:tc>
        <w:tc>
          <w:tcPr>
            <w:tcW w:w="1346" w:type="dxa"/>
          </w:tcPr>
          <w:p w14:paraId="08FDC5C8" w14:textId="77777777" w:rsidR="008361C5" w:rsidRPr="00200234" w:rsidRDefault="008361C5" w:rsidP="00E024AD">
            <w:pPr>
              <w:keepNext/>
              <w:spacing w:before="60" w:after="60"/>
              <w:jc w:val="center"/>
              <w:rPr>
                <w:rFonts w:cs="Segoe UI"/>
                <w:sz w:val="18"/>
              </w:rPr>
            </w:pPr>
            <w:r w:rsidRPr="00200234">
              <w:rPr>
                <w:rFonts w:cs="Segoe UI"/>
                <w:sz w:val="18"/>
              </w:rPr>
              <w:t>4.3:1</w:t>
            </w:r>
          </w:p>
        </w:tc>
        <w:tc>
          <w:tcPr>
            <w:tcW w:w="1347" w:type="dxa"/>
          </w:tcPr>
          <w:p w14:paraId="0A994ED2" w14:textId="77777777" w:rsidR="008361C5" w:rsidRPr="00200234" w:rsidRDefault="008361C5" w:rsidP="00E024AD">
            <w:pPr>
              <w:keepNext/>
              <w:spacing w:before="60" w:after="60"/>
              <w:jc w:val="center"/>
              <w:rPr>
                <w:rFonts w:cs="Segoe UI"/>
                <w:sz w:val="18"/>
              </w:rPr>
            </w:pPr>
            <w:r w:rsidRPr="00200234">
              <w:rPr>
                <w:rFonts w:cs="Segoe UI"/>
                <w:sz w:val="18"/>
              </w:rPr>
              <w:t>3:1</w:t>
            </w:r>
          </w:p>
        </w:tc>
      </w:tr>
    </w:tbl>
    <w:p w14:paraId="398F44C4" w14:textId="77777777" w:rsidR="008361C5" w:rsidRPr="00200234" w:rsidRDefault="008361C5" w:rsidP="00090C73">
      <w:pPr>
        <w:pStyle w:val="Note"/>
        <w:keepNext/>
      </w:pPr>
      <w:r w:rsidRPr="00200234">
        <w:t xml:space="preserve">Note: Rates per 100,000 are </w:t>
      </w:r>
      <w:proofErr w:type="gramStart"/>
      <w:r w:rsidRPr="00200234">
        <w:t>age-standardised</w:t>
      </w:r>
      <w:proofErr w:type="gramEnd"/>
      <w:r w:rsidRPr="00200234">
        <w:t xml:space="preserve">. </w:t>
      </w:r>
    </w:p>
    <w:p w14:paraId="484DED1E" w14:textId="331CB4F9" w:rsidR="008361C5" w:rsidRPr="00200234" w:rsidRDefault="008361C5" w:rsidP="008361C5">
      <w:pPr>
        <w:pStyle w:val="Note"/>
      </w:pPr>
      <w:r w:rsidRPr="00200234">
        <w:t>Source: PRIMHD data</w:t>
      </w:r>
      <w:r w:rsidR="0015429E">
        <w:t xml:space="preserve"> (extracted</w:t>
      </w:r>
      <w:r w:rsidRPr="00200234">
        <w:t xml:space="preserve"> 29 July 2019</w:t>
      </w:r>
      <w:r w:rsidR="00D30615">
        <w:t>)</w:t>
      </w:r>
      <w:r w:rsidRPr="00200234">
        <w:t>. Excludes manual data.</w:t>
      </w:r>
    </w:p>
    <w:p w14:paraId="708E7089" w14:textId="77777777" w:rsidR="008361C5" w:rsidRPr="00200234" w:rsidRDefault="008361C5" w:rsidP="008361C5"/>
    <w:p w14:paraId="23803367" w14:textId="5423BA1A" w:rsidR="008361C5" w:rsidRPr="00200234" w:rsidRDefault="008361C5" w:rsidP="008361C5">
      <w:pPr>
        <w:pStyle w:val="Figure"/>
      </w:pPr>
      <w:bookmarkStart w:id="109" w:name="_Ref65671957"/>
      <w:bookmarkStart w:id="110" w:name="_Toc63764754"/>
      <w:bookmarkStart w:id="111" w:name="_Toc66716201"/>
      <w:r w:rsidRPr="00200234">
        <w:lastRenderedPageBreak/>
        <w:t xml:space="preserve">Figure </w:t>
      </w:r>
      <w:fldSimple w:instr=" SEQ Figure \* ARABIC ">
        <w:r w:rsidR="00422361">
          <w:rPr>
            <w:noProof/>
          </w:rPr>
          <w:t>19</w:t>
        </w:r>
      </w:fldSimple>
      <w:bookmarkEnd w:id="109"/>
      <w:r w:rsidRPr="00200234">
        <w:t>: Age-standardised rates of Māori and non-Māori subject to community and inpatient treatment orders (sections 29 and 30 respectively) under the Mental Health Act, by sex, 1 January to 31 December 2018</w:t>
      </w:r>
      <w:bookmarkEnd w:id="110"/>
      <w:bookmarkEnd w:id="111"/>
    </w:p>
    <w:p w14:paraId="0840C52C" w14:textId="77777777" w:rsidR="008361C5" w:rsidRPr="00200234" w:rsidRDefault="008361C5" w:rsidP="008361C5">
      <w:pPr>
        <w:rPr>
          <w:rFonts w:eastAsia="Calibri" w:cs="Segoe UI"/>
        </w:rPr>
      </w:pPr>
      <w:r w:rsidRPr="00200234">
        <w:rPr>
          <w:rFonts w:ascii="Calibri Light" w:eastAsia="Calibri" w:hAnsi="Calibri Light"/>
          <w:noProof/>
        </w:rPr>
        <w:drawing>
          <wp:inline distT="0" distB="0" distL="0" distR="0" wp14:anchorId="48F5D4E3" wp14:editId="5F73B982">
            <wp:extent cx="5435600" cy="3343275"/>
            <wp:effectExtent l="0" t="0" r="0" b="0"/>
            <wp:docPr id="2" name="Chart 2" descr="This bar graph shows that Māori were more likely to be subject to community and inpatient treatment orders than non-Māori and that males had higher rates than females for both orders. People were more likely to be subject to community treatment orders than inpatient orders.">
              <a:extLst xmlns:a="http://schemas.openxmlformats.org/drawingml/2006/main">
                <a:ext uri="{FF2B5EF4-FFF2-40B4-BE49-F238E27FC236}">
                  <a16:creationId xmlns:a16="http://schemas.microsoft.com/office/drawing/2014/main" id="{00000000-0008-0000-06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7D8D8CA" w14:textId="77777777" w:rsidR="008361C5" w:rsidRPr="00200234" w:rsidRDefault="008361C5" w:rsidP="008361C5">
      <w:pPr>
        <w:pStyle w:val="Note"/>
      </w:pPr>
      <w:r w:rsidRPr="00200234">
        <w:t xml:space="preserve">Note: Rates per 100,000 are </w:t>
      </w:r>
      <w:proofErr w:type="gramStart"/>
      <w:r w:rsidRPr="00200234">
        <w:t>age-standardised</w:t>
      </w:r>
      <w:proofErr w:type="gramEnd"/>
      <w:r w:rsidRPr="00200234">
        <w:t>.</w:t>
      </w:r>
    </w:p>
    <w:p w14:paraId="150192E1" w14:textId="0A5A298C" w:rsidR="008361C5" w:rsidRPr="00200234" w:rsidRDefault="008361C5" w:rsidP="008361C5">
      <w:pPr>
        <w:pStyle w:val="Note"/>
      </w:pPr>
      <w:r w:rsidRPr="00200234">
        <w:t>Source: PRIMHD data</w:t>
      </w:r>
      <w:r w:rsidR="0015429E">
        <w:t xml:space="preserve"> (extracted</w:t>
      </w:r>
      <w:r w:rsidRPr="00200234">
        <w:t xml:space="preserve"> 29 July 2019</w:t>
      </w:r>
      <w:r w:rsidR="00D30615">
        <w:t>)</w:t>
      </w:r>
      <w:r w:rsidRPr="00200234">
        <w:t>. Excludes manual data.</w:t>
      </w:r>
    </w:p>
    <w:p w14:paraId="786C7EE0" w14:textId="77777777" w:rsidR="008361C5" w:rsidRPr="00200234" w:rsidRDefault="008361C5" w:rsidP="008361C5"/>
    <w:p w14:paraId="754C5FF7" w14:textId="34E7BA6D" w:rsidR="008361C5" w:rsidRPr="00200234" w:rsidRDefault="008361C5" w:rsidP="008361C5">
      <w:pPr>
        <w:pStyle w:val="Table"/>
      </w:pPr>
      <w:bookmarkStart w:id="112" w:name="_Toc63764671"/>
      <w:bookmarkStart w:id="113" w:name="_Toc69306778"/>
      <w:r w:rsidRPr="00200234">
        <w:t xml:space="preserve">Table </w:t>
      </w:r>
      <w:fldSimple w:instr=" SEQ Table \* ARABIC ">
        <w:r w:rsidR="00422361">
          <w:rPr>
            <w:noProof/>
          </w:rPr>
          <w:t>8</w:t>
        </w:r>
      </w:fldSimple>
      <w:r w:rsidRPr="00200234">
        <w:t>: Age-standardised rates of Māori and non-Māori subject to community and inpatient treatment orders (sections 29 and 30 respectively) under the Mental Health Act, by sex, 1 January to 31 December 2019</w:t>
      </w:r>
      <w:bookmarkEnd w:id="112"/>
      <w:bookmarkEnd w:id="113"/>
    </w:p>
    <w:tbl>
      <w:tblPr>
        <w:tblW w:w="8080" w:type="dxa"/>
        <w:tblInd w:w="57" w:type="dxa"/>
        <w:tblBorders>
          <w:top w:val="single" w:sz="4" w:space="0" w:color="A6A6A6"/>
          <w:bottom w:val="single" w:sz="4" w:space="0" w:color="A6A6A6"/>
          <w:insideH w:val="single" w:sz="4" w:space="0" w:color="A6A6A6"/>
        </w:tblBorders>
        <w:tblLayout w:type="fixed"/>
        <w:tblCellMar>
          <w:left w:w="57" w:type="dxa"/>
          <w:right w:w="57" w:type="dxa"/>
        </w:tblCellMar>
        <w:tblLook w:val="01E0" w:firstRow="1" w:lastRow="1" w:firstColumn="1" w:lastColumn="1" w:noHBand="0" w:noVBand="0"/>
      </w:tblPr>
      <w:tblGrid>
        <w:gridCol w:w="2694"/>
        <w:gridCol w:w="1346"/>
        <w:gridCol w:w="1347"/>
        <w:gridCol w:w="1346"/>
        <w:gridCol w:w="1347"/>
      </w:tblGrid>
      <w:tr w:rsidR="008361C5" w:rsidRPr="00200234" w14:paraId="0F554DF3" w14:textId="77777777" w:rsidTr="008371F6">
        <w:trPr>
          <w:cantSplit/>
        </w:trPr>
        <w:tc>
          <w:tcPr>
            <w:tcW w:w="2694" w:type="dxa"/>
            <w:vMerge w:val="restart"/>
            <w:tcBorders>
              <w:top w:val="nil"/>
              <w:bottom w:val="nil"/>
            </w:tcBorders>
            <w:shd w:val="clear" w:color="auto" w:fill="D9D9D9"/>
          </w:tcPr>
          <w:p w14:paraId="0E0A8C08" w14:textId="77777777" w:rsidR="008361C5" w:rsidRPr="00200234" w:rsidRDefault="008361C5" w:rsidP="008361C5">
            <w:pPr>
              <w:keepNext/>
              <w:spacing w:before="60" w:after="60"/>
              <w:rPr>
                <w:rFonts w:cs="Segoe UI"/>
                <w:sz w:val="18"/>
              </w:rPr>
            </w:pPr>
          </w:p>
        </w:tc>
        <w:tc>
          <w:tcPr>
            <w:tcW w:w="2693" w:type="dxa"/>
            <w:gridSpan w:val="2"/>
            <w:tcBorders>
              <w:top w:val="nil"/>
              <w:bottom w:val="nil"/>
            </w:tcBorders>
            <w:shd w:val="clear" w:color="auto" w:fill="D9D9D9"/>
          </w:tcPr>
          <w:p w14:paraId="45AAC7C7" w14:textId="77777777" w:rsidR="008361C5" w:rsidRPr="00200234" w:rsidRDefault="008361C5" w:rsidP="008361C5">
            <w:pPr>
              <w:keepNext/>
              <w:spacing w:before="60" w:after="60"/>
              <w:jc w:val="center"/>
              <w:rPr>
                <w:rFonts w:cs="Segoe UI"/>
                <w:b/>
                <w:sz w:val="18"/>
              </w:rPr>
            </w:pPr>
            <w:r w:rsidRPr="00200234">
              <w:rPr>
                <w:rFonts w:cs="Segoe UI"/>
                <w:b/>
                <w:sz w:val="18"/>
              </w:rPr>
              <w:t>Community treatment orders</w:t>
            </w:r>
          </w:p>
        </w:tc>
        <w:tc>
          <w:tcPr>
            <w:tcW w:w="2693" w:type="dxa"/>
            <w:gridSpan w:val="2"/>
            <w:tcBorders>
              <w:top w:val="nil"/>
              <w:bottom w:val="nil"/>
            </w:tcBorders>
            <w:shd w:val="clear" w:color="auto" w:fill="D9D9D9"/>
          </w:tcPr>
          <w:p w14:paraId="43BEF1F6" w14:textId="77777777" w:rsidR="008361C5" w:rsidRPr="00200234" w:rsidRDefault="008361C5" w:rsidP="008361C5">
            <w:pPr>
              <w:keepNext/>
              <w:spacing w:before="60" w:after="60"/>
              <w:jc w:val="center"/>
              <w:rPr>
                <w:rFonts w:cs="Segoe UI"/>
                <w:b/>
                <w:sz w:val="18"/>
              </w:rPr>
            </w:pPr>
            <w:r w:rsidRPr="00200234">
              <w:rPr>
                <w:rFonts w:cs="Segoe UI"/>
                <w:b/>
                <w:sz w:val="18"/>
              </w:rPr>
              <w:t>Inpatient treatment orders</w:t>
            </w:r>
          </w:p>
        </w:tc>
      </w:tr>
      <w:tr w:rsidR="008361C5" w:rsidRPr="00200234" w14:paraId="1EA45581" w14:textId="77777777" w:rsidTr="008371F6">
        <w:trPr>
          <w:cantSplit/>
        </w:trPr>
        <w:tc>
          <w:tcPr>
            <w:tcW w:w="2694" w:type="dxa"/>
            <w:vMerge/>
            <w:tcBorders>
              <w:top w:val="nil"/>
            </w:tcBorders>
            <w:shd w:val="clear" w:color="auto" w:fill="D9D9D9"/>
          </w:tcPr>
          <w:p w14:paraId="569C261D" w14:textId="77777777" w:rsidR="008361C5" w:rsidRPr="00200234" w:rsidRDefault="008361C5" w:rsidP="008361C5">
            <w:pPr>
              <w:keepNext/>
              <w:spacing w:before="60" w:after="60"/>
              <w:rPr>
                <w:rFonts w:cs="Segoe UI"/>
                <w:sz w:val="18"/>
              </w:rPr>
            </w:pPr>
          </w:p>
        </w:tc>
        <w:tc>
          <w:tcPr>
            <w:tcW w:w="1346" w:type="dxa"/>
            <w:tcBorders>
              <w:top w:val="nil"/>
            </w:tcBorders>
            <w:shd w:val="clear" w:color="auto" w:fill="D9D9D9"/>
          </w:tcPr>
          <w:p w14:paraId="3F6F0146" w14:textId="77777777" w:rsidR="008361C5" w:rsidRPr="00200234" w:rsidRDefault="008361C5" w:rsidP="008361C5">
            <w:pPr>
              <w:keepNext/>
              <w:spacing w:after="60"/>
              <w:jc w:val="center"/>
              <w:rPr>
                <w:rFonts w:cs="Segoe UI"/>
                <w:b/>
                <w:sz w:val="18"/>
              </w:rPr>
            </w:pPr>
            <w:r w:rsidRPr="00200234">
              <w:rPr>
                <w:rFonts w:cs="Segoe UI"/>
                <w:b/>
                <w:sz w:val="18"/>
              </w:rPr>
              <w:t>Male</w:t>
            </w:r>
          </w:p>
        </w:tc>
        <w:tc>
          <w:tcPr>
            <w:tcW w:w="1347" w:type="dxa"/>
            <w:tcBorders>
              <w:top w:val="nil"/>
            </w:tcBorders>
            <w:shd w:val="clear" w:color="auto" w:fill="D9D9D9"/>
          </w:tcPr>
          <w:p w14:paraId="2090B2FF" w14:textId="77777777" w:rsidR="008361C5" w:rsidRPr="00200234" w:rsidRDefault="008361C5" w:rsidP="008361C5">
            <w:pPr>
              <w:keepNext/>
              <w:spacing w:after="60"/>
              <w:jc w:val="center"/>
              <w:rPr>
                <w:rFonts w:cs="Segoe UI"/>
                <w:b/>
                <w:sz w:val="18"/>
              </w:rPr>
            </w:pPr>
            <w:r w:rsidRPr="00200234">
              <w:rPr>
                <w:rFonts w:cs="Segoe UI"/>
                <w:b/>
                <w:sz w:val="18"/>
              </w:rPr>
              <w:t>Female</w:t>
            </w:r>
          </w:p>
        </w:tc>
        <w:tc>
          <w:tcPr>
            <w:tcW w:w="1346" w:type="dxa"/>
            <w:tcBorders>
              <w:top w:val="nil"/>
            </w:tcBorders>
            <w:shd w:val="clear" w:color="auto" w:fill="D9D9D9"/>
          </w:tcPr>
          <w:p w14:paraId="6A2FAEEF" w14:textId="77777777" w:rsidR="008361C5" w:rsidRPr="00200234" w:rsidRDefault="008361C5" w:rsidP="008361C5">
            <w:pPr>
              <w:keepNext/>
              <w:spacing w:after="60"/>
              <w:jc w:val="center"/>
              <w:rPr>
                <w:rFonts w:cs="Segoe UI"/>
                <w:b/>
                <w:sz w:val="18"/>
              </w:rPr>
            </w:pPr>
            <w:r w:rsidRPr="00200234">
              <w:rPr>
                <w:rFonts w:cs="Segoe UI"/>
                <w:b/>
                <w:sz w:val="18"/>
              </w:rPr>
              <w:t>Male</w:t>
            </w:r>
          </w:p>
        </w:tc>
        <w:tc>
          <w:tcPr>
            <w:tcW w:w="1347" w:type="dxa"/>
            <w:tcBorders>
              <w:top w:val="nil"/>
            </w:tcBorders>
            <w:shd w:val="clear" w:color="auto" w:fill="D9D9D9"/>
          </w:tcPr>
          <w:p w14:paraId="4256FFE9" w14:textId="77777777" w:rsidR="008361C5" w:rsidRPr="00200234" w:rsidRDefault="008361C5" w:rsidP="008361C5">
            <w:pPr>
              <w:keepNext/>
              <w:spacing w:after="60"/>
              <w:jc w:val="center"/>
              <w:rPr>
                <w:rFonts w:cs="Segoe UI"/>
                <w:b/>
                <w:sz w:val="18"/>
              </w:rPr>
            </w:pPr>
            <w:r w:rsidRPr="00200234">
              <w:rPr>
                <w:rFonts w:cs="Segoe UI"/>
                <w:b/>
                <w:sz w:val="18"/>
              </w:rPr>
              <w:t>Female</w:t>
            </w:r>
          </w:p>
        </w:tc>
      </w:tr>
      <w:tr w:rsidR="008361C5" w:rsidRPr="00200234" w14:paraId="6DEDBE48" w14:textId="77777777" w:rsidTr="008371F6">
        <w:trPr>
          <w:cantSplit/>
        </w:trPr>
        <w:tc>
          <w:tcPr>
            <w:tcW w:w="2694" w:type="dxa"/>
          </w:tcPr>
          <w:p w14:paraId="2170F0C2" w14:textId="77777777" w:rsidR="008361C5" w:rsidRPr="00200234" w:rsidRDefault="008361C5" w:rsidP="008361C5">
            <w:pPr>
              <w:keepNext/>
              <w:spacing w:before="60" w:after="60"/>
              <w:rPr>
                <w:rFonts w:cs="Segoe UI"/>
                <w:sz w:val="18"/>
              </w:rPr>
            </w:pPr>
            <w:r w:rsidRPr="00200234">
              <w:rPr>
                <w:rFonts w:cs="Segoe UI"/>
                <w:sz w:val="18"/>
              </w:rPr>
              <w:t>Māori</w:t>
            </w:r>
          </w:p>
        </w:tc>
        <w:tc>
          <w:tcPr>
            <w:tcW w:w="1346" w:type="dxa"/>
          </w:tcPr>
          <w:p w14:paraId="04D1137A" w14:textId="77777777" w:rsidR="008361C5" w:rsidRPr="00200234" w:rsidRDefault="008361C5" w:rsidP="008361C5">
            <w:pPr>
              <w:keepNext/>
              <w:spacing w:before="60" w:after="60"/>
              <w:jc w:val="center"/>
              <w:rPr>
                <w:rFonts w:cs="Segoe UI"/>
                <w:sz w:val="18"/>
              </w:rPr>
            </w:pPr>
            <w:r w:rsidRPr="00200234">
              <w:rPr>
                <w:rFonts w:cs="Segoe UI"/>
                <w:sz w:val="18"/>
              </w:rPr>
              <w:t>446.1</w:t>
            </w:r>
          </w:p>
        </w:tc>
        <w:tc>
          <w:tcPr>
            <w:tcW w:w="1347" w:type="dxa"/>
          </w:tcPr>
          <w:p w14:paraId="63E4F05B" w14:textId="77777777" w:rsidR="008361C5" w:rsidRPr="00200234" w:rsidRDefault="008361C5" w:rsidP="008361C5">
            <w:pPr>
              <w:keepNext/>
              <w:spacing w:before="60" w:after="60"/>
              <w:jc w:val="center"/>
              <w:rPr>
                <w:rFonts w:cs="Segoe UI"/>
                <w:sz w:val="18"/>
              </w:rPr>
            </w:pPr>
            <w:r w:rsidRPr="00200234">
              <w:rPr>
                <w:rFonts w:cs="Segoe UI"/>
                <w:sz w:val="18"/>
              </w:rPr>
              <w:t>221.4</w:t>
            </w:r>
          </w:p>
        </w:tc>
        <w:tc>
          <w:tcPr>
            <w:tcW w:w="1346" w:type="dxa"/>
          </w:tcPr>
          <w:p w14:paraId="60E5C65F" w14:textId="77777777" w:rsidR="008361C5" w:rsidRPr="00200234" w:rsidRDefault="008361C5" w:rsidP="008361C5">
            <w:pPr>
              <w:keepNext/>
              <w:spacing w:before="60" w:after="60"/>
              <w:jc w:val="center"/>
              <w:rPr>
                <w:rFonts w:cs="Segoe UI"/>
                <w:sz w:val="18"/>
              </w:rPr>
            </w:pPr>
            <w:r w:rsidRPr="00200234">
              <w:rPr>
                <w:rFonts w:cs="Segoe UI"/>
                <w:sz w:val="18"/>
              </w:rPr>
              <w:t>143.4</w:t>
            </w:r>
          </w:p>
        </w:tc>
        <w:tc>
          <w:tcPr>
            <w:tcW w:w="1347" w:type="dxa"/>
          </w:tcPr>
          <w:p w14:paraId="69F81941" w14:textId="77777777" w:rsidR="008361C5" w:rsidRPr="00200234" w:rsidRDefault="008361C5" w:rsidP="008361C5">
            <w:pPr>
              <w:keepNext/>
              <w:spacing w:before="60" w:after="60"/>
              <w:jc w:val="center"/>
              <w:rPr>
                <w:rFonts w:cs="Segoe UI"/>
                <w:sz w:val="18"/>
              </w:rPr>
            </w:pPr>
            <w:r w:rsidRPr="00200234">
              <w:rPr>
                <w:rFonts w:cs="Segoe UI"/>
                <w:sz w:val="18"/>
              </w:rPr>
              <w:t>72.2</w:t>
            </w:r>
          </w:p>
        </w:tc>
      </w:tr>
      <w:tr w:rsidR="008361C5" w:rsidRPr="00200234" w14:paraId="79B5C455" w14:textId="77777777" w:rsidTr="008371F6">
        <w:trPr>
          <w:cantSplit/>
        </w:trPr>
        <w:tc>
          <w:tcPr>
            <w:tcW w:w="2694" w:type="dxa"/>
          </w:tcPr>
          <w:p w14:paraId="54A9D108" w14:textId="77777777" w:rsidR="008361C5" w:rsidRPr="00200234" w:rsidRDefault="008361C5" w:rsidP="008361C5">
            <w:pPr>
              <w:keepNext/>
              <w:spacing w:before="60" w:after="60"/>
              <w:rPr>
                <w:rFonts w:cs="Segoe UI"/>
                <w:sz w:val="18"/>
              </w:rPr>
            </w:pPr>
            <w:r w:rsidRPr="00200234">
              <w:rPr>
                <w:rFonts w:cs="Segoe UI"/>
                <w:sz w:val="18"/>
              </w:rPr>
              <w:t>Non-Māori</w:t>
            </w:r>
          </w:p>
        </w:tc>
        <w:tc>
          <w:tcPr>
            <w:tcW w:w="1346" w:type="dxa"/>
          </w:tcPr>
          <w:p w14:paraId="11C509EF" w14:textId="77777777" w:rsidR="008361C5" w:rsidRPr="00200234" w:rsidRDefault="008361C5" w:rsidP="008361C5">
            <w:pPr>
              <w:keepNext/>
              <w:spacing w:before="60" w:after="60"/>
              <w:jc w:val="center"/>
              <w:rPr>
                <w:rFonts w:cs="Segoe UI"/>
                <w:sz w:val="18"/>
              </w:rPr>
            </w:pPr>
            <w:r w:rsidRPr="00200234">
              <w:rPr>
                <w:rFonts w:cs="Segoe UI"/>
                <w:sz w:val="18"/>
              </w:rPr>
              <w:t>114.6</w:t>
            </w:r>
          </w:p>
        </w:tc>
        <w:tc>
          <w:tcPr>
            <w:tcW w:w="1347" w:type="dxa"/>
          </w:tcPr>
          <w:p w14:paraId="4F1ACA20" w14:textId="77777777" w:rsidR="008361C5" w:rsidRPr="00200234" w:rsidRDefault="008361C5" w:rsidP="008361C5">
            <w:pPr>
              <w:keepNext/>
              <w:spacing w:before="60" w:after="60"/>
              <w:jc w:val="center"/>
              <w:rPr>
                <w:rFonts w:cs="Segoe UI"/>
                <w:sz w:val="18"/>
              </w:rPr>
            </w:pPr>
            <w:r w:rsidRPr="00200234">
              <w:rPr>
                <w:rFonts w:cs="Segoe UI"/>
                <w:sz w:val="18"/>
              </w:rPr>
              <w:t>61.5</w:t>
            </w:r>
          </w:p>
        </w:tc>
        <w:tc>
          <w:tcPr>
            <w:tcW w:w="1346" w:type="dxa"/>
          </w:tcPr>
          <w:p w14:paraId="51C8FF39" w14:textId="77777777" w:rsidR="008361C5" w:rsidRPr="00200234" w:rsidRDefault="008361C5" w:rsidP="008361C5">
            <w:pPr>
              <w:keepNext/>
              <w:spacing w:before="60" w:after="60"/>
              <w:jc w:val="center"/>
              <w:rPr>
                <w:rFonts w:cs="Segoe UI"/>
                <w:sz w:val="18"/>
              </w:rPr>
            </w:pPr>
            <w:r w:rsidRPr="00200234">
              <w:rPr>
                <w:rFonts w:cs="Segoe UI"/>
                <w:sz w:val="18"/>
              </w:rPr>
              <w:t>36.5</w:t>
            </w:r>
          </w:p>
        </w:tc>
        <w:tc>
          <w:tcPr>
            <w:tcW w:w="1347" w:type="dxa"/>
          </w:tcPr>
          <w:p w14:paraId="26F40021" w14:textId="77777777" w:rsidR="008361C5" w:rsidRPr="00200234" w:rsidRDefault="008361C5" w:rsidP="008361C5">
            <w:pPr>
              <w:keepNext/>
              <w:spacing w:before="60" w:after="60"/>
              <w:jc w:val="center"/>
              <w:rPr>
                <w:rFonts w:cs="Segoe UI"/>
                <w:sz w:val="18"/>
              </w:rPr>
            </w:pPr>
            <w:r w:rsidRPr="00200234">
              <w:rPr>
                <w:rFonts w:cs="Segoe UI"/>
                <w:sz w:val="18"/>
              </w:rPr>
              <w:t>23.4</w:t>
            </w:r>
          </w:p>
        </w:tc>
      </w:tr>
      <w:tr w:rsidR="008361C5" w:rsidRPr="00200234" w14:paraId="127ACF3E" w14:textId="77777777" w:rsidTr="008371F6">
        <w:trPr>
          <w:cantSplit/>
        </w:trPr>
        <w:tc>
          <w:tcPr>
            <w:tcW w:w="2694" w:type="dxa"/>
          </w:tcPr>
          <w:p w14:paraId="4D39E29F" w14:textId="14195943" w:rsidR="008361C5" w:rsidRPr="00200234" w:rsidRDefault="008361C5" w:rsidP="008361C5">
            <w:pPr>
              <w:spacing w:before="60" w:after="60"/>
              <w:rPr>
                <w:rFonts w:cs="Segoe UI"/>
                <w:sz w:val="18"/>
              </w:rPr>
            </w:pPr>
            <w:r w:rsidRPr="00200234">
              <w:rPr>
                <w:rFonts w:cs="Segoe UI"/>
                <w:sz w:val="18"/>
              </w:rPr>
              <w:t>Māori</w:t>
            </w:r>
            <w:r w:rsidR="00486A72">
              <w:rPr>
                <w:rFonts w:cs="Segoe UI"/>
                <w:sz w:val="18"/>
              </w:rPr>
              <w:t xml:space="preserve"> to </w:t>
            </w:r>
            <w:r w:rsidRPr="00200234">
              <w:rPr>
                <w:rFonts w:cs="Segoe UI"/>
                <w:sz w:val="18"/>
              </w:rPr>
              <w:t>non-Māori</w:t>
            </w:r>
            <w:r w:rsidR="00486A72">
              <w:rPr>
                <w:rFonts w:cs="Segoe UI"/>
                <w:sz w:val="18"/>
              </w:rPr>
              <w:t xml:space="preserve"> rate ratio</w:t>
            </w:r>
          </w:p>
        </w:tc>
        <w:tc>
          <w:tcPr>
            <w:tcW w:w="1346" w:type="dxa"/>
          </w:tcPr>
          <w:p w14:paraId="40B7BD69" w14:textId="77777777" w:rsidR="008361C5" w:rsidRPr="00200234" w:rsidRDefault="008361C5" w:rsidP="008361C5">
            <w:pPr>
              <w:spacing w:before="60" w:after="60"/>
              <w:jc w:val="center"/>
              <w:rPr>
                <w:rFonts w:cs="Segoe UI"/>
                <w:sz w:val="18"/>
              </w:rPr>
            </w:pPr>
            <w:r w:rsidRPr="00200234">
              <w:rPr>
                <w:rFonts w:cs="Segoe UI"/>
                <w:sz w:val="18"/>
              </w:rPr>
              <w:t>3.9:1</w:t>
            </w:r>
          </w:p>
        </w:tc>
        <w:tc>
          <w:tcPr>
            <w:tcW w:w="1347" w:type="dxa"/>
          </w:tcPr>
          <w:p w14:paraId="63EA4234" w14:textId="77777777" w:rsidR="008361C5" w:rsidRPr="00200234" w:rsidRDefault="008361C5" w:rsidP="008361C5">
            <w:pPr>
              <w:spacing w:before="60" w:after="60"/>
              <w:jc w:val="center"/>
              <w:rPr>
                <w:rFonts w:cs="Segoe UI"/>
                <w:sz w:val="18"/>
              </w:rPr>
            </w:pPr>
            <w:r w:rsidRPr="00200234">
              <w:rPr>
                <w:rFonts w:cs="Segoe UI"/>
                <w:sz w:val="18"/>
              </w:rPr>
              <w:t>3.6:1</w:t>
            </w:r>
          </w:p>
        </w:tc>
        <w:tc>
          <w:tcPr>
            <w:tcW w:w="1346" w:type="dxa"/>
          </w:tcPr>
          <w:p w14:paraId="2CFAB5A9" w14:textId="77777777" w:rsidR="008361C5" w:rsidRPr="00200234" w:rsidRDefault="008361C5" w:rsidP="008361C5">
            <w:pPr>
              <w:spacing w:before="60" w:after="60"/>
              <w:jc w:val="center"/>
              <w:rPr>
                <w:rFonts w:cs="Segoe UI"/>
                <w:sz w:val="18"/>
              </w:rPr>
            </w:pPr>
            <w:r w:rsidRPr="00200234">
              <w:rPr>
                <w:rFonts w:cs="Segoe UI"/>
                <w:sz w:val="18"/>
              </w:rPr>
              <w:t>3.9:1</w:t>
            </w:r>
          </w:p>
        </w:tc>
        <w:tc>
          <w:tcPr>
            <w:tcW w:w="1347" w:type="dxa"/>
          </w:tcPr>
          <w:p w14:paraId="2917D609" w14:textId="77777777" w:rsidR="008361C5" w:rsidRPr="00200234" w:rsidRDefault="008361C5" w:rsidP="008361C5">
            <w:pPr>
              <w:spacing w:before="60" w:after="60"/>
              <w:jc w:val="center"/>
              <w:rPr>
                <w:rFonts w:cs="Segoe UI"/>
                <w:sz w:val="18"/>
              </w:rPr>
            </w:pPr>
            <w:r w:rsidRPr="00200234">
              <w:rPr>
                <w:rFonts w:cs="Segoe UI"/>
                <w:sz w:val="18"/>
              </w:rPr>
              <w:t>3.1:1</w:t>
            </w:r>
          </w:p>
        </w:tc>
      </w:tr>
    </w:tbl>
    <w:p w14:paraId="0C6D4B4D" w14:textId="77777777" w:rsidR="008361C5" w:rsidRPr="00200234" w:rsidRDefault="008361C5" w:rsidP="008361C5">
      <w:pPr>
        <w:pStyle w:val="Note"/>
      </w:pPr>
      <w:r w:rsidRPr="00200234">
        <w:t xml:space="preserve">Note: Rates per 100,000 are </w:t>
      </w:r>
      <w:proofErr w:type="gramStart"/>
      <w:r w:rsidRPr="00200234">
        <w:t>age-standardised</w:t>
      </w:r>
      <w:proofErr w:type="gramEnd"/>
      <w:r w:rsidRPr="00200234">
        <w:t xml:space="preserve">. </w:t>
      </w:r>
    </w:p>
    <w:p w14:paraId="57EE9147" w14:textId="36B43DA3" w:rsidR="008361C5" w:rsidRPr="00200234" w:rsidRDefault="008361C5" w:rsidP="008361C5">
      <w:pPr>
        <w:pStyle w:val="Note"/>
      </w:pPr>
      <w:r w:rsidRPr="00200234">
        <w:t>Source: PRIMHD data</w:t>
      </w:r>
      <w:r w:rsidR="0015429E">
        <w:t xml:space="preserve"> (extracted</w:t>
      </w:r>
      <w:r w:rsidRPr="00200234">
        <w:t xml:space="preserve"> 19 October 2020</w:t>
      </w:r>
      <w:r w:rsidR="00D30615">
        <w:t>)</w:t>
      </w:r>
      <w:r w:rsidRPr="00200234">
        <w:t xml:space="preserve">. </w:t>
      </w:r>
    </w:p>
    <w:p w14:paraId="7648357E" w14:textId="77777777" w:rsidR="008361C5" w:rsidRPr="00200234" w:rsidRDefault="008361C5" w:rsidP="008361C5"/>
    <w:p w14:paraId="6AB79A4A" w14:textId="3D6D7A70" w:rsidR="008361C5" w:rsidRPr="00200234" w:rsidRDefault="008361C5" w:rsidP="008361C5">
      <w:pPr>
        <w:pStyle w:val="Figure"/>
      </w:pPr>
      <w:bookmarkStart w:id="114" w:name="_Ref65671963"/>
      <w:bookmarkStart w:id="115" w:name="_Toc63764755"/>
      <w:bookmarkStart w:id="116" w:name="_Toc66716202"/>
      <w:r w:rsidRPr="00200234">
        <w:lastRenderedPageBreak/>
        <w:t xml:space="preserve">Figure </w:t>
      </w:r>
      <w:fldSimple w:instr=" SEQ Figure \* ARABIC ">
        <w:r w:rsidR="00422361">
          <w:rPr>
            <w:noProof/>
          </w:rPr>
          <w:t>20</w:t>
        </w:r>
      </w:fldSimple>
      <w:bookmarkEnd w:id="114"/>
      <w:r w:rsidRPr="00200234">
        <w:t>: Age-standardised rates of Māori and non-Māori subject to community and inpatient treatment orders (sections 29 and 30 respectively) under the Mental Health Act, by sex, 1 January to 31 December 2019</w:t>
      </w:r>
      <w:bookmarkEnd w:id="115"/>
      <w:bookmarkEnd w:id="116"/>
    </w:p>
    <w:p w14:paraId="20A6EE0A" w14:textId="77777777" w:rsidR="008361C5" w:rsidRPr="00200234" w:rsidRDefault="008361C5" w:rsidP="008361C5">
      <w:pPr>
        <w:rPr>
          <w:rFonts w:eastAsia="Calibri" w:cs="Segoe UI"/>
        </w:rPr>
      </w:pPr>
      <w:r w:rsidRPr="00200234">
        <w:rPr>
          <w:noProof/>
        </w:rPr>
        <w:drawing>
          <wp:inline distT="0" distB="0" distL="0" distR="0" wp14:anchorId="61F6C361" wp14:editId="1FE1C563">
            <wp:extent cx="5040000" cy="3200400"/>
            <wp:effectExtent l="0" t="0" r="8255" b="0"/>
            <wp:docPr id="32" name="Chart 32" descr="This bar graph shows that Māori were more likely to be subject to community and inpatient treatment orders than non-Māori and that males had higher rates than females for both orders. People were more likely to be subject to community treatment orders than inpatient orders. There were rates of people in treatment in 2019 than in 2018.">
              <a:extLst xmlns:a="http://schemas.openxmlformats.org/drawingml/2006/main">
                <a:ext uri="{FF2B5EF4-FFF2-40B4-BE49-F238E27FC236}">
                  <a16:creationId xmlns:a16="http://schemas.microsoft.com/office/drawing/2014/main" id="{00000000-0008-0000-06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F06B15A" w14:textId="77777777" w:rsidR="008361C5" w:rsidRPr="00200234" w:rsidRDefault="008361C5" w:rsidP="008361C5">
      <w:pPr>
        <w:pStyle w:val="Note"/>
      </w:pPr>
      <w:r w:rsidRPr="00200234">
        <w:t xml:space="preserve">Note: Rates per 100,000 are </w:t>
      </w:r>
      <w:proofErr w:type="gramStart"/>
      <w:r w:rsidRPr="00200234">
        <w:t>age-standardised</w:t>
      </w:r>
      <w:proofErr w:type="gramEnd"/>
      <w:r w:rsidRPr="00200234">
        <w:t>.</w:t>
      </w:r>
    </w:p>
    <w:p w14:paraId="7ECE9A9D" w14:textId="03B7088B" w:rsidR="008361C5" w:rsidRPr="00200234" w:rsidRDefault="008361C5" w:rsidP="008361C5">
      <w:pPr>
        <w:pStyle w:val="Note"/>
      </w:pPr>
      <w:r w:rsidRPr="00200234">
        <w:t>Source: PRIMHD data</w:t>
      </w:r>
      <w:r w:rsidR="0015429E">
        <w:t xml:space="preserve"> (extracted</w:t>
      </w:r>
      <w:r w:rsidRPr="00200234">
        <w:t xml:space="preserve"> 19 October 2020</w:t>
      </w:r>
      <w:r w:rsidR="00D30615">
        <w:t>)</w:t>
      </w:r>
      <w:r w:rsidRPr="00200234">
        <w:t>.</w:t>
      </w:r>
    </w:p>
    <w:p w14:paraId="624ADF86" w14:textId="7CB4103E" w:rsidR="008361C5" w:rsidRPr="00200234" w:rsidRDefault="008361C5" w:rsidP="00DC3196">
      <w:pPr>
        <w:pStyle w:val="Heading2"/>
      </w:pPr>
      <w:bookmarkStart w:id="117" w:name="_Toc65141620"/>
      <w:bookmarkStart w:id="118" w:name="_Toc69307701"/>
      <w:r w:rsidRPr="00200234">
        <w:t>Length of time spent subject to compulsory treatment orders</w:t>
      </w:r>
      <w:bookmarkEnd w:id="117"/>
      <w:bookmarkEnd w:id="118"/>
    </w:p>
    <w:p w14:paraId="6D6E0D04" w14:textId="2C34392B" w:rsidR="008361C5" w:rsidRPr="00200234" w:rsidRDefault="008361C5" w:rsidP="00B03B37">
      <w:r w:rsidRPr="00200234">
        <w:t xml:space="preserve">On average, Māori and non-Māori remain on compulsory treatment orders for a similar amount of time (see </w:t>
      </w:r>
      <w:r w:rsidR="001B42F3" w:rsidRPr="00200234">
        <w:fldChar w:fldCharType="begin"/>
      </w:r>
      <w:r w:rsidR="001B42F3" w:rsidRPr="00200234">
        <w:instrText xml:space="preserve"> REF _Ref65672142 \h </w:instrText>
      </w:r>
      <w:r w:rsidR="001B42F3" w:rsidRPr="00200234">
        <w:fldChar w:fldCharType="separate"/>
      </w:r>
      <w:r w:rsidR="00422361" w:rsidRPr="00200234">
        <w:t xml:space="preserve">Figure </w:t>
      </w:r>
      <w:r w:rsidR="00422361">
        <w:rPr>
          <w:noProof/>
        </w:rPr>
        <w:t>21</w:t>
      </w:r>
      <w:r w:rsidR="001B42F3" w:rsidRPr="00200234">
        <w:fldChar w:fldCharType="end"/>
      </w:r>
      <w:r w:rsidRPr="00200234">
        <w:t xml:space="preserve">). For community treatment orders commenced between 2009 and 2017, 69 percent of Māori and 73 percent of non-Māori were subject to the order for less than a year. For inpatient orders commenced between 2009 and 2017, 95 percent of Māori and non-Māori were subject to the order for less than a year. </w:t>
      </w:r>
    </w:p>
    <w:p w14:paraId="31F63D87" w14:textId="6E7BE41E" w:rsidR="008361C5" w:rsidRPr="00200234" w:rsidRDefault="008361C5" w:rsidP="008361C5">
      <w:pPr>
        <w:pStyle w:val="Figure"/>
      </w:pPr>
      <w:bookmarkStart w:id="119" w:name="_Ref65672142"/>
      <w:bookmarkStart w:id="120" w:name="_Toc63764756"/>
      <w:bookmarkStart w:id="121" w:name="_Toc66716203"/>
      <w:r w:rsidRPr="00200234">
        <w:lastRenderedPageBreak/>
        <w:t xml:space="preserve">Figure </w:t>
      </w:r>
      <w:fldSimple w:instr=" SEQ Figure \* ARABIC ">
        <w:r w:rsidR="00422361">
          <w:rPr>
            <w:noProof/>
          </w:rPr>
          <w:t>21</w:t>
        </w:r>
      </w:fldSimple>
      <w:bookmarkEnd w:id="119"/>
      <w:r w:rsidRPr="00200234">
        <w:t>: Length of time spent subject to community and inpatient treatment orders (sections 29 and 30) under the Mental Health Act for Māori and non-Māori, 2009–2017</w:t>
      </w:r>
      <w:bookmarkEnd w:id="120"/>
      <w:bookmarkEnd w:id="121"/>
    </w:p>
    <w:p w14:paraId="4EA32D3F" w14:textId="77777777" w:rsidR="008361C5" w:rsidRPr="00200234" w:rsidRDefault="008361C5" w:rsidP="008361C5">
      <w:pPr>
        <w:rPr>
          <w:rFonts w:eastAsia="Calibri" w:cs="Segoe UI"/>
        </w:rPr>
      </w:pPr>
      <w:r w:rsidRPr="00200234">
        <w:rPr>
          <w:noProof/>
        </w:rPr>
        <w:drawing>
          <wp:inline distT="0" distB="0" distL="0" distR="0" wp14:anchorId="1B0EBB92" wp14:editId="57DFDE3F">
            <wp:extent cx="5040000" cy="3009900"/>
            <wp:effectExtent l="0" t="0" r="8255" b="0"/>
            <wp:docPr id="12" name="Chart 12" descr="This bar graph shows that more than 90% of people were under community treatment orders for less than one year, though the rate was slightly lower for  Māori than non-Māori. Just under 70% of Māori were under inpatient treatment orders for less than one year, compared with just under 75% for non-Māori. About 12% of Māori were in inpatient treatment for between 1 and 2 years compared with about 10% of non-Māori. Just under 20% of Māori were in inpatient treatment for more than 2 years compared with about 18% for non-Māori.">
              <a:extLst xmlns:a="http://schemas.openxmlformats.org/drawingml/2006/main">
                <a:ext uri="{FF2B5EF4-FFF2-40B4-BE49-F238E27FC236}">
                  <a16:creationId xmlns:a16="http://schemas.microsoft.com/office/drawing/2014/main" id="{00000000-0008-0000-06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50BB57B" w14:textId="77777777" w:rsidR="008361C5" w:rsidRPr="00200234" w:rsidRDefault="008361C5" w:rsidP="008361C5">
      <w:pPr>
        <w:pStyle w:val="Note"/>
      </w:pPr>
      <w:r w:rsidRPr="00200234">
        <w:t xml:space="preserve">Note: The data refers to treatment orders started between 2009 and 2017. This analysis uses 2017 as the most recent year because at least two years must have passed to identify how many people remained on a treatment order for two or more years. Please note this graph is not comparable with Figure 15 in the 2017 report, in which the data presented for length of community treatment orders was recorded as inaccurately high. </w:t>
      </w:r>
    </w:p>
    <w:p w14:paraId="0D3E2998" w14:textId="4F589B81" w:rsidR="008361C5" w:rsidRPr="00200234" w:rsidRDefault="008361C5" w:rsidP="008361C5">
      <w:pPr>
        <w:pStyle w:val="Note"/>
      </w:pPr>
      <w:r w:rsidRPr="00200234">
        <w:t>Source: PRIMHD data</w:t>
      </w:r>
      <w:r w:rsidR="0015429E">
        <w:t xml:space="preserve"> (extracted</w:t>
      </w:r>
      <w:r w:rsidRPr="00200234">
        <w:t xml:space="preserve"> 19 October 2020</w:t>
      </w:r>
      <w:r w:rsidR="00D30615">
        <w:t>)</w:t>
      </w:r>
      <w:r w:rsidRPr="00200234">
        <w:t>.</w:t>
      </w:r>
    </w:p>
    <w:p w14:paraId="24CE7401" w14:textId="77777777" w:rsidR="008361C5" w:rsidRPr="00200234" w:rsidRDefault="008361C5" w:rsidP="008361C5"/>
    <w:p w14:paraId="1F44FE4A" w14:textId="5F46E8CE" w:rsidR="008361C5" w:rsidRPr="00200234" w:rsidRDefault="008361C5" w:rsidP="008361C5">
      <w:r w:rsidRPr="00200234">
        <w:t>The following figures show the rate ratio of Māori to non-Māori subject to indefinite community treatment orders (</w:t>
      </w:r>
      <w:r w:rsidR="001B42F3" w:rsidRPr="00200234">
        <w:t>F</w:t>
      </w:r>
      <w:r w:rsidRPr="00200234">
        <w:t xml:space="preserve">igures </w:t>
      </w:r>
      <w:r w:rsidR="001B42F3" w:rsidRPr="00200234">
        <w:fldChar w:fldCharType="begin"/>
      </w:r>
      <w:r w:rsidR="001B42F3" w:rsidRPr="00200234">
        <w:instrText xml:space="preserve"> REF _Ref65672180 \# 0 \h </w:instrText>
      </w:r>
      <w:r w:rsidR="001B42F3" w:rsidRPr="00200234">
        <w:fldChar w:fldCharType="separate"/>
      </w:r>
      <w:r w:rsidR="00422361">
        <w:t>22</w:t>
      </w:r>
      <w:r w:rsidR="001B42F3" w:rsidRPr="00200234">
        <w:fldChar w:fldCharType="end"/>
      </w:r>
      <w:r w:rsidRPr="00200234">
        <w:t xml:space="preserve"> and </w:t>
      </w:r>
      <w:r w:rsidR="001B42F3" w:rsidRPr="00200234">
        <w:fldChar w:fldCharType="begin"/>
      </w:r>
      <w:r w:rsidR="001B42F3" w:rsidRPr="00200234">
        <w:instrText xml:space="preserve"> REF _Ref65672184 \# 0 \h </w:instrText>
      </w:r>
      <w:r w:rsidR="001B42F3" w:rsidRPr="00200234">
        <w:fldChar w:fldCharType="separate"/>
      </w:r>
      <w:r w:rsidR="00422361">
        <w:t>23</w:t>
      </w:r>
      <w:r w:rsidR="001B42F3" w:rsidRPr="00200234">
        <w:fldChar w:fldCharType="end"/>
      </w:r>
      <w:r w:rsidRPr="00200234">
        <w:t>) and indefinite inpatient treatment orders (</w:t>
      </w:r>
      <w:r w:rsidR="001B42F3" w:rsidRPr="00200234">
        <w:t>F</w:t>
      </w:r>
      <w:r w:rsidRPr="00200234">
        <w:t xml:space="preserve">igures </w:t>
      </w:r>
      <w:r w:rsidR="001B42F3" w:rsidRPr="00200234">
        <w:fldChar w:fldCharType="begin"/>
      </w:r>
      <w:r w:rsidR="001B42F3" w:rsidRPr="00200234">
        <w:instrText xml:space="preserve"> REF _Ref65672189 \# 0 \h </w:instrText>
      </w:r>
      <w:r w:rsidR="001B42F3" w:rsidRPr="00200234">
        <w:fldChar w:fldCharType="separate"/>
      </w:r>
      <w:r w:rsidR="00422361">
        <w:t>24</w:t>
      </w:r>
      <w:r w:rsidR="001B42F3" w:rsidRPr="00200234">
        <w:fldChar w:fldCharType="end"/>
      </w:r>
      <w:r w:rsidRPr="00200234">
        <w:t xml:space="preserve"> and </w:t>
      </w:r>
      <w:r w:rsidR="001B42F3" w:rsidRPr="00200234">
        <w:fldChar w:fldCharType="begin"/>
      </w:r>
      <w:r w:rsidR="001B42F3" w:rsidRPr="00200234">
        <w:instrText xml:space="preserve"> REF _Ref65672193 \# 0 \h </w:instrText>
      </w:r>
      <w:r w:rsidR="001B42F3" w:rsidRPr="00200234">
        <w:fldChar w:fldCharType="separate"/>
      </w:r>
      <w:r w:rsidR="00422361">
        <w:t>25</w:t>
      </w:r>
      <w:r w:rsidR="001B42F3" w:rsidRPr="00200234">
        <w:fldChar w:fldCharType="end"/>
      </w:r>
      <w:r w:rsidRPr="00200234">
        <w:t>) for each DHB per 100,000 people in 2018 and 2019 respectively.</w:t>
      </w:r>
    </w:p>
    <w:p w14:paraId="34DC3201" w14:textId="61883A08" w:rsidR="008361C5" w:rsidRPr="00200234" w:rsidRDefault="008361C5" w:rsidP="008361C5">
      <w:pPr>
        <w:pStyle w:val="Figure"/>
      </w:pPr>
      <w:bookmarkStart w:id="122" w:name="_Ref65672180"/>
      <w:bookmarkStart w:id="123" w:name="_Toc63764757"/>
      <w:bookmarkStart w:id="124" w:name="_Toc66716204"/>
      <w:r w:rsidRPr="00200234">
        <w:lastRenderedPageBreak/>
        <w:t xml:space="preserve">Figure </w:t>
      </w:r>
      <w:fldSimple w:instr=" SEQ Figure \* ARABIC ">
        <w:r w:rsidR="00422361">
          <w:rPr>
            <w:noProof/>
          </w:rPr>
          <w:t>22</w:t>
        </w:r>
      </w:fldSimple>
      <w:bookmarkEnd w:id="122"/>
      <w:r w:rsidRPr="00200234">
        <w:t xml:space="preserve">: Rate ratio of Māori </w:t>
      </w:r>
      <w:r w:rsidR="006F74B8">
        <w:t>to</w:t>
      </w:r>
      <w:r w:rsidR="006F74B8" w:rsidRPr="00200234">
        <w:t xml:space="preserve"> </w:t>
      </w:r>
      <w:r w:rsidRPr="00200234">
        <w:t>non-Māori subject to indefinite community treatment orders per 100,000 population, by DHB, 1 January to 31 December 2018</w:t>
      </w:r>
      <w:bookmarkEnd w:id="123"/>
      <w:bookmarkEnd w:id="124"/>
    </w:p>
    <w:p w14:paraId="7E771106" w14:textId="77777777" w:rsidR="008361C5" w:rsidRPr="00200234" w:rsidRDefault="008361C5" w:rsidP="008361C5">
      <w:r w:rsidRPr="00200234">
        <w:rPr>
          <w:noProof/>
        </w:rPr>
        <w:drawing>
          <wp:inline distT="0" distB="0" distL="0" distR="0" wp14:anchorId="3B81D98D" wp14:editId="2F115436">
            <wp:extent cx="5040000" cy="4333875"/>
            <wp:effectExtent l="0" t="0" r="8255" b="0"/>
            <wp:docPr id="15" name="Chart 15" descr="This graph shows that the ratio of Māori to non-Māori under indefinite community treatment orders in 2018 was highest in Auckland and Wairarapa DHBs at over 7 to 1. The New Zealand average was just under 4 to 1. The lowest ratios were in Whanganui, Hawke's Bay and Hutt Valley, at less than 2 to 1.">
              <a:extLst xmlns:a="http://schemas.openxmlformats.org/drawingml/2006/main">
                <a:ext uri="{FF2B5EF4-FFF2-40B4-BE49-F238E27FC236}">
                  <a16:creationId xmlns:a16="http://schemas.microsoft.com/office/drawing/2014/main" id="{8894E641-1F24-4830-B2F9-C408EC4D2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8D50A04" w14:textId="42CD12F7" w:rsidR="008361C5" w:rsidRPr="00200234" w:rsidRDefault="008361C5" w:rsidP="008361C5">
      <w:pPr>
        <w:pStyle w:val="Note"/>
      </w:pPr>
      <w:r w:rsidRPr="00200234">
        <w:t>Source</w:t>
      </w:r>
      <w:r w:rsidR="00B45714" w:rsidRPr="00200234">
        <w:t>s</w:t>
      </w:r>
      <w:r w:rsidRPr="00200234">
        <w:t>: PRIMHD data</w:t>
      </w:r>
      <w:r w:rsidR="0015429E">
        <w:t xml:space="preserve"> (extracted</w:t>
      </w:r>
      <w:r w:rsidRPr="00200234">
        <w:t xml:space="preserve"> 29 July 2019</w:t>
      </w:r>
      <w:r w:rsidR="00D30615">
        <w:t>)</w:t>
      </w:r>
      <w:r w:rsidRPr="00200234">
        <w:t xml:space="preserve"> </w:t>
      </w:r>
      <w:r w:rsidR="00346BD1" w:rsidRPr="00200234">
        <w:t xml:space="preserve">and </w:t>
      </w:r>
      <w:r w:rsidRPr="00200234">
        <w:t xml:space="preserve">manual data from Auckland, Lakes and </w:t>
      </w:r>
      <w:proofErr w:type="spellStart"/>
      <w:r w:rsidRPr="00200234">
        <w:t>Waitematā</w:t>
      </w:r>
      <w:proofErr w:type="spellEnd"/>
      <w:r w:rsidRPr="00200234">
        <w:t xml:space="preserve"> DHBs. </w:t>
      </w:r>
    </w:p>
    <w:p w14:paraId="4C322A3A" w14:textId="3AE968AA" w:rsidR="008361C5" w:rsidRDefault="008361C5" w:rsidP="00BC3AB3">
      <w:pPr>
        <w:pStyle w:val="Figure"/>
      </w:pPr>
      <w:bookmarkStart w:id="125" w:name="_Ref65672184"/>
      <w:bookmarkStart w:id="126" w:name="_Toc63764758"/>
      <w:bookmarkStart w:id="127" w:name="_Toc66716205"/>
      <w:r w:rsidRPr="00200234">
        <w:lastRenderedPageBreak/>
        <w:t xml:space="preserve">Figure </w:t>
      </w:r>
      <w:fldSimple w:instr=" SEQ Figure \* ARABIC ">
        <w:r w:rsidR="00422361">
          <w:rPr>
            <w:noProof/>
          </w:rPr>
          <w:t>23</w:t>
        </w:r>
      </w:fldSimple>
      <w:bookmarkEnd w:id="125"/>
      <w:r w:rsidRPr="00200234">
        <w:t xml:space="preserve">: Rate ratio of Māori </w:t>
      </w:r>
      <w:r w:rsidR="006F74B8">
        <w:t>to</w:t>
      </w:r>
      <w:r w:rsidR="006F74B8" w:rsidRPr="00200234">
        <w:t xml:space="preserve"> </w:t>
      </w:r>
      <w:r w:rsidRPr="00200234">
        <w:t>non-Māori subject to indefinite community treatment orders per 100,000 population, by DHB, 1 January to 31 December 2019</w:t>
      </w:r>
      <w:bookmarkEnd w:id="126"/>
      <w:bookmarkEnd w:id="127"/>
    </w:p>
    <w:p w14:paraId="4CE829E3" w14:textId="592C4714" w:rsidR="00B40B9F" w:rsidRPr="00200234" w:rsidRDefault="00B40B9F" w:rsidP="008361C5">
      <w:r>
        <w:rPr>
          <w:noProof/>
        </w:rPr>
        <w:drawing>
          <wp:inline distT="0" distB="0" distL="0" distR="0" wp14:anchorId="12AFA6BB" wp14:editId="2DB8DC7C">
            <wp:extent cx="5130165" cy="4191000"/>
            <wp:effectExtent l="0" t="0" r="0" b="0"/>
            <wp:docPr id="39" name="Chart 39" descr="This graph shows that the ratio of Māori to non-Māori under indefinite community treatment orders in 2019 was highest in Bay of Plenty, Hawke's Bay and Waikato DHBs at over 4 to 1. The New Zealand average was just under 3 to 1. The lowest ratios were in Wairarapa, West Coast and Whanganui at about 2 to 1.">
              <a:extLst xmlns:a="http://schemas.openxmlformats.org/drawingml/2006/main">
                <a:ext uri="{FF2B5EF4-FFF2-40B4-BE49-F238E27FC236}">
                  <a16:creationId xmlns:a16="http://schemas.microsoft.com/office/drawing/2014/main" id="{8894E641-1F24-4830-B2F9-C408EC4D2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B8AD6F3" w14:textId="29D9C388" w:rsidR="008361C5" w:rsidRPr="00200234" w:rsidRDefault="008361C5" w:rsidP="008361C5">
      <w:pPr>
        <w:pStyle w:val="Note"/>
      </w:pPr>
      <w:r w:rsidRPr="00200234">
        <w:t>Source: PRIMHD data</w:t>
      </w:r>
      <w:r w:rsidR="0015429E">
        <w:t xml:space="preserve"> (extracted</w:t>
      </w:r>
      <w:r w:rsidRPr="00200234">
        <w:t xml:space="preserve"> 19 October 2020</w:t>
      </w:r>
      <w:r w:rsidR="00D30615">
        <w:t>)</w:t>
      </w:r>
      <w:r w:rsidRPr="00200234">
        <w:t xml:space="preserve">. </w:t>
      </w:r>
    </w:p>
    <w:p w14:paraId="79F63F52" w14:textId="77777777" w:rsidR="008361C5" w:rsidRPr="00ED4FA1" w:rsidRDefault="008361C5" w:rsidP="008361C5">
      <w:pPr>
        <w:pStyle w:val="Bullet"/>
        <w:numPr>
          <w:ilvl w:val="0"/>
          <w:numId w:val="0"/>
        </w:numPr>
        <w:rPr>
          <w:rFonts w:cs="Segoe UI"/>
          <w:szCs w:val="21"/>
        </w:rPr>
      </w:pPr>
    </w:p>
    <w:p w14:paraId="76E8135D" w14:textId="3E1FE6A0" w:rsidR="008361C5" w:rsidRPr="00200234" w:rsidRDefault="008361C5" w:rsidP="008361C5">
      <w:pPr>
        <w:pStyle w:val="Figure"/>
      </w:pPr>
      <w:bookmarkStart w:id="128" w:name="_Ref65672189"/>
      <w:bookmarkStart w:id="129" w:name="_Toc63764759"/>
      <w:bookmarkStart w:id="130" w:name="_Toc66716206"/>
      <w:r w:rsidRPr="00200234">
        <w:lastRenderedPageBreak/>
        <w:t xml:space="preserve">Figure </w:t>
      </w:r>
      <w:fldSimple w:instr=" SEQ Figure \* ARABIC ">
        <w:r w:rsidR="00422361">
          <w:rPr>
            <w:noProof/>
          </w:rPr>
          <w:t>24</w:t>
        </w:r>
      </w:fldSimple>
      <w:bookmarkEnd w:id="128"/>
      <w:r w:rsidRPr="00200234">
        <w:t xml:space="preserve">: Rate ratio of Māori </w:t>
      </w:r>
      <w:r w:rsidR="006F74B8">
        <w:t>to</w:t>
      </w:r>
      <w:r w:rsidR="006F74B8" w:rsidRPr="00200234">
        <w:t xml:space="preserve"> </w:t>
      </w:r>
      <w:r w:rsidRPr="00200234">
        <w:t>non-Māori subject to indefinite inpatient treatment orders per 100,000 population, by DHB, 1 January to 31 December 2018</w:t>
      </w:r>
      <w:bookmarkEnd w:id="129"/>
      <w:bookmarkEnd w:id="130"/>
    </w:p>
    <w:p w14:paraId="403BCA40" w14:textId="77777777" w:rsidR="008361C5" w:rsidRPr="00200234" w:rsidRDefault="008361C5" w:rsidP="00C07AE4">
      <w:pPr>
        <w:keepNext/>
        <w:rPr>
          <w:rFonts w:eastAsia="Calibri" w:cs="Segoe UI"/>
          <w:b/>
          <w:sz w:val="20"/>
        </w:rPr>
      </w:pPr>
      <w:r w:rsidRPr="00200234">
        <w:rPr>
          <w:noProof/>
        </w:rPr>
        <w:drawing>
          <wp:inline distT="0" distB="0" distL="0" distR="0" wp14:anchorId="16FB7D9D" wp14:editId="7771F7CD">
            <wp:extent cx="5039995" cy="3543300"/>
            <wp:effectExtent l="0" t="0" r="8255" b="0"/>
            <wp:docPr id="19" name="Chart 19" descr="This graph shows that the ratio of Māori to non-Māori under indefinite inpatient treatment orders in 2018 was highest in Northland, MidCentral and Counties Manukau DHBs at about 7 to 1. The New Zealand average was just under 3 to 1. The lowest ratios were in Southern (1 to 1) and Whanganui (.5 to 1).">
              <a:extLst xmlns:a="http://schemas.openxmlformats.org/drawingml/2006/main">
                <a:ext uri="{FF2B5EF4-FFF2-40B4-BE49-F238E27FC236}">
                  <a16:creationId xmlns:a16="http://schemas.microsoft.com/office/drawing/2014/main" id="{021DE563-2B05-49B3-B19E-97551BF73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0CACFA4" w14:textId="580759BB" w:rsidR="008361C5" w:rsidRPr="00200234" w:rsidRDefault="008361C5" w:rsidP="008361C5">
      <w:pPr>
        <w:pStyle w:val="Note"/>
      </w:pPr>
      <w:r w:rsidRPr="00200234">
        <w:t xml:space="preserve">Note: Auckland, </w:t>
      </w:r>
      <w:proofErr w:type="spellStart"/>
      <w:r w:rsidRPr="00200234">
        <w:t>Tairāwhiti</w:t>
      </w:r>
      <w:proofErr w:type="spellEnd"/>
      <w:r w:rsidRPr="00200234">
        <w:t xml:space="preserve"> and Wairarapa DHBs have no indefinite inpatient treatment orders. In Hawke’s Bay, Lakes, Nelson Marlborough, South Canterbury, Taranaki and West Coast DHBs</w:t>
      </w:r>
      <w:r w:rsidR="00781EBE">
        <w:t>,</w:t>
      </w:r>
      <w:r w:rsidRPr="00200234">
        <w:t xml:space="preserve"> the rate ratio is zero. These DHBs have been excluded from this graph. </w:t>
      </w:r>
    </w:p>
    <w:p w14:paraId="0F8CB0FB" w14:textId="6D4D158E" w:rsidR="008361C5" w:rsidRPr="00200234" w:rsidRDefault="008361C5" w:rsidP="00C07AE4">
      <w:pPr>
        <w:pStyle w:val="Note"/>
        <w:keepNext/>
      </w:pPr>
      <w:r w:rsidRPr="00200234">
        <w:t>Source</w:t>
      </w:r>
      <w:r w:rsidR="00242B07" w:rsidRPr="00200234">
        <w:t>s</w:t>
      </w:r>
      <w:r w:rsidRPr="00200234">
        <w:t>: PRIMHD data</w:t>
      </w:r>
      <w:r w:rsidR="0015429E">
        <w:t xml:space="preserve"> (extracted</w:t>
      </w:r>
      <w:r w:rsidRPr="00200234">
        <w:t xml:space="preserve"> 29 July 2019</w:t>
      </w:r>
      <w:r w:rsidR="00D30615">
        <w:t>)</w:t>
      </w:r>
      <w:r w:rsidRPr="00200234">
        <w:t xml:space="preserve"> </w:t>
      </w:r>
      <w:r w:rsidR="00346BD1" w:rsidRPr="00200234">
        <w:t xml:space="preserve">and </w:t>
      </w:r>
      <w:r w:rsidRPr="00200234">
        <w:t xml:space="preserve">manual data from </w:t>
      </w:r>
      <w:proofErr w:type="spellStart"/>
      <w:r w:rsidRPr="00200234">
        <w:t>Waitematā</w:t>
      </w:r>
      <w:proofErr w:type="spellEnd"/>
      <w:r w:rsidRPr="00200234">
        <w:t xml:space="preserve"> DHB.</w:t>
      </w:r>
    </w:p>
    <w:p w14:paraId="236E3DF7" w14:textId="77777777" w:rsidR="008361C5" w:rsidRPr="00ED4FA1" w:rsidRDefault="008361C5" w:rsidP="008361C5">
      <w:pPr>
        <w:pStyle w:val="Bullet"/>
        <w:numPr>
          <w:ilvl w:val="0"/>
          <w:numId w:val="0"/>
        </w:numPr>
        <w:rPr>
          <w:rFonts w:cs="Segoe UI"/>
          <w:szCs w:val="21"/>
        </w:rPr>
      </w:pPr>
    </w:p>
    <w:p w14:paraId="6A683F99" w14:textId="39AD60A6" w:rsidR="008361C5" w:rsidRDefault="008361C5" w:rsidP="008A35A7">
      <w:pPr>
        <w:pStyle w:val="Figure"/>
      </w:pPr>
      <w:bookmarkStart w:id="131" w:name="_Ref65672193"/>
      <w:bookmarkStart w:id="132" w:name="_Toc63764760"/>
      <w:bookmarkStart w:id="133" w:name="_Toc66716207"/>
      <w:r w:rsidRPr="00200234">
        <w:t xml:space="preserve">Figure </w:t>
      </w:r>
      <w:fldSimple w:instr=" SEQ Figure \* ARABIC ">
        <w:r w:rsidR="00422361">
          <w:rPr>
            <w:noProof/>
          </w:rPr>
          <w:t>25</w:t>
        </w:r>
      </w:fldSimple>
      <w:bookmarkEnd w:id="131"/>
      <w:r w:rsidRPr="00200234">
        <w:t xml:space="preserve">: Rate ratio of Māori </w:t>
      </w:r>
      <w:r w:rsidR="006F74B8">
        <w:t>to</w:t>
      </w:r>
      <w:r w:rsidR="006F74B8" w:rsidRPr="00200234">
        <w:t xml:space="preserve"> </w:t>
      </w:r>
      <w:r w:rsidRPr="00200234">
        <w:t>non-Māori subject to indefinite inpatient treatment orders per 100,000 population, by DHB, 1 January to 31 December 2019</w:t>
      </w:r>
      <w:bookmarkEnd w:id="132"/>
      <w:bookmarkEnd w:id="133"/>
    </w:p>
    <w:p w14:paraId="14CFC3A3" w14:textId="7EC8F465" w:rsidR="008A35A7" w:rsidRPr="00200234" w:rsidRDefault="008A35A7" w:rsidP="008361C5">
      <w:pPr>
        <w:rPr>
          <w:rFonts w:eastAsia="Calibri" w:cs="Segoe UI"/>
          <w:b/>
          <w:sz w:val="20"/>
        </w:rPr>
      </w:pPr>
      <w:r>
        <w:rPr>
          <w:noProof/>
        </w:rPr>
        <w:drawing>
          <wp:inline distT="0" distB="0" distL="0" distR="0" wp14:anchorId="7E54D2E1" wp14:editId="5DD86454">
            <wp:extent cx="5130165" cy="2819400"/>
            <wp:effectExtent l="0" t="0" r="0" b="0"/>
            <wp:docPr id="40" name="Chart 40" descr="This graph shows that the ratio of Māori to non-Māori under indefinite inpatient treatment orders in 2019 was highest in Capital &amp; Coast and Waikato DHBs at just under 6 to 1. The New Zealand average was just under 3 to 1. The lowest ratio was in Canterbury, at just over 1 to 1, but Hutt Valley and Whanganui both had lower than average ratios.">
              <a:extLst xmlns:a="http://schemas.openxmlformats.org/drawingml/2006/main">
                <a:ext uri="{FF2B5EF4-FFF2-40B4-BE49-F238E27FC236}">
                  <a16:creationId xmlns:a16="http://schemas.microsoft.com/office/drawing/2014/main" id="{021DE563-2B05-49B3-B19E-97551BF73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C5CCE63" w14:textId="338FABAD" w:rsidR="008361C5" w:rsidRPr="00200234" w:rsidRDefault="008361C5" w:rsidP="008361C5">
      <w:pPr>
        <w:pStyle w:val="Note"/>
      </w:pPr>
      <w:r w:rsidRPr="00200234">
        <w:t xml:space="preserve">Note: Lakes, </w:t>
      </w:r>
      <w:proofErr w:type="spellStart"/>
      <w:r w:rsidRPr="00200234">
        <w:t>Tairāwhiti</w:t>
      </w:r>
      <w:proofErr w:type="spellEnd"/>
      <w:r w:rsidRPr="00200234">
        <w:t xml:space="preserve"> and Wairarapa DHBs have no indefinite inpatient treatment orders. In Hawke’s Bay, Nelson Marlborough, Northland, South Canterbury, Southern and West Coast DHBs</w:t>
      </w:r>
      <w:r w:rsidR="00781EBE">
        <w:t>,</w:t>
      </w:r>
      <w:r w:rsidRPr="00200234">
        <w:t xml:space="preserve"> the rate ratio is zero. These DHBs have been excluded from this graph. </w:t>
      </w:r>
    </w:p>
    <w:p w14:paraId="4F6684D4" w14:textId="6E0AAEEC" w:rsidR="008361C5" w:rsidRPr="00200234" w:rsidRDefault="008361C5" w:rsidP="008361C5">
      <w:pPr>
        <w:pStyle w:val="Note"/>
      </w:pPr>
      <w:r w:rsidRPr="00200234">
        <w:t>Source: PRIMHD data</w:t>
      </w:r>
      <w:r w:rsidR="0015429E">
        <w:t xml:space="preserve"> (extracted</w:t>
      </w:r>
      <w:r w:rsidRPr="00200234">
        <w:t xml:space="preserve"> 19 October 2020</w:t>
      </w:r>
      <w:r w:rsidR="00D30615">
        <w:t>)</w:t>
      </w:r>
      <w:r w:rsidRPr="00200234">
        <w:t>.</w:t>
      </w:r>
    </w:p>
    <w:p w14:paraId="1F3B510A" w14:textId="77777777" w:rsidR="008361C5" w:rsidRPr="00200234" w:rsidRDefault="008361C5" w:rsidP="00DC3196">
      <w:pPr>
        <w:pStyle w:val="Heading2"/>
      </w:pPr>
      <w:bookmarkStart w:id="134" w:name="_Toc65141621"/>
      <w:bookmarkStart w:id="135" w:name="_Toc69307702"/>
      <w:r w:rsidRPr="00200234">
        <w:lastRenderedPageBreak/>
        <w:t>Family and whānau consultation under the Mental Health Act</w:t>
      </w:r>
      <w:bookmarkEnd w:id="134"/>
      <w:bookmarkEnd w:id="135"/>
    </w:p>
    <w:p w14:paraId="41A0B5FD" w14:textId="77777777" w:rsidR="008361C5" w:rsidRPr="00200234" w:rsidRDefault="008361C5" w:rsidP="008361C5">
      <w:r w:rsidRPr="00200234">
        <w:t>Section 7A of the Mental Health Act requires clinicians to consult family and whānau unless it is deemed not reasonably practicable or not in the interests of the person being assessed or receiving the treatment.</w:t>
      </w:r>
    </w:p>
    <w:p w14:paraId="15CB6730" w14:textId="77777777" w:rsidR="00F948A7" w:rsidRPr="00200234" w:rsidRDefault="00F948A7" w:rsidP="008361C5"/>
    <w:p w14:paraId="4D727E14" w14:textId="22684929" w:rsidR="008361C5" w:rsidRPr="00200234" w:rsidRDefault="008361C5" w:rsidP="008361C5">
      <w:r w:rsidRPr="00200234">
        <w:t>In summary, in 2018:</w:t>
      </w:r>
    </w:p>
    <w:p w14:paraId="3C5BB6EF" w14:textId="77777777" w:rsidR="008361C5" w:rsidRPr="00ED4FA1" w:rsidRDefault="008361C5" w:rsidP="008361C5">
      <w:pPr>
        <w:pStyle w:val="Bullet"/>
        <w:tabs>
          <w:tab w:val="num" w:pos="284"/>
        </w:tabs>
        <w:rPr>
          <w:szCs w:val="21"/>
        </w:rPr>
      </w:pPr>
      <w:r w:rsidRPr="00ED4FA1">
        <w:rPr>
          <w:szCs w:val="21"/>
        </w:rPr>
        <w:t>on average nationally, 62 percent of families and whānau were consulted about Mental Health Act assessment/treatment events</w:t>
      </w:r>
    </w:p>
    <w:p w14:paraId="2585B75B" w14:textId="77777777" w:rsidR="008361C5" w:rsidRPr="00ED4FA1" w:rsidRDefault="008361C5" w:rsidP="008361C5">
      <w:pPr>
        <w:pStyle w:val="Bullet"/>
        <w:tabs>
          <w:tab w:val="num" w:pos="284"/>
        </w:tabs>
        <w:rPr>
          <w:szCs w:val="21"/>
        </w:rPr>
      </w:pPr>
      <w:r w:rsidRPr="00ED4FA1">
        <w:rPr>
          <w:szCs w:val="21"/>
        </w:rPr>
        <w:t>of all the steps in the Mental Health Act treatment process, family and whānau were most likely to be consulted at a person’s certificate for further assessment (section 12)</w:t>
      </w:r>
    </w:p>
    <w:p w14:paraId="15D7F14F" w14:textId="77777777" w:rsidR="008361C5" w:rsidRPr="00ED4FA1" w:rsidRDefault="008361C5" w:rsidP="008361C5">
      <w:pPr>
        <w:pStyle w:val="Bullet"/>
        <w:tabs>
          <w:tab w:val="num" w:pos="284"/>
        </w:tabs>
        <w:rPr>
          <w:szCs w:val="21"/>
        </w:rPr>
      </w:pPr>
      <w:r w:rsidRPr="00ED4FA1">
        <w:rPr>
          <w:szCs w:val="21"/>
        </w:rPr>
        <w:t>DHBs varied in their consultation with families and whānau</w:t>
      </w:r>
    </w:p>
    <w:p w14:paraId="18510F9C" w14:textId="77777777" w:rsidR="008361C5" w:rsidRPr="00ED4FA1" w:rsidRDefault="008361C5" w:rsidP="008361C5">
      <w:pPr>
        <w:pStyle w:val="Bullet"/>
        <w:tabs>
          <w:tab w:val="num" w:pos="284"/>
        </w:tabs>
        <w:rPr>
          <w:szCs w:val="21"/>
        </w:rPr>
      </w:pPr>
      <w:r w:rsidRPr="00ED4FA1">
        <w:rPr>
          <w:szCs w:val="21"/>
        </w:rPr>
        <w:t xml:space="preserve">the most common reason why families and whānau were not consulted was that service providers considered consultation was not reasonably practicable in the </w:t>
      </w:r>
      <w:proofErr w:type="gramStart"/>
      <w:r w:rsidRPr="00ED4FA1">
        <w:rPr>
          <w:szCs w:val="21"/>
        </w:rPr>
        <w:t>particular circumstance</w:t>
      </w:r>
      <w:proofErr w:type="gramEnd"/>
      <w:r w:rsidRPr="00ED4FA1">
        <w:rPr>
          <w:szCs w:val="21"/>
        </w:rPr>
        <w:t>.</w:t>
      </w:r>
    </w:p>
    <w:p w14:paraId="78D09814" w14:textId="77777777" w:rsidR="008361C5" w:rsidRPr="00200234" w:rsidRDefault="008361C5" w:rsidP="00C07AE4"/>
    <w:p w14:paraId="7567313F" w14:textId="2AE59390" w:rsidR="008361C5" w:rsidRPr="00200234" w:rsidRDefault="00ED4FA1" w:rsidP="00C07AE4">
      <w:pPr>
        <w:keepNext/>
      </w:pPr>
      <w:r>
        <w:t>I</w:t>
      </w:r>
      <w:r w:rsidR="008361C5" w:rsidRPr="00200234">
        <w:t>n 2019:</w:t>
      </w:r>
    </w:p>
    <w:p w14:paraId="12D93301" w14:textId="77777777" w:rsidR="008361C5" w:rsidRPr="00ED4FA1" w:rsidRDefault="008361C5" w:rsidP="00C07AE4">
      <w:pPr>
        <w:pStyle w:val="Bullet"/>
        <w:rPr>
          <w:szCs w:val="21"/>
        </w:rPr>
      </w:pPr>
      <w:r w:rsidRPr="00ED4FA1">
        <w:rPr>
          <w:szCs w:val="21"/>
        </w:rPr>
        <w:t>on average nationally, 64 percent of families and whānau were consulted about Mental Health Act assessment/treatment events</w:t>
      </w:r>
    </w:p>
    <w:p w14:paraId="31865D3E" w14:textId="77777777" w:rsidR="008361C5" w:rsidRPr="00ED4FA1" w:rsidRDefault="008361C5" w:rsidP="00C07AE4">
      <w:pPr>
        <w:pStyle w:val="Bullet"/>
        <w:rPr>
          <w:szCs w:val="21"/>
        </w:rPr>
      </w:pPr>
      <w:r w:rsidRPr="00ED4FA1">
        <w:rPr>
          <w:szCs w:val="21"/>
        </w:rPr>
        <w:t>of all the steps in the Mental Health Act treatment process, family and whānau were most likely to be consulted at a person’s certificate of final assessment (section 14)</w:t>
      </w:r>
    </w:p>
    <w:p w14:paraId="0AB3EFFD" w14:textId="77777777" w:rsidR="008361C5" w:rsidRPr="00ED4FA1" w:rsidRDefault="008361C5" w:rsidP="00C07AE4">
      <w:pPr>
        <w:pStyle w:val="Bullet"/>
        <w:rPr>
          <w:szCs w:val="21"/>
        </w:rPr>
      </w:pPr>
      <w:r w:rsidRPr="00ED4FA1">
        <w:rPr>
          <w:szCs w:val="21"/>
        </w:rPr>
        <w:t>DHBs varied in their consultation with families and whānau</w:t>
      </w:r>
    </w:p>
    <w:p w14:paraId="340A75EF" w14:textId="77777777" w:rsidR="008361C5" w:rsidRPr="00ED4FA1" w:rsidRDefault="008361C5" w:rsidP="00C07AE4">
      <w:pPr>
        <w:pStyle w:val="Bullet"/>
        <w:rPr>
          <w:szCs w:val="21"/>
        </w:rPr>
      </w:pPr>
      <w:r w:rsidRPr="00ED4FA1">
        <w:rPr>
          <w:szCs w:val="21"/>
        </w:rPr>
        <w:t xml:space="preserve">the most common reason why families and whānau were not consulted was that service providers considered consultation was not reasonably practicable in the </w:t>
      </w:r>
      <w:proofErr w:type="gramStart"/>
      <w:r w:rsidRPr="00ED4FA1">
        <w:rPr>
          <w:szCs w:val="21"/>
        </w:rPr>
        <w:t>particular circumstance</w:t>
      </w:r>
      <w:proofErr w:type="gramEnd"/>
      <w:r w:rsidRPr="00ED4FA1">
        <w:rPr>
          <w:szCs w:val="21"/>
        </w:rPr>
        <w:t>.</w:t>
      </w:r>
    </w:p>
    <w:p w14:paraId="105B0E12" w14:textId="77777777" w:rsidR="008361C5" w:rsidRPr="00200234" w:rsidRDefault="008361C5" w:rsidP="00C07AE4"/>
    <w:p w14:paraId="10377D84" w14:textId="3367B721" w:rsidR="008361C5" w:rsidRPr="00200234" w:rsidRDefault="001B42F3" w:rsidP="00C07AE4">
      <w:r w:rsidRPr="00200234">
        <w:fldChar w:fldCharType="begin"/>
      </w:r>
      <w:r w:rsidRPr="00200234">
        <w:instrText xml:space="preserve"> REF _Ref65672317 \h </w:instrText>
      </w:r>
      <w:r w:rsidRPr="00200234">
        <w:fldChar w:fldCharType="separate"/>
      </w:r>
      <w:r w:rsidR="00422361" w:rsidRPr="00200234">
        <w:t xml:space="preserve">Figure </w:t>
      </w:r>
      <w:r w:rsidR="00422361">
        <w:rPr>
          <w:noProof/>
        </w:rPr>
        <w:t>26</w:t>
      </w:r>
      <w:r w:rsidRPr="00200234">
        <w:fldChar w:fldCharType="end"/>
      </w:r>
      <w:r w:rsidR="008361C5" w:rsidRPr="00200234">
        <w:t xml:space="preserve"> shows the percentage of cases in which consultation with families and whānau occurred at each of these five points in the assessment and treatment process in 2018 and 2019.</w:t>
      </w:r>
    </w:p>
    <w:p w14:paraId="3BD6F48A" w14:textId="77777777" w:rsidR="008361C5" w:rsidRPr="00200234" w:rsidRDefault="008361C5" w:rsidP="00C07AE4"/>
    <w:p w14:paraId="407025D4" w14:textId="0584C64B" w:rsidR="008361C5" w:rsidRPr="00200234" w:rsidRDefault="008361C5" w:rsidP="008361C5">
      <w:pPr>
        <w:pStyle w:val="Figure"/>
      </w:pPr>
      <w:bookmarkStart w:id="136" w:name="_Ref65672317"/>
      <w:bookmarkStart w:id="137" w:name="_Toc63764761"/>
      <w:bookmarkStart w:id="138" w:name="_Toc66716208"/>
      <w:r w:rsidRPr="00200234">
        <w:lastRenderedPageBreak/>
        <w:t xml:space="preserve">Figure </w:t>
      </w:r>
      <w:fldSimple w:instr=" SEQ Figure \* ARABIC ">
        <w:r w:rsidR="00422361">
          <w:rPr>
            <w:noProof/>
          </w:rPr>
          <w:t>26</w:t>
        </w:r>
      </w:fldSimple>
      <w:bookmarkEnd w:id="136"/>
      <w:r w:rsidRPr="00200234">
        <w:t xml:space="preserve">: Average national percentage of family/whānau consultation for </w:t>
      </w:r>
      <w:proofErr w:type="gramStart"/>
      <w:r w:rsidRPr="00200234">
        <w:t>particular assessment/treatment</w:t>
      </w:r>
      <w:proofErr w:type="gramEnd"/>
      <w:r w:rsidRPr="00200234">
        <w:t xml:space="preserve"> events, 1 January to 31 December 2018 and 1 January to 31</w:t>
      </w:r>
      <w:r w:rsidR="00781EBE">
        <w:t> </w:t>
      </w:r>
      <w:r w:rsidRPr="00200234">
        <w:t>December 2019</w:t>
      </w:r>
      <w:bookmarkEnd w:id="137"/>
      <w:bookmarkEnd w:id="138"/>
    </w:p>
    <w:p w14:paraId="29680BBC" w14:textId="77777777" w:rsidR="008361C5" w:rsidRPr="00200234" w:rsidRDefault="008361C5" w:rsidP="008361C5">
      <w:pPr>
        <w:rPr>
          <w:rFonts w:eastAsia="Calibri" w:cs="Segoe UI"/>
        </w:rPr>
      </w:pPr>
      <w:r w:rsidRPr="00200234">
        <w:rPr>
          <w:rFonts w:cs="Segoe UI"/>
          <w:noProof/>
        </w:rPr>
        <w:drawing>
          <wp:inline distT="0" distB="0" distL="0" distR="0" wp14:anchorId="602FE999" wp14:editId="1FF93499">
            <wp:extent cx="5039995" cy="3162300"/>
            <wp:effectExtent l="0" t="0" r="8255" b="0"/>
            <wp:docPr id="27" name="Chart 27" descr="This bar graph shows that family/whanau were consulted in 67% of section 10 cases in both 2018 and 2019. For section 12 cases, family were consulted in 69% of cases in 2018 and 66% of cases in 2019. For section 14, they were consulted in 68% of cases in 2018 and 70% of cases in 2019. For section 76, they were consulted in 54% of cases in 2018 and 56% of cases in 2019. For releases, they were consulted in 63% of cases in 2018 and 70% of cases in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796FD59" w14:textId="53BA6317" w:rsidR="008361C5" w:rsidRPr="00200234" w:rsidRDefault="008361C5" w:rsidP="008361C5">
      <w:pPr>
        <w:pStyle w:val="Note"/>
      </w:pPr>
      <w:r w:rsidRPr="00200234">
        <w:t xml:space="preserve">Note: Nelson Marlborough DHB submitted no data in 2018 and 2019, and Hawke’s Bay, Northland, </w:t>
      </w:r>
      <w:proofErr w:type="spellStart"/>
      <w:r w:rsidRPr="00200234">
        <w:t>Tairāwhiti</w:t>
      </w:r>
      <w:proofErr w:type="spellEnd"/>
      <w:r w:rsidRPr="00200234">
        <w:t xml:space="preserve"> and </w:t>
      </w:r>
      <w:proofErr w:type="spellStart"/>
      <w:r w:rsidRPr="00200234">
        <w:t>Waitematā</w:t>
      </w:r>
      <w:proofErr w:type="spellEnd"/>
      <w:r w:rsidRPr="00200234">
        <w:t xml:space="preserve"> DHBs’ data </w:t>
      </w:r>
      <w:r w:rsidR="00F948A7" w:rsidRPr="00200234">
        <w:t xml:space="preserve">is </w:t>
      </w:r>
      <w:r w:rsidRPr="00200234">
        <w:t xml:space="preserve">incomplete, therefore, this graph is not comparable to equivalent published in previous reports. </w:t>
      </w:r>
    </w:p>
    <w:p w14:paraId="1681EED7" w14:textId="77777777" w:rsidR="008361C5" w:rsidRPr="00200234" w:rsidRDefault="008361C5" w:rsidP="008361C5">
      <w:pPr>
        <w:pStyle w:val="Note"/>
      </w:pPr>
      <w:r w:rsidRPr="00200234">
        <w:t xml:space="preserve">Source: Office of the Director of Mental Health and Addiction Services records. </w:t>
      </w:r>
    </w:p>
    <w:p w14:paraId="11B467BA" w14:textId="77777777" w:rsidR="008361C5" w:rsidRPr="00200234" w:rsidRDefault="008361C5" w:rsidP="00C07AE4"/>
    <w:p w14:paraId="50FC1832" w14:textId="40525AE9" w:rsidR="008361C5" w:rsidRPr="00200234" w:rsidRDefault="008361C5" w:rsidP="00C07AE4">
      <w:r w:rsidRPr="00200234">
        <w:t>On average nationally during 2018, 62 percent of cases included consultation with family and whānau across all assessment and treatment events. Among DHBs, Wairarapa DHB had the highest rate of consultation at 74 percent</w:t>
      </w:r>
      <w:r w:rsidR="00781EBE">
        <w:t>,</w:t>
      </w:r>
      <w:r w:rsidRPr="00200234">
        <w:t xml:space="preserve"> and Counties Manukau DHB had the lowest at 50 percent (see </w:t>
      </w:r>
      <w:r w:rsidR="001B42F3" w:rsidRPr="00200234">
        <w:fldChar w:fldCharType="begin"/>
      </w:r>
      <w:r w:rsidR="001B42F3" w:rsidRPr="00200234">
        <w:instrText xml:space="preserve"> REF _Ref65672324 \h </w:instrText>
      </w:r>
      <w:r w:rsidR="001B42F3" w:rsidRPr="00200234">
        <w:fldChar w:fldCharType="separate"/>
      </w:r>
      <w:r w:rsidR="00422361" w:rsidRPr="00200234">
        <w:t xml:space="preserve">Figure </w:t>
      </w:r>
      <w:r w:rsidR="00422361">
        <w:rPr>
          <w:noProof/>
        </w:rPr>
        <w:t>27</w:t>
      </w:r>
      <w:r w:rsidR="001B42F3" w:rsidRPr="00200234">
        <w:fldChar w:fldCharType="end"/>
      </w:r>
      <w:r w:rsidRPr="00200234">
        <w:t>).</w:t>
      </w:r>
    </w:p>
    <w:p w14:paraId="723916E5" w14:textId="77777777" w:rsidR="008361C5" w:rsidRPr="00200234" w:rsidRDefault="008361C5" w:rsidP="00C07AE4"/>
    <w:p w14:paraId="75CE70B7" w14:textId="3E90E814" w:rsidR="006E0683" w:rsidRDefault="008361C5" w:rsidP="00F226E8">
      <w:pPr>
        <w:pStyle w:val="Figure"/>
        <w:rPr>
          <w:rStyle w:val="NoteChar"/>
          <w:rFonts w:eastAsiaTheme="minorHAnsi"/>
        </w:rPr>
      </w:pPr>
      <w:bookmarkStart w:id="139" w:name="_Ref65672324"/>
      <w:bookmarkStart w:id="140" w:name="_Toc63764762"/>
      <w:bookmarkStart w:id="141" w:name="_Toc66716209"/>
      <w:r w:rsidRPr="00200234">
        <w:lastRenderedPageBreak/>
        <w:t xml:space="preserve">Figure </w:t>
      </w:r>
      <w:fldSimple w:instr=" SEQ Figure \* ARABIC ">
        <w:r w:rsidR="00422361">
          <w:rPr>
            <w:noProof/>
          </w:rPr>
          <w:t>27</w:t>
        </w:r>
      </w:fldSimple>
      <w:bookmarkEnd w:id="139"/>
      <w:r w:rsidRPr="00200234">
        <w:t>: Average percentage of family/whānau consultation across all assessment/treatment events, by DHB, 1 January to 31 December 2018</w:t>
      </w:r>
      <w:bookmarkEnd w:id="140"/>
      <w:bookmarkEnd w:id="141"/>
    </w:p>
    <w:p w14:paraId="08A70CA1" w14:textId="511FB34A" w:rsidR="006E0683" w:rsidRPr="00F226E8" w:rsidRDefault="006E0683" w:rsidP="00F226E8">
      <w:pPr>
        <w:rPr>
          <w:rFonts w:eastAsiaTheme="minorHAnsi"/>
        </w:rPr>
      </w:pPr>
      <w:r>
        <w:rPr>
          <w:noProof/>
        </w:rPr>
        <w:drawing>
          <wp:inline distT="0" distB="0" distL="0" distR="0" wp14:anchorId="482E091B" wp14:editId="08A276FB">
            <wp:extent cx="5057775" cy="3867150"/>
            <wp:effectExtent l="0" t="0" r="0" b="0"/>
            <wp:docPr id="45" name="Chart 45" descr="This graph shows that the average family consultation rate across New Zealand was just over 60%. Wairarapa, Taranaki, Whanganui and Canterbury DHBs consulted families at least 5% more frequently than the average. Auckland, Bay of Plenty, Capital and Coast, Hutt Valley, Hawke's Bay, Lakes, Souther Canterbury, Southern, Tairawhiti, Waikato, Waitemata and West Coast consulted about the average amount. Counties Manukau, MidCentral and Northland consulted families more than 5% less than the average.">
              <a:extLst xmlns:a="http://schemas.openxmlformats.org/drawingml/2006/main">
                <a:ext uri="{FF2B5EF4-FFF2-40B4-BE49-F238E27FC236}">
                  <a16:creationId xmlns:a16="http://schemas.microsoft.com/office/drawing/2014/main" id="{C0AAA0E6-2F17-4693-8AFA-18BF757D24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C7FE8C0" w14:textId="52969491" w:rsidR="008361C5" w:rsidRPr="00200234" w:rsidRDefault="008361C5" w:rsidP="00C07AE4">
      <w:pPr>
        <w:pStyle w:val="Note"/>
        <w:keepNext/>
        <w:rPr>
          <w:rStyle w:val="NoteChar"/>
          <w:rFonts w:eastAsiaTheme="minorHAnsi"/>
        </w:rPr>
      </w:pPr>
      <w:r w:rsidRPr="00200234">
        <w:rPr>
          <w:rStyle w:val="NoteChar"/>
          <w:rFonts w:eastAsiaTheme="minorHAnsi"/>
        </w:rPr>
        <w:t xml:space="preserve">Note: Nelson Marlborough DHB submitted no data in 2018, and data for Hawke’s Bay, Northland and </w:t>
      </w:r>
      <w:proofErr w:type="spellStart"/>
      <w:r w:rsidRPr="00200234">
        <w:rPr>
          <w:rStyle w:val="NoteChar"/>
          <w:rFonts w:eastAsiaTheme="minorHAnsi"/>
        </w:rPr>
        <w:t>Waitematā</w:t>
      </w:r>
      <w:proofErr w:type="spellEnd"/>
      <w:r w:rsidRPr="00200234">
        <w:rPr>
          <w:rStyle w:val="NoteChar"/>
          <w:rFonts w:eastAsiaTheme="minorHAnsi"/>
        </w:rPr>
        <w:t xml:space="preserve"> DHBs </w:t>
      </w:r>
      <w:r w:rsidR="000B26BA" w:rsidRPr="00200234">
        <w:rPr>
          <w:rStyle w:val="NoteChar"/>
          <w:rFonts w:eastAsiaTheme="minorHAnsi"/>
        </w:rPr>
        <w:t xml:space="preserve">is </w:t>
      </w:r>
      <w:r w:rsidRPr="00200234">
        <w:rPr>
          <w:rStyle w:val="NoteChar"/>
          <w:rFonts w:eastAsiaTheme="minorHAnsi"/>
        </w:rPr>
        <w:t xml:space="preserve">incomplete, so this graph is not comparable to equivalent published in previous reports. </w:t>
      </w:r>
    </w:p>
    <w:p w14:paraId="1210E605" w14:textId="77777777" w:rsidR="008361C5" w:rsidRPr="00200234" w:rsidRDefault="008361C5" w:rsidP="008361C5">
      <w:pPr>
        <w:pStyle w:val="Note"/>
      </w:pPr>
      <w:r w:rsidRPr="00200234">
        <w:rPr>
          <w:rStyle w:val="NoteChar"/>
          <w:rFonts w:eastAsiaTheme="minorHAnsi"/>
        </w:rPr>
        <w:t>Source: Office of the Director of Mental Health and Addiction Services records.</w:t>
      </w:r>
      <w:r w:rsidRPr="00200234">
        <w:t xml:space="preserve"> </w:t>
      </w:r>
    </w:p>
    <w:p w14:paraId="2D55003F" w14:textId="77777777" w:rsidR="008361C5" w:rsidRPr="00200234" w:rsidRDefault="008361C5" w:rsidP="00C07AE4"/>
    <w:p w14:paraId="30F72DBB" w14:textId="721A9B77" w:rsidR="008361C5" w:rsidRPr="00200234" w:rsidRDefault="008361C5" w:rsidP="00C07AE4">
      <w:r w:rsidRPr="00200234">
        <w:t>On average nationally during 2019, 64 percent of cases included consultation with family and whānau across all assessment and treatment events. Among DHBs, South Canterbury DHB had the highest rate of consultation at 85 percent</w:t>
      </w:r>
      <w:r w:rsidR="00781EBE">
        <w:t>,</w:t>
      </w:r>
      <w:r w:rsidRPr="00200234">
        <w:t xml:space="preserve"> and Northland DHB had the lowest at 50 percent (see </w:t>
      </w:r>
      <w:r w:rsidR="001B42F3" w:rsidRPr="00200234">
        <w:fldChar w:fldCharType="begin"/>
      </w:r>
      <w:r w:rsidR="001B42F3" w:rsidRPr="00200234">
        <w:instrText xml:space="preserve"> REF _Ref65672332 \h </w:instrText>
      </w:r>
      <w:r w:rsidR="001B42F3" w:rsidRPr="00200234">
        <w:fldChar w:fldCharType="separate"/>
      </w:r>
      <w:r w:rsidR="00422361" w:rsidRPr="00200234">
        <w:t xml:space="preserve">Figure </w:t>
      </w:r>
      <w:r w:rsidR="00422361">
        <w:rPr>
          <w:noProof/>
        </w:rPr>
        <w:t>28</w:t>
      </w:r>
      <w:r w:rsidR="001B42F3" w:rsidRPr="00200234">
        <w:fldChar w:fldCharType="end"/>
      </w:r>
      <w:r w:rsidRPr="00200234">
        <w:t>).</w:t>
      </w:r>
    </w:p>
    <w:p w14:paraId="15A2254B" w14:textId="77777777" w:rsidR="008361C5" w:rsidRPr="00200234" w:rsidRDefault="008361C5" w:rsidP="008361C5"/>
    <w:p w14:paraId="5053C2C3" w14:textId="303B369F" w:rsidR="008361C5" w:rsidRDefault="008361C5" w:rsidP="006E0683">
      <w:pPr>
        <w:pStyle w:val="Figure"/>
      </w:pPr>
      <w:bookmarkStart w:id="142" w:name="_Ref65672332"/>
      <w:bookmarkStart w:id="143" w:name="_Toc63764763"/>
      <w:bookmarkStart w:id="144" w:name="_Toc66716210"/>
      <w:r w:rsidRPr="00200234">
        <w:lastRenderedPageBreak/>
        <w:t xml:space="preserve">Figure </w:t>
      </w:r>
      <w:fldSimple w:instr=" SEQ Figure \* ARABIC ">
        <w:r w:rsidR="00422361">
          <w:rPr>
            <w:noProof/>
          </w:rPr>
          <w:t>28</w:t>
        </w:r>
      </w:fldSimple>
      <w:bookmarkEnd w:id="142"/>
      <w:r w:rsidRPr="00200234">
        <w:t>: Average percentage of family/whānau consultation across all assessment/treatment events, by DHB, 1 January to 31 December 2019</w:t>
      </w:r>
      <w:bookmarkEnd w:id="143"/>
      <w:bookmarkEnd w:id="144"/>
    </w:p>
    <w:p w14:paraId="1E7DFC4A" w14:textId="04CAD617" w:rsidR="00E13CA6" w:rsidRPr="00200234" w:rsidRDefault="00E13CA6" w:rsidP="008361C5">
      <w:r>
        <w:rPr>
          <w:noProof/>
        </w:rPr>
        <w:drawing>
          <wp:inline distT="0" distB="0" distL="0" distR="0" wp14:anchorId="7483F68F" wp14:editId="6AFE7807">
            <wp:extent cx="4981575" cy="3724275"/>
            <wp:effectExtent l="0" t="0" r="0" b="0"/>
            <wp:docPr id="43" name="Chart 43" descr="This bar graph shows that the family consultation rate across New Zealand was about 66% in 2019. Auckland, Hawke's Bay, Taranaki and South Canterbury had consultation rates at least 5% higher than average. Bay of Plenty, Canterbury, Capital and Coast, Hutt Valley, Lakes, Southern, Wairarapa and Waitemata had rates within 5% of the average. Counties Manukau, MidCentral, Northland, Waikato, West Coast and Whanganui had rates at least 5% lower than the average.">
              <a:extLst xmlns:a="http://schemas.openxmlformats.org/drawingml/2006/main">
                <a:ext uri="{FF2B5EF4-FFF2-40B4-BE49-F238E27FC236}">
                  <a16:creationId xmlns:a16="http://schemas.microsoft.com/office/drawing/2014/main" id="{A2149B9E-5973-4979-B831-8C065BD9E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86392C0" w14:textId="0CD5872B" w:rsidR="008361C5" w:rsidRPr="00200234" w:rsidRDefault="008361C5" w:rsidP="008361C5">
      <w:pPr>
        <w:pStyle w:val="Note"/>
        <w:rPr>
          <w:rStyle w:val="NoteChar"/>
          <w:rFonts w:eastAsiaTheme="minorHAnsi"/>
        </w:rPr>
      </w:pPr>
      <w:r w:rsidRPr="00200234">
        <w:rPr>
          <w:rStyle w:val="NoteChar"/>
          <w:rFonts w:eastAsiaTheme="minorHAnsi"/>
        </w:rPr>
        <w:t>Note: Nelson Marlborough DHB submitted no data in 2019</w:t>
      </w:r>
      <w:r w:rsidR="007C0041" w:rsidRPr="00200234">
        <w:rPr>
          <w:rStyle w:val="NoteChar"/>
          <w:rFonts w:eastAsiaTheme="minorHAnsi"/>
        </w:rPr>
        <w:t>,</w:t>
      </w:r>
      <w:r w:rsidRPr="00200234">
        <w:rPr>
          <w:rStyle w:val="NoteChar"/>
          <w:rFonts w:eastAsiaTheme="minorHAnsi"/>
        </w:rPr>
        <w:t xml:space="preserve"> and data for </w:t>
      </w:r>
      <w:proofErr w:type="spellStart"/>
      <w:r w:rsidRPr="00200234">
        <w:rPr>
          <w:rStyle w:val="NoteChar"/>
          <w:rFonts w:eastAsiaTheme="minorHAnsi"/>
        </w:rPr>
        <w:t>Tairāwhiti</w:t>
      </w:r>
      <w:proofErr w:type="spellEnd"/>
      <w:r w:rsidRPr="00200234">
        <w:rPr>
          <w:rStyle w:val="NoteChar"/>
          <w:rFonts w:eastAsiaTheme="minorHAnsi"/>
        </w:rPr>
        <w:t xml:space="preserve"> DHB was incomplete</w:t>
      </w:r>
      <w:r w:rsidR="007C0041" w:rsidRPr="00200234">
        <w:rPr>
          <w:rStyle w:val="NoteChar"/>
          <w:rFonts w:eastAsiaTheme="minorHAnsi"/>
        </w:rPr>
        <w:t>,</w:t>
      </w:r>
      <w:r w:rsidRPr="00200234">
        <w:rPr>
          <w:rStyle w:val="NoteChar"/>
          <w:rFonts w:eastAsiaTheme="minorHAnsi"/>
        </w:rPr>
        <w:t xml:space="preserve"> so </w:t>
      </w:r>
      <w:r w:rsidR="007C0041" w:rsidRPr="00200234">
        <w:rPr>
          <w:rStyle w:val="NoteChar"/>
          <w:rFonts w:eastAsiaTheme="minorHAnsi"/>
        </w:rPr>
        <w:t xml:space="preserve">these DHBs </w:t>
      </w:r>
      <w:r w:rsidRPr="00200234">
        <w:rPr>
          <w:rStyle w:val="NoteChar"/>
          <w:rFonts w:eastAsiaTheme="minorHAnsi"/>
        </w:rPr>
        <w:t xml:space="preserve">have not been included in this graph. As such, this graph is not comparable to equivalent </w:t>
      </w:r>
      <w:r w:rsidR="007C0041" w:rsidRPr="00200234">
        <w:rPr>
          <w:rStyle w:val="NoteChar"/>
          <w:rFonts w:eastAsiaTheme="minorHAnsi"/>
        </w:rPr>
        <w:t xml:space="preserve">graphs </w:t>
      </w:r>
      <w:r w:rsidRPr="00200234">
        <w:rPr>
          <w:rStyle w:val="NoteChar"/>
          <w:rFonts w:eastAsiaTheme="minorHAnsi"/>
        </w:rPr>
        <w:t xml:space="preserve">published in previous reports. </w:t>
      </w:r>
    </w:p>
    <w:p w14:paraId="5F019668" w14:textId="77777777" w:rsidR="008361C5" w:rsidRPr="00200234" w:rsidRDefault="008361C5" w:rsidP="008361C5">
      <w:pPr>
        <w:pStyle w:val="Note"/>
        <w:rPr>
          <w:rFonts w:eastAsia="Calibri" w:cs="Segoe UI"/>
        </w:rPr>
      </w:pPr>
      <w:r w:rsidRPr="00200234">
        <w:rPr>
          <w:rStyle w:val="NoteChar"/>
          <w:rFonts w:eastAsiaTheme="minorHAnsi"/>
        </w:rPr>
        <w:t>Source: Office of the Director of Mental Health and Addiction Services records.</w:t>
      </w:r>
      <w:r w:rsidRPr="00200234">
        <w:t xml:space="preserve"> </w:t>
      </w:r>
    </w:p>
    <w:p w14:paraId="5AF3F8A2" w14:textId="77777777" w:rsidR="008361C5" w:rsidRPr="00200234" w:rsidRDefault="008361C5" w:rsidP="00C07AE4">
      <w:pPr>
        <w:rPr>
          <w:rFonts w:eastAsia="Calibri"/>
        </w:rPr>
      </w:pPr>
    </w:p>
    <w:p w14:paraId="0CD84FA5" w14:textId="7A4EAB4C" w:rsidR="008361C5" w:rsidRPr="00200234" w:rsidRDefault="008361C5" w:rsidP="008361C5">
      <w:pPr>
        <w:pStyle w:val="Figure"/>
      </w:pPr>
      <w:bookmarkStart w:id="145" w:name="_Toc63764764"/>
      <w:bookmarkStart w:id="146" w:name="_Toc66716211"/>
      <w:r w:rsidRPr="00200234">
        <w:t xml:space="preserve">Figure </w:t>
      </w:r>
      <w:fldSimple w:instr=" SEQ Figure \* ARABIC ">
        <w:r w:rsidR="00422361">
          <w:rPr>
            <w:noProof/>
          </w:rPr>
          <w:t>29</w:t>
        </w:r>
      </w:fldSimple>
      <w:r w:rsidRPr="00200234">
        <w:t>: Reasons for not consulting families and whānau, 1 January to 31 December 2018</w:t>
      </w:r>
      <w:bookmarkEnd w:id="145"/>
      <w:bookmarkEnd w:id="146"/>
    </w:p>
    <w:p w14:paraId="61742583" w14:textId="77777777" w:rsidR="008361C5" w:rsidRPr="00200234" w:rsidRDefault="008361C5" w:rsidP="008361C5">
      <w:pPr>
        <w:rPr>
          <w:rFonts w:eastAsia="Calibri" w:cs="Segoe UI"/>
        </w:rPr>
      </w:pPr>
      <w:r w:rsidRPr="00200234">
        <w:rPr>
          <w:rFonts w:ascii="Calibri Light" w:eastAsia="Calibri" w:hAnsi="Calibri Light"/>
          <w:lang w:eastAsia="en-NZ"/>
        </w:rPr>
        <w:softHyphen/>
      </w:r>
      <w:r w:rsidRPr="00200234">
        <w:rPr>
          <w:rFonts w:ascii="Calibri Light" w:eastAsia="Calibri" w:hAnsi="Calibri Light"/>
          <w:noProof/>
          <w:lang w:eastAsia="en-NZ"/>
        </w:rPr>
        <w:drawing>
          <wp:inline distT="0" distB="0" distL="0" distR="0" wp14:anchorId="596B23FF" wp14:editId="15899DE6">
            <wp:extent cx="5040000" cy="2409825"/>
            <wp:effectExtent l="0" t="0" r="8255" b="0"/>
            <wp:docPr id="30" name="Chart 30" descr="This pie charge shows that in 2018, 79% of cases where the family was not consulted, the reason was because it was not practicable. The reason was not recorded in 11% of cases. For 8% of cases it was not in the best interest of the patient and in 2% there were other reas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FCFF1C0" w14:textId="77777777" w:rsidR="008361C5" w:rsidRPr="00200234" w:rsidRDefault="008361C5" w:rsidP="008361C5">
      <w:pPr>
        <w:pStyle w:val="Note"/>
      </w:pPr>
      <w:r w:rsidRPr="00200234">
        <w:t xml:space="preserve">Note: Nelson Marlborough DHB submitted no data in 2018, and Hawke’s Bay, Northland and </w:t>
      </w:r>
      <w:proofErr w:type="spellStart"/>
      <w:r w:rsidRPr="00200234">
        <w:t>Waitematā</w:t>
      </w:r>
      <w:proofErr w:type="spellEnd"/>
      <w:r w:rsidRPr="00200234">
        <w:t xml:space="preserve"> DHBs’ data is incomplete, so this graph is not comparable to equivalent published in previous reports. </w:t>
      </w:r>
    </w:p>
    <w:p w14:paraId="277A2074" w14:textId="77777777" w:rsidR="008361C5" w:rsidRPr="00200234" w:rsidRDefault="008361C5" w:rsidP="008361C5">
      <w:pPr>
        <w:pStyle w:val="Note"/>
      </w:pPr>
      <w:r w:rsidRPr="00200234">
        <w:t xml:space="preserve">Source: Office of the Director of Mental Health and Addiction Services records. </w:t>
      </w:r>
    </w:p>
    <w:p w14:paraId="133BC37B" w14:textId="77777777" w:rsidR="008361C5" w:rsidRPr="00200234" w:rsidRDefault="008361C5" w:rsidP="00C07AE4"/>
    <w:p w14:paraId="76C70824" w14:textId="4E1B553F" w:rsidR="008361C5" w:rsidRPr="00200234" w:rsidRDefault="008361C5" w:rsidP="008361C5">
      <w:pPr>
        <w:pStyle w:val="Figure"/>
      </w:pPr>
      <w:bookmarkStart w:id="147" w:name="_Toc63764765"/>
      <w:bookmarkStart w:id="148" w:name="_Toc66716212"/>
      <w:r w:rsidRPr="00200234">
        <w:lastRenderedPageBreak/>
        <w:t xml:space="preserve">Figure </w:t>
      </w:r>
      <w:fldSimple w:instr=" SEQ Figure \* ARABIC ">
        <w:r w:rsidR="00422361">
          <w:rPr>
            <w:noProof/>
          </w:rPr>
          <w:t>30</w:t>
        </w:r>
      </w:fldSimple>
      <w:r w:rsidRPr="00200234">
        <w:t>: Reasons for not consulting families and whānau, 1 January to 31 December 2019</w:t>
      </w:r>
      <w:bookmarkEnd w:id="147"/>
      <w:bookmarkEnd w:id="148"/>
    </w:p>
    <w:p w14:paraId="4C9051B3" w14:textId="76AF321E" w:rsidR="008361C5" w:rsidRPr="00200234" w:rsidRDefault="008361C5" w:rsidP="008361C5">
      <w:pPr>
        <w:rPr>
          <w:rFonts w:eastAsia="Calibri" w:cs="Segoe UI"/>
        </w:rPr>
      </w:pPr>
      <w:r w:rsidRPr="00200234">
        <w:rPr>
          <w:rFonts w:eastAsia="Calibri" w:cs="Segoe UI"/>
          <w:noProof/>
        </w:rPr>
        <w:drawing>
          <wp:inline distT="0" distB="0" distL="0" distR="0" wp14:anchorId="7FB03A92" wp14:editId="39CD3657">
            <wp:extent cx="5486400" cy="2447925"/>
            <wp:effectExtent l="0" t="0" r="0" b="4445"/>
            <wp:docPr id="31" name="Chart 31" descr="This pie chart shows that in 2019, in cases where families were not consulted, it was not practicable in 83% of cases, not in the best interests in 8% of cases. In 9% of cases the reason was not recorded."/>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79B2D59" w14:textId="11288D72" w:rsidR="008361C5" w:rsidRPr="00200234" w:rsidRDefault="008361C5" w:rsidP="008361C5">
      <w:pPr>
        <w:pStyle w:val="Note"/>
      </w:pPr>
      <w:r w:rsidRPr="00200234">
        <w:t xml:space="preserve">Note: Nelson Marlborough DHB submitted no data in 2019, and </w:t>
      </w:r>
      <w:proofErr w:type="spellStart"/>
      <w:r w:rsidRPr="00200234">
        <w:t>Tairāwhiti</w:t>
      </w:r>
      <w:proofErr w:type="spellEnd"/>
      <w:r w:rsidRPr="00200234">
        <w:t xml:space="preserve"> DHB’s data is incomplete, so this graph is not comparable to equivalent </w:t>
      </w:r>
      <w:r w:rsidR="00597276" w:rsidRPr="00200234">
        <w:t xml:space="preserve">graphs </w:t>
      </w:r>
      <w:r w:rsidRPr="00200234">
        <w:t xml:space="preserve">published in previous reports. In 2019, no DHBs reported under ‘No for other </w:t>
      </w:r>
      <w:proofErr w:type="gramStart"/>
      <w:r w:rsidRPr="00200234">
        <w:t>reasons’</w:t>
      </w:r>
      <w:proofErr w:type="gramEnd"/>
      <w:r w:rsidRPr="00200234">
        <w:t>.</w:t>
      </w:r>
    </w:p>
    <w:p w14:paraId="772789B1" w14:textId="77777777" w:rsidR="008361C5" w:rsidRPr="00200234" w:rsidRDefault="008361C5" w:rsidP="008361C5">
      <w:pPr>
        <w:pStyle w:val="Note"/>
      </w:pPr>
      <w:r w:rsidRPr="00200234">
        <w:t xml:space="preserve">Source: Office of the Director of Mental Health and Addiction Services records. </w:t>
      </w:r>
    </w:p>
    <w:p w14:paraId="42DA4DC0" w14:textId="77777777" w:rsidR="008361C5" w:rsidRPr="00ED4FA1" w:rsidRDefault="008361C5" w:rsidP="008361C5">
      <w:pPr>
        <w:pStyle w:val="Bullet"/>
        <w:numPr>
          <w:ilvl w:val="0"/>
          <w:numId w:val="0"/>
        </w:numPr>
        <w:ind w:left="284" w:hanging="284"/>
        <w:rPr>
          <w:rFonts w:cs="Segoe UI"/>
          <w:szCs w:val="21"/>
        </w:rPr>
      </w:pPr>
    </w:p>
    <w:p w14:paraId="4BE5A1BB" w14:textId="77777777" w:rsidR="008361C5" w:rsidRPr="00200234" w:rsidRDefault="008361C5" w:rsidP="00DC3196">
      <w:pPr>
        <w:pStyle w:val="Heading1"/>
      </w:pPr>
      <w:bookmarkStart w:id="149" w:name="_Toc65141622"/>
      <w:bookmarkStart w:id="150" w:name="_Toc69307703"/>
      <w:r w:rsidRPr="00200234">
        <w:lastRenderedPageBreak/>
        <w:t>Seclusion</w:t>
      </w:r>
      <w:bookmarkEnd w:id="149"/>
      <w:bookmarkEnd w:id="150"/>
    </w:p>
    <w:p w14:paraId="437A5AC0" w14:textId="3A229D43" w:rsidR="008361C5" w:rsidRPr="00200234" w:rsidRDefault="008361C5" w:rsidP="008935AF">
      <w:r w:rsidRPr="00200234">
        <w:t>The data captured in this section focuses on people under the Mental Health Act in adult inpatient wards who have been secluded. Standards New Zealand defines seclusion as a situation where a service user is ‘placed alone in a room or area, at any time and for any duration, from which they cannot freely exit’.</w:t>
      </w:r>
      <w:r w:rsidR="004A79D1" w:rsidRPr="00200234">
        <w:rPr>
          <w:rStyle w:val="FootnoteReference"/>
        </w:rPr>
        <w:footnoteReference w:id="13"/>
      </w:r>
    </w:p>
    <w:p w14:paraId="548BE870" w14:textId="77777777" w:rsidR="008935AF" w:rsidRPr="00200234" w:rsidRDefault="008935AF" w:rsidP="008935AF"/>
    <w:p w14:paraId="47F84D18" w14:textId="5CF7F0A0" w:rsidR="008361C5" w:rsidRPr="00200234" w:rsidRDefault="008361C5" w:rsidP="008935AF">
      <w:r w:rsidRPr="00200234">
        <w:t xml:space="preserve">In the 2018 and 2019 analysis, we have purposely left out data from two outliers, where a high proportion of recorded seclusion hours from Capital &amp; Coast and Nelson Marlborough DHBs relate to a single client respectively. For more information about this outlier data, please see </w:t>
      </w:r>
      <w:r w:rsidR="00560B0E" w:rsidRPr="00200234">
        <w:t>the Appendix</w:t>
      </w:r>
      <w:r w:rsidRPr="00200234">
        <w:t>.</w:t>
      </w:r>
    </w:p>
    <w:p w14:paraId="22E082E0" w14:textId="77777777" w:rsidR="008935AF" w:rsidRPr="00200234" w:rsidRDefault="008935AF" w:rsidP="008935AF"/>
    <w:p w14:paraId="1BB2674A" w14:textId="2ED7096F" w:rsidR="008361C5" w:rsidRPr="00200234" w:rsidRDefault="008361C5" w:rsidP="008935AF">
      <w:r w:rsidRPr="00200234">
        <w:t>In summary, in adult inpatient services in 2018</w:t>
      </w:r>
      <w:r w:rsidR="002E45A5" w:rsidRPr="00200234">
        <w:t>:</w:t>
      </w:r>
      <w:r w:rsidRPr="00200234">
        <w:rPr>
          <w:rStyle w:val="FootnoteReference"/>
          <w:rFonts w:cs="Segoe UI"/>
          <w:sz w:val="22"/>
          <w:szCs w:val="22"/>
        </w:rPr>
        <w:footnoteReference w:id="14"/>
      </w:r>
    </w:p>
    <w:p w14:paraId="263145FF" w14:textId="77777777" w:rsidR="008361C5" w:rsidRPr="00ED4FA1" w:rsidRDefault="008361C5" w:rsidP="008935AF">
      <w:pPr>
        <w:pStyle w:val="Bullet"/>
        <w:rPr>
          <w:szCs w:val="21"/>
        </w:rPr>
      </w:pPr>
      <w:r w:rsidRPr="00ED4FA1">
        <w:rPr>
          <w:szCs w:val="21"/>
        </w:rPr>
        <w:t>the total number of people who experienced seclusion while receiving mental health treatment in an adult inpatient service has decreased by 21 percent since 2009</w:t>
      </w:r>
      <w:r w:rsidRPr="00ED4FA1">
        <w:rPr>
          <w:rStyle w:val="FootnoteReference"/>
          <w:rFonts w:cs="Segoe UI"/>
          <w:szCs w:val="21"/>
        </w:rPr>
        <w:footnoteReference w:id="15"/>
      </w:r>
    </w:p>
    <w:p w14:paraId="4B56FF62" w14:textId="77777777" w:rsidR="008361C5" w:rsidRPr="00ED4FA1" w:rsidRDefault="008361C5" w:rsidP="008935AF">
      <w:pPr>
        <w:pStyle w:val="Bullet"/>
        <w:rPr>
          <w:szCs w:val="21"/>
        </w:rPr>
      </w:pPr>
      <w:r w:rsidRPr="00ED4FA1">
        <w:rPr>
          <w:szCs w:val="21"/>
        </w:rPr>
        <w:t>the total number of hours spent in seclusion has decreased by 55 percent since 2009</w:t>
      </w:r>
    </w:p>
    <w:p w14:paraId="639031D5" w14:textId="77777777" w:rsidR="008361C5" w:rsidRPr="00ED4FA1" w:rsidRDefault="008361C5" w:rsidP="008935AF">
      <w:pPr>
        <w:pStyle w:val="Bullet"/>
        <w:rPr>
          <w:szCs w:val="21"/>
        </w:rPr>
      </w:pPr>
      <w:r w:rsidRPr="00ED4FA1">
        <w:rPr>
          <w:szCs w:val="21"/>
        </w:rPr>
        <w:t>the number of adult inpatient clients secluded increased by 10 percent from 2017 to 2018, and the number of hours spent in seclusion also increased by 10 percent</w:t>
      </w:r>
    </w:p>
    <w:p w14:paraId="2DD4B36A" w14:textId="474520DE" w:rsidR="008361C5" w:rsidRPr="00ED4FA1" w:rsidRDefault="008361C5" w:rsidP="008935AF">
      <w:pPr>
        <w:pStyle w:val="Bullet"/>
        <w:rPr>
          <w:szCs w:val="21"/>
        </w:rPr>
      </w:pPr>
      <w:r w:rsidRPr="00ED4FA1">
        <w:rPr>
          <w:szCs w:val="21"/>
        </w:rPr>
        <w:t>72 percent of all seclusion events lasted for less than 24 hours</w:t>
      </w:r>
      <w:r w:rsidR="008C7D4D" w:rsidRPr="00ED4FA1">
        <w:rPr>
          <w:szCs w:val="21"/>
        </w:rPr>
        <w:t>,</w:t>
      </w:r>
      <w:r w:rsidRPr="00ED4FA1">
        <w:rPr>
          <w:szCs w:val="21"/>
        </w:rPr>
        <w:t xml:space="preserve"> and 14 percent lasted for longer than 48 hours</w:t>
      </w:r>
    </w:p>
    <w:p w14:paraId="53F3A6B9" w14:textId="0A91C2F7" w:rsidR="008361C5" w:rsidRPr="00ED4FA1" w:rsidRDefault="008361C5" w:rsidP="008935AF">
      <w:pPr>
        <w:pStyle w:val="Bullet"/>
        <w:rPr>
          <w:szCs w:val="21"/>
        </w:rPr>
      </w:pPr>
      <w:r w:rsidRPr="00ED4FA1">
        <w:rPr>
          <w:szCs w:val="21"/>
        </w:rPr>
        <w:t xml:space="preserve">males were more than twice as likely </w:t>
      </w:r>
      <w:r w:rsidR="008C7D4D" w:rsidRPr="00ED4FA1">
        <w:rPr>
          <w:szCs w:val="21"/>
        </w:rPr>
        <w:t xml:space="preserve">as </w:t>
      </w:r>
      <w:r w:rsidRPr="00ED4FA1">
        <w:rPr>
          <w:szCs w:val="21"/>
        </w:rPr>
        <w:t>females to spend time in seclusion</w:t>
      </w:r>
    </w:p>
    <w:p w14:paraId="454FF068" w14:textId="14F136D4" w:rsidR="008361C5" w:rsidRPr="00ED4FA1" w:rsidRDefault="008361C5" w:rsidP="008935AF">
      <w:pPr>
        <w:pStyle w:val="Bullet"/>
        <w:rPr>
          <w:szCs w:val="21"/>
        </w:rPr>
      </w:pPr>
      <w:r w:rsidRPr="00ED4FA1">
        <w:rPr>
          <w:szCs w:val="21"/>
        </w:rPr>
        <w:t>people aged 20</w:t>
      </w:r>
      <w:r w:rsidR="00912EAD" w:rsidRPr="00ED4FA1">
        <w:rPr>
          <w:szCs w:val="21"/>
        </w:rPr>
        <w:t>–</w:t>
      </w:r>
      <w:r w:rsidRPr="00ED4FA1">
        <w:rPr>
          <w:szCs w:val="21"/>
        </w:rPr>
        <w:t>24 years were more likely to spend time in seclusion than those in any other age group</w:t>
      </w:r>
    </w:p>
    <w:p w14:paraId="26C6A085" w14:textId="77777777" w:rsidR="008361C5" w:rsidRPr="00ED4FA1" w:rsidRDefault="008361C5" w:rsidP="008935AF">
      <w:pPr>
        <w:pStyle w:val="Bullet"/>
        <w:rPr>
          <w:szCs w:val="21"/>
        </w:rPr>
      </w:pPr>
      <w:r w:rsidRPr="00ED4FA1">
        <w:rPr>
          <w:szCs w:val="21"/>
        </w:rPr>
        <w:t>Māori were more likely than non-Māori to have been secluded, have more seclusion events (as a rate per 100,000 population) and have longer periods of seclusion on average</w:t>
      </w:r>
    </w:p>
    <w:p w14:paraId="2D08E6E2" w14:textId="77777777" w:rsidR="008361C5" w:rsidRPr="00ED4FA1" w:rsidRDefault="008361C5" w:rsidP="008935AF">
      <w:pPr>
        <w:pStyle w:val="Bullet"/>
        <w:rPr>
          <w:szCs w:val="21"/>
        </w:rPr>
      </w:pPr>
      <w:r w:rsidRPr="00ED4FA1">
        <w:rPr>
          <w:szCs w:val="21"/>
        </w:rPr>
        <w:t>inpatients had an average of 6.9 seclusion events for every 1,000 bed nights they spent in adult inpatient units.</w:t>
      </w:r>
    </w:p>
    <w:p w14:paraId="7C9E7CF9" w14:textId="77777777" w:rsidR="008935AF" w:rsidRPr="00200234" w:rsidRDefault="008935AF" w:rsidP="008935AF"/>
    <w:p w14:paraId="70635423" w14:textId="66B45649" w:rsidR="008361C5" w:rsidRPr="00200234" w:rsidRDefault="00ED4FA1" w:rsidP="008935AF">
      <w:r>
        <w:t>I</w:t>
      </w:r>
      <w:r w:rsidR="008361C5" w:rsidRPr="00200234">
        <w:t>n adult inpatient services in 2019</w:t>
      </w:r>
      <w:r w:rsidR="008C7D4D" w:rsidRPr="00200234">
        <w:t>:</w:t>
      </w:r>
      <w:r w:rsidR="008361C5" w:rsidRPr="00200234">
        <w:rPr>
          <w:rStyle w:val="FootnoteReference"/>
          <w:rFonts w:cs="Segoe UI"/>
          <w:sz w:val="22"/>
          <w:szCs w:val="22"/>
        </w:rPr>
        <w:footnoteReference w:id="16"/>
      </w:r>
    </w:p>
    <w:p w14:paraId="2D9FB0F0" w14:textId="77777777" w:rsidR="008361C5" w:rsidRPr="00ED4FA1" w:rsidRDefault="008361C5" w:rsidP="008935AF">
      <w:pPr>
        <w:pStyle w:val="Bullet"/>
        <w:rPr>
          <w:szCs w:val="21"/>
        </w:rPr>
      </w:pPr>
      <w:r w:rsidRPr="00ED4FA1">
        <w:rPr>
          <w:szCs w:val="21"/>
        </w:rPr>
        <w:t>the total number of people who experienced seclusion while receiving mental health treatment in an adult inpatient service has decreased by 14 percent since 2009</w:t>
      </w:r>
      <w:r w:rsidRPr="00ED4FA1">
        <w:rPr>
          <w:rStyle w:val="FootnoteReference"/>
          <w:rFonts w:cs="Segoe UI"/>
          <w:szCs w:val="21"/>
        </w:rPr>
        <w:footnoteReference w:id="17"/>
      </w:r>
    </w:p>
    <w:p w14:paraId="6253A228" w14:textId="77777777" w:rsidR="008361C5" w:rsidRPr="00ED4FA1" w:rsidRDefault="008361C5" w:rsidP="008935AF">
      <w:pPr>
        <w:pStyle w:val="Bullet"/>
        <w:rPr>
          <w:szCs w:val="21"/>
        </w:rPr>
      </w:pPr>
      <w:r w:rsidRPr="00ED4FA1">
        <w:rPr>
          <w:szCs w:val="21"/>
        </w:rPr>
        <w:lastRenderedPageBreak/>
        <w:t>the total number of hours spent in seclusion has decreased by 47 percent since 2009</w:t>
      </w:r>
    </w:p>
    <w:p w14:paraId="3D80B07F" w14:textId="77777777" w:rsidR="008361C5" w:rsidRPr="00ED4FA1" w:rsidRDefault="008361C5" w:rsidP="008935AF">
      <w:pPr>
        <w:pStyle w:val="Bullet"/>
        <w:rPr>
          <w:szCs w:val="21"/>
        </w:rPr>
      </w:pPr>
      <w:r w:rsidRPr="00ED4FA1">
        <w:rPr>
          <w:szCs w:val="21"/>
        </w:rPr>
        <w:t>the number of adult inpatient clients secluded increased by 9 percent from 2018 to 2019, and the number of hours spent in seclusion increased by 19 percent</w:t>
      </w:r>
    </w:p>
    <w:p w14:paraId="0CFFDB6C" w14:textId="702D9B83" w:rsidR="008361C5" w:rsidRPr="00ED4FA1" w:rsidRDefault="008361C5" w:rsidP="008935AF">
      <w:pPr>
        <w:pStyle w:val="Bullet"/>
        <w:rPr>
          <w:szCs w:val="21"/>
        </w:rPr>
      </w:pPr>
      <w:r w:rsidRPr="00ED4FA1">
        <w:rPr>
          <w:szCs w:val="21"/>
        </w:rPr>
        <w:t>70 percent of all seclusion events lasted for less than 24 hours</w:t>
      </w:r>
      <w:r w:rsidR="0064468E" w:rsidRPr="00ED4FA1">
        <w:rPr>
          <w:szCs w:val="21"/>
        </w:rPr>
        <w:t>,</w:t>
      </w:r>
      <w:r w:rsidRPr="00ED4FA1">
        <w:rPr>
          <w:szCs w:val="21"/>
        </w:rPr>
        <w:t xml:space="preserve"> and 16 percent lasted for longer than 48 hours</w:t>
      </w:r>
    </w:p>
    <w:p w14:paraId="4E916532" w14:textId="2F5F18D8" w:rsidR="008361C5" w:rsidRPr="00ED4FA1" w:rsidRDefault="008361C5" w:rsidP="008935AF">
      <w:pPr>
        <w:pStyle w:val="Bullet"/>
        <w:rPr>
          <w:szCs w:val="21"/>
        </w:rPr>
      </w:pPr>
      <w:r w:rsidRPr="00ED4FA1">
        <w:rPr>
          <w:szCs w:val="21"/>
        </w:rPr>
        <w:t xml:space="preserve">males were more than twice as likely </w:t>
      </w:r>
      <w:r w:rsidR="0064468E" w:rsidRPr="00ED4FA1">
        <w:rPr>
          <w:szCs w:val="21"/>
        </w:rPr>
        <w:t xml:space="preserve">as </w:t>
      </w:r>
      <w:r w:rsidRPr="00ED4FA1">
        <w:rPr>
          <w:szCs w:val="21"/>
        </w:rPr>
        <w:t>females to spend time in seclusion</w:t>
      </w:r>
    </w:p>
    <w:p w14:paraId="3AE41A63" w14:textId="6E48E6A4" w:rsidR="008361C5" w:rsidRPr="00ED4FA1" w:rsidRDefault="008361C5" w:rsidP="008935AF">
      <w:pPr>
        <w:pStyle w:val="Bullet"/>
        <w:rPr>
          <w:szCs w:val="21"/>
        </w:rPr>
      </w:pPr>
      <w:r w:rsidRPr="00ED4FA1">
        <w:rPr>
          <w:szCs w:val="21"/>
        </w:rPr>
        <w:t>people aged 20</w:t>
      </w:r>
      <w:r w:rsidR="00912EAD" w:rsidRPr="00ED4FA1">
        <w:rPr>
          <w:szCs w:val="21"/>
        </w:rPr>
        <w:t>–</w:t>
      </w:r>
      <w:r w:rsidRPr="00ED4FA1">
        <w:rPr>
          <w:szCs w:val="21"/>
        </w:rPr>
        <w:t>24 years were more likely to spend time in seclusion than those in any other age group</w:t>
      </w:r>
    </w:p>
    <w:p w14:paraId="5BD51F08" w14:textId="77777777" w:rsidR="008361C5" w:rsidRPr="00ED4FA1" w:rsidRDefault="008361C5" w:rsidP="008935AF">
      <w:pPr>
        <w:pStyle w:val="Bullet"/>
        <w:rPr>
          <w:szCs w:val="21"/>
        </w:rPr>
      </w:pPr>
      <w:r w:rsidRPr="00ED4FA1">
        <w:rPr>
          <w:szCs w:val="21"/>
        </w:rPr>
        <w:t>Māori were more likely than non-Māori to have been secluded, have more seclusion events (as a rate per 100,000 population) and have longer periods of seclusion on average</w:t>
      </w:r>
    </w:p>
    <w:p w14:paraId="1A14524C" w14:textId="77777777" w:rsidR="008361C5" w:rsidRPr="00ED4FA1" w:rsidRDefault="008361C5" w:rsidP="008935AF">
      <w:pPr>
        <w:pStyle w:val="Bullet"/>
        <w:rPr>
          <w:szCs w:val="21"/>
        </w:rPr>
      </w:pPr>
      <w:r w:rsidRPr="00ED4FA1">
        <w:rPr>
          <w:szCs w:val="21"/>
        </w:rPr>
        <w:t>inpatients had an average of 11.4 seclusion events for every 1,000 bed nights they spent in adult inpatient units.</w:t>
      </w:r>
    </w:p>
    <w:p w14:paraId="18A5DFAA" w14:textId="77777777" w:rsidR="008361C5" w:rsidRPr="00200234" w:rsidRDefault="008361C5" w:rsidP="008935AF"/>
    <w:p w14:paraId="2E823D1F" w14:textId="0551FD91" w:rsidR="008361C5" w:rsidRPr="00200234" w:rsidRDefault="008361C5" w:rsidP="008361C5">
      <w:pPr>
        <w:pStyle w:val="Figure"/>
      </w:pPr>
      <w:bookmarkStart w:id="151" w:name="_Toc63764766"/>
      <w:bookmarkStart w:id="152" w:name="_Toc66716213"/>
      <w:r w:rsidRPr="00200234">
        <w:t xml:space="preserve">Figure </w:t>
      </w:r>
      <w:fldSimple w:instr=" SEQ Figure \* ARABIC ">
        <w:r w:rsidR="00422361">
          <w:rPr>
            <w:noProof/>
          </w:rPr>
          <w:t>31</w:t>
        </w:r>
      </w:fldSimple>
      <w:r w:rsidRPr="00200234">
        <w:t>: Number of people secluded in adult inpatient services nationally, 2007–2019</w:t>
      </w:r>
      <w:bookmarkEnd w:id="151"/>
      <w:bookmarkEnd w:id="152"/>
    </w:p>
    <w:p w14:paraId="556FA939" w14:textId="77777777" w:rsidR="008361C5" w:rsidRPr="00200234" w:rsidRDefault="008361C5" w:rsidP="008361C5">
      <w:pPr>
        <w:rPr>
          <w:rFonts w:cs="Segoe UI"/>
        </w:rPr>
      </w:pPr>
      <w:r w:rsidRPr="00200234">
        <w:rPr>
          <w:noProof/>
        </w:rPr>
        <w:drawing>
          <wp:inline distT="0" distB="0" distL="0" distR="0" wp14:anchorId="44F2F34E" wp14:editId="1FEEEEC6">
            <wp:extent cx="5000625" cy="3230088"/>
            <wp:effectExtent l="0" t="0" r="0" b="8890"/>
            <wp:docPr id="13" name="Chart 13" descr="This bar graph shows that just under 1200 people were secluded in 2007, dropping to a low of just under 800 people in 2014. In 2019 it had risen again to just over 900 people.">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7BBDD2E" w14:textId="332D0B5B" w:rsidR="008361C5" w:rsidRPr="00200234" w:rsidRDefault="008361C5" w:rsidP="008361C5">
      <w:pPr>
        <w:pStyle w:val="Note"/>
        <w:rPr>
          <w:rFonts w:cs="Segoe UI"/>
        </w:rPr>
      </w:pPr>
      <w:r w:rsidRPr="00200234">
        <w:rPr>
          <w:rFonts w:cs="Segoe UI"/>
          <w:szCs w:val="17"/>
        </w:rPr>
        <w:t xml:space="preserve">Note: </w:t>
      </w:r>
      <w:r w:rsidR="0045487F" w:rsidRPr="00200234">
        <w:rPr>
          <w:rFonts w:cs="Segoe UI"/>
          <w:szCs w:val="17"/>
        </w:rPr>
        <w:t>E</w:t>
      </w:r>
      <w:r w:rsidRPr="00200234">
        <w:rPr>
          <w:rFonts w:cs="Segoe UI"/>
          <w:szCs w:val="17"/>
        </w:rPr>
        <w:t xml:space="preserve">xcludes forensic inpatient services and two outliers for 2018 and 2019. </w:t>
      </w:r>
      <w:r w:rsidR="00686A3E" w:rsidRPr="00200234">
        <w:rPr>
          <w:rFonts w:cs="Segoe UI"/>
        </w:rPr>
        <w:t>I</w:t>
      </w:r>
      <w:r w:rsidRPr="00200234">
        <w:rPr>
          <w:rFonts w:cs="Segoe UI"/>
        </w:rPr>
        <w:t xml:space="preserve">ncludes patients </w:t>
      </w:r>
      <w:r w:rsidR="00BE5CF7" w:rsidRPr="00200234">
        <w:rPr>
          <w:rFonts w:cs="Segoe UI"/>
        </w:rPr>
        <w:t>who have</w:t>
      </w:r>
      <w:r w:rsidRPr="00200234">
        <w:rPr>
          <w:rFonts w:cs="Segoe UI"/>
        </w:rPr>
        <w:t xml:space="preserve"> a legal status under the Mental Health Act but are treated in Regional Intellectual Disability Secure Services (RIDSS).</w:t>
      </w:r>
    </w:p>
    <w:p w14:paraId="3D20EFA6" w14:textId="2114B884" w:rsidR="008361C5" w:rsidRPr="00200234" w:rsidRDefault="008361C5" w:rsidP="008361C5">
      <w:pPr>
        <w:pStyle w:val="Note"/>
      </w:pPr>
      <w:r w:rsidRPr="00200234">
        <w:t>Source</w:t>
      </w:r>
      <w:r w:rsidR="0053076E" w:rsidRPr="00200234">
        <w:t>s</w:t>
      </w:r>
      <w:r w:rsidRPr="00200234">
        <w:t xml:space="preserve">: </w:t>
      </w:r>
      <w:r w:rsidR="00D86799" w:rsidRPr="00200234">
        <w:t xml:space="preserve">For 2019: </w:t>
      </w:r>
      <w:r w:rsidRPr="00200234">
        <w:t>PRIMHD data</w:t>
      </w:r>
      <w:r w:rsidR="0015429E">
        <w:t xml:space="preserve"> (extracted</w:t>
      </w:r>
      <w:r w:rsidRPr="00200234">
        <w:t xml:space="preserve"> 19 October 2020</w:t>
      </w:r>
      <w:r w:rsidR="00D30615">
        <w:t>)</w:t>
      </w:r>
      <w:r w:rsidRPr="00200234">
        <w:t xml:space="preserve"> and manual data</w:t>
      </w:r>
      <w:r w:rsidR="00D86799" w:rsidRPr="00200234">
        <w:t xml:space="preserve"> </w:t>
      </w:r>
      <w:r w:rsidRPr="00200234">
        <w:t>from Southern and Whanganui DHBs</w:t>
      </w:r>
      <w:r w:rsidR="00D86799" w:rsidRPr="00200234">
        <w:t>. For 2018:</w:t>
      </w:r>
      <w:r w:rsidRPr="00200234">
        <w:t xml:space="preserve"> PRIMHD data</w:t>
      </w:r>
      <w:r w:rsidR="0015429E">
        <w:t xml:space="preserve"> (extracted</w:t>
      </w:r>
      <w:r w:rsidRPr="00200234">
        <w:t xml:space="preserve"> 29 July 2019</w:t>
      </w:r>
      <w:r w:rsidR="00D30615">
        <w:t>)</w:t>
      </w:r>
      <w:r w:rsidRPr="00200234">
        <w:t xml:space="preserve"> and manual data from Lakes, Nelson Marlborough, Southern, and </w:t>
      </w:r>
      <w:proofErr w:type="spellStart"/>
      <w:r w:rsidRPr="00200234">
        <w:t>Waitematā</w:t>
      </w:r>
      <w:proofErr w:type="spellEnd"/>
      <w:r w:rsidRPr="00200234">
        <w:t xml:space="preserve"> DHBs.</w:t>
      </w:r>
      <w:r w:rsidR="00F226E8">
        <w:t xml:space="preserve"> For years 2007–2017, see previous reports.</w:t>
      </w:r>
    </w:p>
    <w:p w14:paraId="33968727" w14:textId="77777777" w:rsidR="008361C5" w:rsidRPr="00200234" w:rsidRDefault="008361C5" w:rsidP="008935AF"/>
    <w:p w14:paraId="30CBA076" w14:textId="1A8AEE00" w:rsidR="008361C5" w:rsidRPr="00200234" w:rsidRDefault="008361C5" w:rsidP="008361C5">
      <w:pPr>
        <w:pStyle w:val="Figure"/>
      </w:pPr>
      <w:bookmarkStart w:id="153" w:name="_Toc63764767"/>
      <w:bookmarkStart w:id="154" w:name="_Toc66716214"/>
      <w:r w:rsidRPr="00200234">
        <w:lastRenderedPageBreak/>
        <w:t xml:space="preserve">Figure </w:t>
      </w:r>
      <w:fldSimple w:instr=" SEQ Figure \* ARABIC ">
        <w:r w:rsidR="00422361">
          <w:rPr>
            <w:noProof/>
          </w:rPr>
          <w:t>32</w:t>
        </w:r>
      </w:fldSimple>
      <w:r w:rsidRPr="00200234">
        <w:t>: Total number of seclusion hours in adult inpatient services nationally, 2007–2019</w:t>
      </w:r>
      <w:bookmarkEnd w:id="153"/>
      <w:bookmarkEnd w:id="154"/>
    </w:p>
    <w:p w14:paraId="0ED798AD" w14:textId="77777777" w:rsidR="008361C5" w:rsidRPr="00200234" w:rsidRDefault="008361C5" w:rsidP="008361C5">
      <w:pPr>
        <w:rPr>
          <w:rFonts w:cs="Segoe UI"/>
          <w:sz w:val="17"/>
          <w:szCs w:val="17"/>
        </w:rPr>
      </w:pPr>
      <w:r w:rsidRPr="00200234">
        <w:rPr>
          <w:noProof/>
        </w:rPr>
        <w:drawing>
          <wp:inline distT="0" distB="0" distL="0" distR="0" wp14:anchorId="6772FC8E" wp14:editId="3A0C7EA2">
            <wp:extent cx="5162550" cy="2933206"/>
            <wp:effectExtent l="0" t="0" r="0" b="635"/>
            <wp:docPr id="20" name="Chart 20" descr="This graph shows that the number of hours spent in seclusion was about 78,000 in 2007, peaked at 90,000 in 2009, reached a low of just under 40,000 in 2016, and climbed to about 50,000 in 2019.">
              <a:extLst xmlns:a="http://schemas.openxmlformats.org/drawingml/2006/main">
                <a:ext uri="{FF2B5EF4-FFF2-40B4-BE49-F238E27FC236}">
                  <a16:creationId xmlns:a16="http://schemas.microsoft.com/office/drawing/2014/main" id="{E81CCDB9-40AE-42DC-AB83-416A9C5A7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008D51B" w14:textId="4FDB4FBC" w:rsidR="008361C5" w:rsidRPr="00200234" w:rsidRDefault="008361C5" w:rsidP="008361C5">
      <w:pPr>
        <w:pStyle w:val="Note"/>
        <w:rPr>
          <w:rFonts w:cs="Segoe UI"/>
        </w:rPr>
      </w:pPr>
      <w:r w:rsidRPr="00200234">
        <w:rPr>
          <w:rFonts w:cs="Segoe UI"/>
          <w:szCs w:val="17"/>
        </w:rPr>
        <w:t xml:space="preserve">Note: </w:t>
      </w:r>
      <w:r w:rsidR="00686A3E" w:rsidRPr="00200234">
        <w:rPr>
          <w:rFonts w:cs="Segoe UI"/>
          <w:szCs w:val="17"/>
        </w:rPr>
        <w:t>E</w:t>
      </w:r>
      <w:r w:rsidRPr="00200234">
        <w:rPr>
          <w:rFonts w:cs="Segoe UI"/>
          <w:szCs w:val="17"/>
        </w:rPr>
        <w:t xml:space="preserve">xcludes forensic inpatient services and two outliers for 2018 and 2019. </w:t>
      </w:r>
      <w:r w:rsidR="00686A3E" w:rsidRPr="00200234">
        <w:rPr>
          <w:rFonts w:cs="Segoe UI"/>
        </w:rPr>
        <w:t>I</w:t>
      </w:r>
      <w:r w:rsidRPr="00200234">
        <w:rPr>
          <w:rFonts w:cs="Segoe UI"/>
        </w:rPr>
        <w:t xml:space="preserve">ncludes patients </w:t>
      </w:r>
      <w:r w:rsidR="00BE5CF7" w:rsidRPr="00200234">
        <w:rPr>
          <w:rFonts w:cs="Segoe UI"/>
        </w:rPr>
        <w:t>who have</w:t>
      </w:r>
      <w:r w:rsidRPr="00200234">
        <w:rPr>
          <w:rFonts w:cs="Segoe UI"/>
        </w:rPr>
        <w:t xml:space="preserve"> a legal status under the Mental Health Act but are treated in RIDSS.</w:t>
      </w:r>
    </w:p>
    <w:p w14:paraId="6DE41F62" w14:textId="15B9E739" w:rsidR="008361C5" w:rsidRPr="00200234" w:rsidRDefault="008361C5" w:rsidP="008361C5">
      <w:pPr>
        <w:pStyle w:val="Note"/>
      </w:pPr>
      <w:r w:rsidRPr="00200234">
        <w:t>Source</w:t>
      </w:r>
      <w:r w:rsidR="00935BF5" w:rsidRPr="00200234">
        <w:t>s</w:t>
      </w:r>
      <w:r w:rsidRPr="00200234">
        <w:t xml:space="preserve">: </w:t>
      </w:r>
      <w:r w:rsidR="00D86799" w:rsidRPr="00200234">
        <w:t xml:space="preserve">For 2019: </w:t>
      </w:r>
      <w:r w:rsidRPr="00200234">
        <w:t>PRIMHD data</w:t>
      </w:r>
      <w:r w:rsidR="0015429E">
        <w:t xml:space="preserve"> (extracted</w:t>
      </w:r>
      <w:r w:rsidRPr="00200234">
        <w:t xml:space="preserve"> 19 October 2020</w:t>
      </w:r>
      <w:r w:rsidR="00D30615">
        <w:t>)</w:t>
      </w:r>
      <w:r w:rsidRPr="00200234">
        <w:t xml:space="preserve"> and manual data from Southern and Whanganui DHBs</w:t>
      </w:r>
      <w:r w:rsidR="00D86799" w:rsidRPr="00200234">
        <w:t>. For 2018:</w:t>
      </w:r>
      <w:r w:rsidRPr="00200234">
        <w:t xml:space="preserve"> PRIMHD data</w:t>
      </w:r>
      <w:r w:rsidR="0015429E">
        <w:t xml:space="preserve"> (extracted</w:t>
      </w:r>
      <w:r w:rsidRPr="00200234">
        <w:t xml:space="preserve"> 29 July 2019</w:t>
      </w:r>
      <w:r w:rsidR="00D30615">
        <w:t>)</w:t>
      </w:r>
      <w:r w:rsidRPr="00200234">
        <w:t xml:space="preserve"> and manual data</w:t>
      </w:r>
      <w:r w:rsidR="00D86799" w:rsidRPr="00200234">
        <w:t xml:space="preserve"> </w:t>
      </w:r>
      <w:r w:rsidRPr="00200234">
        <w:t xml:space="preserve">from Lakes, Nelson Marlborough, Southern, and </w:t>
      </w:r>
      <w:proofErr w:type="spellStart"/>
      <w:r w:rsidRPr="00200234">
        <w:t>Waitematā</w:t>
      </w:r>
      <w:proofErr w:type="spellEnd"/>
      <w:r w:rsidRPr="00200234">
        <w:t xml:space="preserve"> DHBs.</w:t>
      </w:r>
      <w:r w:rsidR="00F226E8">
        <w:t xml:space="preserve"> For years 2007–2017, see previous reports.</w:t>
      </w:r>
    </w:p>
    <w:p w14:paraId="6394E3BE" w14:textId="77777777" w:rsidR="008361C5" w:rsidRPr="00200234" w:rsidRDefault="008361C5" w:rsidP="00DC3196">
      <w:pPr>
        <w:pStyle w:val="Heading2"/>
      </w:pPr>
      <w:bookmarkStart w:id="155" w:name="_Toc65141623"/>
      <w:bookmarkStart w:id="156" w:name="_Toc69307704"/>
      <w:r w:rsidRPr="00200234">
        <w:t>Seclusion in New Zealand mental health services</w:t>
      </w:r>
      <w:bookmarkEnd w:id="155"/>
      <w:bookmarkEnd w:id="156"/>
    </w:p>
    <w:p w14:paraId="61F1E24A" w14:textId="1A528E3B" w:rsidR="008361C5" w:rsidRPr="00200234" w:rsidRDefault="008361C5" w:rsidP="00A43EFE">
      <w:r w:rsidRPr="00A43EFE">
        <w:rPr>
          <w:b/>
          <w:bCs/>
        </w:rPr>
        <w:t>2018</w:t>
      </w:r>
      <w:r w:rsidR="002A712F" w:rsidRPr="00200234">
        <w:rPr>
          <w:b/>
          <w:bCs/>
        </w:rPr>
        <w:t xml:space="preserve"> summary</w:t>
      </w:r>
      <w:r w:rsidRPr="00200234">
        <w:rPr>
          <w:rStyle w:val="FootnoteReference"/>
          <w:rFonts w:cs="Segoe UI"/>
        </w:rPr>
        <w:footnoteReference w:id="18"/>
      </w:r>
    </w:p>
    <w:p w14:paraId="4F7CD16B" w14:textId="77777777" w:rsidR="008935AF" w:rsidRPr="00ED4FA1" w:rsidRDefault="008361C5" w:rsidP="008935AF">
      <w:pPr>
        <w:pStyle w:val="Bullet"/>
        <w:rPr>
          <w:szCs w:val="21"/>
        </w:rPr>
      </w:pPr>
      <w:r w:rsidRPr="00ED4FA1">
        <w:rPr>
          <w:szCs w:val="21"/>
        </w:rPr>
        <w:t>Between 1 January and 31 December 2018, New Zealand adult mental health services (excluding forensic and other regional rehabilitation services) accommodated 8,768 people for a total of 245,290 bed nights. Of these people, 852 (9.7 percent) were secluded at some stage during the reporting period.</w:t>
      </w:r>
    </w:p>
    <w:p w14:paraId="726C1932" w14:textId="3A26F704" w:rsidR="008935AF" w:rsidRPr="00ED4FA1" w:rsidRDefault="008361C5" w:rsidP="008935AF">
      <w:pPr>
        <w:pStyle w:val="Bullet"/>
        <w:rPr>
          <w:szCs w:val="21"/>
        </w:rPr>
      </w:pPr>
      <w:r w:rsidRPr="00ED4FA1">
        <w:rPr>
          <w:szCs w:val="21"/>
        </w:rPr>
        <w:t>Among the adults who were secluded, many were secluded more than once (on average two times). For this reason, the number of seclusion events in adult inpatient services (1,678) was higher than the number of people secluded.</w:t>
      </w:r>
    </w:p>
    <w:p w14:paraId="6821F8E6" w14:textId="03DF2574" w:rsidR="008935AF" w:rsidRPr="00ED4FA1" w:rsidRDefault="008361C5" w:rsidP="008935AF">
      <w:pPr>
        <w:pStyle w:val="Bullet"/>
        <w:rPr>
          <w:szCs w:val="21"/>
        </w:rPr>
      </w:pPr>
      <w:r w:rsidRPr="00ED4FA1">
        <w:rPr>
          <w:szCs w:val="21"/>
        </w:rPr>
        <w:t>In 2018, there were 6.9 seclusion events per 1,000 bed nights in adult inpatient units. This means that – nationally and on average – for every 1,000 bed nights a person spent in an inpatient unit, the person would have 6.9 seclusion events.</w:t>
      </w:r>
    </w:p>
    <w:p w14:paraId="1734A898" w14:textId="25E8EA47" w:rsidR="008935AF" w:rsidRPr="00ED4FA1" w:rsidRDefault="008361C5" w:rsidP="008935AF">
      <w:pPr>
        <w:pStyle w:val="Bullet"/>
        <w:rPr>
          <w:szCs w:val="21"/>
        </w:rPr>
      </w:pPr>
      <w:r w:rsidRPr="00ED4FA1">
        <w:rPr>
          <w:szCs w:val="21"/>
        </w:rPr>
        <w:t xml:space="preserve">Across all inpatient services, including forensic, intellectual disability and youth services, 1,066 people experienced at least one seclusion event. Of those secluded, 69 percent were </w:t>
      </w:r>
      <w:proofErr w:type="gramStart"/>
      <w:r w:rsidRPr="00ED4FA1">
        <w:rPr>
          <w:szCs w:val="21"/>
        </w:rPr>
        <w:t>male</w:t>
      </w:r>
      <w:proofErr w:type="gramEnd"/>
      <w:r w:rsidRPr="00ED4FA1">
        <w:rPr>
          <w:szCs w:val="21"/>
        </w:rPr>
        <w:t xml:space="preserve"> and 31 percent were female. The most common age group </w:t>
      </w:r>
      <w:r w:rsidRPr="00ED4FA1">
        <w:rPr>
          <w:szCs w:val="21"/>
        </w:rPr>
        <w:lastRenderedPageBreak/>
        <w:t>for those secluded was 20</w:t>
      </w:r>
      <w:r w:rsidR="00912EAD" w:rsidRPr="00ED4FA1">
        <w:rPr>
          <w:szCs w:val="21"/>
        </w:rPr>
        <w:t>–</w:t>
      </w:r>
      <w:r w:rsidRPr="00ED4FA1">
        <w:rPr>
          <w:szCs w:val="21"/>
        </w:rPr>
        <w:t>24 years. A total of 110 young people (aged 19 years and under) were secluded during the 2018 year in 290 seclusion events.</w:t>
      </w:r>
    </w:p>
    <w:p w14:paraId="0D4AD221" w14:textId="77777777" w:rsidR="002A712F" w:rsidRPr="00200234" w:rsidRDefault="002A712F" w:rsidP="002A712F"/>
    <w:p w14:paraId="68B1012E" w14:textId="5ECD332A" w:rsidR="008361C5" w:rsidRPr="00200234" w:rsidRDefault="008361C5" w:rsidP="00A43EFE">
      <w:r w:rsidRPr="00A43EFE">
        <w:rPr>
          <w:b/>
          <w:bCs/>
        </w:rPr>
        <w:t>2019</w:t>
      </w:r>
      <w:r w:rsidR="002A712F" w:rsidRPr="00200234">
        <w:rPr>
          <w:b/>
          <w:bCs/>
        </w:rPr>
        <w:t xml:space="preserve"> summary</w:t>
      </w:r>
      <w:r w:rsidRPr="00200234">
        <w:rPr>
          <w:rStyle w:val="FootnoteReference"/>
          <w:rFonts w:cs="Segoe UI"/>
        </w:rPr>
        <w:footnoteReference w:id="19"/>
      </w:r>
    </w:p>
    <w:p w14:paraId="09E0DB9F" w14:textId="77777777" w:rsidR="008935AF" w:rsidRPr="00ED4FA1" w:rsidRDefault="008361C5" w:rsidP="008935AF">
      <w:pPr>
        <w:pStyle w:val="Bullet"/>
        <w:rPr>
          <w:szCs w:val="21"/>
        </w:rPr>
      </w:pPr>
      <w:r w:rsidRPr="00ED4FA1">
        <w:rPr>
          <w:szCs w:val="21"/>
        </w:rPr>
        <w:t>Between 1 January and 31 December 2019, New Zealand adult mental health services (excluding forensic and other regional rehabilitation services) accommodated 8,922 people for a total of 252,636 bed nights. Of these people, 929 (10.4 percent) were secluded at some stage during the reporting period.</w:t>
      </w:r>
    </w:p>
    <w:p w14:paraId="6B5751A2" w14:textId="5B50E166" w:rsidR="008935AF" w:rsidRPr="00ED4FA1" w:rsidRDefault="008361C5" w:rsidP="008935AF">
      <w:pPr>
        <w:pStyle w:val="Bullet"/>
        <w:rPr>
          <w:szCs w:val="21"/>
        </w:rPr>
      </w:pPr>
      <w:r w:rsidRPr="00ED4FA1">
        <w:rPr>
          <w:szCs w:val="21"/>
        </w:rPr>
        <w:t>Among the adults who were secluded, many were secluded more than once (on average three times). For this reason, the number of seclusion events in adult inpatient services (2,885) was higher than the number of people secluded.</w:t>
      </w:r>
    </w:p>
    <w:p w14:paraId="19F51231" w14:textId="48E3F3F9" w:rsidR="008935AF" w:rsidRPr="00ED4FA1" w:rsidRDefault="008361C5" w:rsidP="008935AF">
      <w:pPr>
        <w:pStyle w:val="Bullet"/>
        <w:rPr>
          <w:szCs w:val="21"/>
        </w:rPr>
      </w:pPr>
      <w:r w:rsidRPr="00ED4FA1">
        <w:rPr>
          <w:szCs w:val="21"/>
        </w:rPr>
        <w:t>In 2019, there were 11.4 seclusion events per 1,000 bed nights in adult inpatient units. This means that – nationally and on average – for every 1,000 bed nights a person spent in an inpatient unit, the person would have 11.4 seclusion events.</w:t>
      </w:r>
    </w:p>
    <w:p w14:paraId="2E93B139" w14:textId="73706076" w:rsidR="008935AF" w:rsidRPr="00ED4FA1" w:rsidRDefault="008361C5" w:rsidP="008935AF">
      <w:pPr>
        <w:pStyle w:val="Bullet"/>
        <w:rPr>
          <w:szCs w:val="21"/>
        </w:rPr>
      </w:pPr>
      <w:r w:rsidRPr="00ED4FA1">
        <w:rPr>
          <w:szCs w:val="21"/>
        </w:rPr>
        <w:t xml:space="preserve">Across all inpatient services, including forensic, intellectual disability and youth services, 1,159 people experienced at least one seclusion event. Of those secluded, 68 percent were </w:t>
      </w:r>
      <w:proofErr w:type="gramStart"/>
      <w:r w:rsidRPr="00ED4FA1">
        <w:rPr>
          <w:szCs w:val="21"/>
        </w:rPr>
        <w:t>male</w:t>
      </w:r>
      <w:proofErr w:type="gramEnd"/>
      <w:r w:rsidRPr="00ED4FA1">
        <w:rPr>
          <w:szCs w:val="21"/>
        </w:rPr>
        <w:t xml:space="preserve"> and 32 percent were female. The most common age group for those secluded was 20</w:t>
      </w:r>
      <w:r w:rsidR="00912EAD" w:rsidRPr="00ED4FA1">
        <w:rPr>
          <w:szCs w:val="21"/>
        </w:rPr>
        <w:t>–</w:t>
      </w:r>
      <w:r w:rsidRPr="00ED4FA1">
        <w:rPr>
          <w:szCs w:val="21"/>
        </w:rPr>
        <w:t>24 years. A total of 95 young people (aged 19 years and under) were secluded during the 2019 year in 263 seclusion events.</w:t>
      </w:r>
    </w:p>
    <w:p w14:paraId="77C44196" w14:textId="2ED8CD1B" w:rsidR="008935AF" w:rsidRPr="00200234" w:rsidRDefault="008935AF" w:rsidP="008935AF"/>
    <w:p w14:paraId="3944CE6D" w14:textId="2A96C1FF" w:rsidR="008361C5" w:rsidRPr="00200234" w:rsidRDefault="008361C5" w:rsidP="008361C5">
      <w:pPr>
        <w:pStyle w:val="Figure"/>
      </w:pPr>
      <w:bookmarkStart w:id="157" w:name="_Toc63764768"/>
      <w:bookmarkStart w:id="158" w:name="_Toc66716215"/>
      <w:r w:rsidRPr="00200234">
        <w:t xml:space="preserve">Figure </w:t>
      </w:r>
      <w:fldSimple w:instr=" SEQ Figure \* ARABIC ">
        <w:r w:rsidR="00422361">
          <w:rPr>
            <w:noProof/>
          </w:rPr>
          <w:t>33</w:t>
        </w:r>
      </w:fldSimple>
      <w:r w:rsidRPr="00200234">
        <w:t>: Number of people secluded across all inpatient services (adult, forensic, intellectual disability and youth), by age group, 1 January to 31 December 2018</w:t>
      </w:r>
      <w:bookmarkEnd w:id="157"/>
      <w:bookmarkEnd w:id="158"/>
    </w:p>
    <w:p w14:paraId="3F151140" w14:textId="77777777" w:rsidR="008361C5" w:rsidRPr="00200234" w:rsidRDefault="008361C5" w:rsidP="00FA409E">
      <w:pPr>
        <w:keepNext/>
        <w:rPr>
          <w:rFonts w:cs="Segoe UI"/>
        </w:rPr>
      </w:pPr>
      <w:r w:rsidRPr="00200234">
        <w:rPr>
          <w:noProof/>
        </w:rPr>
        <w:drawing>
          <wp:inline distT="0" distB="0" distL="0" distR="0" wp14:anchorId="2EA21C60" wp14:editId="7DB199F9">
            <wp:extent cx="5040000" cy="2987749"/>
            <wp:effectExtent l="0" t="0" r="8255" b="3175"/>
            <wp:docPr id="48" name="Chart 48" descr="This bar graph shows that in 2018, 110 people under 20 were secluded, 180 people between 20 and 24 were secluded, 170 people between 25 and 29, 120 people between 30 and 34, about 100 people in the 35-39, 40-44, and 45-49 age groups, and less than 100 in all other groups.">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643A489" w14:textId="2EF58A3C" w:rsidR="008361C5" w:rsidRPr="00200234" w:rsidRDefault="008361C5" w:rsidP="00FA409E">
      <w:pPr>
        <w:pStyle w:val="Note"/>
        <w:keepNext/>
        <w:rPr>
          <w:rFonts w:cs="Segoe UI"/>
          <w:spacing w:val="-2"/>
        </w:rPr>
      </w:pPr>
      <w:r w:rsidRPr="00200234">
        <w:t xml:space="preserve">Note: Excludes two outliers. </w:t>
      </w:r>
      <w:r w:rsidR="00686A3E" w:rsidRPr="00200234">
        <w:rPr>
          <w:rFonts w:cs="Segoe UI"/>
          <w:spacing w:val="-2"/>
        </w:rPr>
        <w:t>I</w:t>
      </w:r>
      <w:r w:rsidRPr="00200234">
        <w:rPr>
          <w:rFonts w:cs="Segoe UI"/>
          <w:spacing w:val="-2"/>
        </w:rPr>
        <w:t xml:space="preserve">ncludes patients </w:t>
      </w:r>
      <w:r w:rsidR="00E850D3" w:rsidRPr="00200234">
        <w:rPr>
          <w:rFonts w:cs="Segoe UI"/>
          <w:spacing w:val="-2"/>
        </w:rPr>
        <w:t xml:space="preserve">who have </w:t>
      </w:r>
      <w:r w:rsidRPr="00200234">
        <w:rPr>
          <w:rFonts w:cs="Segoe UI"/>
          <w:spacing w:val="-2"/>
        </w:rPr>
        <w:t>a legal status under the Mental Health Act but are treated in RIDSS.</w:t>
      </w:r>
    </w:p>
    <w:p w14:paraId="0C0BDEE9" w14:textId="4C368D8D" w:rsidR="008361C5" w:rsidRPr="00200234" w:rsidRDefault="008361C5" w:rsidP="008361C5">
      <w:pPr>
        <w:pStyle w:val="Note"/>
        <w:rPr>
          <w:rFonts w:cs="Segoe UI"/>
          <w:spacing w:val="-2"/>
        </w:rPr>
      </w:pPr>
      <w:r w:rsidRPr="00200234">
        <w:rPr>
          <w:rFonts w:cs="Segoe UI"/>
          <w:spacing w:val="-2"/>
        </w:rPr>
        <w:t>Source</w:t>
      </w:r>
      <w:r w:rsidR="00935BF5" w:rsidRPr="00200234">
        <w:rPr>
          <w:rFonts w:cs="Segoe UI"/>
          <w:spacing w:val="-2"/>
        </w:rPr>
        <w:t>s</w:t>
      </w:r>
      <w:r w:rsidRPr="00200234">
        <w:rPr>
          <w:rFonts w:cs="Segoe UI"/>
          <w:spacing w:val="-2"/>
        </w:rPr>
        <w:t xml:space="preserve">: </w:t>
      </w:r>
      <w:r w:rsidRPr="00200234">
        <w:t>PRIMHD data</w:t>
      </w:r>
      <w:r w:rsidR="0015429E">
        <w:t xml:space="preserve"> (extracted</w:t>
      </w:r>
      <w:r w:rsidRPr="00200234">
        <w:t xml:space="preserve"> 29 July 2019</w:t>
      </w:r>
      <w:r w:rsidR="00D30615">
        <w:t>)</w:t>
      </w:r>
      <w:r w:rsidRPr="00200234">
        <w:t xml:space="preserve"> and manual data from Lakes, Nelson Marlborough, Southern, and </w:t>
      </w:r>
      <w:proofErr w:type="spellStart"/>
      <w:r w:rsidRPr="00200234">
        <w:t>Waitematā</w:t>
      </w:r>
      <w:proofErr w:type="spellEnd"/>
      <w:r w:rsidRPr="00200234">
        <w:t xml:space="preserve"> DHBs. </w:t>
      </w:r>
    </w:p>
    <w:p w14:paraId="3E733A88" w14:textId="77777777" w:rsidR="008361C5" w:rsidRPr="00200234" w:rsidRDefault="008361C5" w:rsidP="00FA409E"/>
    <w:p w14:paraId="65993B7C" w14:textId="497D0AD3" w:rsidR="008361C5" w:rsidRPr="00200234" w:rsidRDefault="008361C5" w:rsidP="008361C5">
      <w:pPr>
        <w:pStyle w:val="Figure"/>
      </w:pPr>
      <w:bookmarkStart w:id="159" w:name="_Toc63764769"/>
      <w:bookmarkStart w:id="160" w:name="_Toc66716216"/>
      <w:r w:rsidRPr="00200234">
        <w:lastRenderedPageBreak/>
        <w:t xml:space="preserve">Figure </w:t>
      </w:r>
      <w:fldSimple w:instr=" SEQ Figure \* ARABIC ">
        <w:r w:rsidR="00422361">
          <w:rPr>
            <w:noProof/>
          </w:rPr>
          <w:t>34</w:t>
        </w:r>
      </w:fldSimple>
      <w:r w:rsidRPr="00200234">
        <w:t>: Number of people secluded across all inpatient services (adult, forensic, intellectual disability and youth), by age group, 1 January to 31 December 2019</w:t>
      </w:r>
      <w:bookmarkEnd w:id="159"/>
      <w:bookmarkEnd w:id="160"/>
    </w:p>
    <w:p w14:paraId="428BFA35" w14:textId="77777777" w:rsidR="008361C5" w:rsidRPr="00200234" w:rsidRDefault="008361C5" w:rsidP="00FA409E">
      <w:pPr>
        <w:keepNext/>
        <w:rPr>
          <w:rFonts w:cs="Segoe UI"/>
        </w:rPr>
      </w:pPr>
      <w:r w:rsidRPr="00200234">
        <w:rPr>
          <w:noProof/>
        </w:rPr>
        <w:drawing>
          <wp:inline distT="0" distB="0" distL="0" distR="0" wp14:anchorId="2C90412F" wp14:editId="215D0DDD">
            <wp:extent cx="5040000" cy="3370521"/>
            <wp:effectExtent l="0" t="0" r="8255" b="1905"/>
            <wp:docPr id="24" name="Chart 24" descr="This bar graph shows that in 2019, 95 people under 20 were secluded, 180 people between 20 and 24 were secluded, 170 people between 25 and 29, 145 people between 30 and 34, about 130 people between 35-39, 120 people between 40-44, and less than 100 in all other groups.">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F0AAE41" w14:textId="12679353" w:rsidR="008361C5" w:rsidRPr="00200234" w:rsidRDefault="008361C5" w:rsidP="00FA409E">
      <w:pPr>
        <w:pStyle w:val="Note"/>
        <w:keepNext/>
        <w:rPr>
          <w:rFonts w:cs="Segoe UI"/>
          <w:spacing w:val="-2"/>
        </w:rPr>
      </w:pPr>
      <w:r w:rsidRPr="00200234">
        <w:t xml:space="preserve">Note: Excludes two outliers. </w:t>
      </w:r>
      <w:r w:rsidR="00686A3E" w:rsidRPr="00200234">
        <w:rPr>
          <w:rFonts w:cs="Segoe UI"/>
          <w:spacing w:val="-2"/>
        </w:rPr>
        <w:t>I</w:t>
      </w:r>
      <w:r w:rsidRPr="00200234">
        <w:rPr>
          <w:rFonts w:cs="Segoe UI"/>
          <w:spacing w:val="-2"/>
        </w:rPr>
        <w:t xml:space="preserve">ncludes patients </w:t>
      </w:r>
      <w:r w:rsidR="00BE5CF7" w:rsidRPr="00200234">
        <w:rPr>
          <w:rFonts w:cs="Segoe UI"/>
          <w:spacing w:val="-2"/>
        </w:rPr>
        <w:t xml:space="preserve">who have </w:t>
      </w:r>
      <w:r w:rsidRPr="00200234">
        <w:rPr>
          <w:rFonts w:cs="Segoe UI"/>
          <w:spacing w:val="-2"/>
        </w:rPr>
        <w:t>a legal status under the Mental Health Act but are treated in RIDSS.</w:t>
      </w:r>
    </w:p>
    <w:p w14:paraId="27CBB5C7" w14:textId="49A4EDE1" w:rsidR="008361C5" w:rsidRPr="00200234" w:rsidRDefault="008361C5" w:rsidP="008361C5">
      <w:pPr>
        <w:pStyle w:val="Note"/>
      </w:pPr>
      <w:r w:rsidRPr="00200234">
        <w:rPr>
          <w:rFonts w:cs="Segoe UI"/>
          <w:spacing w:val="-2"/>
        </w:rPr>
        <w:t>Source</w:t>
      </w:r>
      <w:r w:rsidR="00935BF5" w:rsidRPr="00200234">
        <w:rPr>
          <w:rFonts w:cs="Segoe UI"/>
          <w:spacing w:val="-2"/>
        </w:rPr>
        <w:t>s</w:t>
      </w:r>
      <w:r w:rsidRPr="00200234">
        <w:rPr>
          <w:rFonts w:cs="Segoe UI"/>
          <w:spacing w:val="-2"/>
        </w:rPr>
        <w:t xml:space="preserve">: </w:t>
      </w:r>
      <w:r w:rsidRPr="00200234">
        <w:t>PRIMHD data</w:t>
      </w:r>
      <w:r w:rsidR="0015429E">
        <w:t xml:space="preserve"> (extracted</w:t>
      </w:r>
      <w:r w:rsidRPr="00200234">
        <w:t xml:space="preserve"> 19 October 2020</w:t>
      </w:r>
      <w:r w:rsidR="00D30615">
        <w:t>)</w:t>
      </w:r>
      <w:r w:rsidRPr="00200234">
        <w:t xml:space="preserve"> and manual data from Southern and Whanganui DHBs. </w:t>
      </w:r>
    </w:p>
    <w:p w14:paraId="4DE4942F" w14:textId="77777777" w:rsidR="00FA409E" w:rsidRPr="00200234" w:rsidRDefault="00FA409E" w:rsidP="00FA409E"/>
    <w:p w14:paraId="4D0955AE" w14:textId="4A19C4C9" w:rsidR="008361C5" w:rsidRPr="00200234" w:rsidRDefault="008361C5" w:rsidP="008361C5">
      <w:pPr>
        <w:pStyle w:val="Figure"/>
      </w:pPr>
      <w:bookmarkStart w:id="161" w:name="_Ref65672360"/>
      <w:bookmarkStart w:id="162" w:name="_Toc63764770"/>
      <w:bookmarkStart w:id="163" w:name="_Toc66716217"/>
      <w:r w:rsidRPr="00200234">
        <w:t xml:space="preserve">Figure </w:t>
      </w:r>
      <w:fldSimple w:instr=" SEQ Figure \* ARABIC ">
        <w:r w:rsidR="00422361">
          <w:rPr>
            <w:noProof/>
          </w:rPr>
          <w:t>35</w:t>
        </w:r>
      </w:fldSimple>
      <w:bookmarkEnd w:id="161"/>
      <w:r w:rsidRPr="00200234">
        <w:t>: Number of seclusion events across all inpatient services (adult, forensic, intellectual disability and youth), by duration of event, 1 January to 31 December 2018</w:t>
      </w:r>
      <w:bookmarkEnd w:id="162"/>
      <w:bookmarkEnd w:id="163"/>
    </w:p>
    <w:p w14:paraId="7A28CB80" w14:textId="77777777" w:rsidR="008361C5" w:rsidRPr="00200234" w:rsidRDefault="008361C5" w:rsidP="00FA409E">
      <w:pPr>
        <w:keepNext/>
        <w:rPr>
          <w:rFonts w:cs="Segoe UI"/>
        </w:rPr>
      </w:pPr>
      <w:r w:rsidRPr="00200234">
        <w:rPr>
          <w:noProof/>
        </w:rPr>
        <w:drawing>
          <wp:inline distT="0" distB="0" distL="0" distR="0" wp14:anchorId="5E48C4CB" wp14:editId="2DA315AA">
            <wp:extent cx="5547316" cy="2959838"/>
            <wp:effectExtent l="0" t="0" r="0" b="0"/>
            <wp:docPr id="49" name="Chart 49" descr="This graph shows that in 2018, about 350 seclusion events lasted for more than 48 hours. About 200 lasted for between 24 and 35 hours. About 175 lasted for between 36 and 47 hours and for between 1 and 2 hours. About 160 events lasted for between 2 and 3 hours and 7 and 8 hours. There were fewer than 100 seclusion events for other durations.">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A13DECC" w14:textId="55B98FB0" w:rsidR="008361C5" w:rsidRPr="00200234" w:rsidRDefault="008361C5" w:rsidP="00FA409E">
      <w:pPr>
        <w:pStyle w:val="Note"/>
        <w:keepNext/>
        <w:rPr>
          <w:rFonts w:cs="Segoe UI"/>
          <w:spacing w:val="-2"/>
        </w:rPr>
      </w:pPr>
      <w:r w:rsidRPr="00200234">
        <w:t xml:space="preserve">Note: </w:t>
      </w:r>
      <w:r w:rsidR="00686A3E" w:rsidRPr="00200234">
        <w:t>E</w:t>
      </w:r>
      <w:r w:rsidRPr="00200234">
        <w:t xml:space="preserve">xcludes two outliers. </w:t>
      </w:r>
      <w:r w:rsidR="00686A3E" w:rsidRPr="00200234">
        <w:rPr>
          <w:rFonts w:cs="Segoe UI"/>
          <w:spacing w:val="-2"/>
        </w:rPr>
        <w:t>I</w:t>
      </w:r>
      <w:r w:rsidRPr="00200234">
        <w:rPr>
          <w:rFonts w:cs="Segoe UI"/>
          <w:spacing w:val="-2"/>
        </w:rPr>
        <w:t xml:space="preserve">ncludes patients </w:t>
      </w:r>
      <w:r w:rsidR="00E850D3" w:rsidRPr="00200234">
        <w:rPr>
          <w:rFonts w:cs="Segoe UI"/>
          <w:spacing w:val="-2"/>
        </w:rPr>
        <w:t>who have</w:t>
      </w:r>
      <w:r w:rsidRPr="00200234">
        <w:rPr>
          <w:rFonts w:cs="Segoe UI"/>
          <w:spacing w:val="-2"/>
        </w:rPr>
        <w:t xml:space="preserve"> a legal status under the Mental Health Act but are treated in RIDSS.</w:t>
      </w:r>
    </w:p>
    <w:p w14:paraId="3756DDCD" w14:textId="49277FD6" w:rsidR="008361C5" w:rsidRPr="00200234" w:rsidRDefault="008361C5" w:rsidP="008361C5">
      <w:pPr>
        <w:pStyle w:val="Note"/>
        <w:rPr>
          <w:rFonts w:cs="Segoe UI"/>
          <w:spacing w:val="-2"/>
        </w:rPr>
      </w:pPr>
      <w:r w:rsidRPr="00200234">
        <w:t>Source</w:t>
      </w:r>
      <w:r w:rsidR="00935BF5" w:rsidRPr="00200234">
        <w:t>s</w:t>
      </w:r>
      <w:r w:rsidRPr="00200234">
        <w:t>:</w:t>
      </w:r>
      <w:r w:rsidR="005466E3" w:rsidRPr="00200234">
        <w:t xml:space="preserve"> </w:t>
      </w:r>
      <w:r w:rsidRPr="00200234">
        <w:t>PRIMHD data</w:t>
      </w:r>
      <w:r w:rsidR="0015429E">
        <w:t xml:space="preserve"> (extracted</w:t>
      </w:r>
      <w:r w:rsidRPr="00200234">
        <w:t xml:space="preserve"> 29 July 2019</w:t>
      </w:r>
      <w:r w:rsidR="00D30615">
        <w:t>)</w:t>
      </w:r>
      <w:r w:rsidRPr="00200234">
        <w:t xml:space="preserve"> and manual data from Lakes, Nelson Marlborough, Southern, and </w:t>
      </w:r>
      <w:proofErr w:type="spellStart"/>
      <w:r w:rsidRPr="00200234">
        <w:t>Waitematā</w:t>
      </w:r>
      <w:proofErr w:type="spellEnd"/>
      <w:r w:rsidRPr="00200234">
        <w:t xml:space="preserve"> DHBs. </w:t>
      </w:r>
    </w:p>
    <w:p w14:paraId="1A87C2F6" w14:textId="77777777" w:rsidR="008361C5" w:rsidRPr="00200234" w:rsidRDefault="008361C5" w:rsidP="008361C5"/>
    <w:p w14:paraId="654F27C3" w14:textId="6D2BF6EE" w:rsidR="008361C5" w:rsidRPr="00200234" w:rsidRDefault="008361C5" w:rsidP="008361C5">
      <w:pPr>
        <w:pStyle w:val="Figure"/>
      </w:pPr>
      <w:bookmarkStart w:id="164" w:name="_Ref65672366"/>
      <w:bookmarkStart w:id="165" w:name="_Toc63764771"/>
      <w:bookmarkStart w:id="166" w:name="_Toc66716218"/>
      <w:r w:rsidRPr="00200234">
        <w:lastRenderedPageBreak/>
        <w:t xml:space="preserve">Figure </w:t>
      </w:r>
      <w:fldSimple w:instr=" SEQ Figure \* ARABIC ">
        <w:r w:rsidR="00422361">
          <w:rPr>
            <w:noProof/>
          </w:rPr>
          <w:t>36</w:t>
        </w:r>
      </w:fldSimple>
      <w:bookmarkEnd w:id="164"/>
      <w:r w:rsidRPr="00200234">
        <w:t>: Number of seclusion events across all inpatient services (adult, forensic, intellectual disability and youth), by duration of event, 1 January to 31 December 2019</w:t>
      </w:r>
      <w:bookmarkEnd w:id="165"/>
      <w:bookmarkEnd w:id="166"/>
    </w:p>
    <w:p w14:paraId="28B56039" w14:textId="77777777" w:rsidR="008361C5" w:rsidRPr="00200234" w:rsidRDefault="008361C5" w:rsidP="00FA409E">
      <w:pPr>
        <w:keepNext/>
        <w:rPr>
          <w:rFonts w:cs="Segoe UI"/>
        </w:rPr>
      </w:pPr>
      <w:r w:rsidRPr="00200234">
        <w:rPr>
          <w:noProof/>
        </w:rPr>
        <w:drawing>
          <wp:inline distT="0" distB="0" distL="0" distR="0" wp14:anchorId="66A3AAF9" wp14:editId="5040195A">
            <wp:extent cx="5040000" cy="3051544"/>
            <wp:effectExtent l="0" t="0" r="8255" b="0"/>
            <wp:docPr id="26" name="Chart 26" descr="This graph shows that in 2019, about 400 seclusion events lasted for more than 48 hours. About 200 lasted for between 24 and 35 hours. About 150 lasted for between 36 and 47 hours and for between 1 and 2 hours. About 140 events lasted for between 2 and 3 hours, about 120 lasted between 3 and 4 hours, about 100 lasted 4 to 5 hours. There were fewer than 100 seclusion events for other durations.">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1393243" w14:textId="106AD7D6" w:rsidR="008361C5" w:rsidRPr="00200234" w:rsidRDefault="008361C5" w:rsidP="00FA409E">
      <w:pPr>
        <w:pStyle w:val="Note"/>
        <w:keepNext/>
        <w:rPr>
          <w:rFonts w:cs="Segoe UI"/>
          <w:spacing w:val="-2"/>
        </w:rPr>
      </w:pPr>
      <w:r w:rsidRPr="00200234">
        <w:t xml:space="preserve">Note: </w:t>
      </w:r>
      <w:r w:rsidR="00686A3E" w:rsidRPr="00200234">
        <w:t>E</w:t>
      </w:r>
      <w:r w:rsidRPr="00200234">
        <w:t xml:space="preserve">xcludes two outliers. </w:t>
      </w:r>
      <w:r w:rsidR="00686A3E" w:rsidRPr="00200234">
        <w:rPr>
          <w:rFonts w:cs="Segoe UI"/>
          <w:spacing w:val="-2"/>
        </w:rPr>
        <w:t>I</w:t>
      </w:r>
      <w:r w:rsidRPr="00200234">
        <w:rPr>
          <w:rFonts w:cs="Segoe UI"/>
          <w:spacing w:val="-2"/>
        </w:rPr>
        <w:t xml:space="preserve">ncludes patients </w:t>
      </w:r>
      <w:r w:rsidR="00E850D3" w:rsidRPr="00200234">
        <w:rPr>
          <w:rFonts w:cs="Segoe UI"/>
          <w:spacing w:val="-2"/>
        </w:rPr>
        <w:t>who have</w:t>
      </w:r>
      <w:r w:rsidRPr="00200234">
        <w:rPr>
          <w:rFonts w:cs="Segoe UI"/>
          <w:spacing w:val="-2"/>
        </w:rPr>
        <w:t xml:space="preserve"> a legal status under the Mental Health Act but are treated in RIDSS.</w:t>
      </w:r>
    </w:p>
    <w:p w14:paraId="1A4A2017" w14:textId="4F84BB60" w:rsidR="008361C5" w:rsidRPr="00200234" w:rsidRDefault="008361C5" w:rsidP="008361C5">
      <w:pPr>
        <w:pStyle w:val="Note"/>
        <w:rPr>
          <w:rFonts w:cs="Segoe UI"/>
          <w:spacing w:val="-2"/>
        </w:rPr>
      </w:pPr>
      <w:r w:rsidRPr="00200234">
        <w:t>Source</w:t>
      </w:r>
      <w:r w:rsidR="00935BF5" w:rsidRPr="00200234">
        <w:t>s</w:t>
      </w:r>
      <w:r w:rsidRPr="00200234">
        <w:t>:</w:t>
      </w:r>
      <w:r w:rsidR="005466E3" w:rsidRPr="00200234">
        <w:t xml:space="preserve"> </w:t>
      </w:r>
      <w:r w:rsidRPr="00200234">
        <w:t>PRIMHD data</w:t>
      </w:r>
      <w:r w:rsidR="0015429E">
        <w:t xml:space="preserve"> (extracted</w:t>
      </w:r>
      <w:r w:rsidRPr="00200234">
        <w:t xml:space="preserve"> 19 October 2020</w:t>
      </w:r>
      <w:r w:rsidR="00D30615">
        <w:t>)</w:t>
      </w:r>
      <w:r w:rsidRPr="00200234">
        <w:t xml:space="preserve"> and manual data from Southern and Whanganui DHBs. </w:t>
      </w:r>
    </w:p>
    <w:p w14:paraId="148080DD" w14:textId="32152652" w:rsidR="008361C5" w:rsidRPr="00200234" w:rsidRDefault="008361C5" w:rsidP="00DC3196">
      <w:pPr>
        <w:pStyle w:val="Heading2"/>
      </w:pPr>
      <w:bookmarkStart w:id="167" w:name="_Toc65141624"/>
      <w:bookmarkStart w:id="168" w:name="_Toc69307705"/>
      <w:r w:rsidRPr="00200234">
        <w:t xml:space="preserve">Use of seclusion by </w:t>
      </w:r>
      <w:bookmarkEnd w:id="167"/>
      <w:r w:rsidR="00000045">
        <w:t>DHBs</w:t>
      </w:r>
      <w:bookmarkEnd w:id="168"/>
    </w:p>
    <w:p w14:paraId="20DC52F6" w14:textId="33848997" w:rsidR="008361C5" w:rsidRPr="00200234" w:rsidRDefault="008361C5" w:rsidP="008361C5">
      <w:r w:rsidRPr="00200234">
        <w:t>All DHBs except for Wairarapa DHB (which has no mental health inpatient service) use seclusion.</w:t>
      </w:r>
      <w:r w:rsidRPr="00200234">
        <w:rPr>
          <w:rStyle w:val="FootnoteReference"/>
          <w:rFonts w:cs="Segoe UI"/>
        </w:rPr>
        <w:footnoteReference w:id="20"/>
      </w:r>
    </w:p>
    <w:p w14:paraId="7E9F3F51" w14:textId="77777777" w:rsidR="00FA409E" w:rsidRPr="00200234" w:rsidRDefault="00FA409E" w:rsidP="008361C5"/>
    <w:p w14:paraId="3F677571" w14:textId="0047D8F0" w:rsidR="008361C5" w:rsidRPr="00200234" w:rsidRDefault="008361C5" w:rsidP="008361C5">
      <w:r w:rsidRPr="00200234">
        <w:t>In 2018, the national average number of people secluded in adult inpatient services was 29.4 per 100,000 population, and the average number of seclusion events was 57.8 per 100,000 population.</w:t>
      </w:r>
    </w:p>
    <w:p w14:paraId="5F5A2210" w14:textId="77777777" w:rsidR="00FA409E" w:rsidRPr="00200234" w:rsidRDefault="00FA409E" w:rsidP="008361C5"/>
    <w:p w14:paraId="7F11543A" w14:textId="77777777" w:rsidR="008361C5" w:rsidRPr="00200234" w:rsidRDefault="008361C5" w:rsidP="008361C5">
      <w:r w:rsidRPr="00200234">
        <w:t>In 2019, the national average number of people secluded in adult inpatient services was 32.2 per 100,000 population, and the average number of seclusion events was 99.8 per 100,000 population.</w:t>
      </w:r>
    </w:p>
    <w:p w14:paraId="6505F9CD" w14:textId="76CB9DDF" w:rsidR="008361C5" w:rsidRPr="00200234" w:rsidRDefault="008361C5" w:rsidP="008361C5">
      <w:pPr>
        <w:pStyle w:val="Figure"/>
      </w:pPr>
      <w:bookmarkStart w:id="169" w:name="_Toc63764772"/>
      <w:bookmarkStart w:id="170" w:name="_Toc66716219"/>
      <w:r w:rsidRPr="00200234">
        <w:lastRenderedPageBreak/>
        <w:t xml:space="preserve">Figure </w:t>
      </w:r>
      <w:fldSimple w:instr=" SEQ Figure \* ARABIC ">
        <w:r w:rsidR="00422361">
          <w:rPr>
            <w:noProof/>
          </w:rPr>
          <w:t>37</w:t>
        </w:r>
      </w:fldSimple>
      <w:r w:rsidRPr="00200234">
        <w:t>: Number of people secluded in adult inpatient services per 100,000 population, by DHB, 1 January to 31 December 2018</w:t>
      </w:r>
      <w:bookmarkEnd w:id="169"/>
      <w:bookmarkEnd w:id="170"/>
    </w:p>
    <w:p w14:paraId="314D0909" w14:textId="77777777" w:rsidR="008361C5" w:rsidRPr="00200234" w:rsidRDefault="008361C5" w:rsidP="00FA409E">
      <w:pPr>
        <w:keepNext/>
        <w:rPr>
          <w:rFonts w:cs="Segoe UI"/>
        </w:rPr>
      </w:pPr>
      <w:r w:rsidRPr="00200234">
        <w:rPr>
          <w:noProof/>
        </w:rPr>
        <w:drawing>
          <wp:inline distT="0" distB="0" distL="0" distR="0" wp14:anchorId="3530107D" wp14:editId="2D9DB7E2">
            <wp:extent cx="5039995" cy="4774019"/>
            <wp:effectExtent l="0" t="0" r="8255" b="7620"/>
            <wp:docPr id="50" name="Chart 50" descr="This graph shows that the national average number of people secluded in 2018 was about 30 per 100,000. The DHBs with the highest numbers of secluded people were Tairawhiti with about 85 people, Bay of Plenty with about 70 and MidCentral with about 60. The DHBs with the lowest numbers were Wairarapa with none and Waitemata and Auckland with fewer than 10 people each.">
              <a:extLst xmlns:a="http://schemas.openxmlformats.org/drawingml/2006/main">
                <a:ext uri="{FF2B5EF4-FFF2-40B4-BE49-F238E27FC236}">
                  <a16:creationId xmlns:a16="http://schemas.microsoft.com/office/drawing/2014/main" id="{00000000-0008-0000-1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36076C2" w14:textId="706BE676" w:rsidR="008361C5" w:rsidRPr="00200234" w:rsidRDefault="008361C5" w:rsidP="00FA409E">
      <w:pPr>
        <w:pStyle w:val="Note"/>
        <w:keepNext/>
        <w:rPr>
          <w:rFonts w:cs="Segoe UI"/>
        </w:rPr>
      </w:pPr>
      <w:r w:rsidRPr="00200234">
        <w:rPr>
          <w:rFonts w:cs="Segoe UI"/>
        </w:rPr>
        <w:t xml:space="preserve">Notes: The graph uses confidence intervals (for 99 percent confidence) to help in interpreting the data. Where a DHB region’s confidence interval crosses the national average, this means the DHB’s rate was not statistically significantly different from the national average. This data excludes two outliers. It includes patients who have a legal status under the Mental Health Act but are treated in RIDSS. Wairarapa DHB does not have an inpatient unit, </w:t>
      </w:r>
      <w:r w:rsidR="00A107BC">
        <w:rPr>
          <w:rFonts w:cs="Segoe UI"/>
        </w:rPr>
        <w:t xml:space="preserve">so </w:t>
      </w:r>
      <w:r w:rsidRPr="00200234">
        <w:rPr>
          <w:rFonts w:cs="Segoe UI"/>
        </w:rPr>
        <w:t>they have been removed from this graph.</w:t>
      </w:r>
    </w:p>
    <w:p w14:paraId="56B8DE2C" w14:textId="1AC32359" w:rsidR="008361C5" w:rsidRPr="00200234" w:rsidRDefault="008361C5" w:rsidP="008361C5">
      <w:pPr>
        <w:pStyle w:val="Note"/>
      </w:pPr>
      <w:r w:rsidRPr="00200234">
        <w:t>Source</w:t>
      </w:r>
      <w:r w:rsidR="00935BF5" w:rsidRPr="00200234">
        <w:t>s</w:t>
      </w:r>
      <w:r w:rsidRPr="00200234">
        <w:t>:</w:t>
      </w:r>
      <w:r w:rsidR="005466E3" w:rsidRPr="00200234">
        <w:t xml:space="preserve"> </w:t>
      </w:r>
      <w:r w:rsidRPr="00200234">
        <w:t>PRIMHD data</w:t>
      </w:r>
      <w:r w:rsidR="0015429E">
        <w:t xml:space="preserve"> (extracted</w:t>
      </w:r>
      <w:r w:rsidRPr="00200234">
        <w:t xml:space="preserve"> 29 July 2019</w:t>
      </w:r>
      <w:r w:rsidR="00D30615">
        <w:t>)</w:t>
      </w:r>
      <w:r w:rsidRPr="00200234">
        <w:t xml:space="preserve"> and manual data from Lakes, Nelson Marlborough, Southern, and </w:t>
      </w:r>
      <w:proofErr w:type="spellStart"/>
      <w:r w:rsidRPr="00200234">
        <w:t>Waitematā</w:t>
      </w:r>
      <w:proofErr w:type="spellEnd"/>
      <w:r w:rsidRPr="00200234">
        <w:t xml:space="preserve"> DHBs. </w:t>
      </w:r>
    </w:p>
    <w:p w14:paraId="0D3014D4" w14:textId="05208A6E" w:rsidR="008361C5" w:rsidRPr="00200234" w:rsidRDefault="008361C5" w:rsidP="008361C5">
      <w:pPr>
        <w:pStyle w:val="Figure"/>
      </w:pPr>
      <w:bookmarkStart w:id="171" w:name="_Toc63764773"/>
      <w:bookmarkStart w:id="172" w:name="_Toc66716220"/>
      <w:r w:rsidRPr="00200234">
        <w:lastRenderedPageBreak/>
        <w:t xml:space="preserve">Figure </w:t>
      </w:r>
      <w:fldSimple w:instr=" SEQ Figure \* ARABIC ">
        <w:r w:rsidR="00422361">
          <w:rPr>
            <w:noProof/>
          </w:rPr>
          <w:t>38</w:t>
        </w:r>
      </w:fldSimple>
      <w:r w:rsidRPr="00200234">
        <w:t>: Number of people secluded in adult inpatient services per 100,000 population, by DHB, 1 January to 31 December 2019</w:t>
      </w:r>
      <w:bookmarkEnd w:id="171"/>
      <w:bookmarkEnd w:id="172"/>
    </w:p>
    <w:p w14:paraId="089BD080" w14:textId="77777777" w:rsidR="008361C5" w:rsidRPr="00200234" w:rsidRDefault="008361C5" w:rsidP="008361C5">
      <w:pPr>
        <w:rPr>
          <w:rFonts w:cs="Segoe UI"/>
        </w:rPr>
      </w:pPr>
      <w:r w:rsidRPr="00200234">
        <w:rPr>
          <w:noProof/>
        </w:rPr>
        <w:drawing>
          <wp:inline distT="0" distB="0" distL="0" distR="0" wp14:anchorId="55342EAB" wp14:editId="4BAB7380">
            <wp:extent cx="5039995" cy="4625163"/>
            <wp:effectExtent l="0" t="0" r="8255" b="4445"/>
            <wp:docPr id="225" name="Chart 225" descr="This graph shows that the national average number of people secluded in 2019 was about 35 per 100,000. The DHBs with the highest numbers of secluded people were Bay of Plenty with about 80, West Coast with about 65 and Nelson Marlborough with about 60. The DHBs with the lowest numbers were Waitemata and Auckland with fewer than 10 people each.">
              <a:extLst xmlns:a="http://schemas.openxmlformats.org/drawingml/2006/main">
                <a:ext uri="{FF2B5EF4-FFF2-40B4-BE49-F238E27FC236}">
                  <a16:creationId xmlns:a16="http://schemas.microsoft.com/office/drawing/2014/main" id="{00000000-0008-0000-1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C9A7CEA" w14:textId="4B2FD5DD" w:rsidR="008361C5" w:rsidRPr="00200234" w:rsidRDefault="008361C5" w:rsidP="008361C5">
      <w:pPr>
        <w:pStyle w:val="Note"/>
        <w:rPr>
          <w:rFonts w:cs="Segoe UI"/>
        </w:rPr>
      </w:pPr>
      <w:r w:rsidRPr="00200234">
        <w:rPr>
          <w:rFonts w:cs="Segoe UI"/>
        </w:rPr>
        <w:t xml:space="preserve">Notes: The graph uses confidence intervals (for 99 percent confidence) to help in interpreting the data. Where a DHB region’s confidence interval crosses the national average, this means the DHB’s rate was not statistically significantly different from the national average. This data excludes two outliers. It includes patients who have a legal status under the Mental Health Act but are treated in RIDSS. Wairarapa DHB does not have an inpatient unit, </w:t>
      </w:r>
      <w:r w:rsidR="0030648F">
        <w:rPr>
          <w:rFonts w:cs="Segoe UI"/>
        </w:rPr>
        <w:t xml:space="preserve">so </w:t>
      </w:r>
      <w:r w:rsidRPr="00200234">
        <w:rPr>
          <w:rFonts w:cs="Segoe UI"/>
        </w:rPr>
        <w:t>they have been removed from this graph.</w:t>
      </w:r>
    </w:p>
    <w:p w14:paraId="2DB7029D" w14:textId="1066FDAE" w:rsidR="008361C5" w:rsidRPr="00200234" w:rsidRDefault="008361C5" w:rsidP="008361C5">
      <w:pPr>
        <w:pStyle w:val="Note"/>
      </w:pPr>
      <w:r w:rsidRPr="00200234">
        <w:t>Source</w:t>
      </w:r>
      <w:r w:rsidR="00935BF5" w:rsidRPr="00200234">
        <w:t>s</w:t>
      </w:r>
      <w:r w:rsidRPr="00200234">
        <w:t>:</w:t>
      </w:r>
      <w:r w:rsidR="005466E3" w:rsidRPr="00200234">
        <w:t xml:space="preserve"> </w:t>
      </w:r>
      <w:r w:rsidRPr="00200234">
        <w:t>PRIMHD data</w:t>
      </w:r>
      <w:r w:rsidR="0015429E">
        <w:t xml:space="preserve"> (extracted</w:t>
      </w:r>
      <w:r w:rsidRPr="00200234">
        <w:t xml:space="preserve"> 19 October 2020</w:t>
      </w:r>
      <w:r w:rsidR="00D30615">
        <w:t>)</w:t>
      </w:r>
      <w:r w:rsidRPr="00200234">
        <w:t xml:space="preserve"> and manual data from Southern and Whanganui DHBs. </w:t>
      </w:r>
    </w:p>
    <w:p w14:paraId="60EC0033" w14:textId="77777777" w:rsidR="008361C5" w:rsidRPr="00200234" w:rsidRDefault="008361C5" w:rsidP="008361C5"/>
    <w:p w14:paraId="58D08316" w14:textId="31340515" w:rsidR="008361C5" w:rsidRPr="00200234" w:rsidRDefault="008361C5" w:rsidP="008361C5">
      <w:pPr>
        <w:pStyle w:val="Figure"/>
      </w:pPr>
      <w:bookmarkStart w:id="173" w:name="_Toc63764774"/>
      <w:bookmarkStart w:id="174" w:name="_Toc66716221"/>
      <w:r w:rsidRPr="00200234">
        <w:lastRenderedPageBreak/>
        <w:t xml:space="preserve">Figure </w:t>
      </w:r>
      <w:fldSimple w:instr=" SEQ Figure \* ARABIC ">
        <w:r w:rsidR="00422361">
          <w:rPr>
            <w:noProof/>
          </w:rPr>
          <w:t>39</w:t>
        </w:r>
      </w:fldSimple>
      <w:r w:rsidRPr="00200234">
        <w:t>: Number of seclusion events in adult inpatient services per 100,000 population, by DHB, 1 January to 31 December 2018</w:t>
      </w:r>
      <w:bookmarkEnd w:id="173"/>
      <w:bookmarkEnd w:id="174"/>
    </w:p>
    <w:p w14:paraId="5241C5AC" w14:textId="77777777" w:rsidR="008361C5" w:rsidRPr="00200234" w:rsidRDefault="008361C5" w:rsidP="00585039">
      <w:pPr>
        <w:keepNext/>
        <w:rPr>
          <w:rFonts w:cs="Segoe UI"/>
        </w:rPr>
      </w:pPr>
      <w:r w:rsidRPr="00200234">
        <w:rPr>
          <w:noProof/>
        </w:rPr>
        <w:drawing>
          <wp:inline distT="0" distB="0" distL="0" distR="0" wp14:anchorId="6FC1777D" wp14:editId="25DB67CD">
            <wp:extent cx="5039995" cy="4572000"/>
            <wp:effectExtent l="0" t="0" r="8255" b="0"/>
            <wp:docPr id="51" name="Chart 51" descr="This graph shows that the national average number of seclusion events in 2018 was about 50 per 100,000 people. The DHBs with the highest numbers of seclusion events were Tairawhiti with about 160, Southern with about 150 and Bay of Plenty with about 125. The DHBs with the lowest numbers were Wairarapa with none and Waitemata and Auckland with fewer than 10 each.">
              <a:extLst xmlns:a="http://schemas.openxmlformats.org/drawingml/2006/main">
                <a:ext uri="{FF2B5EF4-FFF2-40B4-BE49-F238E27FC236}">
                  <a16:creationId xmlns:a16="http://schemas.microsoft.com/office/drawing/2014/main" id="{00000000-0008-0000-1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04939CA" w14:textId="5A1EC09F" w:rsidR="008361C5" w:rsidRPr="00200234" w:rsidRDefault="008361C5" w:rsidP="00585039">
      <w:pPr>
        <w:pStyle w:val="Note"/>
        <w:keepNext/>
        <w:rPr>
          <w:rFonts w:cs="Segoe UI"/>
        </w:rPr>
      </w:pPr>
      <w:r w:rsidRPr="00200234">
        <w:rPr>
          <w:rFonts w:cs="Segoe UI"/>
        </w:rPr>
        <w:t xml:space="preserve">Notes: The graph uses confidence intervals (for 99 percent confidence) to help in interpreting the data. Where a DHB region’s confidence interval crosses the national average, this means the DHB’s rate was not statistically significantly different from the national average. This data excludes two outliers. It includes patients who have a legal status under the Mental Health Act but are treated in RIDSS. Wairarapa DHB does not have an inpatient unit, </w:t>
      </w:r>
      <w:r w:rsidR="0030648F">
        <w:rPr>
          <w:rFonts w:cs="Segoe UI"/>
        </w:rPr>
        <w:t xml:space="preserve">so </w:t>
      </w:r>
      <w:r w:rsidRPr="00200234">
        <w:rPr>
          <w:rFonts w:cs="Segoe UI"/>
        </w:rPr>
        <w:t>they have been removed from this graph.</w:t>
      </w:r>
    </w:p>
    <w:p w14:paraId="543AE036" w14:textId="0976F7DE" w:rsidR="008361C5" w:rsidRPr="00200234" w:rsidRDefault="008361C5" w:rsidP="008361C5">
      <w:pPr>
        <w:pStyle w:val="Note"/>
      </w:pPr>
      <w:r w:rsidRPr="00200234">
        <w:t>Source</w:t>
      </w:r>
      <w:r w:rsidR="00935BF5" w:rsidRPr="00200234">
        <w:t>s</w:t>
      </w:r>
      <w:r w:rsidRPr="00200234">
        <w:t>:</w:t>
      </w:r>
      <w:r w:rsidR="005466E3" w:rsidRPr="00200234">
        <w:t xml:space="preserve"> </w:t>
      </w:r>
      <w:r w:rsidRPr="00200234">
        <w:t>PRIMHD data</w:t>
      </w:r>
      <w:r w:rsidR="0015429E">
        <w:t xml:space="preserve"> (extracted</w:t>
      </w:r>
      <w:r w:rsidRPr="00200234">
        <w:t xml:space="preserve"> 29 July 2019</w:t>
      </w:r>
      <w:r w:rsidR="00D30615">
        <w:t>)</w:t>
      </w:r>
      <w:r w:rsidRPr="00200234">
        <w:t xml:space="preserve"> and manual data from Lakes, Nelson Marlborough, Southern, and </w:t>
      </w:r>
      <w:proofErr w:type="spellStart"/>
      <w:r w:rsidRPr="00200234">
        <w:t>Waitematā</w:t>
      </w:r>
      <w:proofErr w:type="spellEnd"/>
      <w:r w:rsidRPr="00200234">
        <w:t xml:space="preserve"> DHBs. </w:t>
      </w:r>
    </w:p>
    <w:p w14:paraId="71B84BAF" w14:textId="77777777" w:rsidR="008361C5" w:rsidRPr="00ED4FA1" w:rsidRDefault="008361C5" w:rsidP="008361C5">
      <w:pPr>
        <w:pStyle w:val="Bullet"/>
        <w:numPr>
          <w:ilvl w:val="0"/>
          <w:numId w:val="0"/>
        </w:numPr>
        <w:rPr>
          <w:rFonts w:cs="Segoe UI"/>
          <w:szCs w:val="21"/>
        </w:rPr>
      </w:pPr>
    </w:p>
    <w:p w14:paraId="463C7122" w14:textId="3F2D7A95" w:rsidR="008361C5" w:rsidRPr="00200234" w:rsidRDefault="008361C5" w:rsidP="008361C5">
      <w:pPr>
        <w:pStyle w:val="Figure"/>
      </w:pPr>
      <w:bookmarkStart w:id="175" w:name="_Toc63764775"/>
      <w:bookmarkStart w:id="176" w:name="_Toc66716222"/>
      <w:r w:rsidRPr="00200234">
        <w:lastRenderedPageBreak/>
        <w:t xml:space="preserve">Figure </w:t>
      </w:r>
      <w:fldSimple w:instr=" SEQ Figure \* ARABIC ">
        <w:r w:rsidR="00422361">
          <w:rPr>
            <w:noProof/>
          </w:rPr>
          <w:t>40</w:t>
        </w:r>
      </w:fldSimple>
      <w:r w:rsidRPr="00200234">
        <w:t>: Number of seclusion events in adult inpatient services per 100,000 population, by DHB, 1 January to 31 December 2019</w:t>
      </w:r>
      <w:bookmarkEnd w:id="175"/>
      <w:bookmarkEnd w:id="176"/>
    </w:p>
    <w:p w14:paraId="17CD093C" w14:textId="77777777" w:rsidR="008361C5" w:rsidRPr="00200234" w:rsidRDefault="008361C5" w:rsidP="00585039">
      <w:pPr>
        <w:keepNext/>
        <w:rPr>
          <w:rFonts w:cs="Segoe UI"/>
        </w:rPr>
      </w:pPr>
      <w:r w:rsidRPr="00200234">
        <w:rPr>
          <w:noProof/>
        </w:rPr>
        <w:drawing>
          <wp:inline distT="0" distB="0" distL="0" distR="0" wp14:anchorId="06266E45" wp14:editId="7D5AF677">
            <wp:extent cx="5039995" cy="4455042"/>
            <wp:effectExtent l="0" t="0" r="8255" b="3175"/>
            <wp:docPr id="228" name="Chart 228" descr="This graph shows that the national average number of seclusion events in 2019 was about 60 per 100,000 people. The DHBs with the highest numbers of seclusion events were Bay of Plenty with about 175, and MidCentral, Nelson Marlborough and Southern with about 100 each. The DHBs with the lowest numbers were Waitemata and Auckland with fewer than 10 each and South Canterbury with about 20.">
              <a:extLst xmlns:a="http://schemas.openxmlformats.org/drawingml/2006/main">
                <a:ext uri="{FF2B5EF4-FFF2-40B4-BE49-F238E27FC236}">
                  <a16:creationId xmlns:a16="http://schemas.microsoft.com/office/drawing/2014/main" id="{00000000-0008-0000-1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FE7FB25" w14:textId="340FAEC8" w:rsidR="008361C5" w:rsidRPr="00200234" w:rsidRDefault="008361C5" w:rsidP="00585039">
      <w:pPr>
        <w:pStyle w:val="Note"/>
        <w:keepNext/>
        <w:rPr>
          <w:rFonts w:cs="Segoe UI"/>
        </w:rPr>
      </w:pPr>
      <w:r w:rsidRPr="00200234">
        <w:rPr>
          <w:rFonts w:cs="Segoe UI"/>
        </w:rPr>
        <w:t xml:space="preserve">Notes: The graph uses confidence intervals (for 99 percent confidence) to help in interpreting the data. Where a DHB region’s confidence interval crosses the national average, this means the DHB’s rate was not statistically significantly different from the national average. This data excludes two outliers. It includes patients who have a legal status under the Mental Health Act but are treated in RIDSS. Wairarapa DHB does not have an inpatient unit, </w:t>
      </w:r>
      <w:r w:rsidR="006B7B0E">
        <w:rPr>
          <w:rFonts w:cs="Segoe UI"/>
        </w:rPr>
        <w:t xml:space="preserve">so </w:t>
      </w:r>
      <w:r w:rsidRPr="00200234">
        <w:rPr>
          <w:rFonts w:cs="Segoe UI"/>
        </w:rPr>
        <w:t>they have been removed from this graph.</w:t>
      </w:r>
    </w:p>
    <w:p w14:paraId="719A84B1" w14:textId="1652D358" w:rsidR="008361C5" w:rsidRPr="00200234" w:rsidRDefault="008361C5" w:rsidP="008361C5">
      <w:pPr>
        <w:pStyle w:val="Note"/>
      </w:pPr>
      <w:r w:rsidRPr="00200234">
        <w:t>Source</w:t>
      </w:r>
      <w:r w:rsidR="00935BF5" w:rsidRPr="00200234">
        <w:t>s</w:t>
      </w:r>
      <w:r w:rsidRPr="00200234">
        <w:t>:</w:t>
      </w:r>
      <w:r w:rsidR="005466E3" w:rsidRPr="00200234">
        <w:t xml:space="preserve"> </w:t>
      </w:r>
      <w:r w:rsidRPr="00200234">
        <w:t>PRIMHD data</w:t>
      </w:r>
      <w:r w:rsidR="0015429E">
        <w:t xml:space="preserve"> (extracted</w:t>
      </w:r>
      <w:r w:rsidRPr="00200234">
        <w:t xml:space="preserve"> 19 October 2020</w:t>
      </w:r>
      <w:r w:rsidR="00D30615">
        <w:t>)</w:t>
      </w:r>
      <w:r w:rsidRPr="00200234">
        <w:t xml:space="preserve"> and manual data from Southern and Whanganui DHBs. </w:t>
      </w:r>
    </w:p>
    <w:p w14:paraId="182E184D" w14:textId="77777777" w:rsidR="008361C5" w:rsidRPr="00200234" w:rsidRDefault="008361C5" w:rsidP="00DC3196">
      <w:pPr>
        <w:pStyle w:val="Heading2"/>
      </w:pPr>
      <w:bookmarkStart w:id="177" w:name="_Toc65141625"/>
      <w:bookmarkStart w:id="178" w:name="_Toc69307706"/>
      <w:r w:rsidRPr="00200234">
        <w:t>Seclusion and ethnicity</w:t>
      </w:r>
      <w:bookmarkEnd w:id="177"/>
      <w:bookmarkEnd w:id="178"/>
    </w:p>
    <w:p w14:paraId="3B66F693" w14:textId="4F4D9D1D" w:rsidR="008361C5" w:rsidRPr="00200234" w:rsidRDefault="008361C5" w:rsidP="00585039">
      <w:r w:rsidRPr="00200234">
        <w:t xml:space="preserve">In 2018, Māori were five times more likely to be secluded in adult inpatient services than people from other ethnic groups. </w:t>
      </w:r>
      <w:r w:rsidR="001B42F3" w:rsidRPr="00200234">
        <w:fldChar w:fldCharType="begin"/>
      </w:r>
      <w:r w:rsidR="001B42F3" w:rsidRPr="00200234">
        <w:instrText xml:space="preserve"> REF _Ref65672381 \h </w:instrText>
      </w:r>
      <w:r w:rsidR="001B42F3" w:rsidRPr="00200234">
        <w:fldChar w:fldCharType="separate"/>
      </w:r>
      <w:r w:rsidR="00422361" w:rsidRPr="00200234">
        <w:t xml:space="preserve">Figure </w:t>
      </w:r>
      <w:r w:rsidR="00422361">
        <w:rPr>
          <w:noProof/>
        </w:rPr>
        <w:t>41</w:t>
      </w:r>
      <w:r w:rsidR="001B42F3" w:rsidRPr="00200234">
        <w:fldChar w:fldCharType="end"/>
      </w:r>
      <w:r w:rsidRPr="00200234">
        <w:t xml:space="preserve"> shows seclusion indicators for Māori and non-Māori during 2018. Māori were secluded at a rate of 94.5 people per 100,000 population and non-Māori at a rate of 19 people per 100,000 population.</w:t>
      </w:r>
    </w:p>
    <w:p w14:paraId="5C040D46" w14:textId="77777777" w:rsidR="00585039" w:rsidRPr="00200234" w:rsidRDefault="00585039" w:rsidP="00585039"/>
    <w:p w14:paraId="780E2C82" w14:textId="3FE93EFF" w:rsidR="008361C5" w:rsidRPr="00200234" w:rsidRDefault="008361C5" w:rsidP="008361C5">
      <w:pPr>
        <w:rPr>
          <w:rFonts w:cs="Segoe UI"/>
        </w:rPr>
      </w:pPr>
      <w:r w:rsidRPr="00200234">
        <w:rPr>
          <w:rFonts w:cs="Segoe UI"/>
        </w:rPr>
        <w:t xml:space="preserve">In 2019, Māori were five times more likely to be secluded in adult inpatient services than people from other ethnic groups. </w:t>
      </w:r>
      <w:r w:rsidR="001B42F3" w:rsidRPr="00200234">
        <w:rPr>
          <w:rFonts w:cs="Segoe UI"/>
        </w:rPr>
        <w:fldChar w:fldCharType="begin"/>
      </w:r>
      <w:r w:rsidR="001B42F3" w:rsidRPr="00200234">
        <w:rPr>
          <w:rFonts w:cs="Segoe UI"/>
        </w:rPr>
        <w:instrText xml:space="preserve"> REF _Ref65672386 \h </w:instrText>
      </w:r>
      <w:r w:rsidR="001B42F3" w:rsidRPr="00200234">
        <w:rPr>
          <w:rFonts w:cs="Segoe UI"/>
        </w:rPr>
      </w:r>
      <w:r w:rsidR="001B42F3" w:rsidRPr="00200234">
        <w:rPr>
          <w:rFonts w:cs="Segoe UI"/>
        </w:rPr>
        <w:fldChar w:fldCharType="separate"/>
      </w:r>
      <w:r w:rsidR="00422361" w:rsidRPr="00200234">
        <w:t xml:space="preserve">Figure </w:t>
      </w:r>
      <w:r w:rsidR="00422361">
        <w:rPr>
          <w:noProof/>
        </w:rPr>
        <w:t>42</w:t>
      </w:r>
      <w:r w:rsidR="001B42F3" w:rsidRPr="00200234">
        <w:rPr>
          <w:rFonts w:cs="Segoe UI"/>
        </w:rPr>
        <w:fldChar w:fldCharType="end"/>
      </w:r>
      <w:r w:rsidRPr="00200234">
        <w:rPr>
          <w:rFonts w:cs="Segoe UI"/>
        </w:rPr>
        <w:t xml:space="preserve"> shows seclusion indicators for Māori and non-Māori during 2019. Māori were secluded at a rate of 100.7 people per 100,000 population and non-Māori at a rate of 20.1 people per 100,000 population. </w:t>
      </w:r>
    </w:p>
    <w:p w14:paraId="523391E3" w14:textId="77777777" w:rsidR="008361C5" w:rsidRPr="00200234" w:rsidRDefault="008361C5" w:rsidP="008361C5"/>
    <w:p w14:paraId="1F70951F" w14:textId="524057F7" w:rsidR="008361C5" w:rsidRPr="00200234" w:rsidRDefault="008361C5" w:rsidP="008361C5">
      <w:pPr>
        <w:pStyle w:val="Figure"/>
      </w:pPr>
      <w:bookmarkStart w:id="179" w:name="_Ref65672381"/>
      <w:bookmarkStart w:id="180" w:name="_Toc63764776"/>
      <w:bookmarkStart w:id="181" w:name="_Toc66716223"/>
      <w:r w:rsidRPr="00200234">
        <w:lastRenderedPageBreak/>
        <w:t xml:space="preserve">Figure </w:t>
      </w:r>
      <w:fldSimple w:instr=" SEQ Figure \* ARABIC ">
        <w:r w:rsidR="00422361">
          <w:rPr>
            <w:noProof/>
          </w:rPr>
          <w:t>41</w:t>
        </w:r>
      </w:fldSimple>
      <w:bookmarkEnd w:id="179"/>
      <w:r w:rsidRPr="00200234">
        <w:t>: Seclusion indicators for adult inpatient services, Māori and non-Māori, 1 January to 31 December 2018</w:t>
      </w:r>
      <w:bookmarkEnd w:id="180"/>
      <w:bookmarkEnd w:id="181"/>
    </w:p>
    <w:p w14:paraId="3D159011" w14:textId="77777777" w:rsidR="008361C5" w:rsidRPr="00200234" w:rsidRDefault="008361C5" w:rsidP="00DB71CC">
      <w:pPr>
        <w:keepNext/>
        <w:rPr>
          <w:rFonts w:cs="Segoe UI"/>
        </w:rPr>
      </w:pPr>
      <w:r w:rsidRPr="00200234">
        <w:rPr>
          <w:noProof/>
        </w:rPr>
        <w:drawing>
          <wp:inline distT="0" distB="0" distL="0" distR="0" wp14:anchorId="2233B39F" wp14:editId="75FD28CC">
            <wp:extent cx="5040000" cy="2998381"/>
            <wp:effectExtent l="0" t="0" r="8255" b="0"/>
            <wp:docPr id="229" name="Chart 229" descr="This bar graph shows that in 2018 there were more seclusion events affecting Māori than non-Māori.">
              <a:extLst xmlns:a="http://schemas.openxmlformats.org/drawingml/2006/main">
                <a:ext uri="{FF2B5EF4-FFF2-40B4-BE49-F238E27FC236}">
                  <a16:creationId xmlns:a16="http://schemas.microsoft.com/office/drawing/2014/main" id="{10BB3C40-C076-4789-8BA1-22A440A150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F44B2CA" w14:textId="2211C82F" w:rsidR="008361C5" w:rsidRPr="00200234" w:rsidRDefault="008361C5" w:rsidP="00DB71CC">
      <w:pPr>
        <w:pStyle w:val="Note"/>
        <w:keepNext/>
      </w:pPr>
      <w:r w:rsidRPr="00200234">
        <w:t xml:space="preserve">Note: </w:t>
      </w:r>
      <w:r w:rsidR="003B6C68" w:rsidRPr="00200234">
        <w:t>E</w:t>
      </w:r>
      <w:r w:rsidRPr="00200234">
        <w:t>xcludes two outliers</w:t>
      </w:r>
      <w:r w:rsidR="004A6450" w:rsidRPr="00200234">
        <w:t>,</w:t>
      </w:r>
      <w:r w:rsidRPr="00200234">
        <w:t xml:space="preserve"> forensic services</w:t>
      </w:r>
      <w:r w:rsidR="004A6450" w:rsidRPr="00200234">
        <w:t>, and patients who have a legal status under the Intellectual Disability (Compulsory Care and Rehabilitation) Act 2003</w:t>
      </w:r>
      <w:r w:rsidRPr="00200234">
        <w:t xml:space="preserve">. </w:t>
      </w:r>
      <w:r w:rsidR="003B6C68" w:rsidRPr="00200234">
        <w:rPr>
          <w:rFonts w:cs="Segoe UI"/>
        </w:rPr>
        <w:t>I</w:t>
      </w:r>
      <w:r w:rsidRPr="00200234">
        <w:rPr>
          <w:rFonts w:cs="Segoe UI"/>
        </w:rPr>
        <w:t>ncludes patients who have a legal status under the Mental Health Act but are treated in RIDSS.</w:t>
      </w:r>
    </w:p>
    <w:p w14:paraId="098BEEB1" w14:textId="7867DDA9" w:rsidR="008361C5" w:rsidRPr="00200234" w:rsidRDefault="008361C5" w:rsidP="008361C5">
      <w:pPr>
        <w:pStyle w:val="Note"/>
      </w:pPr>
      <w:r w:rsidRPr="00200234">
        <w:t>Source</w:t>
      </w:r>
      <w:r w:rsidR="00935BF5" w:rsidRPr="00200234">
        <w:t>s</w:t>
      </w:r>
      <w:r w:rsidRPr="00200234">
        <w:t>: PRIMHD data</w:t>
      </w:r>
      <w:r w:rsidR="0015429E">
        <w:t xml:space="preserve"> (extracted</w:t>
      </w:r>
      <w:r w:rsidRPr="00200234">
        <w:t xml:space="preserve"> 29 July 2019</w:t>
      </w:r>
      <w:r w:rsidR="00D30615">
        <w:t>)</w:t>
      </w:r>
      <w:r w:rsidRPr="00200234">
        <w:t xml:space="preserve"> and manual data from Lakes, Nelson Marlborough, Southern, and </w:t>
      </w:r>
      <w:proofErr w:type="spellStart"/>
      <w:r w:rsidRPr="00200234">
        <w:t>Waitematā</w:t>
      </w:r>
      <w:proofErr w:type="spellEnd"/>
      <w:r w:rsidRPr="00200234">
        <w:t xml:space="preserve"> DHBs. </w:t>
      </w:r>
    </w:p>
    <w:p w14:paraId="5850A0CA" w14:textId="77777777" w:rsidR="008361C5" w:rsidRPr="00200234" w:rsidRDefault="008361C5" w:rsidP="00DB71CC"/>
    <w:p w14:paraId="283550D5" w14:textId="0A204018" w:rsidR="008361C5" w:rsidRPr="00200234" w:rsidRDefault="008361C5" w:rsidP="008361C5">
      <w:pPr>
        <w:pStyle w:val="Figure"/>
      </w:pPr>
      <w:bookmarkStart w:id="182" w:name="_Ref65672386"/>
      <w:bookmarkStart w:id="183" w:name="_Toc63764777"/>
      <w:bookmarkStart w:id="184" w:name="_Toc66716224"/>
      <w:r w:rsidRPr="00200234">
        <w:t xml:space="preserve">Figure </w:t>
      </w:r>
      <w:fldSimple w:instr=" SEQ Figure \* ARABIC ">
        <w:r w:rsidR="00422361">
          <w:rPr>
            <w:noProof/>
          </w:rPr>
          <w:t>42</w:t>
        </w:r>
      </w:fldSimple>
      <w:bookmarkEnd w:id="182"/>
      <w:r w:rsidRPr="00200234">
        <w:t>: Seclusion indicators for adult inpatient services, Māori and non-Māori, 1</w:t>
      </w:r>
      <w:r w:rsidR="00A6275C">
        <w:t> </w:t>
      </w:r>
      <w:r w:rsidRPr="00200234">
        <w:t>January to 31 December 2019</w:t>
      </w:r>
      <w:bookmarkEnd w:id="183"/>
      <w:bookmarkEnd w:id="184"/>
    </w:p>
    <w:p w14:paraId="206AC0FD" w14:textId="77777777" w:rsidR="008361C5" w:rsidRPr="00200234" w:rsidRDefault="008361C5" w:rsidP="00DB71CC">
      <w:pPr>
        <w:keepNext/>
        <w:rPr>
          <w:rFonts w:cs="Segoe UI"/>
        </w:rPr>
      </w:pPr>
      <w:r w:rsidRPr="00200234">
        <w:rPr>
          <w:noProof/>
        </w:rPr>
        <w:drawing>
          <wp:inline distT="0" distB="0" distL="0" distR="0" wp14:anchorId="770F4139" wp14:editId="043681C0">
            <wp:extent cx="5040000" cy="3051545"/>
            <wp:effectExtent l="0" t="0" r="8255" b="0"/>
            <wp:docPr id="231" name="Chart 231" descr="This bar graph shows that in 2018 there were more seclusion events affecting Māori than non-Māori.">
              <a:extLst xmlns:a="http://schemas.openxmlformats.org/drawingml/2006/main">
                <a:ext uri="{FF2B5EF4-FFF2-40B4-BE49-F238E27FC236}">
                  <a16:creationId xmlns:a16="http://schemas.microsoft.com/office/drawing/2014/main" id="{CBD04E68-0D92-4970-ACFF-F671285F5C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A7A79EF" w14:textId="48443A59" w:rsidR="008361C5" w:rsidRPr="00200234" w:rsidRDefault="008361C5" w:rsidP="00DB71CC">
      <w:pPr>
        <w:pStyle w:val="Note"/>
        <w:keepNext/>
      </w:pPr>
      <w:r w:rsidRPr="00200234">
        <w:t xml:space="preserve">Note: </w:t>
      </w:r>
      <w:r w:rsidR="00DF150B" w:rsidRPr="00200234">
        <w:t>Excludes two outliers</w:t>
      </w:r>
      <w:r w:rsidR="00B02670">
        <w:t>,</w:t>
      </w:r>
      <w:r w:rsidR="00DF150B" w:rsidRPr="00200234">
        <w:t xml:space="preserve"> forensic services, and patients who have a legal status under the Intellectual Disability (Compulsory Care and Rehabilitation) Act 2003</w:t>
      </w:r>
      <w:r w:rsidRPr="00200234">
        <w:t xml:space="preserve">. </w:t>
      </w:r>
      <w:r w:rsidR="003B6C68" w:rsidRPr="00200234">
        <w:rPr>
          <w:rFonts w:cs="Segoe UI"/>
        </w:rPr>
        <w:t>I</w:t>
      </w:r>
      <w:r w:rsidRPr="00200234">
        <w:rPr>
          <w:rFonts w:cs="Segoe UI"/>
        </w:rPr>
        <w:t>ncludes patients who have a legal status under the Mental Health Act but are treated in RIDSS.</w:t>
      </w:r>
    </w:p>
    <w:p w14:paraId="07A49F5E" w14:textId="3AA15212" w:rsidR="008361C5" w:rsidRPr="00200234" w:rsidRDefault="008361C5" w:rsidP="008361C5">
      <w:pPr>
        <w:pStyle w:val="Note"/>
      </w:pPr>
      <w:r w:rsidRPr="00200234">
        <w:t>Source</w:t>
      </w:r>
      <w:r w:rsidR="00935BF5" w:rsidRPr="00200234">
        <w:t>s</w:t>
      </w:r>
      <w:r w:rsidRPr="00200234">
        <w:t>: PRIMHD data</w:t>
      </w:r>
      <w:r w:rsidR="0015429E">
        <w:t xml:space="preserve"> (extracted</w:t>
      </w:r>
      <w:r w:rsidRPr="00200234">
        <w:t xml:space="preserve"> 19 October 2020</w:t>
      </w:r>
      <w:r w:rsidR="00D30615">
        <w:t>)</w:t>
      </w:r>
      <w:r w:rsidRPr="00200234">
        <w:t xml:space="preserve"> and manual data from Southern and Whanganui DHBs.</w:t>
      </w:r>
    </w:p>
    <w:p w14:paraId="51828EF2" w14:textId="44DFC611" w:rsidR="008361C5" w:rsidRPr="00200234" w:rsidRDefault="008361C5" w:rsidP="008361C5">
      <w:pPr>
        <w:pStyle w:val="Figure"/>
      </w:pPr>
      <w:bookmarkStart w:id="185" w:name="_Toc63764778"/>
      <w:bookmarkStart w:id="186" w:name="_Toc66716225"/>
      <w:r w:rsidRPr="00200234">
        <w:lastRenderedPageBreak/>
        <w:t xml:space="preserve">Figure </w:t>
      </w:r>
      <w:fldSimple w:instr=" SEQ Figure \* ARABIC ">
        <w:r w:rsidR="00422361">
          <w:rPr>
            <w:noProof/>
          </w:rPr>
          <w:t>43</w:t>
        </w:r>
      </w:fldSimple>
      <w:r w:rsidRPr="00200234">
        <w:t>: Percentage of people spending time in seclusion in adult inpatient services, Māori and non-Māori males and females, 1 January to 31 December 2018</w:t>
      </w:r>
      <w:bookmarkEnd w:id="185"/>
      <w:bookmarkEnd w:id="186"/>
    </w:p>
    <w:p w14:paraId="18B2C3CA" w14:textId="77777777" w:rsidR="008361C5" w:rsidRPr="00200234" w:rsidRDefault="008361C5" w:rsidP="00DB71CC">
      <w:pPr>
        <w:keepNext/>
        <w:rPr>
          <w:rFonts w:cs="Segoe UI"/>
        </w:rPr>
      </w:pPr>
      <w:r w:rsidRPr="00200234">
        <w:rPr>
          <w:noProof/>
        </w:rPr>
        <w:drawing>
          <wp:inline distT="0" distB="0" distL="0" distR="0" wp14:anchorId="627E5B7E" wp14:editId="2BA8AD88">
            <wp:extent cx="5177790" cy="3026979"/>
            <wp:effectExtent l="0" t="0" r="3810" b="2540"/>
            <wp:docPr id="53" name="Chart 53" descr="This bar graph shows that in 2018, about 16% of Māori males were secluded compared with about 10% of non-Māori males. About 12% of Māori females were secluded compared to about 4% of non-Māori females.">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D0DE91D" w14:textId="56B816E9" w:rsidR="008361C5" w:rsidRPr="00200234" w:rsidRDefault="008361C5" w:rsidP="00DB71CC">
      <w:pPr>
        <w:pStyle w:val="Note"/>
        <w:keepNext/>
      </w:pPr>
      <w:r w:rsidRPr="00200234">
        <w:t xml:space="preserve">Note: </w:t>
      </w:r>
      <w:r w:rsidR="00DF150B" w:rsidRPr="00200234">
        <w:t>Excludes two outliers</w:t>
      </w:r>
      <w:r w:rsidR="007B6908">
        <w:t>,</w:t>
      </w:r>
      <w:r w:rsidR="00DF150B" w:rsidRPr="00200234">
        <w:t xml:space="preserve"> forensic services, and patients who have a legal status under the Intellectual Disability (Compulsory Care and Rehabilitation) Act 2003</w:t>
      </w:r>
      <w:r w:rsidRPr="00200234">
        <w:t xml:space="preserve">. </w:t>
      </w:r>
      <w:r w:rsidR="003B6C68" w:rsidRPr="00200234">
        <w:rPr>
          <w:rFonts w:cs="Segoe UI"/>
        </w:rPr>
        <w:t>I</w:t>
      </w:r>
      <w:r w:rsidRPr="00200234">
        <w:rPr>
          <w:rFonts w:cs="Segoe UI"/>
        </w:rPr>
        <w:t xml:space="preserve">ncludes patients who have a legal status under the Mental Health Act but are treated in RIDSS. </w:t>
      </w:r>
    </w:p>
    <w:p w14:paraId="39B4B103" w14:textId="7AC64750" w:rsidR="008361C5" w:rsidRPr="00200234" w:rsidRDefault="008361C5" w:rsidP="008361C5">
      <w:pPr>
        <w:pStyle w:val="Note"/>
      </w:pPr>
      <w:r w:rsidRPr="00200234">
        <w:t>Source</w:t>
      </w:r>
      <w:r w:rsidR="00935BF5" w:rsidRPr="00200234">
        <w:t>s</w:t>
      </w:r>
      <w:r w:rsidRPr="00200234">
        <w:t>: PRIMHD data</w:t>
      </w:r>
      <w:r w:rsidR="0015429E">
        <w:t xml:space="preserve"> (extracted</w:t>
      </w:r>
      <w:r w:rsidRPr="00200234">
        <w:t xml:space="preserve"> 29 July 2019</w:t>
      </w:r>
      <w:r w:rsidR="00D30615">
        <w:t>)</w:t>
      </w:r>
      <w:r w:rsidRPr="00200234">
        <w:t xml:space="preserve"> and manual data from Lakes, Nelson Marlborough, Southern, and </w:t>
      </w:r>
      <w:proofErr w:type="spellStart"/>
      <w:r w:rsidRPr="00200234">
        <w:t>Waitematā</w:t>
      </w:r>
      <w:proofErr w:type="spellEnd"/>
      <w:r w:rsidRPr="00200234">
        <w:t xml:space="preserve"> DHBs. </w:t>
      </w:r>
    </w:p>
    <w:p w14:paraId="63F791C3" w14:textId="77777777" w:rsidR="008361C5" w:rsidRPr="00ED4FA1" w:rsidRDefault="008361C5" w:rsidP="008361C5">
      <w:pPr>
        <w:pStyle w:val="Bullet"/>
        <w:numPr>
          <w:ilvl w:val="0"/>
          <w:numId w:val="0"/>
        </w:numPr>
        <w:rPr>
          <w:rFonts w:cs="Segoe UI"/>
          <w:szCs w:val="21"/>
        </w:rPr>
      </w:pPr>
    </w:p>
    <w:p w14:paraId="2B9FBF3B" w14:textId="0FC02262" w:rsidR="008361C5" w:rsidRPr="00200234" w:rsidRDefault="008361C5" w:rsidP="008361C5">
      <w:pPr>
        <w:pStyle w:val="Figure"/>
      </w:pPr>
      <w:bookmarkStart w:id="187" w:name="_Toc63764779"/>
      <w:bookmarkStart w:id="188" w:name="_Toc66716226"/>
      <w:r w:rsidRPr="00200234">
        <w:t xml:space="preserve">Figure </w:t>
      </w:r>
      <w:fldSimple w:instr=" SEQ Figure \* ARABIC ">
        <w:r w:rsidR="00422361">
          <w:rPr>
            <w:noProof/>
          </w:rPr>
          <w:t>44</w:t>
        </w:r>
      </w:fldSimple>
      <w:r w:rsidRPr="00200234">
        <w:t>: Percentage of people spending time in seclusion in adult inpatient services, Māori and non-Māori males and females, 1 January to 31 December 2019</w:t>
      </w:r>
      <w:bookmarkEnd w:id="187"/>
      <w:bookmarkEnd w:id="188"/>
    </w:p>
    <w:p w14:paraId="2A7808A9" w14:textId="77777777" w:rsidR="008361C5" w:rsidRPr="00200234" w:rsidRDefault="008361C5" w:rsidP="00DB71CC">
      <w:pPr>
        <w:keepNext/>
        <w:rPr>
          <w:rFonts w:cs="Segoe UI"/>
        </w:rPr>
      </w:pPr>
      <w:r w:rsidRPr="00200234">
        <w:rPr>
          <w:noProof/>
        </w:rPr>
        <w:drawing>
          <wp:inline distT="0" distB="0" distL="0" distR="0" wp14:anchorId="307847B3" wp14:editId="29F00129">
            <wp:extent cx="5040000" cy="3008630"/>
            <wp:effectExtent l="0" t="0" r="8255" b="1270"/>
            <wp:docPr id="233" name="Chart 233" descr="This bar graph shows that in 2019, about 19% of Māori males were secluded compared with about 10% of non-Māori males. About 11% of Māori females were secluded compared to about 5% of non-Māori females.">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9F10725" w14:textId="299F2C0B" w:rsidR="008361C5" w:rsidRPr="00200234" w:rsidRDefault="008361C5" w:rsidP="00DB71CC">
      <w:pPr>
        <w:pStyle w:val="Note"/>
        <w:keepNext/>
      </w:pPr>
      <w:r w:rsidRPr="00200234">
        <w:t xml:space="preserve">Note: </w:t>
      </w:r>
      <w:r w:rsidR="00DF150B" w:rsidRPr="00200234">
        <w:t>Excludes two outliers</w:t>
      </w:r>
      <w:r w:rsidR="007B6908">
        <w:t>,</w:t>
      </w:r>
      <w:r w:rsidR="00DF150B" w:rsidRPr="00200234">
        <w:t xml:space="preserve"> forensic services, and patients who have a legal status under the Intellectual Disability (Compulsory Care and Rehabilitation) Act 2003</w:t>
      </w:r>
      <w:r w:rsidRPr="00200234">
        <w:t xml:space="preserve">. </w:t>
      </w:r>
      <w:r w:rsidR="003B6C68" w:rsidRPr="00200234">
        <w:rPr>
          <w:rFonts w:cs="Segoe UI"/>
        </w:rPr>
        <w:t>I</w:t>
      </w:r>
      <w:r w:rsidRPr="00200234">
        <w:rPr>
          <w:rFonts w:cs="Segoe UI"/>
        </w:rPr>
        <w:t xml:space="preserve">ncludes patients who have a legal status under the Mental Health Act but are treated in RIDSS. </w:t>
      </w:r>
    </w:p>
    <w:p w14:paraId="0EAC08C9" w14:textId="19175111" w:rsidR="008361C5" w:rsidRPr="00200234" w:rsidRDefault="008361C5" w:rsidP="008361C5">
      <w:pPr>
        <w:pStyle w:val="Note"/>
      </w:pPr>
      <w:r w:rsidRPr="00200234">
        <w:t>Source</w:t>
      </w:r>
      <w:r w:rsidR="00935BF5" w:rsidRPr="00200234">
        <w:t>s</w:t>
      </w:r>
      <w:r w:rsidRPr="00200234">
        <w:t>: PRIMHD data</w:t>
      </w:r>
      <w:r w:rsidR="0015429E">
        <w:t xml:space="preserve"> (extracted</w:t>
      </w:r>
      <w:r w:rsidRPr="00200234">
        <w:t xml:space="preserve"> 19 October 2020</w:t>
      </w:r>
      <w:r w:rsidR="00D30615">
        <w:t>)</w:t>
      </w:r>
      <w:r w:rsidRPr="00200234">
        <w:t xml:space="preserve"> and manual data from Southern and Whanganui DHBs.</w:t>
      </w:r>
    </w:p>
    <w:p w14:paraId="78D9C189" w14:textId="069F9941" w:rsidR="008361C5" w:rsidRPr="00200234" w:rsidRDefault="008361C5" w:rsidP="00DB71CC"/>
    <w:bookmarkStart w:id="189" w:name="_Toc34653580"/>
    <w:p w14:paraId="54E29FA7" w14:textId="0956AC96" w:rsidR="008361C5" w:rsidRPr="00200234" w:rsidRDefault="001B42F3" w:rsidP="00DB71CC">
      <w:pPr>
        <w:rPr>
          <w:b/>
        </w:rPr>
      </w:pPr>
      <w:r w:rsidRPr="00200234">
        <w:lastRenderedPageBreak/>
        <w:fldChar w:fldCharType="begin"/>
      </w:r>
      <w:r w:rsidRPr="00200234">
        <w:instrText xml:space="preserve"> REF _Ref65672396 \h </w:instrText>
      </w:r>
      <w:r w:rsidRPr="00200234">
        <w:fldChar w:fldCharType="separate"/>
      </w:r>
      <w:r w:rsidR="00422361" w:rsidRPr="00200234">
        <w:t xml:space="preserve">Figure </w:t>
      </w:r>
      <w:r w:rsidR="00422361">
        <w:rPr>
          <w:noProof/>
        </w:rPr>
        <w:t>45</w:t>
      </w:r>
      <w:r w:rsidRPr="00200234">
        <w:fldChar w:fldCharType="end"/>
      </w:r>
      <w:r w:rsidR="008361C5" w:rsidRPr="00200234">
        <w:t xml:space="preserve"> shows the number of Māori and non-Māori aged 20</w:t>
      </w:r>
      <w:r w:rsidR="00912EAD" w:rsidRPr="00200234">
        <w:t>–</w:t>
      </w:r>
      <w:r w:rsidR="008361C5" w:rsidRPr="00200234">
        <w:t>64 years secluded in adult inpatient services from 2007 to 2019. Nationally over this time, the number of people secluded decreased by 19 percent. The number of people secluded who identified as Māori increased by 12 percent over the same time.</w:t>
      </w:r>
    </w:p>
    <w:p w14:paraId="60C1672F" w14:textId="77777777" w:rsidR="00DB71CC" w:rsidRPr="00200234" w:rsidRDefault="00DB71CC" w:rsidP="008361C5">
      <w:pPr>
        <w:rPr>
          <w:rFonts w:cs="Segoe UI"/>
        </w:rPr>
      </w:pPr>
    </w:p>
    <w:p w14:paraId="15139F50" w14:textId="6AFDCC94" w:rsidR="008361C5" w:rsidRPr="00200234" w:rsidRDefault="008361C5" w:rsidP="008361C5">
      <w:pPr>
        <w:rPr>
          <w:rFonts w:cs="Segoe UI"/>
        </w:rPr>
      </w:pPr>
      <w:r w:rsidRPr="00200234">
        <w:rPr>
          <w:rFonts w:cs="Segoe UI"/>
        </w:rPr>
        <w:t>The total number of adult patients secluded increased by 20 percent from 2017 to 2019.</w:t>
      </w:r>
      <w:r w:rsidRPr="00200234">
        <w:rPr>
          <w:rStyle w:val="FootnoteReference"/>
          <w:rFonts w:cs="Segoe UI"/>
        </w:rPr>
        <w:footnoteReference w:id="21"/>
      </w:r>
      <w:r w:rsidRPr="00200234">
        <w:rPr>
          <w:rFonts w:cs="Segoe UI"/>
        </w:rPr>
        <w:t xml:space="preserve"> The number of Māori patients increased by 35 percent over the same period.</w:t>
      </w:r>
    </w:p>
    <w:p w14:paraId="259E2DB9" w14:textId="77777777" w:rsidR="0047263B" w:rsidRPr="00200234" w:rsidRDefault="0047263B" w:rsidP="008361C5">
      <w:pPr>
        <w:rPr>
          <w:rFonts w:cs="Segoe UI"/>
        </w:rPr>
      </w:pPr>
    </w:p>
    <w:p w14:paraId="4A8DBE11" w14:textId="4DA46EB5" w:rsidR="008361C5" w:rsidRPr="00200234" w:rsidRDefault="008361C5" w:rsidP="008361C5">
      <w:pPr>
        <w:pStyle w:val="Figure"/>
      </w:pPr>
      <w:bookmarkStart w:id="190" w:name="_Ref65672396"/>
      <w:bookmarkStart w:id="191" w:name="_Toc63764780"/>
      <w:bookmarkStart w:id="192" w:name="_Toc66716227"/>
      <w:bookmarkEnd w:id="189"/>
      <w:r w:rsidRPr="00200234">
        <w:t xml:space="preserve">Figure </w:t>
      </w:r>
      <w:fldSimple w:instr=" SEQ Figure \* ARABIC ">
        <w:r w:rsidR="00422361">
          <w:rPr>
            <w:noProof/>
          </w:rPr>
          <w:t>45</w:t>
        </w:r>
      </w:fldSimple>
      <w:bookmarkEnd w:id="190"/>
      <w:r w:rsidRPr="00200234">
        <w:t>: Number of Māori and non-Māori aged 20–64 years secluded in adult inpatient services, 2007–2019</w:t>
      </w:r>
      <w:bookmarkEnd w:id="191"/>
      <w:bookmarkEnd w:id="192"/>
    </w:p>
    <w:p w14:paraId="3AC171C9" w14:textId="77777777" w:rsidR="008361C5" w:rsidRPr="00200234" w:rsidRDefault="008361C5" w:rsidP="00DB71CC">
      <w:pPr>
        <w:keepNext/>
        <w:rPr>
          <w:rFonts w:cs="Segoe UI"/>
        </w:rPr>
      </w:pPr>
      <w:r w:rsidRPr="00200234">
        <w:rPr>
          <w:noProof/>
        </w:rPr>
        <w:drawing>
          <wp:inline distT="0" distB="0" distL="0" distR="0" wp14:anchorId="2B5CE67A" wp14:editId="344A6952">
            <wp:extent cx="5040000" cy="3176270"/>
            <wp:effectExtent l="0" t="0" r="8255" b="5080"/>
            <wp:docPr id="234" name="Chart 234" descr="This bar graph shows that a larger number of non-Māori were secluded than Māori each year, but that the number of non-Māori being secluded has decreased over time while the number of Māori being secluded has not.">
              <a:extLst xmlns:a="http://schemas.openxmlformats.org/drawingml/2006/main">
                <a:ext uri="{FF2B5EF4-FFF2-40B4-BE49-F238E27FC236}">
                  <a16:creationId xmlns:a16="http://schemas.microsoft.com/office/drawing/2014/main" id="{00000000-0008-0000-08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A36FD2B" w14:textId="275DE157" w:rsidR="008361C5" w:rsidRPr="00200234" w:rsidRDefault="008361C5" w:rsidP="00DB71CC">
      <w:pPr>
        <w:pStyle w:val="Note"/>
        <w:keepNext/>
      </w:pPr>
      <w:r w:rsidRPr="00200234">
        <w:t xml:space="preserve">Note: </w:t>
      </w:r>
      <w:r w:rsidR="00DF150B" w:rsidRPr="00200234">
        <w:t>Excludes two outliers</w:t>
      </w:r>
      <w:r w:rsidR="007B6908">
        <w:t>,</w:t>
      </w:r>
      <w:r w:rsidR="00DF150B" w:rsidRPr="00200234">
        <w:t xml:space="preserve"> forensic services, and patients who have a legal status under the Intellectual Disability (Compulsory Care and Rehabilitation) Act 2003.</w:t>
      </w:r>
      <w:r w:rsidRPr="00200234">
        <w:t xml:space="preserve"> </w:t>
      </w:r>
      <w:r w:rsidR="003B6C68" w:rsidRPr="00200234">
        <w:rPr>
          <w:rFonts w:cs="Segoe UI"/>
        </w:rPr>
        <w:t>I</w:t>
      </w:r>
      <w:r w:rsidRPr="00200234">
        <w:rPr>
          <w:rFonts w:cs="Segoe UI"/>
        </w:rPr>
        <w:t>ncludes patients who have a legal status under the Mental Health Act but are treated in RIDSS.</w:t>
      </w:r>
    </w:p>
    <w:p w14:paraId="1A9B2999" w14:textId="5DEDF66B" w:rsidR="008361C5" w:rsidRPr="00200234" w:rsidRDefault="008361C5" w:rsidP="008361C5">
      <w:pPr>
        <w:pStyle w:val="Note"/>
      </w:pPr>
      <w:r w:rsidRPr="00200234">
        <w:t>Source</w:t>
      </w:r>
      <w:r w:rsidR="00935BF5" w:rsidRPr="00200234">
        <w:t>s</w:t>
      </w:r>
      <w:r w:rsidRPr="00200234">
        <w:t>: PRIMHD data</w:t>
      </w:r>
      <w:r w:rsidR="0015429E">
        <w:t xml:space="preserve"> (extracted</w:t>
      </w:r>
      <w:r w:rsidRPr="00200234">
        <w:t xml:space="preserve"> 19 October 2020</w:t>
      </w:r>
      <w:r w:rsidR="00D30615">
        <w:t>)</w:t>
      </w:r>
      <w:r w:rsidRPr="00200234">
        <w:t xml:space="preserve"> and manual data from Southern and Whanganui DHBs.</w:t>
      </w:r>
    </w:p>
    <w:p w14:paraId="4B93E160" w14:textId="77777777" w:rsidR="008361C5" w:rsidRPr="00200234" w:rsidRDefault="008361C5" w:rsidP="00DC3196">
      <w:pPr>
        <w:pStyle w:val="Heading2"/>
      </w:pPr>
      <w:bookmarkStart w:id="193" w:name="_Toc65141626"/>
      <w:bookmarkStart w:id="194" w:name="_Toc69307707"/>
      <w:r w:rsidRPr="00200234">
        <w:t>Seclusion in forensic units</w:t>
      </w:r>
      <w:bookmarkEnd w:id="193"/>
      <w:bookmarkEnd w:id="194"/>
    </w:p>
    <w:p w14:paraId="033A0482" w14:textId="66F0AD0D" w:rsidR="008361C5" w:rsidRPr="00200234" w:rsidRDefault="008361C5" w:rsidP="008361C5">
      <w:pPr>
        <w:rPr>
          <w:rFonts w:cs="Segoe UI"/>
        </w:rPr>
      </w:pPr>
      <w:r w:rsidRPr="00200234">
        <w:rPr>
          <w:rFonts w:cs="Segoe UI"/>
        </w:rPr>
        <w:t xml:space="preserve">Five DHBs provide specialist inpatient forensic services: Canterbury, Capital &amp; Coast, Southern, Waikato and </w:t>
      </w:r>
      <w:proofErr w:type="spellStart"/>
      <w:r w:rsidRPr="00200234">
        <w:rPr>
          <w:rFonts w:cs="Segoe UI"/>
        </w:rPr>
        <w:t>Waitematā</w:t>
      </w:r>
      <w:proofErr w:type="spellEnd"/>
      <w:r w:rsidRPr="00200234">
        <w:rPr>
          <w:rFonts w:cs="Segoe UI"/>
        </w:rPr>
        <w:t>.</w:t>
      </w:r>
      <w:r w:rsidRPr="00200234">
        <w:rPr>
          <w:rStyle w:val="FootnoteReference"/>
          <w:rFonts w:cs="Segoe UI"/>
        </w:rPr>
        <w:footnoteReference w:id="22"/>
      </w:r>
      <w:r w:rsidRPr="00200234">
        <w:rPr>
          <w:rFonts w:cs="Segoe UI"/>
        </w:rPr>
        <w:t xml:space="preserve"> These services provide mental health treatment in a secure environment for prisoners with mental disorders and for people defined as special or restricted patients. </w:t>
      </w:r>
    </w:p>
    <w:p w14:paraId="3A2BBE97" w14:textId="77777777" w:rsidR="00DB71CC" w:rsidRPr="00200234" w:rsidRDefault="00DB71CC" w:rsidP="008361C5">
      <w:pPr>
        <w:rPr>
          <w:rFonts w:cs="Segoe UI"/>
        </w:rPr>
      </w:pPr>
    </w:p>
    <w:p w14:paraId="63CBA087" w14:textId="263C21EF" w:rsidR="008361C5" w:rsidRPr="00200234" w:rsidRDefault="008361C5" w:rsidP="008361C5">
      <w:pPr>
        <w:rPr>
          <w:rFonts w:cs="Segoe UI"/>
        </w:rPr>
      </w:pPr>
      <w:r w:rsidRPr="00200234">
        <w:rPr>
          <w:rFonts w:cs="Segoe UI"/>
        </w:rPr>
        <w:t>Table</w:t>
      </w:r>
      <w:r w:rsidR="007F0A9A" w:rsidRPr="00200234">
        <w:rPr>
          <w:rFonts w:cs="Segoe UI"/>
        </w:rPr>
        <w:t>s</w:t>
      </w:r>
      <w:r w:rsidRPr="00200234">
        <w:rPr>
          <w:rFonts w:cs="Segoe UI"/>
        </w:rPr>
        <w:t xml:space="preserve"> </w:t>
      </w:r>
      <w:r w:rsidR="007F0A9A" w:rsidRPr="00200234">
        <w:rPr>
          <w:rFonts w:cs="Segoe UI"/>
        </w:rPr>
        <w:fldChar w:fldCharType="begin"/>
      </w:r>
      <w:r w:rsidR="007F0A9A" w:rsidRPr="00200234">
        <w:rPr>
          <w:rFonts w:cs="Segoe UI"/>
        </w:rPr>
        <w:instrText xml:space="preserve"> REF _Ref65673046 \# 0 \h </w:instrText>
      </w:r>
      <w:r w:rsidR="007F0A9A" w:rsidRPr="00200234">
        <w:rPr>
          <w:rFonts w:cs="Segoe UI"/>
        </w:rPr>
      </w:r>
      <w:r w:rsidR="007F0A9A" w:rsidRPr="00200234">
        <w:rPr>
          <w:rFonts w:cs="Segoe UI"/>
        </w:rPr>
        <w:fldChar w:fldCharType="separate"/>
      </w:r>
      <w:r w:rsidR="00422361">
        <w:rPr>
          <w:rFonts w:cs="Segoe UI"/>
        </w:rPr>
        <w:t>9</w:t>
      </w:r>
      <w:r w:rsidR="007F0A9A" w:rsidRPr="00200234">
        <w:rPr>
          <w:rFonts w:cs="Segoe UI"/>
        </w:rPr>
        <w:fldChar w:fldCharType="end"/>
      </w:r>
      <w:r w:rsidRPr="00200234">
        <w:rPr>
          <w:rFonts w:cs="Segoe UI"/>
        </w:rPr>
        <w:t xml:space="preserve"> and </w:t>
      </w:r>
      <w:r w:rsidR="007F0A9A" w:rsidRPr="00200234">
        <w:rPr>
          <w:rFonts w:cs="Segoe UI"/>
        </w:rPr>
        <w:fldChar w:fldCharType="begin"/>
      </w:r>
      <w:r w:rsidR="007F0A9A" w:rsidRPr="00200234">
        <w:rPr>
          <w:rFonts w:cs="Segoe UI"/>
        </w:rPr>
        <w:instrText xml:space="preserve"> REF _Ref65673053 \# 0 \h </w:instrText>
      </w:r>
      <w:r w:rsidR="007F0A9A" w:rsidRPr="00200234">
        <w:rPr>
          <w:rFonts w:cs="Segoe UI"/>
        </w:rPr>
      </w:r>
      <w:r w:rsidR="007F0A9A" w:rsidRPr="00200234">
        <w:rPr>
          <w:rFonts w:cs="Segoe UI"/>
        </w:rPr>
        <w:fldChar w:fldCharType="separate"/>
      </w:r>
      <w:r w:rsidR="00422361">
        <w:rPr>
          <w:rFonts w:cs="Segoe UI"/>
        </w:rPr>
        <w:t>10</w:t>
      </w:r>
      <w:r w:rsidR="007F0A9A" w:rsidRPr="00200234">
        <w:rPr>
          <w:rFonts w:cs="Segoe UI"/>
        </w:rPr>
        <w:fldChar w:fldCharType="end"/>
      </w:r>
      <w:r w:rsidRPr="00200234">
        <w:rPr>
          <w:rFonts w:cs="Segoe UI"/>
        </w:rPr>
        <w:t xml:space="preserve"> present seclusion indicators for forensic mental health services in each DHB for 2018 and 2019 respectively. These indicators cannot be compared with adult service indicators because they have a different client base. A few individuals who were secluded significantly more often or for longer than others can substantially affect the </w:t>
      </w:r>
      <w:r w:rsidRPr="00200234">
        <w:rPr>
          <w:rFonts w:cs="Segoe UI"/>
        </w:rPr>
        <w:lastRenderedPageBreak/>
        <w:t>rates of seclusion for the relatively small group of people in the care of forensic mental health services.</w:t>
      </w:r>
    </w:p>
    <w:p w14:paraId="37685B27" w14:textId="77777777" w:rsidR="0047263B" w:rsidRPr="00200234" w:rsidRDefault="0047263B" w:rsidP="008361C5">
      <w:pPr>
        <w:rPr>
          <w:rFonts w:cs="Segoe UI"/>
        </w:rPr>
      </w:pPr>
    </w:p>
    <w:p w14:paraId="15DA48D1" w14:textId="5EC51C56" w:rsidR="008361C5" w:rsidRPr="00200234" w:rsidRDefault="008361C5" w:rsidP="008361C5">
      <w:pPr>
        <w:pStyle w:val="Table"/>
        <w:rPr>
          <w:rFonts w:cstheme="minorBidi"/>
        </w:rPr>
      </w:pPr>
      <w:bookmarkStart w:id="195" w:name="_Ref65673046"/>
      <w:bookmarkStart w:id="196" w:name="_Toc34653653"/>
      <w:bookmarkStart w:id="197" w:name="_Toc63764672"/>
      <w:bookmarkStart w:id="198" w:name="_Toc69306779"/>
      <w:r w:rsidRPr="00200234">
        <w:t xml:space="preserve">Table </w:t>
      </w:r>
      <w:fldSimple w:instr=" SEQ Table \* ARABIC ">
        <w:r w:rsidR="00422361">
          <w:rPr>
            <w:noProof/>
          </w:rPr>
          <w:t>9</w:t>
        </w:r>
      </w:fldSimple>
      <w:bookmarkEnd w:id="195"/>
      <w:r w:rsidRPr="00200234">
        <w:t>: Seclusion indicators for forensic mental health services, by DHB, 1 January to 31 December 2018</w:t>
      </w:r>
      <w:bookmarkEnd w:id="196"/>
      <w:bookmarkEnd w:id="197"/>
      <w:bookmarkEnd w:id="198"/>
    </w:p>
    <w:tbl>
      <w:tblPr>
        <w:tblStyle w:val="TableGrid1"/>
        <w:tblW w:w="5000" w:type="pct"/>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ook w:val="0460" w:firstRow="1" w:lastRow="1" w:firstColumn="0" w:lastColumn="0" w:noHBand="0" w:noVBand="1"/>
      </w:tblPr>
      <w:tblGrid>
        <w:gridCol w:w="1852"/>
        <w:gridCol w:w="1461"/>
        <w:gridCol w:w="1461"/>
        <w:gridCol w:w="1461"/>
        <w:gridCol w:w="1844"/>
      </w:tblGrid>
      <w:tr w:rsidR="008361C5" w:rsidRPr="00486A72" w14:paraId="674E5815" w14:textId="77777777" w:rsidTr="0081541E">
        <w:trPr>
          <w:trHeight w:val="645"/>
        </w:trPr>
        <w:tc>
          <w:tcPr>
            <w:tcW w:w="1147" w:type="pct"/>
            <w:tcBorders>
              <w:top w:val="nil"/>
              <w:bottom w:val="nil"/>
            </w:tcBorders>
            <w:shd w:val="clear" w:color="auto" w:fill="D9D9D9"/>
          </w:tcPr>
          <w:p w14:paraId="7228485F" w14:textId="77777777" w:rsidR="008361C5" w:rsidRPr="00486A72" w:rsidRDefault="008361C5" w:rsidP="0047263B">
            <w:pPr>
              <w:pStyle w:val="TableText"/>
              <w:keepNext/>
              <w:rPr>
                <w:rFonts w:cs="Segoe UI"/>
                <w:b/>
                <w:bCs/>
                <w:szCs w:val="18"/>
              </w:rPr>
            </w:pPr>
            <w:r w:rsidRPr="00486A72">
              <w:rPr>
                <w:rFonts w:cs="Segoe UI"/>
                <w:b/>
                <w:bCs/>
                <w:szCs w:val="18"/>
              </w:rPr>
              <w:t>DHB</w:t>
            </w:r>
          </w:p>
        </w:tc>
        <w:tc>
          <w:tcPr>
            <w:tcW w:w="904" w:type="pct"/>
            <w:tcBorders>
              <w:top w:val="nil"/>
              <w:bottom w:val="nil"/>
            </w:tcBorders>
            <w:shd w:val="clear" w:color="auto" w:fill="D9D9D9"/>
          </w:tcPr>
          <w:p w14:paraId="0E6D6B89" w14:textId="77777777" w:rsidR="008361C5" w:rsidRPr="00486A72" w:rsidRDefault="008361C5" w:rsidP="0047263B">
            <w:pPr>
              <w:pStyle w:val="TableText"/>
              <w:keepNext/>
              <w:jc w:val="center"/>
              <w:rPr>
                <w:rFonts w:cs="Segoe UI"/>
                <w:b/>
                <w:bCs/>
                <w:szCs w:val="18"/>
              </w:rPr>
            </w:pPr>
            <w:r w:rsidRPr="00486A72">
              <w:rPr>
                <w:rFonts w:cs="Segoe UI"/>
                <w:b/>
                <w:bCs/>
                <w:szCs w:val="18"/>
              </w:rPr>
              <w:t>Clients</w:t>
            </w:r>
            <w:r w:rsidRPr="00486A72">
              <w:rPr>
                <w:rFonts w:cs="Segoe UI"/>
                <w:b/>
                <w:bCs/>
                <w:szCs w:val="18"/>
              </w:rPr>
              <w:br/>
              <w:t>secluded</w:t>
            </w:r>
          </w:p>
        </w:tc>
        <w:tc>
          <w:tcPr>
            <w:tcW w:w="904" w:type="pct"/>
            <w:tcBorders>
              <w:top w:val="nil"/>
              <w:bottom w:val="nil"/>
            </w:tcBorders>
            <w:shd w:val="clear" w:color="auto" w:fill="D9D9D9"/>
          </w:tcPr>
          <w:p w14:paraId="16C32689" w14:textId="77777777" w:rsidR="008361C5" w:rsidRPr="00486A72" w:rsidRDefault="008361C5" w:rsidP="0047263B">
            <w:pPr>
              <w:pStyle w:val="TableText"/>
              <w:keepNext/>
              <w:jc w:val="center"/>
              <w:rPr>
                <w:rFonts w:cs="Segoe UI"/>
                <w:b/>
                <w:bCs/>
                <w:szCs w:val="18"/>
              </w:rPr>
            </w:pPr>
            <w:r w:rsidRPr="00486A72">
              <w:rPr>
                <w:rFonts w:cs="Segoe UI"/>
                <w:b/>
                <w:bCs/>
                <w:szCs w:val="18"/>
              </w:rPr>
              <w:t>Number of events</w:t>
            </w:r>
          </w:p>
        </w:tc>
        <w:tc>
          <w:tcPr>
            <w:tcW w:w="904" w:type="pct"/>
            <w:tcBorders>
              <w:top w:val="nil"/>
              <w:bottom w:val="nil"/>
            </w:tcBorders>
            <w:shd w:val="clear" w:color="auto" w:fill="D9D9D9"/>
          </w:tcPr>
          <w:p w14:paraId="57AA1F59" w14:textId="77777777" w:rsidR="008361C5" w:rsidRPr="00486A72" w:rsidRDefault="008361C5" w:rsidP="0047263B">
            <w:pPr>
              <w:pStyle w:val="TableText"/>
              <w:keepNext/>
              <w:jc w:val="center"/>
              <w:rPr>
                <w:rFonts w:cs="Segoe UI"/>
                <w:b/>
                <w:bCs/>
                <w:szCs w:val="18"/>
              </w:rPr>
            </w:pPr>
            <w:r w:rsidRPr="00486A72">
              <w:rPr>
                <w:rFonts w:cs="Segoe UI"/>
                <w:b/>
                <w:bCs/>
                <w:szCs w:val="18"/>
              </w:rPr>
              <w:t>Total</w:t>
            </w:r>
            <w:r w:rsidRPr="00486A72">
              <w:rPr>
                <w:rFonts w:cs="Segoe UI"/>
                <w:b/>
                <w:bCs/>
                <w:szCs w:val="18"/>
              </w:rPr>
              <w:br/>
              <w:t>hours</w:t>
            </w:r>
          </w:p>
        </w:tc>
        <w:tc>
          <w:tcPr>
            <w:tcW w:w="1141" w:type="pct"/>
            <w:tcBorders>
              <w:top w:val="nil"/>
              <w:bottom w:val="nil"/>
            </w:tcBorders>
            <w:shd w:val="clear" w:color="auto" w:fill="D9D9D9"/>
          </w:tcPr>
          <w:p w14:paraId="34818169" w14:textId="77777777" w:rsidR="008361C5" w:rsidRPr="00486A72" w:rsidRDefault="008361C5" w:rsidP="0047263B">
            <w:pPr>
              <w:pStyle w:val="TableText"/>
              <w:keepNext/>
              <w:jc w:val="center"/>
              <w:rPr>
                <w:rFonts w:cs="Segoe UI"/>
                <w:b/>
                <w:bCs/>
                <w:szCs w:val="18"/>
              </w:rPr>
            </w:pPr>
            <w:r w:rsidRPr="00486A72">
              <w:rPr>
                <w:rFonts w:cs="Segoe UI"/>
                <w:b/>
                <w:bCs/>
                <w:szCs w:val="18"/>
              </w:rPr>
              <w:t>Average duration per event (hours)</w:t>
            </w:r>
          </w:p>
        </w:tc>
      </w:tr>
      <w:tr w:rsidR="008361C5" w:rsidRPr="00486A72" w14:paraId="6101F54B" w14:textId="77777777" w:rsidTr="0081541E">
        <w:trPr>
          <w:trHeight w:val="370"/>
        </w:trPr>
        <w:tc>
          <w:tcPr>
            <w:tcW w:w="1147" w:type="pct"/>
            <w:tcBorders>
              <w:top w:val="nil"/>
            </w:tcBorders>
          </w:tcPr>
          <w:p w14:paraId="43960DA6" w14:textId="77777777" w:rsidR="008361C5" w:rsidRPr="00486A72" w:rsidRDefault="008361C5" w:rsidP="0047263B">
            <w:pPr>
              <w:pStyle w:val="TableText"/>
              <w:keepNext/>
              <w:rPr>
                <w:rFonts w:cs="Segoe UI"/>
                <w:szCs w:val="18"/>
              </w:rPr>
            </w:pPr>
            <w:r w:rsidRPr="00486A72">
              <w:rPr>
                <w:rFonts w:cs="Segoe UI"/>
                <w:szCs w:val="18"/>
              </w:rPr>
              <w:t>Canterbury</w:t>
            </w:r>
          </w:p>
        </w:tc>
        <w:tc>
          <w:tcPr>
            <w:tcW w:w="904" w:type="pct"/>
            <w:tcBorders>
              <w:top w:val="nil"/>
            </w:tcBorders>
          </w:tcPr>
          <w:p w14:paraId="6E9661FC" w14:textId="77777777" w:rsidR="008361C5" w:rsidRPr="00486A72" w:rsidRDefault="008361C5" w:rsidP="0047263B">
            <w:pPr>
              <w:pStyle w:val="TableText"/>
              <w:keepNext/>
              <w:tabs>
                <w:tab w:val="decimal" w:pos="768"/>
              </w:tabs>
              <w:rPr>
                <w:rFonts w:cs="Segoe UI"/>
                <w:szCs w:val="18"/>
              </w:rPr>
            </w:pPr>
            <w:r w:rsidRPr="00486A72">
              <w:rPr>
                <w:rFonts w:cs="Segoe UI"/>
                <w:szCs w:val="18"/>
              </w:rPr>
              <w:t>22</w:t>
            </w:r>
          </w:p>
        </w:tc>
        <w:tc>
          <w:tcPr>
            <w:tcW w:w="904" w:type="pct"/>
            <w:tcBorders>
              <w:top w:val="nil"/>
            </w:tcBorders>
          </w:tcPr>
          <w:p w14:paraId="1A39E1BB" w14:textId="77777777" w:rsidR="008361C5" w:rsidRPr="00486A72" w:rsidRDefault="008361C5" w:rsidP="0047263B">
            <w:pPr>
              <w:pStyle w:val="TableText"/>
              <w:keepNext/>
              <w:tabs>
                <w:tab w:val="decimal" w:pos="768"/>
              </w:tabs>
              <w:rPr>
                <w:rFonts w:cs="Segoe UI"/>
                <w:szCs w:val="18"/>
              </w:rPr>
            </w:pPr>
            <w:r w:rsidRPr="00486A72">
              <w:rPr>
                <w:rFonts w:cs="Segoe UI"/>
                <w:szCs w:val="18"/>
              </w:rPr>
              <w:t>85</w:t>
            </w:r>
          </w:p>
        </w:tc>
        <w:tc>
          <w:tcPr>
            <w:tcW w:w="904" w:type="pct"/>
            <w:tcBorders>
              <w:top w:val="nil"/>
            </w:tcBorders>
          </w:tcPr>
          <w:p w14:paraId="39958D0A" w14:textId="77777777" w:rsidR="008361C5" w:rsidRPr="00486A72" w:rsidRDefault="008361C5" w:rsidP="0047263B">
            <w:pPr>
              <w:pStyle w:val="TableText"/>
              <w:keepNext/>
              <w:tabs>
                <w:tab w:val="decimal" w:pos="834"/>
              </w:tabs>
              <w:rPr>
                <w:rFonts w:cs="Segoe UI"/>
                <w:szCs w:val="18"/>
              </w:rPr>
            </w:pPr>
            <w:r w:rsidRPr="00486A72">
              <w:rPr>
                <w:rFonts w:cs="Segoe UI"/>
                <w:szCs w:val="18"/>
              </w:rPr>
              <w:t>7,741</w:t>
            </w:r>
          </w:p>
        </w:tc>
        <w:tc>
          <w:tcPr>
            <w:tcW w:w="1141" w:type="pct"/>
            <w:tcBorders>
              <w:top w:val="nil"/>
            </w:tcBorders>
          </w:tcPr>
          <w:p w14:paraId="395084C3" w14:textId="77777777" w:rsidR="008361C5" w:rsidRPr="00486A72" w:rsidRDefault="008361C5" w:rsidP="0047263B">
            <w:pPr>
              <w:pStyle w:val="TableText"/>
              <w:keepNext/>
              <w:jc w:val="center"/>
              <w:rPr>
                <w:rFonts w:cs="Segoe UI"/>
                <w:szCs w:val="18"/>
              </w:rPr>
            </w:pPr>
            <w:r w:rsidRPr="00486A72">
              <w:rPr>
                <w:rFonts w:cs="Segoe UI"/>
                <w:szCs w:val="18"/>
              </w:rPr>
              <w:t>91.1</w:t>
            </w:r>
          </w:p>
        </w:tc>
      </w:tr>
      <w:tr w:rsidR="008361C5" w:rsidRPr="00486A72" w14:paraId="600DCB46" w14:textId="77777777" w:rsidTr="008371F6">
        <w:trPr>
          <w:trHeight w:val="387"/>
        </w:trPr>
        <w:tc>
          <w:tcPr>
            <w:tcW w:w="1147" w:type="pct"/>
          </w:tcPr>
          <w:p w14:paraId="232C30E3" w14:textId="77777777" w:rsidR="008361C5" w:rsidRPr="00486A72" w:rsidRDefault="008361C5" w:rsidP="0047263B">
            <w:pPr>
              <w:pStyle w:val="TableText"/>
              <w:keepNext/>
              <w:rPr>
                <w:rFonts w:cs="Segoe UI"/>
                <w:szCs w:val="18"/>
              </w:rPr>
            </w:pPr>
            <w:r w:rsidRPr="00486A72">
              <w:rPr>
                <w:rFonts w:cs="Segoe UI"/>
                <w:szCs w:val="18"/>
              </w:rPr>
              <w:t>Capital &amp; Coast</w:t>
            </w:r>
          </w:p>
        </w:tc>
        <w:tc>
          <w:tcPr>
            <w:tcW w:w="904" w:type="pct"/>
          </w:tcPr>
          <w:p w14:paraId="715C4ADB" w14:textId="77777777" w:rsidR="008361C5" w:rsidRPr="00486A72" w:rsidRDefault="008361C5" w:rsidP="0047263B">
            <w:pPr>
              <w:pStyle w:val="TableText"/>
              <w:keepNext/>
              <w:tabs>
                <w:tab w:val="decimal" w:pos="768"/>
              </w:tabs>
              <w:rPr>
                <w:rFonts w:cs="Segoe UI"/>
                <w:szCs w:val="18"/>
              </w:rPr>
            </w:pPr>
            <w:r w:rsidRPr="00486A72">
              <w:rPr>
                <w:rFonts w:cs="Segoe UI"/>
                <w:szCs w:val="18"/>
              </w:rPr>
              <w:t>6</w:t>
            </w:r>
          </w:p>
        </w:tc>
        <w:tc>
          <w:tcPr>
            <w:tcW w:w="904" w:type="pct"/>
          </w:tcPr>
          <w:p w14:paraId="7CB09DF4" w14:textId="77777777" w:rsidR="008361C5" w:rsidRPr="00486A72" w:rsidRDefault="008361C5" w:rsidP="0047263B">
            <w:pPr>
              <w:pStyle w:val="TableText"/>
              <w:keepNext/>
              <w:tabs>
                <w:tab w:val="decimal" w:pos="768"/>
              </w:tabs>
              <w:rPr>
                <w:rFonts w:cs="Segoe UI"/>
                <w:szCs w:val="18"/>
              </w:rPr>
            </w:pPr>
            <w:r w:rsidRPr="00486A72">
              <w:rPr>
                <w:rFonts w:cs="Segoe UI"/>
                <w:szCs w:val="18"/>
              </w:rPr>
              <w:t>24</w:t>
            </w:r>
          </w:p>
        </w:tc>
        <w:tc>
          <w:tcPr>
            <w:tcW w:w="904" w:type="pct"/>
          </w:tcPr>
          <w:p w14:paraId="1EA89726" w14:textId="77777777" w:rsidR="008361C5" w:rsidRPr="00486A72" w:rsidRDefault="008361C5" w:rsidP="0047263B">
            <w:pPr>
              <w:pStyle w:val="TableText"/>
              <w:keepNext/>
              <w:tabs>
                <w:tab w:val="decimal" w:pos="834"/>
              </w:tabs>
              <w:rPr>
                <w:rFonts w:cs="Segoe UI"/>
                <w:szCs w:val="18"/>
              </w:rPr>
            </w:pPr>
            <w:r w:rsidRPr="00486A72">
              <w:rPr>
                <w:rFonts w:cs="Segoe UI"/>
                <w:szCs w:val="18"/>
              </w:rPr>
              <w:t>662</w:t>
            </w:r>
          </w:p>
        </w:tc>
        <w:tc>
          <w:tcPr>
            <w:tcW w:w="1141" w:type="pct"/>
          </w:tcPr>
          <w:p w14:paraId="44BB49DF" w14:textId="77777777" w:rsidR="008361C5" w:rsidRPr="00486A72" w:rsidRDefault="008361C5" w:rsidP="0047263B">
            <w:pPr>
              <w:pStyle w:val="TableText"/>
              <w:keepNext/>
              <w:jc w:val="center"/>
              <w:rPr>
                <w:rFonts w:cs="Segoe UI"/>
                <w:szCs w:val="18"/>
              </w:rPr>
            </w:pPr>
            <w:r w:rsidRPr="00486A72">
              <w:rPr>
                <w:rFonts w:cs="Segoe UI"/>
                <w:szCs w:val="18"/>
              </w:rPr>
              <w:t>27.6</w:t>
            </w:r>
          </w:p>
        </w:tc>
      </w:tr>
      <w:tr w:rsidR="008361C5" w:rsidRPr="00486A72" w14:paraId="683F8B5C" w14:textId="77777777" w:rsidTr="008371F6">
        <w:trPr>
          <w:trHeight w:val="370"/>
        </w:trPr>
        <w:tc>
          <w:tcPr>
            <w:tcW w:w="1147" w:type="pct"/>
          </w:tcPr>
          <w:p w14:paraId="0C3C1F6A" w14:textId="77777777" w:rsidR="008361C5" w:rsidRPr="00486A72" w:rsidRDefault="008361C5" w:rsidP="0047263B">
            <w:pPr>
              <w:pStyle w:val="TableText"/>
              <w:keepNext/>
              <w:rPr>
                <w:rFonts w:cs="Segoe UI"/>
                <w:szCs w:val="18"/>
              </w:rPr>
            </w:pPr>
            <w:r w:rsidRPr="00486A72">
              <w:rPr>
                <w:rFonts w:cs="Segoe UI"/>
                <w:szCs w:val="18"/>
              </w:rPr>
              <w:t>Southern</w:t>
            </w:r>
          </w:p>
        </w:tc>
        <w:tc>
          <w:tcPr>
            <w:tcW w:w="904" w:type="pct"/>
          </w:tcPr>
          <w:p w14:paraId="798DD6F5" w14:textId="77777777" w:rsidR="008361C5" w:rsidRPr="00486A72" w:rsidRDefault="008361C5" w:rsidP="0047263B">
            <w:pPr>
              <w:pStyle w:val="TableText"/>
              <w:keepNext/>
              <w:tabs>
                <w:tab w:val="decimal" w:pos="768"/>
              </w:tabs>
              <w:rPr>
                <w:rFonts w:cs="Segoe UI"/>
                <w:szCs w:val="18"/>
              </w:rPr>
            </w:pPr>
            <w:r w:rsidRPr="00486A72">
              <w:rPr>
                <w:rFonts w:cs="Segoe UI"/>
                <w:szCs w:val="18"/>
              </w:rPr>
              <w:t>2</w:t>
            </w:r>
          </w:p>
        </w:tc>
        <w:tc>
          <w:tcPr>
            <w:tcW w:w="904" w:type="pct"/>
          </w:tcPr>
          <w:p w14:paraId="517C70B6" w14:textId="77777777" w:rsidR="008361C5" w:rsidRPr="00486A72" w:rsidRDefault="008361C5" w:rsidP="0047263B">
            <w:pPr>
              <w:pStyle w:val="TableText"/>
              <w:keepNext/>
              <w:tabs>
                <w:tab w:val="decimal" w:pos="768"/>
              </w:tabs>
              <w:rPr>
                <w:rFonts w:cs="Segoe UI"/>
                <w:szCs w:val="18"/>
              </w:rPr>
            </w:pPr>
            <w:r w:rsidRPr="00486A72">
              <w:rPr>
                <w:rFonts w:cs="Segoe UI"/>
                <w:szCs w:val="18"/>
              </w:rPr>
              <w:t>9</w:t>
            </w:r>
          </w:p>
        </w:tc>
        <w:tc>
          <w:tcPr>
            <w:tcW w:w="904" w:type="pct"/>
          </w:tcPr>
          <w:p w14:paraId="2DFCCBC3" w14:textId="77777777" w:rsidR="008361C5" w:rsidRPr="00486A72" w:rsidRDefault="008361C5" w:rsidP="0047263B">
            <w:pPr>
              <w:pStyle w:val="TableText"/>
              <w:keepNext/>
              <w:tabs>
                <w:tab w:val="decimal" w:pos="834"/>
              </w:tabs>
              <w:rPr>
                <w:rFonts w:cs="Segoe UI"/>
                <w:szCs w:val="18"/>
              </w:rPr>
            </w:pPr>
            <w:r w:rsidRPr="00486A72">
              <w:rPr>
                <w:rFonts w:cs="Segoe UI"/>
                <w:szCs w:val="18"/>
              </w:rPr>
              <w:t>530</w:t>
            </w:r>
          </w:p>
        </w:tc>
        <w:tc>
          <w:tcPr>
            <w:tcW w:w="1141" w:type="pct"/>
          </w:tcPr>
          <w:p w14:paraId="5621C2EB" w14:textId="77777777" w:rsidR="008361C5" w:rsidRPr="00486A72" w:rsidRDefault="008361C5" w:rsidP="0047263B">
            <w:pPr>
              <w:pStyle w:val="TableText"/>
              <w:keepNext/>
              <w:jc w:val="center"/>
              <w:rPr>
                <w:rFonts w:cs="Segoe UI"/>
                <w:szCs w:val="18"/>
              </w:rPr>
            </w:pPr>
            <w:r w:rsidRPr="00486A72">
              <w:rPr>
                <w:rFonts w:cs="Segoe UI"/>
                <w:szCs w:val="18"/>
              </w:rPr>
              <w:t>58.9</w:t>
            </w:r>
          </w:p>
        </w:tc>
      </w:tr>
      <w:tr w:rsidR="008361C5" w:rsidRPr="00486A72" w14:paraId="4C5B00D4" w14:textId="77777777" w:rsidTr="008371F6">
        <w:trPr>
          <w:trHeight w:val="387"/>
        </w:trPr>
        <w:tc>
          <w:tcPr>
            <w:tcW w:w="1147" w:type="pct"/>
          </w:tcPr>
          <w:p w14:paraId="68D22807" w14:textId="77777777" w:rsidR="008361C5" w:rsidRPr="00486A72" w:rsidRDefault="008361C5" w:rsidP="0047263B">
            <w:pPr>
              <w:pStyle w:val="TableText"/>
              <w:keepNext/>
              <w:rPr>
                <w:rFonts w:cs="Segoe UI"/>
                <w:szCs w:val="18"/>
              </w:rPr>
            </w:pPr>
            <w:r w:rsidRPr="00486A72">
              <w:rPr>
                <w:rFonts w:cs="Segoe UI"/>
                <w:szCs w:val="18"/>
              </w:rPr>
              <w:t>Waikato</w:t>
            </w:r>
          </w:p>
        </w:tc>
        <w:tc>
          <w:tcPr>
            <w:tcW w:w="904" w:type="pct"/>
          </w:tcPr>
          <w:p w14:paraId="61568C0D" w14:textId="77777777" w:rsidR="008361C5" w:rsidRPr="00486A72" w:rsidRDefault="008361C5" w:rsidP="0047263B">
            <w:pPr>
              <w:pStyle w:val="TableText"/>
              <w:keepNext/>
              <w:tabs>
                <w:tab w:val="decimal" w:pos="768"/>
              </w:tabs>
              <w:rPr>
                <w:rFonts w:cs="Segoe UI"/>
                <w:szCs w:val="18"/>
              </w:rPr>
            </w:pPr>
            <w:r w:rsidRPr="00486A72">
              <w:rPr>
                <w:rFonts w:cs="Segoe UI"/>
                <w:szCs w:val="18"/>
              </w:rPr>
              <w:t>26</w:t>
            </w:r>
          </w:p>
        </w:tc>
        <w:tc>
          <w:tcPr>
            <w:tcW w:w="904" w:type="pct"/>
          </w:tcPr>
          <w:p w14:paraId="5047C40F" w14:textId="77777777" w:rsidR="008361C5" w:rsidRPr="00486A72" w:rsidRDefault="008361C5" w:rsidP="0047263B">
            <w:pPr>
              <w:pStyle w:val="TableText"/>
              <w:keepNext/>
              <w:tabs>
                <w:tab w:val="decimal" w:pos="768"/>
              </w:tabs>
              <w:rPr>
                <w:rFonts w:cs="Segoe UI"/>
                <w:szCs w:val="18"/>
              </w:rPr>
            </w:pPr>
            <w:r w:rsidRPr="00486A72">
              <w:rPr>
                <w:rFonts w:cs="Segoe UI"/>
                <w:szCs w:val="18"/>
              </w:rPr>
              <w:t>68</w:t>
            </w:r>
          </w:p>
        </w:tc>
        <w:tc>
          <w:tcPr>
            <w:tcW w:w="904" w:type="pct"/>
          </w:tcPr>
          <w:p w14:paraId="6C395E85" w14:textId="77777777" w:rsidR="008361C5" w:rsidRPr="00486A72" w:rsidRDefault="008361C5" w:rsidP="0047263B">
            <w:pPr>
              <w:pStyle w:val="TableText"/>
              <w:keepNext/>
              <w:tabs>
                <w:tab w:val="decimal" w:pos="834"/>
              </w:tabs>
              <w:rPr>
                <w:rFonts w:cs="Segoe UI"/>
                <w:szCs w:val="18"/>
              </w:rPr>
            </w:pPr>
            <w:r w:rsidRPr="00486A72">
              <w:rPr>
                <w:rFonts w:cs="Segoe UI"/>
                <w:szCs w:val="18"/>
              </w:rPr>
              <w:t>4,906</w:t>
            </w:r>
          </w:p>
        </w:tc>
        <w:tc>
          <w:tcPr>
            <w:tcW w:w="1141" w:type="pct"/>
          </w:tcPr>
          <w:p w14:paraId="6FEC03CF" w14:textId="77777777" w:rsidR="008361C5" w:rsidRPr="00486A72" w:rsidRDefault="008361C5" w:rsidP="0047263B">
            <w:pPr>
              <w:pStyle w:val="TableText"/>
              <w:keepNext/>
              <w:jc w:val="center"/>
              <w:rPr>
                <w:rFonts w:cs="Segoe UI"/>
                <w:szCs w:val="18"/>
              </w:rPr>
            </w:pPr>
            <w:r w:rsidRPr="00486A72">
              <w:rPr>
                <w:rFonts w:cs="Segoe UI"/>
                <w:szCs w:val="18"/>
              </w:rPr>
              <w:t>72.2</w:t>
            </w:r>
          </w:p>
        </w:tc>
      </w:tr>
      <w:tr w:rsidR="008361C5" w:rsidRPr="00486A72" w14:paraId="57E1885F" w14:textId="77777777" w:rsidTr="008371F6">
        <w:trPr>
          <w:trHeight w:val="387"/>
        </w:trPr>
        <w:tc>
          <w:tcPr>
            <w:tcW w:w="1147" w:type="pct"/>
          </w:tcPr>
          <w:p w14:paraId="5A3B9CC1" w14:textId="77777777" w:rsidR="008361C5" w:rsidRPr="00486A72" w:rsidRDefault="008361C5" w:rsidP="0047263B">
            <w:pPr>
              <w:pStyle w:val="TableText"/>
              <w:keepNext/>
              <w:rPr>
                <w:rFonts w:cs="Segoe UI"/>
                <w:szCs w:val="18"/>
              </w:rPr>
            </w:pPr>
            <w:proofErr w:type="spellStart"/>
            <w:r w:rsidRPr="00486A72">
              <w:rPr>
                <w:rFonts w:cs="Segoe UI"/>
                <w:szCs w:val="18"/>
              </w:rPr>
              <w:t>Waitematā</w:t>
            </w:r>
            <w:proofErr w:type="spellEnd"/>
          </w:p>
        </w:tc>
        <w:tc>
          <w:tcPr>
            <w:tcW w:w="904" w:type="pct"/>
          </w:tcPr>
          <w:p w14:paraId="3BF98CDA" w14:textId="77777777" w:rsidR="008361C5" w:rsidRPr="00486A72" w:rsidRDefault="008361C5" w:rsidP="0047263B">
            <w:pPr>
              <w:pStyle w:val="TableText"/>
              <w:keepNext/>
              <w:tabs>
                <w:tab w:val="decimal" w:pos="768"/>
              </w:tabs>
              <w:rPr>
                <w:rFonts w:cs="Segoe UI"/>
                <w:szCs w:val="18"/>
              </w:rPr>
            </w:pPr>
            <w:r w:rsidRPr="00486A72">
              <w:rPr>
                <w:rFonts w:cs="Segoe UI"/>
                <w:szCs w:val="18"/>
              </w:rPr>
              <w:t>43</w:t>
            </w:r>
          </w:p>
        </w:tc>
        <w:tc>
          <w:tcPr>
            <w:tcW w:w="904" w:type="pct"/>
          </w:tcPr>
          <w:p w14:paraId="6F9D60E2" w14:textId="77777777" w:rsidR="008361C5" w:rsidRPr="00486A72" w:rsidRDefault="008361C5" w:rsidP="0047263B">
            <w:pPr>
              <w:pStyle w:val="TableText"/>
              <w:keepNext/>
              <w:tabs>
                <w:tab w:val="decimal" w:pos="768"/>
              </w:tabs>
              <w:rPr>
                <w:rFonts w:cs="Segoe UI"/>
                <w:szCs w:val="18"/>
              </w:rPr>
            </w:pPr>
            <w:r w:rsidRPr="00486A72">
              <w:rPr>
                <w:rFonts w:cs="Segoe UI"/>
                <w:szCs w:val="18"/>
              </w:rPr>
              <w:t>338</w:t>
            </w:r>
          </w:p>
        </w:tc>
        <w:tc>
          <w:tcPr>
            <w:tcW w:w="904" w:type="pct"/>
          </w:tcPr>
          <w:p w14:paraId="039AA834" w14:textId="77777777" w:rsidR="008361C5" w:rsidRPr="00486A72" w:rsidRDefault="008361C5" w:rsidP="0047263B">
            <w:pPr>
              <w:pStyle w:val="TableText"/>
              <w:keepNext/>
              <w:tabs>
                <w:tab w:val="decimal" w:pos="834"/>
              </w:tabs>
              <w:rPr>
                <w:rFonts w:cs="Segoe UI"/>
                <w:szCs w:val="18"/>
              </w:rPr>
            </w:pPr>
            <w:r w:rsidRPr="00486A72">
              <w:rPr>
                <w:rFonts w:cs="Segoe UI"/>
                <w:szCs w:val="18"/>
              </w:rPr>
              <w:t>6,262</w:t>
            </w:r>
          </w:p>
        </w:tc>
        <w:tc>
          <w:tcPr>
            <w:tcW w:w="1141" w:type="pct"/>
          </w:tcPr>
          <w:p w14:paraId="5F338E28" w14:textId="77777777" w:rsidR="008361C5" w:rsidRPr="00486A72" w:rsidRDefault="008361C5" w:rsidP="0047263B">
            <w:pPr>
              <w:pStyle w:val="TableText"/>
              <w:keepNext/>
              <w:jc w:val="center"/>
              <w:rPr>
                <w:rFonts w:cs="Segoe UI"/>
                <w:szCs w:val="18"/>
              </w:rPr>
            </w:pPr>
            <w:r w:rsidRPr="00486A72">
              <w:rPr>
                <w:rFonts w:cs="Segoe UI"/>
                <w:szCs w:val="18"/>
              </w:rPr>
              <w:t>18.5</w:t>
            </w:r>
          </w:p>
        </w:tc>
      </w:tr>
      <w:tr w:rsidR="008361C5" w:rsidRPr="00486A72" w14:paraId="0970718F" w14:textId="77777777" w:rsidTr="008371F6">
        <w:trPr>
          <w:trHeight w:val="387"/>
        </w:trPr>
        <w:tc>
          <w:tcPr>
            <w:tcW w:w="1147" w:type="pct"/>
          </w:tcPr>
          <w:p w14:paraId="02397750" w14:textId="77777777" w:rsidR="008361C5" w:rsidRPr="00A43EFE" w:rsidRDefault="008361C5" w:rsidP="0047263B">
            <w:pPr>
              <w:pStyle w:val="TableText"/>
              <w:keepNext/>
              <w:rPr>
                <w:rFonts w:cs="Segoe UI"/>
                <w:b/>
                <w:bCs/>
                <w:szCs w:val="18"/>
              </w:rPr>
            </w:pPr>
            <w:r w:rsidRPr="00A43EFE">
              <w:rPr>
                <w:rFonts w:cs="Segoe UI"/>
                <w:b/>
                <w:bCs/>
                <w:szCs w:val="18"/>
              </w:rPr>
              <w:t>Total</w:t>
            </w:r>
          </w:p>
        </w:tc>
        <w:tc>
          <w:tcPr>
            <w:tcW w:w="904" w:type="pct"/>
          </w:tcPr>
          <w:p w14:paraId="71A2E085" w14:textId="77777777" w:rsidR="008361C5" w:rsidRPr="00A43EFE" w:rsidRDefault="008361C5" w:rsidP="0047263B">
            <w:pPr>
              <w:pStyle w:val="TableText"/>
              <w:keepNext/>
              <w:tabs>
                <w:tab w:val="decimal" w:pos="768"/>
              </w:tabs>
              <w:rPr>
                <w:rFonts w:cs="Segoe UI"/>
                <w:b/>
                <w:bCs/>
                <w:szCs w:val="18"/>
              </w:rPr>
            </w:pPr>
            <w:r w:rsidRPr="00A43EFE">
              <w:rPr>
                <w:rFonts w:cs="Segoe UI"/>
                <w:b/>
                <w:bCs/>
                <w:szCs w:val="18"/>
              </w:rPr>
              <w:t>99</w:t>
            </w:r>
          </w:p>
        </w:tc>
        <w:tc>
          <w:tcPr>
            <w:tcW w:w="904" w:type="pct"/>
          </w:tcPr>
          <w:p w14:paraId="108C51D2" w14:textId="77777777" w:rsidR="008361C5" w:rsidRPr="00A43EFE" w:rsidRDefault="008361C5" w:rsidP="0047263B">
            <w:pPr>
              <w:pStyle w:val="TableText"/>
              <w:keepNext/>
              <w:tabs>
                <w:tab w:val="decimal" w:pos="768"/>
              </w:tabs>
              <w:rPr>
                <w:rFonts w:cs="Segoe UI"/>
                <w:b/>
                <w:bCs/>
                <w:szCs w:val="18"/>
              </w:rPr>
            </w:pPr>
            <w:r w:rsidRPr="00A43EFE">
              <w:rPr>
                <w:rFonts w:cs="Segoe UI"/>
                <w:b/>
                <w:bCs/>
                <w:szCs w:val="18"/>
              </w:rPr>
              <w:t>524</w:t>
            </w:r>
          </w:p>
        </w:tc>
        <w:tc>
          <w:tcPr>
            <w:tcW w:w="904" w:type="pct"/>
          </w:tcPr>
          <w:p w14:paraId="722BA74C" w14:textId="77777777" w:rsidR="008361C5" w:rsidRPr="00A43EFE" w:rsidRDefault="008361C5" w:rsidP="0047263B">
            <w:pPr>
              <w:pStyle w:val="TableText"/>
              <w:keepNext/>
              <w:tabs>
                <w:tab w:val="decimal" w:pos="834"/>
              </w:tabs>
              <w:rPr>
                <w:rFonts w:cs="Segoe UI"/>
                <w:b/>
                <w:bCs/>
                <w:szCs w:val="18"/>
              </w:rPr>
            </w:pPr>
            <w:r w:rsidRPr="00A43EFE">
              <w:rPr>
                <w:rFonts w:cs="Segoe UI"/>
                <w:b/>
                <w:bCs/>
                <w:szCs w:val="18"/>
              </w:rPr>
              <w:t>20,101</w:t>
            </w:r>
          </w:p>
        </w:tc>
        <w:tc>
          <w:tcPr>
            <w:tcW w:w="1141" w:type="pct"/>
          </w:tcPr>
          <w:p w14:paraId="0FBE0FCA" w14:textId="77777777" w:rsidR="008361C5" w:rsidRPr="00A43EFE" w:rsidRDefault="008361C5" w:rsidP="0047263B">
            <w:pPr>
              <w:pStyle w:val="TableText"/>
              <w:keepNext/>
              <w:jc w:val="center"/>
              <w:rPr>
                <w:rFonts w:cs="Segoe UI"/>
                <w:b/>
                <w:bCs/>
                <w:szCs w:val="18"/>
              </w:rPr>
            </w:pPr>
            <w:r w:rsidRPr="00A43EFE">
              <w:rPr>
                <w:rFonts w:cs="Segoe UI"/>
                <w:b/>
                <w:bCs/>
                <w:szCs w:val="18"/>
              </w:rPr>
              <w:t>38.4</w:t>
            </w:r>
          </w:p>
        </w:tc>
      </w:tr>
    </w:tbl>
    <w:p w14:paraId="39C11EC4" w14:textId="029E8ECA" w:rsidR="008361C5" w:rsidRPr="00200234" w:rsidRDefault="008361C5" w:rsidP="0047263B">
      <w:pPr>
        <w:pStyle w:val="Note"/>
        <w:keepNext/>
      </w:pPr>
      <w:r w:rsidRPr="00200234">
        <w:t>Notes: The sum of the total clients does not match the total reported because one client was seen by both Canterbury and Capital &amp; Coast DHBs. In the 2017 Annual Report, the last column was mislabelled ‘Average duration per client (hours)’. The correct label for that column is ‘Average duration per event (hours)’, making it comparable to other years’ data. Data for the Whanganui forensic mental health service has been included with Capital &amp; Coast DHB. Clients are aged 20</w:t>
      </w:r>
      <w:r w:rsidR="00912EAD" w:rsidRPr="00200234">
        <w:t>–</w:t>
      </w:r>
      <w:r w:rsidRPr="00200234">
        <w:t>64 years. Clients are mental health service users only.</w:t>
      </w:r>
    </w:p>
    <w:p w14:paraId="40C6184D" w14:textId="3E7B691E" w:rsidR="008361C5" w:rsidRPr="00200234" w:rsidRDefault="008361C5" w:rsidP="008361C5">
      <w:pPr>
        <w:pStyle w:val="Note"/>
      </w:pPr>
      <w:r w:rsidRPr="00200234">
        <w:t>Source</w:t>
      </w:r>
      <w:r w:rsidR="00935BF5" w:rsidRPr="00200234">
        <w:t>s</w:t>
      </w:r>
      <w:r w:rsidRPr="00200234">
        <w:t>: PRIMHD data</w:t>
      </w:r>
      <w:r w:rsidR="0015429E">
        <w:t xml:space="preserve"> (extracted</w:t>
      </w:r>
      <w:r w:rsidRPr="00200234">
        <w:t xml:space="preserve"> 29 July 2019</w:t>
      </w:r>
      <w:r w:rsidR="00D30615">
        <w:t>)</w:t>
      </w:r>
      <w:r w:rsidRPr="00200234">
        <w:t xml:space="preserve"> and manual data </w:t>
      </w:r>
      <w:r w:rsidR="00885619" w:rsidRPr="00200234">
        <w:t xml:space="preserve">from </w:t>
      </w:r>
      <w:r w:rsidRPr="00200234">
        <w:t xml:space="preserve">Southern and </w:t>
      </w:r>
      <w:proofErr w:type="spellStart"/>
      <w:r w:rsidRPr="00200234">
        <w:t>Waitematā</w:t>
      </w:r>
      <w:proofErr w:type="spellEnd"/>
      <w:r w:rsidRPr="00200234">
        <w:t xml:space="preserve"> DHBs.</w:t>
      </w:r>
    </w:p>
    <w:p w14:paraId="0A9F0650" w14:textId="77777777" w:rsidR="008361C5" w:rsidRPr="00200234" w:rsidRDefault="008361C5" w:rsidP="008361C5"/>
    <w:p w14:paraId="11C1D15B" w14:textId="26BB6F8F" w:rsidR="008361C5" w:rsidRPr="00200234" w:rsidRDefault="008361C5" w:rsidP="008361C5">
      <w:pPr>
        <w:pStyle w:val="Table"/>
        <w:rPr>
          <w:rFonts w:cstheme="minorBidi"/>
        </w:rPr>
      </w:pPr>
      <w:bookmarkStart w:id="199" w:name="_Ref65673053"/>
      <w:bookmarkStart w:id="200" w:name="_Toc63764673"/>
      <w:bookmarkStart w:id="201" w:name="_Toc69306780"/>
      <w:r w:rsidRPr="00200234">
        <w:t xml:space="preserve">Table </w:t>
      </w:r>
      <w:fldSimple w:instr=" SEQ Table \* ARABIC ">
        <w:r w:rsidR="00422361">
          <w:rPr>
            <w:noProof/>
          </w:rPr>
          <w:t>10</w:t>
        </w:r>
      </w:fldSimple>
      <w:bookmarkEnd w:id="199"/>
      <w:r w:rsidRPr="00200234">
        <w:t>: Seclusion indicators for forensic mental health services, by DHB, 1 January to 31 December 2019</w:t>
      </w:r>
      <w:bookmarkEnd w:id="200"/>
      <w:bookmarkEnd w:id="201"/>
    </w:p>
    <w:tbl>
      <w:tblPr>
        <w:tblStyle w:val="TableGrid1"/>
        <w:tblW w:w="5000" w:type="pct"/>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ook w:val="0460" w:firstRow="1" w:lastRow="1" w:firstColumn="0" w:lastColumn="0" w:noHBand="0" w:noVBand="1"/>
      </w:tblPr>
      <w:tblGrid>
        <w:gridCol w:w="1852"/>
        <w:gridCol w:w="1461"/>
        <w:gridCol w:w="1461"/>
        <w:gridCol w:w="1461"/>
        <w:gridCol w:w="1844"/>
      </w:tblGrid>
      <w:tr w:rsidR="008361C5" w:rsidRPr="00486A72" w14:paraId="63FFC889" w14:textId="77777777" w:rsidTr="0081541E">
        <w:trPr>
          <w:trHeight w:val="645"/>
        </w:trPr>
        <w:tc>
          <w:tcPr>
            <w:tcW w:w="1147" w:type="pct"/>
            <w:tcBorders>
              <w:top w:val="nil"/>
              <w:bottom w:val="nil"/>
            </w:tcBorders>
            <w:shd w:val="clear" w:color="auto" w:fill="D9D9D9"/>
          </w:tcPr>
          <w:p w14:paraId="53893C91" w14:textId="77777777" w:rsidR="008361C5" w:rsidRPr="00486A72" w:rsidRDefault="008361C5" w:rsidP="0047263B">
            <w:pPr>
              <w:pStyle w:val="TableText"/>
              <w:keepNext/>
              <w:rPr>
                <w:rFonts w:cs="Segoe UI"/>
                <w:b/>
                <w:bCs/>
                <w:szCs w:val="18"/>
              </w:rPr>
            </w:pPr>
            <w:r w:rsidRPr="00486A72">
              <w:rPr>
                <w:rFonts w:cs="Segoe UI"/>
                <w:b/>
                <w:bCs/>
                <w:szCs w:val="18"/>
              </w:rPr>
              <w:t>DHB</w:t>
            </w:r>
          </w:p>
        </w:tc>
        <w:tc>
          <w:tcPr>
            <w:tcW w:w="904" w:type="pct"/>
            <w:tcBorders>
              <w:top w:val="nil"/>
              <w:bottom w:val="nil"/>
            </w:tcBorders>
            <w:shd w:val="clear" w:color="auto" w:fill="D9D9D9"/>
          </w:tcPr>
          <w:p w14:paraId="52E55C78" w14:textId="77777777" w:rsidR="008361C5" w:rsidRPr="00486A72" w:rsidRDefault="008361C5" w:rsidP="0047263B">
            <w:pPr>
              <w:pStyle w:val="TableText"/>
              <w:keepNext/>
              <w:jc w:val="center"/>
              <w:rPr>
                <w:rFonts w:cs="Segoe UI"/>
                <w:b/>
                <w:bCs/>
                <w:szCs w:val="18"/>
              </w:rPr>
            </w:pPr>
            <w:r w:rsidRPr="00486A72">
              <w:rPr>
                <w:rFonts w:cs="Segoe UI"/>
                <w:b/>
                <w:bCs/>
                <w:szCs w:val="18"/>
              </w:rPr>
              <w:t>Clients</w:t>
            </w:r>
            <w:r w:rsidRPr="00486A72">
              <w:rPr>
                <w:rFonts w:cs="Segoe UI"/>
                <w:b/>
                <w:bCs/>
                <w:szCs w:val="18"/>
              </w:rPr>
              <w:br/>
              <w:t>secluded</w:t>
            </w:r>
          </w:p>
        </w:tc>
        <w:tc>
          <w:tcPr>
            <w:tcW w:w="904" w:type="pct"/>
            <w:tcBorders>
              <w:top w:val="nil"/>
              <w:bottom w:val="nil"/>
            </w:tcBorders>
            <w:shd w:val="clear" w:color="auto" w:fill="D9D9D9"/>
          </w:tcPr>
          <w:p w14:paraId="4419409C" w14:textId="77777777" w:rsidR="008361C5" w:rsidRPr="00486A72" w:rsidRDefault="008361C5" w:rsidP="0047263B">
            <w:pPr>
              <w:pStyle w:val="TableText"/>
              <w:keepNext/>
              <w:jc w:val="center"/>
              <w:rPr>
                <w:rFonts w:cs="Segoe UI"/>
                <w:b/>
                <w:bCs/>
                <w:szCs w:val="18"/>
              </w:rPr>
            </w:pPr>
            <w:r w:rsidRPr="00486A72">
              <w:rPr>
                <w:rFonts w:cs="Segoe UI"/>
                <w:b/>
                <w:bCs/>
                <w:szCs w:val="18"/>
              </w:rPr>
              <w:t>Number of events</w:t>
            </w:r>
          </w:p>
        </w:tc>
        <w:tc>
          <w:tcPr>
            <w:tcW w:w="904" w:type="pct"/>
            <w:tcBorders>
              <w:top w:val="nil"/>
              <w:bottom w:val="nil"/>
            </w:tcBorders>
            <w:shd w:val="clear" w:color="auto" w:fill="D9D9D9"/>
          </w:tcPr>
          <w:p w14:paraId="17D0726C" w14:textId="77777777" w:rsidR="008361C5" w:rsidRPr="00486A72" w:rsidRDefault="008361C5" w:rsidP="0047263B">
            <w:pPr>
              <w:pStyle w:val="TableText"/>
              <w:keepNext/>
              <w:jc w:val="center"/>
              <w:rPr>
                <w:rFonts w:cs="Segoe UI"/>
                <w:b/>
                <w:bCs/>
                <w:szCs w:val="18"/>
              </w:rPr>
            </w:pPr>
            <w:r w:rsidRPr="00486A72">
              <w:rPr>
                <w:rFonts w:cs="Segoe UI"/>
                <w:b/>
                <w:bCs/>
                <w:szCs w:val="18"/>
              </w:rPr>
              <w:t>Total</w:t>
            </w:r>
            <w:r w:rsidRPr="00486A72">
              <w:rPr>
                <w:rFonts w:cs="Segoe UI"/>
                <w:b/>
                <w:bCs/>
                <w:szCs w:val="18"/>
              </w:rPr>
              <w:br/>
              <w:t>hours</w:t>
            </w:r>
          </w:p>
        </w:tc>
        <w:tc>
          <w:tcPr>
            <w:tcW w:w="1141" w:type="pct"/>
            <w:tcBorders>
              <w:top w:val="nil"/>
              <w:bottom w:val="nil"/>
            </w:tcBorders>
            <w:shd w:val="clear" w:color="auto" w:fill="D9D9D9"/>
          </w:tcPr>
          <w:p w14:paraId="32C2533B" w14:textId="77777777" w:rsidR="008361C5" w:rsidRPr="00486A72" w:rsidRDefault="008361C5" w:rsidP="0047263B">
            <w:pPr>
              <w:pStyle w:val="TableText"/>
              <w:keepNext/>
              <w:jc w:val="center"/>
              <w:rPr>
                <w:rFonts w:cs="Segoe UI"/>
                <w:b/>
                <w:bCs/>
                <w:szCs w:val="18"/>
              </w:rPr>
            </w:pPr>
            <w:r w:rsidRPr="00486A72">
              <w:rPr>
                <w:rFonts w:cs="Segoe UI"/>
                <w:b/>
                <w:bCs/>
                <w:szCs w:val="18"/>
              </w:rPr>
              <w:t>Average duration per event (hours)</w:t>
            </w:r>
          </w:p>
        </w:tc>
      </w:tr>
      <w:tr w:rsidR="008361C5" w:rsidRPr="00486A72" w14:paraId="7E998EAC" w14:textId="77777777" w:rsidTr="0081541E">
        <w:trPr>
          <w:trHeight w:val="370"/>
        </w:trPr>
        <w:tc>
          <w:tcPr>
            <w:tcW w:w="1147" w:type="pct"/>
            <w:tcBorders>
              <w:top w:val="nil"/>
            </w:tcBorders>
          </w:tcPr>
          <w:p w14:paraId="66BD2242" w14:textId="77777777" w:rsidR="008361C5" w:rsidRPr="00486A72" w:rsidRDefault="008361C5" w:rsidP="0047263B">
            <w:pPr>
              <w:pStyle w:val="TableText"/>
              <w:keepNext/>
              <w:rPr>
                <w:rFonts w:cs="Segoe UI"/>
                <w:szCs w:val="18"/>
              </w:rPr>
            </w:pPr>
            <w:r w:rsidRPr="00486A72">
              <w:rPr>
                <w:rFonts w:cs="Segoe UI"/>
                <w:szCs w:val="18"/>
              </w:rPr>
              <w:t>Canterbury</w:t>
            </w:r>
          </w:p>
        </w:tc>
        <w:tc>
          <w:tcPr>
            <w:tcW w:w="904" w:type="pct"/>
            <w:tcBorders>
              <w:top w:val="nil"/>
            </w:tcBorders>
          </w:tcPr>
          <w:p w14:paraId="00D82CCD" w14:textId="77777777" w:rsidR="008361C5" w:rsidRPr="00486A72" w:rsidRDefault="008361C5" w:rsidP="0047263B">
            <w:pPr>
              <w:pStyle w:val="TableText"/>
              <w:keepNext/>
              <w:tabs>
                <w:tab w:val="decimal" w:pos="768"/>
              </w:tabs>
              <w:rPr>
                <w:rFonts w:cs="Segoe UI"/>
                <w:szCs w:val="18"/>
              </w:rPr>
            </w:pPr>
            <w:r w:rsidRPr="00486A72">
              <w:rPr>
                <w:rFonts w:cs="Segoe UI"/>
                <w:szCs w:val="18"/>
              </w:rPr>
              <w:t>30</w:t>
            </w:r>
          </w:p>
        </w:tc>
        <w:tc>
          <w:tcPr>
            <w:tcW w:w="904" w:type="pct"/>
            <w:tcBorders>
              <w:top w:val="nil"/>
            </w:tcBorders>
          </w:tcPr>
          <w:p w14:paraId="003B5A64" w14:textId="77777777" w:rsidR="008361C5" w:rsidRPr="00486A72" w:rsidRDefault="008361C5" w:rsidP="0047263B">
            <w:pPr>
              <w:pStyle w:val="TableText"/>
              <w:keepNext/>
              <w:tabs>
                <w:tab w:val="decimal" w:pos="768"/>
              </w:tabs>
              <w:rPr>
                <w:rFonts w:cs="Segoe UI"/>
                <w:szCs w:val="18"/>
              </w:rPr>
            </w:pPr>
            <w:r w:rsidRPr="00486A72">
              <w:rPr>
                <w:rFonts w:cs="Segoe UI"/>
                <w:szCs w:val="18"/>
              </w:rPr>
              <w:t>157</w:t>
            </w:r>
          </w:p>
        </w:tc>
        <w:tc>
          <w:tcPr>
            <w:tcW w:w="904" w:type="pct"/>
            <w:tcBorders>
              <w:top w:val="nil"/>
            </w:tcBorders>
          </w:tcPr>
          <w:p w14:paraId="00075E5D" w14:textId="77777777" w:rsidR="008361C5" w:rsidRPr="00486A72" w:rsidRDefault="008361C5" w:rsidP="0047263B">
            <w:pPr>
              <w:pStyle w:val="TableText"/>
              <w:keepNext/>
              <w:tabs>
                <w:tab w:val="decimal" w:pos="834"/>
              </w:tabs>
              <w:rPr>
                <w:rFonts w:cs="Segoe UI"/>
                <w:szCs w:val="18"/>
              </w:rPr>
            </w:pPr>
            <w:r w:rsidRPr="00486A72">
              <w:rPr>
                <w:rFonts w:cs="Segoe UI"/>
                <w:szCs w:val="18"/>
              </w:rPr>
              <w:t>14,835</w:t>
            </w:r>
          </w:p>
        </w:tc>
        <w:tc>
          <w:tcPr>
            <w:tcW w:w="1141" w:type="pct"/>
            <w:tcBorders>
              <w:top w:val="nil"/>
            </w:tcBorders>
          </w:tcPr>
          <w:p w14:paraId="35BBBEF5" w14:textId="77777777" w:rsidR="008361C5" w:rsidRPr="00486A72" w:rsidRDefault="008361C5" w:rsidP="0047263B">
            <w:pPr>
              <w:pStyle w:val="TableText"/>
              <w:keepNext/>
              <w:jc w:val="center"/>
              <w:rPr>
                <w:rFonts w:cs="Segoe UI"/>
                <w:szCs w:val="18"/>
              </w:rPr>
            </w:pPr>
            <w:r w:rsidRPr="00486A72">
              <w:rPr>
                <w:rFonts w:cs="Segoe UI"/>
                <w:szCs w:val="18"/>
              </w:rPr>
              <w:t>94.5</w:t>
            </w:r>
          </w:p>
        </w:tc>
      </w:tr>
      <w:tr w:rsidR="008361C5" w:rsidRPr="00486A72" w14:paraId="10897033" w14:textId="77777777" w:rsidTr="0081541E">
        <w:trPr>
          <w:trHeight w:val="387"/>
        </w:trPr>
        <w:tc>
          <w:tcPr>
            <w:tcW w:w="1147" w:type="pct"/>
          </w:tcPr>
          <w:p w14:paraId="64034A41" w14:textId="77777777" w:rsidR="008361C5" w:rsidRPr="00486A72" w:rsidRDefault="008361C5" w:rsidP="0047263B">
            <w:pPr>
              <w:pStyle w:val="TableText"/>
              <w:keepNext/>
              <w:rPr>
                <w:rFonts w:cs="Segoe UI"/>
                <w:szCs w:val="18"/>
              </w:rPr>
            </w:pPr>
            <w:r w:rsidRPr="00486A72">
              <w:rPr>
                <w:rFonts w:cs="Segoe UI"/>
                <w:szCs w:val="18"/>
              </w:rPr>
              <w:t>Capital &amp; Coast</w:t>
            </w:r>
          </w:p>
        </w:tc>
        <w:tc>
          <w:tcPr>
            <w:tcW w:w="904" w:type="pct"/>
          </w:tcPr>
          <w:p w14:paraId="6D447D7F" w14:textId="77777777" w:rsidR="008361C5" w:rsidRPr="00486A72" w:rsidRDefault="008361C5" w:rsidP="0047263B">
            <w:pPr>
              <w:pStyle w:val="TableText"/>
              <w:keepNext/>
              <w:tabs>
                <w:tab w:val="decimal" w:pos="768"/>
              </w:tabs>
              <w:rPr>
                <w:rFonts w:cs="Segoe UI"/>
                <w:szCs w:val="18"/>
              </w:rPr>
            </w:pPr>
            <w:r w:rsidRPr="00486A72">
              <w:rPr>
                <w:rFonts w:cs="Segoe UI"/>
                <w:szCs w:val="18"/>
              </w:rPr>
              <w:t>4</w:t>
            </w:r>
          </w:p>
        </w:tc>
        <w:tc>
          <w:tcPr>
            <w:tcW w:w="904" w:type="pct"/>
          </w:tcPr>
          <w:p w14:paraId="778F61D3" w14:textId="77777777" w:rsidR="008361C5" w:rsidRPr="00486A72" w:rsidRDefault="008361C5" w:rsidP="0047263B">
            <w:pPr>
              <w:pStyle w:val="TableText"/>
              <w:keepNext/>
              <w:tabs>
                <w:tab w:val="decimal" w:pos="768"/>
              </w:tabs>
              <w:rPr>
                <w:rFonts w:cs="Segoe UI"/>
                <w:szCs w:val="18"/>
              </w:rPr>
            </w:pPr>
            <w:r w:rsidRPr="00486A72">
              <w:rPr>
                <w:rFonts w:cs="Segoe UI"/>
                <w:szCs w:val="18"/>
              </w:rPr>
              <w:t>5</w:t>
            </w:r>
          </w:p>
        </w:tc>
        <w:tc>
          <w:tcPr>
            <w:tcW w:w="904" w:type="pct"/>
          </w:tcPr>
          <w:p w14:paraId="52A8E30C" w14:textId="77777777" w:rsidR="008361C5" w:rsidRPr="00486A72" w:rsidRDefault="008361C5" w:rsidP="0047263B">
            <w:pPr>
              <w:pStyle w:val="TableText"/>
              <w:keepNext/>
              <w:tabs>
                <w:tab w:val="decimal" w:pos="834"/>
              </w:tabs>
              <w:rPr>
                <w:rFonts w:cs="Segoe UI"/>
                <w:szCs w:val="18"/>
              </w:rPr>
            </w:pPr>
            <w:r w:rsidRPr="00486A72">
              <w:rPr>
                <w:rFonts w:cs="Segoe UI"/>
                <w:szCs w:val="18"/>
              </w:rPr>
              <w:t>102</w:t>
            </w:r>
          </w:p>
        </w:tc>
        <w:tc>
          <w:tcPr>
            <w:tcW w:w="1141" w:type="pct"/>
          </w:tcPr>
          <w:p w14:paraId="341B25E4" w14:textId="77777777" w:rsidR="008361C5" w:rsidRPr="00486A72" w:rsidRDefault="008361C5" w:rsidP="0047263B">
            <w:pPr>
              <w:pStyle w:val="TableText"/>
              <w:keepNext/>
              <w:jc w:val="center"/>
              <w:rPr>
                <w:rFonts w:cs="Segoe UI"/>
                <w:szCs w:val="18"/>
              </w:rPr>
            </w:pPr>
            <w:r w:rsidRPr="00486A72">
              <w:rPr>
                <w:rFonts w:cs="Segoe UI"/>
                <w:szCs w:val="18"/>
              </w:rPr>
              <w:t>20.4</w:t>
            </w:r>
          </w:p>
        </w:tc>
      </w:tr>
      <w:tr w:rsidR="008361C5" w:rsidRPr="00486A72" w14:paraId="340D1490" w14:textId="77777777" w:rsidTr="0081541E">
        <w:trPr>
          <w:trHeight w:val="370"/>
        </w:trPr>
        <w:tc>
          <w:tcPr>
            <w:tcW w:w="1147" w:type="pct"/>
          </w:tcPr>
          <w:p w14:paraId="03A21C3D" w14:textId="77777777" w:rsidR="008361C5" w:rsidRPr="00486A72" w:rsidRDefault="008361C5" w:rsidP="0047263B">
            <w:pPr>
              <w:pStyle w:val="TableText"/>
              <w:keepNext/>
              <w:rPr>
                <w:rFonts w:cs="Segoe UI"/>
                <w:szCs w:val="18"/>
              </w:rPr>
            </w:pPr>
            <w:r w:rsidRPr="00486A72">
              <w:rPr>
                <w:rFonts w:cs="Segoe UI"/>
                <w:szCs w:val="18"/>
              </w:rPr>
              <w:t>Southern</w:t>
            </w:r>
          </w:p>
        </w:tc>
        <w:tc>
          <w:tcPr>
            <w:tcW w:w="904" w:type="pct"/>
          </w:tcPr>
          <w:p w14:paraId="7D21FD1D" w14:textId="77777777" w:rsidR="008361C5" w:rsidRPr="00486A72" w:rsidRDefault="008361C5" w:rsidP="0047263B">
            <w:pPr>
              <w:pStyle w:val="TableText"/>
              <w:keepNext/>
              <w:tabs>
                <w:tab w:val="decimal" w:pos="768"/>
              </w:tabs>
              <w:rPr>
                <w:rFonts w:cs="Segoe UI"/>
                <w:szCs w:val="18"/>
              </w:rPr>
            </w:pPr>
            <w:r w:rsidRPr="00486A72">
              <w:rPr>
                <w:rFonts w:cs="Segoe UI"/>
                <w:szCs w:val="18"/>
              </w:rPr>
              <w:t>4</w:t>
            </w:r>
          </w:p>
        </w:tc>
        <w:tc>
          <w:tcPr>
            <w:tcW w:w="904" w:type="pct"/>
          </w:tcPr>
          <w:p w14:paraId="1BF84124" w14:textId="77777777" w:rsidR="008361C5" w:rsidRPr="00486A72" w:rsidRDefault="008361C5" w:rsidP="0047263B">
            <w:pPr>
              <w:pStyle w:val="TableText"/>
              <w:keepNext/>
              <w:tabs>
                <w:tab w:val="decimal" w:pos="768"/>
              </w:tabs>
              <w:rPr>
                <w:rFonts w:cs="Segoe UI"/>
                <w:szCs w:val="18"/>
              </w:rPr>
            </w:pPr>
            <w:r w:rsidRPr="00486A72">
              <w:rPr>
                <w:rFonts w:cs="Segoe UI"/>
                <w:szCs w:val="18"/>
              </w:rPr>
              <w:t>13</w:t>
            </w:r>
          </w:p>
        </w:tc>
        <w:tc>
          <w:tcPr>
            <w:tcW w:w="904" w:type="pct"/>
          </w:tcPr>
          <w:p w14:paraId="1DE7C272" w14:textId="77777777" w:rsidR="008361C5" w:rsidRPr="00486A72" w:rsidRDefault="008361C5" w:rsidP="0047263B">
            <w:pPr>
              <w:pStyle w:val="TableText"/>
              <w:keepNext/>
              <w:tabs>
                <w:tab w:val="decimal" w:pos="834"/>
              </w:tabs>
              <w:rPr>
                <w:rFonts w:cs="Segoe UI"/>
                <w:szCs w:val="18"/>
              </w:rPr>
            </w:pPr>
            <w:r w:rsidRPr="00486A72">
              <w:rPr>
                <w:rFonts w:cs="Segoe UI"/>
                <w:szCs w:val="18"/>
              </w:rPr>
              <w:t>287</w:t>
            </w:r>
          </w:p>
        </w:tc>
        <w:tc>
          <w:tcPr>
            <w:tcW w:w="1141" w:type="pct"/>
          </w:tcPr>
          <w:p w14:paraId="5F1B4403" w14:textId="77777777" w:rsidR="008361C5" w:rsidRPr="00486A72" w:rsidRDefault="008361C5" w:rsidP="0047263B">
            <w:pPr>
              <w:pStyle w:val="TableText"/>
              <w:keepNext/>
              <w:jc w:val="center"/>
              <w:rPr>
                <w:rFonts w:cs="Segoe UI"/>
                <w:szCs w:val="18"/>
              </w:rPr>
            </w:pPr>
            <w:r w:rsidRPr="00486A72">
              <w:rPr>
                <w:rFonts w:cs="Segoe UI"/>
                <w:szCs w:val="18"/>
              </w:rPr>
              <w:t>22.1</w:t>
            </w:r>
          </w:p>
        </w:tc>
      </w:tr>
      <w:tr w:rsidR="008361C5" w:rsidRPr="00486A72" w14:paraId="71C0445E" w14:textId="77777777" w:rsidTr="0081541E">
        <w:trPr>
          <w:trHeight w:val="387"/>
        </w:trPr>
        <w:tc>
          <w:tcPr>
            <w:tcW w:w="1147" w:type="pct"/>
          </w:tcPr>
          <w:p w14:paraId="74DA9A3F" w14:textId="77777777" w:rsidR="008361C5" w:rsidRPr="00486A72" w:rsidRDefault="008361C5" w:rsidP="0047263B">
            <w:pPr>
              <w:pStyle w:val="TableText"/>
              <w:keepNext/>
              <w:rPr>
                <w:rFonts w:cs="Segoe UI"/>
                <w:szCs w:val="18"/>
              </w:rPr>
            </w:pPr>
            <w:r w:rsidRPr="00486A72">
              <w:rPr>
                <w:rFonts w:cs="Segoe UI"/>
                <w:szCs w:val="18"/>
              </w:rPr>
              <w:t>Waikato</w:t>
            </w:r>
          </w:p>
        </w:tc>
        <w:tc>
          <w:tcPr>
            <w:tcW w:w="904" w:type="pct"/>
          </w:tcPr>
          <w:p w14:paraId="015C5D19" w14:textId="77777777" w:rsidR="008361C5" w:rsidRPr="00486A72" w:rsidRDefault="008361C5" w:rsidP="0047263B">
            <w:pPr>
              <w:pStyle w:val="TableText"/>
              <w:keepNext/>
              <w:tabs>
                <w:tab w:val="decimal" w:pos="768"/>
              </w:tabs>
              <w:rPr>
                <w:rFonts w:cs="Segoe UI"/>
                <w:szCs w:val="18"/>
              </w:rPr>
            </w:pPr>
            <w:r w:rsidRPr="00486A72">
              <w:rPr>
                <w:rFonts w:cs="Segoe UI"/>
                <w:szCs w:val="18"/>
              </w:rPr>
              <w:t>23</w:t>
            </w:r>
          </w:p>
        </w:tc>
        <w:tc>
          <w:tcPr>
            <w:tcW w:w="904" w:type="pct"/>
          </w:tcPr>
          <w:p w14:paraId="4F6C4573" w14:textId="77777777" w:rsidR="008361C5" w:rsidRPr="00486A72" w:rsidRDefault="008361C5" w:rsidP="0047263B">
            <w:pPr>
              <w:pStyle w:val="TableText"/>
              <w:keepNext/>
              <w:tabs>
                <w:tab w:val="decimal" w:pos="768"/>
              </w:tabs>
              <w:rPr>
                <w:rFonts w:cs="Segoe UI"/>
                <w:szCs w:val="18"/>
              </w:rPr>
            </w:pPr>
            <w:r w:rsidRPr="00486A72">
              <w:rPr>
                <w:rFonts w:cs="Segoe UI"/>
                <w:szCs w:val="18"/>
              </w:rPr>
              <w:t>113</w:t>
            </w:r>
          </w:p>
        </w:tc>
        <w:tc>
          <w:tcPr>
            <w:tcW w:w="904" w:type="pct"/>
          </w:tcPr>
          <w:p w14:paraId="07B11D8E" w14:textId="77777777" w:rsidR="008361C5" w:rsidRPr="00486A72" w:rsidRDefault="008361C5" w:rsidP="0047263B">
            <w:pPr>
              <w:pStyle w:val="TableText"/>
              <w:keepNext/>
              <w:tabs>
                <w:tab w:val="decimal" w:pos="834"/>
              </w:tabs>
              <w:rPr>
                <w:rFonts w:cs="Segoe UI"/>
                <w:szCs w:val="18"/>
              </w:rPr>
            </w:pPr>
            <w:r w:rsidRPr="00486A72">
              <w:rPr>
                <w:rFonts w:cs="Segoe UI"/>
                <w:szCs w:val="18"/>
              </w:rPr>
              <w:t>4,659</w:t>
            </w:r>
          </w:p>
        </w:tc>
        <w:tc>
          <w:tcPr>
            <w:tcW w:w="1141" w:type="pct"/>
          </w:tcPr>
          <w:p w14:paraId="30C7882F" w14:textId="77777777" w:rsidR="008361C5" w:rsidRPr="00486A72" w:rsidRDefault="008361C5" w:rsidP="0047263B">
            <w:pPr>
              <w:pStyle w:val="TableText"/>
              <w:keepNext/>
              <w:jc w:val="center"/>
              <w:rPr>
                <w:rFonts w:cs="Segoe UI"/>
                <w:szCs w:val="18"/>
              </w:rPr>
            </w:pPr>
            <w:r w:rsidRPr="00486A72">
              <w:rPr>
                <w:rFonts w:cs="Segoe UI"/>
                <w:szCs w:val="18"/>
              </w:rPr>
              <w:t>41.2</w:t>
            </w:r>
          </w:p>
        </w:tc>
      </w:tr>
      <w:tr w:rsidR="008361C5" w:rsidRPr="00486A72" w14:paraId="15FFD3BC" w14:textId="77777777" w:rsidTr="0081541E">
        <w:trPr>
          <w:trHeight w:val="387"/>
        </w:trPr>
        <w:tc>
          <w:tcPr>
            <w:tcW w:w="1147" w:type="pct"/>
          </w:tcPr>
          <w:p w14:paraId="780BCD6B" w14:textId="77777777" w:rsidR="008361C5" w:rsidRPr="00486A72" w:rsidRDefault="008361C5" w:rsidP="0047263B">
            <w:pPr>
              <w:pStyle w:val="TableText"/>
              <w:keepNext/>
              <w:rPr>
                <w:rFonts w:cs="Segoe UI"/>
                <w:szCs w:val="18"/>
              </w:rPr>
            </w:pPr>
            <w:proofErr w:type="spellStart"/>
            <w:r w:rsidRPr="00486A72">
              <w:rPr>
                <w:rFonts w:cs="Segoe UI"/>
                <w:szCs w:val="18"/>
              </w:rPr>
              <w:t>Waitematā</w:t>
            </w:r>
            <w:proofErr w:type="spellEnd"/>
          </w:p>
        </w:tc>
        <w:tc>
          <w:tcPr>
            <w:tcW w:w="904" w:type="pct"/>
          </w:tcPr>
          <w:p w14:paraId="77D48B10" w14:textId="77777777" w:rsidR="008361C5" w:rsidRPr="00486A72" w:rsidRDefault="008361C5" w:rsidP="0047263B">
            <w:pPr>
              <w:pStyle w:val="TableText"/>
              <w:keepNext/>
              <w:tabs>
                <w:tab w:val="decimal" w:pos="768"/>
              </w:tabs>
              <w:rPr>
                <w:rFonts w:cs="Segoe UI"/>
                <w:szCs w:val="18"/>
              </w:rPr>
            </w:pPr>
            <w:r w:rsidRPr="00486A72">
              <w:rPr>
                <w:rFonts w:cs="Segoe UI"/>
                <w:szCs w:val="18"/>
              </w:rPr>
              <w:t>41</w:t>
            </w:r>
          </w:p>
        </w:tc>
        <w:tc>
          <w:tcPr>
            <w:tcW w:w="904" w:type="pct"/>
          </w:tcPr>
          <w:p w14:paraId="2FE7D522" w14:textId="77777777" w:rsidR="008361C5" w:rsidRPr="00486A72" w:rsidRDefault="008361C5" w:rsidP="0047263B">
            <w:pPr>
              <w:pStyle w:val="TableText"/>
              <w:keepNext/>
              <w:tabs>
                <w:tab w:val="decimal" w:pos="768"/>
              </w:tabs>
              <w:rPr>
                <w:rFonts w:cs="Segoe UI"/>
                <w:szCs w:val="18"/>
              </w:rPr>
            </w:pPr>
            <w:r w:rsidRPr="00486A72">
              <w:rPr>
                <w:rFonts w:cs="Segoe UI"/>
                <w:szCs w:val="18"/>
              </w:rPr>
              <w:t>110</w:t>
            </w:r>
          </w:p>
        </w:tc>
        <w:tc>
          <w:tcPr>
            <w:tcW w:w="904" w:type="pct"/>
          </w:tcPr>
          <w:p w14:paraId="6BE8379D" w14:textId="77777777" w:rsidR="008361C5" w:rsidRPr="00486A72" w:rsidRDefault="008361C5" w:rsidP="0047263B">
            <w:pPr>
              <w:pStyle w:val="TableText"/>
              <w:keepNext/>
              <w:tabs>
                <w:tab w:val="decimal" w:pos="834"/>
              </w:tabs>
              <w:rPr>
                <w:rFonts w:cs="Segoe UI"/>
                <w:szCs w:val="18"/>
              </w:rPr>
            </w:pPr>
            <w:r w:rsidRPr="00486A72">
              <w:rPr>
                <w:rFonts w:cs="Segoe UI"/>
                <w:szCs w:val="18"/>
              </w:rPr>
              <w:t>5,596</w:t>
            </w:r>
          </w:p>
        </w:tc>
        <w:tc>
          <w:tcPr>
            <w:tcW w:w="1141" w:type="pct"/>
          </w:tcPr>
          <w:p w14:paraId="46AA8011" w14:textId="77777777" w:rsidR="008361C5" w:rsidRPr="00486A72" w:rsidRDefault="008361C5" w:rsidP="0047263B">
            <w:pPr>
              <w:pStyle w:val="TableText"/>
              <w:keepNext/>
              <w:jc w:val="center"/>
              <w:rPr>
                <w:rFonts w:cs="Segoe UI"/>
                <w:szCs w:val="18"/>
              </w:rPr>
            </w:pPr>
            <w:r w:rsidRPr="00486A72">
              <w:rPr>
                <w:rFonts w:cs="Segoe UI"/>
                <w:szCs w:val="18"/>
              </w:rPr>
              <w:t>50.8</w:t>
            </w:r>
          </w:p>
        </w:tc>
      </w:tr>
      <w:tr w:rsidR="008361C5" w:rsidRPr="00486A72" w14:paraId="1D0098F3" w14:textId="77777777" w:rsidTr="0081541E">
        <w:trPr>
          <w:trHeight w:val="387"/>
        </w:trPr>
        <w:tc>
          <w:tcPr>
            <w:tcW w:w="1147" w:type="pct"/>
          </w:tcPr>
          <w:p w14:paraId="126A98AF" w14:textId="77777777" w:rsidR="008361C5" w:rsidRPr="00A43EFE" w:rsidRDefault="008361C5" w:rsidP="0047263B">
            <w:pPr>
              <w:pStyle w:val="TableText"/>
              <w:keepNext/>
              <w:rPr>
                <w:rFonts w:cs="Segoe UI"/>
                <w:b/>
                <w:bCs/>
                <w:szCs w:val="18"/>
              </w:rPr>
            </w:pPr>
            <w:r w:rsidRPr="00A43EFE">
              <w:rPr>
                <w:rFonts w:cs="Segoe UI"/>
                <w:b/>
                <w:bCs/>
                <w:szCs w:val="18"/>
              </w:rPr>
              <w:t>Total</w:t>
            </w:r>
          </w:p>
        </w:tc>
        <w:tc>
          <w:tcPr>
            <w:tcW w:w="904" w:type="pct"/>
          </w:tcPr>
          <w:p w14:paraId="1E702CB2" w14:textId="77777777" w:rsidR="008361C5" w:rsidRPr="00A43EFE" w:rsidRDefault="008361C5" w:rsidP="0047263B">
            <w:pPr>
              <w:pStyle w:val="TableText"/>
              <w:keepNext/>
              <w:tabs>
                <w:tab w:val="decimal" w:pos="768"/>
              </w:tabs>
              <w:rPr>
                <w:rFonts w:cs="Segoe UI"/>
                <w:b/>
                <w:bCs/>
                <w:szCs w:val="18"/>
              </w:rPr>
            </w:pPr>
            <w:r w:rsidRPr="00A43EFE">
              <w:rPr>
                <w:rFonts w:cs="Segoe UI"/>
                <w:b/>
                <w:bCs/>
                <w:szCs w:val="18"/>
              </w:rPr>
              <w:t>102</w:t>
            </w:r>
          </w:p>
        </w:tc>
        <w:tc>
          <w:tcPr>
            <w:tcW w:w="904" w:type="pct"/>
          </w:tcPr>
          <w:p w14:paraId="506F6834" w14:textId="77777777" w:rsidR="008361C5" w:rsidRPr="00A43EFE" w:rsidRDefault="008361C5" w:rsidP="0047263B">
            <w:pPr>
              <w:pStyle w:val="TableText"/>
              <w:keepNext/>
              <w:tabs>
                <w:tab w:val="decimal" w:pos="768"/>
              </w:tabs>
              <w:rPr>
                <w:rFonts w:cs="Segoe UI"/>
                <w:b/>
                <w:bCs/>
                <w:szCs w:val="18"/>
              </w:rPr>
            </w:pPr>
            <w:r w:rsidRPr="00A43EFE">
              <w:rPr>
                <w:rFonts w:cs="Segoe UI"/>
                <w:b/>
                <w:bCs/>
                <w:szCs w:val="18"/>
              </w:rPr>
              <w:t>398</w:t>
            </w:r>
          </w:p>
        </w:tc>
        <w:tc>
          <w:tcPr>
            <w:tcW w:w="904" w:type="pct"/>
          </w:tcPr>
          <w:p w14:paraId="5CFD6DED" w14:textId="77777777" w:rsidR="008361C5" w:rsidRPr="00A43EFE" w:rsidRDefault="008361C5" w:rsidP="0047263B">
            <w:pPr>
              <w:pStyle w:val="TableText"/>
              <w:keepNext/>
              <w:tabs>
                <w:tab w:val="decimal" w:pos="834"/>
              </w:tabs>
              <w:rPr>
                <w:rFonts w:cs="Segoe UI"/>
                <w:b/>
                <w:bCs/>
                <w:szCs w:val="18"/>
              </w:rPr>
            </w:pPr>
            <w:r w:rsidRPr="00A43EFE">
              <w:rPr>
                <w:rFonts w:cs="Segoe UI"/>
                <w:b/>
                <w:bCs/>
                <w:szCs w:val="18"/>
              </w:rPr>
              <w:t>25,479</w:t>
            </w:r>
          </w:p>
        </w:tc>
        <w:tc>
          <w:tcPr>
            <w:tcW w:w="1141" w:type="pct"/>
          </w:tcPr>
          <w:p w14:paraId="016F118A" w14:textId="77777777" w:rsidR="008361C5" w:rsidRPr="00A43EFE" w:rsidRDefault="008361C5" w:rsidP="0047263B">
            <w:pPr>
              <w:pStyle w:val="TableText"/>
              <w:keepNext/>
              <w:jc w:val="center"/>
              <w:rPr>
                <w:rFonts w:cs="Segoe UI"/>
                <w:b/>
                <w:bCs/>
                <w:szCs w:val="18"/>
              </w:rPr>
            </w:pPr>
            <w:r w:rsidRPr="00A43EFE">
              <w:rPr>
                <w:rFonts w:cs="Segoe UI"/>
                <w:b/>
                <w:bCs/>
                <w:szCs w:val="18"/>
              </w:rPr>
              <w:t>64.0</w:t>
            </w:r>
          </w:p>
        </w:tc>
      </w:tr>
    </w:tbl>
    <w:p w14:paraId="3AF87680" w14:textId="06130BC9" w:rsidR="008361C5" w:rsidRPr="00200234" w:rsidRDefault="008361C5" w:rsidP="0047263B">
      <w:pPr>
        <w:pStyle w:val="Note"/>
        <w:keepNext/>
      </w:pPr>
      <w:r w:rsidRPr="00200234">
        <w:t>Notes: Data for the Whanganui forensic mental health service has been included with Capital &amp; Coast DHB. Clients are aged 20</w:t>
      </w:r>
      <w:r w:rsidR="00912EAD" w:rsidRPr="00200234">
        <w:t>–</w:t>
      </w:r>
      <w:r w:rsidRPr="00200234">
        <w:t>64 years. Clients are mental health service users only.</w:t>
      </w:r>
    </w:p>
    <w:p w14:paraId="68E6D1C5" w14:textId="5C321AB9" w:rsidR="008361C5" w:rsidRPr="00200234" w:rsidRDefault="008361C5" w:rsidP="008361C5">
      <w:pPr>
        <w:pStyle w:val="Note"/>
      </w:pPr>
      <w:r w:rsidRPr="00200234">
        <w:t>Source: PRIMHD data</w:t>
      </w:r>
      <w:r w:rsidR="0015429E">
        <w:t xml:space="preserve"> (extracted</w:t>
      </w:r>
      <w:r w:rsidRPr="00200234">
        <w:t xml:space="preserve"> 19 October 2020</w:t>
      </w:r>
      <w:r w:rsidR="00D30615">
        <w:t>)</w:t>
      </w:r>
      <w:r w:rsidRPr="00200234">
        <w:t>.</w:t>
      </w:r>
    </w:p>
    <w:p w14:paraId="7A0A5CD0" w14:textId="77777777" w:rsidR="008361C5" w:rsidRPr="00200234" w:rsidRDefault="008361C5" w:rsidP="008361C5"/>
    <w:p w14:paraId="7A978721" w14:textId="77777777" w:rsidR="008361C5" w:rsidRPr="00200234" w:rsidRDefault="008361C5" w:rsidP="00DC3196">
      <w:pPr>
        <w:pStyle w:val="Heading1"/>
      </w:pPr>
      <w:bookmarkStart w:id="202" w:name="_Toc65141627"/>
      <w:bookmarkStart w:id="203" w:name="_Toc69307708"/>
      <w:r w:rsidRPr="00200234">
        <w:lastRenderedPageBreak/>
        <w:t>Special and restricted patients</w:t>
      </w:r>
      <w:bookmarkEnd w:id="202"/>
      <w:bookmarkEnd w:id="203"/>
    </w:p>
    <w:p w14:paraId="2227E8AA" w14:textId="48344BDB" w:rsidR="008361C5" w:rsidRPr="00200234" w:rsidRDefault="008361C5" w:rsidP="0047263B">
      <w:r w:rsidRPr="00200234">
        <w:t xml:space="preserve">Under New Zealand law, people who have been charged with committing crimes while severe mental illness </w:t>
      </w:r>
      <w:r w:rsidR="00A378CC">
        <w:t>was</w:t>
      </w:r>
      <w:r w:rsidRPr="00200234">
        <w:t xml:space="preserve"> influencing their judg</w:t>
      </w:r>
      <w:r w:rsidR="00A378CC">
        <w:t>e</w:t>
      </w:r>
      <w:r w:rsidRPr="00200234">
        <w:t xml:space="preserve">ment may be treated in a secure mental health facility instead of going to prison. These people are given ‘special patient’ status. </w:t>
      </w:r>
    </w:p>
    <w:p w14:paraId="554BF84E" w14:textId="77777777" w:rsidR="0047263B" w:rsidRPr="00200234" w:rsidRDefault="0047263B" w:rsidP="008361C5">
      <w:pPr>
        <w:rPr>
          <w:rFonts w:cs="Segoe UI"/>
        </w:rPr>
      </w:pPr>
    </w:p>
    <w:p w14:paraId="701575FB" w14:textId="2A8BEE91" w:rsidR="008361C5" w:rsidRPr="00200234" w:rsidRDefault="008361C5" w:rsidP="0047263B">
      <w:r w:rsidRPr="00200234">
        <w:t>Special patients include:</w:t>
      </w:r>
    </w:p>
    <w:p w14:paraId="025C0F2E" w14:textId="77777777" w:rsidR="008361C5" w:rsidRPr="00ED4FA1" w:rsidRDefault="008361C5" w:rsidP="0047263B">
      <w:pPr>
        <w:pStyle w:val="Bullet"/>
        <w:rPr>
          <w:szCs w:val="21"/>
        </w:rPr>
      </w:pPr>
      <w:r w:rsidRPr="00ED4FA1">
        <w:rPr>
          <w:szCs w:val="21"/>
        </w:rPr>
        <w:t>people charged with, or convicted of, a criminal offence and remanded to a hospital for a psychiatric report</w:t>
      </w:r>
    </w:p>
    <w:p w14:paraId="20BF07E4" w14:textId="77777777" w:rsidR="008361C5" w:rsidRPr="00ED4FA1" w:rsidRDefault="008361C5" w:rsidP="0047263B">
      <w:pPr>
        <w:pStyle w:val="Bullet"/>
        <w:rPr>
          <w:szCs w:val="21"/>
        </w:rPr>
      </w:pPr>
      <w:r w:rsidRPr="00ED4FA1">
        <w:rPr>
          <w:szCs w:val="21"/>
        </w:rPr>
        <w:t>remanded or sentenced prisoners transferred from prison to a hospital</w:t>
      </w:r>
    </w:p>
    <w:p w14:paraId="5B9E87CD" w14:textId="77777777" w:rsidR="008361C5" w:rsidRPr="00ED4FA1" w:rsidRDefault="008361C5" w:rsidP="0047263B">
      <w:pPr>
        <w:pStyle w:val="Bullet"/>
        <w:rPr>
          <w:szCs w:val="21"/>
        </w:rPr>
      </w:pPr>
      <w:r w:rsidRPr="00ED4FA1">
        <w:rPr>
          <w:szCs w:val="21"/>
        </w:rPr>
        <w:t>defendants found not guilty by reason of insanity</w:t>
      </w:r>
    </w:p>
    <w:p w14:paraId="6BCCA95F" w14:textId="77777777" w:rsidR="008361C5" w:rsidRPr="00ED4FA1" w:rsidRDefault="008361C5" w:rsidP="0047263B">
      <w:pPr>
        <w:pStyle w:val="Bullet"/>
        <w:rPr>
          <w:szCs w:val="21"/>
        </w:rPr>
      </w:pPr>
      <w:r w:rsidRPr="00ED4FA1">
        <w:rPr>
          <w:szCs w:val="21"/>
        </w:rPr>
        <w:t>defendants who are unfit to stand trial</w:t>
      </w:r>
    </w:p>
    <w:p w14:paraId="258AA2EA" w14:textId="77777777" w:rsidR="008361C5" w:rsidRPr="00ED4FA1" w:rsidRDefault="008361C5" w:rsidP="0047263B">
      <w:pPr>
        <w:pStyle w:val="Bullet"/>
        <w:rPr>
          <w:szCs w:val="21"/>
        </w:rPr>
      </w:pPr>
      <w:r w:rsidRPr="00ED4FA1">
        <w:rPr>
          <w:szCs w:val="21"/>
        </w:rPr>
        <w:t>people who have been convicted of a criminal offence and both sentenced to a term of imprisonment and placed under a compulsory treatment order.</w:t>
      </w:r>
    </w:p>
    <w:p w14:paraId="31F1BF16" w14:textId="77777777" w:rsidR="0047263B" w:rsidRPr="00200234" w:rsidRDefault="0047263B" w:rsidP="0047263B"/>
    <w:p w14:paraId="5298B928" w14:textId="5E81BB0D" w:rsidR="008361C5" w:rsidRPr="00200234" w:rsidRDefault="008361C5" w:rsidP="0047263B">
      <w:r w:rsidRPr="00200234">
        <w:t>Restricted patients are people detained in forensic mental health services, by court order, because they pose a danger to others. They may not be charged with or convicted of a crime. They may have also been transferred from prison or previously had a special patient status that was changed when their sentence ended. Restricted patients are generally subject to the same leave provisions as the provisions that apply to special patients.</w:t>
      </w:r>
    </w:p>
    <w:p w14:paraId="037791CD" w14:textId="77777777" w:rsidR="0047263B" w:rsidRPr="00200234" w:rsidRDefault="0047263B" w:rsidP="008361C5">
      <w:pPr>
        <w:rPr>
          <w:rFonts w:cs="Segoe UI"/>
        </w:rPr>
      </w:pPr>
    </w:p>
    <w:p w14:paraId="48041EAE" w14:textId="2F867591" w:rsidR="008361C5" w:rsidRPr="00200234" w:rsidRDefault="008B01D3" w:rsidP="008361C5">
      <w:pPr>
        <w:rPr>
          <w:rFonts w:cs="Segoe UI"/>
        </w:rPr>
      </w:pPr>
      <w:r>
        <w:rPr>
          <w:rFonts w:cs="Segoe UI"/>
        </w:rPr>
        <w:t>Figure</w:t>
      </w:r>
      <w:r w:rsidR="000933C8">
        <w:rPr>
          <w:rFonts w:cs="Segoe UI"/>
        </w:rPr>
        <w:t>s</w:t>
      </w:r>
      <w:r>
        <w:rPr>
          <w:rFonts w:cs="Segoe UI"/>
        </w:rPr>
        <w:t xml:space="preserve"> </w:t>
      </w:r>
      <w:r w:rsidRPr="00200234">
        <w:rPr>
          <w:rFonts w:cs="Segoe UI"/>
        </w:rPr>
        <w:fldChar w:fldCharType="begin"/>
      </w:r>
      <w:r w:rsidRPr="00200234">
        <w:rPr>
          <w:rFonts w:cs="Segoe UI"/>
        </w:rPr>
        <w:instrText xml:space="preserve"> REF _Ref65672403 </w:instrText>
      </w:r>
      <w:r>
        <w:rPr>
          <w:rFonts w:cs="Segoe UI"/>
        </w:rPr>
        <w:instrText xml:space="preserve">\#0 </w:instrText>
      </w:r>
      <w:r w:rsidRPr="00200234">
        <w:rPr>
          <w:rFonts w:cs="Segoe UI"/>
        </w:rPr>
        <w:instrText xml:space="preserve">\h </w:instrText>
      </w:r>
      <w:r w:rsidRPr="00200234">
        <w:rPr>
          <w:rFonts w:cs="Segoe UI"/>
        </w:rPr>
      </w:r>
      <w:r w:rsidRPr="00200234">
        <w:rPr>
          <w:rFonts w:cs="Segoe UI"/>
        </w:rPr>
        <w:fldChar w:fldCharType="separate"/>
      </w:r>
      <w:r w:rsidR="00422361">
        <w:rPr>
          <w:rFonts w:cs="Segoe UI"/>
        </w:rPr>
        <w:t>46</w:t>
      </w:r>
      <w:r w:rsidRPr="00200234">
        <w:rPr>
          <w:rFonts w:cs="Segoe UI"/>
        </w:rPr>
        <w:fldChar w:fldCharType="end"/>
      </w:r>
      <w:r w:rsidRPr="00200234">
        <w:rPr>
          <w:rFonts w:cs="Segoe UI"/>
        </w:rPr>
        <w:t xml:space="preserve"> </w:t>
      </w:r>
      <w:r>
        <w:rPr>
          <w:rFonts w:cs="Segoe UI"/>
        </w:rPr>
        <w:t xml:space="preserve">and </w:t>
      </w:r>
      <w:r>
        <w:rPr>
          <w:rFonts w:cs="Segoe UI"/>
        </w:rPr>
        <w:fldChar w:fldCharType="begin"/>
      </w:r>
      <w:r>
        <w:rPr>
          <w:rFonts w:cs="Segoe UI"/>
        </w:rPr>
        <w:instrText xml:space="preserve"> REF _Ref65846245 \#0\h </w:instrText>
      </w:r>
      <w:r>
        <w:rPr>
          <w:rFonts w:cs="Segoe UI"/>
        </w:rPr>
      </w:r>
      <w:r>
        <w:rPr>
          <w:rFonts w:cs="Segoe UI"/>
        </w:rPr>
        <w:fldChar w:fldCharType="separate"/>
      </w:r>
      <w:r w:rsidR="00422361">
        <w:rPr>
          <w:rFonts w:cs="Segoe UI"/>
        </w:rPr>
        <w:t>47</w:t>
      </w:r>
      <w:r>
        <w:rPr>
          <w:rFonts w:cs="Segoe UI"/>
        </w:rPr>
        <w:fldChar w:fldCharType="end"/>
      </w:r>
      <w:r>
        <w:rPr>
          <w:rFonts w:cs="Segoe UI"/>
        </w:rPr>
        <w:t xml:space="preserve"> </w:t>
      </w:r>
      <w:r w:rsidRPr="00200234">
        <w:rPr>
          <w:rFonts w:cs="Segoe UI"/>
        </w:rPr>
        <w:t xml:space="preserve">present </w:t>
      </w:r>
      <w:r w:rsidR="008361C5" w:rsidRPr="00200234">
        <w:rPr>
          <w:rFonts w:cs="Segoe UI"/>
        </w:rPr>
        <w:t xml:space="preserve">the total number of special patients in the care of each of the DHBs that provide regional forensic psychiatry services. </w:t>
      </w:r>
    </w:p>
    <w:p w14:paraId="1AACE99B" w14:textId="77777777" w:rsidR="0047263B" w:rsidRPr="00200234" w:rsidRDefault="0047263B" w:rsidP="008361C5">
      <w:pPr>
        <w:rPr>
          <w:rFonts w:cs="Segoe UI"/>
        </w:rPr>
      </w:pPr>
    </w:p>
    <w:p w14:paraId="6119C94F" w14:textId="26B928F4" w:rsidR="008361C5" w:rsidRPr="00200234" w:rsidRDefault="008361C5" w:rsidP="008361C5">
      <w:pPr>
        <w:pStyle w:val="Figure"/>
      </w:pPr>
      <w:bookmarkStart w:id="204" w:name="_Ref65672403"/>
      <w:bookmarkStart w:id="205" w:name="_Toc63764781"/>
      <w:bookmarkStart w:id="206" w:name="_Toc66716228"/>
      <w:r w:rsidRPr="00200234">
        <w:t xml:space="preserve">Figure </w:t>
      </w:r>
      <w:fldSimple w:instr=" SEQ Figure \* ARABIC ">
        <w:r w:rsidR="00422361">
          <w:rPr>
            <w:noProof/>
          </w:rPr>
          <w:t>46</w:t>
        </w:r>
      </w:fldSimple>
      <w:bookmarkEnd w:id="204"/>
      <w:r w:rsidRPr="00200234">
        <w:t>: Total number of special patients, by DHB, 1 January to 31 December 2018</w:t>
      </w:r>
      <w:bookmarkEnd w:id="205"/>
      <w:bookmarkEnd w:id="206"/>
    </w:p>
    <w:p w14:paraId="354CBC35" w14:textId="77777777" w:rsidR="008361C5" w:rsidRPr="00200234" w:rsidRDefault="008361C5" w:rsidP="0047263B">
      <w:pPr>
        <w:keepNext/>
        <w:spacing w:before="80"/>
        <w:rPr>
          <w:rFonts w:cs="Segoe UI"/>
          <w:sz w:val="17"/>
        </w:rPr>
      </w:pPr>
      <w:r w:rsidRPr="00200234">
        <w:rPr>
          <w:noProof/>
        </w:rPr>
        <w:drawing>
          <wp:inline distT="0" distB="0" distL="0" distR="0" wp14:anchorId="73EEC517" wp14:editId="563438E9">
            <wp:extent cx="5039995" cy="2006600"/>
            <wp:effectExtent l="0" t="0" r="8255" b="0"/>
            <wp:docPr id="55" name="Chart 55" descr="This bar graph shows that in 2018, Waitemata and Capital and Coast DHBs had about 50 special patients each. Waikato DHB had about 33 special patients, Canterbury DHB had about 15 and Southern DHB had about 10.">
              <a:extLst xmlns:a="http://schemas.openxmlformats.org/drawingml/2006/main">
                <a:ext uri="{FF2B5EF4-FFF2-40B4-BE49-F238E27FC236}">
                  <a16:creationId xmlns:a16="http://schemas.microsoft.com/office/drawing/2014/main" id="{A7406855-9A1D-4BF3-AD80-6BA56E9227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BDD154B" w14:textId="2ED8FCE9" w:rsidR="008361C5" w:rsidRPr="00200234" w:rsidRDefault="008361C5" w:rsidP="0047263B">
      <w:pPr>
        <w:pStyle w:val="Note"/>
        <w:keepNext/>
      </w:pPr>
      <w:r w:rsidRPr="00200234">
        <w:t>Note: Due to their relatively small numbers of special patients, Whanganui DHB is included under Capital &amp; Coast DHB</w:t>
      </w:r>
      <w:r w:rsidR="00973041">
        <w:t>,</w:t>
      </w:r>
      <w:r w:rsidRPr="00200234">
        <w:t xml:space="preserve"> and Nelson Marlborough DHB is included under Canterbury DHB. </w:t>
      </w:r>
    </w:p>
    <w:p w14:paraId="4B86C87E" w14:textId="70BC87AA" w:rsidR="008361C5" w:rsidRPr="00200234" w:rsidRDefault="008361C5" w:rsidP="008361C5">
      <w:pPr>
        <w:pStyle w:val="Note"/>
      </w:pPr>
      <w:r w:rsidRPr="00200234">
        <w:t xml:space="preserve">Source: PRIMHD </w:t>
      </w:r>
      <w:r w:rsidR="00F3393F">
        <w:t>data</w:t>
      </w:r>
      <w:r w:rsidR="0015429E">
        <w:t xml:space="preserve"> (extracted</w:t>
      </w:r>
      <w:r w:rsidRPr="00200234">
        <w:t xml:space="preserve"> 29 July 2019</w:t>
      </w:r>
      <w:r w:rsidR="00D30615">
        <w:t>)</w:t>
      </w:r>
      <w:r w:rsidRPr="00200234">
        <w:t xml:space="preserve">. </w:t>
      </w:r>
    </w:p>
    <w:p w14:paraId="0CC67958" w14:textId="77777777" w:rsidR="008361C5" w:rsidRPr="00200234" w:rsidRDefault="008361C5" w:rsidP="008361C5"/>
    <w:p w14:paraId="3529EA34" w14:textId="5B2C139A" w:rsidR="008361C5" w:rsidRPr="00200234" w:rsidRDefault="008361C5" w:rsidP="008361C5">
      <w:pPr>
        <w:pStyle w:val="Figure"/>
      </w:pPr>
      <w:bookmarkStart w:id="207" w:name="_Ref65846245"/>
      <w:bookmarkStart w:id="208" w:name="_Toc63764782"/>
      <w:bookmarkStart w:id="209" w:name="_Toc66716229"/>
      <w:r w:rsidRPr="00200234">
        <w:lastRenderedPageBreak/>
        <w:t xml:space="preserve">Figure </w:t>
      </w:r>
      <w:fldSimple w:instr=" SEQ Figure \* ARABIC ">
        <w:r w:rsidR="00422361">
          <w:rPr>
            <w:noProof/>
          </w:rPr>
          <w:t>47</w:t>
        </w:r>
      </w:fldSimple>
      <w:bookmarkEnd w:id="207"/>
      <w:r w:rsidRPr="00200234">
        <w:t>: Total number of special patients, by DHB, 1 January to 31 December 2019</w:t>
      </w:r>
      <w:bookmarkEnd w:id="208"/>
      <w:bookmarkEnd w:id="209"/>
    </w:p>
    <w:p w14:paraId="240AA070" w14:textId="77777777" w:rsidR="008361C5" w:rsidRPr="00200234" w:rsidRDefault="008361C5" w:rsidP="0047263B">
      <w:pPr>
        <w:keepNext/>
        <w:spacing w:before="80"/>
        <w:rPr>
          <w:rFonts w:cs="Segoe UI"/>
          <w:sz w:val="17"/>
        </w:rPr>
      </w:pPr>
      <w:r w:rsidRPr="00200234">
        <w:rPr>
          <w:noProof/>
        </w:rPr>
        <w:drawing>
          <wp:inline distT="0" distB="0" distL="0" distR="0" wp14:anchorId="2750B4F6" wp14:editId="0A3D2713">
            <wp:extent cx="5039995" cy="2006600"/>
            <wp:effectExtent l="0" t="0" r="8255" b="0"/>
            <wp:docPr id="238" name="Chart 238" descr="This bar graph shows that in 2019, Waitemata DHB had more than 140 special patients, Waikato had about 80, Southern had about 20, Capital and Coast had about 110 and Canterbury had about 50.">
              <a:extLst xmlns:a="http://schemas.openxmlformats.org/drawingml/2006/main">
                <a:ext uri="{FF2B5EF4-FFF2-40B4-BE49-F238E27FC236}">
                  <a16:creationId xmlns:a16="http://schemas.microsoft.com/office/drawing/2014/main" id="{A7406855-9A1D-4BF3-AD80-6BA56E9227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6B9B078" w14:textId="556B33B6" w:rsidR="008361C5" w:rsidRPr="00200234" w:rsidRDefault="008361C5" w:rsidP="0047263B">
      <w:pPr>
        <w:pStyle w:val="Note"/>
        <w:keepNext/>
      </w:pPr>
      <w:r w:rsidRPr="00200234">
        <w:t xml:space="preserve">Note: Due to their relatively small numbers of special patients, Whanganui, </w:t>
      </w:r>
      <w:proofErr w:type="spellStart"/>
      <w:r w:rsidRPr="00200234">
        <w:t>MidCentral</w:t>
      </w:r>
      <w:proofErr w:type="spellEnd"/>
      <w:r w:rsidRPr="00200234">
        <w:t xml:space="preserve"> and Hawke’s Bay DHBs are included under Capital &amp; Coast DHB</w:t>
      </w:r>
      <w:r w:rsidR="00973041">
        <w:t>,</w:t>
      </w:r>
      <w:r w:rsidRPr="00200234">
        <w:t xml:space="preserve"> and Nelson Marlborough DHB is included under Canterbury DHB. </w:t>
      </w:r>
    </w:p>
    <w:p w14:paraId="5CB3C5E2" w14:textId="1B3122E9" w:rsidR="008361C5" w:rsidRPr="00200234" w:rsidRDefault="008361C5" w:rsidP="008361C5">
      <w:pPr>
        <w:pStyle w:val="Note"/>
      </w:pPr>
      <w:r w:rsidRPr="00200234">
        <w:t xml:space="preserve">Source: PRIMHD </w:t>
      </w:r>
      <w:r w:rsidR="00F3393F">
        <w:t>data</w:t>
      </w:r>
      <w:r w:rsidR="0015429E">
        <w:t xml:space="preserve"> (extracted</w:t>
      </w:r>
      <w:r w:rsidRPr="00200234">
        <w:t xml:space="preserve"> 19 October 2020</w:t>
      </w:r>
      <w:r w:rsidR="00D30615">
        <w:t>)</w:t>
      </w:r>
      <w:r w:rsidRPr="00200234">
        <w:t>.</w:t>
      </w:r>
    </w:p>
    <w:p w14:paraId="77BB4438" w14:textId="77777777" w:rsidR="008361C5" w:rsidRPr="00200234" w:rsidRDefault="008361C5" w:rsidP="0047263B"/>
    <w:p w14:paraId="6634FF5E" w14:textId="77777777" w:rsidR="008361C5" w:rsidRPr="00200234" w:rsidRDefault="008361C5" w:rsidP="0047263B">
      <w:r w:rsidRPr="00200234">
        <w:t>Special and restricted patients may be detained for short-term or extended care.</w:t>
      </w:r>
    </w:p>
    <w:p w14:paraId="18B01368" w14:textId="77777777" w:rsidR="008361C5" w:rsidRPr="00200234" w:rsidRDefault="008361C5" w:rsidP="00DC3196">
      <w:pPr>
        <w:pStyle w:val="Heading2"/>
      </w:pPr>
      <w:bookmarkStart w:id="210" w:name="_Toc65141628"/>
      <w:bookmarkStart w:id="211" w:name="_Toc69307709"/>
      <w:r w:rsidRPr="00200234">
        <w:t>Extended forensic care special patients</w:t>
      </w:r>
      <w:bookmarkEnd w:id="210"/>
      <w:bookmarkEnd w:id="211"/>
    </w:p>
    <w:p w14:paraId="35E53C19" w14:textId="471514F8" w:rsidR="008361C5" w:rsidRPr="00200234" w:rsidRDefault="008361C5" w:rsidP="0047263B">
      <w:r w:rsidRPr="00200234">
        <w:t xml:space="preserve">Extended forensic care patients include special patients who have been found not guilty by reason of insanity or unfit to stand trial under section 24(2)(a) of </w:t>
      </w:r>
      <w:r w:rsidR="00A378CC">
        <w:t xml:space="preserve">the </w:t>
      </w:r>
      <w:r w:rsidR="00066817" w:rsidRPr="00066817">
        <w:t>Criminal Procedure (Mentally Impaired Persons) Act 2003</w:t>
      </w:r>
      <w:r w:rsidRPr="00200234">
        <w:t>. Restricted patients under section 55 of the Mental Health Act are also subject to extended forensic care.</w:t>
      </w:r>
    </w:p>
    <w:p w14:paraId="12FC14DC" w14:textId="77777777" w:rsidR="0047263B" w:rsidRPr="00200234" w:rsidRDefault="0047263B" w:rsidP="008361C5"/>
    <w:p w14:paraId="363F5137" w14:textId="25D8F370" w:rsidR="008361C5" w:rsidRPr="00200234" w:rsidRDefault="008361C5" w:rsidP="0047263B">
      <w:r w:rsidRPr="00200234">
        <w:t xml:space="preserve">In 2018, New Zealand had 156 extended forensic care special patients. In 2019, there were 165 extended forensic care special patients. Tables </w:t>
      </w:r>
      <w:r w:rsidR="00580ED2" w:rsidRPr="00200234">
        <w:fldChar w:fldCharType="begin"/>
      </w:r>
      <w:r w:rsidR="00580ED2" w:rsidRPr="00200234">
        <w:instrText xml:space="preserve"> REF _Ref65673094 \# 0 \h </w:instrText>
      </w:r>
      <w:r w:rsidR="00580ED2" w:rsidRPr="00200234">
        <w:fldChar w:fldCharType="separate"/>
      </w:r>
      <w:r w:rsidR="00422361">
        <w:t>11</w:t>
      </w:r>
      <w:r w:rsidR="00580ED2" w:rsidRPr="00200234">
        <w:fldChar w:fldCharType="end"/>
      </w:r>
      <w:r w:rsidR="00580ED2" w:rsidRPr="00200234">
        <w:t xml:space="preserve"> and </w:t>
      </w:r>
      <w:r w:rsidR="00580ED2" w:rsidRPr="00200234">
        <w:fldChar w:fldCharType="begin"/>
      </w:r>
      <w:r w:rsidR="00580ED2" w:rsidRPr="00200234">
        <w:instrText xml:space="preserve"> REF _Ref65673099 \# 0 \h </w:instrText>
      </w:r>
      <w:r w:rsidR="00580ED2" w:rsidRPr="00200234">
        <w:fldChar w:fldCharType="separate"/>
      </w:r>
      <w:r w:rsidR="00422361">
        <w:t>12</w:t>
      </w:r>
      <w:r w:rsidR="00580ED2" w:rsidRPr="00200234">
        <w:fldChar w:fldCharType="end"/>
      </w:r>
      <w:r w:rsidR="00580ED2" w:rsidRPr="00200234">
        <w:t xml:space="preserve"> </w:t>
      </w:r>
      <w:r w:rsidR="00580ED2">
        <w:t>show</w:t>
      </w:r>
      <w:r w:rsidRPr="00200234">
        <w:t xml:space="preserve"> the number of these patients in the care of each of the DHBs that provide regional forensic psychiatry services per year.</w:t>
      </w:r>
    </w:p>
    <w:p w14:paraId="58DA3CED" w14:textId="77777777" w:rsidR="008361C5" w:rsidRPr="00200234" w:rsidRDefault="008361C5" w:rsidP="00DC3196">
      <w:pPr>
        <w:pStyle w:val="Heading2"/>
      </w:pPr>
      <w:bookmarkStart w:id="212" w:name="_Toc65141629"/>
      <w:bookmarkStart w:id="213" w:name="_Toc69307710"/>
      <w:r w:rsidRPr="00200234">
        <w:t>Short-term forensic care special patients</w:t>
      </w:r>
      <w:bookmarkEnd w:id="212"/>
      <w:bookmarkEnd w:id="213"/>
    </w:p>
    <w:p w14:paraId="47602EE2" w14:textId="3280801F" w:rsidR="008361C5" w:rsidRPr="00200234" w:rsidRDefault="008361C5" w:rsidP="0047263B">
      <w:r w:rsidRPr="00200234">
        <w:t>Short-term forensic care patients include people transferred to a forensic mental health service from prison. Once a person has been sentenced to a term of imprisonment, any compulsory mental health treatment order relating to them no longer applies. Remand prisoners may remain on a pre-existing compulsory treatment order, but it is unlawful to enforce compulsory treatment in the prison environment. However, a court may make a ‘hybrid order’ under section 34(1)(a)(</w:t>
      </w:r>
      <w:proofErr w:type="spellStart"/>
      <w:r w:rsidRPr="00200234">
        <w:t>i</w:t>
      </w:r>
      <w:proofErr w:type="spellEnd"/>
      <w:r w:rsidRPr="00200234">
        <w:t xml:space="preserve">) of the </w:t>
      </w:r>
      <w:r w:rsidR="00066817" w:rsidRPr="00066817">
        <w:t>Criminal Procedure (Mentally Impaired Persons) Act 2003</w:t>
      </w:r>
      <w:r w:rsidRPr="00200234">
        <w:t>, sentencing an offender to a term of imprisonment while also ordering their detention in hospital as a special patient.</w:t>
      </w:r>
    </w:p>
    <w:p w14:paraId="4EDE2588" w14:textId="77777777" w:rsidR="0047263B" w:rsidRPr="00200234" w:rsidRDefault="0047263B" w:rsidP="008361C5">
      <w:pPr>
        <w:rPr>
          <w:rFonts w:cs="Segoe UI"/>
        </w:rPr>
      </w:pPr>
    </w:p>
    <w:p w14:paraId="4FF36553" w14:textId="40A860F9" w:rsidR="008361C5" w:rsidRPr="00200234" w:rsidRDefault="008361C5" w:rsidP="0047263B">
      <w:r w:rsidRPr="00200234">
        <w:lastRenderedPageBreak/>
        <w:t>In 2018, New Zealand had a total of 251 short-term forensic care special patients. In 2019, there were 256 short-term forensic care special patients. Table</w:t>
      </w:r>
      <w:r w:rsidR="002C0F14">
        <w:t>s</w:t>
      </w:r>
      <w:r w:rsidR="002C0F14" w:rsidRPr="002C0F14">
        <w:t xml:space="preserve"> </w:t>
      </w:r>
      <w:r w:rsidR="002C0F14" w:rsidRPr="00200234">
        <w:fldChar w:fldCharType="begin"/>
      </w:r>
      <w:r w:rsidR="002C0F14" w:rsidRPr="00200234">
        <w:instrText xml:space="preserve"> REF _Ref65673094 \# 0 \h </w:instrText>
      </w:r>
      <w:r w:rsidR="002C0F14" w:rsidRPr="00200234">
        <w:fldChar w:fldCharType="separate"/>
      </w:r>
      <w:r w:rsidR="00422361">
        <w:t>11</w:t>
      </w:r>
      <w:r w:rsidR="002C0F14" w:rsidRPr="00200234">
        <w:fldChar w:fldCharType="end"/>
      </w:r>
      <w:r w:rsidR="002C0F14" w:rsidRPr="00200234">
        <w:t xml:space="preserve"> and </w:t>
      </w:r>
      <w:r w:rsidR="002C0F14" w:rsidRPr="00200234">
        <w:fldChar w:fldCharType="begin"/>
      </w:r>
      <w:r w:rsidR="002C0F14" w:rsidRPr="00200234">
        <w:instrText xml:space="preserve"> REF _Ref65673099 \# 0 \h </w:instrText>
      </w:r>
      <w:r w:rsidR="002C0F14" w:rsidRPr="00200234">
        <w:fldChar w:fldCharType="separate"/>
      </w:r>
      <w:r w:rsidR="00422361">
        <w:t>12</w:t>
      </w:r>
      <w:r w:rsidR="002C0F14" w:rsidRPr="00200234">
        <w:fldChar w:fldCharType="end"/>
      </w:r>
      <w:r w:rsidRPr="00200234">
        <w:t xml:space="preserve"> </w:t>
      </w:r>
      <w:r w:rsidR="002C0F14">
        <w:t>show</w:t>
      </w:r>
      <w:r w:rsidR="002C0F14" w:rsidRPr="00200234">
        <w:t xml:space="preserve"> </w:t>
      </w:r>
      <w:r w:rsidRPr="00200234">
        <w:t xml:space="preserve">the number of these patients in the care of each of the DHBs that provide regional forensic psychiatry services. </w:t>
      </w:r>
      <w:r w:rsidR="009158BE">
        <w:t xml:space="preserve">Figures </w:t>
      </w:r>
      <w:r w:rsidR="009158BE" w:rsidRPr="00200234">
        <w:fldChar w:fldCharType="begin"/>
      </w:r>
      <w:r w:rsidR="009158BE" w:rsidRPr="00200234">
        <w:instrText xml:space="preserve"> REF _Ref65672426 </w:instrText>
      </w:r>
      <w:r w:rsidR="009158BE">
        <w:instrText xml:space="preserve">\#0 </w:instrText>
      </w:r>
      <w:r w:rsidR="009158BE" w:rsidRPr="00200234">
        <w:instrText xml:space="preserve">\h </w:instrText>
      </w:r>
      <w:r w:rsidR="009158BE" w:rsidRPr="00200234">
        <w:fldChar w:fldCharType="separate"/>
      </w:r>
      <w:r w:rsidR="00422361">
        <w:t>48</w:t>
      </w:r>
      <w:r w:rsidR="009158BE" w:rsidRPr="00200234">
        <w:fldChar w:fldCharType="end"/>
      </w:r>
      <w:r w:rsidR="009158BE" w:rsidRPr="00200234">
        <w:t xml:space="preserve"> </w:t>
      </w:r>
      <w:r w:rsidR="009158BE">
        <w:t xml:space="preserve">and </w:t>
      </w:r>
      <w:r w:rsidR="009158BE">
        <w:fldChar w:fldCharType="begin"/>
      </w:r>
      <w:r w:rsidR="009158BE">
        <w:instrText xml:space="preserve"> REF _Ref65847165 </w:instrText>
      </w:r>
      <w:r w:rsidR="009158BE" w:rsidRPr="009158BE">
        <w:instrText>\#0</w:instrText>
      </w:r>
      <w:r w:rsidR="009158BE">
        <w:instrText xml:space="preserve"> \h </w:instrText>
      </w:r>
      <w:r w:rsidR="009158BE">
        <w:fldChar w:fldCharType="separate"/>
      </w:r>
      <w:r w:rsidR="00422361">
        <w:t>49</w:t>
      </w:r>
      <w:r w:rsidR="009158BE">
        <w:fldChar w:fldCharType="end"/>
      </w:r>
      <w:r w:rsidR="009158BE">
        <w:t xml:space="preserve"> </w:t>
      </w:r>
      <w:r w:rsidR="009158BE" w:rsidRPr="00200234">
        <w:t>show</w:t>
      </w:r>
      <w:r w:rsidR="009158BE" w:rsidRPr="00200234" w:rsidDel="001B42F3">
        <w:t xml:space="preserve"> </w:t>
      </w:r>
      <w:r w:rsidRPr="00200234">
        <w:t>the percentage of court orders given for short-term forensic care legal status relative to those for extended forensic care legal status in each of these DHBs.</w:t>
      </w:r>
    </w:p>
    <w:p w14:paraId="6F27ED3A" w14:textId="7B174FD3" w:rsidR="0047263B" w:rsidRPr="00200234" w:rsidRDefault="0047263B" w:rsidP="0047263B"/>
    <w:p w14:paraId="4782F718" w14:textId="45DC7D8B" w:rsidR="008361C5" w:rsidRPr="00200234" w:rsidRDefault="008361C5" w:rsidP="008361C5">
      <w:pPr>
        <w:pStyle w:val="Table"/>
        <w:rPr>
          <w:rFonts w:eastAsiaTheme="minorHAnsi"/>
        </w:rPr>
      </w:pPr>
      <w:bookmarkStart w:id="214" w:name="_Ref65673094"/>
      <w:bookmarkStart w:id="215" w:name="_Toc34653654"/>
      <w:bookmarkStart w:id="216" w:name="_Toc63764674"/>
      <w:bookmarkStart w:id="217" w:name="_Toc69306781"/>
      <w:r w:rsidRPr="00200234">
        <w:t xml:space="preserve">Table </w:t>
      </w:r>
      <w:fldSimple w:instr=" SEQ Table \* ARABIC ">
        <w:r w:rsidR="00422361">
          <w:rPr>
            <w:noProof/>
          </w:rPr>
          <w:t>11</w:t>
        </w:r>
      </w:fldSimple>
      <w:bookmarkEnd w:id="214"/>
      <w:r w:rsidRPr="00200234">
        <w:t>: Total number of special patients, by type and DHB, 1 January to 31</w:t>
      </w:r>
      <w:r w:rsidR="009158BE">
        <w:t> </w:t>
      </w:r>
      <w:r w:rsidRPr="00200234">
        <w:t>December 2018</w:t>
      </w:r>
      <w:bookmarkEnd w:id="215"/>
      <w:bookmarkEnd w:id="216"/>
      <w:bookmarkEnd w:id="217"/>
    </w:p>
    <w:tbl>
      <w:tblPr>
        <w:tblW w:w="5000" w:type="pct"/>
        <w:tblCellMar>
          <w:left w:w="57" w:type="dxa"/>
          <w:right w:w="57" w:type="dxa"/>
        </w:tblCellMar>
        <w:tblLook w:val="01E0" w:firstRow="1" w:lastRow="1" w:firstColumn="1" w:lastColumn="1" w:noHBand="0" w:noVBand="0"/>
      </w:tblPr>
      <w:tblGrid>
        <w:gridCol w:w="1843"/>
        <w:gridCol w:w="2016"/>
        <w:gridCol w:w="2110"/>
        <w:gridCol w:w="2110"/>
      </w:tblGrid>
      <w:tr w:rsidR="008361C5" w:rsidRPr="00200234" w14:paraId="23CF5A06" w14:textId="77777777" w:rsidTr="0047263B">
        <w:trPr>
          <w:cantSplit/>
        </w:trPr>
        <w:tc>
          <w:tcPr>
            <w:tcW w:w="1140" w:type="pct"/>
            <w:shd w:val="clear" w:color="auto" w:fill="D9D9D9"/>
          </w:tcPr>
          <w:p w14:paraId="064E3AAD" w14:textId="77777777" w:rsidR="008361C5" w:rsidRPr="00200234" w:rsidRDefault="008361C5" w:rsidP="0047263B">
            <w:pPr>
              <w:keepNext/>
              <w:spacing w:before="60" w:after="60"/>
              <w:rPr>
                <w:rFonts w:cs="Segoe UI"/>
                <w:b/>
                <w:sz w:val="18"/>
              </w:rPr>
            </w:pPr>
            <w:r w:rsidRPr="00200234">
              <w:rPr>
                <w:rFonts w:cs="Segoe UI"/>
                <w:b/>
                <w:sz w:val="18"/>
              </w:rPr>
              <w:t>Forensic services</w:t>
            </w:r>
          </w:p>
        </w:tc>
        <w:tc>
          <w:tcPr>
            <w:tcW w:w="1247" w:type="pct"/>
            <w:shd w:val="clear" w:color="auto" w:fill="D9D9D9"/>
          </w:tcPr>
          <w:p w14:paraId="022DA1FE" w14:textId="77777777" w:rsidR="008361C5" w:rsidRPr="00200234" w:rsidRDefault="008361C5" w:rsidP="0047263B">
            <w:pPr>
              <w:keepNext/>
              <w:spacing w:before="60" w:after="60"/>
              <w:jc w:val="center"/>
              <w:rPr>
                <w:rFonts w:cs="Segoe UI"/>
                <w:b/>
                <w:sz w:val="18"/>
              </w:rPr>
            </w:pPr>
            <w:r w:rsidRPr="00200234">
              <w:rPr>
                <w:rFonts w:cs="Segoe UI"/>
                <w:b/>
                <w:sz w:val="18"/>
              </w:rPr>
              <w:t>EFC special patients</w:t>
            </w:r>
          </w:p>
        </w:tc>
        <w:tc>
          <w:tcPr>
            <w:tcW w:w="1306" w:type="pct"/>
            <w:shd w:val="clear" w:color="auto" w:fill="D9D9D9"/>
          </w:tcPr>
          <w:p w14:paraId="2BAC4805" w14:textId="77777777" w:rsidR="008361C5" w:rsidRPr="00200234" w:rsidRDefault="008361C5" w:rsidP="0047263B">
            <w:pPr>
              <w:keepNext/>
              <w:spacing w:before="60" w:after="60"/>
              <w:jc w:val="center"/>
              <w:rPr>
                <w:rFonts w:cs="Segoe UI"/>
                <w:b/>
                <w:sz w:val="18"/>
              </w:rPr>
            </w:pPr>
            <w:r w:rsidRPr="00200234">
              <w:rPr>
                <w:rFonts w:cs="Segoe UI"/>
                <w:b/>
                <w:sz w:val="18"/>
              </w:rPr>
              <w:t>SFC special patients</w:t>
            </w:r>
          </w:p>
        </w:tc>
        <w:tc>
          <w:tcPr>
            <w:tcW w:w="1306" w:type="pct"/>
            <w:shd w:val="clear" w:color="auto" w:fill="D9D9D9"/>
          </w:tcPr>
          <w:p w14:paraId="0B53AAE2" w14:textId="77777777" w:rsidR="008361C5" w:rsidRPr="00200234" w:rsidRDefault="008361C5" w:rsidP="0047263B">
            <w:pPr>
              <w:keepNext/>
              <w:spacing w:before="60" w:after="60"/>
              <w:jc w:val="center"/>
              <w:rPr>
                <w:rFonts w:cs="Segoe UI"/>
                <w:b/>
                <w:sz w:val="18"/>
              </w:rPr>
            </w:pPr>
            <w:r w:rsidRPr="00200234">
              <w:rPr>
                <w:rFonts w:cs="Segoe UI"/>
                <w:b/>
                <w:sz w:val="18"/>
              </w:rPr>
              <w:t>Total special patients</w:t>
            </w:r>
          </w:p>
        </w:tc>
      </w:tr>
      <w:tr w:rsidR="008361C5" w:rsidRPr="00200234" w14:paraId="7A9F7F0C" w14:textId="77777777" w:rsidTr="0047263B">
        <w:trPr>
          <w:cantSplit/>
        </w:trPr>
        <w:tc>
          <w:tcPr>
            <w:tcW w:w="1140" w:type="pct"/>
            <w:tcBorders>
              <w:bottom w:val="single" w:sz="4" w:space="0" w:color="A6A6A6"/>
            </w:tcBorders>
          </w:tcPr>
          <w:p w14:paraId="64BD5B50" w14:textId="77777777" w:rsidR="008361C5" w:rsidRPr="00200234" w:rsidRDefault="008361C5" w:rsidP="0047263B">
            <w:pPr>
              <w:keepNext/>
              <w:spacing w:before="60" w:after="60"/>
              <w:rPr>
                <w:rFonts w:cs="Segoe UI"/>
                <w:sz w:val="18"/>
              </w:rPr>
            </w:pPr>
            <w:r w:rsidRPr="00200234">
              <w:rPr>
                <w:rFonts w:cs="Segoe UI"/>
                <w:sz w:val="18"/>
              </w:rPr>
              <w:t>Canterbury DHB</w:t>
            </w:r>
          </w:p>
        </w:tc>
        <w:tc>
          <w:tcPr>
            <w:tcW w:w="1247" w:type="pct"/>
            <w:tcBorders>
              <w:bottom w:val="single" w:sz="4" w:space="0" w:color="A6A6A6"/>
            </w:tcBorders>
          </w:tcPr>
          <w:p w14:paraId="4F6502AC" w14:textId="77777777" w:rsidR="008361C5" w:rsidRPr="00200234" w:rsidRDefault="008361C5" w:rsidP="0047263B">
            <w:pPr>
              <w:keepNext/>
              <w:spacing w:before="60" w:after="60"/>
              <w:jc w:val="center"/>
              <w:rPr>
                <w:rFonts w:cs="Segoe UI"/>
                <w:sz w:val="18"/>
              </w:rPr>
            </w:pPr>
            <w:r w:rsidRPr="00200234">
              <w:rPr>
                <w:rFonts w:cs="Segoe UI"/>
                <w:sz w:val="18"/>
              </w:rPr>
              <w:t>16</w:t>
            </w:r>
          </w:p>
        </w:tc>
        <w:tc>
          <w:tcPr>
            <w:tcW w:w="1306" w:type="pct"/>
            <w:tcBorders>
              <w:bottom w:val="single" w:sz="4" w:space="0" w:color="A6A6A6"/>
            </w:tcBorders>
          </w:tcPr>
          <w:p w14:paraId="71246EED" w14:textId="77777777" w:rsidR="008361C5" w:rsidRPr="00200234" w:rsidRDefault="008361C5" w:rsidP="0047263B">
            <w:pPr>
              <w:keepNext/>
              <w:tabs>
                <w:tab w:val="decimal" w:pos="1092"/>
              </w:tabs>
              <w:spacing w:before="60" w:after="60"/>
              <w:rPr>
                <w:rFonts w:cs="Segoe UI"/>
                <w:sz w:val="18"/>
              </w:rPr>
            </w:pPr>
            <w:r w:rsidRPr="00200234">
              <w:rPr>
                <w:rFonts w:cs="Segoe UI"/>
                <w:sz w:val="18"/>
              </w:rPr>
              <w:t>30</w:t>
            </w:r>
          </w:p>
        </w:tc>
        <w:tc>
          <w:tcPr>
            <w:tcW w:w="1306" w:type="pct"/>
            <w:tcBorders>
              <w:bottom w:val="single" w:sz="4" w:space="0" w:color="A6A6A6"/>
            </w:tcBorders>
          </w:tcPr>
          <w:p w14:paraId="1DC07043" w14:textId="77777777" w:rsidR="008361C5" w:rsidRPr="00200234" w:rsidRDefault="008361C5" w:rsidP="0047263B">
            <w:pPr>
              <w:keepNext/>
              <w:tabs>
                <w:tab w:val="decimal" w:pos="972"/>
              </w:tabs>
              <w:spacing w:before="60" w:after="60"/>
              <w:rPr>
                <w:rFonts w:cs="Segoe UI"/>
                <w:sz w:val="18"/>
              </w:rPr>
            </w:pPr>
            <w:r w:rsidRPr="00200234">
              <w:rPr>
                <w:rFonts w:cs="Segoe UI"/>
                <w:sz w:val="18"/>
              </w:rPr>
              <w:t>44</w:t>
            </w:r>
          </w:p>
        </w:tc>
      </w:tr>
      <w:tr w:rsidR="008361C5" w:rsidRPr="00200234" w14:paraId="388837FA" w14:textId="77777777" w:rsidTr="0047263B">
        <w:trPr>
          <w:cantSplit/>
        </w:trPr>
        <w:tc>
          <w:tcPr>
            <w:tcW w:w="1140" w:type="pct"/>
            <w:tcBorders>
              <w:top w:val="single" w:sz="4" w:space="0" w:color="A6A6A6"/>
              <w:bottom w:val="single" w:sz="4" w:space="0" w:color="A6A6A6"/>
            </w:tcBorders>
          </w:tcPr>
          <w:p w14:paraId="53D9DEDA" w14:textId="77777777" w:rsidR="008361C5" w:rsidRPr="00200234" w:rsidRDefault="008361C5" w:rsidP="0047263B">
            <w:pPr>
              <w:keepNext/>
              <w:spacing w:before="60" w:after="60"/>
              <w:rPr>
                <w:rFonts w:cs="Segoe UI"/>
                <w:sz w:val="18"/>
              </w:rPr>
            </w:pPr>
            <w:r w:rsidRPr="00200234">
              <w:rPr>
                <w:rFonts w:cs="Segoe UI"/>
                <w:sz w:val="18"/>
              </w:rPr>
              <w:t>Capital &amp; Coast DHB</w:t>
            </w:r>
          </w:p>
        </w:tc>
        <w:tc>
          <w:tcPr>
            <w:tcW w:w="1247" w:type="pct"/>
            <w:tcBorders>
              <w:top w:val="single" w:sz="4" w:space="0" w:color="A6A6A6"/>
              <w:bottom w:val="single" w:sz="4" w:space="0" w:color="A6A6A6"/>
            </w:tcBorders>
          </w:tcPr>
          <w:p w14:paraId="684735D2" w14:textId="77777777" w:rsidR="008361C5" w:rsidRPr="00200234" w:rsidRDefault="008361C5" w:rsidP="0047263B">
            <w:pPr>
              <w:keepNext/>
              <w:spacing w:before="60" w:after="60"/>
              <w:jc w:val="center"/>
              <w:rPr>
                <w:rFonts w:cs="Segoe UI"/>
                <w:sz w:val="18"/>
              </w:rPr>
            </w:pPr>
            <w:r w:rsidRPr="00200234">
              <w:rPr>
                <w:rFonts w:cs="Segoe UI"/>
                <w:sz w:val="18"/>
              </w:rPr>
              <w:t>50</w:t>
            </w:r>
          </w:p>
        </w:tc>
        <w:tc>
          <w:tcPr>
            <w:tcW w:w="1306" w:type="pct"/>
            <w:tcBorders>
              <w:top w:val="single" w:sz="4" w:space="0" w:color="A6A6A6"/>
              <w:bottom w:val="single" w:sz="4" w:space="0" w:color="A6A6A6"/>
            </w:tcBorders>
          </w:tcPr>
          <w:p w14:paraId="0EE8B752" w14:textId="77777777" w:rsidR="008361C5" w:rsidRPr="00200234" w:rsidRDefault="008361C5" w:rsidP="0047263B">
            <w:pPr>
              <w:keepNext/>
              <w:tabs>
                <w:tab w:val="decimal" w:pos="1092"/>
              </w:tabs>
              <w:spacing w:before="60" w:after="60"/>
              <w:rPr>
                <w:rFonts w:cs="Segoe UI"/>
                <w:sz w:val="18"/>
              </w:rPr>
            </w:pPr>
            <w:r w:rsidRPr="00200234">
              <w:rPr>
                <w:rFonts w:cs="Segoe UI"/>
                <w:sz w:val="18"/>
              </w:rPr>
              <w:t>60</w:t>
            </w:r>
          </w:p>
        </w:tc>
        <w:tc>
          <w:tcPr>
            <w:tcW w:w="1306" w:type="pct"/>
            <w:tcBorders>
              <w:top w:val="single" w:sz="4" w:space="0" w:color="A6A6A6"/>
              <w:bottom w:val="single" w:sz="4" w:space="0" w:color="A6A6A6"/>
            </w:tcBorders>
          </w:tcPr>
          <w:p w14:paraId="10CD8C33" w14:textId="77777777" w:rsidR="008361C5" w:rsidRPr="00200234" w:rsidRDefault="008361C5" w:rsidP="0047263B">
            <w:pPr>
              <w:keepNext/>
              <w:tabs>
                <w:tab w:val="decimal" w:pos="972"/>
              </w:tabs>
              <w:spacing w:before="60" w:after="60"/>
              <w:rPr>
                <w:rFonts w:cs="Segoe UI"/>
                <w:sz w:val="18"/>
              </w:rPr>
            </w:pPr>
            <w:r w:rsidRPr="00200234">
              <w:rPr>
                <w:rFonts w:cs="Segoe UI"/>
                <w:sz w:val="18"/>
              </w:rPr>
              <w:t>104</w:t>
            </w:r>
          </w:p>
        </w:tc>
      </w:tr>
      <w:tr w:rsidR="008361C5" w:rsidRPr="00200234" w14:paraId="50818FEB" w14:textId="77777777" w:rsidTr="0047263B">
        <w:trPr>
          <w:cantSplit/>
        </w:trPr>
        <w:tc>
          <w:tcPr>
            <w:tcW w:w="1140" w:type="pct"/>
            <w:tcBorders>
              <w:top w:val="single" w:sz="4" w:space="0" w:color="A6A6A6"/>
              <w:bottom w:val="single" w:sz="4" w:space="0" w:color="A6A6A6"/>
            </w:tcBorders>
          </w:tcPr>
          <w:p w14:paraId="5CD8352E" w14:textId="77777777" w:rsidR="008361C5" w:rsidRPr="00200234" w:rsidRDefault="008361C5" w:rsidP="0047263B">
            <w:pPr>
              <w:keepNext/>
              <w:spacing w:before="60" w:after="60"/>
              <w:rPr>
                <w:rFonts w:cs="Segoe UI"/>
                <w:sz w:val="18"/>
              </w:rPr>
            </w:pPr>
            <w:r w:rsidRPr="00200234">
              <w:rPr>
                <w:rFonts w:cs="Segoe UI"/>
                <w:sz w:val="18"/>
              </w:rPr>
              <w:t>Southern DHB</w:t>
            </w:r>
          </w:p>
        </w:tc>
        <w:tc>
          <w:tcPr>
            <w:tcW w:w="1247" w:type="pct"/>
            <w:tcBorders>
              <w:top w:val="single" w:sz="4" w:space="0" w:color="A6A6A6"/>
              <w:bottom w:val="single" w:sz="4" w:space="0" w:color="A6A6A6"/>
            </w:tcBorders>
          </w:tcPr>
          <w:p w14:paraId="6D7D0ADD" w14:textId="77777777" w:rsidR="008361C5" w:rsidRPr="00200234" w:rsidRDefault="008361C5" w:rsidP="0047263B">
            <w:pPr>
              <w:keepNext/>
              <w:spacing w:before="60" w:after="60"/>
              <w:jc w:val="center"/>
              <w:rPr>
                <w:rFonts w:cs="Segoe UI"/>
                <w:sz w:val="18"/>
              </w:rPr>
            </w:pPr>
            <w:r w:rsidRPr="00200234">
              <w:rPr>
                <w:rFonts w:cs="Segoe UI"/>
                <w:sz w:val="18"/>
              </w:rPr>
              <w:t>10</w:t>
            </w:r>
          </w:p>
        </w:tc>
        <w:tc>
          <w:tcPr>
            <w:tcW w:w="1306" w:type="pct"/>
            <w:tcBorders>
              <w:top w:val="single" w:sz="4" w:space="0" w:color="A6A6A6"/>
              <w:bottom w:val="single" w:sz="4" w:space="0" w:color="A6A6A6"/>
            </w:tcBorders>
          </w:tcPr>
          <w:p w14:paraId="7116A25D" w14:textId="77777777" w:rsidR="008361C5" w:rsidRPr="00200234" w:rsidRDefault="008361C5" w:rsidP="0047263B">
            <w:pPr>
              <w:keepNext/>
              <w:tabs>
                <w:tab w:val="decimal" w:pos="1092"/>
              </w:tabs>
              <w:spacing w:before="60" w:after="60"/>
              <w:rPr>
                <w:rFonts w:cs="Segoe UI"/>
                <w:sz w:val="18"/>
              </w:rPr>
            </w:pPr>
            <w:r w:rsidRPr="00200234">
              <w:rPr>
                <w:rFonts w:cs="Segoe UI"/>
                <w:sz w:val="18"/>
              </w:rPr>
              <w:t>7</w:t>
            </w:r>
          </w:p>
        </w:tc>
        <w:tc>
          <w:tcPr>
            <w:tcW w:w="1306" w:type="pct"/>
            <w:tcBorders>
              <w:top w:val="single" w:sz="4" w:space="0" w:color="A6A6A6"/>
              <w:bottom w:val="single" w:sz="4" w:space="0" w:color="A6A6A6"/>
            </w:tcBorders>
          </w:tcPr>
          <w:p w14:paraId="0C5FC126" w14:textId="77777777" w:rsidR="008361C5" w:rsidRPr="00200234" w:rsidRDefault="008361C5" w:rsidP="0047263B">
            <w:pPr>
              <w:keepNext/>
              <w:tabs>
                <w:tab w:val="decimal" w:pos="972"/>
              </w:tabs>
              <w:spacing w:before="60" w:after="60"/>
              <w:rPr>
                <w:rFonts w:cs="Segoe UI"/>
                <w:sz w:val="18"/>
              </w:rPr>
            </w:pPr>
            <w:r w:rsidRPr="00200234">
              <w:rPr>
                <w:rFonts w:cs="Segoe UI"/>
                <w:sz w:val="18"/>
              </w:rPr>
              <w:t>16</w:t>
            </w:r>
          </w:p>
        </w:tc>
      </w:tr>
      <w:tr w:rsidR="008361C5" w:rsidRPr="00200234" w14:paraId="4E9202A2" w14:textId="77777777" w:rsidTr="0047263B">
        <w:trPr>
          <w:cantSplit/>
        </w:trPr>
        <w:tc>
          <w:tcPr>
            <w:tcW w:w="1140" w:type="pct"/>
            <w:tcBorders>
              <w:top w:val="single" w:sz="4" w:space="0" w:color="A6A6A6"/>
              <w:bottom w:val="single" w:sz="4" w:space="0" w:color="A6A6A6"/>
            </w:tcBorders>
          </w:tcPr>
          <w:p w14:paraId="157AFE4B" w14:textId="77777777" w:rsidR="008361C5" w:rsidRPr="00200234" w:rsidRDefault="008361C5" w:rsidP="0047263B">
            <w:pPr>
              <w:keepNext/>
              <w:spacing w:before="60" w:after="60"/>
              <w:rPr>
                <w:rFonts w:cs="Segoe UI"/>
                <w:sz w:val="18"/>
              </w:rPr>
            </w:pPr>
            <w:r w:rsidRPr="00200234">
              <w:rPr>
                <w:rFonts w:cs="Segoe UI"/>
                <w:sz w:val="18"/>
              </w:rPr>
              <w:t>Waikato DHB</w:t>
            </w:r>
          </w:p>
        </w:tc>
        <w:tc>
          <w:tcPr>
            <w:tcW w:w="1247" w:type="pct"/>
            <w:tcBorders>
              <w:top w:val="single" w:sz="4" w:space="0" w:color="A6A6A6"/>
              <w:bottom w:val="single" w:sz="4" w:space="0" w:color="A6A6A6"/>
            </w:tcBorders>
          </w:tcPr>
          <w:p w14:paraId="2A7A4782" w14:textId="77777777" w:rsidR="008361C5" w:rsidRPr="00200234" w:rsidRDefault="008361C5" w:rsidP="0047263B">
            <w:pPr>
              <w:keepNext/>
              <w:spacing w:before="60" w:after="60"/>
              <w:jc w:val="center"/>
              <w:rPr>
                <w:rFonts w:cs="Segoe UI"/>
                <w:sz w:val="18"/>
              </w:rPr>
            </w:pPr>
            <w:r w:rsidRPr="00200234">
              <w:rPr>
                <w:rFonts w:cs="Segoe UI"/>
                <w:sz w:val="18"/>
              </w:rPr>
              <w:t>32</w:t>
            </w:r>
          </w:p>
        </w:tc>
        <w:tc>
          <w:tcPr>
            <w:tcW w:w="1306" w:type="pct"/>
            <w:tcBorders>
              <w:top w:val="single" w:sz="4" w:space="0" w:color="A6A6A6"/>
              <w:bottom w:val="single" w:sz="4" w:space="0" w:color="A6A6A6"/>
            </w:tcBorders>
          </w:tcPr>
          <w:p w14:paraId="30160BE9" w14:textId="77777777" w:rsidR="008361C5" w:rsidRPr="00200234" w:rsidRDefault="008361C5" w:rsidP="0047263B">
            <w:pPr>
              <w:keepNext/>
              <w:tabs>
                <w:tab w:val="decimal" w:pos="1092"/>
              </w:tabs>
              <w:spacing w:before="60" w:after="60"/>
              <w:rPr>
                <w:rFonts w:cs="Segoe UI"/>
                <w:sz w:val="18"/>
              </w:rPr>
            </w:pPr>
            <w:r w:rsidRPr="00200234">
              <w:rPr>
                <w:rFonts w:cs="Segoe UI"/>
                <w:sz w:val="18"/>
              </w:rPr>
              <w:t>72</w:t>
            </w:r>
          </w:p>
        </w:tc>
        <w:tc>
          <w:tcPr>
            <w:tcW w:w="1306" w:type="pct"/>
            <w:tcBorders>
              <w:top w:val="single" w:sz="4" w:space="0" w:color="A6A6A6"/>
              <w:bottom w:val="single" w:sz="4" w:space="0" w:color="A6A6A6"/>
            </w:tcBorders>
          </w:tcPr>
          <w:p w14:paraId="58D3C0A3" w14:textId="77777777" w:rsidR="008361C5" w:rsidRPr="00200234" w:rsidRDefault="008361C5" w:rsidP="0047263B">
            <w:pPr>
              <w:keepNext/>
              <w:tabs>
                <w:tab w:val="decimal" w:pos="972"/>
              </w:tabs>
              <w:spacing w:before="60" w:after="60"/>
              <w:rPr>
                <w:rFonts w:cs="Segoe UI"/>
                <w:sz w:val="18"/>
              </w:rPr>
            </w:pPr>
            <w:r w:rsidRPr="00200234">
              <w:rPr>
                <w:rFonts w:cs="Segoe UI"/>
                <w:sz w:val="18"/>
              </w:rPr>
              <w:t>99</w:t>
            </w:r>
          </w:p>
        </w:tc>
      </w:tr>
      <w:tr w:rsidR="008361C5" w:rsidRPr="00200234" w14:paraId="01B0395C" w14:textId="77777777" w:rsidTr="0047263B">
        <w:trPr>
          <w:cantSplit/>
        </w:trPr>
        <w:tc>
          <w:tcPr>
            <w:tcW w:w="1140" w:type="pct"/>
            <w:tcBorders>
              <w:top w:val="single" w:sz="4" w:space="0" w:color="A6A6A6"/>
              <w:bottom w:val="single" w:sz="4" w:space="0" w:color="A6A6A6"/>
            </w:tcBorders>
          </w:tcPr>
          <w:p w14:paraId="527BDD63" w14:textId="77777777" w:rsidR="008361C5" w:rsidRPr="00200234" w:rsidRDefault="008361C5" w:rsidP="0047263B">
            <w:pPr>
              <w:keepNext/>
              <w:spacing w:before="60" w:after="60"/>
              <w:rPr>
                <w:rFonts w:cs="Segoe UI"/>
                <w:sz w:val="18"/>
              </w:rPr>
            </w:pPr>
            <w:proofErr w:type="spellStart"/>
            <w:r w:rsidRPr="00200234">
              <w:rPr>
                <w:rFonts w:cs="Segoe UI"/>
                <w:sz w:val="18"/>
              </w:rPr>
              <w:t>Waitematā</w:t>
            </w:r>
            <w:proofErr w:type="spellEnd"/>
            <w:r w:rsidRPr="00200234">
              <w:rPr>
                <w:rFonts w:cs="Segoe UI"/>
                <w:sz w:val="18"/>
              </w:rPr>
              <w:t xml:space="preserve"> DHB</w:t>
            </w:r>
          </w:p>
        </w:tc>
        <w:tc>
          <w:tcPr>
            <w:tcW w:w="1247" w:type="pct"/>
            <w:tcBorders>
              <w:top w:val="single" w:sz="4" w:space="0" w:color="A6A6A6"/>
              <w:bottom w:val="single" w:sz="4" w:space="0" w:color="A6A6A6"/>
            </w:tcBorders>
          </w:tcPr>
          <w:p w14:paraId="74E90550" w14:textId="77777777" w:rsidR="008361C5" w:rsidRPr="00200234" w:rsidRDefault="008361C5" w:rsidP="0047263B">
            <w:pPr>
              <w:keepNext/>
              <w:spacing w:before="60" w:after="60"/>
              <w:jc w:val="center"/>
              <w:rPr>
                <w:rFonts w:cs="Segoe UI"/>
                <w:sz w:val="18"/>
              </w:rPr>
            </w:pPr>
            <w:r w:rsidRPr="00200234">
              <w:rPr>
                <w:rFonts w:cs="Segoe UI"/>
                <w:sz w:val="18"/>
              </w:rPr>
              <w:t>52</w:t>
            </w:r>
          </w:p>
        </w:tc>
        <w:tc>
          <w:tcPr>
            <w:tcW w:w="1306" w:type="pct"/>
            <w:tcBorders>
              <w:top w:val="single" w:sz="4" w:space="0" w:color="A6A6A6"/>
              <w:bottom w:val="single" w:sz="4" w:space="0" w:color="A6A6A6"/>
            </w:tcBorders>
          </w:tcPr>
          <w:p w14:paraId="2A7DD2E9" w14:textId="77777777" w:rsidR="008361C5" w:rsidRPr="00200234" w:rsidRDefault="008361C5" w:rsidP="0047263B">
            <w:pPr>
              <w:keepNext/>
              <w:tabs>
                <w:tab w:val="decimal" w:pos="1092"/>
              </w:tabs>
              <w:spacing w:before="60" w:after="60"/>
              <w:rPr>
                <w:rFonts w:cs="Segoe UI"/>
                <w:sz w:val="18"/>
              </w:rPr>
            </w:pPr>
            <w:r w:rsidRPr="00200234">
              <w:rPr>
                <w:rFonts w:cs="Segoe UI"/>
                <w:sz w:val="18"/>
              </w:rPr>
              <w:t>85</w:t>
            </w:r>
          </w:p>
        </w:tc>
        <w:tc>
          <w:tcPr>
            <w:tcW w:w="1306" w:type="pct"/>
            <w:tcBorders>
              <w:top w:val="single" w:sz="4" w:space="0" w:color="A6A6A6"/>
              <w:bottom w:val="single" w:sz="4" w:space="0" w:color="A6A6A6"/>
            </w:tcBorders>
          </w:tcPr>
          <w:p w14:paraId="3811106F" w14:textId="77777777" w:rsidR="008361C5" w:rsidRPr="00200234" w:rsidRDefault="008361C5" w:rsidP="0047263B">
            <w:pPr>
              <w:keepNext/>
              <w:tabs>
                <w:tab w:val="decimal" w:pos="972"/>
              </w:tabs>
              <w:spacing w:before="60" w:after="60"/>
              <w:rPr>
                <w:rFonts w:cs="Segoe UI"/>
                <w:sz w:val="18"/>
              </w:rPr>
            </w:pPr>
            <w:r w:rsidRPr="00200234">
              <w:rPr>
                <w:rFonts w:cs="Segoe UI"/>
                <w:sz w:val="18"/>
              </w:rPr>
              <w:t>132</w:t>
            </w:r>
          </w:p>
        </w:tc>
      </w:tr>
    </w:tbl>
    <w:p w14:paraId="60953964" w14:textId="0B990E27" w:rsidR="008361C5" w:rsidRPr="00200234" w:rsidRDefault="008361C5" w:rsidP="0047263B">
      <w:pPr>
        <w:pStyle w:val="Note"/>
        <w:keepNext/>
      </w:pPr>
      <w:r w:rsidRPr="00200234">
        <w:t>Notes: EFC = extended forensic care; SFC = short-term forensic care. People are counted as special patients in more than one DHB when they receive treatment with more than one DHB. For this reason, the total of this data is higher than the national total. Due to their relatively small numbers of special patients, Whanganui DHB is included under Capital &amp; Coast DHB</w:t>
      </w:r>
      <w:r w:rsidR="00580ED2">
        <w:t>,</w:t>
      </w:r>
      <w:r w:rsidRPr="00200234">
        <w:t xml:space="preserve"> and Nelson Marlborough DHB is included under Canterbury DHB. </w:t>
      </w:r>
    </w:p>
    <w:p w14:paraId="57C7894C" w14:textId="77777777" w:rsidR="008361C5" w:rsidRPr="00200234" w:rsidRDefault="008361C5" w:rsidP="0047263B">
      <w:pPr>
        <w:pStyle w:val="Note"/>
        <w:keepNext/>
      </w:pPr>
      <w:r w:rsidRPr="00200234">
        <w:t xml:space="preserve">Under certain special patient orders, a court can direct treatment outside a regional forensic service. We have excluded this data because it involves only a few patients and it is necessary to protect patient confidentiality. </w:t>
      </w:r>
    </w:p>
    <w:p w14:paraId="1CEAFC88" w14:textId="55ABC34E" w:rsidR="008361C5" w:rsidRPr="00200234" w:rsidRDefault="008361C5" w:rsidP="008361C5">
      <w:pPr>
        <w:pStyle w:val="Note"/>
      </w:pPr>
      <w:r w:rsidRPr="00200234">
        <w:t xml:space="preserve">Source: PRIMHD </w:t>
      </w:r>
      <w:r w:rsidR="00F3393F">
        <w:t>data</w:t>
      </w:r>
      <w:r w:rsidR="0015429E">
        <w:t xml:space="preserve"> (extracted</w:t>
      </w:r>
      <w:r w:rsidRPr="00200234">
        <w:t xml:space="preserve"> 29 July 2019</w:t>
      </w:r>
      <w:r w:rsidR="00D30615">
        <w:t>)</w:t>
      </w:r>
      <w:r w:rsidRPr="00200234">
        <w:t>.</w:t>
      </w:r>
    </w:p>
    <w:p w14:paraId="7DE6B1AA" w14:textId="77777777" w:rsidR="008361C5" w:rsidRPr="00200234" w:rsidRDefault="008361C5" w:rsidP="0047263B"/>
    <w:p w14:paraId="163AB2CF" w14:textId="07BD0A9A" w:rsidR="008361C5" w:rsidRPr="00200234" w:rsidRDefault="008361C5" w:rsidP="008361C5">
      <w:pPr>
        <w:pStyle w:val="Table"/>
        <w:rPr>
          <w:rFonts w:eastAsiaTheme="minorHAnsi"/>
        </w:rPr>
      </w:pPr>
      <w:bookmarkStart w:id="218" w:name="_Ref65673099"/>
      <w:bookmarkStart w:id="219" w:name="_Toc63764675"/>
      <w:bookmarkStart w:id="220" w:name="_Toc69306782"/>
      <w:r w:rsidRPr="00200234">
        <w:t xml:space="preserve">Table </w:t>
      </w:r>
      <w:fldSimple w:instr=" SEQ Table \* ARABIC ">
        <w:r w:rsidR="00422361">
          <w:rPr>
            <w:noProof/>
          </w:rPr>
          <w:t>12</w:t>
        </w:r>
      </w:fldSimple>
      <w:bookmarkEnd w:id="218"/>
      <w:r w:rsidRPr="00200234">
        <w:t>: Total number of special patients, by type and DHB, 1 January to 31 December 2019</w:t>
      </w:r>
      <w:bookmarkEnd w:id="219"/>
      <w:bookmarkEnd w:id="220"/>
    </w:p>
    <w:tbl>
      <w:tblPr>
        <w:tblW w:w="5000" w:type="pct"/>
        <w:tblCellMar>
          <w:left w:w="57" w:type="dxa"/>
          <w:right w:w="57" w:type="dxa"/>
        </w:tblCellMar>
        <w:tblLook w:val="01E0" w:firstRow="1" w:lastRow="1" w:firstColumn="1" w:lastColumn="1" w:noHBand="0" w:noVBand="0"/>
      </w:tblPr>
      <w:tblGrid>
        <w:gridCol w:w="1843"/>
        <w:gridCol w:w="2016"/>
        <w:gridCol w:w="2110"/>
        <w:gridCol w:w="2110"/>
      </w:tblGrid>
      <w:tr w:rsidR="008361C5" w:rsidRPr="00200234" w14:paraId="46E42FA7" w14:textId="77777777" w:rsidTr="00FA6ECE">
        <w:trPr>
          <w:cantSplit/>
        </w:trPr>
        <w:tc>
          <w:tcPr>
            <w:tcW w:w="1140" w:type="pct"/>
            <w:shd w:val="clear" w:color="auto" w:fill="D9D9D9"/>
          </w:tcPr>
          <w:p w14:paraId="64EA5FFA" w14:textId="77777777" w:rsidR="008361C5" w:rsidRPr="00200234" w:rsidRDefault="008361C5" w:rsidP="00E05D54">
            <w:pPr>
              <w:keepNext/>
              <w:spacing w:before="60" w:after="60"/>
              <w:rPr>
                <w:rFonts w:cs="Segoe UI"/>
                <w:b/>
                <w:sz w:val="18"/>
              </w:rPr>
            </w:pPr>
            <w:r w:rsidRPr="00200234">
              <w:rPr>
                <w:rFonts w:cs="Segoe UI"/>
                <w:b/>
                <w:sz w:val="18"/>
              </w:rPr>
              <w:t>Forensic services</w:t>
            </w:r>
          </w:p>
        </w:tc>
        <w:tc>
          <w:tcPr>
            <w:tcW w:w="1247" w:type="pct"/>
            <w:shd w:val="clear" w:color="auto" w:fill="D9D9D9"/>
          </w:tcPr>
          <w:p w14:paraId="0E70DD2E" w14:textId="77777777" w:rsidR="008361C5" w:rsidRPr="00200234" w:rsidRDefault="008361C5" w:rsidP="00E05D54">
            <w:pPr>
              <w:keepNext/>
              <w:spacing w:before="60" w:after="60"/>
              <w:jc w:val="center"/>
              <w:rPr>
                <w:rFonts w:cs="Segoe UI"/>
                <w:b/>
                <w:sz w:val="18"/>
              </w:rPr>
            </w:pPr>
            <w:r w:rsidRPr="00200234">
              <w:rPr>
                <w:rFonts w:cs="Segoe UI"/>
                <w:b/>
                <w:sz w:val="18"/>
              </w:rPr>
              <w:t>EFC special patients</w:t>
            </w:r>
          </w:p>
        </w:tc>
        <w:tc>
          <w:tcPr>
            <w:tcW w:w="1306" w:type="pct"/>
            <w:shd w:val="clear" w:color="auto" w:fill="D9D9D9"/>
          </w:tcPr>
          <w:p w14:paraId="1AE1DBA5" w14:textId="77777777" w:rsidR="008361C5" w:rsidRPr="00200234" w:rsidRDefault="008361C5" w:rsidP="00E05D54">
            <w:pPr>
              <w:keepNext/>
              <w:spacing w:before="60" w:after="60"/>
              <w:jc w:val="center"/>
              <w:rPr>
                <w:rFonts w:cs="Segoe UI"/>
                <w:b/>
                <w:sz w:val="18"/>
              </w:rPr>
            </w:pPr>
            <w:r w:rsidRPr="00200234">
              <w:rPr>
                <w:rFonts w:cs="Segoe UI"/>
                <w:b/>
                <w:sz w:val="18"/>
              </w:rPr>
              <w:t>SFC special patients</w:t>
            </w:r>
          </w:p>
        </w:tc>
        <w:tc>
          <w:tcPr>
            <w:tcW w:w="1306" w:type="pct"/>
            <w:shd w:val="clear" w:color="auto" w:fill="D9D9D9"/>
          </w:tcPr>
          <w:p w14:paraId="65B409AD" w14:textId="77777777" w:rsidR="008361C5" w:rsidRPr="00200234" w:rsidRDefault="008361C5" w:rsidP="00E05D54">
            <w:pPr>
              <w:keepNext/>
              <w:spacing w:before="60" w:after="60"/>
              <w:jc w:val="center"/>
              <w:rPr>
                <w:rFonts w:cs="Segoe UI"/>
                <w:b/>
                <w:sz w:val="18"/>
              </w:rPr>
            </w:pPr>
            <w:r w:rsidRPr="00200234">
              <w:rPr>
                <w:rFonts w:cs="Segoe UI"/>
                <w:b/>
                <w:sz w:val="18"/>
              </w:rPr>
              <w:t>Total special patients</w:t>
            </w:r>
          </w:p>
        </w:tc>
      </w:tr>
      <w:tr w:rsidR="008361C5" w:rsidRPr="00200234" w14:paraId="586D7A1C" w14:textId="77777777" w:rsidTr="00FA6ECE">
        <w:trPr>
          <w:cantSplit/>
        </w:trPr>
        <w:tc>
          <w:tcPr>
            <w:tcW w:w="1140" w:type="pct"/>
            <w:tcBorders>
              <w:bottom w:val="single" w:sz="4" w:space="0" w:color="A6A6A6"/>
            </w:tcBorders>
          </w:tcPr>
          <w:p w14:paraId="3B04F289" w14:textId="77777777" w:rsidR="008361C5" w:rsidRPr="00200234" w:rsidRDefault="008361C5" w:rsidP="00E05D54">
            <w:pPr>
              <w:keepNext/>
              <w:spacing w:before="60" w:after="60"/>
              <w:rPr>
                <w:rFonts w:cs="Segoe UI"/>
                <w:sz w:val="18"/>
              </w:rPr>
            </w:pPr>
            <w:r w:rsidRPr="00200234">
              <w:rPr>
                <w:rFonts w:cs="Segoe UI"/>
                <w:sz w:val="18"/>
              </w:rPr>
              <w:t>Canterbury DHB</w:t>
            </w:r>
          </w:p>
        </w:tc>
        <w:tc>
          <w:tcPr>
            <w:tcW w:w="1247" w:type="pct"/>
            <w:tcBorders>
              <w:bottom w:val="single" w:sz="4" w:space="0" w:color="A6A6A6"/>
            </w:tcBorders>
          </w:tcPr>
          <w:p w14:paraId="47D93594" w14:textId="77777777" w:rsidR="008361C5" w:rsidRPr="00200234" w:rsidRDefault="008361C5" w:rsidP="00E05D54">
            <w:pPr>
              <w:keepNext/>
              <w:spacing w:before="60" w:after="60"/>
              <w:jc w:val="center"/>
              <w:rPr>
                <w:rFonts w:cs="Segoe UI"/>
                <w:sz w:val="18"/>
              </w:rPr>
            </w:pPr>
            <w:r w:rsidRPr="00200234">
              <w:rPr>
                <w:rFonts w:cs="Segoe UI"/>
                <w:sz w:val="18"/>
              </w:rPr>
              <w:t>15</w:t>
            </w:r>
          </w:p>
        </w:tc>
        <w:tc>
          <w:tcPr>
            <w:tcW w:w="1306" w:type="pct"/>
            <w:tcBorders>
              <w:bottom w:val="single" w:sz="4" w:space="0" w:color="A6A6A6"/>
            </w:tcBorders>
          </w:tcPr>
          <w:p w14:paraId="72E9575D" w14:textId="77777777" w:rsidR="008361C5" w:rsidRPr="00200234" w:rsidRDefault="008361C5" w:rsidP="00E05D54">
            <w:pPr>
              <w:keepNext/>
              <w:tabs>
                <w:tab w:val="decimal" w:pos="1092"/>
              </w:tabs>
              <w:spacing w:before="60" w:after="60"/>
              <w:rPr>
                <w:rFonts w:cs="Segoe UI"/>
                <w:sz w:val="18"/>
              </w:rPr>
            </w:pPr>
            <w:r w:rsidRPr="00200234">
              <w:rPr>
                <w:rFonts w:cs="Segoe UI"/>
                <w:sz w:val="18"/>
              </w:rPr>
              <w:t>37</w:t>
            </w:r>
          </w:p>
        </w:tc>
        <w:tc>
          <w:tcPr>
            <w:tcW w:w="1306" w:type="pct"/>
            <w:tcBorders>
              <w:bottom w:val="single" w:sz="4" w:space="0" w:color="A6A6A6"/>
            </w:tcBorders>
          </w:tcPr>
          <w:p w14:paraId="7CC97A80" w14:textId="77777777" w:rsidR="008361C5" w:rsidRPr="00200234" w:rsidRDefault="008361C5" w:rsidP="00E05D54">
            <w:pPr>
              <w:keepNext/>
              <w:tabs>
                <w:tab w:val="decimal" w:pos="972"/>
              </w:tabs>
              <w:spacing w:before="60" w:after="60"/>
              <w:rPr>
                <w:rFonts w:cs="Segoe UI"/>
                <w:sz w:val="18"/>
              </w:rPr>
            </w:pPr>
            <w:r w:rsidRPr="00200234">
              <w:rPr>
                <w:rFonts w:cs="Segoe UI"/>
                <w:sz w:val="18"/>
              </w:rPr>
              <w:t>51</w:t>
            </w:r>
          </w:p>
        </w:tc>
      </w:tr>
      <w:tr w:rsidR="008361C5" w:rsidRPr="00200234" w14:paraId="539EF72E" w14:textId="77777777" w:rsidTr="00FA6ECE">
        <w:trPr>
          <w:cantSplit/>
        </w:trPr>
        <w:tc>
          <w:tcPr>
            <w:tcW w:w="1140" w:type="pct"/>
            <w:tcBorders>
              <w:top w:val="single" w:sz="4" w:space="0" w:color="A6A6A6"/>
              <w:bottom w:val="single" w:sz="4" w:space="0" w:color="A6A6A6"/>
            </w:tcBorders>
          </w:tcPr>
          <w:p w14:paraId="7AF25684" w14:textId="77777777" w:rsidR="008361C5" w:rsidRPr="00200234" w:rsidRDefault="008361C5" w:rsidP="00E05D54">
            <w:pPr>
              <w:keepNext/>
              <w:spacing w:before="60" w:after="60"/>
              <w:rPr>
                <w:rFonts w:cs="Segoe UI"/>
                <w:sz w:val="18"/>
              </w:rPr>
            </w:pPr>
            <w:r w:rsidRPr="00200234">
              <w:rPr>
                <w:rFonts w:cs="Segoe UI"/>
                <w:sz w:val="18"/>
              </w:rPr>
              <w:t>Capital &amp; Coast DHB</w:t>
            </w:r>
          </w:p>
        </w:tc>
        <w:tc>
          <w:tcPr>
            <w:tcW w:w="1247" w:type="pct"/>
            <w:tcBorders>
              <w:top w:val="single" w:sz="4" w:space="0" w:color="A6A6A6"/>
              <w:bottom w:val="single" w:sz="4" w:space="0" w:color="A6A6A6"/>
            </w:tcBorders>
          </w:tcPr>
          <w:p w14:paraId="3DEDF7B2" w14:textId="77777777" w:rsidR="008361C5" w:rsidRPr="00200234" w:rsidRDefault="008361C5" w:rsidP="00E05D54">
            <w:pPr>
              <w:keepNext/>
              <w:spacing w:before="60" w:after="60"/>
              <w:jc w:val="center"/>
              <w:rPr>
                <w:rFonts w:cs="Segoe UI"/>
                <w:sz w:val="18"/>
              </w:rPr>
            </w:pPr>
            <w:r w:rsidRPr="00200234">
              <w:rPr>
                <w:rFonts w:cs="Segoe UI"/>
                <w:sz w:val="18"/>
              </w:rPr>
              <w:t>54</w:t>
            </w:r>
          </w:p>
        </w:tc>
        <w:tc>
          <w:tcPr>
            <w:tcW w:w="1306" w:type="pct"/>
            <w:tcBorders>
              <w:top w:val="single" w:sz="4" w:space="0" w:color="A6A6A6"/>
              <w:bottom w:val="single" w:sz="4" w:space="0" w:color="A6A6A6"/>
            </w:tcBorders>
          </w:tcPr>
          <w:p w14:paraId="6D44374F" w14:textId="77777777" w:rsidR="008361C5" w:rsidRPr="00200234" w:rsidRDefault="008361C5" w:rsidP="00E05D54">
            <w:pPr>
              <w:keepNext/>
              <w:tabs>
                <w:tab w:val="decimal" w:pos="1092"/>
              </w:tabs>
              <w:spacing w:before="60" w:after="60"/>
              <w:rPr>
                <w:rFonts w:cs="Segoe UI"/>
                <w:sz w:val="18"/>
              </w:rPr>
            </w:pPr>
            <w:r w:rsidRPr="00200234">
              <w:rPr>
                <w:rFonts w:cs="Segoe UI"/>
                <w:sz w:val="18"/>
              </w:rPr>
              <w:t>62</w:t>
            </w:r>
          </w:p>
        </w:tc>
        <w:tc>
          <w:tcPr>
            <w:tcW w:w="1306" w:type="pct"/>
            <w:tcBorders>
              <w:top w:val="single" w:sz="4" w:space="0" w:color="A6A6A6"/>
              <w:bottom w:val="single" w:sz="4" w:space="0" w:color="A6A6A6"/>
            </w:tcBorders>
          </w:tcPr>
          <w:p w14:paraId="6D0AD51F" w14:textId="77777777" w:rsidR="008361C5" w:rsidRPr="00200234" w:rsidRDefault="008361C5" w:rsidP="00E05D54">
            <w:pPr>
              <w:keepNext/>
              <w:tabs>
                <w:tab w:val="decimal" w:pos="972"/>
              </w:tabs>
              <w:spacing w:before="60" w:after="60"/>
              <w:rPr>
                <w:rFonts w:cs="Segoe UI"/>
                <w:sz w:val="18"/>
              </w:rPr>
            </w:pPr>
            <w:r w:rsidRPr="00200234">
              <w:rPr>
                <w:rFonts w:cs="Segoe UI"/>
                <w:sz w:val="18"/>
              </w:rPr>
              <w:t>112</w:t>
            </w:r>
          </w:p>
        </w:tc>
      </w:tr>
      <w:tr w:rsidR="008361C5" w:rsidRPr="00200234" w14:paraId="0159DBA2" w14:textId="77777777" w:rsidTr="00FA6ECE">
        <w:trPr>
          <w:cantSplit/>
        </w:trPr>
        <w:tc>
          <w:tcPr>
            <w:tcW w:w="1140" w:type="pct"/>
            <w:tcBorders>
              <w:top w:val="single" w:sz="4" w:space="0" w:color="A6A6A6"/>
              <w:bottom w:val="single" w:sz="4" w:space="0" w:color="A6A6A6"/>
            </w:tcBorders>
          </w:tcPr>
          <w:p w14:paraId="147D6F5D" w14:textId="77777777" w:rsidR="008361C5" w:rsidRPr="00200234" w:rsidRDefault="008361C5" w:rsidP="00E05D54">
            <w:pPr>
              <w:keepNext/>
              <w:spacing w:before="60" w:after="60"/>
              <w:rPr>
                <w:rFonts w:cs="Segoe UI"/>
                <w:sz w:val="18"/>
              </w:rPr>
            </w:pPr>
            <w:r w:rsidRPr="00200234">
              <w:rPr>
                <w:rFonts w:cs="Segoe UI"/>
                <w:sz w:val="18"/>
              </w:rPr>
              <w:t>Southern DHB</w:t>
            </w:r>
          </w:p>
        </w:tc>
        <w:tc>
          <w:tcPr>
            <w:tcW w:w="1247" w:type="pct"/>
            <w:tcBorders>
              <w:top w:val="single" w:sz="4" w:space="0" w:color="A6A6A6"/>
              <w:bottom w:val="single" w:sz="4" w:space="0" w:color="A6A6A6"/>
            </w:tcBorders>
          </w:tcPr>
          <w:p w14:paraId="2B25F97C" w14:textId="77777777" w:rsidR="008361C5" w:rsidRPr="00200234" w:rsidRDefault="008361C5" w:rsidP="00E05D54">
            <w:pPr>
              <w:keepNext/>
              <w:spacing w:before="60" w:after="60"/>
              <w:jc w:val="center"/>
              <w:rPr>
                <w:rFonts w:cs="Segoe UI"/>
                <w:sz w:val="18"/>
              </w:rPr>
            </w:pPr>
            <w:r w:rsidRPr="00200234">
              <w:rPr>
                <w:rFonts w:cs="Segoe UI"/>
                <w:sz w:val="18"/>
              </w:rPr>
              <w:t>10</w:t>
            </w:r>
          </w:p>
        </w:tc>
        <w:tc>
          <w:tcPr>
            <w:tcW w:w="1306" w:type="pct"/>
            <w:tcBorders>
              <w:top w:val="single" w:sz="4" w:space="0" w:color="A6A6A6"/>
              <w:bottom w:val="single" w:sz="4" w:space="0" w:color="A6A6A6"/>
            </w:tcBorders>
          </w:tcPr>
          <w:p w14:paraId="6AE0D473" w14:textId="77777777" w:rsidR="008361C5" w:rsidRPr="00200234" w:rsidRDefault="008361C5" w:rsidP="00E05D54">
            <w:pPr>
              <w:keepNext/>
              <w:tabs>
                <w:tab w:val="decimal" w:pos="1092"/>
              </w:tabs>
              <w:spacing w:before="60" w:after="60"/>
              <w:rPr>
                <w:rFonts w:cs="Segoe UI"/>
                <w:sz w:val="18"/>
              </w:rPr>
            </w:pPr>
            <w:r w:rsidRPr="00200234">
              <w:rPr>
                <w:rFonts w:cs="Segoe UI"/>
                <w:sz w:val="18"/>
              </w:rPr>
              <w:t>10</w:t>
            </w:r>
          </w:p>
        </w:tc>
        <w:tc>
          <w:tcPr>
            <w:tcW w:w="1306" w:type="pct"/>
            <w:tcBorders>
              <w:top w:val="single" w:sz="4" w:space="0" w:color="A6A6A6"/>
              <w:bottom w:val="single" w:sz="4" w:space="0" w:color="A6A6A6"/>
            </w:tcBorders>
          </w:tcPr>
          <w:p w14:paraId="4E4327C7" w14:textId="77777777" w:rsidR="008361C5" w:rsidRPr="00200234" w:rsidRDefault="008361C5" w:rsidP="00E05D54">
            <w:pPr>
              <w:keepNext/>
              <w:tabs>
                <w:tab w:val="decimal" w:pos="972"/>
              </w:tabs>
              <w:spacing w:before="60" w:after="60"/>
              <w:rPr>
                <w:rFonts w:cs="Segoe UI"/>
                <w:sz w:val="18"/>
              </w:rPr>
            </w:pPr>
            <w:r w:rsidRPr="00200234">
              <w:rPr>
                <w:rFonts w:cs="Segoe UI"/>
                <w:sz w:val="18"/>
              </w:rPr>
              <w:t>20</w:t>
            </w:r>
          </w:p>
        </w:tc>
      </w:tr>
      <w:tr w:rsidR="008361C5" w:rsidRPr="00200234" w14:paraId="2F3AE2EC" w14:textId="77777777" w:rsidTr="00FA6ECE">
        <w:trPr>
          <w:cantSplit/>
        </w:trPr>
        <w:tc>
          <w:tcPr>
            <w:tcW w:w="1140" w:type="pct"/>
            <w:tcBorders>
              <w:top w:val="single" w:sz="4" w:space="0" w:color="A6A6A6"/>
              <w:bottom w:val="single" w:sz="4" w:space="0" w:color="A6A6A6"/>
            </w:tcBorders>
          </w:tcPr>
          <w:p w14:paraId="6F4B7D43" w14:textId="77777777" w:rsidR="008361C5" w:rsidRPr="00200234" w:rsidRDefault="008361C5" w:rsidP="00E05D54">
            <w:pPr>
              <w:keepNext/>
              <w:spacing w:before="60" w:after="60"/>
              <w:rPr>
                <w:rFonts w:cs="Segoe UI"/>
                <w:sz w:val="18"/>
              </w:rPr>
            </w:pPr>
            <w:r w:rsidRPr="00200234">
              <w:rPr>
                <w:rFonts w:cs="Segoe UI"/>
                <w:sz w:val="18"/>
              </w:rPr>
              <w:t>Waikato DHB</w:t>
            </w:r>
          </w:p>
        </w:tc>
        <w:tc>
          <w:tcPr>
            <w:tcW w:w="1247" w:type="pct"/>
            <w:tcBorders>
              <w:top w:val="single" w:sz="4" w:space="0" w:color="A6A6A6"/>
              <w:bottom w:val="single" w:sz="4" w:space="0" w:color="A6A6A6"/>
            </w:tcBorders>
          </w:tcPr>
          <w:p w14:paraId="3E116203" w14:textId="77777777" w:rsidR="008361C5" w:rsidRPr="00200234" w:rsidRDefault="008361C5" w:rsidP="00E05D54">
            <w:pPr>
              <w:keepNext/>
              <w:spacing w:before="60" w:after="60"/>
              <w:jc w:val="center"/>
              <w:rPr>
                <w:rFonts w:cs="Segoe UI"/>
                <w:sz w:val="18"/>
              </w:rPr>
            </w:pPr>
            <w:r w:rsidRPr="00200234">
              <w:rPr>
                <w:rFonts w:cs="Segoe UI"/>
                <w:sz w:val="18"/>
              </w:rPr>
              <w:t>39</w:t>
            </w:r>
          </w:p>
        </w:tc>
        <w:tc>
          <w:tcPr>
            <w:tcW w:w="1306" w:type="pct"/>
            <w:tcBorders>
              <w:top w:val="single" w:sz="4" w:space="0" w:color="A6A6A6"/>
              <w:bottom w:val="single" w:sz="4" w:space="0" w:color="A6A6A6"/>
            </w:tcBorders>
          </w:tcPr>
          <w:p w14:paraId="3BE9D70B" w14:textId="77777777" w:rsidR="008361C5" w:rsidRPr="00200234" w:rsidRDefault="008361C5" w:rsidP="00E05D54">
            <w:pPr>
              <w:keepNext/>
              <w:tabs>
                <w:tab w:val="decimal" w:pos="1092"/>
              </w:tabs>
              <w:spacing w:before="60" w:after="60"/>
              <w:rPr>
                <w:rFonts w:cs="Segoe UI"/>
                <w:sz w:val="18"/>
              </w:rPr>
            </w:pPr>
            <w:r w:rsidRPr="00200234">
              <w:rPr>
                <w:rFonts w:cs="Segoe UI"/>
                <w:sz w:val="18"/>
              </w:rPr>
              <w:t>51</w:t>
            </w:r>
          </w:p>
        </w:tc>
        <w:tc>
          <w:tcPr>
            <w:tcW w:w="1306" w:type="pct"/>
            <w:tcBorders>
              <w:top w:val="single" w:sz="4" w:space="0" w:color="A6A6A6"/>
              <w:bottom w:val="single" w:sz="4" w:space="0" w:color="A6A6A6"/>
            </w:tcBorders>
          </w:tcPr>
          <w:p w14:paraId="14EBA58E" w14:textId="77777777" w:rsidR="008361C5" w:rsidRPr="00200234" w:rsidRDefault="008361C5" w:rsidP="00E05D54">
            <w:pPr>
              <w:keepNext/>
              <w:tabs>
                <w:tab w:val="decimal" w:pos="972"/>
              </w:tabs>
              <w:spacing w:before="60" w:after="60"/>
              <w:rPr>
                <w:rFonts w:cs="Segoe UI"/>
                <w:sz w:val="18"/>
              </w:rPr>
            </w:pPr>
            <w:r w:rsidRPr="00200234">
              <w:rPr>
                <w:rFonts w:cs="Segoe UI"/>
                <w:sz w:val="18"/>
              </w:rPr>
              <w:t>81</w:t>
            </w:r>
          </w:p>
        </w:tc>
      </w:tr>
      <w:tr w:rsidR="008361C5" w:rsidRPr="00200234" w14:paraId="60202971" w14:textId="77777777" w:rsidTr="00FA6ECE">
        <w:trPr>
          <w:cantSplit/>
        </w:trPr>
        <w:tc>
          <w:tcPr>
            <w:tcW w:w="1140" w:type="pct"/>
            <w:tcBorders>
              <w:top w:val="single" w:sz="4" w:space="0" w:color="A6A6A6"/>
              <w:bottom w:val="single" w:sz="4" w:space="0" w:color="A6A6A6"/>
            </w:tcBorders>
          </w:tcPr>
          <w:p w14:paraId="01204344" w14:textId="77777777" w:rsidR="008361C5" w:rsidRPr="00200234" w:rsidRDefault="008361C5" w:rsidP="00E05D54">
            <w:pPr>
              <w:keepNext/>
              <w:spacing w:before="60" w:after="60"/>
              <w:rPr>
                <w:rFonts w:cs="Segoe UI"/>
                <w:sz w:val="18"/>
              </w:rPr>
            </w:pPr>
            <w:proofErr w:type="spellStart"/>
            <w:r w:rsidRPr="00200234">
              <w:rPr>
                <w:rFonts w:cs="Segoe UI"/>
                <w:sz w:val="18"/>
              </w:rPr>
              <w:t>Waitematā</w:t>
            </w:r>
            <w:proofErr w:type="spellEnd"/>
            <w:r w:rsidRPr="00200234">
              <w:rPr>
                <w:rFonts w:cs="Segoe UI"/>
                <w:sz w:val="18"/>
              </w:rPr>
              <w:t xml:space="preserve"> DHB</w:t>
            </w:r>
          </w:p>
        </w:tc>
        <w:tc>
          <w:tcPr>
            <w:tcW w:w="1247" w:type="pct"/>
            <w:tcBorders>
              <w:top w:val="single" w:sz="4" w:space="0" w:color="A6A6A6"/>
              <w:bottom w:val="single" w:sz="4" w:space="0" w:color="A6A6A6"/>
            </w:tcBorders>
          </w:tcPr>
          <w:p w14:paraId="4DC13EC6" w14:textId="77777777" w:rsidR="008361C5" w:rsidRPr="00200234" w:rsidRDefault="008361C5" w:rsidP="00E05D54">
            <w:pPr>
              <w:keepNext/>
              <w:spacing w:before="60" w:after="60"/>
              <w:jc w:val="center"/>
              <w:rPr>
                <w:rFonts w:cs="Segoe UI"/>
                <w:sz w:val="18"/>
              </w:rPr>
            </w:pPr>
            <w:r w:rsidRPr="00200234">
              <w:rPr>
                <w:rFonts w:cs="Segoe UI"/>
                <w:sz w:val="18"/>
              </w:rPr>
              <w:t>50</w:t>
            </w:r>
          </w:p>
        </w:tc>
        <w:tc>
          <w:tcPr>
            <w:tcW w:w="1306" w:type="pct"/>
            <w:tcBorders>
              <w:top w:val="single" w:sz="4" w:space="0" w:color="A6A6A6"/>
              <w:bottom w:val="single" w:sz="4" w:space="0" w:color="A6A6A6"/>
            </w:tcBorders>
          </w:tcPr>
          <w:p w14:paraId="09921F2E" w14:textId="77777777" w:rsidR="008361C5" w:rsidRPr="00200234" w:rsidRDefault="008361C5" w:rsidP="00E05D54">
            <w:pPr>
              <w:keepNext/>
              <w:tabs>
                <w:tab w:val="decimal" w:pos="1092"/>
              </w:tabs>
              <w:spacing w:before="60" w:after="60"/>
              <w:rPr>
                <w:rFonts w:cs="Segoe UI"/>
                <w:sz w:val="18"/>
              </w:rPr>
            </w:pPr>
            <w:r w:rsidRPr="00200234">
              <w:rPr>
                <w:rFonts w:cs="Segoe UI"/>
                <w:sz w:val="18"/>
              </w:rPr>
              <w:t>99</w:t>
            </w:r>
          </w:p>
        </w:tc>
        <w:tc>
          <w:tcPr>
            <w:tcW w:w="1306" w:type="pct"/>
            <w:tcBorders>
              <w:top w:val="single" w:sz="4" w:space="0" w:color="A6A6A6"/>
              <w:bottom w:val="single" w:sz="4" w:space="0" w:color="A6A6A6"/>
            </w:tcBorders>
          </w:tcPr>
          <w:p w14:paraId="45C2E035" w14:textId="77777777" w:rsidR="008361C5" w:rsidRPr="00200234" w:rsidRDefault="008361C5" w:rsidP="00E05D54">
            <w:pPr>
              <w:keepNext/>
              <w:tabs>
                <w:tab w:val="decimal" w:pos="972"/>
              </w:tabs>
              <w:spacing w:before="60" w:after="60"/>
              <w:rPr>
                <w:rFonts w:cs="Segoe UI"/>
                <w:sz w:val="18"/>
              </w:rPr>
            </w:pPr>
            <w:r w:rsidRPr="00200234">
              <w:rPr>
                <w:rFonts w:cs="Segoe UI"/>
                <w:sz w:val="18"/>
              </w:rPr>
              <w:t>146</w:t>
            </w:r>
          </w:p>
        </w:tc>
      </w:tr>
    </w:tbl>
    <w:p w14:paraId="4CE2CC3C" w14:textId="0F7D3C9D" w:rsidR="008361C5" w:rsidRPr="00200234" w:rsidRDefault="008361C5" w:rsidP="00E05D54">
      <w:pPr>
        <w:pStyle w:val="Note"/>
        <w:keepNext/>
      </w:pPr>
      <w:r w:rsidRPr="00200234">
        <w:t xml:space="preserve">Notes: EFC = extended forensic care; SFC = short-term forensic care. People are counted as special patients in more than one DHB when they receive treatment with more than one DHB. For this reason, the total of this data is higher than the national total. Due to their relatively small numbers of special patients, Whanganui, </w:t>
      </w:r>
      <w:proofErr w:type="spellStart"/>
      <w:r w:rsidRPr="00200234">
        <w:t>MidCentral</w:t>
      </w:r>
      <w:proofErr w:type="spellEnd"/>
      <w:r w:rsidRPr="00200234">
        <w:t xml:space="preserve"> and Hawke’s Bay DHBs are included under Capital &amp; Coast DHB</w:t>
      </w:r>
      <w:r w:rsidR="000B0C2F">
        <w:t>,</w:t>
      </w:r>
      <w:r w:rsidRPr="00200234">
        <w:t xml:space="preserve"> and Nelson Marlborough DHB is included under Canterbury DHB. </w:t>
      </w:r>
    </w:p>
    <w:p w14:paraId="33C20120" w14:textId="77777777" w:rsidR="008361C5" w:rsidRPr="00200234" w:rsidRDefault="008361C5" w:rsidP="00E05D54">
      <w:pPr>
        <w:pStyle w:val="Note"/>
        <w:keepNext/>
      </w:pPr>
      <w:r w:rsidRPr="00200234">
        <w:t xml:space="preserve">Under certain special patient orders, a court can direct treatment outside a regional forensic service. We have excluded this data because it involves only a few patients and it is necessary to protect patient confidentiality. </w:t>
      </w:r>
    </w:p>
    <w:p w14:paraId="34B1EE9C" w14:textId="7B88D35C" w:rsidR="008361C5" w:rsidRPr="00200234" w:rsidRDefault="008361C5" w:rsidP="008361C5">
      <w:pPr>
        <w:pStyle w:val="Note"/>
      </w:pPr>
      <w:r w:rsidRPr="00200234">
        <w:t xml:space="preserve">Source: PRIMHD </w:t>
      </w:r>
      <w:r w:rsidR="00F3393F" w:rsidRPr="00F3393F">
        <w:t>data</w:t>
      </w:r>
      <w:r w:rsidR="0015429E">
        <w:t xml:space="preserve"> (extracted</w:t>
      </w:r>
      <w:r w:rsidRPr="00200234">
        <w:t xml:space="preserve"> 19 October 2020</w:t>
      </w:r>
      <w:r w:rsidR="00D30615">
        <w:t>)</w:t>
      </w:r>
      <w:r w:rsidRPr="00200234">
        <w:t>.</w:t>
      </w:r>
    </w:p>
    <w:p w14:paraId="291BA32D" w14:textId="77777777" w:rsidR="008361C5" w:rsidRPr="00200234" w:rsidRDefault="008361C5" w:rsidP="008361C5"/>
    <w:p w14:paraId="244FBA49" w14:textId="543030C5" w:rsidR="008361C5" w:rsidRPr="00200234" w:rsidRDefault="008361C5" w:rsidP="008361C5">
      <w:pPr>
        <w:pStyle w:val="Figure"/>
      </w:pPr>
      <w:bookmarkStart w:id="221" w:name="_Ref65672426"/>
      <w:bookmarkStart w:id="222" w:name="_Toc63764783"/>
      <w:bookmarkStart w:id="223" w:name="_Toc66716230"/>
      <w:r w:rsidRPr="00200234">
        <w:lastRenderedPageBreak/>
        <w:t xml:space="preserve">Figure </w:t>
      </w:r>
      <w:fldSimple w:instr=" SEQ Figure \* ARABIC ">
        <w:r w:rsidR="00422361">
          <w:rPr>
            <w:noProof/>
          </w:rPr>
          <w:t>48</w:t>
        </w:r>
      </w:fldSimple>
      <w:bookmarkEnd w:id="221"/>
      <w:r w:rsidRPr="00200234">
        <w:t>: Percentage of court orders given for extended forensic care relative to short-term forensic care legal statuses, by DHB, 1 January to 31 December 2018</w:t>
      </w:r>
      <w:bookmarkEnd w:id="222"/>
      <w:bookmarkEnd w:id="223"/>
    </w:p>
    <w:p w14:paraId="21AA3A32" w14:textId="77777777" w:rsidR="008361C5" w:rsidRPr="00200234" w:rsidRDefault="008361C5" w:rsidP="008361C5">
      <w:pPr>
        <w:rPr>
          <w:rFonts w:eastAsia="Calibri" w:cs="Segoe UI"/>
        </w:rPr>
      </w:pPr>
      <w:r w:rsidRPr="00200234">
        <w:rPr>
          <w:noProof/>
        </w:rPr>
        <w:drawing>
          <wp:inline distT="0" distB="0" distL="0" distR="0" wp14:anchorId="18931FD7" wp14:editId="5AF37F2D">
            <wp:extent cx="5039995" cy="2472856"/>
            <wp:effectExtent l="0" t="0" r="8255" b="3810"/>
            <wp:docPr id="240" name="Chart 240" descr="This bar graph shows that in 2018, extended forensic care made up just under 20% of the special patients at Waitemata, about 15% of special patients at Waikato, 30% in Southern and Capital and Coast, and about 15% in Canterbury. The balance in all DHBs is short-term forensic care special patients.">
              <a:extLst xmlns:a="http://schemas.openxmlformats.org/drawingml/2006/main">
                <a:ext uri="{FF2B5EF4-FFF2-40B4-BE49-F238E27FC236}">
                  <a16:creationId xmlns:a16="http://schemas.microsoft.com/office/drawing/2014/main" id="{D6F9DE48-3E81-4858-B02D-F10F7707E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A874212" w14:textId="460A840D" w:rsidR="008361C5" w:rsidRPr="00200234" w:rsidRDefault="008361C5" w:rsidP="008361C5">
      <w:pPr>
        <w:pStyle w:val="Note"/>
      </w:pPr>
      <w:r w:rsidRPr="00200234">
        <w:t>Note: Unlike previous data in this section, the data in this figure is based on a count of court orders for legal statuses rather than a count of people with a special patient legal status. One special patient may have many court orders for their legal status in the year, which could include both extended forensic care (EFC) and short-term forensic care (SFC), but each special patient’s legal status can only be in one category at any one time – EFC or SFC. Please use caution when comparing the counts of court orders for legal status with the counts of people with either EFC or SFC legal status. Due to their relatively small number</w:t>
      </w:r>
      <w:r w:rsidR="0027175C">
        <w:t>s</w:t>
      </w:r>
      <w:r w:rsidRPr="00200234">
        <w:t xml:space="preserve"> of special patients, Whanganui DHB is included under Capital &amp; Coast DHB</w:t>
      </w:r>
      <w:r w:rsidR="0027175C">
        <w:t>,</w:t>
      </w:r>
      <w:r w:rsidRPr="00200234">
        <w:t xml:space="preserve"> and Nelson Marlborough DHB is included under Canterbury DHB.</w:t>
      </w:r>
    </w:p>
    <w:p w14:paraId="51FE5EF7" w14:textId="65C182F9" w:rsidR="008361C5" w:rsidRPr="00200234" w:rsidRDefault="008361C5" w:rsidP="008361C5">
      <w:pPr>
        <w:pStyle w:val="Note"/>
      </w:pPr>
      <w:r w:rsidRPr="00200234">
        <w:t xml:space="preserve">Source: PRIMHD </w:t>
      </w:r>
      <w:r w:rsidR="00F3393F" w:rsidRPr="00F3393F">
        <w:t>data</w:t>
      </w:r>
      <w:r w:rsidR="0015429E">
        <w:t xml:space="preserve"> (extracted</w:t>
      </w:r>
      <w:r w:rsidRPr="00200234">
        <w:t xml:space="preserve"> 29 July 2019</w:t>
      </w:r>
      <w:r w:rsidR="00D30615">
        <w:t>)</w:t>
      </w:r>
      <w:r w:rsidRPr="00200234">
        <w:t>.</w:t>
      </w:r>
    </w:p>
    <w:p w14:paraId="268E0CF0" w14:textId="77777777" w:rsidR="008361C5" w:rsidRPr="00200234" w:rsidRDefault="008361C5" w:rsidP="008361C5"/>
    <w:p w14:paraId="3293198C" w14:textId="0A26761F" w:rsidR="008361C5" w:rsidRPr="00200234" w:rsidRDefault="008361C5" w:rsidP="008361C5">
      <w:pPr>
        <w:pStyle w:val="Figure"/>
      </w:pPr>
      <w:bookmarkStart w:id="224" w:name="_Ref65847165"/>
      <w:bookmarkStart w:id="225" w:name="_Toc63764784"/>
      <w:bookmarkStart w:id="226" w:name="_Toc66716231"/>
      <w:r w:rsidRPr="00200234">
        <w:t xml:space="preserve">Figure </w:t>
      </w:r>
      <w:fldSimple w:instr=" SEQ Figure \* ARABIC ">
        <w:r w:rsidR="00422361">
          <w:rPr>
            <w:noProof/>
          </w:rPr>
          <w:t>49</w:t>
        </w:r>
      </w:fldSimple>
      <w:bookmarkEnd w:id="224"/>
      <w:r w:rsidRPr="00200234">
        <w:t>: Percentage of court orders given for extended forensic care relative to short-term forensic care legal statuses, by DHB, 1 January to 31 December 2019</w:t>
      </w:r>
      <w:bookmarkEnd w:id="225"/>
      <w:bookmarkEnd w:id="226"/>
    </w:p>
    <w:p w14:paraId="5047D8D7" w14:textId="77777777" w:rsidR="008361C5" w:rsidRPr="00200234" w:rsidRDefault="008361C5" w:rsidP="00FA6ECE">
      <w:pPr>
        <w:keepNext/>
        <w:rPr>
          <w:rFonts w:eastAsia="Calibri" w:cs="Segoe UI"/>
        </w:rPr>
      </w:pPr>
      <w:r w:rsidRPr="00200234">
        <w:rPr>
          <w:noProof/>
        </w:rPr>
        <w:drawing>
          <wp:inline distT="0" distB="0" distL="0" distR="0" wp14:anchorId="3071F3A8" wp14:editId="493B659D">
            <wp:extent cx="5039995" cy="2544417"/>
            <wp:effectExtent l="0" t="0" r="8255" b="8890"/>
            <wp:docPr id="242" name="Chart 242" descr="This bar graph shows that in 2019, extended forensic care made up about 15% of the special patients at Waitemata, about 25% of special patients at Waikato, 30% in Southern and Capital and Coast, and about 15% in Canterbury. The balance in all DHBs is short-term forensic care special patients.">
              <a:extLst xmlns:a="http://schemas.openxmlformats.org/drawingml/2006/main">
                <a:ext uri="{FF2B5EF4-FFF2-40B4-BE49-F238E27FC236}">
                  <a16:creationId xmlns:a16="http://schemas.microsoft.com/office/drawing/2014/main" id="{D6F9DE48-3E81-4858-B02D-F10F7707E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F5686CC" w14:textId="0DEA996E" w:rsidR="008361C5" w:rsidRPr="00200234" w:rsidRDefault="008361C5" w:rsidP="00FA6ECE">
      <w:pPr>
        <w:pStyle w:val="Note"/>
        <w:keepNext/>
      </w:pPr>
      <w:r w:rsidRPr="00200234">
        <w:t xml:space="preserve">Note: Unlike previous data in this section, the data in this figure is based on a count of court orders for legal statuses rather than a count of people with a special patient legal status. One special patient may have many court orders for their legal status in the year, which could include both extended forensic care (EFC) and short-term forensic care (SFC), but each special patient’s legal status can only be in one category at any one time – EFC or SFC. Please use caution when comparing the counts of court orders for legal status with the counts of people with either EFC or SFC legal status. Due to their relatively small numbers of special patients, Whanganui, </w:t>
      </w:r>
      <w:proofErr w:type="spellStart"/>
      <w:r w:rsidRPr="00200234">
        <w:t>MidCentral</w:t>
      </w:r>
      <w:proofErr w:type="spellEnd"/>
      <w:r w:rsidRPr="00200234">
        <w:t xml:space="preserve"> and Hawke’s Bay DHBs are included under Capital &amp; Coast DHB</w:t>
      </w:r>
      <w:r w:rsidR="00C838EB">
        <w:t>,</w:t>
      </w:r>
      <w:r w:rsidRPr="00200234">
        <w:t xml:space="preserve"> and Nelson Marlborough DHB is included under Canterbury DHB.</w:t>
      </w:r>
    </w:p>
    <w:p w14:paraId="657E2004" w14:textId="220BDF35" w:rsidR="008361C5" w:rsidRPr="00200234" w:rsidRDefault="008361C5" w:rsidP="008361C5">
      <w:pPr>
        <w:pStyle w:val="Note"/>
      </w:pPr>
      <w:r w:rsidRPr="00200234">
        <w:t xml:space="preserve">Source: PRIMHD </w:t>
      </w:r>
      <w:r w:rsidR="00F3393F" w:rsidRPr="00F3393F">
        <w:t>data</w:t>
      </w:r>
      <w:r w:rsidR="0015429E">
        <w:t xml:space="preserve"> (extracted</w:t>
      </w:r>
      <w:r w:rsidRPr="00200234">
        <w:t xml:space="preserve"> 19 October 2020</w:t>
      </w:r>
      <w:r w:rsidR="00D30615">
        <w:t>)</w:t>
      </w:r>
      <w:r w:rsidRPr="00200234">
        <w:t>.</w:t>
      </w:r>
    </w:p>
    <w:p w14:paraId="1E93D4D0" w14:textId="77777777" w:rsidR="008361C5" w:rsidRPr="00200234" w:rsidRDefault="008361C5" w:rsidP="00DC3196">
      <w:pPr>
        <w:pStyle w:val="Heading2"/>
      </w:pPr>
      <w:bookmarkStart w:id="227" w:name="_Toc65141630"/>
      <w:bookmarkStart w:id="228" w:name="_Toc69307711"/>
      <w:r w:rsidRPr="00200234">
        <w:lastRenderedPageBreak/>
        <w:t>Sex, age and ethnicity of special patients</w:t>
      </w:r>
      <w:bookmarkEnd w:id="227"/>
      <w:bookmarkEnd w:id="228"/>
    </w:p>
    <w:p w14:paraId="2857F5C6" w14:textId="5D7489CB" w:rsidR="008361C5" w:rsidRPr="00200234" w:rsidRDefault="008361C5" w:rsidP="00FA6ECE">
      <w:r w:rsidRPr="00200234">
        <w:t>In 2018, special patients were almost five times more likely to be male (86 percent) than female (14 percent). The most common age group in 2018 for special patients was 25</w:t>
      </w:r>
      <w:r w:rsidR="00912EAD" w:rsidRPr="00200234">
        <w:t>–</w:t>
      </w:r>
      <w:r w:rsidRPr="00200234">
        <w:t xml:space="preserve">29 years old (see </w:t>
      </w:r>
      <w:r w:rsidR="001B42F3" w:rsidRPr="00200234">
        <w:fldChar w:fldCharType="begin"/>
      </w:r>
      <w:r w:rsidR="001B42F3" w:rsidRPr="00200234">
        <w:instrText xml:space="preserve"> REF _Ref65672441 \h </w:instrText>
      </w:r>
      <w:r w:rsidR="001B42F3" w:rsidRPr="00200234">
        <w:fldChar w:fldCharType="separate"/>
      </w:r>
      <w:r w:rsidR="00422361" w:rsidRPr="00200234">
        <w:t xml:space="preserve">Figure </w:t>
      </w:r>
      <w:r w:rsidR="00422361">
        <w:rPr>
          <w:noProof/>
        </w:rPr>
        <w:t>50</w:t>
      </w:r>
      <w:r w:rsidR="001B42F3" w:rsidRPr="00200234">
        <w:fldChar w:fldCharType="end"/>
      </w:r>
      <w:r w:rsidRPr="00200234">
        <w:t>).</w:t>
      </w:r>
    </w:p>
    <w:p w14:paraId="7F0FCA9B" w14:textId="77777777" w:rsidR="00FA6ECE" w:rsidRPr="00200234" w:rsidRDefault="00FA6ECE" w:rsidP="00FA6ECE"/>
    <w:p w14:paraId="517C67F9" w14:textId="0F02A15E" w:rsidR="008361C5" w:rsidRPr="00200234" w:rsidRDefault="008361C5" w:rsidP="00FA6ECE">
      <w:r w:rsidRPr="00200234">
        <w:t>In 2019, special patients were more likely to be male (84 percent) than female (16 percent). The most common age group in 2019 for special patients was 25</w:t>
      </w:r>
      <w:r w:rsidR="00912EAD" w:rsidRPr="00200234">
        <w:t>–</w:t>
      </w:r>
      <w:r w:rsidRPr="00200234">
        <w:t xml:space="preserve">29 years old (see </w:t>
      </w:r>
      <w:r w:rsidR="001B42F3" w:rsidRPr="00200234">
        <w:fldChar w:fldCharType="begin"/>
      </w:r>
      <w:r w:rsidR="001B42F3" w:rsidRPr="00200234">
        <w:instrText xml:space="preserve"> REF _Ref65672449 \h </w:instrText>
      </w:r>
      <w:r w:rsidR="001B42F3" w:rsidRPr="00200234">
        <w:fldChar w:fldCharType="separate"/>
      </w:r>
      <w:r w:rsidR="00422361" w:rsidRPr="00200234">
        <w:t xml:space="preserve">Figure </w:t>
      </w:r>
      <w:r w:rsidR="00422361">
        <w:rPr>
          <w:noProof/>
        </w:rPr>
        <w:t>51</w:t>
      </w:r>
      <w:r w:rsidR="001B42F3" w:rsidRPr="00200234">
        <w:fldChar w:fldCharType="end"/>
      </w:r>
      <w:r w:rsidRPr="00200234">
        <w:t>).</w:t>
      </w:r>
    </w:p>
    <w:p w14:paraId="1B08CD7D" w14:textId="01BD1600" w:rsidR="008361C5" w:rsidRPr="00200234" w:rsidRDefault="008361C5" w:rsidP="008361C5">
      <w:pPr>
        <w:pStyle w:val="Figure"/>
      </w:pPr>
      <w:bookmarkStart w:id="229" w:name="_Ref65672441"/>
      <w:bookmarkStart w:id="230" w:name="_Toc63764785"/>
      <w:bookmarkStart w:id="231" w:name="_Toc66716232"/>
      <w:r w:rsidRPr="00200234">
        <w:t xml:space="preserve">Figure </w:t>
      </w:r>
      <w:fldSimple w:instr=" SEQ Figure \* ARABIC ">
        <w:r w:rsidR="00422361">
          <w:rPr>
            <w:noProof/>
          </w:rPr>
          <w:t>50</w:t>
        </w:r>
      </w:fldSimple>
      <w:bookmarkEnd w:id="229"/>
      <w:r w:rsidRPr="00200234">
        <w:t>: Total number of special patients, by age group, 1 January to 31 December 2018</w:t>
      </w:r>
      <w:bookmarkEnd w:id="230"/>
      <w:bookmarkEnd w:id="231"/>
    </w:p>
    <w:p w14:paraId="3BC0021D" w14:textId="77777777" w:rsidR="008361C5" w:rsidRPr="00200234" w:rsidRDefault="008361C5" w:rsidP="00FA6ECE">
      <w:pPr>
        <w:keepNext/>
        <w:rPr>
          <w:rFonts w:eastAsia="Calibri" w:cs="Segoe UI"/>
        </w:rPr>
      </w:pPr>
      <w:r w:rsidRPr="00C318C3">
        <w:rPr>
          <w:rFonts w:ascii="Calibri Light" w:eastAsia="Calibri" w:hAnsi="Calibri Light"/>
          <w:noProof/>
          <w:sz w:val="18"/>
          <w:szCs w:val="18"/>
        </w:rPr>
        <w:drawing>
          <wp:inline distT="0" distB="0" distL="0" distR="0" wp14:anchorId="0F46494A" wp14:editId="7527BF5A">
            <wp:extent cx="5039995" cy="2589291"/>
            <wp:effectExtent l="0" t="0" r="8255" b="1905"/>
            <wp:docPr id="232" name="Chart 232" descr="This bar graph shows that in 2018, about 20 special patients were under age 20, about 45 were between 20 and 24, about 65 were 25-29, about 55 were 30-34, about 50 were 35-39 and 40-44, about 40 were 45-49, about 20 were 50-54 and 55-59, about 15 were 60-64 and about 10 were over 65.">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01DD3DF" w14:textId="6681DFC9" w:rsidR="008361C5" w:rsidRPr="00200234" w:rsidRDefault="008361C5" w:rsidP="008361C5">
      <w:pPr>
        <w:pStyle w:val="Note"/>
      </w:pPr>
      <w:r w:rsidRPr="00200234">
        <w:t xml:space="preserve">Source: PRIMHD </w:t>
      </w:r>
      <w:r w:rsidR="00F3393F" w:rsidRPr="00F3393F">
        <w:t>data</w:t>
      </w:r>
      <w:r w:rsidR="0015429E">
        <w:t xml:space="preserve"> (extracted</w:t>
      </w:r>
      <w:r w:rsidRPr="00200234">
        <w:t xml:space="preserve"> 29 July 2019</w:t>
      </w:r>
      <w:r w:rsidR="00D30615">
        <w:t>)</w:t>
      </w:r>
      <w:r w:rsidR="00DB10A0" w:rsidRPr="00200234">
        <w:t>.</w:t>
      </w:r>
    </w:p>
    <w:p w14:paraId="2355FAD7" w14:textId="77777777" w:rsidR="008361C5" w:rsidRPr="00200234" w:rsidRDefault="008361C5" w:rsidP="00FA6ECE"/>
    <w:p w14:paraId="3484C201" w14:textId="3F6F8055" w:rsidR="008361C5" w:rsidRPr="00200234" w:rsidRDefault="008361C5" w:rsidP="008361C5">
      <w:pPr>
        <w:pStyle w:val="Figure"/>
      </w:pPr>
      <w:bookmarkStart w:id="232" w:name="_Ref65672449"/>
      <w:bookmarkStart w:id="233" w:name="_Toc63764786"/>
      <w:bookmarkStart w:id="234" w:name="_Toc66716233"/>
      <w:r w:rsidRPr="00200234">
        <w:t xml:space="preserve">Figure </w:t>
      </w:r>
      <w:fldSimple w:instr=" SEQ Figure \* ARABIC ">
        <w:r w:rsidR="00422361">
          <w:rPr>
            <w:noProof/>
          </w:rPr>
          <w:t>51</w:t>
        </w:r>
      </w:fldSimple>
      <w:bookmarkEnd w:id="232"/>
      <w:r w:rsidRPr="00200234">
        <w:t>: Total number of special patients, by age group, 1 January to 31 December 2019</w:t>
      </w:r>
      <w:bookmarkEnd w:id="233"/>
      <w:bookmarkEnd w:id="234"/>
    </w:p>
    <w:p w14:paraId="6413672B" w14:textId="77777777" w:rsidR="008361C5" w:rsidRPr="00200234" w:rsidRDefault="008361C5" w:rsidP="00FA6ECE">
      <w:pPr>
        <w:keepNext/>
        <w:rPr>
          <w:rFonts w:eastAsia="Calibri" w:cs="Segoe UI"/>
        </w:rPr>
      </w:pPr>
      <w:r w:rsidRPr="00200234">
        <w:rPr>
          <w:noProof/>
        </w:rPr>
        <w:drawing>
          <wp:inline distT="0" distB="0" distL="0" distR="0" wp14:anchorId="52F1F80D" wp14:editId="337C2448">
            <wp:extent cx="5039995" cy="2545200"/>
            <wp:effectExtent l="0" t="0" r="8255" b="7620"/>
            <wp:docPr id="244" name="Chart 244" descr="This bar graph shows that in 2018, about 30 special patients were under age 20, about 45 were between 20 and 24, about 60 were 25-29, about 60 were 30-34, about 40 were 35-39 about 50 were 40-44, about 40 were 45-49, about 30 were 50-54, about 15 were 55-59, about 10 were 60-64 and about 10 were over 65.">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769CF69" w14:textId="4B7EAF4C" w:rsidR="008361C5" w:rsidRPr="00200234" w:rsidRDefault="008361C5" w:rsidP="008361C5">
      <w:pPr>
        <w:pStyle w:val="Note"/>
      </w:pPr>
      <w:r w:rsidRPr="00200234">
        <w:t xml:space="preserve">Source: PRIMHD </w:t>
      </w:r>
      <w:r w:rsidR="00F3393F" w:rsidRPr="00F3393F">
        <w:t>data</w:t>
      </w:r>
      <w:r w:rsidR="0015429E">
        <w:t xml:space="preserve"> (extracted</w:t>
      </w:r>
      <w:r w:rsidRPr="00200234">
        <w:t xml:space="preserve"> 19 October 2020</w:t>
      </w:r>
      <w:r w:rsidR="00D30615">
        <w:t>)</w:t>
      </w:r>
      <w:r w:rsidR="00DB10A0" w:rsidRPr="00200234">
        <w:t>.</w:t>
      </w:r>
    </w:p>
    <w:p w14:paraId="1146D37A" w14:textId="77777777" w:rsidR="008361C5" w:rsidRPr="00200234" w:rsidRDefault="008361C5" w:rsidP="00FA6ECE"/>
    <w:p w14:paraId="652BAB1C" w14:textId="03EA7C81" w:rsidR="008361C5" w:rsidRPr="00200234" w:rsidRDefault="008361C5" w:rsidP="00FA6ECE">
      <w:r w:rsidRPr="00200234">
        <w:lastRenderedPageBreak/>
        <w:t xml:space="preserve">In 2018, the ethnic group with the highest proportion of people subject to a special patient order was Māori (48 percent) (see </w:t>
      </w:r>
      <w:r w:rsidR="001B42F3" w:rsidRPr="00200234">
        <w:fldChar w:fldCharType="begin"/>
      </w:r>
      <w:r w:rsidR="001B42F3" w:rsidRPr="00200234">
        <w:instrText xml:space="preserve"> REF _Ref65672461 \h </w:instrText>
      </w:r>
      <w:r w:rsidR="001B42F3" w:rsidRPr="00200234">
        <w:fldChar w:fldCharType="separate"/>
      </w:r>
      <w:r w:rsidR="00422361" w:rsidRPr="00200234">
        <w:t xml:space="preserve">Figure </w:t>
      </w:r>
      <w:r w:rsidR="00422361">
        <w:rPr>
          <w:noProof/>
        </w:rPr>
        <w:t>52</w:t>
      </w:r>
      <w:r w:rsidR="001B42F3" w:rsidRPr="00200234">
        <w:fldChar w:fldCharType="end"/>
      </w:r>
      <w:r w:rsidRPr="00200234">
        <w:t xml:space="preserve">). Māori represented the highest proportion of both extended forensic care (42 percent) and short-term forensic care (54 percent) special patients. </w:t>
      </w:r>
      <w:r w:rsidR="001B42F3" w:rsidRPr="00200234">
        <w:fldChar w:fldCharType="begin"/>
      </w:r>
      <w:r w:rsidR="001B42F3" w:rsidRPr="00200234">
        <w:instrText xml:space="preserve"> REF _Ref65672513 \h </w:instrText>
      </w:r>
      <w:r w:rsidR="001B42F3" w:rsidRPr="00200234">
        <w:fldChar w:fldCharType="separate"/>
      </w:r>
      <w:r w:rsidR="00422361" w:rsidRPr="00200234">
        <w:t xml:space="preserve">Figure </w:t>
      </w:r>
      <w:r w:rsidR="00422361">
        <w:rPr>
          <w:noProof/>
        </w:rPr>
        <w:t>54</w:t>
      </w:r>
      <w:r w:rsidR="001B42F3" w:rsidRPr="00200234">
        <w:fldChar w:fldCharType="end"/>
      </w:r>
      <w:r w:rsidRPr="00200234">
        <w:t xml:space="preserve"> shows the number of special patients in each ethnic group for each of these types of forensic care in 2018.</w:t>
      </w:r>
    </w:p>
    <w:p w14:paraId="3C6234FF" w14:textId="77777777" w:rsidR="00FA6ECE" w:rsidRPr="00200234" w:rsidRDefault="00FA6ECE" w:rsidP="00FA6ECE"/>
    <w:p w14:paraId="57504F6D" w14:textId="375AF2B6" w:rsidR="008361C5" w:rsidRPr="00200234" w:rsidRDefault="008361C5" w:rsidP="00FA6ECE">
      <w:r w:rsidRPr="00200234">
        <w:t xml:space="preserve">In 2019, the ethnic group with the highest proportion of people subject to a special patient order was Māori (49 percent) (see </w:t>
      </w:r>
      <w:r w:rsidR="001B42F3" w:rsidRPr="00200234">
        <w:fldChar w:fldCharType="begin"/>
      </w:r>
      <w:r w:rsidR="001B42F3" w:rsidRPr="00200234">
        <w:instrText xml:space="preserve"> REF _Ref65672480 \h </w:instrText>
      </w:r>
      <w:r w:rsidR="001B42F3" w:rsidRPr="00200234">
        <w:fldChar w:fldCharType="separate"/>
      </w:r>
      <w:r w:rsidR="00422361" w:rsidRPr="00200234">
        <w:t xml:space="preserve">Figure </w:t>
      </w:r>
      <w:r w:rsidR="00422361">
        <w:rPr>
          <w:noProof/>
        </w:rPr>
        <w:t>53</w:t>
      </w:r>
      <w:r w:rsidR="001B42F3" w:rsidRPr="00200234">
        <w:fldChar w:fldCharType="end"/>
      </w:r>
      <w:r w:rsidRPr="00200234">
        <w:t xml:space="preserve">). Māori represented the highest proportion of both extended forensic care (43 percent) and short-term forensic care (53 percent) special patients. </w:t>
      </w:r>
      <w:r w:rsidR="001B42F3" w:rsidRPr="00200234">
        <w:fldChar w:fldCharType="begin"/>
      </w:r>
      <w:r w:rsidR="001B42F3" w:rsidRPr="00200234">
        <w:instrText xml:space="preserve"> REF _Ref65672539 \h </w:instrText>
      </w:r>
      <w:r w:rsidR="001B42F3" w:rsidRPr="00200234">
        <w:fldChar w:fldCharType="separate"/>
      </w:r>
      <w:r w:rsidR="00422361" w:rsidRPr="00200234">
        <w:t xml:space="preserve">Figure </w:t>
      </w:r>
      <w:r w:rsidR="00422361">
        <w:rPr>
          <w:noProof/>
        </w:rPr>
        <w:t>55</w:t>
      </w:r>
      <w:r w:rsidR="001B42F3" w:rsidRPr="00200234">
        <w:fldChar w:fldCharType="end"/>
      </w:r>
      <w:r w:rsidR="001B42F3" w:rsidRPr="00200234">
        <w:t xml:space="preserve"> </w:t>
      </w:r>
      <w:r w:rsidRPr="00200234">
        <w:t>shows the number of special patients in each ethnic group for each of these forensic care types in 2019.</w:t>
      </w:r>
    </w:p>
    <w:p w14:paraId="3F03E4E9" w14:textId="77777777" w:rsidR="008361C5" w:rsidRPr="00200234" w:rsidRDefault="008361C5" w:rsidP="00FA6ECE"/>
    <w:p w14:paraId="13719018" w14:textId="61364C4C" w:rsidR="008361C5" w:rsidRPr="00200234" w:rsidRDefault="008361C5" w:rsidP="008361C5">
      <w:pPr>
        <w:pStyle w:val="Figure"/>
      </w:pPr>
      <w:bookmarkStart w:id="235" w:name="_Ref65672461"/>
      <w:bookmarkStart w:id="236" w:name="_Toc63764787"/>
      <w:bookmarkStart w:id="237" w:name="_Toc66716234"/>
      <w:r w:rsidRPr="00200234">
        <w:t xml:space="preserve">Figure </w:t>
      </w:r>
      <w:fldSimple w:instr=" SEQ Figure \* ARABIC ">
        <w:r w:rsidR="00422361">
          <w:rPr>
            <w:noProof/>
          </w:rPr>
          <w:t>52</w:t>
        </w:r>
      </w:fldSimple>
      <w:bookmarkEnd w:id="235"/>
      <w:r w:rsidRPr="00200234">
        <w:t>: Percentage of special patients, by ethnicity, 1 January to 31 December 2018</w:t>
      </w:r>
      <w:bookmarkEnd w:id="236"/>
      <w:bookmarkEnd w:id="237"/>
    </w:p>
    <w:p w14:paraId="06B1AD35" w14:textId="77777777" w:rsidR="008361C5" w:rsidRPr="00200234" w:rsidRDefault="008361C5" w:rsidP="00FA6ECE">
      <w:pPr>
        <w:keepNext/>
        <w:rPr>
          <w:rFonts w:eastAsia="Calibri" w:cs="Segoe UI"/>
        </w:rPr>
      </w:pPr>
      <w:r w:rsidRPr="00200234">
        <w:rPr>
          <w:rFonts w:ascii="Calibri Light" w:eastAsia="Calibri" w:hAnsi="Calibri Light"/>
          <w:noProof/>
        </w:rPr>
        <w:drawing>
          <wp:inline distT="0" distB="0" distL="0" distR="0" wp14:anchorId="6F5C88C8" wp14:editId="5F7FD0D1">
            <wp:extent cx="3831590" cy="2562446"/>
            <wp:effectExtent l="0" t="0" r="0" b="0"/>
            <wp:docPr id="245" name="Chart 245" descr="This pie chart shows that in 2018, 48% of special patients were Māori, 35% were Asian, 13% were Pacific and 4% were other.">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94E7E7A" w14:textId="05679DF5" w:rsidR="008361C5" w:rsidRPr="00200234" w:rsidRDefault="008361C5" w:rsidP="008361C5">
      <w:pPr>
        <w:pStyle w:val="Note"/>
      </w:pPr>
      <w:r w:rsidRPr="00200234">
        <w:t xml:space="preserve">Source: PRIMHD </w:t>
      </w:r>
      <w:r w:rsidR="00F3393F" w:rsidRPr="00F3393F">
        <w:t>data</w:t>
      </w:r>
      <w:r w:rsidR="0015429E">
        <w:t xml:space="preserve"> (extracted</w:t>
      </w:r>
      <w:r w:rsidRPr="00200234">
        <w:t xml:space="preserve"> 27 July 2019</w:t>
      </w:r>
      <w:r w:rsidR="003510A5">
        <w:t>)</w:t>
      </w:r>
      <w:r w:rsidR="00DB10A0" w:rsidRPr="00200234">
        <w:t>.</w:t>
      </w:r>
    </w:p>
    <w:p w14:paraId="0356FF51" w14:textId="77777777" w:rsidR="008361C5" w:rsidRPr="00200234" w:rsidRDefault="008361C5" w:rsidP="00FA6ECE"/>
    <w:p w14:paraId="3B8D769B" w14:textId="7B7BAB2D" w:rsidR="008361C5" w:rsidRPr="00200234" w:rsidRDefault="008361C5" w:rsidP="008361C5">
      <w:pPr>
        <w:pStyle w:val="Figure"/>
      </w:pPr>
      <w:bookmarkStart w:id="238" w:name="_Ref65672480"/>
      <w:bookmarkStart w:id="239" w:name="_Toc63764788"/>
      <w:bookmarkStart w:id="240" w:name="_Toc66716235"/>
      <w:r w:rsidRPr="00200234">
        <w:t xml:space="preserve">Figure </w:t>
      </w:r>
      <w:fldSimple w:instr=" SEQ Figure \* ARABIC ">
        <w:r w:rsidR="00422361">
          <w:rPr>
            <w:noProof/>
          </w:rPr>
          <w:t>53</w:t>
        </w:r>
      </w:fldSimple>
      <w:bookmarkEnd w:id="238"/>
      <w:r w:rsidRPr="00200234">
        <w:t>: Percentage of special patients, by ethnicity, 1 January to 31 December 2019</w:t>
      </w:r>
      <w:bookmarkEnd w:id="239"/>
      <w:bookmarkEnd w:id="240"/>
    </w:p>
    <w:p w14:paraId="3D0BEA48" w14:textId="77777777" w:rsidR="008361C5" w:rsidRPr="00200234" w:rsidRDefault="008361C5" w:rsidP="00FA6ECE">
      <w:pPr>
        <w:keepNext/>
        <w:rPr>
          <w:rFonts w:eastAsia="Calibri" w:cs="Segoe UI"/>
        </w:rPr>
      </w:pPr>
      <w:r w:rsidRPr="00200234">
        <w:rPr>
          <w:noProof/>
        </w:rPr>
        <w:drawing>
          <wp:inline distT="0" distB="0" distL="0" distR="0" wp14:anchorId="66F7E4A7" wp14:editId="2B0F3F0A">
            <wp:extent cx="3831590" cy="2604976"/>
            <wp:effectExtent l="0" t="0" r="0" b="5080"/>
            <wp:docPr id="248" name="Chart 248" descr="This pie chart shows that in 2019, 49% of special patients were Māori, 33% were Asian, 14% were Pacific and 4% were other.">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D279B0F" w14:textId="02E1008C" w:rsidR="008361C5" w:rsidRPr="00200234" w:rsidRDefault="008361C5" w:rsidP="008361C5">
      <w:pPr>
        <w:pStyle w:val="Note"/>
      </w:pPr>
      <w:r w:rsidRPr="00200234">
        <w:t xml:space="preserve">Source: PRIMHD </w:t>
      </w:r>
      <w:r w:rsidR="00F3393F" w:rsidRPr="00F3393F">
        <w:t>data</w:t>
      </w:r>
      <w:r w:rsidR="0015429E">
        <w:t xml:space="preserve"> (extracted</w:t>
      </w:r>
      <w:r w:rsidRPr="00200234">
        <w:t xml:space="preserve"> 19 October 2020</w:t>
      </w:r>
      <w:r w:rsidR="003510A5">
        <w:t>)</w:t>
      </w:r>
      <w:r w:rsidR="00DB10A0" w:rsidRPr="00200234">
        <w:t>.</w:t>
      </w:r>
    </w:p>
    <w:p w14:paraId="43744C31" w14:textId="77777777" w:rsidR="008361C5" w:rsidRPr="00200234" w:rsidRDefault="008361C5" w:rsidP="00FA6ECE"/>
    <w:p w14:paraId="5F9BC10D" w14:textId="2E26FA52" w:rsidR="008361C5" w:rsidRPr="00200234" w:rsidRDefault="008361C5" w:rsidP="008361C5">
      <w:pPr>
        <w:pStyle w:val="Figure"/>
      </w:pPr>
      <w:bookmarkStart w:id="241" w:name="_Ref65672513"/>
      <w:bookmarkStart w:id="242" w:name="_Toc63764789"/>
      <w:bookmarkStart w:id="243" w:name="_Toc66716236"/>
      <w:r w:rsidRPr="00200234">
        <w:lastRenderedPageBreak/>
        <w:t xml:space="preserve">Figure </w:t>
      </w:r>
      <w:fldSimple w:instr=" SEQ Figure \* ARABIC ">
        <w:r w:rsidR="00422361">
          <w:rPr>
            <w:noProof/>
          </w:rPr>
          <w:t>54</w:t>
        </w:r>
      </w:fldSimple>
      <w:bookmarkEnd w:id="241"/>
      <w:r w:rsidRPr="00200234">
        <w:t>: Number of special patients, by ethnicity and special patient type, 1 January to 31 December 2018</w:t>
      </w:r>
      <w:bookmarkEnd w:id="242"/>
      <w:bookmarkEnd w:id="243"/>
    </w:p>
    <w:p w14:paraId="7549F3F9" w14:textId="77777777" w:rsidR="008361C5" w:rsidRPr="00200234" w:rsidRDefault="008361C5" w:rsidP="00FA6ECE">
      <w:pPr>
        <w:keepNext/>
        <w:rPr>
          <w:rFonts w:eastAsia="Calibri" w:cs="Segoe UI"/>
        </w:rPr>
      </w:pPr>
      <w:r w:rsidRPr="00200234">
        <w:rPr>
          <w:rFonts w:ascii="Calibri Light" w:eastAsia="Calibri" w:hAnsi="Calibri Light"/>
          <w:noProof/>
        </w:rPr>
        <w:drawing>
          <wp:inline distT="0" distB="0" distL="0" distR="0" wp14:anchorId="7EFF2A86" wp14:editId="2EE91CBC">
            <wp:extent cx="5040000" cy="2870790"/>
            <wp:effectExtent l="0" t="0" r="8255" b="6350"/>
            <wp:docPr id="249" name="Chart 249" descr="This bar graph shows that in 2018, nearly 200 special patients were Māori, about 140 were other, about 50 were Pacific and about 15 were Asian. Of these, about 140 Māori patients were short-term forensic care, about 80 other patients were short-term, about 30 Pacific patients were short-term and about 10 Asian patients were short term. For extended care, there were about 60 Māori patients and 60 other ethnicity patients. There were about 20 Pacific extended care patients and about 5 Asian extended care patients.">
              <a:extLst xmlns:a="http://schemas.openxmlformats.org/drawingml/2006/main">
                <a:ext uri="{FF2B5EF4-FFF2-40B4-BE49-F238E27FC236}">
                  <a16:creationId xmlns:a16="http://schemas.microsoft.com/office/drawing/2014/main" id="{00000000-0008-0000-0B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1219902" w14:textId="77777777" w:rsidR="008361C5" w:rsidRPr="00200234" w:rsidRDefault="008361C5" w:rsidP="00FA6ECE">
      <w:pPr>
        <w:pStyle w:val="Note"/>
        <w:keepNext/>
      </w:pPr>
      <w:r w:rsidRPr="00200234">
        <w:t>Notes: EFC = extended forensic care; SFC = short-term forensic care. A patient may be represented under both the EFC and SFC categories in this graph.</w:t>
      </w:r>
    </w:p>
    <w:p w14:paraId="70F7BDD0" w14:textId="21C8265B" w:rsidR="008361C5" w:rsidRPr="00200234" w:rsidRDefault="008361C5" w:rsidP="008361C5">
      <w:pPr>
        <w:pStyle w:val="Note"/>
      </w:pPr>
      <w:r w:rsidRPr="00200234">
        <w:t xml:space="preserve">Source: PRIMHD </w:t>
      </w:r>
      <w:r w:rsidR="00F3393F" w:rsidRPr="00F3393F">
        <w:t>data</w:t>
      </w:r>
      <w:r w:rsidR="0015429E">
        <w:t xml:space="preserve"> (extracted</w:t>
      </w:r>
      <w:r w:rsidRPr="00200234">
        <w:t xml:space="preserve"> 29 July 2019</w:t>
      </w:r>
      <w:r w:rsidR="003510A5">
        <w:t>)</w:t>
      </w:r>
      <w:r w:rsidRPr="00200234">
        <w:t>.</w:t>
      </w:r>
    </w:p>
    <w:p w14:paraId="6B39B777" w14:textId="77777777" w:rsidR="008361C5" w:rsidRPr="00200234" w:rsidRDefault="008361C5" w:rsidP="00FA6ECE"/>
    <w:p w14:paraId="20404772" w14:textId="350CFBD1" w:rsidR="008361C5" w:rsidRPr="00200234" w:rsidRDefault="008361C5" w:rsidP="008361C5">
      <w:pPr>
        <w:pStyle w:val="Figure"/>
      </w:pPr>
      <w:bookmarkStart w:id="244" w:name="_Ref65672539"/>
      <w:bookmarkStart w:id="245" w:name="_Toc63764790"/>
      <w:bookmarkStart w:id="246" w:name="_Toc66716237"/>
      <w:r w:rsidRPr="00200234">
        <w:t xml:space="preserve">Figure </w:t>
      </w:r>
      <w:fldSimple w:instr=" SEQ Figure \* ARABIC ">
        <w:r w:rsidR="00422361">
          <w:rPr>
            <w:noProof/>
          </w:rPr>
          <w:t>55</w:t>
        </w:r>
      </w:fldSimple>
      <w:bookmarkEnd w:id="244"/>
      <w:r w:rsidRPr="00200234">
        <w:t>: Number of special patients, by ethnicity and special patient type, 1 January to 31 December 2019</w:t>
      </w:r>
      <w:bookmarkEnd w:id="245"/>
      <w:bookmarkEnd w:id="246"/>
    </w:p>
    <w:p w14:paraId="5D019397" w14:textId="77777777" w:rsidR="008361C5" w:rsidRPr="00200234" w:rsidRDefault="008361C5" w:rsidP="00FA6ECE">
      <w:pPr>
        <w:keepNext/>
        <w:rPr>
          <w:rFonts w:eastAsia="Calibri" w:cs="Segoe UI"/>
        </w:rPr>
      </w:pPr>
      <w:r w:rsidRPr="00200234">
        <w:rPr>
          <w:noProof/>
        </w:rPr>
        <w:drawing>
          <wp:inline distT="0" distB="0" distL="0" distR="0" wp14:anchorId="4CB8D6F5" wp14:editId="435C24DE">
            <wp:extent cx="5040000" cy="3062177"/>
            <wp:effectExtent l="0" t="0" r="8255" b="5080"/>
            <wp:docPr id="251" name="Chart 251" descr="This bar graph shows that in 2019, nearly 200 special patients were Māori, about 130 were other, about 60 were Pacific and about 15 were Asian. Of these, about 140 Māori patients were short-term forensic care, about 70 other patients were short-term, about 35 Pacific patients were short-term and about 10 Asian patients were short term. For extended care, there were about 70 Māori patients and 60 other ethnicity patients. There were about 25 Pacific extended care patients and about 5 Asian extended care patients.">
              <a:extLst xmlns:a="http://schemas.openxmlformats.org/drawingml/2006/main">
                <a:ext uri="{FF2B5EF4-FFF2-40B4-BE49-F238E27FC236}">
                  <a16:creationId xmlns:a16="http://schemas.microsoft.com/office/drawing/2014/main" id="{00000000-0008-0000-0B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087E405" w14:textId="77777777" w:rsidR="008361C5" w:rsidRPr="00200234" w:rsidRDefault="008361C5" w:rsidP="00FA6ECE">
      <w:pPr>
        <w:pStyle w:val="Note"/>
        <w:keepNext/>
      </w:pPr>
      <w:r w:rsidRPr="00200234">
        <w:t>Notes: EFC = extended forensic care; SFC = short-term forensic care. A patient may be represented under both the EFC and SFC categories in this graph.</w:t>
      </w:r>
    </w:p>
    <w:p w14:paraId="18435754" w14:textId="2C98B3D3" w:rsidR="008361C5" w:rsidRPr="00200234" w:rsidRDefault="008361C5" w:rsidP="008361C5">
      <w:pPr>
        <w:pStyle w:val="Note"/>
      </w:pPr>
      <w:r w:rsidRPr="00200234">
        <w:t xml:space="preserve">Source: PRIMHD </w:t>
      </w:r>
      <w:r w:rsidR="00F3393F" w:rsidRPr="00F3393F">
        <w:t>data</w:t>
      </w:r>
      <w:r w:rsidR="0015429E">
        <w:t xml:space="preserve"> (extracted</w:t>
      </w:r>
      <w:r w:rsidRPr="00200234">
        <w:t xml:space="preserve"> 19 October 2020</w:t>
      </w:r>
      <w:r w:rsidR="003510A5">
        <w:t>)</w:t>
      </w:r>
      <w:r w:rsidRPr="00200234">
        <w:t>.</w:t>
      </w:r>
    </w:p>
    <w:p w14:paraId="6A79FE3D" w14:textId="77777777" w:rsidR="008361C5" w:rsidRPr="00ED4FA1" w:rsidRDefault="008361C5" w:rsidP="008361C5">
      <w:pPr>
        <w:pStyle w:val="Bullet"/>
        <w:numPr>
          <w:ilvl w:val="0"/>
          <w:numId w:val="0"/>
        </w:numPr>
        <w:rPr>
          <w:rFonts w:cs="Segoe UI"/>
          <w:szCs w:val="21"/>
        </w:rPr>
      </w:pPr>
    </w:p>
    <w:p w14:paraId="651B6A5C" w14:textId="77777777" w:rsidR="008361C5" w:rsidRPr="00200234" w:rsidRDefault="008361C5" w:rsidP="00DC3196">
      <w:pPr>
        <w:pStyle w:val="Heading2"/>
      </w:pPr>
      <w:bookmarkStart w:id="247" w:name="_Toc65141631"/>
      <w:bookmarkStart w:id="248" w:name="_Toc69307712"/>
      <w:r w:rsidRPr="00200234">
        <w:lastRenderedPageBreak/>
        <w:t>Decisions about leave and change of legal status for special and restricted patients</w:t>
      </w:r>
      <w:bookmarkEnd w:id="247"/>
      <w:bookmarkEnd w:id="248"/>
    </w:p>
    <w:p w14:paraId="3A7AC5D0" w14:textId="77777777" w:rsidR="00FA6ECE" w:rsidRPr="00200234" w:rsidRDefault="008361C5" w:rsidP="00FA6ECE">
      <w:r w:rsidRPr="00200234">
        <w:t>The Director of Mental Health has a central role in managing special patients and restricted patients. The Director must be notified of the admission, discharge or transfer of special and restricted patients and certain incidents involving these people (section 43 of the Mental Health Act). The Director may authorise the transfer of patients between DHBs under section 49 of the Mental Health Act or grant leave for any period no longer than seven days for certain special and restricted patients (section 52).</w:t>
      </w:r>
    </w:p>
    <w:p w14:paraId="4AE8C033" w14:textId="77777777" w:rsidR="00FA6ECE" w:rsidRPr="00200234" w:rsidRDefault="00FA6ECE" w:rsidP="00FA6ECE"/>
    <w:p w14:paraId="6E4A0A9F" w14:textId="77777777" w:rsidR="00FA6ECE" w:rsidRPr="00200234" w:rsidRDefault="008361C5" w:rsidP="00FA6ECE">
      <w:r w:rsidRPr="00200234">
        <w:t>Under section 50 of the Mental Health Act, the Minister of Health can grant periods of leave for longer than seven days to certain categories of special patients. The Director briefs the Minister of Health when requests for leave are made. The first period of ministerial section 50 leave is usually granted for a period of six months, with the possibility of further applications for ministerial leave for a period of 12 months.</w:t>
      </w:r>
    </w:p>
    <w:p w14:paraId="652324E4" w14:textId="77777777" w:rsidR="00FA6ECE" w:rsidRPr="00200234" w:rsidRDefault="00FA6ECE" w:rsidP="00FA6ECE"/>
    <w:p w14:paraId="298654FF" w14:textId="77777777" w:rsidR="00FA6ECE" w:rsidRPr="00200234" w:rsidRDefault="008361C5" w:rsidP="00FA6ECE">
      <w:r w:rsidRPr="00200234">
        <w:t>Special patients found not guilty by reason of insanity may be considered for a change of legal status if it is determined that their detention as a special patient is no longer necessary to safeguard the interests of the person or the public. This will usually occur after the person has been living successfully in the community on ministerial long leave for several years. Services send applications for changes of legal status to the Director of Mental Health. After careful consideration, the Director makes a recommendation for the Minister’s decision about a person’s legal status.</w:t>
      </w:r>
    </w:p>
    <w:p w14:paraId="26D2C031" w14:textId="77777777" w:rsidR="00FA6ECE" w:rsidRPr="00200234" w:rsidRDefault="00FA6ECE" w:rsidP="00FA6ECE"/>
    <w:p w14:paraId="21778F62" w14:textId="7DFE0BD7" w:rsidR="00FA6ECE" w:rsidRPr="00200234" w:rsidRDefault="007F0A9A" w:rsidP="00FA6ECE">
      <w:r w:rsidRPr="00200234">
        <w:fldChar w:fldCharType="begin"/>
      </w:r>
      <w:r w:rsidRPr="00200234">
        <w:instrText xml:space="preserve"> REF _Ref65673137 \h </w:instrText>
      </w:r>
      <w:r w:rsidRPr="00200234">
        <w:fldChar w:fldCharType="separate"/>
      </w:r>
      <w:r w:rsidR="00422361" w:rsidRPr="00200234">
        <w:t xml:space="preserve">Table </w:t>
      </w:r>
      <w:r w:rsidR="00422361">
        <w:rPr>
          <w:noProof/>
        </w:rPr>
        <w:t>13</w:t>
      </w:r>
      <w:r w:rsidRPr="00200234">
        <w:fldChar w:fldCharType="end"/>
      </w:r>
      <w:r w:rsidR="008361C5" w:rsidRPr="00200234">
        <w:t xml:space="preserve"> shows the number of applications for section 50 long leave, revocation of leave and reclassification that the Office processed during 2018 and 2019. </w:t>
      </w:r>
    </w:p>
    <w:p w14:paraId="303CFB54" w14:textId="26D08284" w:rsidR="00FA6ECE" w:rsidRPr="00200234" w:rsidRDefault="00FA6ECE" w:rsidP="00FA6ECE"/>
    <w:p w14:paraId="02C466CA" w14:textId="1562D530" w:rsidR="008361C5" w:rsidRPr="00200234" w:rsidRDefault="008361C5" w:rsidP="008361C5">
      <w:pPr>
        <w:pStyle w:val="Table"/>
        <w:rPr>
          <w:rFonts w:eastAsiaTheme="minorHAnsi"/>
        </w:rPr>
      </w:pPr>
      <w:bookmarkStart w:id="249" w:name="_Ref65673137"/>
      <w:bookmarkStart w:id="250" w:name="_Toc34653655"/>
      <w:bookmarkStart w:id="251" w:name="_Toc63764676"/>
      <w:bookmarkStart w:id="252" w:name="_Toc69306783"/>
      <w:r w:rsidRPr="00200234">
        <w:lastRenderedPageBreak/>
        <w:t xml:space="preserve">Table </w:t>
      </w:r>
      <w:fldSimple w:instr=" SEQ Table \* ARABIC ">
        <w:r w:rsidR="00422361">
          <w:rPr>
            <w:noProof/>
          </w:rPr>
          <w:t>13</w:t>
        </w:r>
      </w:fldSimple>
      <w:bookmarkEnd w:id="249"/>
      <w:r w:rsidRPr="00200234">
        <w:t>: Number of section 50 long leave, revocation and reclassification applications sent to the Minister of Health for special patients and restricted patients, 1 January to 31 December 2018</w:t>
      </w:r>
      <w:bookmarkEnd w:id="250"/>
      <w:bookmarkEnd w:id="251"/>
      <w:bookmarkEnd w:id="252"/>
    </w:p>
    <w:tbl>
      <w:tblPr>
        <w:tblW w:w="0" w:type="auto"/>
        <w:tblCellMar>
          <w:left w:w="57" w:type="dxa"/>
          <w:right w:w="57" w:type="dxa"/>
        </w:tblCellMar>
        <w:tblLook w:val="01E0" w:firstRow="1" w:lastRow="1" w:firstColumn="1" w:lastColumn="1" w:noHBand="0" w:noVBand="0"/>
      </w:tblPr>
      <w:tblGrid>
        <w:gridCol w:w="3923"/>
        <w:gridCol w:w="2078"/>
        <w:gridCol w:w="2078"/>
      </w:tblGrid>
      <w:tr w:rsidR="008361C5" w:rsidRPr="005D237F" w14:paraId="3B812E6A" w14:textId="77777777" w:rsidTr="00486A72">
        <w:trPr>
          <w:cantSplit/>
        </w:trPr>
        <w:tc>
          <w:tcPr>
            <w:tcW w:w="0" w:type="auto"/>
            <w:shd w:val="clear" w:color="auto" w:fill="D9D9D9"/>
          </w:tcPr>
          <w:p w14:paraId="2E829A0A" w14:textId="77777777" w:rsidR="008361C5" w:rsidRPr="005D237F" w:rsidRDefault="008361C5" w:rsidP="005D237F">
            <w:pPr>
              <w:keepNext/>
              <w:spacing w:before="60" w:after="60"/>
              <w:rPr>
                <w:b/>
                <w:bCs/>
                <w:sz w:val="18"/>
                <w:szCs w:val="18"/>
              </w:rPr>
            </w:pPr>
            <w:bookmarkStart w:id="253" w:name="_Hlk62740241"/>
            <w:r w:rsidRPr="005D237F">
              <w:rPr>
                <w:b/>
                <w:bCs/>
                <w:sz w:val="18"/>
                <w:szCs w:val="18"/>
              </w:rPr>
              <w:t>Type of request</w:t>
            </w:r>
          </w:p>
        </w:tc>
        <w:tc>
          <w:tcPr>
            <w:tcW w:w="0" w:type="auto"/>
            <w:shd w:val="clear" w:color="auto" w:fill="D9D9D9"/>
          </w:tcPr>
          <w:p w14:paraId="635C37EA" w14:textId="56D67C06" w:rsidR="008361C5" w:rsidRPr="005D237F" w:rsidRDefault="008361C5" w:rsidP="005D237F">
            <w:pPr>
              <w:keepNext/>
              <w:spacing w:before="60" w:after="60"/>
              <w:jc w:val="center"/>
              <w:rPr>
                <w:b/>
                <w:bCs/>
                <w:sz w:val="18"/>
                <w:szCs w:val="18"/>
              </w:rPr>
            </w:pPr>
            <w:r w:rsidRPr="005D237F">
              <w:rPr>
                <w:b/>
                <w:bCs/>
                <w:sz w:val="18"/>
                <w:szCs w:val="18"/>
              </w:rPr>
              <w:t>Number completed</w:t>
            </w:r>
            <w:r w:rsidR="005466E3" w:rsidRPr="005D237F">
              <w:rPr>
                <w:b/>
                <w:bCs/>
                <w:sz w:val="18"/>
                <w:szCs w:val="18"/>
              </w:rPr>
              <w:t xml:space="preserve"> </w:t>
            </w:r>
            <w:r w:rsidRPr="005D237F">
              <w:rPr>
                <w:b/>
                <w:bCs/>
                <w:sz w:val="18"/>
                <w:szCs w:val="18"/>
              </w:rPr>
              <w:t>in 2018</w:t>
            </w:r>
          </w:p>
        </w:tc>
        <w:tc>
          <w:tcPr>
            <w:tcW w:w="0" w:type="auto"/>
            <w:shd w:val="clear" w:color="auto" w:fill="D9D9D9"/>
          </w:tcPr>
          <w:p w14:paraId="63D9F462" w14:textId="0887CA93" w:rsidR="008361C5" w:rsidRPr="005D237F" w:rsidRDefault="008361C5" w:rsidP="005D237F">
            <w:pPr>
              <w:keepNext/>
              <w:spacing w:before="60" w:after="60"/>
              <w:jc w:val="center"/>
              <w:rPr>
                <w:b/>
                <w:bCs/>
                <w:sz w:val="18"/>
                <w:szCs w:val="18"/>
              </w:rPr>
            </w:pPr>
            <w:r w:rsidRPr="005D237F">
              <w:rPr>
                <w:b/>
                <w:bCs/>
                <w:sz w:val="18"/>
                <w:szCs w:val="18"/>
              </w:rPr>
              <w:t>Number completed</w:t>
            </w:r>
            <w:r w:rsidR="005466E3" w:rsidRPr="005D237F">
              <w:rPr>
                <w:b/>
                <w:bCs/>
                <w:sz w:val="18"/>
                <w:szCs w:val="18"/>
              </w:rPr>
              <w:t xml:space="preserve"> </w:t>
            </w:r>
            <w:r w:rsidRPr="005D237F">
              <w:rPr>
                <w:b/>
                <w:bCs/>
                <w:sz w:val="18"/>
                <w:szCs w:val="18"/>
              </w:rPr>
              <w:t>in 2019</w:t>
            </w:r>
          </w:p>
        </w:tc>
      </w:tr>
      <w:tr w:rsidR="008361C5" w:rsidRPr="005D237F" w14:paraId="02DDCEC1" w14:textId="77777777" w:rsidTr="00486A72">
        <w:trPr>
          <w:cantSplit/>
        </w:trPr>
        <w:tc>
          <w:tcPr>
            <w:tcW w:w="0" w:type="auto"/>
            <w:tcBorders>
              <w:bottom w:val="single" w:sz="4" w:space="0" w:color="A6A6A6"/>
            </w:tcBorders>
          </w:tcPr>
          <w:p w14:paraId="65DE780A" w14:textId="77777777" w:rsidR="008361C5" w:rsidRPr="005D237F" w:rsidRDefault="008361C5" w:rsidP="005D237F">
            <w:pPr>
              <w:keepNext/>
              <w:spacing w:before="60" w:after="60"/>
              <w:rPr>
                <w:sz w:val="18"/>
                <w:szCs w:val="18"/>
              </w:rPr>
            </w:pPr>
            <w:r w:rsidRPr="005D237F">
              <w:rPr>
                <w:sz w:val="18"/>
                <w:szCs w:val="18"/>
              </w:rPr>
              <w:t>Initial ministerial section 50 leave applications approved</w:t>
            </w:r>
          </w:p>
        </w:tc>
        <w:tc>
          <w:tcPr>
            <w:tcW w:w="0" w:type="auto"/>
            <w:tcBorders>
              <w:bottom w:val="single" w:sz="4" w:space="0" w:color="A6A6A6"/>
            </w:tcBorders>
            <w:vAlign w:val="center"/>
          </w:tcPr>
          <w:p w14:paraId="22B0082D" w14:textId="77777777" w:rsidR="008361C5" w:rsidRPr="005D237F" w:rsidRDefault="008361C5" w:rsidP="005D237F">
            <w:pPr>
              <w:keepNext/>
              <w:spacing w:before="60" w:after="60"/>
              <w:jc w:val="center"/>
              <w:rPr>
                <w:sz w:val="18"/>
                <w:szCs w:val="18"/>
              </w:rPr>
            </w:pPr>
            <w:r w:rsidRPr="005D237F">
              <w:rPr>
                <w:sz w:val="18"/>
                <w:szCs w:val="18"/>
              </w:rPr>
              <w:t>9</w:t>
            </w:r>
          </w:p>
        </w:tc>
        <w:tc>
          <w:tcPr>
            <w:tcW w:w="0" w:type="auto"/>
            <w:tcBorders>
              <w:bottom w:val="single" w:sz="4" w:space="0" w:color="A6A6A6"/>
            </w:tcBorders>
            <w:vAlign w:val="center"/>
          </w:tcPr>
          <w:p w14:paraId="56367971" w14:textId="77777777" w:rsidR="008361C5" w:rsidRPr="005D237F" w:rsidRDefault="008361C5" w:rsidP="005D237F">
            <w:pPr>
              <w:keepNext/>
              <w:spacing w:before="60" w:after="60"/>
              <w:jc w:val="center"/>
              <w:rPr>
                <w:sz w:val="18"/>
                <w:szCs w:val="18"/>
              </w:rPr>
            </w:pPr>
            <w:r w:rsidRPr="005D237F">
              <w:rPr>
                <w:sz w:val="18"/>
                <w:szCs w:val="18"/>
              </w:rPr>
              <w:t>13</w:t>
            </w:r>
          </w:p>
        </w:tc>
      </w:tr>
      <w:tr w:rsidR="008361C5" w:rsidRPr="005D237F" w14:paraId="1412D42A" w14:textId="77777777" w:rsidTr="00486A72">
        <w:trPr>
          <w:cantSplit/>
        </w:trPr>
        <w:tc>
          <w:tcPr>
            <w:tcW w:w="0" w:type="auto"/>
            <w:tcBorders>
              <w:top w:val="single" w:sz="4" w:space="0" w:color="A6A6A6"/>
              <w:bottom w:val="single" w:sz="4" w:space="0" w:color="A6A6A6"/>
            </w:tcBorders>
          </w:tcPr>
          <w:p w14:paraId="12516868" w14:textId="77777777" w:rsidR="008361C5" w:rsidRPr="005D237F" w:rsidRDefault="008361C5" w:rsidP="005D237F">
            <w:pPr>
              <w:keepNext/>
              <w:spacing w:before="60" w:after="60"/>
              <w:rPr>
                <w:sz w:val="18"/>
                <w:szCs w:val="18"/>
              </w:rPr>
            </w:pPr>
            <w:r w:rsidRPr="005D237F">
              <w:rPr>
                <w:sz w:val="18"/>
                <w:szCs w:val="18"/>
              </w:rPr>
              <w:t>Initial ministerial section 50 leave applications not approved</w:t>
            </w:r>
          </w:p>
        </w:tc>
        <w:tc>
          <w:tcPr>
            <w:tcW w:w="0" w:type="auto"/>
            <w:tcBorders>
              <w:top w:val="single" w:sz="4" w:space="0" w:color="A6A6A6"/>
              <w:bottom w:val="single" w:sz="4" w:space="0" w:color="A6A6A6"/>
            </w:tcBorders>
            <w:vAlign w:val="center"/>
          </w:tcPr>
          <w:p w14:paraId="581F0A4A" w14:textId="77777777" w:rsidR="008361C5" w:rsidRPr="005D237F" w:rsidRDefault="008361C5" w:rsidP="005D237F">
            <w:pPr>
              <w:keepNext/>
              <w:spacing w:before="60" w:after="60"/>
              <w:jc w:val="center"/>
              <w:rPr>
                <w:sz w:val="18"/>
                <w:szCs w:val="18"/>
              </w:rPr>
            </w:pPr>
            <w:r w:rsidRPr="005D237F">
              <w:rPr>
                <w:sz w:val="18"/>
                <w:szCs w:val="18"/>
              </w:rPr>
              <w:t>0</w:t>
            </w:r>
          </w:p>
        </w:tc>
        <w:tc>
          <w:tcPr>
            <w:tcW w:w="0" w:type="auto"/>
            <w:tcBorders>
              <w:top w:val="single" w:sz="4" w:space="0" w:color="A6A6A6"/>
              <w:bottom w:val="single" w:sz="4" w:space="0" w:color="A6A6A6"/>
            </w:tcBorders>
            <w:vAlign w:val="center"/>
          </w:tcPr>
          <w:p w14:paraId="39DAA5AE" w14:textId="77777777" w:rsidR="008361C5" w:rsidRPr="005D237F" w:rsidRDefault="008361C5" w:rsidP="005D237F">
            <w:pPr>
              <w:keepNext/>
              <w:spacing w:before="60" w:after="60"/>
              <w:jc w:val="center"/>
              <w:rPr>
                <w:sz w:val="18"/>
                <w:szCs w:val="18"/>
              </w:rPr>
            </w:pPr>
            <w:r w:rsidRPr="005D237F">
              <w:rPr>
                <w:sz w:val="18"/>
                <w:szCs w:val="18"/>
              </w:rPr>
              <w:t>1</w:t>
            </w:r>
          </w:p>
        </w:tc>
      </w:tr>
      <w:tr w:rsidR="008361C5" w:rsidRPr="005D237F" w14:paraId="3043C59B" w14:textId="77777777" w:rsidTr="00486A72">
        <w:trPr>
          <w:cantSplit/>
        </w:trPr>
        <w:tc>
          <w:tcPr>
            <w:tcW w:w="0" w:type="auto"/>
            <w:tcBorders>
              <w:top w:val="single" w:sz="4" w:space="0" w:color="A6A6A6"/>
              <w:bottom w:val="single" w:sz="4" w:space="0" w:color="A6A6A6"/>
            </w:tcBorders>
          </w:tcPr>
          <w:p w14:paraId="3161FB77" w14:textId="77777777" w:rsidR="008361C5" w:rsidRPr="005D237F" w:rsidRDefault="008361C5" w:rsidP="005D237F">
            <w:pPr>
              <w:keepNext/>
              <w:spacing w:before="60" w:after="60"/>
              <w:rPr>
                <w:sz w:val="18"/>
                <w:szCs w:val="18"/>
              </w:rPr>
            </w:pPr>
            <w:r w:rsidRPr="005D237F">
              <w:rPr>
                <w:sz w:val="18"/>
                <w:szCs w:val="18"/>
              </w:rPr>
              <w:t>Ministerial section 50 leave revocations (initial and further)</w:t>
            </w:r>
          </w:p>
        </w:tc>
        <w:tc>
          <w:tcPr>
            <w:tcW w:w="0" w:type="auto"/>
            <w:tcBorders>
              <w:top w:val="single" w:sz="4" w:space="0" w:color="A6A6A6"/>
              <w:bottom w:val="single" w:sz="4" w:space="0" w:color="A6A6A6"/>
            </w:tcBorders>
            <w:vAlign w:val="center"/>
          </w:tcPr>
          <w:p w14:paraId="16F8E484" w14:textId="77777777" w:rsidR="008361C5" w:rsidRPr="005D237F" w:rsidRDefault="008361C5" w:rsidP="005D237F">
            <w:pPr>
              <w:keepNext/>
              <w:spacing w:before="60" w:after="60"/>
              <w:jc w:val="center"/>
              <w:rPr>
                <w:sz w:val="18"/>
                <w:szCs w:val="18"/>
              </w:rPr>
            </w:pPr>
            <w:r w:rsidRPr="005D237F">
              <w:rPr>
                <w:sz w:val="18"/>
                <w:szCs w:val="18"/>
              </w:rPr>
              <w:t>1</w:t>
            </w:r>
          </w:p>
        </w:tc>
        <w:tc>
          <w:tcPr>
            <w:tcW w:w="0" w:type="auto"/>
            <w:tcBorders>
              <w:top w:val="single" w:sz="4" w:space="0" w:color="A6A6A6"/>
              <w:bottom w:val="single" w:sz="4" w:space="0" w:color="A6A6A6"/>
            </w:tcBorders>
            <w:vAlign w:val="center"/>
          </w:tcPr>
          <w:p w14:paraId="65635F16" w14:textId="77777777" w:rsidR="008361C5" w:rsidRPr="005D237F" w:rsidRDefault="008361C5" w:rsidP="005D237F">
            <w:pPr>
              <w:keepNext/>
              <w:spacing w:before="60" w:after="60"/>
              <w:jc w:val="center"/>
              <w:rPr>
                <w:sz w:val="18"/>
                <w:szCs w:val="18"/>
              </w:rPr>
            </w:pPr>
            <w:r w:rsidRPr="005D237F">
              <w:rPr>
                <w:sz w:val="18"/>
                <w:szCs w:val="18"/>
              </w:rPr>
              <w:t>1</w:t>
            </w:r>
          </w:p>
        </w:tc>
      </w:tr>
      <w:tr w:rsidR="008361C5" w:rsidRPr="005D237F" w14:paraId="2EE1E54A" w14:textId="77777777" w:rsidTr="00486A72">
        <w:trPr>
          <w:cantSplit/>
        </w:trPr>
        <w:tc>
          <w:tcPr>
            <w:tcW w:w="0" w:type="auto"/>
            <w:tcBorders>
              <w:top w:val="single" w:sz="4" w:space="0" w:color="A6A6A6"/>
              <w:bottom w:val="single" w:sz="4" w:space="0" w:color="A6A6A6"/>
            </w:tcBorders>
          </w:tcPr>
          <w:p w14:paraId="33009364" w14:textId="77777777" w:rsidR="008361C5" w:rsidRPr="005D237F" w:rsidRDefault="008361C5" w:rsidP="005D237F">
            <w:pPr>
              <w:keepNext/>
              <w:spacing w:before="60" w:after="60"/>
              <w:rPr>
                <w:sz w:val="18"/>
                <w:szCs w:val="18"/>
              </w:rPr>
            </w:pPr>
            <w:r w:rsidRPr="005D237F">
              <w:rPr>
                <w:sz w:val="18"/>
                <w:szCs w:val="18"/>
              </w:rPr>
              <w:t>Further ministerial section 50 leave applications approved</w:t>
            </w:r>
          </w:p>
        </w:tc>
        <w:tc>
          <w:tcPr>
            <w:tcW w:w="0" w:type="auto"/>
            <w:tcBorders>
              <w:top w:val="single" w:sz="4" w:space="0" w:color="A6A6A6"/>
              <w:bottom w:val="single" w:sz="4" w:space="0" w:color="A6A6A6"/>
            </w:tcBorders>
            <w:vAlign w:val="center"/>
          </w:tcPr>
          <w:p w14:paraId="38233321" w14:textId="77777777" w:rsidR="008361C5" w:rsidRPr="005D237F" w:rsidRDefault="008361C5" w:rsidP="005D237F">
            <w:pPr>
              <w:keepNext/>
              <w:spacing w:before="60" w:after="60"/>
              <w:jc w:val="center"/>
              <w:rPr>
                <w:sz w:val="18"/>
                <w:szCs w:val="18"/>
              </w:rPr>
            </w:pPr>
            <w:r w:rsidRPr="005D237F">
              <w:rPr>
                <w:sz w:val="18"/>
                <w:szCs w:val="18"/>
              </w:rPr>
              <w:t>17</w:t>
            </w:r>
          </w:p>
        </w:tc>
        <w:tc>
          <w:tcPr>
            <w:tcW w:w="0" w:type="auto"/>
            <w:tcBorders>
              <w:top w:val="single" w:sz="4" w:space="0" w:color="A6A6A6"/>
              <w:bottom w:val="single" w:sz="4" w:space="0" w:color="A6A6A6"/>
            </w:tcBorders>
            <w:vAlign w:val="center"/>
          </w:tcPr>
          <w:p w14:paraId="396D3DA0" w14:textId="77777777" w:rsidR="008361C5" w:rsidRPr="005D237F" w:rsidRDefault="008361C5" w:rsidP="005D237F">
            <w:pPr>
              <w:keepNext/>
              <w:spacing w:before="60" w:after="60"/>
              <w:jc w:val="center"/>
              <w:rPr>
                <w:sz w:val="18"/>
                <w:szCs w:val="18"/>
              </w:rPr>
            </w:pPr>
            <w:r w:rsidRPr="005D237F">
              <w:rPr>
                <w:sz w:val="18"/>
                <w:szCs w:val="18"/>
              </w:rPr>
              <w:t>21</w:t>
            </w:r>
          </w:p>
        </w:tc>
      </w:tr>
      <w:tr w:rsidR="008361C5" w:rsidRPr="005D237F" w14:paraId="67715CBF" w14:textId="77777777" w:rsidTr="00486A72">
        <w:trPr>
          <w:cantSplit/>
        </w:trPr>
        <w:tc>
          <w:tcPr>
            <w:tcW w:w="0" w:type="auto"/>
            <w:tcBorders>
              <w:top w:val="single" w:sz="4" w:space="0" w:color="A6A6A6"/>
              <w:bottom w:val="single" w:sz="4" w:space="0" w:color="A6A6A6"/>
            </w:tcBorders>
          </w:tcPr>
          <w:p w14:paraId="2B260A45" w14:textId="77777777" w:rsidR="008361C5" w:rsidRPr="005D237F" w:rsidRDefault="008361C5" w:rsidP="005D237F">
            <w:pPr>
              <w:keepNext/>
              <w:spacing w:before="60" w:after="60"/>
              <w:rPr>
                <w:sz w:val="18"/>
                <w:szCs w:val="18"/>
              </w:rPr>
            </w:pPr>
            <w:r w:rsidRPr="005D237F">
              <w:rPr>
                <w:sz w:val="18"/>
                <w:szCs w:val="18"/>
              </w:rPr>
              <w:t>Further ministerial section 50 applications not approved</w:t>
            </w:r>
          </w:p>
        </w:tc>
        <w:tc>
          <w:tcPr>
            <w:tcW w:w="0" w:type="auto"/>
            <w:tcBorders>
              <w:top w:val="single" w:sz="4" w:space="0" w:color="A6A6A6"/>
              <w:bottom w:val="single" w:sz="4" w:space="0" w:color="A6A6A6"/>
            </w:tcBorders>
            <w:vAlign w:val="center"/>
          </w:tcPr>
          <w:p w14:paraId="6D64D05B" w14:textId="77777777" w:rsidR="008361C5" w:rsidRPr="005D237F" w:rsidRDefault="008361C5" w:rsidP="005D237F">
            <w:pPr>
              <w:keepNext/>
              <w:spacing w:before="60" w:after="60"/>
              <w:jc w:val="center"/>
              <w:rPr>
                <w:sz w:val="18"/>
                <w:szCs w:val="18"/>
              </w:rPr>
            </w:pPr>
            <w:r w:rsidRPr="005D237F">
              <w:rPr>
                <w:sz w:val="18"/>
                <w:szCs w:val="18"/>
              </w:rPr>
              <w:t>0</w:t>
            </w:r>
          </w:p>
        </w:tc>
        <w:tc>
          <w:tcPr>
            <w:tcW w:w="0" w:type="auto"/>
            <w:tcBorders>
              <w:top w:val="single" w:sz="4" w:space="0" w:color="A6A6A6"/>
              <w:bottom w:val="single" w:sz="4" w:space="0" w:color="A6A6A6"/>
            </w:tcBorders>
            <w:vAlign w:val="center"/>
          </w:tcPr>
          <w:p w14:paraId="4F9A2459" w14:textId="77777777" w:rsidR="008361C5" w:rsidRPr="005D237F" w:rsidRDefault="008361C5" w:rsidP="005D237F">
            <w:pPr>
              <w:keepNext/>
              <w:spacing w:before="60" w:after="60"/>
              <w:jc w:val="center"/>
              <w:rPr>
                <w:sz w:val="18"/>
                <w:szCs w:val="18"/>
              </w:rPr>
            </w:pPr>
            <w:r w:rsidRPr="005D237F">
              <w:rPr>
                <w:sz w:val="18"/>
                <w:szCs w:val="18"/>
              </w:rPr>
              <w:t>0</w:t>
            </w:r>
          </w:p>
        </w:tc>
      </w:tr>
      <w:tr w:rsidR="008361C5" w:rsidRPr="005D237F" w14:paraId="5FCEB2A7" w14:textId="77777777" w:rsidTr="00486A72">
        <w:trPr>
          <w:cantSplit/>
        </w:trPr>
        <w:tc>
          <w:tcPr>
            <w:tcW w:w="0" w:type="auto"/>
            <w:tcBorders>
              <w:top w:val="single" w:sz="4" w:space="0" w:color="A6A6A6"/>
              <w:bottom w:val="single" w:sz="4" w:space="0" w:color="A6A6A6"/>
            </w:tcBorders>
          </w:tcPr>
          <w:p w14:paraId="02FFF33E" w14:textId="77777777" w:rsidR="008361C5" w:rsidRPr="005D237F" w:rsidRDefault="008361C5" w:rsidP="005D237F">
            <w:pPr>
              <w:keepNext/>
              <w:spacing w:before="60" w:after="60"/>
              <w:rPr>
                <w:sz w:val="18"/>
                <w:szCs w:val="18"/>
              </w:rPr>
            </w:pPr>
            <w:r w:rsidRPr="005D237F">
              <w:rPr>
                <w:sz w:val="18"/>
                <w:szCs w:val="18"/>
              </w:rPr>
              <w:t>Change of legal status applications approved</w:t>
            </w:r>
          </w:p>
        </w:tc>
        <w:tc>
          <w:tcPr>
            <w:tcW w:w="0" w:type="auto"/>
            <w:tcBorders>
              <w:top w:val="single" w:sz="4" w:space="0" w:color="A6A6A6"/>
              <w:bottom w:val="single" w:sz="4" w:space="0" w:color="A6A6A6"/>
            </w:tcBorders>
            <w:vAlign w:val="center"/>
          </w:tcPr>
          <w:p w14:paraId="30233B8F" w14:textId="77777777" w:rsidR="008361C5" w:rsidRPr="005D237F" w:rsidRDefault="008361C5" w:rsidP="005D237F">
            <w:pPr>
              <w:keepNext/>
              <w:spacing w:before="60" w:after="60"/>
              <w:jc w:val="center"/>
              <w:rPr>
                <w:sz w:val="18"/>
                <w:szCs w:val="18"/>
              </w:rPr>
            </w:pPr>
            <w:r w:rsidRPr="005D237F">
              <w:rPr>
                <w:sz w:val="18"/>
                <w:szCs w:val="18"/>
              </w:rPr>
              <w:t>5</w:t>
            </w:r>
          </w:p>
        </w:tc>
        <w:tc>
          <w:tcPr>
            <w:tcW w:w="0" w:type="auto"/>
            <w:tcBorders>
              <w:top w:val="single" w:sz="4" w:space="0" w:color="A6A6A6"/>
              <w:bottom w:val="single" w:sz="4" w:space="0" w:color="A6A6A6"/>
            </w:tcBorders>
            <w:vAlign w:val="center"/>
          </w:tcPr>
          <w:p w14:paraId="52B0B2F8" w14:textId="77777777" w:rsidR="008361C5" w:rsidRPr="005D237F" w:rsidRDefault="008361C5" w:rsidP="005D237F">
            <w:pPr>
              <w:keepNext/>
              <w:spacing w:before="60" w:after="60"/>
              <w:jc w:val="center"/>
              <w:rPr>
                <w:sz w:val="18"/>
                <w:szCs w:val="18"/>
              </w:rPr>
            </w:pPr>
            <w:r w:rsidRPr="005D237F">
              <w:rPr>
                <w:sz w:val="18"/>
                <w:szCs w:val="18"/>
              </w:rPr>
              <w:t>6</w:t>
            </w:r>
          </w:p>
        </w:tc>
      </w:tr>
      <w:tr w:rsidR="008361C5" w:rsidRPr="005D237F" w14:paraId="3F007811" w14:textId="77777777" w:rsidTr="00486A72">
        <w:trPr>
          <w:cantSplit/>
        </w:trPr>
        <w:tc>
          <w:tcPr>
            <w:tcW w:w="0" w:type="auto"/>
            <w:tcBorders>
              <w:top w:val="single" w:sz="4" w:space="0" w:color="A6A6A6"/>
              <w:bottom w:val="single" w:sz="4" w:space="0" w:color="A6A6A6"/>
            </w:tcBorders>
          </w:tcPr>
          <w:p w14:paraId="17A8935A" w14:textId="77777777" w:rsidR="008361C5" w:rsidRPr="005D237F" w:rsidRDefault="008361C5" w:rsidP="005D237F">
            <w:pPr>
              <w:keepNext/>
              <w:spacing w:before="60" w:after="60"/>
              <w:rPr>
                <w:sz w:val="18"/>
                <w:szCs w:val="18"/>
              </w:rPr>
            </w:pPr>
            <w:r w:rsidRPr="005D237F">
              <w:rPr>
                <w:sz w:val="18"/>
                <w:szCs w:val="18"/>
              </w:rPr>
              <w:t>Change of legal status applications not approved</w:t>
            </w:r>
          </w:p>
        </w:tc>
        <w:tc>
          <w:tcPr>
            <w:tcW w:w="0" w:type="auto"/>
            <w:tcBorders>
              <w:top w:val="single" w:sz="4" w:space="0" w:color="A6A6A6"/>
              <w:bottom w:val="single" w:sz="4" w:space="0" w:color="A6A6A6"/>
            </w:tcBorders>
            <w:vAlign w:val="center"/>
          </w:tcPr>
          <w:p w14:paraId="39299FA4" w14:textId="77777777" w:rsidR="008361C5" w:rsidRPr="005D237F" w:rsidRDefault="008361C5" w:rsidP="005D237F">
            <w:pPr>
              <w:keepNext/>
              <w:spacing w:before="60" w:after="60"/>
              <w:jc w:val="center"/>
              <w:rPr>
                <w:sz w:val="18"/>
                <w:szCs w:val="18"/>
              </w:rPr>
            </w:pPr>
            <w:r w:rsidRPr="005D237F">
              <w:rPr>
                <w:sz w:val="18"/>
                <w:szCs w:val="18"/>
              </w:rPr>
              <w:t>4</w:t>
            </w:r>
          </w:p>
        </w:tc>
        <w:tc>
          <w:tcPr>
            <w:tcW w:w="0" w:type="auto"/>
            <w:tcBorders>
              <w:top w:val="single" w:sz="4" w:space="0" w:color="A6A6A6"/>
              <w:bottom w:val="single" w:sz="4" w:space="0" w:color="A6A6A6"/>
            </w:tcBorders>
            <w:vAlign w:val="center"/>
          </w:tcPr>
          <w:p w14:paraId="0CDE160C" w14:textId="77777777" w:rsidR="008361C5" w:rsidRPr="005D237F" w:rsidRDefault="008361C5" w:rsidP="005D237F">
            <w:pPr>
              <w:keepNext/>
              <w:spacing w:before="60" w:after="60"/>
              <w:jc w:val="center"/>
              <w:rPr>
                <w:sz w:val="18"/>
                <w:szCs w:val="18"/>
              </w:rPr>
            </w:pPr>
            <w:r w:rsidRPr="005D237F">
              <w:rPr>
                <w:sz w:val="18"/>
                <w:szCs w:val="18"/>
              </w:rPr>
              <w:t>1</w:t>
            </w:r>
          </w:p>
        </w:tc>
      </w:tr>
      <w:tr w:rsidR="008361C5" w:rsidRPr="005D237F" w14:paraId="79BB5CFE" w14:textId="77777777" w:rsidTr="00486A72">
        <w:trPr>
          <w:cantSplit/>
        </w:trPr>
        <w:tc>
          <w:tcPr>
            <w:tcW w:w="0" w:type="auto"/>
            <w:tcBorders>
              <w:top w:val="single" w:sz="4" w:space="0" w:color="A6A6A6"/>
              <w:bottom w:val="single" w:sz="4" w:space="0" w:color="A6A6A6"/>
            </w:tcBorders>
          </w:tcPr>
          <w:p w14:paraId="100AF660" w14:textId="77777777" w:rsidR="008361C5" w:rsidRPr="00DB1FB1" w:rsidRDefault="008361C5" w:rsidP="005D237F">
            <w:pPr>
              <w:keepNext/>
              <w:spacing w:before="60" w:after="60"/>
              <w:rPr>
                <w:b/>
                <w:bCs/>
                <w:sz w:val="18"/>
                <w:szCs w:val="18"/>
              </w:rPr>
            </w:pPr>
            <w:r w:rsidRPr="00DB1FB1">
              <w:rPr>
                <w:b/>
                <w:bCs/>
                <w:sz w:val="18"/>
                <w:szCs w:val="18"/>
              </w:rPr>
              <w:t>Total applications approved or not approved</w:t>
            </w:r>
          </w:p>
        </w:tc>
        <w:tc>
          <w:tcPr>
            <w:tcW w:w="0" w:type="auto"/>
            <w:tcBorders>
              <w:top w:val="single" w:sz="4" w:space="0" w:color="A6A6A6"/>
              <w:bottom w:val="single" w:sz="4" w:space="0" w:color="A6A6A6"/>
            </w:tcBorders>
            <w:vAlign w:val="center"/>
          </w:tcPr>
          <w:p w14:paraId="0F9A7E52" w14:textId="77777777" w:rsidR="008361C5" w:rsidRPr="00DB1FB1" w:rsidRDefault="008361C5" w:rsidP="005D237F">
            <w:pPr>
              <w:keepNext/>
              <w:spacing w:before="60" w:after="60"/>
              <w:jc w:val="center"/>
              <w:rPr>
                <w:b/>
                <w:bCs/>
                <w:sz w:val="18"/>
                <w:szCs w:val="18"/>
              </w:rPr>
            </w:pPr>
            <w:r w:rsidRPr="00DB1FB1">
              <w:rPr>
                <w:b/>
                <w:bCs/>
                <w:sz w:val="18"/>
                <w:szCs w:val="18"/>
              </w:rPr>
              <w:t>36</w:t>
            </w:r>
          </w:p>
        </w:tc>
        <w:tc>
          <w:tcPr>
            <w:tcW w:w="0" w:type="auto"/>
            <w:tcBorders>
              <w:top w:val="single" w:sz="4" w:space="0" w:color="A6A6A6"/>
              <w:bottom w:val="single" w:sz="4" w:space="0" w:color="A6A6A6"/>
            </w:tcBorders>
            <w:vAlign w:val="center"/>
          </w:tcPr>
          <w:p w14:paraId="34ECC12B" w14:textId="77777777" w:rsidR="008361C5" w:rsidRPr="00DB1FB1" w:rsidRDefault="008361C5" w:rsidP="005D237F">
            <w:pPr>
              <w:keepNext/>
              <w:spacing w:before="60" w:after="60"/>
              <w:jc w:val="center"/>
              <w:rPr>
                <w:b/>
                <w:bCs/>
                <w:sz w:val="18"/>
                <w:szCs w:val="18"/>
              </w:rPr>
            </w:pPr>
            <w:r w:rsidRPr="00DB1FB1">
              <w:rPr>
                <w:b/>
                <w:bCs/>
                <w:sz w:val="18"/>
                <w:szCs w:val="18"/>
              </w:rPr>
              <w:t>43</w:t>
            </w:r>
          </w:p>
        </w:tc>
      </w:tr>
    </w:tbl>
    <w:bookmarkEnd w:id="253"/>
    <w:p w14:paraId="23EB7C54" w14:textId="77777777" w:rsidR="008361C5" w:rsidRPr="00200234" w:rsidRDefault="008361C5" w:rsidP="005D237F">
      <w:pPr>
        <w:pStyle w:val="Note"/>
        <w:keepNext/>
      </w:pPr>
      <w:r w:rsidRPr="00200234">
        <w:t>Note: Numbers do not include the number of applications that were withdrawn before the Minister of Health received them.</w:t>
      </w:r>
    </w:p>
    <w:p w14:paraId="1C0D6654" w14:textId="77777777" w:rsidR="008361C5" w:rsidRPr="00200234" w:rsidRDefault="008361C5" w:rsidP="008361C5">
      <w:pPr>
        <w:pStyle w:val="Note"/>
      </w:pPr>
      <w:r w:rsidRPr="00200234">
        <w:t>Source: Office of the Director of Mental Health and Addiction Services records.</w:t>
      </w:r>
    </w:p>
    <w:p w14:paraId="491B66C1" w14:textId="77777777" w:rsidR="008361C5" w:rsidRPr="00ED4FA1" w:rsidRDefault="008361C5" w:rsidP="008361C5">
      <w:pPr>
        <w:pStyle w:val="Bullet"/>
        <w:numPr>
          <w:ilvl w:val="0"/>
          <w:numId w:val="0"/>
        </w:numPr>
        <w:rPr>
          <w:rFonts w:cs="Segoe UI"/>
          <w:szCs w:val="21"/>
        </w:rPr>
      </w:pPr>
    </w:p>
    <w:p w14:paraId="3B41C378" w14:textId="77777777" w:rsidR="008361C5" w:rsidRPr="00200234" w:rsidRDefault="008361C5" w:rsidP="00DC3196">
      <w:pPr>
        <w:pStyle w:val="Heading1"/>
      </w:pPr>
      <w:bookmarkStart w:id="254" w:name="_Toc65141632"/>
      <w:bookmarkStart w:id="255" w:name="_Toc69307713"/>
      <w:r w:rsidRPr="00200234">
        <w:lastRenderedPageBreak/>
        <w:t>Mental health and addiction adverse event reporting</w:t>
      </w:r>
      <w:bookmarkEnd w:id="254"/>
      <w:bookmarkEnd w:id="255"/>
    </w:p>
    <w:p w14:paraId="64F4A5C3" w14:textId="77777777" w:rsidR="008361C5" w:rsidRPr="00200234" w:rsidRDefault="008361C5" w:rsidP="00563497">
      <w:r w:rsidRPr="00200234">
        <w:t>New Zealand has two major national reporting mechanisms for adverse events relating to mental health.</w:t>
      </w:r>
      <w:r w:rsidRPr="00200234">
        <w:rPr>
          <w:rStyle w:val="FootnoteReference"/>
          <w:rFonts w:cs="Segoe UI"/>
          <w:sz w:val="22"/>
          <w:szCs w:val="22"/>
        </w:rPr>
        <w:footnoteReference w:id="23"/>
      </w:r>
      <w:r w:rsidRPr="00200234">
        <w:t xml:space="preserve"> These are that DHBs must:</w:t>
      </w:r>
    </w:p>
    <w:p w14:paraId="18881B82" w14:textId="77777777" w:rsidR="008361C5" w:rsidRPr="00200234" w:rsidRDefault="008361C5" w:rsidP="00563497">
      <w:pPr>
        <w:pStyle w:val="ListNumber"/>
      </w:pPr>
      <w:r w:rsidRPr="00200234">
        <w:t xml:space="preserve">notify the Director of Mental Health of the death of any person or special patient under the Mental Health Act </w:t>
      </w:r>
    </w:p>
    <w:p w14:paraId="389412C2" w14:textId="5ED870D4" w:rsidR="008361C5" w:rsidRPr="00200234" w:rsidRDefault="008361C5" w:rsidP="00D51CCD">
      <w:pPr>
        <w:pStyle w:val="ListNumber"/>
      </w:pPr>
      <w:r w:rsidRPr="00200234">
        <w:t>report all adverse events rated Severity Assessment Code (SAC)</w:t>
      </w:r>
      <w:r w:rsidRPr="00200234">
        <w:rPr>
          <w:rStyle w:val="FootnoteReference"/>
          <w:rFonts w:cs="Segoe UI"/>
          <w:sz w:val="22"/>
          <w:szCs w:val="22"/>
        </w:rPr>
        <w:footnoteReference w:id="24"/>
      </w:r>
      <w:r w:rsidRPr="00200234">
        <w:t xml:space="preserve"> 1 or 2 to the </w:t>
      </w:r>
      <w:r w:rsidR="00D51CCD">
        <w:t>Health Quality &amp; Safety Commission</w:t>
      </w:r>
      <w:r w:rsidR="00D51CCD" w:rsidRPr="00200234">
        <w:t xml:space="preserve"> </w:t>
      </w:r>
      <w:r w:rsidR="00D51CCD">
        <w:t>(</w:t>
      </w:r>
      <w:r w:rsidRPr="00200234">
        <w:t>HQSC</w:t>
      </w:r>
      <w:r w:rsidR="00D51CCD">
        <w:t>)</w:t>
      </w:r>
      <w:r w:rsidRPr="00200234">
        <w:t xml:space="preserve"> in line with the National Adverse Events Reporting Policy.</w:t>
      </w:r>
      <w:r w:rsidR="00D51CCD">
        <w:rPr>
          <w:rStyle w:val="FootnoteReference"/>
        </w:rPr>
        <w:footnoteReference w:id="25"/>
      </w:r>
      <w:r w:rsidRPr="00200234">
        <w:t xml:space="preserve"> Mental health services that are not funded by DHBs are encouraged but not required to report adverse events to the HQSC.</w:t>
      </w:r>
    </w:p>
    <w:p w14:paraId="7F187920" w14:textId="77777777" w:rsidR="00563497" w:rsidRPr="00200234" w:rsidRDefault="00563497" w:rsidP="00563497"/>
    <w:p w14:paraId="23A06FB9" w14:textId="2F2A269F" w:rsidR="008361C5" w:rsidRPr="00200234" w:rsidRDefault="008361C5" w:rsidP="00563497">
      <w:r w:rsidRPr="00200234">
        <w:t>In New Zealand, adverse events have been reported publicly since 2006. Since reporting began, the number of adverse events that DHBs report has increased. This increase is not necessarily because adverse events have become more frequent; we consider that at least part of the explanation may be that DHBs have improved their reporting systems and created a stronger culture of transparency and commitment to learning.</w:t>
      </w:r>
    </w:p>
    <w:p w14:paraId="3965D918" w14:textId="306D4B42" w:rsidR="008361C5" w:rsidRPr="00200234" w:rsidRDefault="008361C5" w:rsidP="00DC3196">
      <w:pPr>
        <w:pStyle w:val="Heading2"/>
      </w:pPr>
      <w:bookmarkStart w:id="256" w:name="_Toc65141633"/>
      <w:bookmarkStart w:id="257" w:name="_Toc69307714"/>
      <w:r w:rsidRPr="00200234">
        <w:t xml:space="preserve">Adverse events reported by </w:t>
      </w:r>
      <w:r w:rsidR="00000045">
        <w:t>DHB</w:t>
      </w:r>
      <w:r w:rsidRPr="00200234">
        <w:t xml:space="preserve"> mental health services</w:t>
      </w:r>
      <w:bookmarkEnd w:id="256"/>
      <w:bookmarkEnd w:id="257"/>
    </w:p>
    <w:p w14:paraId="13464157" w14:textId="1229764D" w:rsidR="008361C5" w:rsidRPr="00200234" w:rsidRDefault="008361C5" w:rsidP="00563497">
      <w:r w:rsidRPr="00200234">
        <w:t xml:space="preserve">Tables </w:t>
      </w:r>
      <w:r w:rsidR="007F0A9A" w:rsidRPr="00200234">
        <w:fldChar w:fldCharType="begin"/>
      </w:r>
      <w:r w:rsidR="007F0A9A" w:rsidRPr="00200234">
        <w:instrText xml:space="preserve"> REF _Ref65673144 \# 0 \h </w:instrText>
      </w:r>
      <w:r w:rsidR="007F0A9A" w:rsidRPr="00200234">
        <w:fldChar w:fldCharType="separate"/>
      </w:r>
      <w:r w:rsidR="00422361">
        <w:t>14</w:t>
      </w:r>
      <w:r w:rsidR="007F0A9A" w:rsidRPr="00200234">
        <w:fldChar w:fldCharType="end"/>
      </w:r>
      <w:r w:rsidRPr="00200234">
        <w:t xml:space="preserve"> and </w:t>
      </w:r>
      <w:r w:rsidR="007F0A9A" w:rsidRPr="00200234">
        <w:fldChar w:fldCharType="begin"/>
      </w:r>
      <w:r w:rsidR="007F0A9A" w:rsidRPr="00200234">
        <w:instrText xml:space="preserve"> REF _Ref65673147 \# 0 \h </w:instrText>
      </w:r>
      <w:r w:rsidR="007F0A9A" w:rsidRPr="00200234">
        <w:fldChar w:fldCharType="separate"/>
      </w:r>
      <w:r w:rsidR="00422361">
        <w:t>15</w:t>
      </w:r>
      <w:r w:rsidR="007F0A9A" w:rsidRPr="00200234">
        <w:fldChar w:fldCharType="end"/>
      </w:r>
      <w:r w:rsidRPr="00200234">
        <w:t xml:space="preserve"> provide a breakdown of the types of adverse events relating to mental health that DHBs reported to HQSC during 2018 and 2019. Tables </w:t>
      </w:r>
      <w:r w:rsidR="007F0A9A" w:rsidRPr="00200234">
        <w:fldChar w:fldCharType="begin"/>
      </w:r>
      <w:r w:rsidR="007F0A9A" w:rsidRPr="00200234">
        <w:instrText xml:space="preserve"> REF _Ref65673172 \# 0 \h </w:instrText>
      </w:r>
      <w:r w:rsidR="007F0A9A" w:rsidRPr="00200234">
        <w:fldChar w:fldCharType="separate"/>
      </w:r>
      <w:r w:rsidR="00422361">
        <w:t>16</w:t>
      </w:r>
      <w:r w:rsidR="007F0A9A" w:rsidRPr="00200234">
        <w:fldChar w:fldCharType="end"/>
      </w:r>
      <w:r w:rsidRPr="00200234">
        <w:t xml:space="preserve"> and </w:t>
      </w:r>
      <w:r w:rsidR="007F0A9A" w:rsidRPr="00200234">
        <w:fldChar w:fldCharType="begin"/>
      </w:r>
      <w:r w:rsidR="007F0A9A" w:rsidRPr="00200234">
        <w:instrText xml:space="preserve"> REF _Ref65673177 \# 0 \h </w:instrText>
      </w:r>
      <w:r w:rsidR="007F0A9A" w:rsidRPr="00200234">
        <w:fldChar w:fldCharType="separate"/>
      </w:r>
      <w:r w:rsidR="00422361">
        <w:t>17</w:t>
      </w:r>
      <w:r w:rsidR="007F0A9A" w:rsidRPr="00200234">
        <w:fldChar w:fldCharType="end"/>
      </w:r>
      <w:r w:rsidRPr="00200234">
        <w:t xml:space="preserve"> show the number of events reported for each DHB. </w:t>
      </w:r>
    </w:p>
    <w:p w14:paraId="6917235B" w14:textId="77777777" w:rsidR="00563497" w:rsidRPr="00200234" w:rsidRDefault="00563497" w:rsidP="00563497"/>
    <w:p w14:paraId="0945755C" w14:textId="7E06E1F3" w:rsidR="008361C5" w:rsidRPr="00200234" w:rsidRDefault="008361C5" w:rsidP="00563497">
      <w:r w:rsidRPr="00200234">
        <w:t>Comparing individual DHBs based on this data is not straightforward. As noted above, high numbers can indicate a DHB has a good reporting culture rather than it has more adverse events compared with other DHBs. In addition, DHBs that serve a larger population or provide more complex mental health services may report a higher number of adverse events.</w:t>
      </w:r>
    </w:p>
    <w:p w14:paraId="48B3FA3A" w14:textId="77777777" w:rsidR="008361C5" w:rsidRPr="00200234" w:rsidRDefault="008361C5" w:rsidP="00563497"/>
    <w:p w14:paraId="3B935890" w14:textId="5A340E34" w:rsidR="008361C5" w:rsidRPr="00200234" w:rsidRDefault="008361C5" w:rsidP="008361C5">
      <w:pPr>
        <w:pStyle w:val="Table"/>
        <w:rPr>
          <w:rFonts w:cstheme="minorBidi"/>
        </w:rPr>
      </w:pPr>
      <w:bookmarkStart w:id="258" w:name="_Ref65673144"/>
      <w:bookmarkStart w:id="259" w:name="_Toc34653657"/>
      <w:bookmarkStart w:id="260" w:name="_Toc63764677"/>
      <w:bookmarkStart w:id="261" w:name="_Toc69306784"/>
      <w:r w:rsidRPr="00200234">
        <w:lastRenderedPageBreak/>
        <w:t xml:space="preserve">Table </w:t>
      </w:r>
      <w:fldSimple w:instr=" SEQ Table \* ARABIC ">
        <w:r w:rsidR="00422361">
          <w:rPr>
            <w:noProof/>
          </w:rPr>
          <w:t>14</w:t>
        </w:r>
      </w:fldSimple>
      <w:bookmarkEnd w:id="258"/>
      <w:r w:rsidRPr="00200234">
        <w:t xml:space="preserve">: Number of mental health adverse events that DHBs reported to the </w:t>
      </w:r>
      <w:r w:rsidR="009D2ABB">
        <w:t>HQSC</w:t>
      </w:r>
      <w:r w:rsidRPr="00200234">
        <w:t>, by type of event, 1 January to 31 December 2018</w:t>
      </w:r>
      <w:bookmarkEnd w:id="259"/>
      <w:bookmarkEnd w:id="260"/>
      <w:bookmarkEnd w:id="261"/>
    </w:p>
    <w:tbl>
      <w:tblPr>
        <w:tblW w:w="0" w:type="auto"/>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410"/>
        <w:gridCol w:w="1134"/>
        <w:gridCol w:w="1134"/>
        <w:gridCol w:w="1418"/>
        <w:gridCol w:w="992"/>
        <w:gridCol w:w="991"/>
      </w:tblGrid>
      <w:tr w:rsidR="008361C5" w:rsidRPr="00200234" w14:paraId="7AA585FA" w14:textId="77777777" w:rsidTr="00DB1FB1">
        <w:trPr>
          <w:cantSplit/>
        </w:trPr>
        <w:tc>
          <w:tcPr>
            <w:tcW w:w="2410" w:type="dxa"/>
            <w:tcBorders>
              <w:top w:val="nil"/>
              <w:bottom w:val="nil"/>
            </w:tcBorders>
            <w:shd w:val="clear" w:color="auto" w:fill="D9D9D9" w:themeFill="background1" w:themeFillShade="D9"/>
          </w:tcPr>
          <w:p w14:paraId="1EB96FD2" w14:textId="77777777" w:rsidR="008361C5" w:rsidRPr="00200234" w:rsidRDefault="008361C5" w:rsidP="00563497">
            <w:pPr>
              <w:pStyle w:val="TableText"/>
              <w:keepNext/>
              <w:rPr>
                <w:rFonts w:cs="Segoe UI"/>
                <w:b/>
              </w:rPr>
            </w:pPr>
            <w:r w:rsidRPr="00200234">
              <w:rPr>
                <w:rFonts w:cs="Segoe UI"/>
                <w:b/>
              </w:rPr>
              <w:t>Type of event</w:t>
            </w:r>
          </w:p>
        </w:tc>
        <w:tc>
          <w:tcPr>
            <w:tcW w:w="1134" w:type="dxa"/>
            <w:tcBorders>
              <w:top w:val="nil"/>
              <w:bottom w:val="nil"/>
            </w:tcBorders>
            <w:shd w:val="clear" w:color="auto" w:fill="D9D9D9" w:themeFill="background1" w:themeFillShade="D9"/>
          </w:tcPr>
          <w:p w14:paraId="4B038728" w14:textId="77777777" w:rsidR="008361C5" w:rsidRPr="00200234" w:rsidRDefault="008361C5" w:rsidP="00563497">
            <w:pPr>
              <w:pStyle w:val="TableText"/>
              <w:keepNext/>
              <w:jc w:val="center"/>
              <w:rPr>
                <w:rFonts w:cs="Segoe UI"/>
                <w:b/>
              </w:rPr>
            </w:pPr>
            <w:r w:rsidRPr="00200234">
              <w:rPr>
                <w:rFonts w:cs="Segoe UI"/>
                <w:b/>
              </w:rPr>
              <w:t>Outpatient</w:t>
            </w:r>
          </w:p>
        </w:tc>
        <w:tc>
          <w:tcPr>
            <w:tcW w:w="1134" w:type="dxa"/>
            <w:tcBorders>
              <w:top w:val="nil"/>
              <w:bottom w:val="nil"/>
            </w:tcBorders>
            <w:shd w:val="clear" w:color="auto" w:fill="D9D9D9" w:themeFill="background1" w:themeFillShade="D9"/>
          </w:tcPr>
          <w:p w14:paraId="6164E864" w14:textId="77777777" w:rsidR="008361C5" w:rsidRPr="00200234" w:rsidRDefault="008361C5" w:rsidP="00563497">
            <w:pPr>
              <w:pStyle w:val="TableText"/>
              <w:keepNext/>
              <w:jc w:val="center"/>
              <w:rPr>
                <w:rFonts w:cs="Segoe UI"/>
                <w:b/>
              </w:rPr>
            </w:pPr>
            <w:r w:rsidRPr="00200234">
              <w:rPr>
                <w:rFonts w:cs="Segoe UI"/>
                <w:b/>
              </w:rPr>
              <w:t>Inpatient</w:t>
            </w:r>
          </w:p>
        </w:tc>
        <w:tc>
          <w:tcPr>
            <w:tcW w:w="1418" w:type="dxa"/>
            <w:tcBorders>
              <w:top w:val="nil"/>
              <w:bottom w:val="nil"/>
            </w:tcBorders>
            <w:shd w:val="clear" w:color="auto" w:fill="D9D9D9" w:themeFill="background1" w:themeFillShade="D9"/>
          </w:tcPr>
          <w:p w14:paraId="77341C84" w14:textId="77777777" w:rsidR="008361C5" w:rsidRPr="00200234" w:rsidRDefault="008361C5" w:rsidP="00563497">
            <w:pPr>
              <w:pStyle w:val="TableText"/>
              <w:keepNext/>
              <w:jc w:val="center"/>
              <w:rPr>
                <w:rFonts w:cs="Segoe UI"/>
                <w:b/>
              </w:rPr>
            </w:pPr>
            <w:r w:rsidRPr="00200234">
              <w:rPr>
                <w:rFonts w:cs="Segoe UI"/>
                <w:b/>
              </w:rPr>
              <w:t>On approved leave</w:t>
            </w:r>
          </w:p>
        </w:tc>
        <w:tc>
          <w:tcPr>
            <w:tcW w:w="992" w:type="dxa"/>
            <w:tcBorders>
              <w:top w:val="nil"/>
              <w:bottom w:val="nil"/>
            </w:tcBorders>
            <w:shd w:val="clear" w:color="auto" w:fill="D9D9D9" w:themeFill="background1" w:themeFillShade="D9"/>
          </w:tcPr>
          <w:p w14:paraId="2536EC24" w14:textId="77777777" w:rsidR="008361C5" w:rsidRPr="00200234" w:rsidRDefault="008361C5" w:rsidP="00563497">
            <w:pPr>
              <w:pStyle w:val="TableText"/>
              <w:keepNext/>
              <w:jc w:val="center"/>
              <w:rPr>
                <w:rFonts w:cs="Segoe UI"/>
                <w:b/>
              </w:rPr>
            </w:pPr>
            <w:r w:rsidRPr="00200234">
              <w:rPr>
                <w:rFonts w:cs="Segoe UI"/>
                <w:b/>
              </w:rPr>
              <w:t>Inpatient (AWOL)</w:t>
            </w:r>
          </w:p>
        </w:tc>
        <w:tc>
          <w:tcPr>
            <w:tcW w:w="991" w:type="dxa"/>
            <w:tcBorders>
              <w:top w:val="nil"/>
              <w:bottom w:val="nil"/>
            </w:tcBorders>
            <w:shd w:val="clear" w:color="auto" w:fill="D9D9D9" w:themeFill="background1" w:themeFillShade="D9"/>
          </w:tcPr>
          <w:p w14:paraId="470DE20A" w14:textId="77777777" w:rsidR="008361C5" w:rsidRPr="00200234" w:rsidRDefault="008361C5" w:rsidP="00563497">
            <w:pPr>
              <w:pStyle w:val="TableText"/>
              <w:keepNext/>
              <w:jc w:val="center"/>
              <w:rPr>
                <w:rFonts w:cs="Segoe UI"/>
                <w:b/>
              </w:rPr>
            </w:pPr>
            <w:r w:rsidRPr="00200234">
              <w:rPr>
                <w:rFonts w:cs="Segoe UI"/>
                <w:b/>
              </w:rPr>
              <w:t>Total</w:t>
            </w:r>
          </w:p>
        </w:tc>
      </w:tr>
      <w:tr w:rsidR="008361C5" w:rsidRPr="00200234" w14:paraId="4A2B1852" w14:textId="77777777" w:rsidTr="00DB1FB1">
        <w:trPr>
          <w:cantSplit/>
        </w:trPr>
        <w:tc>
          <w:tcPr>
            <w:tcW w:w="2410" w:type="dxa"/>
            <w:tcBorders>
              <w:top w:val="nil"/>
            </w:tcBorders>
          </w:tcPr>
          <w:p w14:paraId="3B11BAB0" w14:textId="77777777" w:rsidR="008361C5" w:rsidRPr="00200234" w:rsidRDefault="008361C5" w:rsidP="00563497">
            <w:pPr>
              <w:pStyle w:val="TableText"/>
              <w:keepNext/>
              <w:rPr>
                <w:rFonts w:cs="Segoe UI"/>
                <w:sz w:val="20"/>
              </w:rPr>
            </w:pPr>
            <w:r w:rsidRPr="00200234">
              <w:rPr>
                <w:rFonts w:cs="Segoe UI"/>
              </w:rPr>
              <w:t>Suspected suicide</w:t>
            </w:r>
          </w:p>
        </w:tc>
        <w:tc>
          <w:tcPr>
            <w:tcW w:w="1134" w:type="dxa"/>
            <w:tcBorders>
              <w:top w:val="nil"/>
            </w:tcBorders>
            <w:vAlign w:val="center"/>
          </w:tcPr>
          <w:p w14:paraId="3233B6F3" w14:textId="77777777" w:rsidR="008361C5" w:rsidRPr="009C4ED3" w:rsidRDefault="008361C5" w:rsidP="00D42CEF">
            <w:pPr>
              <w:tabs>
                <w:tab w:val="decimal" w:pos="368"/>
              </w:tabs>
              <w:jc w:val="center"/>
              <w:rPr>
                <w:sz w:val="18"/>
                <w:szCs w:val="18"/>
              </w:rPr>
            </w:pPr>
            <w:r w:rsidRPr="009C4ED3">
              <w:rPr>
                <w:sz w:val="18"/>
                <w:szCs w:val="18"/>
              </w:rPr>
              <w:t>176</w:t>
            </w:r>
          </w:p>
        </w:tc>
        <w:tc>
          <w:tcPr>
            <w:tcW w:w="1134" w:type="dxa"/>
            <w:tcBorders>
              <w:top w:val="nil"/>
            </w:tcBorders>
            <w:vAlign w:val="center"/>
          </w:tcPr>
          <w:p w14:paraId="04FE46EC" w14:textId="77777777" w:rsidR="008361C5" w:rsidRPr="009C4ED3" w:rsidRDefault="008361C5" w:rsidP="00D42CEF">
            <w:pPr>
              <w:tabs>
                <w:tab w:val="decimal" w:pos="368"/>
              </w:tabs>
              <w:jc w:val="center"/>
              <w:rPr>
                <w:sz w:val="18"/>
                <w:szCs w:val="18"/>
              </w:rPr>
            </w:pPr>
            <w:r w:rsidRPr="009C4ED3">
              <w:rPr>
                <w:sz w:val="18"/>
                <w:szCs w:val="18"/>
              </w:rPr>
              <w:t>7</w:t>
            </w:r>
          </w:p>
        </w:tc>
        <w:tc>
          <w:tcPr>
            <w:tcW w:w="1418" w:type="dxa"/>
            <w:tcBorders>
              <w:top w:val="nil"/>
            </w:tcBorders>
            <w:vAlign w:val="center"/>
          </w:tcPr>
          <w:p w14:paraId="29F37984" w14:textId="77777777" w:rsidR="008361C5" w:rsidRPr="009C4ED3" w:rsidRDefault="008361C5" w:rsidP="009C4ED3">
            <w:pPr>
              <w:jc w:val="center"/>
              <w:rPr>
                <w:sz w:val="18"/>
                <w:szCs w:val="18"/>
              </w:rPr>
            </w:pPr>
            <w:r w:rsidRPr="009C4ED3">
              <w:rPr>
                <w:sz w:val="18"/>
                <w:szCs w:val="18"/>
              </w:rPr>
              <w:t>0</w:t>
            </w:r>
          </w:p>
        </w:tc>
        <w:tc>
          <w:tcPr>
            <w:tcW w:w="992" w:type="dxa"/>
            <w:tcBorders>
              <w:top w:val="nil"/>
            </w:tcBorders>
            <w:vAlign w:val="center"/>
          </w:tcPr>
          <w:p w14:paraId="7C89961D" w14:textId="77777777" w:rsidR="008361C5" w:rsidRPr="009C4ED3" w:rsidRDefault="008361C5" w:rsidP="009C4ED3">
            <w:pPr>
              <w:jc w:val="center"/>
              <w:rPr>
                <w:sz w:val="18"/>
                <w:szCs w:val="18"/>
              </w:rPr>
            </w:pPr>
            <w:r w:rsidRPr="009C4ED3">
              <w:rPr>
                <w:sz w:val="18"/>
                <w:szCs w:val="18"/>
              </w:rPr>
              <w:t>4</w:t>
            </w:r>
          </w:p>
        </w:tc>
        <w:tc>
          <w:tcPr>
            <w:tcW w:w="991" w:type="dxa"/>
            <w:tcBorders>
              <w:top w:val="nil"/>
            </w:tcBorders>
            <w:vAlign w:val="center"/>
          </w:tcPr>
          <w:p w14:paraId="4550DC95" w14:textId="77777777" w:rsidR="008361C5" w:rsidRPr="009C4ED3" w:rsidRDefault="008361C5" w:rsidP="00D42CEF">
            <w:pPr>
              <w:tabs>
                <w:tab w:val="decimal" w:pos="368"/>
              </w:tabs>
              <w:jc w:val="center"/>
              <w:rPr>
                <w:sz w:val="18"/>
                <w:szCs w:val="18"/>
              </w:rPr>
            </w:pPr>
            <w:r w:rsidRPr="009C4ED3">
              <w:rPr>
                <w:sz w:val="18"/>
                <w:szCs w:val="18"/>
              </w:rPr>
              <w:t>187</w:t>
            </w:r>
          </w:p>
        </w:tc>
      </w:tr>
      <w:tr w:rsidR="008361C5" w:rsidRPr="00200234" w14:paraId="03C7B1B0" w14:textId="77777777" w:rsidTr="00DB1FB1">
        <w:trPr>
          <w:cantSplit/>
        </w:trPr>
        <w:tc>
          <w:tcPr>
            <w:tcW w:w="2410" w:type="dxa"/>
          </w:tcPr>
          <w:p w14:paraId="7250D39C" w14:textId="77777777" w:rsidR="008361C5" w:rsidRPr="00200234" w:rsidRDefault="008361C5" w:rsidP="00563497">
            <w:pPr>
              <w:pStyle w:val="TableText"/>
              <w:keepNext/>
              <w:rPr>
                <w:rFonts w:cs="Segoe UI"/>
              </w:rPr>
            </w:pPr>
            <w:r w:rsidRPr="00200234">
              <w:rPr>
                <w:rFonts w:cs="Segoe UI"/>
              </w:rPr>
              <w:t>Serious self-harm</w:t>
            </w:r>
          </w:p>
        </w:tc>
        <w:tc>
          <w:tcPr>
            <w:tcW w:w="1134" w:type="dxa"/>
            <w:vAlign w:val="center"/>
          </w:tcPr>
          <w:p w14:paraId="21D2EF00" w14:textId="77777777" w:rsidR="008361C5" w:rsidRPr="009C4ED3" w:rsidRDefault="008361C5" w:rsidP="00D42CEF">
            <w:pPr>
              <w:tabs>
                <w:tab w:val="decimal" w:pos="368"/>
              </w:tabs>
              <w:jc w:val="center"/>
              <w:rPr>
                <w:sz w:val="18"/>
                <w:szCs w:val="18"/>
              </w:rPr>
            </w:pPr>
            <w:r w:rsidRPr="009C4ED3">
              <w:rPr>
                <w:sz w:val="18"/>
                <w:szCs w:val="18"/>
              </w:rPr>
              <w:t>9</w:t>
            </w:r>
          </w:p>
        </w:tc>
        <w:tc>
          <w:tcPr>
            <w:tcW w:w="1134" w:type="dxa"/>
            <w:vAlign w:val="center"/>
          </w:tcPr>
          <w:p w14:paraId="3427990F" w14:textId="77777777" w:rsidR="008361C5" w:rsidRPr="009C4ED3" w:rsidRDefault="008361C5" w:rsidP="00D42CEF">
            <w:pPr>
              <w:tabs>
                <w:tab w:val="decimal" w:pos="368"/>
              </w:tabs>
              <w:jc w:val="center"/>
              <w:rPr>
                <w:sz w:val="18"/>
                <w:szCs w:val="18"/>
              </w:rPr>
            </w:pPr>
            <w:r w:rsidRPr="009C4ED3">
              <w:rPr>
                <w:sz w:val="18"/>
                <w:szCs w:val="18"/>
              </w:rPr>
              <w:t>9</w:t>
            </w:r>
          </w:p>
        </w:tc>
        <w:tc>
          <w:tcPr>
            <w:tcW w:w="1418" w:type="dxa"/>
            <w:vAlign w:val="center"/>
          </w:tcPr>
          <w:p w14:paraId="6E27A7EB" w14:textId="77777777" w:rsidR="008361C5" w:rsidRPr="009C4ED3" w:rsidRDefault="008361C5" w:rsidP="009C4ED3">
            <w:pPr>
              <w:jc w:val="center"/>
              <w:rPr>
                <w:sz w:val="18"/>
                <w:szCs w:val="18"/>
              </w:rPr>
            </w:pPr>
            <w:r w:rsidRPr="009C4ED3">
              <w:rPr>
                <w:sz w:val="18"/>
                <w:szCs w:val="18"/>
              </w:rPr>
              <w:t>0</w:t>
            </w:r>
          </w:p>
        </w:tc>
        <w:tc>
          <w:tcPr>
            <w:tcW w:w="992" w:type="dxa"/>
            <w:vAlign w:val="center"/>
          </w:tcPr>
          <w:p w14:paraId="0261C98D" w14:textId="77777777" w:rsidR="008361C5" w:rsidRPr="009C4ED3" w:rsidRDefault="008361C5" w:rsidP="009C4ED3">
            <w:pPr>
              <w:jc w:val="center"/>
              <w:rPr>
                <w:sz w:val="18"/>
                <w:szCs w:val="18"/>
              </w:rPr>
            </w:pPr>
            <w:r w:rsidRPr="009C4ED3">
              <w:rPr>
                <w:sz w:val="18"/>
                <w:szCs w:val="18"/>
              </w:rPr>
              <w:t>1</w:t>
            </w:r>
          </w:p>
        </w:tc>
        <w:tc>
          <w:tcPr>
            <w:tcW w:w="991" w:type="dxa"/>
            <w:vAlign w:val="center"/>
          </w:tcPr>
          <w:p w14:paraId="7C7DDE57" w14:textId="77777777" w:rsidR="008361C5" w:rsidRPr="009C4ED3" w:rsidRDefault="008361C5" w:rsidP="00D42CEF">
            <w:pPr>
              <w:tabs>
                <w:tab w:val="decimal" w:pos="368"/>
              </w:tabs>
              <w:jc w:val="center"/>
              <w:rPr>
                <w:sz w:val="18"/>
                <w:szCs w:val="18"/>
              </w:rPr>
            </w:pPr>
            <w:r w:rsidRPr="009C4ED3">
              <w:rPr>
                <w:sz w:val="18"/>
                <w:szCs w:val="18"/>
              </w:rPr>
              <w:t>19</w:t>
            </w:r>
          </w:p>
        </w:tc>
      </w:tr>
      <w:tr w:rsidR="008361C5" w:rsidRPr="00200234" w14:paraId="40946CE8" w14:textId="77777777" w:rsidTr="00DB1FB1">
        <w:trPr>
          <w:cantSplit/>
        </w:trPr>
        <w:tc>
          <w:tcPr>
            <w:tcW w:w="2410" w:type="dxa"/>
          </w:tcPr>
          <w:p w14:paraId="1EF85DB8" w14:textId="77777777" w:rsidR="008361C5" w:rsidRPr="00200234" w:rsidRDefault="008361C5" w:rsidP="00563497">
            <w:pPr>
              <w:pStyle w:val="TableText"/>
              <w:keepNext/>
              <w:rPr>
                <w:rFonts w:cs="Segoe UI"/>
              </w:rPr>
            </w:pPr>
            <w:r w:rsidRPr="00200234">
              <w:rPr>
                <w:rFonts w:cs="Segoe UI"/>
              </w:rPr>
              <w:t>Serious adverse behaviour</w:t>
            </w:r>
          </w:p>
        </w:tc>
        <w:tc>
          <w:tcPr>
            <w:tcW w:w="1134" w:type="dxa"/>
            <w:vAlign w:val="center"/>
          </w:tcPr>
          <w:p w14:paraId="393018D6" w14:textId="77777777" w:rsidR="008361C5" w:rsidRPr="009C4ED3" w:rsidRDefault="008361C5" w:rsidP="00D42CEF">
            <w:pPr>
              <w:tabs>
                <w:tab w:val="decimal" w:pos="368"/>
              </w:tabs>
              <w:jc w:val="center"/>
              <w:rPr>
                <w:sz w:val="18"/>
                <w:szCs w:val="18"/>
              </w:rPr>
            </w:pPr>
            <w:r w:rsidRPr="009C4ED3">
              <w:rPr>
                <w:sz w:val="18"/>
                <w:szCs w:val="18"/>
              </w:rPr>
              <w:t>4</w:t>
            </w:r>
          </w:p>
        </w:tc>
        <w:tc>
          <w:tcPr>
            <w:tcW w:w="1134" w:type="dxa"/>
            <w:vAlign w:val="center"/>
          </w:tcPr>
          <w:p w14:paraId="05359E0A" w14:textId="77777777" w:rsidR="008361C5" w:rsidRPr="009C4ED3" w:rsidRDefault="008361C5" w:rsidP="00D42CEF">
            <w:pPr>
              <w:tabs>
                <w:tab w:val="decimal" w:pos="368"/>
              </w:tabs>
              <w:jc w:val="center"/>
              <w:rPr>
                <w:sz w:val="18"/>
                <w:szCs w:val="18"/>
              </w:rPr>
            </w:pPr>
            <w:r w:rsidRPr="009C4ED3">
              <w:rPr>
                <w:sz w:val="18"/>
                <w:szCs w:val="18"/>
              </w:rPr>
              <w:t>6</w:t>
            </w:r>
          </w:p>
        </w:tc>
        <w:tc>
          <w:tcPr>
            <w:tcW w:w="1418" w:type="dxa"/>
            <w:vAlign w:val="center"/>
          </w:tcPr>
          <w:p w14:paraId="74FCA65E" w14:textId="77777777" w:rsidR="008361C5" w:rsidRPr="009C4ED3" w:rsidRDefault="008361C5" w:rsidP="009C4ED3">
            <w:pPr>
              <w:jc w:val="center"/>
              <w:rPr>
                <w:sz w:val="18"/>
                <w:szCs w:val="18"/>
              </w:rPr>
            </w:pPr>
            <w:r w:rsidRPr="009C4ED3">
              <w:rPr>
                <w:sz w:val="18"/>
                <w:szCs w:val="18"/>
              </w:rPr>
              <w:t>0</w:t>
            </w:r>
          </w:p>
        </w:tc>
        <w:tc>
          <w:tcPr>
            <w:tcW w:w="992" w:type="dxa"/>
            <w:vAlign w:val="center"/>
          </w:tcPr>
          <w:p w14:paraId="1B8761F5" w14:textId="77777777" w:rsidR="008361C5" w:rsidRPr="009C4ED3" w:rsidRDefault="008361C5" w:rsidP="009C4ED3">
            <w:pPr>
              <w:jc w:val="center"/>
              <w:rPr>
                <w:sz w:val="18"/>
                <w:szCs w:val="18"/>
              </w:rPr>
            </w:pPr>
            <w:r w:rsidRPr="009C4ED3">
              <w:rPr>
                <w:sz w:val="18"/>
                <w:szCs w:val="18"/>
              </w:rPr>
              <w:t>0</w:t>
            </w:r>
          </w:p>
        </w:tc>
        <w:tc>
          <w:tcPr>
            <w:tcW w:w="991" w:type="dxa"/>
            <w:vAlign w:val="center"/>
          </w:tcPr>
          <w:p w14:paraId="33C5A695" w14:textId="77777777" w:rsidR="008361C5" w:rsidRPr="009C4ED3" w:rsidRDefault="008361C5" w:rsidP="00D42CEF">
            <w:pPr>
              <w:tabs>
                <w:tab w:val="decimal" w:pos="368"/>
              </w:tabs>
              <w:jc w:val="center"/>
              <w:rPr>
                <w:sz w:val="18"/>
                <w:szCs w:val="18"/>
              </w:rPr>
            </w:pPr>
            <w:r w:rsidRPr="009C4ED3">
              <w:rPr>
                <w:sz w:val="18"/>
                <w:szCs w:val="18"/>
              </w:rPr>
              <w:t>10</w:t>
            </w:r>
          </w:p>
        </w:tc>
      </w:tr>
      <w:tr w:rsidR="008361C5" w:rsidRPr="00200234" w14:paraId="3D111B35" w14:textId="77777777" w:rsidTr="00DB1FB1">
        <w:trPr>
          <w:cantSplit/>
        </w:trPr>
        <w:tc>
          <w:tcPr>
            <w:tcW w:w="2410" w:type="dxa"/>
          </w:tcPr>
          <w:p w14:paraId="1922E4C3" w14:textId="77777777" w:rsidR="008361C5" w:rsidRPr="00200234" w:rsidRDefault="008361C5" w:rsidP="00563497">
            <w:pPr>
              <w:pStyle w:val="TableText"/>
              <w:keepNext/>
              <w:rPr>
                <w:rFonts w:cs="Segoe UI"/>
                <w:b/>
              </w:rPr>
            </w:pPr>
            <w:r w:rsidRPr="00200234">
              <w:rPr>
                <w:rFonts w:cs="Segoe UI"/>
                <w:b/>
              </w:rPr>
              <w:t>Total</w:t>
            </w:r>
          </w:p>
        </w:tc>
        <w:tc>
          <w:tcPr>
            <w:tcW w:w="1134" w:type="dxa"/>
            <w:vAlign w:val="center"/>
          </w:tcPr>
          <w:p w14:paraId="6AAED691" w14:textId="77777777" w:rsidR="008361C5" w:rsidRPr="009C4ED3" w:rsidRDefault="008361C5" w:rsidP="00D42CEF">
            <w:pPr>
              <w:tabs>
                <w:tab w:val="decimal" w:pos="368"/>
              </w:tabs>
              <w:jc w:val="center"/>
              <w:rPr>
                <w:b/>
                <w:bCs/>
                <w:sz w:val="18"/>
                <w:szCs w:val="18"/>
              </w:rPr>
            </w:pPr>
            <w:r w:rsidRPr="009C4ED3">
              <w:rPr>
                <w:b/>
                <w:bCs/>
                <w:sz w:val="18"/>
                <w:szCs w:val="18"/>
              </w:rPr>
              <w:t>189</w:t>
            </w:r>
          </w:p>
        </w:tc>
        <w:tc>
          <w:tcPr>
            <w:tcW w:w="1134" w:type="dxa"/>
            <w:vAlign w:val="center"/>
          </w:tcPr>
          <w:p w14:paraId="506A6EB0" w14:textId="77777777" w:rsidR="008361C5" w:rsidRPr="00D42CEF" w:rsidRDefault="008361C5" w:rsidP="00D42CEF">
            <w:pPr>
              <w:tabs>
                <w:tab w:val="decimal" w:pos="368"/>
              </w:tabs>
              <w:jc w:val="center"/>
              <w:rPr>
                <w:b/>
                <w:bCs/>
                <w:sz w:val="18"/>
                <w:szCs w:val="18"/>
              </w:rPr>
            </w:pPr>
            <w:r w:rsidRPr="00D42CEF">
              <w:rPr>
                <w:b/>
                <w:bCs/>
                <w:sz w:val="18"/>
                <w:szCs w:val="18"/>
              </w:rPr>
              <w:t>22</w:t>
            </w:r>
          </w:p>
        </w:tc>
        <w:tc>
          <w:tcPr>
            <w:tcW w:w="1418" w:type="dxa"/>
            <w:vAlign w:val="center"/>
          </w:tcPr>
          <w:p w14:paraId="1E253300" w14:textId="77777777" w:rsidR="008361C5" w:rsidRPr="009C4ED3" w:rsidRDefault="008361C5" w:rsidP="009C4ED3">
            <w:pPr>
              <w:jc w:val="center"/>
              <w:rPr>
                <w:b/>
                <w:bCs/>
                <w:sz w:val="18"/>
                <w:szCs w:val="18"/>
              </w:rPr>
            </w:pPr>
            <w:r w:rsidRPr="009C4ED3">
              <w:rPr>
                <w:b/>
                <w:bCs/>
                <w:sz w:val="18"/>
                <w:szCs w:val="18"/>
              </w:rPr>
              <w:t>0</w:t>
            </w:r>
          </w:p>
        </w:tc>
        <w:tc>
          <w:tcPr>
            <w:tcW w:w="992" w:type="dxa"/>
            <w:vAlign w:val="center"/>
          </w:tcPr>
          <w:p w14:paraId="14225168" w14:textId="77777777" w:rsidR="008361C5" w:rsidRPr="009C4ED3" w:rsidRDefault="008361C5" w:rsidP="009C4ED3">
            <w:pPr>
              <w:jc w:val="center"/>
              <w:rPr>
                <w:b/>
                <w:bCs/>
                <w:sz w:val="18"/>
                <w:szCs w:val="18"/>
              </w:rPr>
            </w:pPr>
            <w:r w:rsidRPr="009C4ED3">
              <w:rPr>
                <w:b/>
                <w:bCs/>
                <w:sz w:val="18"/>
                <w:szCs w:val="18"/>
              </w:rPr>
              <w:t>5</w:t>
            </w:r>
          </w:p>
        </w:tc>
        <w:tc>
          <w:tcPr>
            <w:tcW w:w="991" w:type="dxa"/>
            <w:vAlign w:val="center"/>
          </w:tcPr>
          <w:p w14:paraId="0399C46C" w14:textId="77777777" w:rsidR="008361C5" w:rsidRPr="00D42CEF" w:rsidRDefault="008361C5" w:rsidP="00D42CEF">
            <w:pPr>
              <w:tabs>
                <w:tab w:val="decimal" w:pos="368"/>
              </w:tabs>
              <w:jc w:val="center"/>
              <w:rPr>
                <w:b/>
                <w:bCs/>
                <w:sz w:val="18"/>
                <w:szCs w:val="18"/>
              </w:rPr>
            </w:pPr>
            <w:r w:rsidRPr="00D42CEF">
              <w:rPr>
                <w:b/>
                <w:bCs/>
                <w:sz w:val="18"/>
                <w:szCs w:val="18"/>
              </w:rPr>
              <w:t>216</w:t>
            </w:r>
          </w:p>
        </w:tc>
      </w:tr>
    </w:tbl>
    <w:p w14:paraId="544D8E07" w14:textId="77777777" w:rsidR="008361C5" w:rsidRPr="00200234" w:rsidRDefault="008361C5" w:rsidP="00563497">
      <w:pPr>
        <w:pStyle w:val="Note"/>
        <w:keepNext/>
      </w:pPr>
      <w:r w:rsidRPr="00200234">
        <w:t>Note: AWOL = absent without leave.</w:t>
      </w:r>
    </w:p>
    <w:p w14:paraId="3E4E9136" w14:textId="4A112822" w:rsidR="008361C5" w:rsidRPr="00200234" w:rsidRDefault="008361C5" w:rsidP="008361C5">
      <w:pPr>
        <w:pStyle w:val="Note"/>
      </w:pPr>
      <w:r w:rsidRPr="00200234">
        <w:t>Source: HQSC adverse event data</w:t>
      </w:r>
      <w:r w:rsidR="0015429E">
        <w:t xml:space="preserve"> (extracted</w:t>
      </w:r>
      <w:r w:rsidRPr="00200234">
        <w:t xml:space="preserve"> 2 September 2019</w:t>
      </w:r>
      <w:r w:rsidR="003510A5">
        <w:t>)</w:t>
      </w:r>
      <w:r w:rsidRPr="00200234">
        <w:t>.</w:t>
      </w:r>
    </w:p>
    <w:p w14:paraId="6725A952" w14:textId="77777777" w:rsidR="008361C5" w:rsidRPr="00ED4FA1" w:rsidRDefault="008361C5" w:rsidP="008361C5">
      <w:pPr>
        <w:pStyle w:val="Bullet"/>
        <w:numPr>
          <w:ilvl w:val="0"/>
          <w:numId w:val="0"/>
        </w:numPr>
        <w:rPr>
          <w:rFonts w:cs="Segoe UI"/>
          <w:szCs w:val="21"/>
        </w:rPr>
      </w:pPr>
    </w:p>
    <w:p w14:paraId="2ADD8D6D" w14:textId="7CF0C1B8" w:rsidR="008361C5" w:rsidRPr="00200234" w:rsidRDefault="008361C5" w:rsidP="008361C5">
      <w:pPr>
        <w:pStyle w:val="Table"/>
        <w:rPr>
          <w:rFonts w:cstheme="minorBidi"/>
        </w:rPr>
      </w:pPr>
      <w:bookmarkStart w:id="262" w:name="_Ref65673147"/>
      <w:bookmarkStart w:id="263" w:name="_Toc63764678"/>
      <w:bookmarkStart w:id="264" w:name="_Toc69306785"/>
      <w:r w:rsidRPr="00200234">
        <w:t xml:space="preserve">Table </w:t>
      </w:r>
      <w:fldSimple w:instr=" SEQ Table \* ARABIC ">
        <w:r w:rsidR="00422361">
          <w:rPr>
            <w:noProof/>
          </w:rPr>
          <w:t>15</w:t>
        </w:r>
      </w:fldSimple>
      <w:bookmarkEnd w:id="262"/>
      <w:r w:rsidRPr="00200234">
        <w:t xml:space="preserve">: Number of mental health adverse events that DHBs reported to the </w:t>
      </w:r>
      <w:r w:rsidR="009D2ABB" w:rsidRPr="009D2ABB">
        <w:t>HQSC</w:t>
      </w:r>
      <w:r w:rsidRPr="00200234">
        <w:t>, by type of event, 1 January to 31 December 2019</w:t>
      </w:r>
      <w:bookmarkEnd w:id="263"/>
      <w:bookmarkEnd w:id="264"/>
    </w:p>
    <w:tbl>
      <w:tblPr>
        <w:tblW w:w="5000" w:type="pct"/>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57" w:type="dxa"/>
          <w:right w:w="57" w:type="dxa"/>
        </w:tblCellMar>
        <w:tblLook w:val="01E0" w:firstRow="1" w:lastRow="1" w:firstColumn="1" w:lastColumn="1" w:noHBand="0" w:noVBand="0"/>
      </w:tblPr>
      <w:tblGrid>
        <w:gridCol w:w="2253"/>
        <w:gridCol w:w="1036"/>
        <w:gridCol w:w="1104"/>
        <w:gridCol w:w="1561"/>
        <w:gridCol w:w="1146"/>
        <w:gridCol w:w="979"/>
      </w:tblGrid>
      <w:tr w:rsidR="008361C5" w:rsidRPr="00200234" w14:paraId="18B14CB2" w14:textId="77777777" w:rsidTr="00D42CEF">
        <w:trPr>
          <w:cantSplit/>
        </w:trPr>
        <w:tc>
          <w:tcPr>
            <w:tcW w:w="1395" w:type="pct"/>
            <w:tcBorders>
              <w:top w:val="nil"/>
              <w:bottom w:val="nil"/>
            </w:tcBorders>
            <w:shd w:val="clear" w:color="auto" w:fill="D9D9D9" w:themeFill="background1" w:themeFillShade="D9"/>
          </w:tcPr>
          <w:p w14:paraId="108751E3" w14:textId="77777777" w:rsidR="008361C5" w:rsidRPr="00200234" w:rsidRDefault="008361C5" w:rsidP="00563497">
            <w:pPr>
              <w:pStyle w:val="TableText"/>
              <w:keepNext/>
              <w:rPr>
                <w:rFonts w:cs="Segoe UI"/>
                <w:b/>
              </w:rPr>
            </w:pPr>
            <w:r w:rsidRPr="00200234">
              <w:rPr>
                <w:rFonts w:cs="Segoe UI"/>
                <w:b/>
              </w:rPr>
              <w:t>Type of event</w:t>
            </w:r>
          </w:p>
        </w:tc>
        <w:tc>
          <w:tcPr>
            <w:tcW w:w="641" w:type="pct"/>
            <w:tcBorders>
              <w:top w:val="nil"/>
              <w:bottom w:val="nil"/>
            </w:tcBorders>
            <w:shd w:val="clear" w:color="auto" w:fill="D9D9D9" w:themeFill="background1" w:themeFillShade="D9"/>
          </w:tcPr>
          <w:p w14:paraId="325D294A" w14:textId="77777777" w:rsidR="008361C5" w:rsidRPr="00200234" w:rsidRDefault="008361C5" w:rsidP="00563497">
            <w:pPr>
              <w:pStyle w:val="TableText"/>
              <w:keepNext/>
              <w:jc w:val="center"/>
              <w:rPr>
                <w:rFonts w:cs="Segoe UI"/>
                <w:b/>
              </w:rPr>
            </w:pPr>
            <w:r w:rsidRPr="00200234">
              <w:rPr>
                <w:rFonts w:cs="Segoe UI"/>
                <w:b/>
              </w:rPr>
              <w:t>Outpatient</w:t>
            </w:r>
          </w:p>
        </w:tc>
        <w:tc>
          <w:tcPr>
            <w:tcW w:w="683" w:type="pct"/>
            <w:tcBorders>
              <w:top w:val="nil"/>
              <w:bottom w:val="nil"/>
            </w:tcBorders>
            <w:shd w:val="clear" w:color="auto" w:fill="D9D9D9" w:themeFill="background1" w:themeFillShade="D9"/>
          </w:tcPr>
          <w:p w14:paraId="3B05BBB9" w14:textId="77777777" w:rsidR="008361C5" w:rsidRPr="00200234" w:rsidRDefault="008361C5" w:rsidP="00563497">
            <w:pPr>
              <w:pStyle w:val="TableText"/>
              <w:keepNext/>
              <w:jc w:val="center"/>
              <w:rPr>
                <w:rFonts w:cs="Segoe UI"/>
                <w:b/>
              </w:rPr>
            </w:pPr>
            <w:r w:rsidRPr="00200234">
              <w:rPr>
                <w:rFonts w:cs="Segoe UI"/>
                <w:b/>
              </w:rPr>
              <w:t>Inpatient</w:t>
            </w:r>
          </w:p>
        </w:tc>
        <w:tc>
          <w:tcPr>
            <w:tcW w:w="966" w:type="pct"/>
            <w:tcBorders>
              <w:top w:val="nil"/>
              <w:bottom w:val="nil"/>
            </w:tcBorders>
            <w:shd w:val="clear" w:color="auto" w:fill="D9D9D9" w:themeFill="background1" w:themeFillShade="D9"/>
          </w:tcPr>
          <w:p w14:paraId="65FF78C1" w14:textId="77777777" w:rsidR="008361C5" w:rsidRPr="00200234" w:rsidRDefault="008361C5" w:rsidP="00563497">
            <w:pPr>
              <w:pStyle w:val="TableText"/>
              <w:keepNext/>
              <w:jc w:val="center"/>
              <w:rPr>
                <w:rFonts w:cs="Segoe UI"/>
                <w:b/>
              </w:rPr>
            </w:pPr>
            <w:r w:rsidRPr="00200234">
              <w:rPr>
                <w:rFonts w:cs="Segoe UI"/>
                <w:b/>
              </w:rPr>
              <w:t>On approved leave</w:t>
            </w:r>
          </w:p>
        </w:tc>
        <w:tc>
          <w:tcPr>
            <w:tcW w:w="709" w:type="pct"/>
            <w:tcBorders>
              <w:top w:val="nil"/>
              <w:bottom w:val="nil"/>
            </w:tcBorders>
            <w:shd w:val="clear" w:color="auto" w:fill="D9D9D9" w:themeFill="background1" w:themeFillShade="D9"/>
          </w:tcPr>
          <w:p w14:paraId="14C86812" w14:textId="77777777" w:rsidR="008361C5" w:rsidRPr="00200234" w:rsidRDefault="008361C5" w:rsidP="00563497">
            <w:pPr>
              <w:pStyle w:val="TableText"/>
              <w:keepNext/>
              <w:jc w:val="center"/>
              <w:rPr>
                <w:rFonts w:cs="Segoe UI"/>
                <w:b/>
              </w:rPr>
            </w:pPr>
            <w:r w:rsidRPr="00200234">
              <w:rPr>
                <w:rFonts w:cs="Segoe UI"/>
                <w:b/>
              </w:rPr>
              <w:t>Inpatient (AWOL)</w:t>
            </w:r>
          </w:p>
        </w:tc>
        <w:tc>
          <w:tcPr>
            <w:tcW w:w="607" w:type="pct"/>
            <w:tcBorders>
              <w:top w:val="nil"/>
              <w:bottom w:val="nil"/>
            </w:tcBorders>
            <w:shd w:val="clear" w:color="auto" w:fill="D9D9D9" w:themeFill="background1" w:themeFillShade="D9"/>
          </w:tcPr>
          <w:p w14:paraId="674D39DA" w14:textId="77777777" w:rsidR="008361C5" w:rsidRPr="00200234" w:rsidRDefault="008361C5" w:rsidP="00563497">
            <w:pPr>
              <w:pStyle w:val="TableText"/>
              <w:keepNext/>
              <w:jc w:val="center"/>
              <w:rPr>
                <w:rFonts w:cs="Segoe UI"/>
                <w:b/>
              </w:rPr>
            </w:pPr>
            <w:r w:rsidRPr="00200234">
              <w:rPr>
                <w:rFonts w:cs="Segoe UI"/>
                <w:b/>
              </w:rPr>
              <w:t>Total</w:t>
            </w:r>
          </w:p>
        </w:tc>
      </w:tr>
      <w:tr w:rsidR="008361C5" w:rsidRPr="00200234" w14:paraId="0921E900" w14:textId="77777777" w:rsidTr="00D42CEF">
        <w:trPr>
          <w:cantSplit/>
        </w:trPr>
        <w:tc>
          <w:tcPr>
            <w:tcW w:w="1395" w:type="pct"/>
            <w:tcBorders>
              <w:top w:val="nil"/>
            </w:tcBorders>
          </w:tcPr>
          <w:p w14:paraId="64D7FCBD" w14:textId="77777777" w:rsidR="008361C5" w:rsidRPr="00200234" w:rsidRDefault="008361C5" w:rsidP="00563497">
            <w:pPr>
              <w:pStyle w:val="TableText"/>
              <w:keepNext/>
              <w:rPr>
                <w:rFonts w:cs="Segoe UI"/>
                <w:sz w:val="20"/>
              </w:rPr>
            </w:pPr>
            <w:r w:rsidRPr="00200234">
              <w:rPr>
                <w:rFonts w:cs="Segoe UI"/>
              </w:rPr>
              <w:t>Suspected suicide</w:t>
            </w:r>
          </w:p>
        </w:tc>
        <w:tc>
          <w:tcPr>
            <w:tcW w:w="641" w:type="pct"/>
            <w:tcBorders>
              <w:top w:val="nil"/>
            </w:tcBorders>
          </w:tcPr>
          <w:p w14:paraId="4D07C1B7" w14:textId="77777777" w:rsidR="008361C5" w:rsidRPr="00200234" w:rsidRDefault="008361C5" w:rsidP="00563497">
            <w:pPr>
              <w:pStyle w:val="TableText"/>
              <w:keepNext/>
              <w:tabs>
                <w:tab w:val="decimal" w:pos="701"/>
              </w:tabs>
              <w:rPr>
                <w:rFonts w:cs="Segoe UI"/>
              </w:rPr>
            </w:pPr>
            <w:r w:rsidRPr="00200234">
              <w:rPr>
                <w:rFonts w:cs="Segoe UI"/>
              </w:rPr>
              <w:t>156</w:t>
            </w:r>
          </w:p>
        </w:tc>
        <w:tc>
          <w:tcPr>
            <w:tcW w:w="683" w:type="pct"/>
            <w:tcBorders>
              <w:top w:val="nil"/>
            </w:tcBorders>
          </w:tcPr>
          <w:p w14:paraId="3D9F6844" w14:textId="77777777" w:rsidR="008361C5" w:rsidRPr="00200234" w:rsidRDefault="008361C5" w:rsidP="00563497">
            <w:pPr>
              <w:pStyle w:val="TableText"/>
              <w:keepNext/>
              <w:tabs>
                <w:tab w:val="decimal" w:pos="721"/>
              </w:tabs>
              <w:rPr>
                <w:rFonts w:cs="Segoe UI"/>
              </w:rPr>
            </w:pPr>
            <w:r w:rsidRPr="00200234">
              <w:rPr>
                <w:rFonts w:cs="Segoe UI"/>
              </w:rPr>
              <w:t>6</w:t>
            </w:r>
          </w:p>
        </w:tc>
        <w:tc>
          <w:tcPr>
            <w:tcW w:w="966" w:type="pct"/>
            <w:tcBorders>
              <w:top w:val="nil"/>
            </w:tcBorders>
          </w:tcPr>
          <w:p w14:paraId="276FC9ED" w14:textId="77777777" w:rsidR="008361C5" w:rsidRPr="00200234" w:rsidRDefault="008361C5" w:rsidP="00563497">
            <w:pPr>
              <w:pStyle w:val="TableText"/>
              <w:keepNext/>
              <w:jc w:val="center"/>
              <w:rPr>
                <w:rFonts w:cs="Segoe UI"/>
              </w:rPr>
            </w:pPr>
            <w:r w:rsidRPr="00200234">
              <w:rPr>
                <w:rFonts w:cs="Segoe UI"/>
              </w:rPr>
              <w:t>5</w:t>
            </w:r>
          </w:p>
        </w:tc>
        <w:tc>
          <w:tcPr>
            <w:tcW w:w="709" w:type="pct"/>
            <w:tcBorders>
              <w:top w:val="nil"/>
            </w:tcBorders>
          </w:tcPr>
          <w:p w14:paraId="06A25F0B" w14:textId="77777777" w:rsidR="008361C5" w:rsidRPr="00200234" w:rsidRDefault="008361C5" w:rsidP="00D42CEF">
            <w:pPr>
              <w:pStyle w:val="TableText"/>
              <w:keepNext/>
              <w:tabs>
                <w:tab w:val="decimal" w:pos="648"/>
              </w:tabs>
              <w:rPr>
                <w:rFonts w:cs="Segoe UI"/>
              </w:rPr>
            </w:pPr>
            <w:r w:rsidRPr="00200234">
              <w:rPr>
                <w:rFonts w:cs="Segoe UI"/>
              </w:rPr>
              <w:t>4</w:t>
            </w:r>
          </w:p>
        </w:tc>
        <w:tc>
          <w:tcPr>
            <w:tcW w:w="607" w:type="pct"/>
            <w:tcBorders>
              <w:top w:val="nil"/>
            </w:tcBorders>
          </w:tcPr>
          <w:p w14:paraId="1E24E996" w14:textId="77777777" w:rsidR="008361C5" w:rsidRPr="00200234" w:rsidRDefault="008361C5" w:rsidP="00563497">
            <w:pPr>
              <w:pStyle w:val="TableText"/>
              <w:keepNext/>
              <w:tabs>
                <w:tab w:val="decimal" w:pos="668"/>
              </w:tabs>
              <w:rPr>
                <w:rFonts w:cs="Segoe UI"/>
              </w:rPr>
            </w:pPr>
            <w:r w:rsidRPr="00200234">
              <w:rPr>
                <w:rFonts w:cs="Segoe UI"/>
              </w:rPr>
              <w:t>171</w:t>
            </w:r>
          </w:p>
        </w:tc>
      </w:tr>
      <w:tr w:rsidR="008361C5" w:rsidRPr="00200234" w14:paraId="78727282" w14:textId="77777777" w:rsidTr="00D42CEF">
        <w:trPr>
          <w:cantSplit/>
        </w:trPr>
        <w:tc>
          <w:tcPr>
            <w:tcW w:w="1395" w:type="pct"/>
          </w:tcPr>
          <w:p w14:paraId="74F45FBE" w14:textId="77777777" w:rsidR="008361C5" w:rsidRPr="00200234" w:rsidRDefault="008361C5" w:rsidP="00563497">
            <w:pPr>
              <w:pStyle w:val="TableText"/>
              <w:keepNext/>
              <w:rPr>
                <w:rFonts w:cs="Segoe UI"/>
              </w:rPr>
            </w:pPr>
            <w:r w:rsidRPr="00200234">
              <w:rPr>
                <w:rFonts w:cs="Segoe UI"/>
              </w:rPr>
              <w:t>Serious self-harm</w:t>
            </w:r>
          </w:p>
        </w:tc>
        <w:tc>
          <w:tcPr>
            <w:tcW w:w="641" w:type="pct"/>
          </w:tcPr>
          <w:p w14:paraId="5E09E572" w14:textId="77777777" w:rsidR="008361C5" w:rsidRPr="00200234" w:rsidRDefault="008361C5" w:rsidP="00563497">
            <w:pPr>
              <w:pStyle w:val="TableText"/>
              <w:keepNext/>
              <w:tabs>
                <w:tab w:val="decimal" w:pos="701"/>
              </w:tabs>
              <w:rPr>
                <w:rFonts w:cs="Segoe UI"/>
              </w:rPr>
            </w:pPr>
            <w:r w:rsidRPr="00200234">
              <w:rPr>
                <w:rFonts w:cs="Segoe UI"/>
              </w:rPr>
              <w:t>10</w:t>
            </w:r>
          </w:p>
        </w:tc>
        <w:tc>
          <w:tcPr>
            <w:tcW w:w="683" w:type="pct"/>
          </w:tcPr>
          <w:p w14:paraId="3CB43622" w14:textId="77777777" w:rsidR="008361C5" w:rsidRPr="00200234" w:rsidRDefault="008361C5" w:rsidP="00563497">
            <w:pPr>
              <w:pStyle w:val="TableText"/>
              <w:keepNext/>
              <w:tabs>
                <w:tab w:val="decimal" w:pos="721"/>
              </w:tabs>
              <w:rPr>
                <w:rFonts w:cs="Segoe UI"/>
              </w:rPr>
            </w:pPr>
            <w:r w:rsidRPr="00200234">
              <w:rPr>
                <w:rFonts w:cs="Segoe UI"/>
              </w:rPr>
              <w:t>6</w:t>
            </w:r>
          </w:p>
        </w:tc>
        <w:tc>
          <w:tcPr>
            <w:tcW w:w="966" w:type="pct"/>
          </w:tcPr>
          <w:p w14:paraId="688D8985" w14:textId="77777777" w:rsidR="008361C5" w:rsidRPr="00200234" w:rsidRDefault="008361C5" w:rsidP="00563497">
            <w:pPr>
              <w:pStyle w:val="TableText"/>
              <w:keepNext/>
              <w:jc w:val="center"/>
              <w:rPr>
                <w:rFonts w:cs="Segoe UI"/>
              </w:rPr>
            </w:pPr>
            <w:r w:rsidRPr="00200234">
              <w:rPr>
                <w:rFonts w:cs="Segoe UI"/>
              </w:rPr>
              <w:t>1</w:t>
            </w:r>
          </w:p>
        </w:tc>
        <w:tc>
          <w:tcPr>
            <w:tcW w:w="709" w:type="pct"/>
          </w:tcPr>
          <w:p w14:paraId="18E1A4FC" w14:textId="77777777" w:rsidR="008361C5" w:rsidRPr="00200234" w:rsidRDefault="008361C5" w:rsidP="00D42CEF">
            <w:pPr>
              <w:pStyle w:val="TableText"/>
              <w:keepNext/>
              <w:tabs>
                <w:tab w:val="decimal" w:pos="648"/>
              </w:tabs>
              <w:rPr>
                <w:rFonts w:cs="Segoe UI"/>
              </w:rPr>
            </w:pPr>
            <w:r w:rsidRPr="00200234">
              <w:rPr>
                <w:rFonts w:cs="Segoe UI"/>
              </w:rPr>
              <w:t>1</w:t>
            </w:r>
          </w:p>
        </w:tc>
        <w:tc>
          <w:tcPr>
            <w:tcW w:w="607" w:type="pct"/>
          </w:tcPr>
          <w:p w14:paraId="23832014" w14:textId="77777777" w:rsidR="008361C5" w:rsidRPr="00200234" w:rsidRDefault="008361C5" w:rsidP="00563497">
            <w:pPr>
              <w:pStyle w:val="TableText"/>
              <w:keepNext/>
              <w:tabs>
                <w:tab w:val="decimal" w:pos="668"/>
              </w:tabs>
              <w:rPr>
                <w:rFonts w:cs="Segoe UI"/>
              </w:rPr>
            </w:pPr>
            <w:r w:rsidRPr="00200234">
              <w:rPr>
                <w:rFonts w:cs="Segoe UI"/>
              </w:rPr>
              <w:t>18</w:t>
            </w:r>
          </w:p>
        </w:tc>
      </w:tr>
      <w:tr w:rsidR="008361C5" w:rsidRPr="00200234" w14:paraId="329C8634" w14:textId="77777777" w:rsidTr="00D42CEF">
        <w:trPr>
          <w:cantSplit/>
        </w:trPr>
        <w:tc>
          <w:tcPr>
            <w:tcW w:w="1395" w:type="pct"/>
          </w:tcPr>
          <w:p w14:paraId="599FDDDC" w14:textId="77777777" w:rsidR="008361C5" w:rsidRPr="00200234" w:rsidRDefault="008361C5" w:rsidP="00563497">
            <w:pPr>
              <w:pStyle w:val="TableText"/>
              <w:keepNext/>
              <w:rPr>
                <w:rFonts w:cs="Segoe UI"/>
              </w:rPr>
            </w:pPr>
            <w:r w:rsidRPr="00200234">
              <w:rPr>
                <w:rFonts w:cs="Segoe UI"/>
              </w:rPr>
              <w:t>Serious adverse behaviour</w:t>
            </w:r>
          </w:p>
        </w:tc>
        <w:tc>
          <w:tcPr>
            <w:tcW w:w="641" w:type="pct"/>
          </w:tcPr>
          <w:p w14:paraId="650F2BD8" w14:textId="77777777" w:rsidR="008361C5" w:rsidRPr="00200234" w:rsidRDefault="008361C5" w:rsidP="00563497">
            <w:pPr>
              <w:pStyle w:val="TableText"/>
              <w:keepNext/>
              <w:tabs>
                <w:tab w:val="decimal" w:pos="701"/>
              </w:tabs>
              <w:rPr>
                <w:rFonts w:cs="Segoe UI"/>
              </w:rPr>
            </w:pPr>
            <w:r w:rsidRPr="00200234">
              <w:rPr>
                <w:rFonts w:cs="Segoe UI"/>
              </w:rPr>
              <w:t>3</w:t>
            </w:r>
          </w:p>
        </w:tc>
        <w:tc>
          <w:tcPr>
            <w:tcW w:w="683" w:type="pct"/>
          </w:tcPr>
          <w:p w14:paraId="1211DF07" w14:textId="77777777" w:rsidR="008361C5" w:rsidRPr="00200234" w:rsidRDefault="008361C5" w:rsidP="00563497">
            <w:pPr>
              <w:pStyle w:val="TableText"/>
              <w:keepNext/>
              <w:tabs>
                <w:tab w:val="decimal" w:pos="721"/>
              </w:tabs>
              <w:rPr>
                <w:rFonts w:cs="Segoe UI"/>
              </w:rPr>
            </w:pPr>
            <w:r w:rsidRPr="00200234">
              <w:rPr>
                <w:rFonts w:cs="Segoe UI"/>
              </w:rPr>
              <w:t>3</w:t>
            </w:r>
          </w:p>
        </w:tc>
        <w:tc>
          <w:tcPr>
            <w:tcW w:w="966" w:type="pct"/>
          </w:tcPr>
          <w:p w14:paraId="52A5D60D" w14:textId="77777777" w:rsidR="008361C5" w:rsidRPr="00200234" w:rsidRDefault="008361C5" w:rsidP="00563497">
            <w:pPr>
              <w:pStyle w:val="TableText"/>
              <w:keepNext/>
              <w:jc w:val="center"/>
              <w:rPr>
                <w:rFonts w:cs="Segoe UI"/>
              </w:rPr>
            </w:pPr>
            <w:r w:rsidRPr="00200234">
              <w:rPr>
                <w:rFonts w:cs="Segoe UI"/>
              </w:rPr>
              <w:t>0</w:t>
            </w:r>
          </w:p>
        </w:tc>
        <w:tc>
          <w:tcPr>
            <w:tcW w:w="709" w:type="pct"/>
          </w:tcPr>
          <w:p w14:paraId="3F1187A4" w14:textId="77777777" w:rsidR="008361C5" w:rsidRPr="00200234" w:rsidRDefault="008361C5" w:rsidP="00D42CEF">
            <w:pPr>
              <w:pStyle w:val="TableText"/>
              <w:keepNext/>
              <w:tabs>
                <w:tab w:val="decimal" w:pos="648"/>
              </w:tabs>
              <w:rPr>
                <w:rFonts w:cs="Segoe UI"/>
              </w:rPr>
            </w:pPr>
            <w:r w:rsidRPr="00200234">
              <w:rPr>
                <w:rFonts w:cs="Segoe UI"/>
              </w:rPr>
              <w:t>0</w:t>
            </w:r>
          </w:p>
        </w:tc>
        <w:tc>
          <w:tcPr>
            <w:tcW w:w="607" w:type="pct"/>
          </w:tcPr>
          <w:p w14:paraId="1E8D6D08" w14:textId="77777777" w:rsidR="008361C5" w:rsidRPr="00200234" w:rsidRDefault="008361C5" w:rsidP="00563497">
            <w:pPr>
              <w:pStyle w:val="TableText"/>
              <w:keepNext/>
              <w:tabs>
                <w:tab w:val="decimal" w:pos="668"/>
              </w:tabs>
              <w:rPr>
                <w:rFonts w:cs="Segoe UI"/>
              </w:rPr>
            </w:pPr>
            <w:r w:rsidRPr="00200234">
              <w:rPr>
                <w:rFonts w:cs="Segoe UI"/>
              </w:rPr>
              <w:t>6</w:t>
            </w:r>
          </w:p>
        </w:tc>
      </w:tr>
      <w:tr w:rsidR="008361C5" w:rsidRPr="00200234" w14:paraId="5DA85672" w14:textId="77777777" w:rsidTr="00D42CEF">
        <w:trPr>
          <w:cantSplit/>
        </w:trPr>
        <w:tc>
          <w:tcPr>
            <w:tcW w:w="1395" w:type="pct"/>
          </w:tcPr>
          <w:p w14:paraId="39D53881" w14:textId="77777777" w:rsidR="008361C5" w:rsidRPr="00200234" w:rsidRDefault="008361C5" w:rsidP="00563497">
            <w:pPr>
              <w:pStyle w:val="TableText"/>
              <w:keepNext/>
              <w:rPr>
                <w:rFonts w:cs="Segoe UI"/>
                <w:b/>
              </w:rPr>
            </w:pPr>
            <w:r w:rsidRPr="00200234">
              <w:rPr>
                <w:rFonts w:cs="Segoe UI"/>
                <w:b/>
              </w:rPr>
              <w:t>Total</w:t>
            </w:r>
          </w:p>
        </w:tc>
        <w:tc>
          <w:tcPr>
            <w:tcW w:w="641" w:type="pct"/>
          </w:tcPr>
          <w:p w14:paraId="43E58EDF" w14:textId="77777777" w:rsidR="008361C5" w:rsidRPr="00200234" w:rsidRDefault="008361C5" w:rsidP="00563497">
            <w:pPr>
              <w:pStyle w:val="TableText"/>
              <w:keepNext/>
              <w:tabs>
                <w:tab w:val="decimal" w:pos="701"/>
              </w:tabs>
              <w:rPr>
                <w:rFonts w:cs="Segoe UI"/>
                <w:b/>
              </w:rPr>
            </w:pPr>
            <w:r w:rsidRPr="00200234">
              <w:rPr>
                <w:rFonts w:cs="Segoe UI"/>
                <w:b/>
              </w:rPr>
              <w:t>169</w:t>
            </w:r>
          </w:p>
        </w:tc>
        <w:tc>
          <w:tcPr>
            <w:tcW w:w="683" w:type="pct"/>
          </w:tcPr>
          <w:p w14:paraId="58A6CAF7" w14:textId="77777777" w:rsidR="008361C5" w:rsidRPr="00200234" w:rsidRDefault="008361C5" w:rsidP="00563497">
            <w:pPr>
              <w:pStyle w:val="TableText"/>
              <w:keepNext/>
              <w:tabs>
                <w:tab w:val="decimal" w:pos="721"/>
              </w:tabs>
              <w:rPr>
                <w:rFonts w:cs="Segoe UI"/>
                <w:b/>
              </w:rPr>
            </w:pPr>
            <w:r w:rsidRPr="00200234">
              <w:rPr>
                <w:rFonts w:cs="Segoe UI"/>
                <w:b/>
              </w:rPr>
              <w:t>15</w:t>
            </w:r>
          </w:p>
        </w:tc>
        <w:tc>
          <w:tcPr>
            <w:tcW w:w="966" w:type="pct"/>
          </w:tcPr>
          <w:p w14:paraId="11C54A4A" w14:textId="77777777" w:rsidR="008361C5" w:rsidRPr="00200234" w:rsidRDefault="008361C5" w:rsidP="00563497">
            <w:pPr>
              <w:pStyle w:val="TableText"/>
              <w:keepNext/>
              <w:jc w:val="center"/>
              <w:rPr>
                <w:rFonts w:cs="Segoe UI"/>
                <w:b/>
              </w:rPr>
            </w:pPr>
            <w:r w:rsidRPr="00200234">
              <w:rPr>
                <w:rFonts w:cs="Segoe UI"/>
                <w:b/>
              </w:rPr>
              <w:t>6</w:t>
            </w:r>
          </w:p>
        </w:tc>
        <w:tc>
          <w:tcPr>
            <w:tcW w:w="709" w:type="pct"/>
          </w:tcPr>
          <w:p w14:paraId="58BFA337" w14:textId="77777777" w:rsidR="008361C5" w:rsidRPr="00200234" w:rsidRDefault="008361C5" w:rsidP="00D42CEF">
            <w:pPr>
              <w:pStyle w:val="TableText"/>
              <w:keepNext/>
              <w:tabs>
                <w:tab w:val="decimal" w:pos="648"/>
              </w:tabs>
              <w:rPr>
                <w:rFonts w:cs="Segoe UI"/>
                <w:b/>
              </w:rPr>
            </w:pPr>
            <w:r w:rsidRPr="00200234">
              <w:rPr>
                <w:rFonts w:cs="Segoe UI"/>
                <w:b/>
              </w:rPr>
              <w:t>5</w:t>
            </w:r>
          </w:p>
        </w:tc>
        <w:tc>
          <w:tcPr>
            <w:tcW w:w="607" w:type="pct"/>
          </w:tcPr>
          <w:p w14:paraId="4AE566DF" w14:textId="77777777" w:rsidR="008361C5" w:rsidRPr="00200234" w:rsidRDefault="008361C5" w:rsidP="00563497">
            <w:pPr>
              <w:pStyle w:val="TableText"/>
              <w:keepNext/>
              <w:tabs>
                <w:tab w:val="decimal" w:pos="668"/>
              </w:tabs>
              <w:rPr>
                <w:rFonts w:cs="Segoe UI"/>
                <w:b/>
              </w:rPr>
            </w:pPr>
            <w:r w:rsidRPr="00200234">
              <w:rPr>
                <w:rFonts w:cs="Segoe UI"/>
                <w:b/>
              </w:rPr>
              <w:t>195</w:t>
            </w:r>
          </w:p>
        </w:tc>
      </w:tr>
    </w:tbl>
    <w:p w14:paraId="1E0940A9" w14:textId="77777777" w:rsidR="008361C5" w:rsidRPr="00200234" w:rsidRDefault="008361C5" w:rsidP="00563497">
      <w:pPr>
        <w:pStyle w:val="Note"/>
        <w:keepNext/>
      </w:pPr>
      <w:r w:rsidRPr="00200234">
        <w:t>Note: AWOL = absent without leave.</w:t>
      </w:r>
    </w:p>
    <w:p w14:paraId="640266CA" w14:textId="5D8760EF" w:rsidR="008361C5" w:rsidRPr="00200234" w:rsidRDefault="008361C5" w:rsidP="008361C5">
      <w:pPr>
        <w:pStyle w:val="Note"/>
      </w:pPr>
      <w:r w:rsidRPr="00200234">
        <w:t>Source: HQSC adverse event data</w:t>
      </w:r>
      <w:r w:rsidR="0015429E">
        <w:t xml:space="preserve"> (extracted</w:t>
      </w:r>
      <w:r w:rsidRPr="00200234">
        <w:t xml:space="preserve"> 26 January 2021</w:t>
      </w:r>
      <w:r w:rsidR="003510A5">
        <w:t>)</w:t>
      </w:r>
      <w:r w:rsidRPr="00200234">
        <w:t>.</w:t>
      </w:r>
    </w:p>
    <w:p w14:paraId="4B2E3397" w14:textId="77777777" w:rsidR="008361C5" w:rsidRPr="00200234" w:rsidRDefault="008361C5" w:rsidP="008361C5"/>
    <w:p w14:paraId="467E0A63" w14:textId="34A90EDD" w:rsidR="008361C5" w:rsidRPr="00200234" w:rsidRDefault="008361C5" w:rsidP="008361C5">
      <w:pPr>
        <w:pStyle w:val="Table"/>
        <w:rPr>
          <w:rFonts w:cstheme="minorBidi"/>
        </w:rPr>
      </w:pPr>
      <w:bookmarkStart w:id="265" w:name="_Ref65673172"/>
      <w:bookmarkStart w:id="266" w:name="_Toc34653658"/>
      <w:bookmarkStart w:id="267" w:name="_Toc63764679"/>
      <w:bookmarkStart w:id="268" w:name="_Toc69306786"/>
      <w:r w:rsidRPr="00200234">
        <w:t xml:space="preserve">Table </w:t>
      </w:r>
      <w:fldSimple w:instr=" SEQ Table \* ARABIC ">
        <w:r w:rsidR="00422361">
          <w:rPr>
            <w:noProof/>
          </w:rPr>
          <w:t>16</w:t>
        </w:r>
      </w:fldSimple>
      <w:bookmarkEnd w:id="265"/>
      <w:r w:rsidRPr="00200234">
        <w:t xml:space="preserve">: Mental health adverse events that DHBs reported to the </w:t>
      </w:r>
      <w:r w:rsidR="009D2ABB" w:rsidRPr="009D2ABB">
        <w:t>HQSC</w:t>
      </w:r>
      <w:r w:rsidRPr="00200234">
        <w:t>, by DHB, 1</w:t>
      </w:r>
      <w:r w:rsidR="009D2ABB">
        <w:t> </w:t>
      </w:r>
      <w:r w:rsidRPr="00200234">
        <w:t>January to 31 December 2018</w:t>
      </w:r>
      <w:bookmarkEnd w:id="266"/>
      <w:bookmarkEnd w:id="267"/>
      <w:bookmarkEnd w:id="268"/>
    </w:p>
    <w:tbl>
      <w:tblPr>
        <w:tblpPr w:leftFromText="180" w:rightFromText="180" w:vertAnchor="text" w:horzAnchor="margin" w:tblpY="-13"/>
        <w:tblW w:w="5000" w:type="pct"/>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57" w:type="dxa"/>
          <w:right w:w="57" w:type="dxa"/>
        </w:tblCellMar>
        <w:tblLook w:val="04A0" w:firstRow="1" w:lastRow="0" w:firstColumn="1" w:lastColumn="0" w:noHBand="0" w:noVBand="1"/>
      </w:tblPr>
      <w:tblGrid>
        <w:gridCol w:w="2834"/>
        <w:gridCol w:w="944"/>
        <w:gridCol w:w="473"/>
        <w:gridCol w:w="2836"/>
        <w:gridCol w:w="992"/>
      </w:tblGrid>
      <w:tr w:rsidR="008361C5" w:rsidRPr="00200234" w14:paraId="5FF59EA3" w14:textId="77777777" w:rsidTr="00563497">
        <w:trPr>
          <w:cantSplit/>
          <w:trHeight w:val="464"/>
        </w:trPr>
        <w:tc>
          <w:tcPr>
            <w:tcW w:w="1754" w:type="pct"/>
            <w:tcBorders>
              <w:top w:val="nil"/>
              <w:bottom w:val="nil"/>
            </w:tcBorders>
            <w:shd w:val="clear" w:color="auto" w:fill="D9D9D9" w:themeFill="background1" w:themeFillShade="D9"/>
          </w:tcPr>
          <w:p w14:paraId="6C614C55" w14:textId="77777777" w:rsidR="008361C5" w:rsidRPr="00200234" w:rsidRDefault="008361C5" w:rsidP="00563497">
            <w:pPr>
              <w:pStyle w:val="TableText"/>
              <w:keepNext/>
              <w:rPr>
                <w:rFonts w:cs="Segoe UI"/>
                <w:b/>
              </w:rPr>
            </w:pPr>
            <w:r w:rsidRPr="00200234">
              <w:rPr>
                <w:rFonts w:cs="Segoe UI"/>
                <w:b/>
              </w:rPr>
              <w:t>DHB</w:t>
            </w:r>
          </w:p>
        </w:tc>
        <w:tc>
          <w:tcPr>
            <w:tcW w:w="584" w:type="pct"/>
            <w:tcBorders>
              <w:top w:val="nil"/>
              <w:bottom w:val="nil"/>
            </w:tcBorders>
            <w:shd w:val="clear" w:color="auto" w:fill="D9D9D9" w:themeFill="background1" w:themeFillShade="D9"/>
          </w:tcPr>
          <w:p w14:paraId="6BBA46F2" w14:textId="77777777" w:rsidR="008361C5" w:rsidRPr="00200234" w:rsidRDefault="008361C5" w:rsidP="00B950C5">
            <w:pPr>
              <w:pStyle w:val="TableText"/>
              <w:keepNext/>
              <w:jc w:val="center"/>
              <w:rPr>
                <w:rFonts w:cs="Segoe UI"/>
                <w:b/>
              </w:rPr>
            </w:pPr>
            <w:r w:rsidRPr="00200234">
              <w:rPr>
                <w:rFonts w:cs="Segoe UI"/>
                <w:b/>
              </w:rPr>
              <w:t>Number of events</w:t>
            </w:r>
          </w:p>
        </w:tc>
        <w:tc>
          <w:tcPr>
            <w:tcW w:w="293" w:type="pct"/>
            <w:tcBorders>
              <w:top w:val="nil"/>
              <w:bottom w:val="nil"/>
            </w:tcBorders>
            <w:shd w:val="clear" w:color="auto" w:fill="auto"/>
          </w:tcPr>
          <w:p w14:paraId="6440ABAC" w14:textId="77777777" w:rsidR="008361C5" w:rsidRPr="00200234" w:rsidRDefault="008361C5" w:rsidP="00563497">
            <w:pPr>
              <w:pStyle w:val="TableText"/>
              <w:keepNext/>
              <w:rPr>
                <w:rFonts w:cs="Segoe UI"/>
                <w:b/>
              </w:rPr>
            </w:pPr>
          </w:p>
        </w:tc>
        <w:tc>
          <w:tcPr>
            <w:tcW w:w="1755" w:type="pct"/>
            <w:tcBorders>
              <w:top w:val="nil"/>
              <w:bottom w:val="nil"/>
            </w:tcBorders>
            <w:shd w:val="clear" w:color="auto" w:fill="D9D9D9" w:themeFill="background1" w:themeFillShade="D9"/>
          </w:tcPr>
          <w:p w14:paraId="2006C5C5" w14:textId="77777777" w:rsidR="008361C5" w:rsidRPr="00200234" w:rsidRDefault="008361C5" w:rsidP="00563497">
            <w:pPr>
              <w:pStyle w:val="TableText"/>
              <w:keepNext/>
              <w:rPr>
                <w:rFonts w:cs="Segoe UI"/>
                <w:b/>
              </w:rPr>
            </w:pPr>
            <w:r w:rsidRPr="00200234">
              <w:rPr>
                <w:rFonts w:cs="Segoe UI"/>
                <w:b/>
              </w:rPr>
              <w:t>DHB</w:t>
            </w:r>
          </w:p>
        </w:tc>
        <w:tc>
          <w:tcPr>
            <w:tcW w:w="614" w:type="pct"/>
            <w:tcBorders>
              <w:top w:val="nil"/>
              <w:bottom w:val="nil"/>
            </w:tcBorders>
            <w:shd w:val="clear" w:color="auto" w:fill="D9D9D9" w:themeFill="background1" w:themeFillShade="D9"/>
          </w:tcPr>
          <w:p w14:paraId="3EDDD9B4" w14:textId="77777777" w:rsidR="008361C5" w:rsidRPr="00200234" w:rsidRDefault="008361C5" w:rsidP="00563497">
            <w:pPr>
              <w:pStyle w:val="TableText"/>
              <w:keepNext/>
              <w:jc w:val="center"/>
              <w:rPr>
                <w:rFonts w:cs="Segoe UI"/>
                <w:b/>
              </w:rPr>
            </w:pPr>
            <w:r w:rsidRPr="00200234">
              <w:rPr>
                <w:rFonts w:cs="Segoe UI"/>
                <w:b/>
              </w:rPr>
              <w:t>Number of events</w:t>
            </w:r>
          </w:p>
        </w:tc>
      </w:tr>
      <w:tr w:rsidR="008361C5" w:rsidRPr="00200234" w14:paraId="0713A271" w14:textId="77777777" w:rsidTr="00563497">
        <w:trPr>
          <w:cantSplit/>
          <w:trHeight w:val="278"/>
        </w:trPr>
        <w:tc>
          <w:tcPr>
            <w:tcW w:w="1754" w:type="pct"/>
            <w:tcBorders>
              <w:top w:val="nil"/>
            </w:tcBorders>
          </w:tcPr>
          <w:p w14:paraId="6CD3C1A8" w14:textId="77777777" w:rsidR="008361C5" w:rsidRPr="00200234" w:rsidRDefault="008361C5" w:rsidP="00563497">
            <w:pPr>
              <w:pStyle w:val="TableText"/>
              <w:keepNext/>
              <w:rPr>
                <w:rFonts w:cs="Segoe UI"/>
              </w:rPr>
            </w:pPr>
            <w:r w:rsidRPr="00200234">
              <w:rPr>
                <w:rFonts w:cs="Segoe UI"/>
              </w:rPr>
              <w:t>Auckland</w:t>
            </w:r>
          </w:p>
        </w:tc>
        <w:tc>
          <w:tcPr>
            <w:tcW w:w="584" w:type="pct"/>
            <w:tcBorders>
              <w:top w:val="nil"/>
            </w:tcBorders>
          </w:tcPr>
          <w:p w14:paraId="12B94032" w14:textId="77777777" w:rsidR="008361C5" w:rsidRPr="00200234" w:rsidRDefault="008361C5" w:rsidP="00D42CEF">
            <w:pPr>
              <w:pStyle w:val="TableText"/>
              <w:keepNext/>
              <w:tabs>
                <w:tab w:val="decimal" w:pos="514"/>
              </w:tabs>
              <w:rPr>
                <w:rFonts w:cs="Segoe UI"/>
              </w:rPr>
            </w:pPr>
            <w:r w:rsidRPr="00200234">
              <w:rPr>
                <w:rFonts w:cs="Segoe UI"/>
              </w:rPr>
              <w:t>25</w:t>
            </w:r>
          </w:p>
        </w:tc>
        <w:tc>
          <w:tcPr>
            <w:tcW w:w="293" w:type="pct"/>
            <w:tcBorders>
              <w:top w:val="nil"/>
              <w:bottom w:val="nil"/>
            </w:tcBorders>
            <w:shd w:val="clear" w:color="auto" w:fill="auto"/>
          </w:tcPr>
          <w:p w14:paraId="67E082DF" w14:textId="77777777" w:rsidR="008361C5" w:rsidRPr="00200234" w:rsidRDefault="008361C5" w:rsidP="00563497">
            <w:pPr>
              <w:pStyle w:val="TableText"/>
              <w:keepNext/>
              <w:rPr>
                <w:rFonts w:cs="Segoe UI"/>
              </w:rPr>
            </w:pPr>
          </w:p>
        </w:tc>
        <w:tc>
          <w:tcPr>
            <w:tcW w:w="1755" w:type="pct"/>
            <w:tcBorders>
              <w:top w:val="nil"/>
            </w:tcBorders>
          </w:tcPr>
          <w:p w14:paraId="2B099482" w14:textId="77777777" w:rsidR="008361C5" w:rsidRPr="00200234" w:rsidRDefault="008361C5" w:rsidP="00563497">
            <w:pPr>
              <w:pStyle w:val="TableText"/>
              <w:keepNext/>
              <w:rPr>
                <w:rFonts w:cs="Segoe UI"/>
              </w:rPr>
            </w:pPr>
            <w:r w:rsidRPr="00200234">
              <w:rPr>
                <w:rFonts w:cs="Segoe UI"/>
              </w:rPr>
              <w:t>Northland</w:t>
            </w:r>
          </w:p>
        </w:tc>
        <w:tc>
          <w:tcPr>
            <w:tcW w:w="614" w:type="pct"/>
            <w:tcBorders>
              <w:top w:val="nil"/>
            </w:tcBorders>
          </w:tcPr>
          <w:p w14:paraId="2992FD7E" w14:textId="77777777" w:rsidR="008361C5" w:rsidRPr="00200234" w:rsidRDefault="008361C5" w:rsidP="00D42CEF">
            <w:pPr>
              <w:pStyle w:val="TableText"/>
              <w:keepNext/>
              <w:tabs>
                <w:tab w:val="decimal" w:pos="651"/>
              </w:tabs>
              <w:rPr>
                <w:rFonts w:cs="Segoe UI"/>
              </w:rPr>
            </w:pPr>
            <w:r w:rsidRPr="00200234">
              <w:rPr>
                <w:rFonts w:cs="Segoe UI"/>
              </w:rPr>
              <w:t>6</w:t>
            </w:r>
          </w:p>
        </w:tc>
      </w:tr>
      <w:tr w:rsidR="008361C5" w:rsidRPr="00200234" w14:paraId="02BAA6D8" w14:textId="77777777" w:rsidTr="00563497">
        <w:trPr>
          <w:cantSplit/>
          <w:trHeight w:val="278"/>
        </w:trPr>
        <w:tc>
          <w:tcPr>
            <w:tcW w:w="1754" w:type="pct"/>
          </w:tcPr>
          <w:p w14:paraId="174B9076" w14:textId="77777777" w:rsidR="008361C5" w:rsidRPr="00200234" w:rsidRDefault="008361C5" w:rsidP="00563497">
            <w:pPr>
              <w:pStyle w:val="TableText"/>
              <w:keepNext/>
              <w:rPr>
                <w:rFonts w:cs="Segoe UI"/>
              </w:rPr>
            </w:pPr>
            <w:r w:rsidRPr="00200234">
              <w:rPr>
                <w:rFonts w:cs="Segoe UI"/>
              </w:rPr>
              <w:t>Bay of Plenty</w:t>
            </w:r>
          </w:p>
        </w:tc>
        <w:tc>
          <w:tcPr>
            <w:tcW w:w="584" w:type="pct"/>
          </w:tcPr>
          <w:p w14:paraId="48F1B650" w14:textId="77777777" w:rsidR="008361C5" w:rsidRPr="00200234" w:rsidRDefault="008361C5" w:rsidP="00D42CEF">
            <w:pPr>
              <w:pStyle w:val="TableText"/>
              <w:keepNext/>
              <w:tabs>
                <w:tab w:val="decimal" w:pos="514"/>
              </w:tabs>
              <w:rPr>
                <w:rFonts w:cs="Segoe UI"/>
              </w:rPr>
            </w:pPr>
            <w:r w:rsidRPr="00200234">
              <w:rPr>
                <w:rFonts w:cs="Segoe UI"/>
              </w:rPr>
              <w:t>8</w:t>
            </w:r>
          </w:p>
        </w:tc>
        <w:tc>
          <w:tcPr>
            <w:tcW w:w="293" w:type="pct"/>
            <w:tcBorders>
              <w:top w:val="nil"/>
              <w:bottom w:val="nil"/>
            </w:tcBorders>
            <w:shd w:val="clear" w:color="auto" w:fill="auto"/>
          </w:tcPr>
          <w:p w14:paraId="7BEC04C8" w14:textId="77777777" w:rsidR="008361C5" w:rsidRPr="00200234" w:rsidRDefault="008361C5" w:rsidP="00563497">
            <w:pPr>
              <w:pStyle w:val="TableText"/>
              <w:keepNext/>
              <w:rPr>
                <w:rFonts w:cs="Segoe UI"/>
              </w:rPr>
            </w:pPr>
          </w:p>
        </w:tc>
        <w:tc>
          <w:tcPr>
            <w:tcW w:w="1755" w:type="pct"/>
          </w:tcPr>
          <w:p w14:paraId="2880782D" w14:textId="77777777" w:rsidR="008361C5" w:rsidRPr="00200234" w:rsidRDefault="008361C5" w:rsidP="00563497">
            <w:pPr>
              <w:pStyle w:val="TableText"/>
              <w:keepNext/>
              <w:rPr>
                <w:rFonts w:cs="Segoe UI"/>
              </w:rPr>
            </w:pPr>
            <w:r w:rsidRPr="00200234">
              <w:rPr>
                <w:rFonts w:cs="Segoe UI"/>
              </w:rPr>
              <w:t>South Canterbury</w:t>
            </w:r>
          </w:p>
        </w:tc>
        <w:tc>
          <w:tcPr>
            <w:tcW w:w="614" w:type="pct"/>
          </w:tcPr>
          <w:p w14:paraId="638F1237" w14:textId="77777777" w:rsidR="008361C5" w:rsidRPr="00200234" w:rsidRDefault="008361C5" w:rsidP="00D42CEF">
            <w:pPr>
              <w:pStyle w:val="TableText"/>
              <w:keepNext/>
              <w:tabs>
                <w:tab w:val="decimal" w:pos="651"/>
              </w:tabs>
              <w:rPr>
                <w:rFonts w:cs="Segoe UI"/>
              </w:rPr>
            </w:pPr>
            <w:r w:rsidRPr="00200234">
              <w:rPr>
                <w:rFonts w:cs="Segoe UI"/>
              </w:rPr>
              <w:t>3</w:t>
            </w:r>
          </w:p>
        </w:tc>
      </w:tr>
      <w:tr w:rsidR="008361C5" w:rsidRPr="00200234" w14:paraId="0520C223" w14:textId="77777777" w:rsidTr="00563497">
        <w:trPr>
          <w:cantSplit/>
          <w:trHeight w:val="267"/>
        </w:trPr>
        <w:tc>
          <w:tcPr>
            <w:tcW w:w="1754" w:type="pct"/>
          </w:tcPr>
          <w:p w14:paraId="4D9F5E4C" w14:textId="77777777" w:rsidR="008361C5" w:rsidRPr="00200234" w:rsidRDefault="008361C5" w:rsidP="00563497">
            <w:pPr>
              <w:pStyle w:val="TableText"/>
              <w:keepNext/>
              <w:rPr>
                <w:rFonts w:cs="Segoe UI"/>
              </w:rPr>
            </w:pPr>
            <w:r w:rsidRPr="00200234">
              <w:rPr>
                <w:rFonts w:cs="Segoe UI"/>
              </w:rPr>
              <w:t>Canterbury</w:t>
            </w:r>
          </w:p>
        </w:tc>
        <w:tc>
          <w:tcPr>
            <w:tcW w:w="584" w:type="pct"/>
          </w:tcPr>
          <w:p w14:paraId="75F15B6E" w14:textId="77777777" w:rsidR="008361C5" w:rsidRPr="00200234" w:rsidRDefault="008361C5" w:rsidP="00D42CEF">
            <w:pPr>
              <w:pStyle w:val="TableText"/>
              <w:keepNext/>
              <w:tabs>
                <w:tab w:val="decimal" w:pos="514"/>
              </w:tabs>
              <w:rPr>
                <w:rFonts w:cs="Segoe UI"/>
              </w:rPr>
            </w:pPr>
            <w:r w:rsidRPr="00200234">
              <w:rPr>
                <w:rFonts w:cs="Segoe UI"/>
              </w:rPr>
              <w:t>24</w:t>
            </w:r>
          </w:p>
        </w:tc>
        <w:tc>
          <w:tcPr>
            <w:tcW w:w="293" w:type="pct"/>
            <w:tcBorders>
              <w:top w:val="nil"/>
              <w:bottom w:val="nil"/>
            </w:tcBorders>
            <w:shd w:val="clear" w:color="auto" w:fill="auto"/>
          </w:tcPr>
          <w:p w14:paraId="474D894A" w14:textId="77777777" w:rsidR="008361C5" w:rsidRPr="00200234" w:rsidRDefault="008361C5" w:rsidP="00563497">
            <w:pPr>
              <w:pStyle w:val="TableText"/>
              <w:keepNext/>
              <w:rPr>
                <w:rFonts w:cs="Segoe UI"/>
              </w:rPr>
            </w:pPr>
          </w:p>
        </w:tc>
        <w:tc>
          <w:tcPr>
            <w:tcW w:w="1755" w:type="pct"/>
          </w:tcPr>
          <w:p w14:paraId="0498BF51" w14:textId="77777777" w:rsidR="008361C5" w:rsidRPr="00200234" w:rsidRDefault="008361C5" w:rsidP="00563497">
            <w:pPr>
              <w:pStyle w:val="TableText"/>
              <w:keepNext/>
              <w:rPr>
                <w:rFonts w:cs="Segoe UI"/>
              </w:rPr>
            </w:pPr>
            <w:r w:rsidRPr="00200234">
              <w:rPr>
                <w:rFonts w:cs="Segoe UI"/>
              </w:rPr>
              <w:t>Southern</w:t>
            </w:r>
          </w:p>
        </w:tc>
        <w:tc>
          <w:tcPr>
            <w:tcW w:w="614" w:type="pct"/>
          </w:tcPr>
          <w:p w14:paraId="72F03B53" w14:textId="77777777" w:rsidR="008361C5" w:rsidRPr="00200234" w:rsidRDefault="008361C5" w:rsidP="00D42CEF">
            <w:pPr>
              <w:pStyle w:val="TableText"/>
              <w:keepNext/>
              <w:tabs>
                <w:tab w:val="decimal" w:pos="651"/>
              </w:tabs>
              <w:rPr>
                <w:rFonts w:cs="Segoe UI"/>
              </w:rPr>
            </w:pPr>
            <w:r w:rsidRPr="00200234">
              <w:rPr>
                <w:rFonts w:cs="Segoe UI"/>
              </w:rPr>
              <w:t>29</w:t>
            </w:r>
          </w:p>
        </w:tc>
      </w:tr>
      <w:tr w:rsidR="008361C5" w:rsidRPr="00200234" w14:paraId="36934ECD" w14:textId="77777777" w:rsidTr="00563497">
        <w:trPr>
          <w:cantSplit/>
          <w:trHeight w:val="278"/>
        </w:trPr>
        <w:tc>
          <w:tcPr>
            <w:tcW w:w="1754" w:type="pct"/>
          </w:tcPr>
          <w:p w14:paraId="54C46A3E" w14:textId="77777777" w:rsidR="008361C5" w:rsidRPr="00200234" w:rsidRDefault="008361C5" w:rsidP="00563497">
            <w:pPr>
              <w:pStyle w:val="TableText"/>
              <w:keepNext/>
              <w:rPr>
                <w:rFonts w:cs="Segoe UI"/>
              </w:rPr>
            </w:pPr>
            <w:r w:rsidRPr="00200234">
              <w:rPr>
                <w:rFonts w:cs="Segoe UI"/>
              </w:rPr>
              <w:t>Capital &amp; Coast</w:t>
            </w:r>
          </w:p>
        </w:tc>
        <w:tc>
          <w:tcPr>
            <w:tcW w:w="584" w:type="pct"/>
          </w:tcPr>
          <w:p w14:paraId="0E2CA8D7" w14:textId="77777777" w:rsidR="008361C5" w:rsidRPr="00200234" w:rsidRDefault="008361C5" w:rsidP="00D42CEF">
            <w:pPr>
              <w:pStyle w:val="TableText"/>
              <w:keepNext/>
              <w:tabs>
                <w:tab w:val="decimal" w:pos="514"/>
              </w:tabs>
              <w:rPr>
                <w:rFonts w:cs="Segoe UI"/>
              </w:rPr>
            </w:pPr>
            <w:r w:rsidRPr="00200234">
              <w:rPr>
                <w:rFonts w:cs="Segoe UI"/>
              </w:rPr>
              <w:t>15</w:t>
            </w:r>
          </w:p>
        </w:tc>
        <w:tc>
          <w:tcPr>
            <w:tcW w:w="293" w:type="pct"/>
            <w:tcBorders>
              <w:top w:val="nil"/>
              <w:bottom w:val="nil"/>
            </w:tcBorders>
            <w:shd w:val="clear" w:color="auto" w:fill="auto"/>
          </w:tcPr>
          <w:p w14:paraId="6255EB30" w14:textId="77777777" w:rsidR="008361C5" w:rsidRPr="00200234" w:rsidRDefault="008361C5" w:rsidP="00563497">
            <w:pPr>
              <w:pStyle w:val="TableText"/>
              <w:keepNext/>
              <w:rPr>
                <w:rFonts w:cs="Segoe UI"/>
              </w:rPr>
            </w:pPr>
          </w:p>
        </w:tc>
        <w:tc>
          <w:tcPr>
            <w:tcW w:w="1755" w:type="pct"/>
          </w:tcPr>
          <w:p w14:paraId="152C7B4A" w14:textId="77777777" w:rsidR="008361C5" w:rsidRPr="00200234" w:rsidRDefault="008361C5" w:rsidP="00563497">
            <w:pPr>
              <w:pStyle w:val="TableText"/>
              <w:keepNext/>
              <w:rPr>
                <w:rFonts w:cs="Segoe UI"/>
              </w:rPr>
            </w:pPr>
            <w:proofErr w:type="spellStart"/>
            <w:r w:rsidRPr="00200234">
              <w:rPr>
                <w:rFonts w:cs="Segoe UI"/>
              </w:rPr>
              <w:t>Tairāwhiti</w:t>
            </w:r>
            <w:proofErr w:type="spellEnd"/>
          </w:p>
        </w:tc>
        <w:tc>
          <w:tcPr>
            <w:tcW w:w="614" w:type="pct"/>
          </w:tcPr>
          <w:p w14:paraId="66827A1B" w14:textId="77777777" w:rsidR="008361C5" w:rsidRPr="00200234" w:rsidRDefault="008361C5" w:rsidP="00D42CEF">
            <w:pPr>
              <w:pStyle w:val="TableText"/>
              <w:keepNext/>
              <w:tabs>
                <w:tab w:val="decimal" w:pos="651"/>
              </w:tabs>
              <w:rPr>
                <w:rFonts w:cs="Segoe UI"/>
              </w:rPr>
            </w:pPr>
            <w:r w:rsidRPr="00200234">
              <w:rPr>
                <w:rFonts w:cs="Segoe UI"/>
              </w:rPr>
              <w:t>7</w:t>
            </w:r>
          </w:p>
        </w:tc>
      </w:tr>
      <w:tr w:rsidR="008361C5" w:rsidRPr="00200234" w14:paraId="5EB4472F" w14:textId="77777777" w:rsidTr="00563497">
        <w:trPr>
          <w:cantSplit/>
          <w:trHeight w:val="267"/>
        </w:trPr>
        <w:tc>
          <w:tcPr>
            <w:tcW w:w="1754" w:type="pct"/>
          </w:tcPr>
          <w:p w14:paraId="4C42E504" w14:textId="77777777" w:rsidR="008361C5" w:rsidRPr="00200234" w:rsidRDefault="008361C5" w:rsidP="00563497">
            <w:pPr>
              <w:pStyle w:val="TableText"/>
              <w:keepNext/>
              <w:rPr>
                <w:rFonts w:cs="Segoe UI"/>
              </w:rPr>
            </w:pPr>
            <w:r w:rsidRPr="00200234">
              <w:rPr>
                <w:rFonts w:cs="Segoe UI"/>
              </w:rPr>
              <w:t>Counties Manukau</w:t>
            </w:r>
          </w:p>
        </w:tc>
        <w:tc>
          <w:tcPr>
            <w:tcW w:w="584" w:type="pct"/>
          </w:tcPr>
          <w:p w14:paraId="3D589C6D" w14:textId="77777777" w:rsidR="008361C5" w:rsidRPr="00200234" w:rsidRDefault="008361C5" w:rsidP="00D42CEF">
            <w:pPr>
              <w:pStyle w:val="TableText"/>
              <w:keepNext/>
              <w:tabs>
                <w:tab w:val="decimal" w:pos="514"/>
              </w:tabs>
              <w:rPr>
                <w:rFonts w:cs="Segoe UI"/>
              </w:rPr>
            </w:pPr>
            <w:r w:rsidRPr="00200234">
              <w:rPr>
                <w:rFonts w:cs="Segoe UI"/>
              </w:rPr>
              <w:t>13</w:t>
            </w:r>
          </w:p>
        </w:tc>
        <w:tc>
          <w:tcPr>
            <w:tcW w:w="293" w:type="pct"/>
            <w:tcBorders>
              <w:top w:val="nil"/>
              <w:bottom w:val="nil"/>
            </w:tcBorders>
            <w:shd w:val="clear" w:color="auto" w:fill="auto"/>
          </w:tcPr>
          <w:p w14:paraId="0B75D080" w14:textId="77777777" w:rsidR="008361C5" w:rsidRPr="00200234" w:rsidRDefault="008361C5" w:rsidP="00563497">
            <w:pPr>
              <w:pStyle w:val="TableText"/>
              <w:keepNext/>
              <w:rPr>
                <w:rFonts w:cs="Segoe UI"/>
              </w:rPr>
            </w:pPr>
          </w:p>
        </w:tc>
        <w:tc>
          <w:tcPr>
            <w:tcW w:w="1755" w:type="pct"/>
          </w:tcPr>
          <w:p w14:paraId="41CC7C3E" w14:textId="77777777" w:rsidR="008361C5" w:rsidRPr="00200234" w:rsidRDefault="008361C5" w:rsidP="00563497">
            <w:pPr>
              <w:pStyle w:val="TableText"/>
              <w:keepNext/>
              <w:rPr>
                <w:rFonts w:cs="Segoe UI"/>
              </w:rPr>
            </w:pPr>
            <w:r w:rsidRPr="00200234">
              <w:rPr>
                <w:rFonts w:cs="Segoe UI"/>
              </w:rPr>
              <w:t>Taranaki</w:t>
            </w:r>
          </w:p>
        </w:tc>
        <w:tc>
          <w:tcPr>
            <w:tcW w:w="614" w:type="pct"/>
          </w:tcPr>
          <w:p w14:paraId="5CC723C6" w14:textId="77777777" w:rsidR="008361C5" w:rsidRPr="00200234" w:rsidRDefault="008361C5" w:rsidP="00D42CEF">
            <w:pPr>
              <w:pStyle w:val="TableText"/>
              <w:keepNext/>
              <w:tabs>
                <w:tab w:val="decimal" w:pos="651"/>
              </w:tabs>
              <w:rPr>
                <w:rFonts w:cs="Segoe UI"/>
              </w:rPr>
            </w:pPr>
            <w:r w:rsidRPr="00200234">
              <w:rPr>
                <w:rFonts w:cs="Segoe UI"/>
              </w:rPr>
              <w:t>4</w:t>
            </w:r>
          </w:p>
        </w:tc>
      </w:tr>
      <w:tr w:rsidR="008361C5" w:rsidRPr="00200234" w14:paraId="3F6A5CF5" w14:textId="77777777" w:rsidTr="00563497">
        <w:trPr>
          <w:cantSplit/>
          <w:trHeight w:val="278"/>
        </w:trPr>
        <w:tc>
          <w:tcPr>
            <w:tcW w:w="1754" w:type="pct"/>
          </w:tcPr>
          <w:p w14:paraId="451BB143" w14:textId="77777777" w:rsidR="008361C5" w:rsidRPr="00200234" w:rsidRDefault="008361C5" w:rsidP="00563497">
            <w:pPr>
              <w:pStyle w:val="TableText"/>
              <w:keepNext/>
              <w:rPr>
                <w:rFonts w:cs="Segoe UI"/>
              </w:rPr>
            </w:pPr>
            <w:r w:rsidRPr="00200234">
              <w:rPr>
                <w:rFonts w:cs="Segoe UI"/>
              </w:rPr>
              <w:t>Hawke’s Bay</w:t>
            </w:r>
          </w:p>
        </w:tc>
        <w:tc>
          <w:tcPr>
            <w:tcW w:w="584" w:type="pct"/>
          </w:tcPr>
          <w:p w14:paraId="526C335A" w14:textId="77777777" w:rsidR="008361C5" w:rsidRPr="00200234" w:rsidRDefault="008361C5" w:rsidP="00D42CEF">
            <w:pPr>
              <w:pStyle w:val="TableText"/>
              <w:keepNext/>
              <w:tabs>
                <w:tab w:val="decimal" w:pos="514"/>
              </w:tabs>
              <w:rPr>
                <w:rFonts w:cs="Segoe UI"/>
              </w:rPr>
            </w:pPr>
            <w:r w:rsidRPr="00200234">
              <w:rPr>
                <w:rFonts w:cs="Segoe UI"/>
              </w:rPr>
              <w:t>6</w:t>
            </w:r>
          </w:p>
        </w:tc>
        <w:tc>
          <w:tcPr>
            <w:tcW w:w="293" w:type="pct"/>
            <w:tcBorders>
              <w:top w:val="nil"/>
              <w:bottom w:val="nil"/>
            </w:tcBorders>
            <w:shd w:val="clear" w:color="auto" w:fill="auto"/>
          </w:tcPr>
          <w:p w14:paraId="1BFADFA3" w14:textId="77777777" w:rsidR="008361C5" w:rsidRPr="00200234" w:rsidRDefault="008361C5" w:rsidP="00563497">
            <w:pPr>
              <w:pStyle w:val="TableText"/>
              <w:keepNext/>
              <w:rPr>
                <w:rFonts w:cs="Segoe UI"/>
              </w:rPr>
            </w:pPr>
          </w:p>
        </w:tc>
        <w:tc>
          <w:tcPr>
            <w:tcW w:w="1755" w:type="pct"/>
          </w:tcPr>
          <w:p w14:paraId="02621ED3" w14:textId="77777777" w:rsidR="008361C5" w:rsidRPr="00200234" w:rsidRDefault="008361C5" w:rsidP="00563497">
            <w:pPr>
              <w:pStyle w:val="TableText"/>
              <w:keepNext/>
              <w:rPr>
                <w:rFonts w:cs="Segoe UI"/>
              </w:rPr>
            </w:pPr>
            <w:r w:rsidRPr="00200234">
              <w:rPr>
                <w:rFonts w:cs="Segoe UI"/>
              </w:rPr>
              <w:t>Waikato</w:t>
            </w:r>
          </w:p>
        </w:tc>
        <w:tc>
          <w:tcPr>
            <w:tcW w:w="614" w:type="pct"/>
          </w:tcPr>
          <w:p w14:paraId="09453762" w14:textId="77777777" w:rsidR="008361C5" w:rsidRPr="00200234" w:rsidRDefault="008361C5" w:rsidP="00D42CEF">
            <w:pPr>
              <w:pStyle w:val="TableText"/>
              <w:keepNext/>
              <w:tabs>
                <w:tab w:val="decimal" w:pos="651"/>
              </w:tabs>
              <w:rPr>
                <w:rFonts w:cs="Segoe UI"/>
              </w:rPr>
            </w:pPr>
            <w:r w:rsidRPr="00200234">
              <w:rPr>
                <w:rFonts w:cs="Segoe UI"/>
              </w:rPr>
              <w:t>17</w:t>
            </w:r>
          </w:p>
        </w:tc>
      </w:tr>
      <w:tr w:rsidR="008361C5" w:rsidRPr="00200234" w14:paraId="6E38A94F" w14:textId="77777777" w:rsidTr="00563497">
        <w:trPr>
          <w:cantSplit/>
          <w:trHeight w:val="278"/>
        </w:trPr>
        <w:tc>
          <w:tcPr>
            <w:tcW w:w="1754" w:type="pct"/>
          </w:tcPr>
          <w:p w14:paraId="6E7CEFDE" w14:textId="77777777" w:rsidR="008361C5" w:rsidRPr="00200234" w:rsidRDefault="008361C5" w:rsidP="00563497">
            <w:pPr>
              <w:pStyle w:val="TableText"/>
              <w:keepNext/>
              <w:rPr>
                <w:rFonts w:cs="Segoe UI"/>
              </w:rPr>
            </w:pPr>
            <w:r w:rsidRPr="00200234">
              <w:rPr>
                <w:rFonts w:cs="Segoe UI"/>
              </w:rPr>
              <w:t>Hutt Valley</w:t>
            </w:r>
          </w:p>
        </w:tc>
        <w:tc>
          <w:tcPr>
            <w:tcW w:w="584" w:type="pct"/>
          </w:tcPr>
          <w:p w14:paraId="4A0B1680" w14:textId="77777777" w:rsidR="008361C5" w:rsidRPr="00200234" w:rsidRDefault="008361C5" w:rsidP="00D42CEF">
            <w:pPr>
              <w:pStyle w:val="TableText"/>
              <w:keepNext/>
              <w:tabs>
                <w:tab w:val="decimal" w:pos="514"/>
              </w:tabs>
              <w:rPr>
                <w:rFonts w:cs="Segoe UI"/>
              </w:rPr>
            </w:pPr>
            <w:r w:rsidRPr="00200234">
              <w:rPr>
                <w:rFonts w:cs="Segoe UI"/>
              </w:rPr>
              <w:t>4</w:t>
            </w:r>
          </w:p>
        </w:tc>
        <w:tc>
          <w:tcPr>
            <w:tcW w:w="293" w:type="pct"/>
            <w:tcBorders>
              <w:top w:val="nil"/>
              <w:bottom w:val="nil"/>
            </w:tcBorders>
            <w:shd w:val="clear" w:color="auto" w:fill="auto"/>
          </w:tcPr>
          <w:p w14:paraId="266B1A46" w14:textId="77777777" w:rsidR="008361C5" w:rsidRPr="00200234" w:rsidRDefault="008361C5" w:rsidP="00563497">
            <w:pPr>
              <w:pStyle w:val="TableText"/>
              <w:keepNext/>
              <w:rPr>
                <w:rFonts w:cs="Segoe UI"/>
              </w:rPr>
            </w:pPr>
          </w:p>
        </w:tc>
        <w:tc>
          <w:tcPr>
            <w:tcW w:w="1755" w:type="pct"/>
          </w:tcPr>
          <w:p w14:paraId="75DBA6E0" w14:textId="77777777" w:rsidR="008361C5" w:rsidRPr="00200234" w:rsidRDefault="008361C5" w:rsidP="00563497">
            <w:pPr>
              <w:pStyle w:val="TableText"/>
              <w:keepNext/>
              <w:rPr>
                <w:rFonts w:cs="Segoe UI"/>
              </w:rPr>
            </w:pPr>
            <w:r w:rsidRPr="00200234">
              <w:rPr>
                <w:rFonts w:cs="Segoe UI"/>
              </w:rPr>
              <w:t>Wairarapa</w:t>
            </w:r>
          </w:p>
        </w:tc>
        <w:tc>
          <w:tcPr>
            <w:tcW w:w="614" w:type="pct"/>
          </w:tcPr>
          <w:p w14:paraId="069DC91A" w14:textId="77777777" w:rsidR="008361C5" w:rsidRPr="00200234" w:rsidRDefault="008361C5" w:rsidP="00D42CEF">
            <w:pPr>
              <w:pStyle w:val="TableText"/>
              <w:keepNext/>
              <w:tabs>
                <w:tab w:val="decimal" w:pos="651"/>
              </w:tabs>
              <w:rPr>
                <w:rFonts w:cs="Segoe UI"/>
              </w:rPr>
            </w:pPr>
            <w:r w:rsidRPr="00200234">
              <w:rPr>
                <w:rFonts w:cs="Segoe UI"/>
              </w:rPr>
              <w:t>0</w:t>
            </w:r>
          </w:p>
        </w:tc>
      </w:tr>
      <w:tr w:rsidR="008361C5" w:rsidRPr="00200234" w14:paraId="2CD9FA82" w14:textId="77777777" w:rsidTr="00563497">
        <w:trPr>
          <w:cantSplit/>
          <w:trHeight w:val="267"/>
        </w:trPr>
        <w:tc>
          <w:tcPr>
            <w:tcW w:w="1754" w:type="pct"/>
          </w:tcPr>
          <w:p w14:paraId="0EC424C1" w14:textId="77777777" w:rsidR="008361C5" w:rsidRPr="00200234" w:rsidRDefault="008361C5" w:rsidP="00563497">
            <w:pPr>
              <w:pStyle w:val="TableText"/>
              <w:keepNext/>
              <w:rPr>
                <w:rFonts w:cs="Segoe UI"/>
              </w:rPr>
            </w:pPr>
            <w:r w:rsidRPr="00200234">
              <w:rPr>
                <w:rFonts w:cs="Segoe UI"/>
              </w:rPr>
              <w:t>Lakes</w:t>
            </w:r>
          </w:p>
        </w:tc>
        <w:tc>
          <w:tcPr>
            <w:tcW w:w="584" w:type="pct"/>
          </w:tcPr>
          <w:p w14:paraId="15C2A6B4" w14:textId="77777777" w:rsidR="008361C5" w:rsidRPr="00200234" w:rsidRDefault="008361C5" w:rsidP="00D42CEF">
            <w:pPr>
              <w:pStyle w:val="TableText"/>
              <w:keepNext/>
              <w:tabs>
                <w:tab w:val="decimal" w:pos="514"/>
              </w:tabs>
              <w:rPr>
                <w:rFonts w:cs="Segoe UI"/>
              </w:rPr>
            </w:pPr>
            <w:r w:rsidRPr="00200234">
              <w:rPr>
                <w:rFonts w:cs="Segoe UI"/>
              </w:rPr>
              <w:t>9</w:t>
            </w:r>
          </w:p>
        </w:tc>
        <w:tc>
          <w:tcPr>
            <w:tcW w:w="293" w:type="pct"/>
            <w:tcBorders>
              <w:top w:val="nil"/>
              <w:bottom w:val="nil"/>
            </w:tcBorders>
            <w:shd w:val="clear" w:color="auto" w:fill="auto"/>
          </w:tcPr>
          <w:p w14:paraId="67820FC5" w14:textId="77777777" w:rsidR="008361C5" w:rsidRPr="00200234" w:rsidRDefault="008361C5" w:rsidP="00563497">
            <w:pPr>
              <w:pStyle w:val="TableText"/>
              <w:keepNext/>
              <w:rPr>
                <w:rFonts w:cs="Segoe UI"/>
              </w:rPr>
            </w:pPr>
          </w:p>
        </w:tc>
        <w:tc>
          <w:tcPr>
            <w:tcW w:w="1755" w:type="pct"/>
          </w:tcPr>
          <w:p w14:paraId="03A3E43E" w14:textId="77777777" w:rsidR="008361C5" w:rsidRPr="00200234" w:rsidRDefault="008361C5" w:rsidP="00563497">
            <w:pPr>
              <w:pStyle w:val="TableText"/>
              <w:keepNext/>
              <w:rPr>
                <w:rFonts w:cs="Segoe UI"/>
              </w:rPr>
            </w:pPr>
            <w:proofErr w:type="spellStart"/>
            <w:r w:rsidRPr="00200234">
              <w:rPr>
                <w:rFonts w:cs="Segoe UI"/>
              </w:rPr>
              <w:t>Waitematā</w:t>
            </w:r>
            <w:proofErr w:type="spellEnd"/>
          </w:p>
        </w:tc>
        <w:tc>
          <w:tcPr>
            <w:tcW w:w="614" w:type="pct"/>
          </w:tcPr>
          <w:p w14:paraId="4177D2AC" w14:textId="77777777" w:rsidR="008361C5" w:rsidRPr="00200234" w:rsidRDefault="008361C5" w:rsidP="00D42CEF">
            <w:pPr>
              <w:pStyle w:val="TableText"/>
              <w:keepNext/>
              <w:tabs>
                <w:tab w:val="decimal" w:pos="651"/>
              </w:tabs>
              <w:rPr>
                <w:rFonts w:cs="Segoe UI"/>
              </w:rPr>
            </w:pPr>
            <w:r w:rsidRPr="00200234">
              <w:rPr>
                <w:rFonts w:cs="Segoe UI"/>
              </w:rPr>
              <w:t>26</w:t>
            </w:r>
          </w:p>
        </w:tc>
      </w:tr>
      <w:tr w:rsidR="008361C5" w:rsidRPr="00200234" w14:paraId="561F7BB6" w14:textId="77777777" w:rsidTr="00563497">
        <w:trPr>
          <w:cantSplit/>
          <w:trHeight w:val="278"/>
        </w:trPr>
        <w:tc>
          <w:tcPr>
            <w:tcW w:w="1754" w:type="pct"/>
          </w:tcPr>
          <w:p w14:paraId="416C27E4" w14:textId="77777777" w:rsidR="008361C5" w:rsidRPr="00200234" w:rsidRDefault="008361C5" w:rsidP="00563497">
            <w:pPr>
              <w:pStyle w:val="TableText"/>
              <w:keepNext/>
              <w:rPr>
                <w:rFonts w:cs="Segoe UI"/>
              </w:rPr>
            </w:pPr>
            <w:proofErr w:type="spellStart"/>
            <w:r w:rsidRPr="00200234">
              <w:rPr>
                <w:rFonts w:cs="Segoe UI"/>
              </w:rPr>
              <w:t>MidCentral</w:t>
            </w:r>
            <w:proofErr w:type="spellEnd"/>
          </w:p>
        </w:tc>
        <w:tc>
          <w:tcPr>
            <w:tcW w:w="584" w:type="pct"/>
          </w:tcPr>
          <w:p w14:paraId="6D43276C" w14:textId="77777777" w:rsidR="008361C5" w:rsidRPr="00200234" w:rsidRDefault="008361C5" w:rsidP="00D42CEF">
            <w:pPr>
              <w:pStyle w:val="TableText"/>
              <w:keepNext/>
              <w:tabs>
                <w:tab w:val="decimal" w:pos="514"/>
              </w:tabs>
              <w:rPr>
                <w:rFonts w:cs="Segoe UI"/>
              </w:rPr>
            </w:pPr>
            <w:r w:rsidRPr="00200234">
              <w:rPr>
                <w:rFonts w:cs="Segoe UI"/>
              </w:rPr>
              <w:t>10</w:t>
            </w:r>
          </w:p>
        </w:tc>
        <w:tc>
          <w:tcPr>
            <w:tcW w:w="293" w:type="pct"/>
            <w:tcBorders>
              <w:top w:val="nil"/>
              <w:bottom w:val="nil"/>
            </w:tcBorders>
            <w:shd w:val="clear" w:color="auto" w:fill="auto"/>
          </w:tcPr>
          <w:p w14:paraId="444C5305" w14:textId="77777777" w:rsidR="008361C5" w:rsidRPr="00200234" w:rsidRDefault="008361C5" w:rsidP="00563497">
            <w:pPr>
              <w:pStyle w:val="TableText"/>
              <w:keepNext/>
              <w:rPr>
                <w:rFonts w:cs="Segoe UI"/>
              </w:rPr>
            </w:pPr>
          </w:p>
        </w:tc>
        <w:tc>
          <w:tcPr>
            <w:tcW w:w="1755" w:type="pct"/>
          </w:tcPr>
          <w:p w14:paraId="3F19B92A" w14:textId="77777777" w:rsidR="008361C5" w:rsidRPr="00200234" w:rsidRDefault="008361C5" w:rsidP="00563497">
            <w:pPr>
              <w:pStyle w:val="TableText"/>
              <w:keepNext/>
              <w:rPr>
                <w:rFonts w:cs="Segoe UI"/>
              </w:rPr>
            </w:pPr>
            <w:r w:rsidRPr="00200234">
              <w:rPr>
                <w:rFonts w:cs="Segoe UI"/>
              </w:rPr>
              <w:t>West Coast</w:t>
            </w:r>
          </w:p>
        </w:tc>
        <w:tc>
          <w:tcPr>
            <w:tcW w:w="614" w:type="pct"/>
          </w:tcPr>
          <w:p w14:paraId="58E14BA2" w14:textId="77777777" w:rsidR="008361C5" w:rsidRPr="00200234" w:rsidRDefault="008361C5" w:rsidP="00D42CEF">
            <w:pPr>
              <w:pStyle w:val="TableText"/>
              <w:keepNext/>
              <w:tabs>
                <w:tab w:val="decimal" w:pos="651"/>
              </w:tabs>
              <w:rPr>
                <w:rFonts w:cs="Segoe UI"/>
              </w:rPr>
            </w:pPr>
            <w:r w:rsidRPr="00200234">
              <w:rPr>
                <w:rFonts w:cs="Segoe UI"/>
              </w:rPr>
              <w:t>3</w:t>
            </w:r>
          </w:p>
        </w:tc>
      </w:tr>
      <w:tr w:rsidR="008361C5" w:rsidRPr="00200234" w14:paraId="25E8EA4D" w14:textId="77777777" w:rsidTr="00563497">
        <w:trPr>
          <w:cantSplit/>
          <w:trHeight w:val="278"/>
        </w:trPr>
        <w:tc>
          <w:tcPr>
            <w:tcW w:w="1754" w:type="pct"/>
            <w:tcBorders>
              <w:bottom w:val="single" w:sz="4" w:space="0" w:color="A6A6A6" w:themeColor="background1" w:themeShade="A6"/>
            </w:tcBorders>
          </w:tcPr>
          <w:p w14:paraId="10D9EA9C" w14:textId="77777777" w:rsidR="008361C5" w:rsidRPr="00200234" w:rsidRDefault="008361C5" w:rsidP="00563497">
            <w:pPr>
              <w:pStyle w:val="TableText"/>
              <w:keepNext/>
              <w:rPr>
                <w:rFonts w:cs="Segoe UI"/>
              </w:rPr>
            </w:pPr>
            <w:r w:rsidRPr="00200234">
              <w:rPr>
                <w:rFonts w:cs="Segoe UI"/>
              </w:rPr>
              <w:t>Nelson Marlborough</w:t>
            </w:r>
          </w:p>
        </w:tc>
        <w:tc>
          <w:tcPr>
            <w:tcW w:w="584" w:type="pct"/>
            <w:tcBorders>
              <w:bottom w:val="single" w:sz="4" w:space="0" w:color="A6A6A6" w:themeColor="background1" w:themeShade="A6"/>
            </w:tcBorders>
          </w:tcPr>
          <w:p w14:paraId="130A0EF5" w14:textId="77777777" w:rsidR="008361C5" w:rsidRPr="00200234" w:rsidRDefault="008361C5" w:rsidP="00D42CEF">
            <w:pPr>
              <w:pStyle w:val="TableText"/>
              <w:keepNext/>
              <w:tabs>
                <w:tab w:val="decimal" w:pos="514"/>
              </w:tabs>
              <w:rPr>
                <w:rFonts w:cs="Segoe UI"/>
              </w:rPr>
            </w:pPr>
            <w:r w:rsidRPr="00200234">
              <w:rPr>
                <w:rFonts w:cs="Segoe UI"/>
              </w:rPr>
              <w:t>3</w:t>
            </w:r>
          </w:p>
        </w:tc>
        <w:tc>
          <w:tcPr>
            <w:tcW w:w="293" w:type="pct"/>
            <w:tcBorders>
              <w:top w:val="nil"/>
              <w:bottom w:val="nil"/>
            </w:tcBorders>
            <w:shd w:val="clear" w:color="auto" w:fill="auto"/>
          </w:tcPr>
          <w:p w14:paraId="03EC8DE5" w14:textId="77777777" w:rsidR="008361C5" w:rsidRPr="00200234" w:rsidRDefault="008361C5" w:rsidP="00563497">
            <w:pPr>
              <w:pStyle w:val="TableText"/>
              <w:keepNext/>
              <w:rPr>
                <w:rFonts w:cs="Segoe UI"/>
              </w:rPr>
            </w:pPr>
          </w:p>
        </w:tc>
        <w:tc>
          <w:tcPr>
            <w:tcW w:w="1755" w:type="pct"/>
          </w:tcPr>
          <w:p w14:paraId="250C4935" w14:textId="77777777" w:rsidR="008361C5" w:rsidRPr="00200234" w:rsidRDefault="008361C5" w:rsidP="00563497">
            <w:pPr>
              <w:pStyle w:val="TableText"/>
              <w:keepNext/>
              <w:rPr>
                <w:rFonts w:cs="Segoe UI"/>
              </w:rPr>
            </w:pPr>
            <w:r w:rsidRPr="00200234">
              <w:rPr>
                <w:rFonts w:cs="Segoe UI"/>
              </w:rPr>
              <w:t>Whanganui</w:t>
            </w:r>
          </w:p>
        </w:tc>
        <w:tc>
          <w:tcPr>
            <w:tcW w:w="614" w:type="pct"/>
          </w:tcPr>
          <w:p w14:paraId="636146E0" w14:textId="77777777" w:rsidR="008361C5" w:rsidRPr="00200234" w:rsidRDefault="008361C5" w:rsidP="00D42CEF">
            <w:pPr>
              <w:pStyle w:val="TableText"/>
              <w:keepNext/>
              <w:tabs>
                <w:tab w:val="decimal" w:pos="651"/>
              </w:tabs>
              <w:rPr>
                <w:rFonts w:cs="Segoe UI"/>
              </w:rPr>
            </w:pPr>
            <w:r w:rsidRPr="00200234">
              <w:rPr>
                <w:rFonts w:cs="Segoe UI"/>
              </w:rPr>
              <w:t>4</w:t>
            </w:r>
          </w:p>
        </w:tc>
      </w:tr>
      <w:tr w:rsidR="008361C5" w:rsidRPr="00200234" w14:paraId="5F676209" w14:textId="77777777" w:rsidTr="00563497">
        <w:trPr>
          <w:cantSplit/>
          <w:trHeight w:val="267"/>
        </w:trPr>
        <w:tc>
          <w:tcPr>
            <w:tcW w:w="1754" w:type="pct"/>
            <w:tcBorders>
              <w:bottom w:val="nil"/>
            </w:tcBorders>
          </w:tcPr>
          <w:p w14:paraId="7371472A" w14:textId="77777777" w:rsidR="008361C5" w:rsidRPr="00200234" w:rsidRDefault="008361C5" w:rsidP="00563497">
            <w:pPr>
              <w:pStyle w:val="TableText"/>
              <w:keepNext/>
              <w:rPr>
                <w:rFonts w:cs="Segoe UI"/>
              </w:rPr>
            </w:pPr>
          </w:p>
        </w:tc>
        <w:tc>
          <w:tcPr>
            <w:tcW w:w="584" w:type="pct"/>
            <w:tcBorders>
              <w:bottom w:val="nil"/>
            </w:tcBorders>
          </w:tcPr>
          <w:p w14:paraId="5BC40321" w14:textId="77777777" w:rsidR="008361C5" w:rsidRPr="00200234" w:rsidRDefault="008361C5" w:rsidP="00563497">
            <w:pPr>
              <w:pStyle w:val="TableText"/>
              <w:keepNext/>
              <w:rPr>
                <w:rFonts w:cs="Segoe UI"/>
              </w:rPr>
            </w:pPr>
          </w:p>
        </w:tc>
        <w:tc>
          <w:tcPr>
            <w:tcW w:w="293" w:type="pct"/>
            <w:tcBorders>
              <w:top w:val="nil"/>
              <w:bottom w:val="nil"/>
            </w:tcBorders>
            <w:shd w:val="clear" w:color="auto" w:fill="auto"/>
          </w:tcPr>
          <w:p w14:paraId="09B8DFFC" w14:textId="77777777" w:rsidR="008361C5" w:rsidRPr="00200234" w:rsidRDefault="008361C5" w:rsidP="00563497">
            <w:pPr>
              <w:pStyle w:val="TableText"/>
              <w:keepNext/>
              <w:rPr>
                <w:rFonts w:cs="Segoe UI"/>
              </w:rPr>
            </w:pPr>
          </w:p>
        </w:tc>
        <w:tc>
          <w:tcPr>
            <w:tcW w:w="1755" w:type="pct"/>
          </w:tcPr>
          <w:p w14:paraId="1475759B" w14:textId="77777777" w:rsidR="008361C5" w:rsidRPr="00200234" w:rsidRDefault="008361C5" w:rsidP="00563497">
            <w:pPr>
              <w:pStyle w:val="TableText"/>
              <w:keepNext/>
              <w:rPr>
                <w:rFonts w:cs="Segoe UI"/>
              </w:rPr>
            </w:pPr>
            <w:r w:rsidRPr="00200234">
              <w:rPr>
                <w:rFonts w:cs="Segoe UI"/>
                <w:b/>
              </w:rPr>
              <w:t>New Zealand total</w:t>
            </w:r>
          </w:p>
        </w:tc>
        <w:tc>
          <w:tcPr>
            <w:tcW w:w="614" w:type="pct"/>
          </w:tcPr>
          <w:p w14:paraId="792D717B" w14:textId="77777777" w:rsidR="008361C5" w:rsidRPr="00D42CEF" w:rsidRDefault="008361C5" w:rsidP="00D42CEF">
            <w:pPr>
              <w:pStyle w:val="TableText"/>
              <w:keepNext/>
              <w:tabs>
                <w:tab w:val="decimal" w:pos="651"/>
              </w:tabs>
              <w:rPr>
                <w:rFonts w:cs="Segoe UI"/>
                <w:b/>
                <w:bCs/>
              </w:rPr>
            </w:pPr>
            <w:r w:rsidRPr="00D42CEF">
              <w:rPr>
                <w:rFonts w:cs="Segoe UI"/>
                <w:b/>
                <w:bCs/>
              </w:rPr>
              <w:t>216</w:t>
            </w:r>
          </w:p>
        </w:tc>
      </w:tr>
    </w:tbl>
    <w:p w14:paraId="1C28D1E8" w14:textId="77777777" w:rsidR="008361C5" w:rsidRPr="00200234" w:rsidRDefault="008361C5" w:rsidP="008361C5">
      <w:pPr>
        <w:tabs>
          <w:tab w:val="left" w:pos="6367"/>
        </w:tabs>
        <w:spacing w:line="20" w:lineRule="exact"/>
        <w:ind w:left="2285"/>
        <w:rPr>
          <w:rFonts w:cs="Segoe UI"/>
          <w:sz w:val="2"/>
        </w:rPr>
      </w:pPr>
      <w:r w:rsidRPr="00200234">
        <w:rPr>
          <w:rFonts w:cs="Segoe UI"/>
          <w:sz w:val="2"/>
        </w:rPr>
        <w:tab/>
      </w:r>
    </w:p>
    <w:p w14:paraId="780B3A18" w14:textId="30AE90FD" w:rsidR="008361C5" w:rsidRPr="00200234" w:rsidRDefault="008361C5" w:rsidP="008361C5">
      <w:pPr>
        <w:pStyle w:val="Note"/>
      </w:pPr>
      <w:r w:rsidRPr="00200234">
        <w:t>Source: HQSC adverse event data</w:t>
      </w:r>
      <w:r w:rsidR="0015429E">
        <w:t xml:space="preserve"> (extracted</w:t>
      </w:r>
      <w:r w:rsidRPr="00200234">
        <w:t xml:space="preserve"> 2 September 2019</w:t>
      </w:r>
      <w:r w:rsidR="003510A5">
        <w:t>)</w:t>
      </w:r>
      <w:r w:rsidRPr="00200234">
        <w:t>.</w:t>
      </w:r>
    </w:p>
    <w:p w14:paraId="61C09EB5" w14:textId="77777777" w:rsidR="008361C5" w:rsidRPr="00200234" w:rsidRDefault="008361C5" w:rsidP="00563497"/>
    <w:p w14:paraId="3595667D" w14:textId="6EBB11B7" w:rsidR="008361C5" w:rsidRPr="00200234" w:rsidRDefault="008361C5" w:rsidP="008361C5">
      <w:pPr>
        <w:pStyle w:val="Table"/>
        <w:rPr>
          <w:rFonts w:cstheme="minorBidi"/>
        </w:rPr>
      </w:pPr>
      <w:bookmarkStart w:id="269" w:name="_Ref65673177"/>
      <w:bookmarkStart w:id="270" w:name="_Toc63764680"/>
      <w:bookmarkStart w:id="271" w:name="_Toc69306787"/>
      <w:r w:rsidRPr="00200234">
        <w:lastRenderedPageBreak/>
        <w:t xml:space="preserve">Table </w:t>
      </w:r>
      <w:fldSimple w:instr=" SEQ Table \* ARABIC ">
        <w:r w:rsidR="00422361">
          <w:rPr>
            <w:noProof/>
          </w:rPr>
          <w:t>17</w:t>
        </w:r>
      </w:fldSimple>
      <w:bookmarkEnd w:id="269"/>
      <w:r w:rsidRPr="00200234">
        <w:t xml:space="preserve">: Mental health adverse events that DHBs reported to the </w:t>
      </w:r>
      <w:r w:rsidR="009D2ABB" w:rsidRPr="009D2ABB">
        <w:t>HQSC</w:t>
      </w:r>
      <w:r w:rsidRPr="00200234">
        <w:t>, by DHB, 1</w:t>
      </w:r>
      <w:r w:rsidR="009D2ABB">
        <w:t> </w:t>
      </w:r>
      <w:r w:rsidRPr="00200234">
        <w:t>January to 31 December 2019</w:t>
      </w:r>
      <w:bookmarkEnd w:id="270"/>
      <w:bookmarkEnd w:id="271"/>
    </w:p>
    <w:tbl>
      <w:tblPr>
        <w:tblpPr w:leftFromText="180" w:rightFromText="180" w:vertAnchor="text" w:horzAnchor="margin" w:tblpY="-13"/>
        <w:tblW w:w="5000" w:type="pct"/>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57" w:type="dxa"/>
          <w:right w:w="57" w:type="dxa"/>
        </w:tblCellMar>
        <w:tblLook w:val="04A0" w:firstRow="1" w:lastRow="0" w:firstColumn="1" w:lastColumn="0" w:noHBand="0" w:noVBand="1"/>
      </w:tblPr>
      <w:tblGrid>
        <w:gridCol w:w="2834"/>
        <w:gridCol w:w="944"/>
        <w:gridCol w:w="473"/>
        <w:gridCol w:w="2836"/>
        <w:gridCol w:w="992"/>
      </w:tblGrid>
      <w:tr w:rsidR="008361C5" w:rsidRPr="00200234" w14:paraId="4A81EC4D" w14:textId="77777777" w:rsidTr="00563497">
        <w:trPr>
          <w:cantSplit/>
          <w:trHeight w:val="464"/>
        </w:trPr>
        <w:tc>
          <w:tcPr>
            <w:tcW w:w="1754" w:type="pct"/>
            <w:tcBorders>
              <w:top w:val="nil"/>
              <w:bottom w:val="nil"/>
            </w:tcBorders>
            <w:shd w:val="clear" w:color="auto" w:fill="D9D9D9" w:themeFill="background1" w:themeFillShade="D9"/>
          </w:tcPr>
          <w:p w14:paraId="3F898FFE" w14:textId="77777777" w:rsidR="008361C5" w:rsidRPr="00200234" w:rsidRDefault="008361C5" w:rsidP="00563497">
            <w:pPr>
              <w:pStyle w:val="TableText"/>
              <w:keepNext/>
              <w:rPr>
                <w:rFonts w:cs="Segoe UI"/>
                <w:b/>
              </w:rPr>
            </w:pPr>
            <w:r w:rsidRPr="00200234">
              <w:rPr>
                <w:rFonts w:cs="Segoe UI"/>
                <w:b/>
              </w:rPr>
              <w:t>DHB</w:t>
            </w:r>
          </w:p>
        </w:tc>
        <w:tc>
          <w:tcPr>
            <w:tcW w:w="584" w:type="pct"/>
            <w:tcBorders>
              <w:top w:val="nil"/>
              <w:bottom w:val="nil"/>
            </w:tcBorders>
            <w:shd w:val="clear" w:color="auto" w:fill="D9D9D9" w:themeFill="background1" w:themeFillShade="D9"/>
          </w:tcPr>
          <w:p w14:paraId="1B65E129" w14:textId="77777777" w:rsidR="008361C5" w:rsidRPr="00200234" w:rsidRDefault="008361C5" w:rsidP="00B950C5">
            <w:pPr>
              <w:pStyle w:val="TableText"/>
              <w:keepNext/>
              <w:jc w:val="center"/>
              <w:rPr>
                <w:rFonts w:cs="Segoe UI"/>
                <w:b/>
              </w:rPr>
            </w:pPr>
            <w:r w:rsidRPr="00200234">
              <w:rPr>
                <w:rFonts w:cs="Segoe UI"/>
                <w:b/>
              </w:rPr>
              <w:t>Number of events</w:t>
            </w:r>
          </w:p>
        </w:tc>
        <w:tc>
          <w:tcPr>
            <w:tcW w:w="293" w:type="pct"/>
            <w:tcBorders>
              <w:top w:val="nil"/>
              <w:bottom w:val="nil"/>
            </w:tcBorders>
            <w:shd w:val="clear" w:color="auto" w:fill="auto"/>
          </w:tcPr>
          <w:p w14:paraId="2E7BAC3A" w14:textId="77777777" w:rsidR="008361C5" w:rsidRPr="00200234" w:rsidRDefault="008361C5" w:rsidP="00563497">
            <w:pPr>
              <w:pStyle w:val="TableText"/>
              <w:keepNext/>
              <w:rPr>
                <w:rFonts w:cs="Segoe UI"/>
                <w:b/>
              </w:rPr>
            </w:pPr>
          </w:p>
        </w:tc>
        <w:tc>
          <w:tcPr>
            <w:tcW w:w="1755" w:type="pct"/>
            <w:tcBorders>
              <w:top w:val="nil"/>
              <w:bottom w:val="nil"/>
            </w:tcBorders>
            <w:shd w:val="clear" w:color="auto" w:fill="D9D9D9" w:themeFill="background1" w:themeFillShade="D9"/>
          </w:tcPr>
          <w:p w14:paraId="598AE7BD" w14:textId="77777777" w:rsidR="008361C5" w:rsidRPr="00200234" w:rsidRDefault="008361C5" w:rsidP="00563497">
            <w:pPr>
              <w:pStyle w:val="TableText"/>
              <w:keepNext/>
              <w:rPr>
                <w:rFonts w:cs="Segoe UI"/>
                <w:b/>
              </w:rPr>
            </w:pPr>
            <w:r w:rsidRPr="00200234">
              <w:rPr>
                <w:rFonts w:cs="Segoe UI"/>
                <w:b/>
              </w:rPr>
              <w:t>DHB</w:t>
            </w:r>
          </w:p>
        </w:tc>
        <w:tc>
          <w:tcPr>
            <w:tcW w:w="614" w:type="pct"/>
            <w:tcBorders>
              <w:top w:val="nil"/>
              <w:bottom w:val="nil"/>
            </w:tcBorders>
            <w:shd w:val="clear" w:color="auto" w:fill="D9D9D9" w:themeFill="background1" w:themeFillShade="D9"/>
          </w:tcPr>
          <w:p w14:paraId="40E9201E" w14:textId="77777777" w:rsidR="008361C5" w:rsidRPr="00200234" w:rsidRDefault="008361C5" w:rsidP="00B950C5">
            <w:pPr>
              <w:pStyle w:val="TableText"/>
              <w:keepNext/>
              <w:jc w:val="center"/>
              <w:rPr>
                <w:rFonts w:cs="Segoe UI"/>
                <w:b/>
              </w:rPr>
            </w:pPr>
            <w:r w:rsidRPr="00200234">
              <w:rPr>
                <w:rFonts w:cs="Segoe UI"/>
                <w:b/>
              </w:rPr>
              <w:t>Number of events</w:t>
            </w:r>
          </w:p>
        </w:tc>
      </w:tr>
      <w:tr w:rsidR="008361C5" w:rsidRPr="00200234" w14:paraId="16A69945" w14:textId="77777777" w:rsidTr="00563497">
        <w:trPr>
          <w:cantSplit/>
          <w:trHeight w:val="278"/>
        </w:trPr>
        <w:tc>
          <w:tcPr>
            <w:tcW w:w="1754" w:type="pct"/>
            <w:tcBorders>
              <w:top w:val="nil"/>
            </w:tcBorders>
          </w:tcPr>
          <w:p w14:paraId="755311CC" w14:textId="77777777" w:rsidR="008361C5" w:rsidRPr="00200234" w:rsidRDefault="008361C5" w:rsidP="00563497">
            <w:pPr>
              <w:pStyle w:val="TableText"/>
              <w:keepNext/>
              <w:rPr>
                <w:rFonts w:cs="Segoe UI"/>
              </w:rPr>
            </w:pPr>
            <w:r w:rsidRPr="00200234">
              <w:rPr>
                <w:rFonts w:cs="Segoe UI"/>
              </w:rPr>
              <w:t>Auckland</w:t>
            </w:r>
          </w:p>
        </w:tc>
        <w:tc>
          <w:tcPr>
            <w:tcW w:w="584" w:type="pct"/>
            <w:tcBorders>
              <w:top w:val="nil"/>
            </w:tcBorders>
          </w:tcPr>
          <w:p w14:paraId="0EDEB86C" w14:textId="77777777" w:rsidR="008361C5" w:rsidRPr="00200234" w:rsidRDefault="008361C5" w:rsidP="00B950C5">
            <w:pPr>
              <w:pStyle w:val="TableText"/>
              <w:keepNext/>
              <w:tabs>
                <w:tab w:val="decimal" w:pos="514"/>
              </w:tabs>
              <w:rPr>
                <w:rFonts w:cs="Segoe UI"/>
              </w:rPr>
            </w:pPr>
            <w:r w:rsidRPr="00200234">
              <w:rPr>
                <w:rFonts w:cs="Segoe UI"/>
              </w:rPr>
              <w:t>14</w:t>
            </w:r>
          </w:p>
        </w:tc>
        <w:tc>
          <w:tcPr>
            <w:tcW w:w="293" w:type="pct"/>
            <w:tcBorders>
              <w:top w:val="nil"/>
              <w:bottom w:val="nil"/>
            </w:tcBorders>
            <w:shd w:val="clear" w:color="auto" w:fill="auto"/>
          </w:tcPr>
          <w:p w14:paraId="1155BDB6" w14:textId="77777777" w:rsidR="008361C5" w:rsidRPr="00200234" w:rsidRDefault="008361C5" w:rsidP="00563497">
            <w:pPr>
              <w:pStyle w:val="TableText"/>
              <w:keepNext/>
              <w:rPr>
                <w:rFonts w:cs="Segoe UI"/>
              </w:rPr>
            </w:pPr>
          </w:p>
        </w:tc>
        <w:tc>
          <w:tcPr>
            <w:tcW w:w="1755" w:type="pct"/>
            <w:tcBorders>
              <w:top w:val="nil"/>
            </w:tcBorders>
          </w:tcPr>
          <w:p w14:paraId="215BA49E" w14:textId="77777777" w:rsidR="008361C5" w:rsidRPr="00200234" w:rsidRDefault="008361C5" w:rsidP="00563497">
            <w:pPr>
              <w:pStyle w:val="TableText"/>
              <w:keepNext/>
              <w:rPr>
                <w:rFonts w:cs="Segoe UI"/>
              </w:rPr>
            </w:pPr>
            <w:r w:rsidRPr="00200234">
              <w:rPr>
                <w:rFonts w:cs="Segoe UI"/>
              </w:rPr>
              <w:t>Northland</w:t>
            </w:r>
          </w:p>
        </w:tc>
        <w:tc>
          <w:tcPr>
            <w:tcW w:w="614" w:type="pct"/>
            <w:tcBorders>
              <w:top w:val="nil"/>
            </w:tcBorders>
          </w:tcPr>
          <w:p w14:paraId="53C70F66" w14:textId="77777777" w:rsidR="008361C5" w:rsidRPr="00200234" w:rsidRDefault="008361C5" w:rsidP="00B950C5">
            <w:pPr>
              <w:pStyle w:val="TableText"/>
              <w:keepNext/>
              <w:tabs>
                <w:tab w:val="decimal" w:pos="651"/>
              </w:tabs>
              <w:rPr>
                <w:rFonts w:cs="Segoe UI"/>
              </w:rPr>
            </w:pPr>
            <w:r w:rsidRPr="00200234">
              <w:rPr>
                <w:rFonts w:cs="Segoe UI"/>
              </w:rPr>
              <w:t>10</w:t>
            </w:r>
          </w:p>
        </w:tc>
      </w:tr>
      <w:tr w:rsidR="008361C5" w:rsidRPr="00200234" w14:paraId="3A8082A3" w14:textId="77777777" w:rsidTr="00563497">
        <w:trPr>
          <w:cantSplit/>
          <w:trHeight w:val="278"/>
        </w:trPr>
        <w:tc>
          <w:tcPr>
            <w:tcW w:w="1754" w:type="pct"/>
          </w:tcPr>
          <w:p w14:paraId="10529E0C" w14:textId="77777777" w:rsidR="008361C5" w:rsidRPr="00200234" w:rsidRDefault="008361C5" w:rsidP="00563497">
            <w:pPr>
              <w:pStyle w:val="TableText"/>
              <w:keepNext/>
              <w:rPr>
                <w:rFonts w:cs="Segoe UI"/>
              </w:rPr>
            </w:pPr>
            <w:r w:rsidRPr="00200234">
              <w:rPr>
                <w:rFonts w:cs="Segoe UI"/>
              </w:rPr>
              <w:t>Bay of Plenty</w:t>
            </w:r>
          </w:p>
        </w:tc>
        <w:tc>
          <w:tcPr>
            <w:tcW w:w="584" w:type="pct"/>
          </w:tcPr>
          <w:p w14:paraId="4C85EBC1" w14:textId="77777777" w:rsidR="008361C5" w:rsidRPr="00200234" w:rsidRDefault="008361C5" w:rsidP="00B950C5">
            <w:pPr>
              <w:pStyle w:val="TableText"/>
              <w:keepNext/>
              <w:tabs>
                <w:tab w:val="decimal" w:pos="514"/>
              </w:tabs>
              <w:rPr>
                <w:rFonts w:cs="Segoe UI"/>
              </w:rPr>
            </w:pPr>
            <w:r w:rsidRPr="00200234">
              <w:rPr>
                <w:rFonts w:cs="Segoe UI"/>
              </w:rPr>
              <w:t>3</w:t>
            </w:r>
          </w:p>
        </w:tc>
        <w:tc>
          <w:tcPr>
            <w:tcW w:w="293" w:type="pct"/>
            <w:tcBorders>
              <w:top w:val="nil"/>
              <w:bottom w:val="nil"/>
            </w:tcBorders>
            <w:shd w:val="clear" w:color="auto" w:fill="auto"/>
          </w:tcPr>
          <w:p w14:paraId="48B22A32" w14:textId="77777777" w:rsidR="008361C5" w:rsidRPr="00200234" w:rsidRDefault="008361C5" w:rsidP="00563497">
            <w:pPr>
              <w:pStyle w:val="TableText"/>
              <w:keepNext/>
              <w:rPr>
                <w:rFonts w:cs="Segoe UI"/>
              </w:rPr>
            </w:pPr>
          </w:p>
        </w:tc>
        <w:tc>
          <w:tcPr>
            <w:tcW w:w="1755" w:type="pct"/>
          </w:tcPr>
          <w:p w14:paraId="7609AD42" w14:textId="77777777" w:rsidR="008361C5" w:rsidRPr="00200234" w:rsidRDefault="008361C5" w:rsidP="00563497">
            <w:pPr>
              <w:pStyle w:val="TableText"/>
              <w:keepNext/>
              <w:rPr>
                <w:rFonts w:cs="Segoe UI"/>
              </w:rPr>
            </w:pPr>
            <w:r w:rsidRPr="00200234">
              <w:rPr>
                <w:rFonts w:cs="Segoe UI"/>
              </w:rPr>
              <w:t>South Canterbury</w:t>
            </w:r>
          </w:p>
        </w:tc>
        <w:tc>
          <w:tcPr>
            <w:tcW w:w="614" w:type="pct"/>
          </w:tcPr>
          <w:p w14:paraId="6C48A8CC" w14:textId="77777777" w:rsidR="008361C5" w:rsidRPr="00200234" w:rsidRDefault="008361C5" w:rsidP="00B950C5">
            <w:pPr>
              <w:pStyle w:val="TableText"/>
              <w:keepNext/>
              <w:tabs>
                <w:tab w:val="decimal" w:pos="651"/>
              </w:tabs>
              <w:rPr>
                <w:rFonts w:cs="Segoe UI"/>
              </w:rPr>
            </w:pPr>
            <w:r w:rsidRPr="00200234">
              <w:rPr>
                <w:rFonts w:cs="Segoe UI"/>
              </w:rPr>
              <w:t>3</w:t>
            </w:r>
          </w:p>
        </w:tc>
      </w:tr>
      <w:tr w:rsidR="008361C5" w:rsidRPr="00200234" w14:paraId="2CB4CC90" w14:textId="77777777" w:rsidTr="00563497">
        <w:trPr>
          <w:cantSplit/>
          <w:trHeight w:val="267"/>
        </w:trPr>
        <w:tc>
          <w:tcPr>
            <w:tcW w:w="1754" w:type="pct"/>
          </w:tcPr>
          <w:p w14:paraId="6F2069AC" w14:textId="77777777" w:rsidR="008361C5" w:rsidRPr="00200234" w:rsidRDefault="008361C5" w:rsidP="00563497">
            <w:pPr>
              <w:pStyle w:val="TableText"/>
              <w:keepNext/>
              <w:rPr>
                <w:rFonts w:cs="Segoe UI"/>
              </w:rPr>
            </w:pPr>
            <w:r w:rsidRPr="00200234">
              <w:rPr>
                <w:rFonts w:cs="Segoe UI"/>
              </w:rPr>
              <w:t>Canterbury</w:t>
            </w:r>
          </w:p>
        </w:tc>
        <w:tc>
          <w:tcPr>
            <w:tcW w:w="584" w:type="pct"/>
          </w:tcPr>
          <w:p w14:paraId="4982F01B" w14:textId="77777777" w:rsidR="008361C5" w:rsidRPr="00200234" w:rsidRDefault="008361C5" w:rsidP="00B950C5">
            <w:pPr>
              <w:pStyle w:val="TableText"/>
              <w:keepNext/>
              <w:tabs>
                <w:tab w:val="decimal" w:pos="514"/>
              </w:tabs>
              <w:rPr>
                <w:rFonts w:cs="Segoe UI"/>
              </w:rPr>
            </w:pPr>
            <w:r w:rsidRPr="00200234">
              <w:rPr>
                <w:rFonts w:cs="Segoe UI"/>
              </w:rPr>
              <w:t>23</w:t>
            </w:r>
          </w:p>
        </w:tc>
        <w:tc>
          <w:tcPr>
            <w:tcW w:w="293" w:type="pct"/>
            <w:tcBorders>
              <w:top w:val="nil"/>
              <w:bottom w:val="nil"/>
            </w:tcBorders>
            <w:shd w:val="clear" w:color="auto" w:fill="auto"/>
          </w:tcPr>
          <w:p w14:paraId="3F422921" w14:textId="77777777" w:rsidR="008361C5" w:rsidRPr="00200234" w:rsidRDefault="008361C5" w:rsidP="00563497">
            <w:pPr>
              <w:pStyle w:val="TableText"/>
              <w:keepNext/>
              <w:rPr>
                <w:rFonts w:cs="Segoe UI"/>
              </w:rPr>
            </w:pPr>
          </w:p>
        </w:tc>
        <w:tc>
          <w:tcPr>
            <w:tcW w:w="1755" w:type="pct"/>
          </w:tcPr>
          <w:p w14:paraId="6830B15A" w14:textId="77777777" w:rsidR="008361C5" w:rsidRPr="00200234" w:rsidRDefault="008361C5" w:rsidP="00563497">
            <w:pPr>
              <w:pStyle w:val="TableText"/>
              <w:keepNext/>
              <w:rPr>
                <w:rFonts w:cs="Segoe UI"/>
              </w:rPr>
            </w:pPr>
            <w:r w:rsidRPr="00200234">
              <w:rPr>
                <w:rFonts w:cs="Segoe UI"/>
              </w:rPr>
              <w:t>Southern</w:t>
            </w:r>
          </w:p>
        </w:tc>
        <w:tc>
          <w:tcPr>
            <w:tcW w:w="614" w:type="pct"/>
          </w:tcPr>
          <w:p w14:paraId="2F10A5C9" w14:textId="77777777" w:rsidR="008361C5" w:rsidRPr="00200234" w:rsidRDefault="008361C5" w:rsidP="00B950C5">
            <w:pPr>
              <w:pStyle w:val="TableText"/>
              <w:keepNext/>
              <w:tabs>
                <w:tab w:val="decimal" w:pos="651"/>
              </w:tabs>
              <w:rPr>
                <w:rFonts w:cs="Segoe UI"/>
              </w:rPr>
            </w:pPr>
            <w:r w:rsidRPr="00200234">
              <w:rPr>
                <w:rFonts w:cs="Segoe UI"/>
              </w:rPr>
              <w:t>15</w:t>
            </w:r>
          </w:p>
        </w:tc>
      </w:tr>
      <w:tr w:rsidR="008361C5" w:rsidRPr="00200234" w14:paraId="5A1B2256" w14:textId="77777777" w:rsidTr="00563497">
        <w:trPr>
          <w:cantSplit/>
          <w:trHeight w:val="278"/>
        </w:trPr>
        <w:tc>
          <w:tcPr>
            <w:tcW w:w="1754" w:type="pct"/>
          </w:tcPr>
          <w:p w14:paraId="2F188129" w14:textId="77777777" w:rsidR="008361C5" w:rsidRPr="00200234" w:rsidRDefault="008361C5" w:rsidP="00563497">
            <w:pPr>
              <w:pStyle w:val="TableText"/>
              <w:keepNext/>
              <w:rPr>
                <w:rFonts w:cs="Segoe UI"/>
              </w:rPr>
            </w:pPr>
            <w:r w:rsidRPr="00200234">
              <w:rPr>
                <w:rFonts w:cs="Segoe UI"/>
              </w:rPr>
              <w:t>Capital &amp; Coast</w:t>
            </w:r>
          </w:p>
        </w:tc>
        <w:tc>
          <w:tcPr>
            <w:tcW w:w="584" w:type="pct"/>
          </w:tcPr>
          <w:p w14:paraId="5A1FDB5C" w14:textId="77777777" w:rsidR="008361C5" w:rsidRPr="00200234" w:rsidRDefault="008361C5" w:rsidP="00B950C5">
            <w:pPr>
              <w:pStyle w:val="TableText"/>
              <w:keepNext/>
              <w:tabs>
                <w:tab w:val="decimal" w:pos="514"/>
              </w:tabs>
              <w:rPr>
                <w:rFonts w:cs="Segoe UI"/>
              </w:rPr>
            </w:pPr>
            <w:r w:rsidRPr="00200234">
              <w:rPr>
                <w:rFonts w:cs="Segoe UI"/>
              </w:rPr>
              <w:t>16</w:t>
            </w:r>
          </w:p>
        </w:tc>
        <w:tc>
          <w:tcPr>
            <w:tcW w:w="293" w:type="pct"/>
            <w:tcBorders>
              <w:top w:val="nil"/>
              <w:bottom w:val="nil"/>
            </w:tcBorders>
            <w:shd w:val="clear" w:color="auto" w:fill="auto"/>
          </w:tcPr>
          <w:p w14:paraId="132F2D9E" w14:textId="77777777" w:rsidR="008361C5" w:rsidRPr="00200234" w:rsidRDefault="008361C5" w:rsidP="00563497">
            <w:pPr>
              <w:pStyle w:val="TableText"/>
              <w:keepNext/>
              <w:rPr>
                <w:rFonts w:cs="Segoe UI"/>
              </w:rPr>
            </w:pPr>
          </w:p>
        </w:tc>
        <w:tc>
          <w:tcPr>
            <w:tcW w:w="1755" w:type="pct"/>
          </w:tcPr>
          <w:p w14:paraId="13F5CE08" w14:textId="77777777" w:rsidR="008361C5" w:rsidRPr="00200234" w:rsidRDefault="008361C5" w:rsidP="00563497">
            <w:pPr>
              <w:pStyle w:val="TableText"/>
              <w:keepNext/>
              <w:rPr>
                <w:rFonts w:cs="Segoe UI"/>
              </w:rPr>
            </w:pPr>
            <w:proofErr w:type="spellStart"/>
            <w:r w:rsidRPr="00200234">
              <w:rPr>
                <w:rFonts w:cs="Segoe UI"/>
              </w:rPr>
              <w:t>Tairāwhiti</w:t>
            </w:r>
            <w:proofErr w:type="spellEnd"/>
          </w:p>
        </w:tc>
        <w:tc>
          <w:tcPr>
            <w:tcW w:w="614" w:type="pct"/>
          </w:tcPr>
          <w:p w14:paraId="57EDD542" w14:textId="77777777" w:rsidR="008361C5" w:rsidRPr="00200234" w:rsidRDefault="008361C5" w:rsidP="00B950C5">
            <w:pPr>
              <w:pStyle w:val="TableText"/>
              <w:keepNext/>
              <w:tabs>
                <w:tab w:val="decimal" w:pos="651"/>
              </w:tabs>
              <w:rPr>
                <w:rFonts w:cs="Segoe UI"/>
              </w:rPr>
            </w:pPr>
            <w:r w:rsidRPr="00200234">
              <w:rPr>
                <w:rFonts w:cs="Segoe UI"/>
              </w:rPr>
              <w:t>4</w:t>
            </w:r>
          </w:p>
        </w:tc>
      </w:tr>
      <w:tr w:rsidR="008361C5" w:rsidRPr="00200234" w14:paraId="172D8BCF" w14:textId="77777777" w:rsidTr="00563497">
        <w:trPr>
          <w:cantSplit/>
          <w:trHeight w:val="267"/>
        </w:trPr>
        <w:tc>
          <w:tcPr>
            <w:tcW w:w="1754" w:type="pct"/>
          </w:tcPr>
          <w:p w14:paraId="5E012385" w14:textId="77777777" w:rsidR="008361C5" w:rsidRPr="00200234" w:rsidRDefault="008361C5" w:rsidP="00563497">
            <w:pPr>
              <w:pStyle w:val="TableText"/>
              <w:keepNext/>
              <w:rPr>
                <w:rFonts w:cs="Segoe UI"/>
              </w:rPr>
            </w:pPr>
            <w:r w:rsidRPr="00200234">
              <w:rPr>
                <w:rFonts w:cs="Segoe UI"/>
              </w:rPr>
              <w:t>Counties Manukau</w:t>
            </w:r>
          </w:p>
        </w:tc>
        <w:tc>
          <w:tcPr>
            <w:tcW w:w="584" w:type="pct"/>
          </w:tcPr>
          <w:p w14:paraId="6CBC7CD5" w14:textId="77777777" w:rsidR="008361C5" w:rsidRPr="00200234" w:rsidRDefault="008361C5" w:rsidP="00B950C5">
            <w:pPr>
              <w:pStyle w:val="TableText"/>
              <w:keepNext/>
              <w:tabs>
                <w:tab w:val="decimal" w:pos="514"/>
              </w:tabs>
              <w:rPr>
                <w:rFonts w:cs="Segoe UI"/>
              </w:rPr>
            </w:pPr>
            <w:r w:rsidRPr="00200234">
              <w:rPr>
                <w:rFonts w:cs="Segoe UI"/>
              </w:rPr>
              <w:t>18</w:t>
            </w:r>
          </w:p>
        </w:tc>
        <w:tc>
          <w:tcPr>
            <w:tcW w:w="293" w:type="pct"/>
            <w:tcBorders>
              <w:top w:val="nil"/>
              <w:bottom w:val="nil"/>
            </w:tcBorders>
            <w:shd w:val="clear" w:color="auto" w:fill="auto"/>
          </w:tcPr>
          <w:p w14:paraId="160DD737" w14:textId="77777777" w:rsidR="008361C5" w:rsidRPr="00200234" w:rsidRDefault="008361C5" w:rsidP="00563497">
            <w:pPr>
              <w:pStyle w:val="TableText"/>
              <w:keepNext/>
              <w:rPr>
                <w:rFonts w:cs="Segoe UI"/>
              </w:rPr>
            </w:pPr>
          </w:p>
        </w:tc>
        <w:tc>
          <w:tcPr>
            <w:tcW w:w="1755" w:type="pct"/>
          </w:tcPr>
          <w:p w14:paraId="2C0618BF" w14:textId="77777777" w:rsidR="008361C5" w:rsidRPr="00200234" w:rsidRDefault="008361C5" w:rsidP="00563497">
            <w:pPr>
              <w:pStyle w:val="TableText"/>
              <w:keepNext/>
              <w:rPr>
                <w:rFonts w:cs="Segoe UI"/>
              </w:rPr>
            </w:pPr>
            <w:r w:rsidRPr="00200234">
              <w:rPr>
                <w:rFonts w:cs="Segoe UI"/>
              </w:rPr>
              <w:t>Taranaki</w:t>
            </w:r>
          </w:p>
        </w:tc>
        <w:tc>
          <w:tcPr>
            <w:tcW w:w="614" w:type="pct"/>
          </w:tcPr>
          <w:p w14:paraId="00F020F8" w14:textId="77777777" w:rsidR="008361C5" w:rsidRPr="00200234" w:rsidRDefault="008361C5" w:rsidP="00B950C5">
            <w:pPr>
              <w:pStyle w:val="TableText"/>
              <w:keepNext/>
              <w:tabs>
                <w:tab w:val="decimal" w:pos="651"/>
              </w:tabs>
              <w:rPr>
                <w:rFonts w:cs="Segoe UI"/>
              </w:rPr>
            </w:pPr>
            <w:r w:rsidRPr="00200234">
              <w:rPr>
                <w:rFonts w:cs="Segoe UI"/>
              </w:rPr>
              <w:t>2</w:t>
            </w:r>
          </w:p>
        </w:tc>
      </w:tr>
      <w:tr w:rsidR="008361C5" w:rsidRPr="00200234" w14:paraId="105C103F" w14:textId="77777777" w:rsidTr="00563497">
        <w:trPr>
          <w:cantSplit/>
          <w:trHeight w:val="278"/>
        </w:trPr>
        <w:tc>
          <w:tcPr>
            <w:tcW w:w="1754" w:type="pct"/>
          </w:tcPr>
          <w:p w14:paraId="49594324" w14:textId="77777777" w:rsidR="008361C5" w:rsidRPr="00200234" w:rsidRDefault="008361C5" w:rsidP="00563497">
            <w:pPr>
              <w:pStyle w:val="TableText"/>
              <w:keepNext/>
              <w:rPr>
                <w:rFonts w:cs="Segoe UI"/>
              </w:rPr>
            </w:pPr>
            <w:r w:rsidRPr="00200234">
              <w:rPr>
                <w:rFonts w:cs="Segoe UI"/>
              </w:rPr>
              <w:t>Hawke’s Bay</w:t>
            </w:r>
          </w:p>
        </w:tc>
        <w:tc>
          <w:tcPr>
            <w:tcW w:w="584" w:type="pct"/>
          </w:tcPr>
          <w:p w14:paraId="0071913D" w14:textId="77777777" w:rsidR="008361C5" w:rsidRPr="00200234" w:rsidRDefault="008361C5" w:rsidP="00B950C5">
            <w:pPr>
              <w:pStyle w:val="TableText"/>
              <w:keepNext/>
              <w:tabs>
                <w:tab w:val="decimal" w:pos="514"/>
              </w:tabs>
              <w:rPr>
                <w:rFonts w:cs="Segoe UI"/>
              </w:rPr>
            </w:pPr>
            <w:r w:rsidRPr="00200234">
              <w:rPr>
                <w:rFonts w:cs="Segoe UI"/>
              </w:rPr>
              <w:t>7</w:t>
            </w:r>
          </w:p>
        </w:tc>
        <w:tc>
          <w:tcPr>
            <w:tcW w:w="293" w:type="pct"/>
            <w:tcBorders>
              <w:top w:val="nil"/>
              <w:bottom w:val="nil"/>
            </w:tcBorders>
            <w:shd w:val="clear" w:color="auto" w:fill="auto"/>
          </w:tcPr>
          <w:p w14:paraId="1FDD822A" w14:textId="77777777" w:rsidR="008361C5" w:rsidRPr="00200234" w:rsidRDefault="008361C5" w:rsidP="00563497">
            <w:pPr>
              <w:pStyle w:val="TableText"/>
              <w:keepNext/>
              <w:rPr>
                <w:rFonts w:cs="Segoe UI"/>
              </w:rPr>
            </w:pPr>
          </w:p>
        </w:tc>
        <w:tc>
          <w:tcPr>
            <w:tcW w:w="1755" w:type="pct"/>
          </w:tcPr>
          <w:p w14:paraId="0FD75729" w14:textId="77777777" w:rsidR="008361C5" w:rsidRPr="00200234" w:rsidRDefault="008361C5" w:rsidP="00563497">
            <w:pPr>
              <w:pStyle w:val="TableText"/>
              <w:keepNext/>
              <w:rPr>
                <w:rFonts w:cs="Segoe UI"/>
              </w:rPr>
            </w:pPr>
            <w:r w:rsidRPr="00200234">
              <w:rPr>
                <w:rFonts w:cs="Segoe UI"/>
              </w:rPr>
              <w:t>Waikato</w:t>
            </w:r>
          </w:p>
        </w:tc>
        <w:tc>
          <w:tcPr>
            <w:tcW w:w="614" w:type="pct"/>
          </w:tcPr>
          <w:p w14:paraId="53376CF7" w14:textId="77777777" w:rsidR="008361C5" w:rsidRPr="00200234" w:rsidRDefault="008361C5" w:rsidP="00B950C5">
            <w:pPr>
              <w:pStyle w:val="TableText"/>
              <w:keepNext/>
              <w:tabs>
                <w:tab w:val="decimal" w:pos="651"/>
              </w:tabs>
              <w:rPr>
                <w:rFonts w:cs="Segoe UI"/>
              </w:rPr>
            </w:pPr>
            <w:r w:rsidRPr="00200234">
              <w:rPr>
                <w:rFonts w:cs="Segoe UI"/>
              </w:rPr>
              <w:t>19</w:t>
            </w:r>
          </w:p>
        </w:tc>
      </w:tr>
      <w:tr w:rsidR="008361C5" w:rsidRPr="00200234" w14:paraId="5F9AA982" w14:textId="77777777" w:rsidTr="00563497">
        <w:trPr>
          <w:cantSplit/>
          <w:trHeight w:val="278"/>
        </w:trPr>
        <w:tc>
          <w:tcPr>
            <w:tcW w:w="1754" w:type="pct"/>
          </w:tcPr>
          <w:p w14:paraId="36E7E7DA" w14:textId="77777777" w:rsidR="008361C5" w:rsidRPr="00200234" w:rsidRDefault="008361C5" w:rsidP="00563497">
            <w:pPr>
              <w:pStyle w:val="TableText"/>
              <w:keepNext/>
              <w:rPr>
                <w:rFonts w:cs="Segoe UI"/>
              </w:rPr>
            </w:pPr>
            <w:r w:rsidRPr="00200234">
              <w:rPr>
                <w:rFonts w:cs="Segoe UI"/>
              </w:rPr>
              <w:t>Hutt Valley</w:t>
            </w:r>
          </w:p>
        </w:tc>
        <w:tc>
          <w:tcPr>
            <w:tcW w:w="584" w:type="pct"/>
          </w:tcPr>
          <w:p w14:paraId="79B65B0D" w14:textId="77777777" w:rsidR="008361C5" w:rsidRPr="00200234" w:rsidRDefault="008361C5" w:rsidP="00B950C5">
            <w:pPr>
              <w:pStyle w:val="TableText"/>
              <w:keepNext/>
              <w:tabs>
                <w:tab w:val="decimal" w:pos="514"/>
              </w:tabs>
              <w:rPr>
                <w:rFonts w:cs="Segoe UI"/>
              </w:rPr>
            </w:pPr>
            <w:r w:rsidRPr="00200234">
              <w:rPr>
                <w:rFonts w:cs="Segoe UI"/>
              </w:rPr>
              <w:t>7</w:t>
            </w:r>
          </w:p>
        </w:tc>
        <w:tc>
          <w:tcPr>
            <w:tcW w:w="293" w:type="pct"/>
            <w:tcBorders>
              <w:top w:val="nil"/>
              <w:bottom w:val="nil"/>
            </w:tcBorders>
            <w:shd w:val="clear" w:color="auto" w:fill="auto"/>
          </w:tcPr>
          <w:p w14:paraId="63CFFF27" w14:textId="77777777" w:rsidR="008361C5" w:rsidRPr="00200234" w:rsidRDefault="008361C5" w:rsidP="00563497">
            <w:pPr>
              <w:pStyle w:val="TableText"/>
              <w:keepNext/>
              <w:rPr>
                <w:rFonts w:cs="Segoe UI"/>
              </w:rPr>
            </w:pPr>
          </w:p>
        </w:tc>
        <w:tc>
          <w:tcPr>
            <w:tcW w:w="1755" w:type="pct"/>
          </w:tcPr>
          <w:p w14:paraId="3D7C57B4" w14:textId="77777777" w:rsidR="008361C5" w:rsidRPr="00200234" w:rsidRDefault="008361C5" w:rsidP="00563497">
            <w:pPr>
              <w:pStyle w:val="TableText"/>
              <w:keepNext/>
              <w:rPr>
                <w:rFonts w:cs="Segoe UI"/>
              </w:rPr>
            </w:pPr>
            <w:r w:rsidRPr="00200234">
              <w:rPr>
                <w:rFonts w:cs="Segoe UI"/>
              </w:rPr>
              <w:t>Wairarapa</w:t>
            </w:r>
          </w:p>
        </w:tc>
        <w:tc>
          <w:tcPr>
            <w:tcW w:w="614" w:type="pct"/>
          </w:tcPr>
          <w:p w14:paraId="663D7ABE" w14:textId="77777777" w:rsidR="008361C5" w:rsidRPr="00200234" w:rsidRDefault="008361C5" w:rsidP="00B950C5">
            <w:pPr>
              <w:pStyle w:val="TableText"/>
              <w:keepNext/>
              <w:tabs>
                <w:tab w:val="decimal" w:pos="651"/>
              </w:tabs>
              <w:rPr>
                <w:rFonts w:cs="Segoe UI"/>
              </w:rPr>
            </w:pPr>
            <w:r w:rsidRPr="00200234">
              <w:rPr>
                <w:rFonts w:cs="Segoe UI"/>
              </w:rPr>
              <w:t>4</w:t>
            </w:r>
          </w:p>
        </w:tc>
      </w:tr>
      <w:tr w:rsidR="008361C5" w:rsidRPr="00200234" w14:paraId="39B83B68" w14:textId="77777777" w:rsidTr="00563497">
        <w:trPr>
          <w:cantSplit/>
          <w:trHeight w:val="267"/>
        </w:trPr>
        <w:tc>
          <w:tcPr>
            <w:tcW w:w="1754" w:type="pct"/>
          </w:tcPr>
          <w:p w14:paraId="4B65BBF0" w14:textId="77777777" w:rsidR="008361C5" w:rsidRPr="00200234" w:rsidRDefault="008361C5" w:rsidP="00563497">
            <w:pPr>
              <w:pStyle w:val="TableText"/>
              <w:keepNext/>
              <w:rPr>
                <w:rFonts w:cs="Segoe UI"/>
              </w:rPr>
            </w:pPr>
            <w:r w:rsidRPr="00200234">
              <w:rPr>
                <w:rFonts w:cs="Segoe UI"/>
              </w:rPr>
              <w:t>Lakes</w:t>
            </w:r>
          </w:p>
        </w:tc>
        <w:tc>
          <w:tcPr>
            <w:tcW w:w="584" w:type="pct"/>
          </w:tcPr>
          <w:p w14:paraId="18E7CC9E" w14:textId="77777777" w:rsidR="008361C5" w:rsidRPr="00200234" w:rsidRDefault="008361C5" w:rsidP="00B950C5">
            <w:pPr>
              <w:pStyle w:val="TableText"/>
              <w:keepNext/>
              <w:tabs>
                <w:tab w:val="decimal" w:pos="514"/>
              </w:tabs>
              <w:rPr>
                <w:rFonts w:cs="Segoe UI"/>
              </w:rPr>
            </w:pPr>
            <w:r w:rsidRPr="00200234">
              <w:rPr>
                <w:rFonts w:cs="Segoe UI"/>
              </w:rPr>
              <w:t>5</w:t>
            </w:r>
          </w:p>
        </w:tc>
        <w:tc>
          <w:tcPr>
            <w:tcW w:w="293" w:type="pct"/>
            <w:tcBorders>
              <w:top w:val="nil"/>
              <w:bottom w:val="nil"/>
            </w:tcBorders>
            <w:shd w:val="clear" w:color="auto" w:fill="auto"/>
          </w:tcPr>
          <w:p w14:paraId="0FA1887E" w14:textId="77777777" w:rsidR="008361C5" w:rsidRPr="00200234" w:rsidRDefault="008361C5" w:rsidP="00563497">
            <w:pPr>
              <w:pStyle w:val="TableText"/>
              <w:keepNext/>
              <w:rPr>
                <w:rFonts w:cs="Segoe UI"/>
              </w:rPr>
            </w:pPr>
          </w:p>
        </w:tc>
        <w:tc>
          <w:tcPr>
            <w:tcW w:w="1755" w:type="pct"/>
          </w:tcPr>
          <w:p w14:paraId="42FDFB00" w14:textId="77777777" w:rsidR="008361C5" w:rsidRPr="00200234" w:rsidRDefault="008361C5" w:rsidP="00563497">
            <w:pPr>
              <w:pStyle w:val="TableText"/>
              <w:keepNext/>
              <w:rPr>
                <w:rFonts w:cs="Segoe UI"/>
              </w:rPr>
            </w:pPr>
            <w:proofErr w:type="spellStart"/>
            <w:r w:rsidRPr="00200234">
              <w:rPr>
                <w:rFonts w:cs="Segoe UI"/>
              </w:rPr>
              <w:t>Waitematā</w:t>
            </w:r>
            <w:proofErr w:type="spellEnd"/>
          </w:p>
        </w:tc>
        <w:tc>
          <w:tcPr>
            <w:tcW w:w="614" w:type="pct"/>
          </w:tcPr>
          <w:p w14:paraId="249315CE" w14:textId="77777777" w:rsidR="008361C5" w:rsidRPr="00200234" w:rsidRDefault="008361C5" w:rsidP="00B950C5">
            <w:pPr>
              <w:pStyle w:val="TableText"/>
              <w:keepNext/>
              <w:tabs>
                <w:tab w:val="decimal" w:pos="651"/>
              </w:tabs>
              <w:rPr>
                <w:rFonts w:cs="Segoe UI"/>
              </w:rPr>
            </w:pPr>
            <w:r w:rsidRPr="00200234">
              <w:rPr>
                <w:rFonts w:cs="Segoe UI"/>
              </w:rPr>
              <w:t>22</w:t>
            </w:r>
          </w:p>
        </w:tc>
      </w:tr>
      <w:tr w:rsidR="008361C5" w:rsidRPr="00200234" w14:paraId="511E6BF1" w14:textId="77777777" w:rsidTr="00563497">
        <w:trPr>
          <w:cantSplit/>
          <w:trHeight w:val="278"/>
        </w:trPr>
        <w:tc>
          <w:tcPr>
            <w:tcW w:w="1754" w:type="pct"/>
          </w:tcPr>
          <w:p w14:paraId="6BCBC7C4" w14:textId="77777777" w:rsidR="008361C5" w:rsidRPr="00200234" w:rsidRDefault="008361C5" w:rsidP="00563497">
            <w:pPr>
              <w:pStyle w:val="TableText"/>
              <w:keepNext/>
              <w:rPr>
                <w:rFonts w:cs="Segoe UI"/>
              </w:rPr>
            </w:pPr>
            <w:proofErr w:type="spellStart"/>
            <w:r w:rsidRPr="00200234">
              <w:rPr>
                <w:rFonts w:cs="Segoe UI"/>
              </w:rPr>
              <w:t>MidCentral</w:t>
            </w:r>
            <w:proofErr w:type="spellEnd"/>
          </w:p>
        </w:tc>
        <w:tc>
          <w:tcPr>
            <w:tcW w:w="584" w:type="pct"/>
          </w:tcPr>
          <w:p w14:paraId="03BB92E2" w14:textId="77777777" w:rsidR="008361C5" w:rsidRPr="00200234" w:rsidRDefault="008361C5" w:rsidP="00B950C5">
            <w:pPr>
              <w:pStyle w:val="TableText"/>
              <w:keepNext/>
              <w:tabs>
                <w:tab w:val="decimal" w:pos="514"/>
              </w:tabs>
              <w:rPr>
                <w:rFonts w:cs="Segoe UI"/>
              </w:rPr>
            </w:pPr>
            <w:r w:rsidRPr="00200234">
              <w:rPr>
                <w:rFonts w:cs="Segoe UI"/>
              </w:rPr>
              <w:t>9</w:t>
            </w:r>
          </w:p>
        </w:tc>
        <w:tc>
          <w:tcPr>
            <w:tcW w:w="293" w:type="pct"/>
            <w:tcBorders>
              <w:top w:val="nil"/>
              <w:bottom w:val="nil"/>
            </w:tcBorders>
            <w:shd w:val="clear" w:color="auto" w:fill="auto"/>
          </w:tcPr>
          <w:p w14:paraId="4DFE9223" w14:textId="77777777" w:rsidR="008361C5" w:rsidRPr="00200234" w:rsidRDefault="008361C5" w:rsidP="00563497">
            <w:pPr>
              <w:pStyle w:val="TableText"/>
              <w:keepNext/>
              <w:rPr>
                <w:rFonts w:cs="Segoe UI"/>
              </w:rPr>
            </w:pPr>
          </w:p>
        </w:tc>
        <w:tc>
          <w:tcPr>
            <w:tcW w:w="1755" w:type="pct"/>
          </w:tcPr>
          <w:p w14:paraId="3A391EBC" w14:textId="77777777" w:rsidR="008361C5" w:rsidRPr="00200234" w:rsidRDefault="008361C5" w:rsidP="00563497">
            <w:pPr>
              <w:pStyle w:val="TableText"/>
              <w:keepNext/>
              <w:rPr>
                <w:rFonts w:cs="Segoe UI"/>
              </w:rPr>
            </w:pPr>
            <w:r w:rsidRPr="00200234">
              <w:rPr>
                <w:rFonts w:cs="Segoe UI"/>
              </w:rPr>
              <w:t>West Coast</w:t>
            </w:r>
          </w:p>
        </w:tc>
        <w:tc>
          <w:tcPr>
            <w:tcW w:w="614" w:type="pct"/>
          </w:tcPr>
          <w:p w14:paraId="3C5CD9DB" w14:textId="77777777" w:rsidR="008361C5" w:rsidRPr="00200234" w:rsidRDefault="008361C5" w:rsidP="00B950C5">
            <w:pPr>
              <w:pStyle w:val="TableText"/>
              <w:keepNext/>
              <w:tabs>
                <w:tab w:val="decimal" w:pos="651"/>
              </w:tabs>
              <w:rPr>
                <w:rFonts w:cs="Segoe UI"/>
              </w:rPr>
            </w:pPr>
            <w:r w:rsidRPr="00200234">
              <w:rPr>
                <w:rFonts w:cs="Segoe UI"/>
              </w:rPr>
              <w:t>2</w:t>
            </w:r>
          </w:p>
        </w:tc>
      </w:tr>
      <w:tr w:rsidR="008361C5" w:rsidRPr="00200234" w14:paraId="1BFD880B" w14:textId="77777777" w:rsidTr="00563497">
        <w:trPr>
          <w:cantSplit/>
          <w:trHeight w:val="278"/>
        </w:trPr>
        <w:tc>
          <w:tcPr>
            <w:tcW w:w="1754" w:type="pct"/>
            <w:tcBorders>
              <w:bottom w:val="single" w:sz="4" w:space="0" w:color="A6A6A6" w:themeColor="background1" w:themeShade="A6"/>
            </w:tcBorders>
          </w:tcPr>
          <w:p w14:paraId="171FDE09" w14:textId="77777777" w:rsidR="008361C5" w:rsidRPr="00200234" w:rsidRDefault="008361C5" w:rsidP="00563497">
            <w:pPr>
              <w:pStyle w:val="TableText"/>
              <w:keepNext/>
              <w:rPr>
                <w:rFonts w:cs="Segoe UI"/>
              </w:rPr>
            </w:pPr>
            <w:r w:rsidRPr="00200234">
              <w:rPr>
                <w:rFonts w:cs="Segoe UI"/>
              </w:rPr>
              <w:t>Nelson Marlborough</w:t>
            </w:r>
          </w:p>
        </w:tc>
        <w:tc>
          <w:tcPr>
            <w:tcW w:w="584" w:type="pct"/>
            <w:tcBorders>
              <w:bottom w:val="single" w:sz="4" w:space="0" w:color="A6A6A6" w:themeColor="background1" w:themeShade="A6"/>
            </w:tcBorders>
          </w:tcPr>
          <w:p w14:paraId="3C95BECF" w14:textId="77777777" w:rsidR="008361C5" w:rsidRPr="00200234" w:rsidRDefault="008361C5" w:rsidP="00B950C5">
            <w:pPr>
              <w:pStyle w:val="TableText"/>
              <w:keepNext/>
              <w:tabs>
                <w:tab w:val="decimal" w:pos="514"/>
              </w:tabs>
              <w:rPr>
                <w:rFonts w:cs="Segoe UI"/>
              </w:rPr>
            </w:pPr>
            <w:r w:rsidRPr="00200234">
              <w:rPr>
                <w:rFonts w:cs="Segoe UI"/>
              </w:rPr>
              <w:t>7</w:t>
            </w:r>
          </w:p>
        </w:tc>
        <w:tc>
          <w:tcPr>
            <w:tcW w:w="293" w:type="pct"/>
            <w:tcBorders>
              <w:top w:val="nil"/>
              <w:bottom w:val="nil"/>
            </w:tcBorders>
            <w:shd w:val="clear" w:color="auto" w:fill="auto"/>
          </w:tcPr>
          <w:p w14:paraId="57C5E63C" w14:textId="77777777" w:rsidR="008361C5" w:rsidRPr="00200234" w:rsidRDefault="008361C5" w:rsidP="00563497">
            <w:pPr>
              <w:pStyle w:val="TableText"/>
              <w:keepNext/>
              <w:rPr>
                <w:rFonts w:cs="Segoe UI"/>
              </w:rPr>
            </w:pPr>
          </w:p>
        </w:tc>
        <w:tc>
          <w:tcPr>
            <w:tcW w:w="1755" w:type="pct"/>
          </w:tcPr>
          <w:p w14:paraId="5E1E803C" w14:textId="77777777" w:rsidR="008361C5" w:rsidRPr="00200234" w:rsidRDefault="008361C5" w:rsidP="00563497">
            <w:pPr>
              <w:pStyle w:val="TableText"/>
              <w:keepNext/>
              <w:rPr>
                <w:rFonts w:cs="Segoe UI"/>
              </w:rPr>
            </w:pPr>
            <w:r w:rsidRPr="00200234">
              <w:rPr>
                <w:rFonts w:cs="Segoe UI"/>
              </w:rPr>
              <w:t>Whanganui</w:t>
            </w:r>
          </w:p>
        </w:tc>
        <w:tc>
          <w:tcPr>
            <w:tcW w:w="614" w:type="pct"/>
          </w:tcPr>
          <w:p w14:paraId="532A61FA" w14:textId="77777777" w:rsidR="008361C5" w:rsidRPr="00200234" w:rsidRDefault="008361C5" w:rsidP="00B950C5">
            <w:pPr>
              <w:pStyle w:val="TableText"/>
              <w:keepNext/>
              <w:tabs>
                <w:tab w:val="decimal" w:pos="651"/>
              </w:tabs>
              <w:rPr>
                <w:rFonts w:cs="Segoe UI"/>
              </w:rPr>
            </w:pPr>
            <w:r w:rsidRPr="00200234">
              <w:rPr>
                <w:rFonts w:cs="Segoe UI"/>
              </w:rPr>
              <w:t>5</w:t>
            </w:r>
          </w:p>
        </w:tc>
      </w:tr>
      <w:tr w:rsidR="008361C5" w:rsidRPr="00200234" w14:paraId="2067E23E" w14:textId="77777777" w:rsidTr="00563497">
        <w:trPr>
          <w:cantSplit/>
          <w:trHeight w:val="267"/>
        </w:trPr>
        <w:tc>
          <w:tcPr>
            <w:tcW w:w="1754" w:type="pct"/>
            <w:tcBorders>
              <w:bottom w:val="nil"/>
            </w:tcBorders>
          </w:tcPr>
          <w:p w14:paraId="6858C7C4" w14:textId="77777777" w:rsidR="008361C5" w:rsidRPr="00200234" w:rsidRDefault="008361C5" w:rsidP="00563497">
            <w:pPr>
              <w:pStyle w:val="TableText"/>
              <w:keepNext/>
              <w:rPr>
                <w:rFonts w:cs="Segoe UI"/>
              </w:rPr>
            </w:pPr>
          </w:p>
        </w:tc>
        <w:tc>
          <w:tcPr>
            <w:tcW w:w="584" w:type="pct"/>
            <w:tcBorders>
              <w:bottom w:val="nil"/>
            </w:tcBorders>
          </w:tcPr>
          <w:p w14:paraId="30F485C4" w14:textId="77777777" w:rsidR="008361C5" w:rsidRPr="00200234" w:rsidRDefault="008361C5" w:rsidP="00563497">
            <w:pPr>
              <w:pStyle w:val="TableText"/>
              <w:keepNext/>
              <w:rPr>
                <w:rFonts w:cs="Segoe UI"/>
              </w:rPr>
            </w:pPr>
          </w:p>
        </w:tc>
        <w:tc>
          <w:tcPr>
            <w:tcW w:w="293" w:type="pct"/>
            <w:tcBorders>
              <w:top w:val="nil"/>
              <w:bottom w:val="nil"/>
            </w:tcBorders>
            <w:shd w:val="clear" w:color="auto" w:fill="auto"/>
          </w:tcPr>
          <w:p w14:paraId="2FBC88B2" w14:textId="77777777" w:rsidR="008361C5" w:rsidRPr="00200234" w:rsidRDefault="008361C5" w:rsidP="00563497">
            <w:pPr>
              <w:pStyle w:val="TableText"/>
              <w:keepNext/>
              <w:rPr>
                <w:rFonts w:cs="Segoe UI"/>
              </w:rPr>
            </w:pPr>
          </w:p>
        </w:tc>
        <w:tc>
          <w:tcPr>
            <w:tcW w:w="1755" w:type="pct"/>
          </w:tcPr>
          <w:p w14:paraId="6ED4DBFE" w14:textId="77777777" w:rsidR="008361C5" w:rsidRPr="00200234" w:rsidRDefault="008361C5" w:rsidP="00563497">
            <w:pPr>
              <w:pStyle w:val="TableText"/>
              <w:keepNext/>
              <w:rPr>
                <w:rFonts w:cs="Segoe UI"/>
              </w:rPr>
            </w:pPr>
            <w:r w:rsidRPr="00200234">
              <w:rPr>
                <w:rFonts w:cs="Segoe UI"/>
                <w:b/>
              </w:rPr>
              <w:t>New Zealand total</w:t>
            </w:r>
          </w:p>
        </w:tc>
        <w:tc>
          <w:tcPr>
            <w:tcW w:w="614" w:type="pct"/>
          </w:tcPr>
          <w:p w14:paraId="77089C7A" w14:textId="77777777" w:rsidR="008361C5" w:rsidRPr="00B950C5" w:rsidRDefault="008361C5" w:rsidP="00B950C5">
            <w:pPr>
              <w:pStyle w:val="TableText"/>
              <w:keepNext/>
              <w:tabs>
                <w:tab w:val="decimal" w:pos="651"/>
              </w:tabs>
              <w:rPr>
                <w:rFonts w:cs="Segoe UI"/>
                <w:b/>
                <w:bCs/>
              </w:rPr>
            </w:pPr>
            <w:r w:rsidRPr="00B950C5">
              <w:rPr>
                <w:rFonts w:cs="Segoe UI"/>
                <w:b/>
                <w:bCs/>
              </w:rPr>
              <w:t>195</w:t>
            </w:r>
          </w:p>
        </w:tc>
      </w:tr>
    </w:tbl>
    <w:p w14:paraId="4C5F29FB" w14:textId="77777777" w:rsidR="008361C5" w:rsidRPr="00200234" w:rsidRDefault="008361C5" w:rsidP="008361C5">
      <w:pPr>
        <w:tabs>
          <w:tab w:val="left" w:pos="6367"/>
        </w:tabs>
        <w:spacing w:line="20" w:lineRule="exact"/>
        <w:ind w:left="2285"/>
        <w:rPr>
          <w:rFonts w:cs="Segoe UI"/>
          <w:sz w:val="2"/>
        </w:rPr>
      </w:pPr>
      <w:r w:rsidRPr="00200234">
        <w:rPr>
          <w:rFonts w:cs="Segoe UI"/>
          <w:sz w:val="2"/>
        </w:rPr>
        <w:tab/>
      </w:r>
    </w:p>
    <w:p w14:paraId="2625603C" w14:textId="7948E28D" w:rsidR="008361C5" w:rsidRPr="00200234" w:rsidRDefault="008361C5" w:rsidP="008361C5">
      <w:pPr>
        <w:pStyle w:val="Note"/>
      </w:pPr>
      <w:r w:rsidRPr="00200234">
        <w:t>Source: HQSC adverse event data</w:t>
      </w:r>
      <w:r w:rsidR="0015429E">
        <w:t xml:space="preserve"> (extracted</w:t>
      </w:r>
      <w:r w:rsidRPr="00200234">
        <w:t xml:space="preserve"> 26 January 2021</w:t>
      </w:r>
      <w:r w:rsidR="003510A5">
        <w:t>)</w:t>
      </w:r>
      <w:r w:rsidRPr="00200234">
        <w:t>.</w:t>
      </w:r>
    </w:p>
    <w:p w14:paraId="02E99E17" w14:textId="77777777" w:rsidR="008361C5" w:rsidRPr="00ED4FA1" w:rsidRDefault="008361C5" w:rsidP="008361C5">
      <w:pPr>
        <w:pStyle w:val="Bullet"/>
        <w:numPr>
          <w:ilvl w:val="0"/>
          <w:numId w:val="0"/>
        </w:numPr>
        <w:rPr>
          <w:rFonts w:cs="Segoe UI"/>
          <w:szCs w:val="21"/>
        </w:rPr>
      </w:pPr>
    </w:p>
    <w:p w14:paraId="576285FC" w14:textId="77777777" w:rsidR="008361C5" w:rsidRPr="00200234" w:rsidRDefault="008361C5" w:rsidP="00DC3196">
      <w:pPr>
        <w:pStyle w:val="Heading1"/>
      </w:pPr>
      <w:bookmarkStart w:id="272" w:name="_Toc65141634"/>
      <w:bookmarkStart w:id="273" w:name="_Toc69307715"/>
      <w:r w:rsidRPr="00200234">
        <w:lastRenderedPageBreak/>
        <w:t>Electroconvulsive therapy</w:t>
      </w:r>
      <w:bookmarkEnd w:id="272"/>
      <w:bookmarkEnd w:id="273"/>
    </w:p>
    <w:p w14:paraId="79BB0623" w14:textId="77777777" w:rsidR="008361C5" w:rsidRPr="00200234" w:rsidRDefault="008361C5" w:rsidP="00563497">
      <w:r w:rsidRPr="00200234">
        <w:t>Electroconvulsive therapy (ECT) is a therapeutic procedure that delivers a brief pulse of electricity to a person’s brain in order to produce a seizure. It can be an effective treatment for depression, mania, catatonia and other serious neuropsychiatric conditions. It can only be given with the consent of the person receiving it, other than in carefully defined circumstances.</w:t>
      </w:r>
    </w:p>
    <w:p w14:paraId="056FC1D3" w14:textId="77777777" w:rsidR="00563497" w:rsidRPr="00200234" w:rsidRDefault="00563497" w:rsidP="00563497"/>
    <w:p w14:paraId="16E76BA5" w14:textId="7C28270B" w:rsidR="008361C5" w:rsidRPr="00200234" w:rsidRDefault="009A4134" w:rsidP="00563497">
      <w:r w:rsidRPr="009A4134">
        <w:t>In summary, i</w:t>
      </w:r>
      <w:r w:rsidR="008361C5" w:rsidRPr="00200234">
        <w:t>n 2018:</w:t>
      </w:r>
    </w:p>
    <w:p w14:paraId="47196764" w14:textId="77777777" w:rsidR="008361C5" w:rsidRPr="00ED4FA1" w:rsidRDefault="008361C5" w:rsidP="00563497">
      <w:pPr>
        <w:pStyle w:val="Bullet"/>
        <w:rPr>
          <w:szCs w:val="21"/>
        </w:rPr>
      </w:pPr>
      <w:r w:rsidRPr="00ED4FA1">
        <w:rPr>
          <w:szCs w:val="21"/>
        </w:rPr>
        <w:t>265 people received ECT (5.4 people per 100,000 population)</w:t>
      </w:r>
    </w:p>
    <w:p w14:paraId="34A047FD" w14:textId="77777777" w:rsidR="008361C5" w:rsidRPr="00ED4FA1" w:rsidRDefault="008361C5" w:rsidP="00563497">
      <w:pPr>
        <w:pStyle w:val="Bullet"/>
        <w:rPr>
          <w:szCs w:val="21"/>
        </w:rPr>
      </w:pPr>
      <w:r w:rsidRPr="00ED4FA1">
        <w:rPr>
          <w:szCs w:val="21"/>
        </w:rPr>
        <w:t>services administered a total of 2,990 treatments of ECT</w:t>
      </w:r>
    </w:p>
    <w:p w14:paraId="03F67487" w14:textId="77777777" w:rsidR="008361C5" w:rsidRPr="00ED4FA1" w:rsidRDefault="008361C5" w:rsidP="00563497">
      <w:pPr>
        <w:pStyle w:val="Bullet"/>
        <w:rPr>
          <w:szCs w:val="21"/>
        </w:rPr>
      </w:pPr>
      <w:r w:rsidRPr="00ED4FA1">
        <w:rPr>
          <w:szCs w:val="21"/>
        </w:rPr>
        <w:t>those treated received an average of 11.3 treatments of ECT over the year</w:t>
      </w:r>
    </w:p>
    <w:p w14:paraId="20E11AB0" w14:textId="77777777" w:rsidR="008361C5" w:rsidRPr="00ED4FA1" w:rsidRDefault="008361C5" w:rsidP="00563497">
      <w:pPr>
        <w:pStyle w:val="Bullet"/>
        <w:rPr>
          <w:szCs w:val="21"/>
        </w:rPr>
      </w:pPr>
      <w:r w:rsidRPr="00ED4FA1">
        <w:rPr>
          <w:szCs w:val="21"/>
        </w:rPr>
        <w:t>females were more likely to receive ECT than males, making up 61 percent of ECT patients</w:t>
      </w:r>
    </w:p>
    <w:p w14:paraId="76C99BE4" w14:textId="77777777" w:rsidR="008361C5" w:rsidRPr="00ED4FA1" w:rsidRDefault="008361C5" w:rsidP="00563497">
      <w:pPr>
        <w:pStyle w:val="Bullet"/>
        <w:rPr>
          <w:szCs w:val="21"/>
        </w:rPr>
      </w:pPr>
      <w:r w:rsidRPr="00ED4FA1">
        <w:rPr>
          <w:szCs w:val="21"/>
        </w:rPr>
        <w:t>older people were more likely to receive ECT than younger people, with those over 50 years old making up 61 percent of ECT patients.</w:t>
      </w:r>
    </w:p>
    <w:p w14:paraId="549B8AC3" w14:textId="77777777" w:rsidR="00563497" w:rsidRPr="00200234" w:rsidRDefault="00563497" w:rsidP="00563497"/>
    <w:p w14:paraId="3827A673" w14:textId="70829B2A" w:rsidR="008361C5" w:rsidRPr="00200234" w:rsidRDefault="008361C5" w:rsidP="00563497">
      <w:r w:rsidRPr="00200234">
        <w:t>In 2019:</w:t>
      </w:r>
    </w:p>
    <w:p w14:paraId="6429633D" w14:textId="77777777" w:rsidR="008361C5" w:rsidRPr="00ED4FA1" w:rsidRDefault="008361C5" w:rsidP="00563497">
      <w:pPr>
        <w:pStyle w:val="Bullet"/>
        <w:rPr>
          <w:szCs w:val="21"/>
        </w:rPr>
      </w:pPr>
      <w:r w:rsidRPr="00ED4FA1">
        <w:rPr>
          <w:szCs w:val="21"/>
        </w:rPr>
        <w:t>245 people received ECT (4.9 people per 100,000 population)</w:t>
      </w:r>
    </w:p>
    <w:p w14:paraId="22D116B8" w14:textId="77777777" w:rsidR="008361C5" w:rsidRPr="00ED4FA1" w:rsidRDefault="008361C5" w:rsidP="00563497">
      <w:pPr>
        <w:pStyle w:val="Bullet"/>
        <w:rPr>
          <w:szCs w:val="21"/>
        </w:rPr>
      </w:pPr>
      <w:r w:rsidRPr="00ED4FA1">
        <w:rPr>
          <w:szCs w:val="21"/>
        </w:rPr>
        <w:t>services administered a total of 2,797 treatments of ECT</w:t>
      </w:r>
    </w:p>
    <w:p w14:paraId="4A61587A" w14:textId="77777777" w:rsidR="008361C5" w:rsidRPr="00ED4FA1" w:rsidRDefault="008361C5" w:rsidP="00563497">
      <w:pPr>
        <w:pStyle w:val="Bullet"/>
        <w:rPr>
          <w:szCs w:val="21"/>
        </w:rPr>
      </w:pPr>
      <w:r w:rsidRPr="00ED4FA1">
        <w:rPr>
          <w:szCs w:val="21"/>
        </w:rPr>
        <w:t>those treated received an average of 11.4 administrations of ECT over the year</w:t>
      </w:r>
    </w:p>
    <w:p w14:paraId="138C0CAD" w14:textId="77777777" w:rsidR="008361C5" w:rsidRPr="00ED4FA1" w:rsidRDefault="008361C5" w:rsidP="00563497">
      <w:pPr>
        <w:pStyle w:val="Bullet"/>
        <w:rPr>
          <w:szCs w:val="21"/>
        </w:rPr>
      </w:pPr>
      <w:r w:rsidRPr="00ED4FA1">
        <w:rPr>
          <w:szCs w:val="21"/>
        </w:rPr>
        <w:t>females were more likely to receive ECT than males, making up 64 percent of ECT patients</w:t>
      </w:r>
    </w:p>
    <w:p w14:paraId="7ECEFFD7" w14:textId="77777777" w:rsidR="008361C5" w:rsidRPr="00ED4FA1" w:rsidRDefault="008361C5" w:rsidP="00563497">
      <w:pPr>
        <w:pStyle w:val="Bullet"/>
        <w:rPr>
          <w:szCs w:val="21"/>
        </w:rPr>
      </w:pPr>
      <w:r w:rsidRPr="00ED4FA1">
        <w:rPr>
          <w:szCs w:val="21"/>
        </w:rPr>
        <w:t>older people were more likely to receive ECT than younger people, with those over 50 years old making up 65 percent of ECT patients.</w:t>
      </w:r>
    </w:p>
    <w:p w14:paraId="567C61FA" w14:textId="77777777" w:rsidR="008361C5" w:rsidRPr="00200234" w:rsidRDefault="008361C5" w:rsidP="00DC3196">
      <w:pPr>
        <w:pStyle w:val="Heading2"/>
      </w:pPr>
      <w:bookmarkStart w:id="274" w:name="_Toc65141635"/>
      <w:bookmarkStart w:id="275" w:name="_Toc69307716"/>
      <w:r w:rsidRPr="00200234">
        <w:t>ECT treatments in 2018 and 2019</w:t>
      </w:r>
      <w:bookmarkEnd w:id="274"/>
      <w:bookmarkEnd w:id="275"/>
    </w:p>
    <w:p w14:paraId="7CC79A9E" w14:textId="77777777" w:rsidR="008361C5" w:rsidRPr="00200234" w:rsidRDefault="008361C5" w:rsidP="00563497">
      <w:r w:rsidRPr="00200234">
        <w:t>The number of people treated with ECT in New Zealand has remained relatively stable since 2006. Around 200 to 300 people receive the treatment each year.</w:t>
      </w:r>
    </w:p>
    <w:p w14:paraId="25C51ABA" w14:textId="3DCE010F" w:rsidR="008361C5" w:rsidRPr="00200234" w:rsidRDefault="008361C5" w:rsidP="008361C5">
      <w:pPr>
        <w:pStyle w:val="Figure"/>
      </w:pPr>
      <w:bookmarkStart w:id="276" w:name="_Toc63764791"/>
      <w:bookmarkStart w:id="277" w:name="_Toc66716238"/>
      <w:r w:rsidRPr="00200234">
        <w:lastRenderedPageBreak/>
        <w:t xml:space="preserve">Figure </w:t>
      </w:r>
      <w:fldSimple w:instr=" SEQ Figure \* ARABIC ">
        <w:r w:rsidR="00422361">
          <w:rPr>
            <w:noProof/>
          </w:rPr>
          <w:t>56</w:t>
        </w:r>
      </w:fldSimple>
      <w:r w:rsidRPr="00200234">
        <w:t xml:space="preserve">: Rate of people treated with </w:t>
      </w:r>
      <w:r w:rsidR="003A59E3">
        <w:t>ECT</w:t>
      </w:r>
      <w:r w:rsidRPr="00200234">
        <w:t xml:space="preserve"> per 100,000 population, 2005</w:t>
      </w:r>
      <w:r w:rsidR="00912EAD" w:rsidRPr="00200234">
        <w:t>–</w:t>
      </w:r>
      <w:r w:rsidRPr="00200234">
        <w:t>2019</w:t>
      </w:r>
      <w:bookmarkEnd w:id="276"/>
      <w:bookmarkEnd w:id="277"/>
    </w:p>
    <w:p w14:paraId="159F1ADA" w14:textId="77777777" w:rsidR="008361C5" w:rsidRPr="00200234" w:rsidRDefault="008361C5" w:rsidP="002D639B">
      <w:pPr>
        <w:keepNext/>
        <w:rPr>
          <w:rFonts w:eastAsia="Calibri" w:cs="Segoe UI"/>
        </w:rPr>
      </w:pPr>
      <w:r w:rsidRPr="00200234">
        <w:rPr>
          <w:noProof/>
        </w:rPr>
        <w:drawing>
          <wp:inline distT="0" distB="0" distL="0" distR="0" wp14:anchorId="32763F9E" wp14:editId="77050F07">
            <wp:extent cx="5040000" cy="3104707"/>
            <wp:effectExtent l="0" t="0" r="0" b="0"/>
            <wp:docPr id="252" name="Chart 252" descr="This line graph shows that the ECT rate has fluctuated over time. It was at about 7.5 per 100,000 in 2005, dipped to a low of about 4.75 in 2008, climbed back up to about 6.5 in 2011, and has been steady around 5 per 100,000 since 2015.">
              <a:extLst xmlns:a="http://schemas.openxmlformats.org/drawingml/2006/main">
                <a:ext uri="{FF2B5EF4-FFF2-40B4-BE49-F238E27FC236}">
                  <a16:creationId xmlns:a16="http://schemas.microsoft.com/office/drawing/2014/main"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3D5E967" w14:textId="21E6F854" w:rsidR="008361C5" w:rsidRPr="00200234" w:rsidRDefault="008361C5" w:rsidP="008361C5">
      <w:pPr>
        <w:pStyle w:val="Note"/>
      </w:pPr>
      <w:r w:rsidRPr="00200234">
        <w:t>Source</w:t>
      </w:r>
      <w:r w:rsidR="00935BF5" w:rsidRPr="00200234">
        <w:t>s</w:t>
      </w:r>
      <w:r w:rsidRPr="00200234">
        <w:t>: PRIMHD data</w:t>
      </w:r>
      <w:r w:rsidR="0015429E">
        <w:t xml:space="preserve"> (extracted</w:t>
      </w:r>
      <w:r w:rsidRPr="00200234">
        <w:t xml:space="preserve"> 19 October 2020</w:t>
      </w:r>
      <w:r w:rsidR="003510A5">
        <w:t>)</w:t>
      </w:r>
      <w:r w:rsidRPr="00200234">
        <w:t xml:space="preserve"> </w:t>
      </w:r>
      <w:r w:rsidR="00935BF5" w:rsidRPr="00200234">
        <w:t>and manual data from</w:t>
      </w:r>
      <w:r w:rsidRPr="00200234">
        <w:t xml:space="preserve"> Southern DHB.</w:t>
      </w:r>
    </w:p>
    <w:p w14:paraId="76DCDFD6" w14:textId="77777777" w:rsidR="008361C5" w:rsidRPr="00200234" w:rsidRDefault="008361C5" w:rsidP="00DC3196">
      <w:pPr>
        <w:pStyle w:val="Heading2"/>
      </w:pPr>
      <w:bookmarkStart w:id="278" w:name="_Toc65141636"/>
      <w:bookmarkStart w:id="279" w:name="_Toc69307717"/>
      <w:r w:rsidRPr="00200234">
        <w:t>ECT by region</w:t>
      </w:r>
      <w:bookmarkEnd w:id="278"/>
      <w:bookmarkEnd w:id="279"/>
    </w:p>
    <w:p w14:paraId="128411E0" w14:textId="791841BE" w:rsidR="008361C5" w:rsidRPr="00200234" w:rsidRDefault="008361C5" w:rsidP="002D639B">
      <w:r w:rsidRPr="00200234">
        <w:t xml:space="preserve">The number and rate of ECT treatments vary regionally (see </w:t>
      </w:r>
      <w:r w:rsidR="00A012A6" w:rsidRPr="00200234">
        <w:t>T</w:t>
      </w:r>
      <w:r w:rsidRPr="00200234">
        <w:t xml:space="preserve">ables </w:t>
      </w:r>
      <w:r w:rsidR="00A012A6" w:rsidRPr="00200234">
        <w:fldChar w:fldCharType="begin"/>
      </w:r>
      <w:r w:rsidR="00A012A6" w:rsidRPr="00200234">
        <w:instrText xml:space="preserve"> REF _Ref65673238 \# 0 \h </w:instrText>
      </w:r>
      <w:r w:rsidR="00A012A6" w:rsidRPr="00200234">
        <w:fldChar w:fldCharType="separate"/>
      </w:r>
      <w:r w:rsidR="00422361">
        <w:t>18</w:t>
      </w:r>
      <w:r w:rsidR="00A012A6" w:rsidRPr="00200234">
        <w:fldChar w:fldCharType="end"/>
      </w:r>
      <w:r w:rsidRPr="00200234">
        <w:t xml:space="preserve"> and </w:t>
      </w:r>
      <w:r w:rsidR="00A012A6" w:rsidRPr="00200234">
        <w:fldChar w:fldCharType="begin"/>
      </w:r>
      <w:r w:rsidR="00A012A6" w:rsidRPr="00200234">
        <w:instrText xml:space="preserve"> REF _Ref65673244 \# 0 \h </w:instrText>
      </w:r>
      <w:r w:rsidR="00A012A6" w:rsidRPr="00200234">
        <w:fldChar w:fldCharType="separate"/>
      </w:r>
      <w:r w:rsidR="00422361">
        <w:t>19</w:t>
      </w:r>
      <w:r w:rsidR="00A012A6" w:rsidRPr="00200234">
        <w:fldChar w:fldCharType="end"/>
      </w:r>
      <w:r w:rsidRPr="00200234">
        <w:t xml:space="preserve"> and </w:t>
      </w:r>
      <w:r w:rsidR="001B5043" w:rsidRPr="00200234">
        <w:t>F</w:t>
      </w:r>
      <w:r w:rsidRPr="00200234">
        <w:t xml:space="preserve">igures </w:t>
      </w:r>
      <w:r w:rsidR="001B5043" w:rsidRPr="00200234">
        <w:fldChar w:fldCharType="begin"/>
      </w:r>
      <w:r w:rsidR="001B5043" w:rsidRPr="00200234">
        <w:instrText xml:space="preserve"> REF _Ref65672687 \# 0 \h </w:instrText>
      </w:r>
      <w:r w:rsidR="001B5043" w:rsidRPr="00200234">
        <w:fldChar w:fldCharType="separate"/>
      </w:r>
      <w:r w:rsidR="00422361">
        <w:t>57</w:t>
      </w:r>
      <w:r w:rsidR="001B5043" w:rsidRPr="00200234">
        <w:fldChar w:fldCharType="end"/>
      </w:r>
      <w:r w:rsidRPr="00200234">
        <w:t xml:space="preserve"> and </w:t>
      </w:r>
      <w:r w:rsidR="001B5043" w:rsidRPr="00200234">
        <w:fldChar w:fldCharType="begin"/>
      </w:r>
      <w:r w:rsidR="001B5043" w:rsidRPr="00200234">
        <w:instrText xml:space="preserve"> REF _Ref65672692 \# 0 \h </w:instrText>
      </w:r>
      <w:r w:rsidR="001B5043" w:rsidRPr="00200234">
        <w:fldChar w:fldCharType="separate"/>
      </w:r>
      <w:r w:rsidR="00422361">
        <w:t>58</w:t>
      </w:r>
      <w:r w:rsidR="001B5043" w:rsidRPr="00200234">
        <w:fldChar w:fldCharType="end"/>
      </w:r>
      <w:r w:rsidRPr="00200234">
        <w:t xml:space="preserve">). In interpreting these differences, it is important to consider several factors that help to explain these variations. First, regions with smaller populations are more vulnerable to annual variations (according to the needs of the population at any given time). In addition, people receiving continuous or maintenance treatment will typically receive more treatments in a year than those treated with an acute course. Finally, populations in some DHBs have better access to ECT services than others. </w:t>
      </w:r>
    </w:p>
    <w:p w14:paraId="6FAE7F09" w14:textId="77777777" w:rsidR="008361C5" w:rsidRPr="00200234" w:rsidRDefault="008361C5" w:rsidP="002D639B"/>
    <w:p w14:paraId="144C731C" w14:textId="54B1F174" w:rsidR="008361C5" w:rsidRPr="00200234" w:rsidRDefault="008361C5" w:rsidP="008361C5">
      <w:pPr>
        <w:pStyle w:val="Table"/>
      </w:pPr>
      <w:bookmarkStart w:id="280" w:name="_Ref65673238"/>
      <w:bookmarkStart w:id="281" w:name="_Toc34653663"/>
      <w:bookmarkStart w:id="282" w:name="_Toc63764681"/>
      <w:bookmarkStart w:id="283" w:name="_Toc69306788"/>
      <w:r w:rsidRPr="00200234">
        <w:lastRenderedPageBreak/>
        <w:t xml:space="preserve">Table </w:t>
      </w:r>
      <w:fldSimple w:instr=" SEQ Table \* ARABIC ">
        <w:r w:rsidR="00422361">
          <w:rPr>
            <w:noProof/>
          </w:rPr>
          <w:t>18</w:t>
        </w:r>
      </w:fldSimple>
      <w:bookmarkEnd w:id="280"/>
      <w:r w:rsidRPr="00200234">
        <w:t xml:space="preserve">: </w:t>
      </w:r>
      <w:r w:rsidR="003A59E3">
        <w:t>ECT</w:t>
      </w:r>
      <w:r w:rsidRPr="00200234">
        <w:t xml:space="preserve"> indicators, by DHB of domicile, 1 January to 31</w:t>
      </w:r>
      <w:r w:rsidR="00402BAD">
        <w:t> </w:t>
      </w:r>
      <w:r w:rsidRPr="00200234">
        <w:t>December 2018</w:t>
      </w:r>
      <w:bookmarkEnd w:id="281"/>
      <w:bookmarkEnd w:id="282"/>
      <w:bookmarkEnd w:id="283"/>
    </w:p>
    <w:tbl>
      <w:tblPr>
        <w:tblW w:w="5000" w:type="pct"/>
        <w:tblBorders>
          <w:top w:val="single" w:sz="4" w:space="0" w:color="A6A6A6"/>
          <w:bottom w:val="single" w:sz="4" w:space="0" w:color="A6A6A6"/>
          <w:insideH w:val="single" w:sz="4" w:space="0" w:color="A6A6A6"/>
        </w:tblBorders>
        <w:tblCellMar>
          <w:left w:w="57" w:type="dxa"/>
          <w:right w:w="57" w:type="dxa"/>
        </w:tblCellMar>
        <w:tblLook w:val="01E0" w:firstRow="1" w:lastRow="1" w:firstColumn="1" w:lastColumn="1" w:noHBand="0" w:noVBand="0"/>
      </w:tblPr>
      <w:tblGrid>
        <w:gridCol w:w="2007"/>
        <w:gridCol w:w="13"/>
        <w:gridCol w:w="1731"/>
        <w:gridCol w:w="6"/>
        <w:gridCol w:w="1739"/>
        <w:gridCol w:w="2535"/>
        <w:gridCol w:w="48"/>
      </w:tblGrid>
      <w:tr w:rsidR="008361C5" w:rsidRPr="00200234" w14:paraId="5A251075" w14:textId="77777777" w:rsidTr="002D639B">
        <w:trPr>
          <w:cantSplit/>
        </w:trPr>
        <w:tc>
          <w:tcPr>
            <w:tcW w:w="1250" w:type="pct"/>
            <w:gridSpan w:val="2"/>
            <w:tcBorders>
              <w:top w:val="nil"/>
              <w:bottom w:val="nil"/>
            </w:tcBorders>
            <w:shd w:val="clear" w:color="auto" w:fill="D9D9D9"/>
          </w:tcPr>
          <w:p w14:paraId="53E8AFF2" w14:textId="77777777" w:rsidR="008361C5" w:rsidRPr="00200234" w:rsidRDefault="008361C5" w:rsidP="002D639B">
            <w:pPr>
              <w:keepNext/>
              <w:spacing w:before="60" w:after="60"/>
              <w:rPr>
                <w:rFonts w:cs="Segoe UI"/>
                <w:b/>
                <w:sz w:val="18"/>
              </w:rPr>
            </w:pPr>
            <w:r w:rsidRPr="00200234">
              <w:rPr>
                <w:rFonts w:cs="Segoe UI"/>
                <w:b/>
                <w:sz w:val="18"/>
              </w:rPr>
              <w:t>DHB of domicile</w:t>
            </w:r>
          </w:p>
        </w:tc>
        <w:tc>
          <w:tcPr>
            <w:tcW w:w="1075" w:type="pct"/>
            <w:gridSpan w:val="2"/>
            <w:tcBorders>
              <w:top w:val="nil"/>
              <w:bottom w:val="nil"/>
            </w:tcBorders>
            <w:shd w:val="clear" w:color="auto" w:fill="D9D9D9"/>
          </w:tcPr>
          <w:p w14:paraId="20B2A84A" w14:textId="77777777" w:rsidR="008361C5" w:rsidRPr="00200234" w:rsidRDefault="008361C5" w:rsidP="002D639B">
            <w:pPr>
              <w:keepNext/>
              <w:spacing w:before="60" w:after="60"/>
              <w:jc w:val="center"/>
              <w:rPr>
                <w:rFonts w:cs="Segoe UI"/>
                <w:b/>
                <w:sz w:val="18"/>
              </w:rPr>
            </w:pPr>
            <w:r w:rsidRPr="00200234">
              <w:rPr>
                <w:rFonts w:cs="Segoe UI"/>
                <w:b/>
                <w:sz w:val="18"/>
              </w:rPr>
              <w:t>Number of people treated with ECT</w:t>
            </w:r>
          </w:p>
        </w:tc>
        <w:tc>
          <w:tcPr>
            <w:tcW w:w="1076" w:type="pct"/>
            <w:tcBorders>
              <w:top w:val="nil"/>
              <w:bottom w:val="nil"/>
            </w:tcBorders>
            <w:shd w:val="clear" w:color="auto" w:fill="D9D9D9"/>
          </w:tcPr>
          <w:p w14:paraId="00EEDC67" w14:textId="77777777" w:rsidR="008361C5" w:rsidRPr="00200234" w:rsidRDefault="008361C5" w:rsidP="002D639B">
            <w:pPr>
              <w:keepNext/>
              <w:spacing w:before="60" w:after="60"/>
              <w:jc w:val="center"/>
              <w:rPr>
                <w:rFonts w:cs="Segoe UI"/>
                <w:b/>
                <w:sz w:val="18"/>
              </w:rPr>
            </w:pPr>
            <w:r w:rsidRPr="00200234">
              <w:rPr>
                <w:rFonts w:cs="Segoe UI"/>
                <w:b/>
                <w:sz w:val="18"/>
              </w:rPr>
              <w:t>Number of</w:t>
            </w:r>
            <w:r w:rsidRPr="00200234">
              <w:rPr>
                <w:rFonts w:cs="Segoe UI"/>
                <w:b/>
                <w:sz w:val="18"/>
              </w:rPr>
              <w:br/>
              <w:t>treatments</w:t>
            </w:r>
          </w:p>
        </w:tc>
        <w:tc>
          <w:tcPr>
            <w:tcW w:w="1600" w:type="pct"/>
            <w:gridSpan w:val="2"/>
            <w:tcBorders>
              <w:top w:val="nil"/>
              <w:bottom w:val="nil"/>
            </w:tcBorders>
            <w:shd w:val="clear" w:color="auto" w:fill="D9D9D9"/>
          </w:tcPr>
          <w:p w14:paraId="668A13C3" w14:textId="77777777" w:rsidR="008361C5" w:rsidRPr="00200234" w:rsidRDefault="008361C5" w:rsidP="002D639B">
            <w:pPr>
              <w:keepNext/>
              <w:spacing w:before="60" w:after="60"/>
              <w:jc w:val="center"/>
              <w:rPr>
                <w:rFonts w:cs="Segoe UI"/>
                <w:b/>
                <w:sz w:val="18"/>
              </w:rPr>
            </w:pPr>
            <w:r w:rsidRPr="00200234">
              <w:rPr>
                <w:rFonts w:cs="Segoe UI"/>
                <w:b/>
                <w:sz w:val="18"/>
              </w:rPr>
              <w:t>Mean number of treatments per person (range)</w:t>
            </w:r>
          </w:p>
        </w:tc>
      </w:tr>
      <w:tr w:rsidR="008361C5" w:rsidRPr="00200234" w14:paraId="4AC70E1B"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bottom w:val="single" w:sz="4" w:space="0" w:color="A6A6A6"/>
            </w:tcBorders>
          </w:tcPr>
          <w:p w14:paraId="5AF53E08" w14:textId="77777777" w:rsidR="008361C5" w:rsidRPr="00200234" w:rsidRDefault="008361C5" w:rsidP="002D639B">
            <w:pPr>
              <w:keepNext/>
              <w:spacing w:before="60" w:after="60"/>
              <w:rPr>
                <w:rFonts w:cs="Segoe UI"/>
                <w:sz w:val="18"/>
              </w:rPr>
            </w:pPr>
            <w:r w:rsidRPr="00200234">
              <w:rPr>
                <w:rFonts w:cs="Segoe UI"/>
                <w:w w:val="105"/>
                <w:sz w:val="18"/>
              </w:rPr>
              <w:t>Auckland</w:t>
            </w:r>
          </w:p>
        </w:tc>
        <w:tc>
          <w:tcPr>
            <w:tcW w:w="1079" w:type="pct"/>
            <w:gridSpan w:val="2"/>
            <w:tcBorders>
              <w:bottom w:val="single" w:sz="4" w:space="0" w:color="A6A6A6"/>
            </w:tcBorders>
          </w:tcPr>
          <w:p w14:paraId="0D599778" w14:textId="77777777" w:rsidR="008361C5" w:rsidRPr="00200234" w:rsidRDefault="008361C5" w:rsidP="002D639B">
            <w:pPr>
              <w:keepNext/>
              <w:tabs>
                <w:tab w:val="decimal" w:pos="900"/>
              </w:tabs>
              <w:spacing w:before="60" w:after="60"/>
              <w:rPr>
                <w:rFonts w:cs="Segoe UI"/>
                <w:sz w:val="18"/>
              </w:rPr>
            </w:pPr>
            <w:r w:rsidRPr="00200234">
              <w:rPr>
                <w:rFonts w:cs="Segoe UI"/>
                <w:sz w:val="18"/>
              </w:rPr>
              <w:t>20</w:t>
            </w:r>
          </w:p>
        </w:tc>
        <w:tc>
          <w:tcPr>
            <w:tcW w:w="1079" w:type="pct"/>
            <w:gridSpan w:val="2"/>
            <w:tcBorders>
              <w:bottom w:val="single" w:sz="4" w:space="0" w:color="A6A6A6"/>
            </w:tcBorders>
          </w:tcPr>
          <w:p w14:paraId="411492E9" w14:textId="77777777" w:rsidR="008361C5" w:rsidRPr="00200234" w:rsidRDefault="008361C5" w:rsidP="002D639B">
            <w:pPr>
              <w:keepNext/>
              <w:tabs>
                <w:tab w:val="decimal" w:pos="1012"/>
              </w:tabs>
              <w:spacing w:before="60" w:after="60"/>
              <w:rPr>
                <w:rFonts w:cs="Segoe UI"/>
                <w:sz w:val="18"/>
              </w:rPr>
            </w:pPr>
            <w:r w:rsidRPr="00200234">
              <w:rPr>
                <w:rFonts w:cs="Segoe UI"/>
                <w:sz w:val="18"/>
              </w:rPr>
              <w:t>265</w:t>
            </w:r>
          </w:p>
        </w:tc>
        <w:tc>
          <w:tcPr>
            <w:tcW w:w="1569" w:type="pct"/>
            <w:tcBorders>
              <w:bottom w:val="single" w:sz="4" w:space="0" w:color="A6A6A6"/>
            </w:tcBorders>
            <w:vAlign w:val="center"/>
          </w:tcPr>
          <w:p w14:paraId="4D54D6F3" w14:textId="77777777" w:rsidR="008361C5" w:rsidRPr="00200234" w:rsidRDefault="008361C5" w:rsidP="00912EAD">
            <w:pPr>
              <w:keepNext/>
              <w:tabs>
                <w:tab w:val="decimal" w:pos="1012"/>
              </w:tabs>
              <w:spacing w:before="60" w:after="60"/>
              <w:rPr>
                <w:rFonts w:cs="Segoe UI"/>
                <w:sz w:val="18"/>
              </w:rPr>
            </w:pPr>
            <w:r w:rsidRPr="00200234">
              <w:rPr>
                <w:rFonts w:cs="Segoe UI"/>
                <w:sz w:val="18"/>
              </w:rPr>
              <w:t>13 (2–31)</w:t>
            </w:r>
          </w:p>
        </w:tc>
      </w:tr>
      <w:tr w:rsidR="008361C5" w:rsidRPr="00200234" w14:paraId="0B74C3E3"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5174F5E1" w14:textId="77777777" w:rsidR="008361C5" w:rsidRPr="00200234" w:rsidRDefault="008361C5" w:rsidP="002D639B">
            <w:pPr>
              <w:keepNext/>
              <w:spacing w:before="60" w:after="60"/>
              <w:rPr>
                <w:rFonts w:cs="Segoe UI"/>
                <w:sz w:val="18"/>
              </w:rPr>
            </w:pPr>
            <w:r w:rsidRPr="00200234">
              <w:rPr>
                <w:rFonts w:cs="Segoe UI"/>
                <w:w w:val="105"/>
                <w:sz w:val="18"/>
              </w:rPr>
              <w:t>Bay of Plenty</w:t>
            </w:r>
          </w:p>
        </w:tc>
        <w:tc>
          <w:tcPr>
            <w:tcW w:w="1079" w:type="pct"/>
            <w:gridSpan w:val="2"/>
            <w:tcBorders>
              <w:top w:val="single" w:sz="4" w:space="0" w:color="A6A6A6"/>
              <w:bottom w:val="single" w:sz="4" w:space="0" w:color="A6A6A6"/>
            </w:tcBorders>
          </w:tcPr>
          <w:p w14:paraId="0F098AF0" w14:textId="77777777" w:rsidR="008361C5" w:rsidRPr="00200234" w:rsidRDefault="008361C5" w:rsidP="002D639B">
            <w:pPr>
              <w:keepNext/>
              <w:tabs>
                <w:tab w:val="decimal" w:pos="900"/>
              </w:tabs>
              <w:spacing w:before="60" w:after="60"/>
              <w:rPr>
                <w:rFonts w:cs="Segoe UI"/>
                <w:sz w:val="18"/>
              </w:rPr>
            </w:pPr>
            <w:r w:rsidRPr="00200234">
              <w:rPr>
                <w:rFonts w:cs="Segoe UI"/>
                <w:sz w:val="18"/>
              </w:rPr>
              <w:t>13</w:t>
            </w:r>
          </w:p>
        </w:tc>
        <w:tc>
          <w:tcPr>
            <w:tcW w:w="1079" w:type="pct"/>
            <w:gridSpan w:val="2"/>
            <w:tcBorders>
              <w:top w:val="single" w:sz="4" w:space="0" w:color="A6A6A6"/>
              <w:bottom w:val="single" w:sz="4" w:space="0" w:color="A6A6A6"/>
            </w:tcBorders>
          </w:tcPr>
          <w:p w14:paraId="7C23D6A0" w14:textId="77777777" w:rsidR="008361C5" w:rsidRPr="00200234" w:rsidRDefault="008361C5" w:rsidP="002D639B">
            <w:pPr>
              <w:keepNext/>
              <w:tabs>
                <w:tab w:val="decimal" w:pos="1012"/>
              </w:tabs>
              <w:spacing w:before="60" w:after="60"/>
              <w:rPr>
                <w:rFonts w:cs="Segoe UI"/>
                <w:sz w:val="18"/>
              </w:rPr>
            </w:pPr>
            <w:r w:rsidRPr="00200234">
              <w:rPr>
                <w:rFonts w:cs="Segoe UI"/>
                <w:sz w:val="18"/>
              </w:rPr>
              <w:t>225</w:t>
            </w:r>
          </w:p>
        </w:tc>
        <w:tc>
          <w:tcPr>
            <w:tcW w:w="1569" w:type="pct"/>
            <w:tcBorders>
              <w:top w:val="single" w:sz="4" w:space="0" w:color="A6A6A6"/>
              <w:bottom w:val="single" w:sz="4" w:space="0" w:color="A6A6A6"/>
            </w:tcBorders>
            <w:vAlign w:val="center"/>
          </w:tcPr>
          <w:p w14:paraId="05EDB63C" w14:textId="77777777" w:rsidR="008361C5" w:rsidRPr="00200234" w:rsidRDefault="008361C5" w:rsidP="00912EAD">
            <w:pPr>
              <w:keepNext/>
              <w:tabs>
                <w:tab w:val="decimal" w:pos="1012"/>
              </w:tabs>
              <w:spacing w:before="60" w:after="60"/>
              <w:rPr>
                <w:rFonts w:cs="Segoe UI"/>
                <w:sz w:val="18"/>
              </w:rPr>
            </w:pPr>
            <w:r w:rsidRPr="00200234">
              <w:rPr>
                <w:rFonts w:cs="Segoe UI"/>
                <w:sz w:val="18"/>
              </w:rPr>
              <w:t>17 (5–56)</w:t>
            </w:r>
          </w:p>
        </w:tc>
      </w:tr>
      <w:tr w:rsidR="008361C5" w:rsidRPr="00200234" w14:paraId="6B93871A"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198B95C3" w14:textId="77777777" w:rsidR="008361C5" w:rsidRPr="00200234" w:rsidRDefault="008361C5" w:rsidP="002D639B">
            <w:pPr>
              <w:keepNext/>
              <w:spacing w:before="60" w:after="60"/>
              <w:rPr>
                <w:rFonts w:cs="Segoe UI"/>
                <w:sz w:val="18"/>
              </w:rPr>
            </w:pPr>
            <w:r w:rsidRPr="00200234">
              <w:rPr>
                <w:rFonts w:cs="Segoe UI"/>
                <w:w w:val="105"/>
                <w:sz w:val="18"/>
              </w:rPr>
              <w:t>Canterbury</w:t>
            </w:r>
          </w:p>
        </w:tc>
        <w:tc>
          <w:tcPr>
            <w:tcW w:w="1079" w:type="pct"/>
            <w:gridSpan w:val="2"/>
            <w:tcBorders>
              <w:top w:val="single" w:sz="4" w:space="0" w:color="A6A6A6"/>
              <w:bottom w:val="single" w:sz="4" w:space="0" w:color="A6A6A6"/>
            </w:tcBorders>
          </w:tcPr>
          <w:p w14:paraId="1AFD1975" w14:textId="77777777" w:rsidR="008361C5" w:rsidRPr="00200234" w:rsidRDefault="008361C5" w:rsidP="002D639B">
            <w:pPr>
              <w:keepNext/>
              <w:tabs>
                <w:tab w:val="decimal" w:pos="900"/>
              </w:tabs>
              <w:spacing w:before="60" w:after="60"/>
              <w:rPr>
                <w:rFonts w:cs="Segoe UI"/>
                <w:sz w:val="18"/>
              </w:rPr>
            </w:pPr>
            <w:r w:rsidRPr="00200234">
              <w:rPr>
                <w:rFonts w:cs="Segoe UI"/>
                <w:sz w:val="18"/>
              </w:rPr>
              <w:t>21</w:t>
            </w:r>
          </w:p>
        </w:tc>
        <w:tc>
          <w:tcPr>
            <w:tcW w:w="1079" w:type="pct"/>
            <w:gridSpan w:val="2"/>
            <w:tcBorders>
              <w:top w:val="single" w:sz="4" w:space="0" w:color="A6A6A6"/>
              <w:bottom w:val="single" w:sz="4" w:space="0" w:color="A6A6A6"/>
            </w:tcBorders>
          </w:tcPr>
          <w:p w14:paraId="7AC65925" w14:textId="77777777" w:rsidR="008361C5" w:rsidRPr="00200234" w:rsidRDefault="008361C5" w:rsidP="002D639B">
            <w:pPr>
              <w:keepNext/>
              <w:tabs>
                <w:tab w:val="decimal" w:pos="1012"/>
              </w:tabs>
              <w:spacing w:before="60" w:after="60"/>
              <w:rPr>
                <w:rFonts w:cs="Segoe UI"/>
                <w:sz w:val="18"/>
              </w:rPr>
            </w:pPr>
            <w:r w:rsidRPr="00200234">
              <w:rPr>
                <w:rFonts w:cs="Segoe UI"/>
                <w:sz w:val="18"/>
              </w:rPr>
              <w:t>230</w:t>
            </w:r>
          </w:p>
        </w:tc>
        <w:tc>
          <w:tcPr>
            <w:tcW w:w="1569" w:type="pct"/>
            <w:tcBorders>
              <w:top w:val="single" w:sz="4" w:space="0" w:color="A6A6A6"/>
              <w:bottom w:val="single" w:sz="4" w:space="0" w:color="A6A6A6"/>
            </w:tcBorders>
            <w:vAlign w:val="center"/>
          </w:tcPr>
          <w:p w14:paraId="2656D0C3" w14:textId="77777777" w:rsidR="008361C5" w:rsidRPr="00200234" w:rsidRDefault="008361C5" w:rsidP="00912EAD">
            <w:pPr>
              <w:keepNext/>
              <w:tabs>
                <w:tab w:val="decimal" w:pos="1012"/>
              </w:tabs>
              <w:spacing w:before="60" w:after="60"/>
              <w:rPr>
                <w:rFonts w:cs="Segoe UI"/>
                <w:sz w:val="18"/>
              </w:rPr>
            </w:pPr>
            <w:r w:rsidRPr="00200234">
              <w:rPr>
                <w:rFonts w:cs="Segoe UI"/>
                <w:sz w:val="18"/>
              </w:rPr>
              <w:t>11 (3–30)</w:t>
            </w:r>
          </w:p>
        </w:tc>
      </w:tr>
      <w:tr w:rsidR="008361C5" w:rsidRPr="00200234" w14:paraId="145DCAEE"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15B2EE7A" w14:textId="77777777" w:rsidR="008361C5" w:rsidRPr="00200234" w:rsidRDefault="008361C5" w:rsidP="002D639B">
            <w:pPr>
              <w:keepNext/>
              <w:spacing w:before="60" w:after="60"/>
              <w:rPr>
                <w:rFonts w:cs="Segoe UI"/>
                <w:sz w:val="18"/>
              </w:rPr>
            </w:pPr>
            <w:r w:rsidRPr="00200234">
              <w:rPr>
                <w:rFonts w:cs="Segoe UI"/>
                <w:w w:val="105"/>
                <w:sz w:val="18"/>
              </w:rPr>
              <w:t>Capital &amp; Coast</w:t>
            </w:r>
          </w:p>
        </w:tc>
        <w:tc>
          <w:tcPr>
            <w:tcW w:w="1079" w:type="pct"/>
            <w:gridSpan w:val="2"/>
            <w:tcBorders>
              <w:top w:val="single" w:sz="4" w:space="0" w:color="A6A6A6"/>
              <w:bottom w:val="single" w:sz="4" w:space="0" w:color="A6A6A6"/>
            </w:tcBorders>
          </w:tcPr>
          <w:p w14:paraId="0C7385E1" w14:textId="77777777" w:rsidR="008361C5" w:rsidRPr="00200234" w:rsidRDefault="008361C5" w:rsidP="002D639B">
            <w:pPr>
              <w:keepNext/>
              <w:tabs>
                <w:tab w:val="decimal" w:pos="900"/>
              </w:tabs>
              <w:spacing w:before="60" w:after="60"/>
              <w:rPr>
                <w:rFonts w:cs="Segoe UI"/>
                <w:sz w:val="18"/>
              </w:rPr>
            </w:pPr>
            <w:r w:rsidRPr="00200234">
              <w:rPr>
                <w:rFonts w:cs="Segoe UI"/>
                <w:sz w:val="18"/>
              </w:rPr>
              <w:t>27</w:t>
            </w:r>
          </w:p>
        </w:tc>
        <w:tc>
          <w:tcPr>
            <w:tcW w:w="1079" w:type="pct"/>
            <w:gridSpan w:val="2"/>
            <w:tcBorders>
              <w:top w:val="single" w:sz="4" w:space="0" w:color="A6A6A6"/>
              <w:bottom w:val="single" w:sz="4" w:space="0" w:color="A6A6A6"/>
            </w:tcBorders>
          </w:tcPr>
          <w:p w14:paraId="46E3CE1F" w14:textId="77777777" w:rsidR="008361C5" w:rsidRPr="00200234" w:rsidRDefault="008361C5" w:rsidP="002D639B">
            <w:pPr>
              <w:keepNext/>
              <w:tabs>
                <w:tab w:val="decimal" w:pos="1012"/>
              </w:tabs>
              <w:spacing w:before="60" w:after="60"/>
              <w:rPr>
                <w:rFonts w:cs="Segoe UI"/>
                <w:sz w:val="18"/>
              </w:rPr>
            </w:pPr>
            <w:r w:rsidRPr="00200234">
              <w:rPr>
                <w:rFonts w:cs="Segoe UI"/>
                <w:sz w:val="18"/>
              </w:rPr>
              <w:t>254</w:t>
            </w:r>
          </w:p>
        </w:tc>
        <w:tc>
          <w:tcPr>
            <w:tcW w:w="1569" w:type="pct"/>
            <w:tcBorders>
              <w:top w:val="single" w:sz="4" w:space="0" w:color="A6A6A6"/>
              <w:bottom w:val="single" w:sz="4" w:space="0" w:color="A6A6A6"/>
            </w:tcBorders>
            <w:vAlign w:val="center"/>
          </w:tcPr>
          <w:p w14:paraId="2C675CBF" w14:textId="77777777" w:rsidR="008361C5" w:rsidRPr="00200234" w:rsidRDefault="008361C5" w:rsidP="00912EAD">
            <w:pPr>
              <w:keepNext/>
              <w:tabs>
                <w:tab w:val="decimal" w:pos="1012"/>
              </w:tabs>
              <w:spacing w:before="60" w:after="60"/>
              <w:rPr>
                <w:rFonts w:cs="Segoe UI"/>
                <w:sz w:val="18"/>
              </w:rPr>
            </w:pPr>
            <w:r w:rsidRPr="00200234">
              <w:rPr>
                <w:rFonts w:cs="Segoe UI"/>
                <w:sz w:val="18"/>
              </w:rPr>
              <w:t>9 (1–33)</w:t>
            </w:r>
          </w:p>
        </w:tc>
      </w:tr>
      <w:tr w:rsidR="008361C5" w:rsidRPr="00200234" w14:paraId="4C62DB52"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6D3EC122" w14:textId="77777777" w:rsidR="008361C5" w:rsidRPr="00200234" w:rsidRDefault="008361C5" w:rsidP="002D639B">
            <w:pPr>
              <w:keepNext/>
              <w:spacing w:before="60" w:after="60"/>
              <w:rPr>
                <w:rFonts w:cs="Segoe UI"/>
                <w:sz w:val="18"/>
              </w:rPr>
            </w:pPr>
            <w:r w:rsidRPr="00200234">
              <w:rPr>
                <w:rFonts w:cs="Segoe UI"/>
                <w:w w:val="105"/>
                <w:sz w:val="18"/>
              </w:rPr>
              <w:t>Counties Manukau</w:t>
            </w:r>
          </w:p>
        </w:tc>
        <w:tc>
          <w:tcPr>
            <w:tcW w:w="1079" w:type="pct"/>
            <w:gridSpan w:val="2"/>
            <w:tcBorders>
              <w:top w:val="single" w:sz="4" w:space="0" w:color="A6A6A6"/>
              <w:bottom w:val="single" w:sz="4" w:space="0" w:color="A6A6A6"/>
            </w:tcBorders>
          </w:tcPr>
          <w:p w14:paraId="1B8429CB" w14:textId="77777777" w:rsidR="008361C5" w:rsidRPr="00200234" w:rsidRDefault="008361C5" w:rsidP="002D639B">
            <w:pPr>
              <w:keepNext/>
              <w:tabs>
                <w:tab w:val="decimal" w:pos="900"/>
              </w:tabs>
              <w:spacing w:before="60" w:after="60"/>
              <w:rPr>
                <w:rFonts w:cs="Segoe UI"/>
                <w:sz w:val="18"/>
              </w:rPr>
            </w:pPr>
            <w:r w:rsidRPr="00200234">
              <w:rPr>
                <w:rFonts w:cs="Segoe UI"/>
                <w:sz w:val="18"/>
              </w:rPr>
              <w:t>25</w:t>
            </w:r>
          </w:p>
        </w:tc>
        <w:tc>
          <w:tcPr>
            <w:tcW w:w="1079" w:type="pct"/>
            <w:gridSpan w:val="2"/>
            <w:tcBorders>
              <w:top w:val="single" w:sz="4" w:space="0" w:color="A6A6A6"/>
              <w:bottom w:val="single" w:sz="4" w:space="0" w:color="A6A6A6"/>
            </w:tcBorders>
          </w:tcPr>
          <w:p w14:paraId="38440EB6" w14:textId="77777777" w:rsidR="008361C5" w:rsidRPr="00200234" w:rsidRDefault="008361C5" w:rsidP="002D639B">
            <w:pPr>
              <w:keepNext/>
              <w:tabs>
                <w:tab w:val="decimal" w:pos="1012"/>
              </w:tabs>
              <w:spacing w:before="60" w:after="60"/>
              <w:rPr>
                <w:rFonts w:cs="Segoe UI"/>
                <w:sz w:val="18"/>
              </w:rPr>
            </w:pPr>
            <w:r w:rsidRPr="00200234">
              <w:rPr>
                <w:rFonts w:cs="Segoe UI"/>
                <w:sz w:val="18"/>
              </w:rPr>
              <w:t>274</w:t>
            </w:r>
          </w:p>
        </w:tc>
        <w:tc>
          <w:tcPr>
            <w:tcW w:w="1569" w:type="pct"/>
            <w:tcBorders>
              <w:top w:val="single" w:sz="4" w:space="0" w:color="A6A6A6"/>
              <w:bottom w:val="single" w:sz="4" w:space="0" w:color="A6A6A6"/>
            </w:tcBorders>
            <w:vAlign w:val="center"/>
          </w:tcPr>
          <w:p w14:paraId="25F53E46" w14:textId="77777777" w:rsidR="008361C5" w:rsidRPr="00200234" w:rsidRDefault="008361C5" w:rsidP="00912EAD">
            <w:pPr>
              <w:keepNext/>
              <w:tabs>
                <w:tab w:val="decimal" w:pos="1012"/>
              </w:tabs>
              <w:spacing w:before="60" w:after="60"/>
              <w:rPr>
                <w:rFonts w:cs="Segoe UI"/>
                <w:sz w:val="18"/>
              </w:rPr>
            </w:pPr>
            <w:r w:rsidRPr="00200234">
              <w:rPr>
                <w:rFonts w:cs="Segoe UI"/>
                <w:sz w:val="18"/>
              </w:rPr>
              <w:t>11 (1–45)</w:t>
            </w:r>
          </w:p>
        </w:tc>
      </w:tr>
      <w:tr w:rsidR="008361C5" w:rsidRPr="00200234" w14:paraId="3EE4AE51"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0784B51B" w14:textId="77777777" w:rsidR="008361C5" w:rsidRPr="00200234" w:rsidRDefault="008361C5" w:rsidP="002D639B">
            <w:pPr>
              <w:keepNext/>
              <w:spacing w:before="60" w:after="60"/>
              <w:rPr>
                <w:rFonts w:cs="Segoe UI"/>
                <w:sz w:val="18"/>
              </w:rPr>
            </w:pPr>
            <w:r w:rsidRPr="00200234">
              <w:rPr>
                <w:rFonts w:cs="Segoe UI"/>
                <w:sz w:val="18"/>
              </w:rPr>
              <w:t>Hawke’s Bay</w:t>
            </w:r>
          </w:p>
        </w:tc>
        <w:tc>
          <w:tcPr>
            <w:tcW w:w="1079" w:type="pct"/>
            <w:gridSpan w:val="2"/>
            <w:tcBorders>
              <w:top w:val="single" w:sz="4" w:space="0" w:color="A6A6A6"/>
              <w:bottom w:val="single" w:sz="4" w:space="0" w:color="A6A6A6"/>
            </w:tcBorders>
          </w:tcPr>
          <w:p w14:paraId="092477E5" w14:textId="77777777" w:rsidR="008361C5" w:rsidRPr="00200234" w:rsidRDefault="008361C5" w:rsidP="002D639B">
            <w:pPr>
              <w:keepNext/>
              <w:tabs>
                <w:tab w:val="decimal" w:pos="900"/>
              </w:tabs>
              <w:spacing w:before="60" w:after="60"/>
              <w:rPr>
                <w:rFonts w:cs="Segoe UI"/>
                <w:sz w:val="18"/>
              </w:rPr>
            </w:pPr>
            <w:r w:rsidRPr="00200234">
              <w:rPr>
                <w:rFonts w:cs="Segoe UI"/>
                <w:sz w:val="18"/>
              </w:rPr>
              <w:t>7</w:t>
            </w:r>
          </w:p>
        </w:tc>
        <w:tc>
          <w:tcPr>
            <w:tcW w:w="1079" w:type="pct"/>
            <w:gridSpan w:val="2"/>
            <w:tcBorders>
              <w:top w:val="single" w:sz="4" w:space="0" w:color="A6A6A6"/>
              <w:bottom w:val="single" w:sz="4" w:space="0" w:color="A6A6A6"/>
            </w:tcBorders>
          </w:tcPr>
          <w:p w14:paraId="571850AD" w14:textId="77777777" w:rsidR="008361C5" w:rsidRPr="00200234" w:rsidRDefault="008361C5" w:rsidP="002D639B">
            <w:pPr>
              <w:keepNext/>
              <w:tabs>
                <w:tab w:val="decimal" w:pos="1012"/>
              </w:tabs>
              <w:spacing w:before="60" w:after="60"/>
              <w:rPr>
                <w:rFonts w:cs="Segoe UI"/>
                <w:sz w:val="18"/>
              </w:rPr>
            </w:pPr>
            <w:r w:rsidRPr="00200234">
              <w:rPr>
                <w:rFonts w:cs="Segoe UI"/>
                <w:sz w:val="18"/>
              </w:rPr>
              <w:t>27</w:t>
            </w:r>
          </w:p>
        </w:tc>
        <w:tc>
          <w:tcPr>
            <w:tcW w:w="1569" w:type="pct"/>
            <w:tcBorders>
              <w:top w:val="single" w:sz="4" w:space="0" w:color="A6A6A6"/>
              <w:bottom w:val="single" w:sz="4" w:space="0" w:color="A6A6A6"/>
            </w:tcBorders>
            <w:vAlign w:val="center"/>
          </w:tcPr>
          <w:p w14:paraId="5ADBD76F" w14:textId="77777777" w:rsidR="008361C5" w:rsidRPr="00200234" w:rsidRDefault="008361C5" w:rsidP="00912EAD">
            <w:pPr>
              <w:keepNext/>
              <w:tabs>
                <w:tab w:val="decimal" w:pos="1012"/>
              </w:tabs>
              <w:spacing w:before="60" w:after="60"/>
              <w:rPr>
                <w:rFonts w:cs="Segoe UI"/>
                <w:sz w:val="18"/>
              </w:rPr>
            </w:pPr>
            <w:r w:rsidRPr="00200234">
              <w:rPr>
                <w:rFonts w:cs="Segoe UI"/>
                <w:sz w:val="18"/>
              </w:rPr>
              <w:t>4 (1–7)</w:t>
            </w:r>
          </w:p>
        </w:tc>
      </w:tr>
      <w:tr w:rsidR="008361C5" w:rsidRPr="00200234" w14:paraId="41F980FA"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66002FF7" w14:textId="77777777" w:rsidR="008361C5" w:rsidRPr="00200234" w:rsidRDefault="008361C5" w:rsidP="002D639B">
            <w:pPr>
              <w:keepNext/>
              <w:spacing w:before="60" w:after="60"/>
              <w:rPr>
                <w:rFonts w:cs="Segoe UI"/>
                <w:sz w:val="18"/>
              </w:rPr>
            </w:pPr>
            <w:r w:rsidRPr="00200234">
              <w:rPr>
                <w:rFonts w:cs="Segoe UI"/>
                <w:w w:val="105"/>
                <w:sz w:val="18"/>
              </w:rPr>
              <w:t>Hutt Valley</w:t>
            </w:r>
          </w:p>
        </w:tc>
        <w:tc>
          <w:tcPr>
            <w:tcW w:w="1079" w:type="pct"/>
            <w:gridSpan w:val="2"/>
            <w:tcBorders>
              <w:top w:val="single" w:sz="4" w:space="0" w:color="A6A6A6"/>
              <w:bottom w:val="single" w:sz="4" w:space="0" w:color="A6A6A6"/>
            </w:tcBorders>
          </w:tcPr>
          <w:p w14:paraId="303D0F11" w14:textId="77777777" w:rsidR="008361C5" w:rsidRPr="00200234" w:rsidRDefault="008361C5" w:rsidP="002D639B">
            <w:pPr>
              <w:keepNext/>
              <w:tabs>
                <w:tab w:val="decimal" w:pos="900"/>
              </w:tabs>
              <w:spacing w:before="60" w:after="60"/>
              <w:rPr>
                <w:rFonts w:cs="Segoe UI"/>
                <w:sz w:val="18"/>
              </w:rPr>
            </w:pPr>
            <w:r w:rsidRPr="00200234">
              <w:rPr>
                <w:rFonts w:cs="Segoe UI"/>
                <w:sz w:val="18"/>
              </w:rPr>
              <w:t>17</w:t>
            </w:r>
          </w:p>
        </w:tc>
        <w:tc>
          <w:tcPr>
            <w:tcW w:w="1079" w:type="pct"/>
            <w:gridSpan w:val="2"/>
            <w:tcBorders>
              <w:top w:val="single" w:sz="4" w:space="0" w:color="A6A6A6"/>
              <w:bottom w:val="single" w:sz="4" w:space="0" w:color="A6A6A6"/>
            </w:tcBorders>
          </w:tcPr>
          <w:p w14:paraId="3177CE14" w14:textId="77777777" w:rsidR="008361C5" w:rsidRPr="00200234" w:rsidRDefault="008361C5" w:rsidP="002D639B">
            <w:pPr>
              <w:keepNext/>
              <w:tabs>
                <w:tab w:val="decimal" w:pos="1012"/>
              </w:tabs>
              <w:spacing w:before="60" w:after="60"/>
              <w:rPr>
                <w:rFonts w:cs="Segoe UI"/>
                <w:sz w:val="18"/>
              </w:rPr>
            </w:pPr>
            <w:r w:rsidRPr="00200234">
              <w:rPr>
                <w:rFonts w:cs="Segoe UI"/>
                <w:sz w:val="18"/>
              </w:rPr>
              <w:t>149</w:t>
            </w:r>
          </w:p>
        </w:tc>
        <w:tc>
          <w:tcPr>
            <w:tcW w:w="1569" w:type="pct"/>
            <w:tcBorders>
              <w:top w:val="single" w:sz="4" w:space="0" w:color="A6A6A6"/>
              <w:bottom w:val="single" w:sz="4" w:space="0" w:color="A6A6A6"/>
            </w:tcBorders>
            <w:vAlign w:val="center"/>
          </w:tcPr>
          <w:p w14:paraId="5C299301" w14:textId="77777777" w:rsidR="008361C5" w:rsidRPr="00200234" w:rsidRDefault="008361C5" w:rsidP="00912EAD">
            <w:pPr>
              <w:keepNext/>
              <w:tabs>
                <w:tab w:val="decimal" w:pos="1012"/>
              </w:tabs>
              <w:spacing w:before="60" w:after="60"/>
              <w:rPr>
                <w:rFonts w:cs="Segoe UI"/>
                <w:sz w:val="18"/>
              </w:rPr>
            </w:pPr>
            <w:r w:rsidRPr="00200234">
              <w:rPr>
                <w:rFonts w:cs="Segoe UI"/>
                <w:sz w:val="18"/>
              </w:rPr>
              <w:t>9 (1–22)</w:t>
            </w:r>
          </w:p>
        </w:tc>
      </w:tr>
      <w:tr w:rsidR="008361C5" w:rsidRPr="00200234" w14:paraId="3BCC97F6"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1BD5DB14" w14:textId="77777777" w:rsidR="008361C5" w:rsidRPr="00200234" w:rsidRDefault="008361C5" w:rsidP="002D639B">
            <w:pPr>
              <w:keepNext/>
              <w:spacing w:before="60" w:after="60"/>
              <w:rPr>
                <w:rFonts w:cs="Segoe UI"/>
                <w:sz w:val="18"/>
              </w:rPr>
            </w:pPr>
            <w:r w:rsidRPr="00200234">
              <w:rPr>
                <w:rFonts w:cs="Segoe UI"/>
                <w:sz w:val="18"/>
              </w:rPr>
              <w:t>Lakes</w:t>
            </w:r>
          </w:p>
        </w:tc>
        <w:tc>
          <w:tcPr>
            <w:tcW w:w="1079" w:type="pct"/>
            <w:gridSpan w:val="2"/>
            <w:tcBorders>
              <w:top w:val="single" w:sz="4" w:space="0" w:color="A6A6A6"/>
              <w:bottom w:val="single" w:sz="4" w:space="0" w:color="A6A6A6"/>
            </w:tcBorders>
          </w:tcPr>
          <w:p w14:paraId="76424316" w14:textId="77777777" w:rsidR="008361C5" w:rsidRPr="00200234" w:rsidRDefault="008361C5" w:rsidP="002D639B">
            <w:pPr>
              <w:keepNext/>
              <w:tabs>
                <w:tab w:val="decimal" w:pos="900"/>
              </w:tabs>
              <w:spacing w:before="60" w:after="60"/>
              <w:rPr>
                <w:rFonts w:cs="Segoe UI"/>
                <w:sz w:val="18"/>
              </w:rPr>
            </w:pPr>
            <w:r w:rsidRPr="00200234">
              <w:rPr>
                <w:rFonts w:cs="Segoe UI"/>
                <w:w w:val="102"/>
                <w:sz w:val="18"/>
              </w:rPr>
              <w:t>5</w:t>
            </w:r>
          </w:p>
        </w:tc>
        <w:tc>
          <w:tcPr>
            <w:tcW w:w="1079" w:type="pct"/>
            <w:gridSpan w:val="2"/>
            <w:tcBorders>
              <w:top w:val="single" w:sz="4" w:space="0" w:color="A6A6A6"/>
              <w:bottom w:val="single" w:sz="4" w:space="0" w:color="A6A6A6"/>
            </w:tcBorders>
          </w:tcPr>
          <w:p w14:paraId="6714A55E" w14:textId="77777777" w:rsidR="008361C5" w:rsidRPr="00200234" w:rsidRDefault="008361C5" w:rsidP="002D639B">
            <w:pPr>
              <w:keepNext/>
              <w:tabs>
                <w:tab w:val="decimal" w:pos="1012"/>
              </w:tabs>
              <w:spacing w:before="60" w:after="60"/>
              <w:rPr>
                <w:rFonts w:cs="Segoe UI"/>
                <w:sz w:val="18"/>
              </w:rPr>
            </w:pPr>
            <w:r w:rsidRPr="00200234">
              <w:rPr>
                <w:rFonts w:cs="Segoe UI"/>
                <w:sz w:val="18"/>
              </w:rPr>
              <w:t>34</w:t>
            </w:r>
          </w:p>
        </w:tc>
        <w:tc>
          <w:tcPr>
            <w:tcW w:w="1569" w:type="pct"/>
            <w:tcBorders>
              <w:top w:val="single" w:sz="4" w:space="0" w:color="A6A6A6"/>
              <w:bottom w:val="single" w:sz="4" w:space="0" w:color="A6A6A6"/>
            </w:tcBorders>
            <w:vAlign w:val="center"/>
          </w:tcPr>
          <w:p w14:paraId="1E18E316" w14:textId="77777777" w:rsidR="008361C5" w:rsidRPr="00200234" w:rsidRDefault="008361C5" w:rsidP="00912EAD">
            <w:pPr>
              <w:keepNext/>
              <w:tabs>
                <w:tab w:val="decimal" w:pos="1012"/>
              </w:tabs>
              <w:spacing w:before="60" w:after="60"/>
              <w:rPr>
                <w:rFonts w:cs="Segoe UI"/>
                <w:sz w:val="18"/>
              </w:rPr>
            </w:pPr>
            <w:r w:rsidRPr="00200234">
              <w:rPr>
                <w:rFonts w:cs="Segoe UI"/>
                <w:sz w:val="18"/>
              </w:rPr>
              <w:t>7 (1–19)</w:t>
            </w:r>
          </w:p>
        </w:tc>
      </w:tr>
      <w:tr w:rsidR="008361C5" w:rsidRPr="00200234" w14:paraId="48C49547"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32EE9175" w14:textId="77777777" w:rsidR="008361C5" w:rsidRPr="00200234" w:rsidRDefault="008361C5" w:rsidP="002D639B">
            <w:pPr>
              <w:keepNext/>
              <w:spacing w:before="60" w:after="60"/>
              <w:rPr>
                <w:rFonts w:cs="Segoe UI"/>
                <w:sz w:val="18"/>
              </w:rPr>
            </w:pPr>
            <w:proofErr w:type="spellStart"/>
            <w:r w:rsidRPr="00200234">
              <w:rPr>
                <w:rFonts w:cs="Segoe UI"/>
                <w:w w:val="105"/>
                <w:sz w:val="18"/>
              </w:rPr>
              <w:t>MidCentral</w:t>
            </w:r>
            <w:proofErr w:type="spellEnd"/>
          </w:p>
        </w:tc>
        <w:tc>
          <w:tcPr>
            <w:tcW w:w="1079" w:type="pct"/>
            <w:gridSpan w:val="2"/>
            <w:tcBorders>
              <w:top w:val="single" w:sz="4" w:space="0" w:color="A6A6A6"/>
              <w:bottom w:val="single" w:sz="4" w:space="0" w:color="A6A6A6"/>
            </w:tcBorders>
          </w:tcPr>
          <w:p w14:paraId="054F0E39" w14:textId="77777777" w:rsidR="008361C5" w:rsidRPr="00200234" w:rsidRDefault="008361C5" w:rsidP="002D639B">
            <w:pPr>
              <w:keepNext/>
              <w:tabs>
                <w:tab w:val="decimal" w:pos="900"/>
              </w:tabs>
              <w:spacing w:before="60" w:after="60"/>
              <w:rPr>
                <w:rFonts w:cs="Segoe UI"/>
                <w:sz w:val="18"/>
              </w:rPr>
            </w:pPr>
            <w:r w:rsidRPr="00200234">
              <w:rPr>
                <w:rFonts w:cs="Segoe UI"/>
                <w:w w:val="102"/>
                <w:sz w:val="18"/>
              </w:rPr>
              <w:t>9</w:t>
            </w:r>
          </w:p>
        </w:tc>
        <w:tc>
          <w:tcPr>
            <w:tcW w:w="1079" w:type="pct"/>
            <w:gridSpan w:val="2"/>
            <w:tcBorders>
              <w:top w:val="single" w:sz="4" w:space="0" w:color="A6A6A6"/>
              <w:bottom w:val="single" w:sz="4" w:space="0" w:color="A6A6A6"/>
            </w:tcBorders>
          </w:tcPr>
          <w:p w14:paraId="44E15695" w14:textId="77777777" w:rsidR="008361C5" w:rsidRPr="00200234" w:rsidRDefault="008361C5" w:rsidP="002D639B">
            <w:pPr>
              <w:keepNext/>
              <w:tabs>
                <w:tab w:val="decimal" w:pos="1012"/>
              </w:tabs>
              <w:spacing w:before="60" w:after="60"/>
              <w:rPr>
                <w:rFonts w:cs="Segoe UI"/>
                <w:sz w:val="18"/>
              </w:rPr>
            </w:pPr>
            <w:r w:rsidRPr="00200234">
              <w:rPr>
                <w:rFonts w:cs="Segoe UI"/>
                <w:sz w:val="18"/>
              </w:rPr>
              <w:t>124</w:t>
            </w:r>
          </w:p>
        </w:tc>
        <w:tc>
          <w:tcPr>
            <w:tcW w:w="1569" w:type="pct"/>
            <w:tcBorders>
              <w:top w:val="single" w:sz="4" w:space="0" w:color="A6A6A6"/>
              <w:bottom w:val="single" w:sz="4" w:space="0" w:color="A6A6A6"/>
            </w:tcBorders>
            <w:vAlign w:val="center"/>
          </w:tcPr>
          <w:p w14:paraId="13C35C9C" w14:textId="77777777" w:rsidR="008361C5" w:rsidRPr="00200234" w:rsidRDefault="008361C5" w:rsidP="00912EAD">
            <w:pPr>
              <w:keepNext/>
              <w:tabs>
                <w:tab w:val="decimal" w:pos="1012"/>
              </w:tabs>
              <w:spacing w:before="60" w:after="60"/>
              <w:rPr>
                <w:rFonts w:cs="Segoe UI"/>
                <w:sz w:val="18"/>
              </w:rPr>
            </w:pPr>
            <w:r w:rsidRPr="00200234">
              <w:rPr>
                <w:rFonts w:cs="Segoe UI"/>
                <w:sz w:val="18"/>
              </w:rPr>
              <w:t>14 (2–38)</w:t>
            </w:r>
          </w:p>
        </w:tc>
      </w:tr>
      <w:tr w:rsidR="008361C5" w:rsidRPr="00200234" w14:paraId="09DC33CE"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389F9F02" w14:textId="77777777" w:rsidR="008361C5" w:rsidRPr="00200234" w:rsidRDefault="008361C5" w:rsidP="002D639B">
            <w:pPr>
              <w:keepNext/>
              <w:spacing w:before="60" w:after="60"/>
              <w:rPr>
                <w:rFonts w:cs="Segoe UI"/>
                <w:sz w:val="18"/>
              </w:rPr>
            </w:pPr>
            <w:r w:rsidRPr="00200234">
              <w:rPr>
                <w:rFonts w:cs="Segoe UI"/>
                <w:w w:val="110"/>
                <w:sz w:val="18"/>
              </w:rPr>
              <w:t>Nelson Marlborough</w:t>
            </w:r>
          </w:p>
        </w:tc>
        <w:tc>
          <w:tcPr>
            <w:tcW w:w="1079" w:type="pct"/>
            <w:gridSpan w:val="2"/>
            <w:tcBorders>
              <w:top w:val="single" w:sz="4" w:space="0" w:color="A6A6A6"/>
              <w:bottom w:val="single" w:sz="4" w:space="0" w:color="A6A6A6"/>
            </w:tcBorders>
          </w:tcPr>
          <w:p w14:paraId="5EA3DDE0" w14:textId="77777777" w:rsidR="008361C5" w:rsidRPr="00200234" w:rsidRDefault="008361C5" w:rsidP="002D639B">
            <w:pPr>
              <w:keepNext/>
              <w:tabs>
                <w:tab w:val="decimal" w:pos="900"/>
              </w:tabs>
              <w:spacing w:before="60" w:after="60"/>
              <w:rPr>
                <w:rFonts w:cs="Segoe UI"/>
                <w:sz w:val="18"/>
              </w:rPr>
            </w:pPr>
            <w:r w:rsidRPr="00200234">
              <w:rPr>
                <w:rFonts w:cs="Segoe UI"/>
                <w:w w:val="102"/>
                <w:sz w:val="18"/>
              </w:rPr>
              <w:t>4</w:t>
            </w:r>
          </w:p>
        </w:tc>
        <w:tc>
          <w:tcPr>
            <w:tcW w:w="1079" w:type="pct"/>
            <w:gridSpan w:val="2"/>
            <w:tcBorders>
              <w:top w:val="single" w:sz="4" w:space="0" w:color="A6A6A6"/>
              <w:bottom w:val="single" w:sz="4" w:space="0" w:color="A6A6A6"/>
            </w:tcBorders>
          </w:tcPr>
          <w:p w14:paraId="4F83C586" w14:textId="77777777" w:rsidR="008361C5" w:rsidRPr="00200234" w:rsidRDefault="008361C5" w:rsidP="002D639B">
            <w:pPr>
              <w:keepNext/>
              <w:tabs>
                <w:tab w:val="decimal" w:pos="1012"/>
              </w:tabs>
              <w:spacing w:before="60" w:after="60"/>
              <w:rPr>
                <w:rFonts w:cs="Segoe UI"/>
                <w:sz w:val="18"/>
              </w:rPr>
            </w:pPr>
            <w:r w:rsidRPr="00200234">
              <w:rPr>
                <w:rFonts w:cs="Segoe UI"/>
                <w:sz w:val="18"/>
              </w:rPr>
              <w:t>36</w:t>
            </w:r>
          </w:p>
        </w:tc>
        <w:tc>
          <w:tcPr>
            <w:tcW w:w="1569" w:type="pct"/>
            <w:tcBorders>
              <w:top w:val="single" w:sz="4" w:space="0" w:color="A6A6A6"/>
              <w:bottom w:val="single" w:sz="4" w:space="0" w:color="A6A6A6"/>
            </w:tcBorders>
            <w:vAlign w:val="center"/>
          </w:tcPr>
          <w:p w14:paraId="0D3D75C8" w14:textId="77777777" w:rsidR="008361C5" w:rsidRPr="00200234" w:rsidRDefault="008361C5" w:rsidP="00912EAD">
            <w:pPr>
              <w:keepNext/>
              <w:tabs>
                <w:tab w:val="decimal" w:pos="1012"/>
              </w:tabs>
              <w:spacing w:before="60" w:after="60"/>
              <w:rPr>
                <w:rFonts w:cs="Segoe UI"/>
                <w:sz w:val="18"/>
              </w:rPr>
            </w:pPr>
            <w:r w:rsidRPr="00200234">
              <w:rPr>
                <w:rFonts w:cs="Segoe UI"/>
                <w:sz w:val="18"/>
              </w:rPr>
              <w:t>9 (1–12)</w:t>
            </w:r>
          </w:p>
        </w:tc>
      </w:tr>
      <w:tr w:rsidR="008361C5" w:rsidRPr="00200234" w14:paraId="29FFF828" w14:textId="77777777" w:rsidTr="002D639B">
        <w:trPr>
          <w:cantSplit/>
        </w:trPr>
        <w:tc>
          <w:tcPr>
            <w:tcW w:w="1250" w:type="pct"/>
            <w:gridSpan w:val="2"/>
            <w:tcBorders>
              <w:top w:val="single" w:sz="4" w:space="0" w:color="A6A6A6"/>
            </w:tcBorders>
          </w:tcPr>
          <w:p w14:paraId="5FBC1783" w14:textId="77777777" w:rsidR="008361C5" w:rsidRPr="00200234" w:rsidRDefault="008361C5" w:rsidP="002D639B">
            <w:pPr>
              <w:keepNext/>
              <w:spacing w:before="60" w:after="60"/>
              <w:rPr>
                <w:rFonts w:cs="Segoe UI"/>
                <w:sz w:val="18"/>
              </w:rPr>
            </w:pPr>
            <w:r w:rsidRPr="00200234">
              <w:rPr>
                <w:rFonts w:cs="Segoe UI"/>
                <w:w w:val="110"/>
                <w:sz w:val="18"/>
              </w:rPr>
              <w:t>Northland</w:t>
            </w:r>
          </w:p>
        </w:tc>
        <w:tc>
          <w:tcPr>
            <w:tcW w:w="1075" w:type="pct"/>
            <w:gridSpan w:val="2"/>
            <w:tcBorders>
              <w:top w:val="single" w:sz="4" w:space="0" w:color="A6A6A6"/>
            </w:tcBorders>
          </w:tcPr>
          <w:p w14:paraId="4DDEE6D6" w14:textId="77777777" w:rsidR="008361C5" w:rsidRPr="00200234" w:rsidRDefault="008361C5" w:rsidP="002D639B">
            <w:pPr>
              <w:keepNext/>
              <w:tabs>
                <w:tab w:val="decimal" w:pos="882"/>
              </w:tabs>
              <w:spacing w:before="60" w:after="60"/>
              <w:rPr>
                <w:rFonts w:cs="Segoe UI"/>
                <w:sz w:val="18"/>
              </w:rPr>
            </w:pPr>
            <w:r w:rsidRPr="00200234">
              <w:rPr>
                <w:rFonts w:cs="Segoe UI"/>
                <w:sz w:val="18"/>
              </w:rPr>
              <w:t>13</w:t>
            </w:r>
          </w:p>
        </w:tc>
        <w:tc>
          <w:tcPr>
            <w:tcW w:w="1076" w:type="pct"/>
            <w:tcBorders>
              <w:top w:val="single" w:sz="4" w:space="0" w:color="A6A6A6"/>
            </w:tcBorders>
          </w:tcPr>
          <w:p w14:paraId="7B4A8F4F" w14:textId="77777777" w:rsidR="008361C5" w:rsidRPr="00200234" w:rsidRDefault="008361C5" w:rsidP="002D639B">
            <w:pPr>
              <w:keepNext/>
              <w:tabs>
                <w:tab w:val="decimal" w:pos="983"/>
              </w:tabs>
              <w:spacing w:before="60" w:after="60"/>
              <w:rPr>
                <w:rFonts w:cs="Segoe UI"/>
                <w:sz w:val="18"/>
              </w:rPr>
            </w:pPr>
            <w:r w:rsidRPr="00200234">
              <w:rPr>
                <w:rFonts w:cs="Segoe UI"/>
                <w:sz w:val="18"/>
              </w:rPr>
              <w:t>150</w:t>
            </w:r>
          </w:p>
        </w:tc>
        <w:tc>
          <w:tcPr>
            <w:tcW w:w="1600" w:type="pct"/>
            <w:gridSpan w:val="2"/>
            <w:tcBorders>
              <w:top w:val="single" w:sz="4" w:space="0" w:color="A6A6A6"/>
            </w:tcBorders>
            <w:vAlign w:val="center"/>
          </w:tcPr>
          <w:p w14:paraId="7668B54B" w14:textId="77777777" w:rsidR="008361C5" w:rsidRPr="00200234" w:rsidRDefault="008361C5" w:rsidP="00912EAD">
            <w:pPr>
              <w:keepNext/>
              <w:tabs>
                <w:tab w:val="decimal" w:pos="1012"/>
              </w:tabs>
              <w:spacing w:before="60" w:after="60"/>
              <w:rPr>
                <w:rFonts w:cs="Segoe UI"/>
                <w:sz w:val="18"/>
              </w:rPr>
            </w:pPr>
            <w:r w:rsidRPr="00200234">
              <w:rPr>
                <w:rFonts w:cs="Segoe UI"/>
                <w:sz w:val="18"/>
              </w:rPr>
              <w:t>12 (1–25)</w:t>
            </w:r>
          </w:p>
        </w:tc>
      </w:tr>
      <w:tr w:rsidR="008361C5" w:rsidRPr="00200234" w14:paraId="2873DCB3" w14:textId="77777777" w:rsidTr="002D639B">
        <w:trPr>
          <w:cantSplit/>
        </w:trPr>
        <w:tc>
          <w:tcPr>
            <w:tcW w:w="1250" w:type="pct"/>
            <w:gridSpan w:val="2"/>
          </w:tcPr>
          <w:p w14:paraId="5BDFDE63" w14:textId="77777777" w:rsidR="008361C5" w:rsidRPr="00200234" w:rsidRDefault="008361C5" w:rsidP="002D639B">
            <w:pPr>
              <w:keepNext/>
              <w:spacing w:before="60" w:after="60"/>
              <w:rPr>
                <w:rFonts w:cs="Segoe UI"/>
                <w:sz w:val="18"/>
              </w:rPr>
            </w:pPr>
            <w:r w:rsidRPr="00200234">
              <w:rPr>
                <w:rFonts w:cs="Segoe UI"/>
                <w:w w:val="105"/>
                <w:sz w:val="18"/>
              </w:rPr>
              <w:t>South Canterbury</w:t>
            </w:r>
          </w:p>
        </w:tc>
        <w:tc>
          <w:tcPr>
            <w:tcW w:w="1075" w:type="pct"/>
            <w:gridSpan w:val="2"/>
          </w:tcPr>
          <w:p w14:paraId="36635D39" w14:textId="77777777" w:rsidR="008361C5" w:rsidRPr="00200234" w:rsidRDefault="008361C5" w:rsidP="002D639B">
            <w:pPr>
              <w:keepNext/>
              <w:tabs>
                <w:tab w:val="decimal" w:pos="882"/>
              </w:tabs>
              <w:spacing w:before="60" w:after="60"/>
              <w:rPr>
                <w:rFonts w:cs="Segoe UI"/>
                <w:sz w:val="18"/>
              </w:rPr>
            </w:pPr>
            <w:r w:rsidRPr="00200234">
              <w:rPr>
                <w:rFonts w:cs="Segoe UI"/>
                <w:sz w:val="18"/>
              </w:rPr>
              <w:t>0</w:t>
            </w:r>
          </w:p>
        </w:tc>
        <w:tc>
          <w:tcPr>
            <w:tcW w:w="1076" w:type="pct"/>
          </w:tcPr>
          <w:p w14:paraId="1CFC24B5" w14:textId="77777777" w:rsidR="008361C5" w:rsidRPr="00200234" w:rsidRDefault="008361C5" w:rsidP="002D639B">
            <w:pPr>
              <w:keepNext/>
              <w:tabs>
                <w:tab w:val="decimal" w:pos="983"/>
              </w:tabs>
              <w:spacing w:before="60" w:after="60"/>
              <w:rPr>
                <w:rFonts w:cs="Segoe UI"/>
                <w:sz w:val="18"/>
              </w:rPr>
            </w:pPr>
            <w:r w:rsidRPr="00200234">
              <w:rPr>
                <w:rFonts w:cs="Segoe UI"/>
                <w:sz w:val="18"/>
              </w:rPr>
              <w:t>0</w:t>
            </w:r>
          </w:p>
        </w:tc>
        <w:tc>
          <w:tcPr>
            <w:tcW w:w="1600" w:type="pct"/>
            <w:gridSpan w:val="2"/>
            <w:vAlign w:val="center"/>
          </w:tcPr>
          <w:p w14:paraId="1018F4CB" w14:textId="77777777" w:rsidR="008361C5" w:rsidRPr="00200234" w:rsidRDefault="008361C5" w:rsidP="00912EAD">
            <w:pPr>
              <w:keepNext/>
              <w:tabs>
                <w:tab w:val="decimal" w:pos="1012"/>
              </w:tabs>
              <w:spacing w:before="60" w:after="60"/>
              <w:rPr>
                <w:rFonts w:cs="Segoe UI"/>
                <w:sz w:val="18"/>
              </w:rPr>
            </w:pPr>
            <w:r w:rsidRPr="00200234">
              <w:rPr>
                <w:rFonts w:cs="Segoe UI"/>
                <w:sz w:val="18"/>
              </w:rPr>
              <w:t>0</w:t>
            </w:r>
          </w:p>
        </w:tc>
      </w:tr>
      <w:tr w:rsidR="008361C5" w:rsidRPr="00200234" w14:paraId="13BAD2DC" w14:textId="77777777" w:rsidTr="002D639B">
        <w:trPr>
          <w:cantSplit/>
        </w:trPr>
        <w:tc>
          <w:tcPr>
            <w:tcW w:w="1250" w:type="pct"/>
            <w:gridSpan w:val="2"/>
            <w:tcBorders>
              <w:bottom w:val="single" w:sz="4" w:space="0" w:color="A6A6A6"/>
            </w:tcBorders>
          </w:tcPr>
          <w:p w14:paraId="7FE68768" w14:textId="77777777" w:rsidR="008361C5" w:rsidRPr="00200234" w:rsidRDefault="008361C5" w:rsidP="002D639B">
            <w:pPr>
              <w:keepNext/>
              <w:spacing w:before="60" w:after="60"/>
              <w:rPr>
                <w:rFonts w:cs="Segoe UI"/>
                <w:sz w:val="18"/>
              </w:rPr>
            </w:pPr>
            <w:r w:rsidRPr="00200234">
              <w:rPr>
                <w:rFonts w:cs="Segoe UI"/>
                <w:w w:val="105"/>
                <w:sz w:val="18"/>
              </w:rPr>
              <w:t>Southern</w:t>
            </w:r>
          </w:p>
        </w:tc>
        <w:tc>
          <w:tcPr>
            <w:tcW w:w="1075" w:type="pct"/>
            <w:gridSpan w:val="2"/>
            <w:tcBorders>
              <w:bottom w:val="single" w:sz="4" w:space="0" w:color="A6A6A6"/>
            </w:tcBorders>
          </w:tcPr>
          <w:p w14:paraId="49E58C74" w14:textId="77777777" w:rsidR="008361C5" w:rsidRPr="00200234" w:rsidRDefault="008361C5" w:rsidP="002D639B">
            <w:pPr>
              <w:keepNext/>
              <w:tabs>
                <w:tab w:val="decimal" w:pos="882"/>
              </w:tabs>
              <w:spacing w:before="60" w:after="60"/>
              <w:rPr>
                <w:rFonts w:cs="Segoe UI"/>
                <w:sz w:val="18"/>
              </w:rPr>
            </w:pPr>
            <w:r w:rsidRPr="00200234">
              <w:rPr>
                <w:rFonts w:cs="Segoe UI"/>
                <w:sz w:val="18"/>
              </w:rPr>
              <w:t>36</w:t>
            </w:r>
          </w:p>
        </w:tc>
        <w:tc>
          <w:tcPr>
            <w:tcW w:w="1076" w:type="pct"/>
            <w:tcBorders>
              <w:bottom w:val="single" w:sz="4" w:space="0" w:color="A6A6A6"/>
            </w:tcBorders>
          </w:tcPr>
          <w:p w14:paraId="064A18BC" w14:textId="77777777" w:rsidR="008361C5" w:rsidRPr="00200234" w:rsidRDefault="008361C5" w:rsidP="002D639B">
            <w:pPr>
              <w:keepNext/>
              <w:tabs>
                <w:tab w:val="decimal" w:pos="983"/>
              </w:tabs>
              <w:spacing w:before="60" w:after="60"/>
              <w:rPr>
                <w:rFonts w:cs="Segoe UI"/>
                <w:sz w:val="18"/>
              </w:rPr>
            </w:pPr>
            <w:r w:rsidRPr="00200234">
              <w:rPr>
                <w:rFonts w:cs="Segoe UI"/>
                <w:sz w:val="18"/>
              </w:rPr>
              <w:t>425</w:t>
            </w:r>
          </w:p>
        </w:tc>
        <w:tc>
          <w:tcPr>
            <w:tcW w:w="1600" w:type="pct"/>
            <w:gridSpan w:val="2"/>
            <w:tcBorders>
              <w:bottom w:val="single" w:sz="4" w:space="0" w:color="A6A6A6"/>
            </w:tcBorders>
            <w:vAlign w:val="center"/>
          </w:tcPr>
          <w:p w14:paraId="63A3888F" w14:textId="77777777" w:rsidR="008361C5" w:rsidRPr="00200234" w:rsidRDefault="008361C5" w:rsidP="00912EAD">
            <w:pPr>
              <w:keepNext/>
              <w:tabs>
                <w:tab w:val="decimal" w:pos="1012"/>
              </w:tabs>
              <w:spacing w:before="60" w:after="60"/>
              <w:rPr>
                <w:rFonts w:cs="Segoe UI"/>
                <w:sz w:val="18"/>
              </w:rPr>
            </w:pPr>
            <w:r w:rsidRPr="00200234">
              <w:rPr>
                <w:rFonts w:cs="Segoe UI"/>
                <w:sz w:val="18"/>
              </w:rPr>
              <w:t>12 (1–49)</w:t>
            </w:r>
          </w:p>
        </w:tc>
      </w:tr>
      <w:tr w:rsidR="008361C5" w:rsidRPr="00200234" w14:paraId="5C3F2770" w14:textId="77777777" w:rsidTr="002D639B">
        <w:trPr>
          <w:cantSplit/>
        </w:trPr>
        <w:tc>
          <w:tcPr>
            <w:tcW w:w="1250" w:type="pct"/>
            <w:gridSpan w:val="2"/>
            <w:tcBorders>
              <w:top w:val="single" w:sz="4" w:space="0" w:color="A6A6A6"/>
            </w:tcBorders>
          </w:tcPr>
          <w:p w14:paraId="0137ED89" w14:textId="77777777" w:rsidR="008361C5" w:rsidRPr="00200234" w:rsidRDefault="008361C5" w:rsidP="002D639B">
            <w:pPr>
              <w:keepNext/>
              <w:spacing w:before="60" w:after="60"/>
              <w:rPr>
                <w:rFonts w:cs="Segoe UI"/>
                <w:sz w:val="18"/>
              </w:rPr>
            </w:pPr>
            <w:proofErr w:type="spellStart"/>
            <w:r w:rsidRPr="00200234">
              <w:rPr>
                <w:rFonts w:cs="Segoe UI"/>
                <w:w w:val="110"/>
                <w:sz w:val="18"/>
              </w:rPr>
              <w:t>Tairāwhiti</w:t>
            </w:r>
            <w:proofErr w:type="spellEnd"/>
          </w:p>
        </w:tc>
        <w:tc>
          <w:tcPr>
            <w:tcW w:w="1075" w:type="pct"/>
            <w:gridSpan w:val="2"/>
            <w:tcBorders>
              <w:top w:val="single" w:sz="4" w:space="0" w:color="A6A6A6"/>
            </w:tcBorders>
          </w:tcPr>
          <w:p w14:paraId="59A0494E" w14:textId="77777777" w:rsidR="008361C5" w:rsidRPr="00200234" w:rsidRDefault="008361C5" w:rsidP="002D639B">
            <w:pPr>
              <w:keepNext/>
              <w:tabs>
                <w:tab w:val="decimal" w:pos="882"/>
              </w:tabs>
              <w:spacing w:before="60" w:after="60"/>
              <w:rPr>
                <w:rFonts w:cs="Segoe UI"/>
                <w:sz w:val="18"/>
              </w:rPr>
            </w:pPr>
            <w:r w:rsidRPr="00200234">
              <w:rPr>
                <w:rFonts w:cs="Segoe UI"/>
                <w:w w:val="102"/>
                <w:sz w:val="18"/>
              </w:rPr>
              <w:t>1</w:t>
            </w:r>
          </w:p>
        </w:tc>
        <w:tc>
          <w:tcPr>
            <w:tcW w:w="1076" w:type="pct"/>
            <w:tcBorders>
              <w:top w:val="single" w:sz="4" w:space="0" w:color="A6A6A6"/>
            </w:tcBorders>
          </w:tcPr>
          <w:p w14:paraId="75291970" w14:textId="77777777" w:rsidR="008361C5" w:rsidRPr="00200234" w:rsidRDefault="008361C5" w:rsidP="002D639B">
            <w:pPr>
              <w:keepNext/>
              <w:tabs>
                <w:tab w:val="decimal" w:pos="983"/>
              </w:tabs>
              <w:spacing w:before="60" w:after="60"/>
              <w:rPr>
                <w:rFonts w:cs="Segoe UI"/>
                <w:sz w:val="18"/>
              </w:rPr>
            </w:pPr>
            <w:r w:rsidRPr="00200234">
              <w:rPr>
                <w:rFonts w:cs="Segoe UI"/>
                <w:w w:val="102"/>
                <w:sz w:val="18"/>
              </w:rPr>
              <w:t>6</w:t>
            </w:r>
          </w:p>
        </w:tc>
        <w:tc>
          <w:tcPr>
            <w:tcW w:w="1600" w:type="pct"/>
            <w:gridSpan w:val="2"/>
            <w:tcBorders>
              <w:top w:val="single" w:sz="4" w:space="0" w:color="A6A6A6"/>
            </w:tcBorders>
            <w:vAlign w:val="center"/>
          </w:tcPr>
          <w:p w14:paraId="44C1DCC4" w14:textId="77777777" w:rsidR="008361C5" w:rsidRPr="00200234" w:rsidRDefault="008361C5" w:rsidP="00912EAD">
            <w:pPr>
              <w:keepNext/>
              <w:tabs>
                <w:tab w:val="decimal" w:pos="1012"/>
              </w:tabs>
              <w:spacing w:before="60" w:after="60"/>
              <w:rPr>
                <w:rFonts w:cs="Segoe UI"/>
                <w:sz w:val="18"/>
              </w:rPr>
            </w:pPr>
            <w:r w:rsidRPr="00200234">
              <w:rPr>
                <w:rFonts w:cs="Segoe UI"/>
                <w:sz w:val="18"/>
              </w:rPr>
              <w:t>6 (6–6)</w:t>
            </w:r>
          </w:p>
        </w:tc>
      </w:tr>
      <w:tr w:rsidR="008361C5" w:rsidRPr="00200234" w14:paraId="168E1B16" w14:textId="77777777" w:rsidTr="002D639B">
        <w:trPr>
          <w:cantSplit/>
        </w:trPr>
        <w:tc>
          <w:tcPr>
            <w:tcW w:w="1250" w:type="pct"/>
            <w:gridSpan w:val="2"/>
            <w:tcBorders>
              <w:top w:val="single" w:sz="4" w:space="0" w:color="A6A6A6"/>
            </w:tcBorders>
          </w:tcPr>
          <w:p w14:paraId="7DD8E487" w14:textId="77777777" w:rsidR="008361C5" w:rsidRPr="00200234" w:rsidRDefault="008361C5" w:rsidP="002D639B">
            <w:pPr>
              <w:keepNext/>
              <w:spacing w:before="60" w:after="60"/>
              <w:rPr>
                <w:rFonts w:cs="Segoe UI"/>
                <w:w w:val="110"/>
                <w:sz w:val="18"/>
              </w:rPr>
            </w:pPr>
            <w:r w:rsidRPr="00200234">
              <w:rPr>
                <w:rFonts w:cs="Segoe UI"/>
                <w:w w:val="105"/>
                <w:sz w:val="18"/>
              </w:rPr>
              <w:t>Taranaki</w:t>
            </w:r>
          </w:p>
        </w:tc>
        <w:tc>
          <w:tcPr>
            <w:tcW w:w="1075" w:type="pct"/>
            <w:gridSpan w:val="2"/>
            <w:tcBorders>
              <w:top w:val="single" w:sz="4" w:space="0" w:color="A6A6A6"/>
            </w:tcBorders>
          </w:tcPr>
          <w:p w14:paraId="04C3FE04" w14:textId="77777777" w:rsidR="008361C5" w:rsidRPr="00200234" w:rsidRDefault="008361C5" w:rsidP="002D639B">
            <w:pPr>
              <w:keepNext/>
              <w:tabs>
                <w:tab w:val="decimal" w:pos="882"/>
              </w:tabs>
              <w:spacing w:before="60" w:after="60"/>
              <w:rPr>
                <w:rFonts w:cs="Segoe UI"/>
                <w:w w:val="102"/>
                <w:sz w:val="18"/>
              </w:rPr>
            </w:pPr>
            <w:r w:rsidRPr="00200234">
              <w:rPr>
                <w:rFonts w:cs="Segoe UI"/>
                <w:w w:val="102"/>
                <w:sz w:val="18"/>
              </w:rPr>
              <w:t>3</w:t>
            </w:r>
          </w:p>
        </w:tc>
        <w:tc>
          <w:tcPr>
            <w:tcW w:w="1076" w:type="pct"/>
            <w:tcBorders>
              <w:top w:val="single" w:sz="4" w:space="0" w:color="A6A6A6"/>
            </w:tcBorders>
          </w:tcPr>
          <w:p w14:paraId="6DF49360" w14:textId="77777777" w:rsidR="008361C5" w:rsidRPr="00200234" w:rsidRDefault="008361C5" w:rsidP="002D639B">
            <w:pPr>
              <w:keepNext/>
              <w:tabs>
                <w:tab w:val="decimal" w:pos="983"/>
              </w:tabs>
              <w:spacing w:before="60" w:after="60"/>
              <w:rPr>
                <w:rFonts w:cs="Segoe UI"/>
                <w:w w:val="102"/>
                <w:sz w:val="18"/>
              </w:rPr>
            </w:pPr>
            <w:r w:rsidRPr="00200234">
              <w:rPr>
                <w:rFonts w:cs="Segoe UI"/>
                <w:w w:val="102"/>
                <w:sz w:val="18"/>
              </w:rPr>
              <w:t>27</w:t>
            </w:r>
          </w:p>
        </w:tc>
        <w:tc>
          <w:tcPr>
            <w:tcW w:w="1600" w:type="pct"/>
            <w:gridSpan w:val="2"/>
            <w:tcBorders>
              <w:top w:val="single" w:sz="4" w:space="0" w:color="A6A6A6"/>
            </w:tcBorders>
            <w:vAlign w:val="center"/>
          </w:tcPr>
          <w:p w14:paraId="5AC6C55B" w14:textId="0C218BDC" w:rsidR="008361C5" w:rsidRPr="00200234" w:rsidRDefault="008361C5" w:rsidP="00912EAD">
            <w:pPr>
              <w:keepNext/>
              <w:tabs>
                <w:tab w:val="decimal" w:pos="1012"/>
              </w:tabs>
              <w:spacing w:before="60" w:after="60"/>
              <w:rPr>
                <w:rFonts w:cs="Segoe UI"/>
                <w:sz w:val="18"/>
              </w:rPr>
            </w:pPr>
            <w:r w:rsidRPr="00200234">
              <w:rPr>
                <w:rFonts w:cs="Segoe UI"/>
                <w:sz w:val="18"/>
              </w:rPr>
              <w:t>9 (6</w:t>
            </w:r>
            <w:r w:rsidR="00912EAD" w:rsidRPr="00200234">
              <w:rPr>
                <w:rFonts w:cs="Segoe UI"/>
                <w:sz w:val="18"/>
              </w:rPr>
              <w:t>–</w:t>
            </w:r>
            <w:r w:rsidRPr="00200234">
              <w:rPr>
                <w:rFonts w:cs="Segoe UI"/>
                <w:sz w:val="18"/>
              </w:rPr>
              <w:t>15)</w:t>
            </w:r>
          </w:p>
        </w:tc>
      </w:tr>
      <w:tr w:rsidR="008361C5" w:rsidRPr="00200234" w14:paraId="2FB5BA78" w14:textId="77777777" w:rsidTr="002D639B">
        <w:trPr>
          <w:cantSplit/>
        </w:trPr>
        <w:tc>
          <w:tcPr>
            <w:tcW w:w="1250" w:type="pct"/>
            <w:gridSpan w:val="2"/>
            <w:tcBorders>
              <w:top w:val="single" w:sz="4" w:space="0" w:color="A6A6A6"/>
            </w:tcBorders>
          </w:tcPr>
          <w:p w14:paraId="64B1EB77" w14:textId="77777777" w:rsidR="008361C5" w:rsidRPr="00200234" w:rsidRDefault="008361C5" w:rsidP="002D639B">
            <w:pPr>
              <w:keepNext/>
              <w:spacing w:before="60" w:after="60"/>
              <w:rPr>
                <w:rFonts w:cs="Segoe UI"/>
                <w:w w:val="105"/>
                <w:sz w:val="18"/>
              </w:rPr>
            </w:pPr>
            <w:r w:rsidRPr="00200234">
              <w:rPr>
                <w:rFonts w:cs="Segoe UI"/>
                <w:w w:val="105"/>
                <w:sz w:val="18"/>
              </w:rPr>
              <w:t>Waikato</w:t>
            </w:r>
          </w:p>
        </w:tc>
        <w:tc>
          <w:tcPr>
            <w:tcW w:w="1075" w:type="pct"/>
            <w:gridSpan w:val="2"/>
            <w:tcBorders>
              <w:top w:val="single" w:sz="4" w:space="0" w:color="A6A6A6"/>
            </w:tcBorders>
          </w:tcPr>
          <w:p w14:paraId="18A31138" w14:textId="77777777" w:rsidR="008361C5" w:rsidRPr="00200234" w:rsidRDefault="008361C5" w:rsidP="002D639B">
            <w:pPr>
              <w:keepNext/>
              <w:tabs>
                <w:tab w:val="decimal" w:pos="882"/>
              </w:tabs>
              <w:spacing w:before="60" w:after="60"/>
              <w:rPr>
                <w:rFonts w:cs="Segoe UI"/>
                <w:w w:val="102"/>
                <w:sz w:val="18"/>
              </w:rPr>
            </w:pPr>
            <w:r w:rsidRPr="00200234">
              <w:rPr>
                <w:rFonts w:cs="Segoe UI"/>
                <w:sz w:val="18"/>
              </w:rPr>
              <w:t>38</w:t>
            </w:r>
          </w:p>
        </w:tc>
        <w:tc>
          <w:tcPr>
            <w:tcW w:w="1076" w:type="pct"/>
            <w:tcBorders>
              <w:top w:val="single" w:sz="4" w:space="0" w:color="A6A6A6"/>
            </w:tcBorders>
          </w:tcPr>
          <w:p w14:paraId="42D854C8" w14:textId="77777777" w:rsidR="008361C5" w:rsidRPr="00200234" w:rsidRDefault="008361C5" w:rsidP="002D639B">
            <w:pPr>
              <w:keepNext/>
              <w:tabs>
                <w:tab w:val="decimal" w:pos="983"/>
              </w:tabs>
              <w:spacing w:before="60" w:after="60"/>
              <w:rPr>
                <w:rFonts w:cs="Segoe UI"/>
                <w:w w:val="102"/>
                <w:sz w:val="18"/>
              </w:rPr>
            </w:pPr>
            <w:r w:rsidRPr="00200234">
              <w:rPr>
                <w:rFonts w:cs="Segoe UI"/>
                <w:sz w:val="18"/>
              </w:rPr>
              <w:t>522</w:t>
            </w:r>
          </w:p>
        </w:tc>
        <w:tc>
          <w:tcPr>
            <w:tcW w:w="1600" w:type="pct"/>
            <w:gridSpan w:val="2"/>
            <w:tcBorders>
              <w:top w:val="single" w:sz="4" w:space="0" w:color="A6A6A6"/>
            </w:tcBorders>
            <w:vAlign w:val="center"/>
          </w:tcPr>
          <w:p w14:paraId="0039426B" w14:textId="7DFF34CF" w:rsidR="008361C5" w:rsidRPr="00200234" w:rsidRDefault="008361C5" w:rsidP="00912EAD">
            <w:pPr>
              <w:keepNext/>
              <w:tabs>
                <w:tab w:val="decimal" w:pos="1012"/>
              </w:tabs>
              <w:spacing w:before="60" w:after="60"/>
              <w:rPr>
                <w:rFonts w:cs="Segoe UI"/>
                <w:sz w:val="18"/>
              </w:rPr>
            </w:pPr>
            <w:r w:rsidRPr="00200234">
              <w:rPr>
                <w:rFonts w:cs="Segoe UI"/>
                <w:sz w:val="18"/>
              </w:rPr>
              <w:t>14 (2</w:t>
            </w:r>
            <w:r w:rsidR="00912EAD" w:rsidRPr="00200234">
              <w:rPr>
                <w:rFonts w:cs="Segoe UI"/>
                <w:sz w:val="18"/>
              </w:rPr>
              <w:t>–</w:t>
            </w:r>
            <w:r w:rsidRPr="00200234">
              <w:rPr>
                <w:rFonts w:cs="Segoe UI"/>
                <w:sz w:val="18"/>
              </w:rPr>
              <w:t>46)</w:t>
            </w:r>
          </w:p>
        </w:tc>
      </w:tr>
      <w:tr w:rsidR="008361C5" w:rsidRPr="00200234" w14:paraId="0B34880F" w14:textId="77777777" w:rsidTr="002D639B">
        <w:trPr>
          <w:cantSplit/>
        </w:trPr>
        <w:tc>
          <w:tcPr>
            <w:tcW w:w="1250" w:type="pct"/>
            <w:gridSpan w:val="2"/>
            <w:tcBorders>
              <w:top w:val="single" w:sz="4" w:space="0" w:color="A6A6A6"/>
            </w:tcBorders>
          </w:tcPr>
          <w:p w14:paraId="69BF5EE4" w14:textId="77777777" w:rsidR="008361C5" w:rsidRPr="00200234" w:rsidRDefault="008361C5" w:rsidP="002D639B">
            <w:pPr>
              <w:keepNext/>
              <w:spacing w:before="60" w:after="60"/>
              <w:rPr>
                <w:rFonts w:cs="Segoe UI"/>
                <w:w w:val="105"/>
                <w:sz w:val="18"/>
              </w:rPr>
            </w:pPr>
            <w:r w:rsidRPr="00200234">
              <w:rPr>
                <w:rFonts w:cs="Segoe UI"/>
                <w:w w:val="105"/>
                <w:sz w:val="18"/>
              </w:rPr>
              <w:t>Wairarapa</w:t>
            </w:r>
          </w:p>
        </w:tc>
        <w:tc>
          <w:tcPr>
            <w:tcW w:w="1075" w:type="pct"/>
            <w:gridSpan w:val="2"/>
            <w:tcBorders>
              <w:top w:val="single" w:sz="4" w:space="0" w:color="A6A6A6"/>
            </w:tcBorders>
          </w:tcPr>
          <w:p w14:paraId="6DA83C1F" w14:textId="77777777" w:rsidR="008361C5" w:rsidRPr="00200234" w:rsidRDefault="008361C5" w:rsidP="002D639B">
            <w:pPr>
              <w:keepNext/>
              <w:tabs>
                <w:tab w:val="decimal" w:pos="882"/>
              </w:tabs>
              <w:spacing w:before="60" w:after="60"/>
              <w:rPr>
                <w:rFonts w:cs="Segoe UI"/>
                <w:sz w:val="18"/>
              </w:rPr>
            </w:pPr>
            <w:r w:rsidRPr="00200234">
              <w:rPr>
                <w:rFonts w:cs="Segoe UI"/>
                <w:w w:val="102"/>
                <w:sz w:val="18"/>
              </w:rPr>
              <w:t>0</w:t>
            </w:r>
          </w:p>
        </w:tc>
        <w:tc>
          <w:tcPr>
            <w:tcW w:w="1076" w:type="pct"/>
            <w:tcBorders>
              <w:top w:val="single" w:sz="4" w:space="0" w:color="A6A6A6"/>
            </w:tcBorders>
          </w:tcPr>
          <w:p w14:paraId="6A1775A8" w14:textId="77777777" w:rsidR="008361C5" w:rsidRPr="00200234" w:rsidRDefault="008361C5" w:rsidP="002D639B">
            <w:pPr>
              <w:keepNext/>
              <w:tabs>
                <w:tab w:val="decimal" w:pos="983"/>
              </w:tabs>
              <w:spacing w:before="60" w:after="60"/>
              <w:rPr>
                <w:rFonts w:cs="Segoe UI"/>
                <w:sz w:val="18"/>
              </w:rPr>
            </w:pPr>
            <w:r w:rsidRPr="00200234">
              <w:rPr>
                <w:rFonts w:cs="Segoe UI"/>
                <w:w w:val="102"/>
                <w:sz w:val="18"/>
              </w:rPr>
              <w:t>0</w:t>
            </w:r>
          </w:p>
        </w:tc>
        <w:tc>
          <w:tcPr>
            <w:tcW w:w="1600" w:type="pct"/>
            <w:gridSpan w:val="2"/>
            <w:tcBorders>
              <w:top w:val="single" w:sz="4" w:space="0" w:color="A6A6A6"/>
            </w:tcBorders>
            <w:vAlign w:val="center"/>
          </w:tcPr>
          <w:p w14:paraId="2109ACBD" w14:textId="77777777" w:rsidR="008361C5" w:rsidRPr="00200234" w:rsidRDefault="008361C5" w:rsidP="00912EAD">
            <w:pPr>
              <w:keepNext/>
              <w:tabs>
                <w:tab w:val="decimal" w:pos="1012"/>
              </w:tabs>
              <w:spacing w:before="60" w:after="60"/>
              <w:rPr>
                <w:rFonts w:cs="Segoe UI"/>
                <w:sz w:val="18"/>
              </w:rPr>
            </w:pPr>
            <w:r w:rsidRPr="00200234">
              <w:rPr>
                <w:rFonts w:cs="Segoe UI"/>
                <w:sz w:val="18"/>
              </w:rPr>
              <w:t>0</w:t>
            </w:r>
          </w:p>
        </w:tc>
      </w:tr>
      <w:tr w:rsidR="008361C5" w:rsidRPr="00200234" w14:paraId="7AE2C92A" w14:textId="77777777" w:rsidTr="002D639B">
        <w:trPr>
          <w:cantSplit/>
        </w:trPr>
        <w:tc>
          <w:tcPr>
            <w:tcW w:w="1250" w:type="pct"/>
            <w:gridSpan w:val="2"/>
            <w:tcBorders>
              <w:top w:val="single" w:sz="4" w:space="0" w:color="A6A6A6"/>
            </w:tcBorders>
          </w:tcPr>
          <w:p w14:paraId="7954602B" w14:textId="77777777" w:rsidR="008361C5" w:rsidRPr="00200234" w:rsidRDefault="008361C5" w:rsidP="002D639B">
            <w:pPr>
              <w:keepNext/>
              <w:spacing w:before="60" w:after="60"/>
              <w:rPr>
                <w:rFonts w:cs="Segoe UI"/>
                <w:w w:val="105"/>
                <w:sz w:val="18"/>
              </w:rPr>
            </w:pPr>
            <w:proofErr w:type="spellStart"/>
            <w:r w:rsidRPr="00200234">
              <w:rPr>
                <w:rFonts w:cs="Segoe UI"/>
                <w:w w:val="105"/>
                <w:sz w:val="18"/>
              </w:rPr>
              <w:t>Waitematā</w:t>
            </w:r>
            <w:proofErr w:type="spellEnd"/>
          </w:p>
        </w:tc>
        <w:tc>
          <w:tcPr>
            <w:tcW w:w="1075" w:type="pct"/>
            <w:gridSpan w:val="2"/>
            <w:tcBorders>
              <w:top w:val="single" w:sz="4" w:space="0" w:color="A6A6A6"/>
            </w:tcBorders>
          </w:tcPr>
          <w:p w14:paraId="34FA3EB8" w14:textId="77777777" w:rsidR="008361C5" w:rsidRPr="00200234" w:rsidRDefault="008361C5" w:rsidP="002D639B">
            <w:pPr>
              <w:keepNext/>
              <w:tabs>
                <w:tab w:val="decimal" w:pos="882"/>
              </w:tabs>
              <w:spacing w:before="60" w:after="60"/>
              <w:rPr>
                <w:rFonts w:cs="Segoe UI"/>
                <w:w w:val="102"/>
                <w:sz w:val="18"/>
              </w:rPr>
            </w:pPr>
            <w:r w:rsidRPr="00200234">
              <w:rPr>
                <w:rFonts w:cs="Segoe UI"/>
                <w:sz w:val="18"/>
              </w:rPr>
              <w:t>27</w:t>
            </w:r>
          </w:p>
        </w:tc>
        <w:tc>
          <w:tcPr>
            <w:tcW w:w="1076" w:type="pct"/>
            <w:tcBorders>
              <w:top w:val="single" w:sz="4" w:space="0" w:color="A6A6A6"/>
            </w:tcBorders>
          </w:tcPr>
          <w:p w14:paraId="7F44DE4C" w14:textId="77777777" w:rsidR="008361C5" w:rsidRPr="00200234" w:rsidRDefault="008361C5" w:rsidP="002D639B">
            <w:pPr>
              <w:keepNext/>
              <w:tabs>
                <w:tab w:val="decimal" w:pos="983"/>
              </w:tabs>
              <w:spacing w:before="60" w:after="60"/>
              <w:rPr>
                <w:rFonts w:cs="Segoe UI"/>
                <w:w w:val="102"/>
                <w:sz w:val="18"/>
              </w:rPr>
            </w:pPr>
            <w:r w:rsidRPr="00200234">
              <w:rPr>
                <w:rFonts w:cs="Segoe UI"/>
                <w:sz w:val="18"/>
              </w:rPr>
              <w:t>236</w:t>
            </w:r>
          </w:p>
        </w:tc>
        <w:tc>
          <w:tcPr>
            <w:tcW w:w="1600" w:type="pct"/>
            <w:gridSpan w:val="2"/>
            <w:tcBorders>
              <w:top w:val="single" w:sz="4" w:space="0" w:color="A6A6A6"/>
            </w:tcBorders>
            <w:vAlign w:val="center"/>
          </w:tcPr>
          <w:p w14:paraId="1011186D" w14:textId="77777777" w:rsidR="008361C5" w:rsidRPr="00200234" w:rsidRDefault="008361C5" w:rsidP="00912EAD">
            <w:pPr>
              <w:keepNext/>
              <w:tabs>
                <w:tab w:val="decimal" w:pos="1012"/>
              </w:tabs>
              <w:spacing w:before="60" w:after="60"/>
              <w:rPr>
                <w:rFonts w:cs="Segoe UI"/>
                <w:sz w:val="18"/>
              </w:rPr>
            </w:pPr>
            <w:r w:rsidRPr="00200234">
              <w:rPr>
                <w:rFonts w:cs="Segoe UI"/>
                <w:sz w:val="18"/>
              </w:rPr>
              <w:t>9 (1–26)</w:t>
            </w:r>
          </w:p>
        </w:tc>
      </w:tr>
      <w:tr w:rsidR="008361C5" w:rsidRPr="00200234" w14:paraId="46B981E5" w14:textId="77777777" w:rsidTr="002D639B">
        <w:trPr>
          <w:cantSplit/>
        </w:trPr>
        <w:tc>
          <w:tcPr>
            <w:tcW w:w="1250" w:type="pct"/>
            <w:gridSpan w:val="2"/>
            <w:tcBorders>
              <w:top w:val="single" w:sz="4" w:space="0" w:color="A6A6A6"/>
            </w:tcBorders>
          </w:tcPr>
          <w:p w14:paraId="694C399B" w14:textId="77777777" w:rsidR="008361C5" w:rsidRPr="00200234" w:rsidRDefault="008361C5" w:rsidP="002D639B">
            <w:pPr>
              <w:keepNext/>
              <w:spacing w:before="60" w:after="60"/>
              <w:rPr>
                <w:rFonts w:cs="Segoe UI"/>
                <w:w w:val="105"/>
                <w:sz w:val="18"/>
              </w:rPr>
            </w:pPr>
            <w:r w:rsidRPr="00200234">
              <w:rPr>
                <w:rFonts w:cs="Segoe UI"/>
                <w:sz w:val="18"/>
              </w:rPr>
              <w:t>West Coast</w:t>
            </w:r>
          </w:p>
        </w:tc>
        <w:tc>
          <w:tcPr>
            <w:tcW w:w="1075" w:type="pct"/>
            <w:gridSpan w:val="2"/>
            <w:tcBorders>
              <w:top w:val="single" w:sz="4" w:space="0" w:color="A6A6A6"/>
            </w:tcBorders>
          </w:tcPr>
          <w:p w14:paraId="2C4AD823" w14:textId="77777777" w:rsidR="008361C5" w:rsidRPr="00200234" w:rsidRDefault="008361C5" w:rsidP="002D639B">
            <w:pPr>
              <w:keepNext/>
              <w:tabs>
                <w:tab w:val="decimal" w:pos="882"/>
              </w:tabs>
              <w:spacing w:before="60" w:after="60"/>
              <w:rPr>
                <w:rFonts w:cs="Segoe UI"/>
                <w:sz w:val="18"/>
              </w:rPr>
            </w:pPr>
            <w:r w:rsidRPr="00200234">
              <w:rPr>
                <w:rFonts w:cs="Segoe UI"/>
                <w:w w:val="102"/>
                <w:sz w:val="18"/>
              </w:rPr>
              <w:t>1</w:t>
            </w:r>
          </w:p>
        </w:tc>
        <w:tc>
          <w:tcPr>
            <w:tcW w:w="1076" w:type="pct"/>
            <w:tcBorders>
              <w:top w:val="single" w:sz="4" w:space="0" w:color="A6A6A6"/>
            </w:tcBorders>
          </w:tcPr>
          <w:p w14:paraId="4E526E9C" w14:textId="77777777" w:rsidR="008361C5" w:rsidRPr="00200234" w:rsidRDefault="008361C5" w:rsidP="002D639B">
            <w:pPr>
              <w:keepNext/>
              <w:tabs>
                <w:tab w:val="decimal" w:pos="983"/>
              </w:tabs>
              <w:spacing w:before="60" w:after="60"/>
              <w:rPr>
                <w:rFonts w:cs="Segoe UI"/>
                <w:sz w:val="18"/>
              </w:rPr>
            </w:pPr>
            <w:r w:rsidRPr="00200234">
              <w:rPr>
                <w:rFonts w:cs="Segoe UI"/>
                <w:w w:val="102"/>
                <w:sz w:val="18"/>
              </w:rPr>
              <w:t>6</w:t>
            </w:r>
          </w:p>
        </w:tc>
        <w:tc>
          <w:tcPr>
            <w:tcW w:w="1600" w:type="pct"/>
            <w:gridSpan w:val="2"/>
            <w:tcBorders>
              <w:top w:val="single" w:sz="4" w:space="0" w:color="A6A6A6"/>
            </w:tcBorders>
            <w:vAlign w:val="center"/>
          </w:tcPr>
          <w:p w14:paraId="4B6A43D8" w14:textId="77777777" w:rsidR="008361C5" w:rsidRPr="00200234" w:rsidRDefault="008361C5" w:rsidP="00912EAD">
            <w:pPr>
              <w:keepNext/>
              <w:tabs>
                <w:tab w:val="decimal" w:pos="1012"/>
              </w:tabs>
              <w:spacing w:before="60" w:after="60"/>
              <w:rPr>
                <w:rFonts w:cs="Segoe UI"/>
                <w:sz w:val="18"/>
              </w:rPr>
            </w:pPr>
            <w:r w:rsidRPr="00200234">
              <w:rPr>
                <w:rFonts w:cs="Segoe UI"/>
                <w:sz w:val="18"/>
              </w:rPr>
              <w:t>6 (6–6)</w:t>
            </w:r>
          </w:p>
        </w:tc>
      </w:tr>
      <w:tr w:rsidR="008361C5" w:rsidRPr="00200234" w14:paraId="7394DCE3" w14:textId="77777777" w:rsidTr="002D639B">
        <w:trPr>
          <w:cantSplit/>
        </w:trPr>
        <w:tc>
          <w:tcPr>
            <w:tcW w:w="1250" w:type="pct"/>
            <w:gridSpan w:val="2"/>
            <w:tcBorders>
              <w:top w:val="single" w:sz="4" w:space="0" w:color="A6A6A6"/>
            </w:tcBorders>
          </w:tcPr>
          <w:p w14:paraId="55B91285" w14:textId="77777777" w:rsidR="008361C5" w:rsidRPr="00200234" w:rsidRDefault="008361C5" w:rsidP="002D639B">
            <w:pPr>
              <w:keepNext/>
              <w:spacing w:before="60" w:after="60"/>
              <w:rPr>
                <w:rFonts w:cs="Segoe UI"/>
                <w:sz w:val="18"/>
              </w:rPr>
            </w:pPr>
            <w:r w:rsidRPr="00200234">
              <w:rPr>
                <w:rFonts w:cs="Segoe UI"/>
                <w:w w:val="105"/>
                <w:sz w:val="18"/>
              </w:rPr>
              <w:t>Whanganui</w:t>
            </w:r>
          </w:p>
        </w:tc>
        <w:tc>
          <w:tcPr>
            <w:tcW w:w="1075" w:type="pct"/>
            <w:gridSpan w:val="2"/>
            <w:tcBorders>
              <w:top w:val="single" w:sz="4" w:space="0" w:color="A6A6A6"/>
            </w:tcBorders>
          </w:tcPr>
          <w:p w14:paraId="38085A79" w14:textId="77777777" w:rsidR="008361C5" w:rsidRPr="00200234" w:rsidRDefault="008361C5" w:rsidP="002D639B">
            <w:pPr>
              <w:keepNext/>
              <w:tabs>
                <w:tab w:val="decimal" w:pos="882"/>
              </w:tabs>
              <w:spacing w:before="60" w:after="60"/>
              <w:rPr>
                <w:rFonts w:cs="Segoe UI"/>
                <w:w w:val="102"/>
                <w:sz w:val="18"/>
              </w:rPr>
            </w:pPr>
            <w:r w:rsidRPr="00200234">
              <w:rPr>
                <w:rFonts w:cs="Segoe UI"/>
                <w:w w:val="102"/>
                <w:sz w:val="18"/>
              </w:rPr>
              <w:t>0</w:t>
            </w:r>
          </w:p>
        </w:tc>
        <w:tc>
          <w:tcPr>
            <w:tcW w:w="1076" w:type="pct"/>
            <w:tcBorders>
              <w:top w:val="single" w:sz="4" w:space="0" w:color="A6A6A6"/>
            </w:tcBorders>
          </w:tcPr>
          <w:p w14:paraId="3383ABD9" w14:textId="77777777" w:rsidR="008361C5" w:rsidRPr="00200234" w:rsidRDefault="008361C5" w:rsidP="002D639B">
            <w:pPr>
              <w:keepNext/>
              <w:tabs>
                <w:tab w:val="decimal" w:pos="983"/>
              </w:tabs>
              <w:spacing w:before="60" w:after="60"/>
              <w:rPr>
                <w:rFonts w:cs="Segoe UI"/>
                <w:w w:val="102"/>
                <w:sz w:val="18"/>
              </w:rPr>
            </w:pPr>
            <w:r w:rsidRPr="00200234">
              <w:rPr>
                <w:rFonts w:cs="Segoe UI"/>
                <w:sz w:val="18"/>
              </w:rPr>
              <w:t>0</w:t>
            </w:r>
          </w:p>
        </w:tc>
        <w:tc>
          <w:tcPr>
            <w:tcW w:w="1600" w:type="pct"/>
            <w:gridSpan w:val="2"/>
            <w:tcBorders>
              <w:top w:val="single" w:sz="4" w:space="0" w:color="A6A6A6"/>
            </w:tcBorders>
            <w:vAlign w:val="center"/>
          </w:tcPr>
          <w:p w14:paraId="5D648024" w14:textId="77777777" w:rsidR="008361C5" w:rsidRPr="00200234" w:rsidRDefault="008361C5" w:rsidP="00912EAD">
            <w:pPr>
              <w:keepNext/>
              <w:tabs>
                <w:tab w:val="decimal" w:pos="1012"/>
              </w:tabs>
              <w:spacing w:before="60" w:after="60"/>
              <w:rPr>
                <w:rFonts w:cs="Segoe UI"/>
                <w:sz w:val="18"/>
              </w:rPr>
            </w:pPr>
            <w:r w:rsidRPr="00200234">
              <w:rPr>
                <w:rFonts w:cs="Segoe UI"/>
                <w:sz w:val="18"/>
              </w:rPr>
              <w:t>0</w:t>
            </w:r>
          </w:p>
        </w:tc>
      </w:tr>
      <w:tr w:rsidR="008361C5" w:rsidRPr="00200234" w14:paraId="2F60738C" w14:textId="77777777" w:rsidTr="002D639B">
        <w:trPr>
          <w:cantSplit/>
        </w:trPr>
        <w:tc>
          <w:tcPr>
            <w:tcW w:w="1250" w:type="pct"/>
            <w:gridSpan w:val="2"/>
            <w:tcBorders>
              <w:top w:val="single" w:sz="4" w:space="0" w:color="A6A6A6"/>
            </w:tcBorders>
          </w:tcPr>
          <w:p w14:paraId="30EADB50" w14:textId="77777777" w:rsidR="008361C5" w:rsidRPr="00200234" w:rsidRDefault="008361C5" w:rsidP="002D639B">
            <w:pPr>
              <w:keepNext/>
              <w:spacing w:before="60" w:after="60"/>
              <w:rPr>
                <w:rFonts w:cs="Segoe UI"/>
                <w:b/>
                <w:sz w:val="18"/>
              </w:rPr>
            </w:pPr>
            <w:r w:rsidRPr="00200234">
              <w:rPr>
                <w:rFonts w:cs="Segoe UI"/>
                <w:b/>
                <w:sz w:val="18"/>
              </w:rPr>
              <w:t>New Zealand total</w:t>
            </w:r>
          </w:p>
        </w:tc>
        <w:tc>
          <w:tcPr>
            <w:tcW w:w="1075" w:type="pct"/>
            <w:gridSpan w:val="2"/>
            <w:tcBorders>
              <w:top w:val="single" w:sz="4" w:space="0" w:color="A6A6A6"/>
            </w:tcBorders>
          </w:tcPr>
          <w:p w14:paraId="3CEC66CD" w14:textId="77777777" w:rsidR="008361C5" w:rsidRPr="00200234" w:rsidRDefault="008361C5" w:rsidP="002D639B">
            <w:pPr>
              <w:keepNext/>
              <w:tabs>
                <w:tab w:val="decimal" w:pos="882"/>
              </w:tabs>
              <w:spacing w:before="60" w:after="60"/>
              <w:rPr>
                <w:rFonts w:cs="Segoe UI"/>
                <w:b/>
                <w:sz w:val="18"/>
              </w:rPr>
            </w:pPr>
            <w:r w:rsidRPr="00200234">
              <w:rPr>
                <w:rFonts w:cs="Segoe UI"/>
                <w:b/>
                <w:sz w:val="18"/>
              </w:rPr>
              <w:t>265</w:t>
            </w:r>
          </w:p>
        </w:tc>
        <w:tc>
          <w:tcPr>
            <w:tcW w:w="1076" w:type="pct"/>
            <w:tcBorders>
              <w:top w:val="single" w:sz="4" w:space="0" w:color="A6A6A6"/>
            </w:tcBorders>
          </w:tcPr>
          <w:p w14:paraId="54309F09" w14:textId="77777777" w:rsidR="008361C5" w:rsidRPr="00200234" w:rsidRDefault="008361C5" w:rsidP="002D639B">
            <w:pPr>
              <w:keepNext/>
              <w:tabs>
                <w:tab w:val="decimal" w:pos="983"/>
              </w:tabs>
              <w:spacing w:before="60" w:after="60"/>
              <w:rPr>
                <w:rFonts w:cs="Segoe UI"/>
                <w:b/>
                <w:sz w:val="18"/>
              </w:rPr>
            </w:pPr>
            <w:r w:rsidRPr="00200234">
              <w:rPr>
                <w:rFonts w:cs="Segoe UI"/>
                <w:b/>
                <w:sz w:val="18"/>
              </w:rPr>
              <w:t>2,990</w:t>
            </w:r>
          </w:p>
        </w:tc>
        <w:tc>
          <w:tcPr>
            <w:tcW w:w="1600" w:type="pct"/>
            <w:gridSpan w:val="2"/>
            <w:tcBorders>
              <w:top w:val="single" w:sz="4" w:space="0" w:color="A6A6A6"/>
            </w:tcBorders>
          </w:tcPr>
          <w:p w14:paraId="685210EE" w14:textId="77777777" w:rsidR="008361C5" w:rsidRPr="00200234" w:rsidRDefault="008361C5" w:rsidP="00912EAD">
            <w:pPr>
              <w:keepNext/>
              <w:tabs>
                <w:tab w:val="decimal" w:pos="1012"/>
              </w:tabs>
              <w:spacing w:before="60" w:after="60"/>
              <w:rPr>
                <w:rFonts w:cs="Segoe UI"/>
                <w:b/>
                <w:bCs/>
                <w:sz w:val="18"/>
              </w:rPr>
            </w:pPr>
            <w:r w:rsidRPr="00200234">
              <w:rPr>
                <w:rFonts w:cs="Segoe UI"/>
                <w:b/>
                <w:bCs/>
                <w:sz w:val="18"/>
              </w:rPr>
              <w:t>11 (1–56)</w:t>
            </w:r>
          </w:p>
        </w:tc>
      </w:tr>
    </w:tbl>
    <w:p w14:paraId="223D89B8" w14:textId="77777777" w:rsidR="008361C5" w:rsidRPr="00200234" w:rsidRDefault="008361C5" w:rsidP="002D639B">
      <w:pPr>
        <w:pStyle w:val="Note"/>
        <w:keepNext/>
      </w:pPr>
      <w:r w:rsidRPr="00200234">
        <w:t>Notes: In 2018, 20 people were treated out of area, as follows:</w:t>
      </w:r>
    </w:p>
    <w:p w14:paraId="2DD912BD" w14:textId="77777777" w:rsidR="008361C5" w:rsidRPr="00200234" w:rsidRDefault="008361C5" w:rsidP="00DA02E3">
      <w:pPr>
        <w:pStyle w:val="Note"/>
        <w:keepNext/>
        <w:numPr>
          <w:ilvl w:val="0"/>
          <w:numId w:val="6"/>
        </w:numPr>
        <w:spacing w:before="40"/>
        <w:ind w:left="284" w:hanging="284"/>
        <w:rPr>
          <w:szCs w:val="17"/>
        </w:rPr>
      </w:pPr>
      <w:r w:rsidRPr="00200234">
        <w:rPr>
          <w:szCs w:val="17"/>
        </w:rPr>
        <w:t xml:space="preserve">Auckland DHB saw one person from Bay of Plenty DHB, one person from Counties Manukau DHB and three from </w:t>
      </w:r>
      <w:proofErr w:type="spellStart"/>
      <w:r w:rsidRPr="00200234">
        <w:rPr>
          <w:szCs w:val="17"/>
        </w:rPr>
        <w:t>Waitematā</w:t>
      </w:r>
      <w:proofErr w:type="spellEnd"/>
      <w:r w:rsidRPr="00200234">
        <w:rPr>
          <w:szCs w:val="17"/>
        </w:rPr>
        <w:t xml:space="preserve"> DHB</w:t>
      </w:r>
    </w:p>
    <w:p w14:paraId="7BB0ADA8" w14:textId="77777777" w:rsidR="008361C5" w:rsidRPr="00200234" w:rsidRDefault="008361C5" w:rsidP="00DA02E3">
      <w:pPr>
        <w:pStyle w:val="Note"/>
        <w:keepNext/>
        <w:numPr>
          <w:ilvl w:val="0"/>
          <w:numId w:val="6"/>
        </w:numPr>
        <w:spacing w:before="40"/>
        <w:ind w:left="284" w:hanging="284"/>
        <w:rPr>
          <w:szCs w:val="17"/>
        </w:rPr>
      </w:pPr>
      <w:r w:rsidRPr="00200234">
        <w:rPr>
          <w:szCs w:val="17"/>
        </w:rPr>
        <w:t xml:space="preserve">Bay of Plenty DHB saw one person from </w:t>
      </w:r>
      <w:proofErr w:type="spellStart"/>
      <w:r w:rsidRPr="00200234">
        <w:rPr>
          <w:szCs w:val="17"/>
        </w:rPr>
        <w:t>Tairāwhiti</w:t>
      </w:r>
      <w:proofErr w:type="spellEnd"/>
      <w:r w:rsidRPr="00200234">
        <w:rPr>
          <w:szCs w:val="17"/>
        </w:rPr>
        <w:t xml:space="preserve"> DHB</w:t>
      </w:r>
    </w:p>
    <w:p w14:paraId="4402ED6F" w14:textId="77777777" w:rsidR="008361C5" w:rsidRPr="00200234" w:rsidRDefault="008361C5" w:rsidP="00DA02E3">
      <w:pPr>
        <w:pStyle w:val="Note"/>
        <w:keepNext/>
        <w:numPr>
          <w:ilvl w:val="0"/>
          <w:numId w:val="6"/>
        </w:numPr>
        <w:spacing w:before="40"/>
        <w:ind w:left="284" w:hanging="284"/>
        <w:rPr>
          <w:szCs w:val="17"/>
        </w:rPr>
      </w:pPr>
      <w:r w:rsidRPr="00200234">
        <w:rPr>
          <w:szCs w:val="17"/>
        </w:rPr>
        <w:t>Canterbury DHB saw one person from West Coast DHB</w:t>
      </w:r>
    </w:p>
    <w:p w14:paraId="3F5B8847" w14:textId="77777777" w:rsidR="008361C5" w:rsidRPr="00200234" w:rsidRDefault="008361C5" w:rsidP="00DA02E3">
      <w:pPr>
        <w:pStyle w:val="Note"/>
        <w:keepNext/>
        <w:numPr>
          <w:ilvl w:val="0"/>
          <w:numId w:val="6"/>
        </w:numPr>
        <w:spacing w:before="40"/>
        <w:ind w:left="284" w:hanging="284"/>
        <w:rPr>
          <w:szCs w:val="17"/>
        </w:rPr>
      </w:pPr>
      <w:r w:rsidRPr="00200234">
        <w:rPr>
          <w:szCs w:val="17"/>
        </w:rPr>
        <w:t>Capital &amp; Coast DHB saw five people from Hutt Valley DHB</w:t>
      </w:r>
    </w:p>
    <w:p w14:paraId="3587D42D" w14:textId="77777777" w:rsidR="008361C5" w:rsidRPr="00200234" w:rsidRDefault="008361C5" w:rsidP="00DA02E3">
      <w:pPr>
        <w:pStyle w:val="Note"/>
        <w:keepNext/>
        <w:numPr>
          <w:ilvl w:val="0"/>
          <w:numId w:val="6"/>
        </w:numPr>
        <w:spacing w:before="40"/>
        <w:ind w:left="284" w:hanging="284"/>
        <w:rPr>
          <w:szCs w:val="17"/>
        </w:rPr>
      </w:pPr>
      <w:r w:rsidRPr="00200234">
        <w:rPr>
          <w:szCs w:val="17"/>
        </w:rPr>
        <w:t>Counties Manukau DHB saw three people from Auckland DHB</w:t>
      </w:r>
    </w:p>
    <w:p w14:paraId="36E387A8" w14:textId="77777777" w:rsidR="008361C5" w:rsidRPr="00200234" w:rsidRDefault="008361C5" w:rsidP="00DA02E3">
      <w:pPr>
        <w:pStyle w:val="Note"/>
        <w:keepNext/>
        <w:numPr>
          <w:ilvl w:val="0"/>
          <w:numId w:val="6"/>
        </w:numPr>
        <w:spacing w:before="40"/>
        <w:ind w:left="284" w:hanging="284"/>
        <w:rPr>
          <w:szCs w:val="17"/>
        </w:rPr>
      </w:pPr>
      <w:r w:rsidRPr="00200234">
        <w:rPr>
          <w:szCs w:val="17"/>
        </w:rPr>
        <w:t xml:space="preserve">Hutt Valley DHB saw one person from Capital &amp; Coast DHB </w:t>
      </w:r>
    </w:p>
    <w:p w14:paraId="51D8128B" w14:textId="77777777" w:rsidR="008361C5" w:rsidRPr="00200234" w:rsidRDefault="008361C5" w:rsidP="00DA02E3">
      <w:pPr>
        <w:pStyle w:val="Note"/>
        <w:keepNext/>
        <w:numPr>
          <w:ilvl w:val="0"/>
          <w:numId w:val="6"/>
        </w:numPr>
        <w:spacing w:before="40"/>
        <w:ind w:left="284" w:hanging="284"/>
        <w:rPr>
          <w:szCs w:val="17"/>
        </w:rPr>
      </w:pPr>
      <w:r w:rsidRPr="00200234">
        <w:rPr>
          <w:szCs w:val="17"/>
        </w:rPr>
        <w:t>Lakes DHB saw two people from Taranaki DHB</w:t>
      </w:r>
    </w:p>
    <w:p w14:paraId="694C4884" w14:textId="77777777" w:rsidR="008361C5" w:rsidRPr="00200234" w:rsidRDefault="008361C5" w:rsidP="00DA02E3">
      <w:pPr>
        <w:pStyle w:val="Note"/>
        <w:keepNext/>
        <w:numPr>
          <w:ilvl w:val="0"/>
          <w:numId w:val="6"/>
        </w:numPr>
        <w:spacing w:before="40"/>
        <w:ind w:left="284" w:hanging="284"/>
        <w:rPr>
          <w:szCs w:val="17"/>
        </w:rPr>
      </w:pPr>
      <w:r w:rsidRPr="00200234">
        <w:rPr>
          <w:szCs w:val="17"/>
        </w:rPr>
        <w:t>Waikato DHB saw one person from Taranaki DHB</w:t>
      </w:r>
    </w:p>
    <w:p w14:paraId="2E86F0FB" w14:textId="77777777" w:rsidR="008361C5" w:rsidRPr="00200234" w:rsidRDefault="008361C5" w:rsidP="00DA02E3">
      <w:pPr>
        <w:pStyle w:val="Note"/>
        <w:keepNext/>
        <w:numPr>
          <w:ilvl w:val="0"/>
          <w:numId w:val="6"/>
        </w:numPr>
        <w:spacing w:before="40"/>
        <w:ind w:left="284" w:hanging="284"/>
        <w:rPr>
          <w:szCs w:val="17"/>
        </w:rPr>
      </w:pPr>
      <w:proofErr w:type="spellStart"/>
      <w:r w:rsidRPr="00200234">
        <w:rPr>
          <w:szCs w:val="17"/>
        </w:rPr>
        <w:t>Waitematā</w:t>
      </w:r>
      <w:proofErr w:type="spellEnd"/>
      <w:r w:rsidRPr="00200234">
        <w:rPr>
          <w:szCs w:val="17"/>
        </w:rPr>
        <w:t xml:space="preserve"> DHB saw one person from Waikato DHB. </w:t>
      </w:r>
    </w:p>
    <w:p w14:paraId="09D79EC9" w14:textId="7614390B" w:rsidR="008361C5" w:rsidRPr="00200234" w:rsidRDefault="008361C5" w:rsidP="008361C5">
      <w:pPr>
        <w:pStyle w:val="Note"/>
      </w:pPr>
      <w:r w:rsidRPr="00200234">
        <w:t>Source</w:t>
      </w:r>
      <w:r w:rsidR="00935BF5" w:rsidRPr="00200234">
        <w:t>s</w:t>
      </w:r>
      <w:r w:rsidRPr="00200234">
        <w:t>: PRIMHD data</w:t>
      </w:r>
      <w:r w:rsidR="0015429E">
        <w:t xml:space="preserve"> (extracted</w:t>
      </w:r>
      <w:r w:rsidRPr="00200234">
        <w:t xml:space="preserve"> 29 July 2019</w:t>
      </w:r>
      <w:r w:rsidR="003510A5">
        <w:t>)</w:t>
      </w:r>
      <w:r w:rsidRPr="00200234">
        <w:t xml:space="preserve"> </w:t>
      </w:r>
      <w:r w:rsidR="00935BF5" w:rsidRPr="00200234">
        <w:t>and manual data from</w:t>
      </w:r>
      <w:r w:rsidRPr="00200234">
        <w:t xml:space="preserve"> Lakes, </w:t>
      </w:r>
      <w:proofErr w:type="spellStart"/>
      <w:r w:rsidRPr="00200234">
        <w:t>MidCentral</w:t>
      </w:r>
      <w:proofErr w:type="spellEnd"/>
      <w:r w:rsidRPr="00200234">
        <w:t xml:space="preserve">, Nelson Marlborough, Southern and </w:t>
      </w:r>
      <w:proofErr w:type="spellStart"/>
      <w:r w:rsidRPr="00200234">
        <w:t>Waitematā</w:t>
      </w:r>
      <w:proofErr w:type="spellEnd"/>
      <w:r w:rsidRPr="00200234">
        <w:t xml:space="preserve"> DHBs</w:t>
      </w:r>
      <w:r w:rsidR="00935BF5" w:rsidRPr="00200234">
        <w:t>.</w:t>
      </w:r>
    </w:p>
    <w:p w14:paraId="2FF33114" w14:textId="77777777" w:rsidR="008361C5" w:rsidRPr="00200234" w:rsidRDefault="008361C5" w:rsidP="008361C5"/>
    <w:p w14:paraId="1FAE9E9D" w14:textId="0BD981EE" w:rsidR="008361C5" w:rsidRPr="00200234" w:rsidRDefault="008361C5" w:rsidP="008361C5">
      <w:pPr>
        <w:pStyle w:val="Table"/>
      </w:pPr>
      <w:bookmarkStart w:id="284" w:name="_Ref65673244"/>
      <w:bookmarkStart w:id="285" w:name="_Toc63764682"/>
      <w:bookmarkStart w:id="286" w:name="_Toc69306789"/>
      <w:r w:rsidRPr="00200234">
        <w:lastRenderedPageBreak/>
        <w:t xml:space="preserve">Table </w:t>
      </w:r>
      <w:fldSimple w:instr=" SEQ Table \* ARABIC ">
        <w:r w:rsidR="00422361">
          <w:rPr>
            <w:noProof/>
          </w:rPr>
          <w:t>19</w:t>
        </w:r>
      </w:fldSimple>
      <w:bookmarkEnd w:id="284"/>
      <w:r w:rsidRPr="00200234">
        <w:t xml:space="preserve">: </w:t>
      </w:r>
      <w:r w:rsidR="003A59E3" w:rsidRPr="003A59E3">
        <w:t>ECT</w:t>
      </w:r>
      <w:r w:rsidRPr="00200234">
        <w:t xml:space="preserve"> indicators, by DHB of domicile, 1 January to 31</w:t>
      </w:r>
      <w:r w:rsidR="00402BAD">
        <w:t> </w:t>
      </w:r>
      <w:r w:rsidRPr="00200234">
        <w:t>December 2019</w:t>
      </w:r>
      <w:bookmarkEnd w:id="285"/>
      <w:bookmarkEnd w:id="286"/>
    </w:p>
    <w:tbl>
      <w:tblPr>
        <w:tblW w:w="5000" w:type="pct"/>
        <w:tblBorders>
          <w:top w:val="single" w:sz="4" w:space="0" w:color="A6A6A6"/>
          <w:bottom w:val="single" w:sz="4" w:space="0" w:color="A6A6A6"/>
          <w:insideH w:val="single" w:sz="4" w:space="0" w:color="A6A6A6"/>
        </w:tblBorders>
        <w:tblCellMar>
          <w:left w:w="57" w:type="dxa"/>
          <w:right w:w="57" w:type="dxa"/>
        </w:tblCellMar>
        <w:tblLook w:val="01E0" w:firstRow="1" w:lastRow="1" w:firstColumn="1" w:lastColumn="1" w:noHBand="0" w:noVBand="0"/>
      </w:tblPr>
      <w:tblGrid>
        <w:gridCol w:w="2007"/>
        <w:gridCol w:w="13"/>
        <w:gridCol w:w="1731"/>
        <w:gridCol w:w="6"/>
        <w:gridCol w:w="1739"/>
        <w:gridCol w:w="2535"/>
        <w:gridCol w:w="48"/>
      </w:tblGrid>
      <w:tr w:rsidR="008361C5" w:rsidRPr="00200234" w14:paraId="6D6F6D5B" w14:textId="77777777" w:rsidTr="002D639B">
        <w:trPr>
          <w:cantSplit/>
        </w:trPr>
        <w:tc>
          <w:tcPr>
            <w:tcW w:w="1250" w:type="pct"/>
            <w:gridSpan w:val="2"/>
            <w:tcBorders>
              <w:top w:val="nil"/>
              <w:bottom w:val="nil"/>
            </w:tcBorders>
            <w:shd w:val="clear" w:color="auto" w:fill="D9D9D9"/>
          </w:tcPr>
          <w:p w14:paraId="0907B86B" w14:textId="77777777" w:rsidR="008361C5" w:rsidRPr="00200234" w:rsidRDefault="008361C5" w:rsidP="002D639B">
            <w:pPr>
              <w:keepNext/>
              <w:spacing w:before="60" w:after="60"/>
              <w:rPr>
                <w:rFonts w:cs="Segoe UI"/>
                <w:b/>
                <w:sz w:val="18"/>
              </w:rPr>
            </w:pPr>
            <w:r w:rsidRPr="00200234">
              <w:rPr>
                <w:rFonts w:cs="Segoe UI"/>
                <w:b/>
                <w:sz w:val="18"/>
              </w:rPr>
              <w:t>DHB of domicile</w:t>
            </w:r>
          </w:p>
        </w:tc>
        <w:tc>
          <w:tcPr>
            <w:tcW w:w="1075" w:type="pct"/>
            <w:gridSpan w:val="2"/>
            <w:tcBorders>
              <w:top w:val="nil"/>
              <w:bottom w:val="nil"/>
            </w:tcBorders>
            <w:shd w:val="clear" w:color="auto" w:fill="D9D9D9"/>
          </w:tcPr>
          <w:p w14:paraId="083A8A03" w14:textId="77777777" w:rsidR="008361C5" w:rsidRPr="00200234" w:rsidRDefault="008361C5" w:rsidP="002D639B">
            <w:pPr>
              <w:keepNext/>
              <w:spacing w:before="60" w:after="60"/>
              <w:jc w:val="center"/>
              <w:rPr>
                <w:rFonts w:cs="Segoe UI"/>
                <w:b/>
                <w:sz w:val="18"/>
              </w:rPr>
            </w:pPr>
            <w:r w:rsidRPr="00200234">
              <w:rPr>
                <w:rFonts w:cs="Segoe UI"/>
                <w:b/>
                <w:sz w:val="18"/>
              </w:rPr>
              <w:t>Number of people treated with ECT</w:t>
            </w:r>
          </w:p>
        </w:tc>
        <w:tc>
          <w:tcPr>
            <w:tcW w:w="1076" w:type="pct"/>
            <w:tcBorders>
              <w:top w:val="nil"/>
              <w:bottom w:val="nil"/>
            </w:tcBorders>
            <w:shd w:val="clear" w:color="auto" w:fill="D9D9D9"/>
          </w:tcPr>
          <w:p w14:paraId="48CD3DDA" w14:textId="77777777" w:rsidR="008361C5" w:rsidRPr="00200234" w:rsidRDefault="008361C5" w:rsidP="002D639B">
            <w:pPr>
              <w:keepNext/>
              <w:spacing w:before="60" w:after="60"/>
              <w:jc w:val="center"/>
              <w:rPr>
                <w:rFonts w:cs="Segoe UI"/>
                <w:b/>
                <w:sz w:val="18"/>
              </w:rPr>
            </w:pPr>
            <w:r w:rsidRPr="00200234">
              <w:rPr>
                <w:rFonts w:cs="Segoe UI"/>
                <w:b/>
                <w:sz w:val="18"/>
              </w:rPr>
              <w:t>Number of</w:t>
            </w:r>
            <w:r w:rsidRPr="00200234">
              <w:rPr>
                <w:rFonts w:cs="Segoe UI"/>
                <w:b/>
                <w:sz w:val="18"/>
              </w:rPr>
              <w:br/>
              <w:t>treatments</w:t>
            </w:r>
          </w:p>
        </w:tc>
        <w:tc>
          <w:tcPr>
            <w:tcW w:w="1600" w:type="pct"/>
            <w:gridSpan w:val="2"/>
            <w:tcBorders>
              <w:top w:val="nil"/>
              <w:bottom w:val="nil"/>
            </w:tcBorders>
            <w:shd w:val="clear" w:color="auto" w:fill="D9D9D9"/>
          </w:tcPr>
          <w:p w14:paraId="04CAA6D8" w14:textId="77777777" w:rsidR="008361C5" w:rsidRPr="00200234" w:rsidRDefault="008361C5" w:rsidP="002D639B">
            <w:pPr>
              <w:keepNext/>
              <w:spacing w:before="60" w:after="60"/>
              <w:jc w:val="center"/>
              <w:rPr>
                <w:rFonts w:cs="Segoe UI"/>
                <w:b/>
                <w:sz w:val="18"/>
              </w:rPr>
            </w:pPr>
            <w:r w:rsidRPr="00200234">
              <w:rPr>
                <w:rFonts w:cs="Segoe UI"/>
                <w:b/>
                <w:sz w:val="18"/>
              </w:rPr>
              <w:t>Mean number of treatments per person (range)</w:t>
            </w:r>
          </w:p>
        </w:tc>
      </w:tr>
      <w:tr w:rsidR="008361C5" w:rsidRPr="00200234" w14:paraId="43369880"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bottom w:val="single" w:sz="4" w:space="0" w:color="A6A6A6"/>
            </w:tcBorders>
          </w:tcPr>
          <w:p w14:paraId="66C3216F" w14:textId="77777777" w:rsidR="008361C5" w:rsidRPr="00200234" w:rsidRDefault="008361C5" w:rsidP="002D639B">
            <w:pPr>
              <w:keepNext/>
              <w:spacing w:before="60" w:after="60"/>
              <w:rPr>
                <w:rFonts w:cs="Segoe UI"/>
                <w:sz w:val="18"/>
              </w:rPr>
            </w:pPr>
            <w:r w:rsidRPr="00200234">
              <w:rPr>
                <w:rFonts w:cs="Segoe UI"/>
                <w:w w:val="105"/>
                <w:sz w:val="18"/>
              </w:rPr>
              <w:t>Auckland</w:t>
            </w:r>
          </w:p>
        </w:tc>
        <w:tc>
          <w:tcPr>
            <w:tcW w:w="1079" w:type="pct"/>
            <w:gridSpan w:val="2"/>
            <w:tcBorders>
              <w:bottom w:val="single" w:sz="4" w:space="0" w:color="A6A6A6"/>
            </w:tcBorders>
          </w:tcPr>
          <w:p w14:paraId="66E69662" w14:textId="77777777" w:rsidR="008361C5" w:rsidRPr="00200234" w:rsidRDefault="008361C5" w:rsidP="002D639B">
            <w:pPr>
              <w:keepNext/>
              <w:tabs>
                <w:tab w:val="decimal" w:pos="900"/>
              </w:tabs>
              <w:spacing w:before="60" w:after="60"/>
              <w:rPr>
                <w:rFonts w:cs="Segoe UI"/>
                <w:sz w:val="18"/>
              </w:rPr>
            </w:pPr>
            <w:r w:rsidRPr="00200234">
              <w:rPr>
                <w:rFonts w:cs="Segoe UI"/>
                <w:sz w:val="18"/>
              </w:rPr>
              <w:t>21</w:t>
            </w:r>
          </w:p>
        </w:tc>
        <w:tc>
          <w:tcPr>
            <w:tcW w:w="1079" w:type="pct"/>
            <w:gridSpan w:val="2"/>
            <w:tcBorders>
              <w:bottom w:val="single" w:sz="4" w:space="0" w:color="A6A6A6"/>
            </w:tcBorders>
          </w:tcPr>
          <w:p w14:paraId="37241F7E" w14:textId="77777777" w:rsidR="008361C5" w:rsidRPr="00200234" w:rsidRDefault="008361C5" w:rsidP="002D639B">
            <w:pPr>
              <w:keepNext/>
              <w:tabs>
                <w:tab w:val="decimal" w:pos="1012"/>
              </w:tabs>
              <w:spacing w:before="60" w:after="60"/>
              <w:rPr>
                <w:rFonts w:cs="Segoe UI"/>
                <w:sz w:val="18"/>
              </w:rPr>
            </w:pPr>
            <w:r w:rsidRPr="00200234">
              <w:rPr>
                <w:rFonts w:cs="Segoe UI"/>
                <w:sz w:val="18"/>
              </w:rPr>
              <w:t>259</w:t>
            </w:r>
          </w:p>
        </w:tc>
        <w:tc>
          <w:tcPr>
            <w:tcW w:w="1569" w:type="pct"/>
            <w:tcBorders>
              <w:bottom w:val="single" w:sz="4" w:space="0" w:color="A6A6A6"/>
            </w:tcBorders>
            <w:vAlign w:val="center"/>
          </w:tcPr>
          <w:p w14:paraId="7FD90235" w14:textId="77777777" w:rsidR="008361C5" w:rsidRPr="00200234" w:rsidRDefault="008361C5" w:rsidP="00912EAD">
            <w:pPr>
              <w:keepNext/>
              <w:tabs>
                <w:tab w:val="decimal" w:pos="1012"/>
              </w:tabs>
              <w:spacing w:before="60" w:after="60"/>
              <w:rPr>
                <w:rFonts w:cs="Segoe UI"/>
                <w:sz w:val="18"/>
              </w:rPr>
            </w:pPr>
            <w:r w:rsidRPr="00200234">
              <w:rPr>
                <w:rFonts w:cs="Segoe UI"/>
                <w:sz w:val="18"/>
              </w:rPr>
              <w:t>12 (3–43)</w:t>
            </w:r>
          </w:p>
        </w:tc>
      </w:tr>
      <w:tr w:rsidR="008361C5" w:rsidRPr="00200234" w14:paraId="7B9A2BBA"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20853A0C" w14:textId="77777777" w:rsidR="008361C5" w:rsidRPr="00200234" w:rsidRDefault="008361C5" w:rsidP="002D639B">
            <w:pPr>
              <w:keepNext/>
              <w:spacing w:before="60" w:after="60"/>
              <w:rPr>
                <w:rFonts w:cs="Segoe UI"/>
                <w:sz w:val="18"/>
              </w:rPr>
            </w:pPr>
            <w:r w:rsidRPr="00200234">
              <w:rPr>
                <w:rFonts w:cs="Segoe UI"/>
                <w:w w:val="105"/>
                <w:sz w:val="18"/>
              </w:rPr>
              <w:t>Bay of Plenty</w:t>
            </w:r>
          </w:p>
        </w:tc>
        <w:tc>
          <w:tcPr>
            <w:tcW w:w="1079" w:type="pct"/>
            <w:gridSpan w:val="2"/>
            <w:tcBorders>
              <w:top w:val="single" w:sz="4" w:space="0" w:color="A6A6A6"/>
              <w:bottom w:val="single" w:sz="4" w:space="0" w:color="A6A6A6"/>
            </w:tcBorders>
          </w:tcPr>
          <w:p w14:paraId="3210A624" w14:textId="77777777" w:rsidR="008361C5" w:rsidRPr="00200234" w:rsidRDefault="008361C5" w:rsidP="002D639B">
            <w:pPr>
              <w:keepNext/>
              <w:tabs>
                <w:tab w:val="decimal" w:pos="900"/>
              </w:tabs>
              <w:spacing w:before="60" w:after="60"/>
              <w:rPr>
                <w:rFonts w:cs="Segoe UI"/>
                <w:sz w:val="18"/>
              </w:rPr>
            </w:pPr>
            <w:r w:rsidRPr="00200234">
              <w:rPr>
                <w:rFonts w:cs="Segoe UI"/>
                <w:sz w:val="18"/>
              </w:rPr>
              <w:t>19</w:t>
            </w:r>
          </w:p>
        </w:tc>
        <w:tc>
          <w:tcPr>
            <w:tcW w:w="1079" w:type="pct"/>
            <w:gridSpan w:val="2"/>
            <w:tcBorders>
              <w:top w:val="single" w:sz="4" w:space="0" w:color="A6A6A6"/>
              <w:bottom w:val="single" w:sz="4" w:space="0" w:color="A6A6A6"/>
            </w:tcBorders>
          </w:tcPr>
          <w:p w14:paraId="43C28D5E" w14:textId="77777777" w:rsidR="008361C5" w:rsidRPr="00200234" w:rsidRDefault="008361C5" w:rsidP="002D639B">
            <w:pPr>
              <w:keepNext/>
              <w:tabs>
                <w:tab w:val="decimal" w:pos="1012"/>
              </w:tabs>
              <w:spacing w:before="60" w:after="60"/>
              <w:rPr>
                <w:rFonts w:cs="Segoe UI"/>
                <w:sz w:val="18"/>
              </w:rPr>
            </w:pPr>
            <w:r w:rsidRPr="00200234">
              <w:rPr>
                <w:rFonts w:cs="Segoe UI"/>
                <w:sz w:val="18"/>
              </w:rPr>
              <w:t>236</w:t>
            </w:r>
          </w:p>
        </w:tc>
        <w:tc>
          <w:tcPr>
            <w:tcW w:w="1569" w:type="pct"/>
            <w:tcBorders>
              <w:top w:val="single" w:sz="4" w:space="0" w:color="A6A6A6"/>
              <w:bottom w:val="single" w:sz="4" w:space="0" w:color="A6A6A6"/>
            </w:tcBorders>
            <w:vAlign w:val="center"/>
          </w:tcPr>
          <w:p w14:paraId="19B62445" w14:textId="77777777" w:rsidR="008361C5" w:rsidRPr="00200234" w:rsidRDefault="008361C5" w:rsidP="00912EAD">
            <w:pPr>
              <w:keepNext/>
              <w:tabs>
                <w:tab w:val="decimal" w:pos="1012"/>
              </w:tabs>
              <w:spacing w:before="60" w:after="60"/>
              <w:rPr>
                <w:rFonts w:cs="Segoe UI"/>
                <w:sz w:val="18"/>
              </w:rPr>
            </w:pPr>
            <w:r w:rsidRPr="00200234">
              <w:rPr>
                <w:rFonts w:cs="Segoe UI"/>
                <w:sz w:val="18"/>
              </w:rPr>
              <w:t>12 (6–49)</w:t>
            </w:r>
          </w:p>
        </w:tc>
      </w:tr>
      <w:tr w:rsidR="008361C5" w:rsidRPr="00200234" w14:paraId="53DEAF5E"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648C7568" w14:textId="77777777" w:rsidR="008361C5" w:rsidRPr="00200234" w:rsidRDefault="008361C5" w:rsidP="002D639B">
            <w:pPr>
              <w:keepNext/>
              <w:spacing w:before="60" w:after="60"/>
              <w:rPr>
                <w:rFonts w:cs="Segoe UI"/>
                <w:sz w:val="18"/>
              </w:rPr>
            </w:pPr>
            <w:r w:rsidRPr="00200234">
              <w:rPr>
                <w:rFonts w:cs="Segoe UI"/>
                <w:w w:val="105"/>
                <w:sz w:val="18"/>
              </w:rPr>
              <w:t>Canterbury</w:t>
            </w:r>
          </w:p>
        </w:tc>
        <w:tc>
          <w:tcPr>
            <w:tcW w:w="1079" w:type="pct"/>
            <w:gridSpan w:val="2"/>
            <w:tcBorders>
              <w:top w:val="single" w:sz="4" w:space="0" w:color="A6A6A6"/>
              <w:bottom w:val="single" w:sz="4" w:space="0" w:color="A6A6A6"/>
            </w:tcBorders>
          </w:tcPr>
          <w:p w14:paraId="7B80F3EA" w14:textId="77777777" w:rsidR="008361C5" w:rsidRPr="00200234" w:rsidRDefault="008361C5" w:rsidP="002D639B">
            <w:pPr>
              <w:keepNext/>
              <w:tabs>
                <w:tab w:val="decimal" w:pos="900"/>
              </w:tabs>
              <w:spacing w:before="60" w:after="60"/>
              <w:rPr>
                <w:rFonts w:cs="Segoe UI"/>
                <w:sz w:val="18"/>
              </w:rPr>
            </w:pPr>
            <w:r w:rsidRPr="00200234">
              <w:rPr>
                <w:rFonts w:cs="Segoe UI"/>
                <w:sz w:val="18"/>
              </w:rPr>
              <w:t>21</w:t>
            </w:r>
          </w:p>
        </w:tc>
        <w:tc>
          <w:tcPr>
            <w:tcW w:w="1079" w:type="pct"/>
            <w:gridSpan w:val="2"/>
            <w:tcBorders>
              <w:top w:val="single" w:sz="4" w:space="0" w:color="A6A6A6"/>
              <w:bottom w:val="single" w:sz="4" w:space="0" w:color="A6A6A6"/>
            </w:tcBorders>
          </w:tcPr>
          <w:p w14:paraId="1D1A4FBF" w14:textId="77777777" w:rsidR="008361C5" w:rsidRPr="00200234" w:rsidRDefault="008361C5" w:rsidP="002D639B">
            <w:pPr>
              <w:keepNext/>
              <w:tabs>
                <w:tab w:val="decimal" w:pos="1012"/>
              </w:tabs>
              <w:spacing w:before="60" w:after="60"/>
              <w:rPr>
                <w:rFonts w:cs="Segoe UI"/>
                <w:sz w:val="18"/>
              </w:rPr>
            </w:pPr>
            <w:r w:rsidRPr="00200234">
              <w:rPr>
                <w:rFonts w:cs="Segoe UI"/>
                <w:sz w:val="18"/>
              </w:rPr>
              <w:t>193</w:t>
            </w:r>
          </w:p>
        </w:tc>
        <w:tc>
          <w:tcPr>
            <w:tcW w:w="1569" w:type="pct"/>
            <w:tcBorders>
              <w:top w:val="single" w:sz="4" w:space="0" w:color="A6A6A6"/>
              <w:bottom w:val="single" w:sz="4" w:space="0" w:color="A6A6A6"/>
            </w:tcBorders>
            <w:vAlign w:val="center"/>
          </w:tcPr>
          <w:p w14:paraId="1572100E" w14:textId="77777777" w:rsidR="008361C5" w:rsidRPr="00200234" w:rsidRDefault="008361C5" w:rsidP="00912EAD">
            <w:pPr>
              <w:keepNext/>
              <w:tabs>
                <w:tab w:val="decimal" w:pos="1012"/>
              </w:tabs>
              <w:spacing w:before="60" w:after="60"/>
              <w:rPr>
                <w:rFonts w:cs="Segoe UI"/>
                <w:sz w:val="18"/>
              </w:rPr>
            </w:pPr>
            <w:r w:rsidRPr="00200234">
              <w:rPr>
                <w:rFonts w:cs="Segoe UI"/>
                <w:sz w:val="18"/>
              </w:rPr>
              <w:t>9 (1–61)</w:t>
            </w:r>
          </w:p>
        </w:tc>
      </w:tr>
      <w:tr w:rsidR="008361C5" w:rsidRPr="00200234" w14:paraId="73903FD5"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20FA9187" w14:textId="77777777" w:rsidR="008361C5" w:rsidRPr="00200234" w:rsidRDefault="008361C5" w:rsidP="002D639B">
            <w:pPr>
              <w:keepNext/>
              <w:spacing w:before="60" w:after="60"/>
              <w:rPr>
                <w:rFonts w:cs="Segoe UI"/>
                <w:sz w:val="18"/>
              </w:rPr>
            </w:pPr>
            <w:r w:rsidRPr="00200234">
              <w:rPr>
                <w:rFonts w:cs="Segoe UI"/>
                <w:w w:val="105"/>
                <w:sz w:val="18"/>
              </w:rPr>
              <w:t>Capital &amp; Coast</w:t>
            </w:r>
          </w:p>
        </w:tc>
        <w:tc>
          <w:tcPr>
            <w:tcW w:w="1079" w:type="pct"/>
            <w:gridSpan w:val="2"/>
            <w:tcBorders>
              <w:top w:val="single" w:sz="4" w:space="0" w:color="A6A6A6"/>
              <w:bottom w:val="single" w:sz="4" w:space="0" w:color="A6A6A6"/>
            </w:tcBorders>
          </w:tcPr>
          <w:p w14:paraId="47AD9C7E" w14:textId="77777777" w:rsidR="008361C5" w:rsidRPr="00200234" w:rsidRDefault="008361C5" w:rsidP="002D639B">
            <w:pPr>
              <w:keepNext/>
              <w:tabs>
                <w:tab w:val="decimal" w:pos="900"/>
              </w:tabs>
              <w:spacing w:before="60" w:after="60"/>
              <w:rPr>
                <w:rFonts w:cs="Segoe UI"/>
                <w:sz w:val="18"/>
              </w:rPr>
            </w:pPr>
            <w:r w:rsidRPr="00200234">
              <w:rPr>
                <w:rFonts w:cs="Segoe UI"/>
                <w:sz w:val="18"/>
              </w:rPr>
              <w:t>20</w:t>
            </w:r>
          </w:p>
        </w:tc>
        <w:tc>
          <w:tcPr>
            <w:tcW w:w="1079" w:type="pct"/>
            <w:gridSpan w:val="2"/>
            <w:tcBorders>
              <w:top w:val="single" w:sz="4" w:space="0" w:color="A6A6A6"/>
              <w:bottom w:val="single" w:sz="4" w:space="0" w:color="A6A6A6"/>
            </w:tcBorders>
          </w:tcPr>
          <w:p w14:paraId="6A596D4E" w14:textId="77777777" w:rsidR="008361C5" w:rsidRPr="00200234" w:rsidRDefault="008361C5" w:rsidP="002D639B">
            <w:pPr>
              <w:keepNext/>
              <w:tabs>
                <w:tab w:val="decimal" w:pos="1012"/>
              </w:tabs>
              <w:spacing w:before="60" w:after="60"/>
              <w:rPr>
                <w:rFonts w:cs="Segoe UI"/>
                <w:sz w:val="18"/>
              </w:rPr>
            </w:pPr>
            <w:r w:rsidRPr="00200234">
              <w:rPr>
                <w:rFonts w:cs="Segoe UI"/>
                <w:sz w:val="18"/>
              </w:rPr>
              <w:t>278</w:t>
            </w:r>
          </w:p>
        </w:tc>
        <w:tc>
          <w:tcPr>
            <w:tcW w:w="1569" w:type="pct"/>
            <w:tcBorders>
              <w:top w:val="single" w:sz="4" w:space="0" w:color="A6A6A6"/>
              <w:bottom w:val="single" w:sz="4" w:space="0" w:color="A6A6A6"/>
            </w:tcBorders>
            <w:vAlign w:val="center"/>
          </w:tcPr>
          <w:p w14:paraId="03C339E2" w14:textId="77777777" w:rsidR="008361C5" w:rsidRPr="00200234" w:rsidRDefault="008361C5" w:rsidP="00912EAD">
            <w:pPr>
              <w:keepNext/>
              <w:tabs>
                <w:tab w:val="decimal" w:pos="1012"/>
              </w:tabs>
              <w:spacing w:before="60" w:after="60"/>
              <w:rPr>
                <w:rFonts w:cs="Segoe UI"/>
                <w:sz w:val="18"/>
              </w:rPr>
            </w:pPr>
            <w:r w:rsidRPr="00200234">
              <w:rPr>
                <w:rFonts w:cs="Segoe UI"/>
                <w:sz w:val="18"/>
              </w:rPr>
              <w:t>14 (1–58)</w:t>
            </w:r>
          </w:p>
        </w:tc>
      </w:tr>
      <w:tr w:rsidR="008361C5" w:rsidRPr="00200234" w14:paraId="54ACE055"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7FEDB913" w14:textId="77777777" w:rsidR="008361C5" w:rsidRPr="00200234" w:rsidRDefault="008361C5" w:rsidP="002D639B">
            <w:pPr>
              <w:keepNext/>
              <w:spacing w:before="60" w:after="60"/>
              <w:rPr>
                <w:rFonts w:cs="Segoe UI"/>
                <w:sz w:val="18"/>
              </w:rPr>
            </w:pPr>
            <w:r w:rsidRPr="00200234">
              <w:rPr>
                <w:rFonts w:cs="Segoe UI"/>
                <w:w w:val="105"/>
                <w:sz w:val="18"/>
              </w:rPr>
              <w:t>Counties Manukau</w:t>
            </w:r>
          </w:p>
        </w:tc>
        <w:tc>
          <w:tcPr>
            <w:tcW w:w="1079" w:type="pct"/>
            <w:gridSpan w:val="2"/>
            <w:tcBorders>
              <w:top w:val="single" w:sz="4" w:space="0" w:color="A6A6A6"/>
              <w:bottom w:val="single" w:sz="4" w:space="0" w:color="A6A6A6"/>
            </w:tcBorders>
          </w:tcPr>
          <w:p w14:paraId="5DE200EA" w14:textId="77777777" w:rsidR="008361C5" w:rsidRPr="00200234" w:rsidRDefault="008361C5" w:rsidP="002D639B">
            <w:pPr>
              <w:keepNext/>
              <w:tabs>
                <w:tab w:val="decimal" w:pos="900"/>
              </w:tabs>
              <w:spacing w:before="60" w:after="60"/>
              <w:rPr>
                <w:rFonts w:cs="Segoe UI"/>
                <w:sz w:val="18"/>
              </w:rPr>
            </w:pPr>
            <w:r w:rsidRPr="00200234">
              <w:rPr>
                <w:rFonts w:cs="Segoe UI"/>
                <w:sz w:val="18"/>
              </w:rPr>
              <w:t>20</w:t>
            </w:r>
          </w:p>
        </w:tc>
        <w:tc>
          <w:tcPr>
            <w:tcW w:w="1079" w:type="pct"/>
            <w:gridSpan w:val="2"/>
            <w:tcBorders>
              <w:top w:val="single" w:sz="4" w:space="0" w:color="A6A6A6"/>
              <w:bottom w:val="single" w:sz="4" w:space="0" w:color="A6A6A6"/>
            </w:tcBorders>
          </w:tcPr>
          <w:p w14:paraId="424A0A51" w14:textId="77777777" w:rsidR="008361C5" w:rsidRPr="00200234" w:rsidRDefault="008361C5" w:rsidP="002D639B">
            <w:pPr>
              <w:keepNext/>
              <w:tabs>
                <w:tab w:val="decimal" w:pos="1012"/>
              </w:tabs>
              <w:spacing w:before="60" w:after="60"/>
              <w:rPr>
                <w:rFonts w:cs="Segoe UI"/>
                <w:sz w:val="18"/>
              </w:rPr>
            </w:pPr>
            <w:r w:rsidRPr="00200234">
              <w:rPr>
                <w:rFonts w:cs="Segoe UI"/>
                <w:sz w:val="18"/>
              </w:rPr>
              <w:t>169</w:t>
            </w:r>
          </w:p>
        </w:tc>
        <w:tc>
          <w:tcPr>
            <w:tcW w:w="1569" w:type="pct"/>
            <w:tcBorders>
              <w:top w:val="single" w:sz="4" w:space="0" w:color="A6A6A6"/>
              <w:bottom w:val="single" w:sz="4" w:space="0" w:color="A6A6A6"/>
            </w:tcBorders>
            <w:vAlign w:val="center"/>
          </w:tcPr>
          <w:p w14:paraId="2D7AA230" w14:textId="77777777" w:rsidR="008361C5" w:rsidRPr="00200234" w:rsidRDefault="008361C5" w:rsidP="00912EAD">
            <w:pPr>
              <w:keepNext/>
              <w:tabs>
                <w:tab w:val="decimal" w:pos="1012"/>
              </w:tabs>
              <w:spacing w:before="60" w:after="60"/>
              <w:rPr>
                <w:rFonts w:cs="Segoe UI"/>
                <w:sz w:val="18"/>
              </w:rPr>
            </w:pPr>
            <w:r w:rsidRPr="00200234">
              <w:rPr>
                <w:rFonts w:cs="Segoe UI"/>
                <w:sz w:val="18"/>
              </w:rPr>
              <w:t>8 (1–28)</w:t>
            </w:r>
          </w:p>
        </w:tc>
      </w:tr>
      <w:tr w:rsidR="008361C5" w:rsidRPr="00200234" w14:paraId="6CB6DBA6"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0726EF01" w14:textId="77777777" w:rsidR="008361C5" w:rsidRPr="00200234" w:rsidRDefault="008361C5" w:rsidP="002D639B">
            <w:pPr>
              <w:keepNext/>
              <w:spacing w:before="60" w:after="60"/>
              <w:rPr>
                <w:rFonts w:cs="Segoe UI"/>
                <w:sz w:val="18"/>
              </w:rPr>
            </w:pPr>
            <w:r w:rsidRPr="00200234">
              <w:rPr>
                <w:rFonts w:cs="Segoe UI"/>
                <w:sz w:val="18"/>
              </w:rPr>
              <w:t>Hawke’s Bay</w:t>
            </w:r>
          </w:p>
        </w:tc>
        <w:tc>
          <w:tcPr>
            <w:tcW w:w="1079" w:type="pct"/>
            <w:gridSpan w:val="2"/>
            <w:tcBorders>
              <w:top w:val="single" w:sz="4" w:space="0" w:color="A6A6A6"/>
              <w:bottom w:val="single" w:sz="4" w:space="0" w:color="A6A6A6"/>
            </w:tcBorders>
          </w:tcPr>
          <w:p w14:paraId="7BABAFD5" w14:textId="77777777" w:rsidR="008361C5" w:rsidRPr="00200234" w:rsidRDefault="008361C5" w:rsidP="002D639B">
            <w:pPr>
              <w:keepNext/>
              <w:tabs>
                <w:tab w:val="decimal" w:pos="900"/>
              </w:tabs>
              <w:spacing w:before="60" w:after="60"/>
              <w:rPr>
                <w:rFonts w:cs="Segoe UI"/>
                <w:sz w:val="18"/>
              </w:rPr>
            </w:pPr>
            <w:r w:rsidRPr="00200234">
              <w:rPr>
                <w:rFonts w:cs="Segoe UI"/>
                <w:sz w:val="18"/>
              </w:rPr>
              <w:t>1</w:t>
            </w:r>
          </w:p>
        </w:tc>
        <w:tc>
          <w:tcPr>
            <w:tcW w:w="1079" w:type="pct"/>
            <w:gridSpan w:val="2"/>
            <w:tcBorders>
              <w:top w:val="single" w:sz="4" w:space="0" w:color="A6A6A6"/>
              <w:bottom w:val="single" w:sz="4" w:space="0" w:color="A6A6A6"/>
            </w:tcBorders>
          </w:tcPr>
          <w:p w14:paraId="0485809C" w14:textId="77777777" w:rsidR="008361C5" w:rsidRPr="00200234" w:rsidRDefault="008361C5" w:rsidP="002D639B">
            <w:pPr>
              <w:keepNext/>
              <w:tabs>
                <w:tab w:val="decimal" w:pos="1012"/>
              </w:tabs>
              <w:spacing w:before="60" w:after="60"/>
              <w:rPr>
                <w:rFonts w:cs="Segoe UI"/>
                <w:sz w:val="18"/>
              </w:rPr>
            </w:pPr>
            <w:r w:rsidRPr="00200234">
              <w:rPr>
                <w:rFonts w:cs="Segoe UI"/>
                <w:sz w:val="18"/>
              </w:rPr>
              <w:t>10</w:t>
            </w:r>
          </w:p>
        </w:tc>
        <w:tc>
          <w:tcPr>
            <w:tcW w:w="1569" w:type="pct"/>
            <w:tcBorders>
              <w:top w:val="single" w:sz="4" w:space="0" w:color="A6A6A6"/>
              <w:bottom w:val="single" w:sz="4" w:space="0" w:color="A6A6A6"/>
            </w:tcBorders>
            <w:vAlign w:val="center"/>
          </w:tcPr>
          <w:p w14:paraId="10A38876" w14:textId="77777777" w:rsidR="008361C5" w:rsidRPr="00200234" w:rsidRDefault="008361C5" w:rsidP="00912EAD">
            <w:pPr>
              <w:keepNext/>
              <w:tabs>
                <w:tab w:val="decimal" w:pos="1012"/>
              </w:tabs>
              <w:spacing w:before="60" w:after="60"/>
              <w:rPr>
                <w:rFonts w:cs="Segoe UI"/>
                <w:sz w:val="18"/>
              </w:rPr>
            </w:pPr>
            <w:r w:rsidRPr="00200234">
              <w:rPr>
                <w:rFonts w:cs="Segoe UI"/>
                <w:sz w:val="18"/>
              </w:rPr>
              <w:t>10 (10–10)</w:t>
            </w:r>
          </w:p>
        </w:tc>
      </w:tr>
      <w:tr w:rsidR="008361C5" w:rsidRPr="00200234" w14:paraId="76909810"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3E1565C4" w14:textId="77777777" w:rsidR="008361C5" w:rsidRPr="00200234" w:rsidRDefault="008361C5" w:rsidP="002D639B">
            <w:pPr>
              <w:keepNext/>
              <w:spacing w:before="60" w:after="60"/>
              <w:rPr>
                <w:rFonts w:cs="Segoe UI"/>
                <w:sz w:val="18"/>
              </w:rPr>
            </w:pPr>
            <w:r w:rsidRPr="00200234">
              <w:rPr>
                <w:rFonts w:cs="Segoe UI"/>
                <w:w w:val="105"/>
                <w:sz w:val="18"/>
              </w:rPr>
              <w:t>Hutt Valley</w:t>
            </w:r>
          </w:p>
        </w:tc>
        <w:tc>
          <w:tcPr>
            <w:tcW w:w="1079" w:type="pct"/>
            <w:gridSpan w:val="2"/>
            <w:tcBorders>
              <w:top w:val="single" w:sz="4" w:space="0" w:color="A6A6A6"/>
              <w:bottom w:val="single" w:sz="4" w:space="0" w:color="A6A6A6"/>
            </w:tcBorders>
          </w:tcPr>
          <w:p w14:paraId="55EDF0C9" w14:textId="77777777" w:rsidR="008361C5" w:rsidRPr="00200234" w:rsidRDefault="008361C5" w:rsidP="002D639B">
            <w:pPr>
              <w:keepNext/>
              <w:tabs>
                <w:tab w:val="decimal" w:pos="900"/>
              </w:tabs>
              <w:spacing w:before="60" w:after="60"/>
              <w:rPr>
                <w:rFonts w:cs="Segoe UI"/>
                <w:sz w:val="18"/>
              </w:rPr>
            </w:pPr>
            <w:r w:rsidRPr="00200234">
              <w:rPr>
                <w:rFonts w:cs="Segoe UI"/>
                <w:sz w:val="18"/>
              </w:rPr>
              <w:t>13</w:t>
            </w:r>
          </w:p>
        </w:tc>
        <w:tc>
          <w:tcPr>
            <w:tcW w:w="1079" w:type="pct"/>
            <w:gridSpan w:val="2"/>
            <w:tcBorders>
              <w:top w:val="single" w:sz="4" w:space="0" w:color="A6A6A6"/>
              <w:bottom w:val="single" w:sz="4" w:space="0" w:color="A6A6A6"/>
            </w:tcBorders>
          </w:tcPr>
          <w:p w14:paraId="243B2E08" w14:textId="77777777" w:rsidR="008361C5" w:rsidRPr="00200234" w:rsidRDefault="008361C5" w:rsidP="002D639B">
            <w:pPr>
              <w:keepNext/>
              <w:tabs>
                <w:tab w:val="decimal" w:pos="1012"/>
              </w:tabs>
              <w:spacing w:before="60" w:after="60"/>
              <w:rPr>
                <w:rFonts w:cs="Segoe UI"/>
                <w:sz w:val="18"/>
              </w:rPr>
            </w:pPr>
            <w:r w:rsidRPr="00200234">
              <w:rPr>
                <w:rFonts w:cs="Segoe UI"/>
                <w:sz w:val="18"/>
              </w:rPr>
              <w:t>79</w:t>
            </w:r>
          </w:p>
        </w:tc>
        <w:tc>
          <w:tcPr>
            <w:tcW w:w="1569" w:type="pct"/>
            <w:tcBorders>
              <w:top w:val="single" w:sz="4" w:space="0" w:color="A6A6A6"/>
              <w:bottom w:val="single" w:sz="4" w:space="0" w:color="A6A6A6"/>
            </w:tcBorders>
            <w:vAlign w:val="center"/>
          </w:tcPr>
          <w:p w14:paraId="0D61A8AC" w14:textId="77777777" w:rsidR="008361C5" w:rsidRPr="00200234" w:rsidRDefault="008361C5" w:rsidP="00912EAD">
            <w:pPr>
              <w:keepNext/>
              <w:tabs>
                <w:tab w:val="decimal" w:pos="1012"/>
              </w:tabs>
              <w:spacing w:before="60" w:after="60"/>
              <w:rPr>
                <w:rFonts w:cs="Segoe UI"/>
                <w:sz w:val="18"/>
              </w:rPr>
            </w:pPr>
            <w:r w:rsidRPr="00200234">
              <w:rPr>
                <w:rFonts w:cs="Segoe UI"/>
                <w:sz w:val="18"/>
              </w:rPr>
              <w:t>6 (2–12)</w:t>
            </w:r>
          </w:p>
        </w:tc>
      </w:tr>
      <w:tr w:rsidR="008361C5" w:rsidRPr="00200234" w14:paraId="7CEC576C"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242685E4" w14:textId="77777777" w:rsidR="008361C5" w:rsidRPr="00200234" w:rsidRDefault="008361C5" w:rsidP="002D639B">
            <w:pPr>
              <w:keepNext/>
              <w:spacing w:before="60" w:after="60"/>
              <w:rPr>
                <w:rFonts w:cs="Segoe UI"/>
                <w:sz w:val="18"/>
              </w:rPr>
            </w:pPr>
            <w:r w:rsidRPr="00200234">
              <w:rPr>
                <w:rFonts w:cs="Segoe UI"/>
                <w:sz w:val="18"/>
              </w:rPr>
              <w:t>Lakes</w:t>
            </w:r>
          </w:p>
        </w:tc>
        <w:tc>
          <w:tcPr>
            <w:tcW w:w="1079" w:type="pct"/>
            <w:gridSpan w:val="2"/>
            <w:tcBorders>
              <w:top w:val="single" w:sz="4" w:space="0" w:color="A6A6A6"/>
              <w:bottom w:val="single" w:sz="4" w:space="0" w:color="A6A6A6"/>
            </w:tcBorders>
          </w:tcPr>
          <w:p w14:paraId="74EB3AD7" w14:textId="77777777" w:rsidR="008361C5" w:rsidRPr="00200234" w:rsidRDefault="008361C5" w:rsidP="002D639B">
            <w:pPr>
              <w:keepNext/>
              <w:tabs>
                <w:tab w:val="decimal" w:pos="900"/>
              </w:tabs>
              <w:spacing w:before="60" w:after="60"/>
              <w:rPr>
                <w:rFonts w:cs="Segoe UI"/>
                <w:sz w:val="18"/>
              </w:rPr>
            </w:pPr>
            <w:r w:rsidRPr="00200234">
              <w:rPr>
                <w:rFonts w:cs="Segoe UI"/>
                <w:w w:val="102"/>
                <w:sz w:val="18"/>
              </w:rPr>
              <w:t>9</w:t>
            </w:r>
          </w:p>
        </w:tc>
        <w:tc>
          <w:tcPr>
            <w:tcW w:w="1079" w:type="pct"/>
            <w:gridSpan w:val="2"/>
            <w:tcBorders>
              <w:top w:val="single" w:sz="4" w:space="0" w:color="A6A6A6"/>
              <w:bottom w:val="single" w:sz="4" w:space="0" w:color="A6A6A6"/>
            </w:tcBorders>
          </w:tcPr>
          <w:p w14:paraId="7F3D4117" w14:textId="77777777" w:rsidR="008361C5" w:rsidRPr="00200234" w:rsidRDefault="008361C5" w:rsidP="002D639B">
            <w:pPr>
              <w:keepNext/>
              <w:tabs>
                <w:tab w:val="decimal" w:pos="1012"/>
              </w:tabs>
              <w:spacing w:before="60" w:after="60"/>
              <w:rPr>
                <w:rFonts w:cs="Segoe UI"/>
                <w:sz w:val="18"/>
              </w:rPr>
            </w:pPr>
            <w:r w:rsidRPr="00200234">
              <w:rPr>
                <w:rFonts w:cs="Segoe UI"/>
                <w:sz w:val="18"/>
              </w:rPr>
              <w:t>51</w:t>
            </w:r>
          </w:p>
        </w:tc>
        <w:tc>
          <w:tcPr>
            <w:tcW w:w="1569" w:type="pct"/>
            <w:tcBorders>
              <w:top w:val="single" w:sz="4" w:space="0" w:color="A6A6A6"/>
              <w:bottom w:val="single" w:sz="4" w:space="0" w:color="A6A6A6"/>
            </w:tcBorders>
            <w:vAlign w:val="center"/>
          </w:tcPr>
          <w:p w14:paraId="6BF6FA47" w14:textId="77777777" w:rsidR="008361C5" w:rsidRPr="00200234" w:rsidRDefault="008361C5" w:rsidP="00912EAD">
            <w:pPr>
              <w:keepNext/>
              <w:tabs>
                <w:tab w:val="decimal" w:pos="1012"/>
              </w:tabs>
              <w:spacing w:before="60" w:after="60"/>
              <w:rPr>
                <w:rFonts w:cs="Segoe UI"/>
                <w:sz w:val="18"/>
              </w:rPr>
            </w:pPr>
            <w:r w:rsidRPr="00200234">
              <w:rPr>
                <w:rFonts w:cs="Segoe UI"/>
                <w:sz w:val="18"/>
              </w:rPr>
              <w:t>6 (1–15)</w:t>
            </w:r>
          </w:p>
        </w:tc>
      </w:tr>
      <w:tr w:rsidR="008361C5" w:rsidRPr="00200234" w14:paraId="4430FBD3"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11E2BE27" w14:textId="77777777" w:rsidR="008361C5" w:rsidRPr="00200234" w:rsidRDefault="008361C5" w:rsidP="002D639B">
            <w:pPr>
              <w:keepNext/>
              <w:spacing w:before="60" w:after="60"/>
              <w:rPr>
                <w:rFonts w:cs="Segoe UI"/>
                <w:sz w:val="18"/>
              </w:rPr>
            </w:pPr>
            <w:proofErr w:type="spellStart"/>
            <w:r w:rsidRPr="00200234">
              <w:rPr>
                <w:rFonts w:cs="Segoe UI"/>
                <w:w w:val="105"/>
                <w:sz w:val="18"/>
              </w:rPr>
              <w:t>MidCentral</w:t>
            </w:r>
            <w:proofErr w:type="spellEnd"/>
          </w:p>
        </w:tc>
        <w:tc>
          <w:tcPr>
            <w:tcW w:w="1079" w:type="pct"/>
            <w:gridSpan w:val="2"/>
            <w:tcBorders>
              <w:top w:val="single" w:sz="4" w:space="0" w:color="A6A6A6"/>
              <w:bottom w:val="single" w:sz="4" w:space="0" w:color="A6A6A6"/>
            </w:tcBorders>
          </w:tcPr>
          <w:p w14:paraId="42A591A5" w14:textId="77777777" w:rsidR="008361C5" w:rsidRPr="00200234" w:rsidRDefault="008361C5" w:rsidP="002D639B">
            <w:pPr>
              <w:keepNext/>
              <w:tabs>
                <w:tab w:val="decimal" w:pos="900"/>
              </w:tabs>
              <w:spacing w:before="60" w:after="60"/>
              <w:rPr>
                <w:rFonts w:cs="Segoe UI"/>
                <w:sz w:val="18"/>
              </w:rPr>
            </w:pPr>
            <w:r w:rsidRPr="00200234">
              <w:rPr>
                <w:rFonts w:cs="Segoe UI"/>
                <w:w w:val="102"/>
                <w:sz w:val="18"/>
              </w:rPr>
              <w:t>11</w:t>
            </w:r>
          </w:p>
        </w:tc>
        <w:tc>
          <w:tcPr>
            <w:tcW w:w="1079" w:type="pct"/>
            <w:gridSpan w:val="2"/>
            <w:tcBorders>
              <w:top w:val="single" w:sz="4" w:space="0" w:color="A6A6A6"/>
              <w:bottom w:val="single" w:sz="4" w:space="0" w:color="A6A6A6"/>
            </w:tcBorders>
          </w:tcPr>
          <w:p w14:paraId="64D1389C" w14:textId="77777777" w:rsidR="008361C5" w:rsidRPr="00200234" w:rsidRDefault="008361C5" w:rsidP="002D639B">
            <w:pPr>
              <w:keepNext/>
              <w:tabs>
                <w:tab w:val="decimal" w:pos="1012"/>
              </w:tabs>
              <w:spacing w:before="60" w:after="60"/>
              <w:rPr>
                <w:rFonts w:cs="Segoe UI"/>
                <w:sz w:val="18"/>
              </w:rPr>
            </w:pPr>
            <w:r w:rsidRPr="00200234">
              <w:rPr>
                <w:rFonts w:cs="Segoe UI"/>
                <w:sz w:val="18"/>
              </w:rPr>
              <w:t>69</w:t>
            </w:r>
          </w:p>
        </w:tc>
        <w:tc>
          <w:tcPr>
            <w:tcW w:w="1569" w:type="pct"/>
            <w:tcBorders>
              <w:top w:val="single" w:sz="4" w:space="0" w:color="A6A6A6"/>
              <w:bottom w:val="single" w:sz="4" w:space="0" w:color="A6A6A6"/>
            </w:tcBorders>
            <w:vAlign w:val="center"/>
          </w:tcPr>
          <w:p w14:paraId="4975B86D" w14:textId="77777777" w:rsidR="008361C5" w:rsidRPr="00200234" w:rsidRDefault="008361C5" w:rsidP="00912EAD">
            <w:pPr>
              <w:keepNext/>
              <w:tabs>
                <w:tab w:val="decimal" w:pos="1012"/>
              </w:tabs>
              <w:spacing w:before="60" w:after="60"/>
              <w:rPr>
                <w:rFonts w:cs="Segoe UI"/>
                <w:sz w:val="18"/>
              </w:rPr>
            </w:pPr>
            <w:r w:rsidRPr="00200234">
              <w:rPr>
                <w:rFonts w:cs="Segoe UI"/>
                <w:sz w:val="18"/>
              </w:rPr>
              <w:t>6 (1–16)</w:t>
            </w:r>
          </w:p>
        </w:tc>
      </w:tr>
      <w:tr w:rsidR="008361C5" w:rsidRPr="00200234" w14:paraId="286B9532" w14:textId="77777777" w:rsidTr="002D639B">
        <w:tblPrEx>
          <w:tblBorders>
            <w:top w:val="none" w:sz="0" w:space="0" w:color="auto"/>
            <w:bottom w:val="none" w:sz="0" w:space="0" w:color="auto"/>
            <w:insideH w:val="none" w:sz="0" w:space="0" w:color="auto"/>
          </w:tblBorders>
        </w:tblPrEx>
        <w:trPr>
          <w:gridAfter w:val="1"/>
          <w:wAfter w:w="31" w:type="pct"/>
          <w:cantSplit/>
        </w:trPr>
        <w:tc>
          <w:tcPr>
            <w:tcW w:w="1242" w:type="pct"/>
            <w:tcBorders>
              <w:top w:val="single" w:sz="4" w:space="0" w:color="A6A6A6"/>
              <w:bottom w:val="single" w:sz="4" w:space="0" w:color="A6A6A6"/>
            </w:tcBorders>
          </w:tcPr>
          <w:p w14:paraId="26399968" w14:textId="77777777" w:rsidR="008361C5" w:rsidRPr="00200234" w:rsidRDefault="008361C5" w:rsidP="002D639B">
            <w:pPr>
              <w:keepNext/>
              <w:spacing w:before="60" w:after="60"/>
              <w:rPr>
                <w:rFonts w:cs="Segoe UI"/>
                <w:sz w:val="18"/>
              </w:rPr>
            </w:pPr>
            <w:r w:rsidRPr="00200234">
              <w:rPr>
                <w:rFonts w:cs="Segoe UI"/>
                <w:w w:val="110"/>
                <w:sz w:val="18"/>
              </w:rPr>
              <w:t>Nelson Marlborough</w:t>
            </w:r>
          </w:p>
        </w:tc>
        <w:tc>
          <w:tcPr>
            <w:tcW w:w="1079" w:type="pct"/>
            <w:gridSpan w:val="2"/>
            <w:tcBorders>
              <w:top w:val="single" w:sz="4" w:space="0" w:color="A6A6A6"/>
              <w:bottom w:val="single" w:sz="4" w:space="0" w:color="A6A6A6"/>
            </w:tcBorders>
          </w:tcPr>
          <w:p w14:paraId="0ABEF6C3" w14:textId="77777777" w:rsidR="008361C5" w:rsidRPr="00200234" w:rsidRDefault="008361C5" w:rsidP="002D639B">
            <w:pPr>
              <w:keepNext/>
              <w:tabs>
                <w:tab w:val="decimal" w:pos="900"/>
              </w:tabs>
              <w:spacing w:before="60" w:after="60"/>
              <w:rPr>
                <w:rFonts w:cs="Segoe UI"/>
                <w:sz w:val="18"/>
              </w:rPr>
            </w:pPr>
            <w:r w:rsidRPr="00200234">
              <w:rPr>
                <w:rFonts w:cs="Segoe UI"/>
                <w:w w:val="102"/>
                <w:sz w:val="18"/>
              </w:rPr>
              <w:t>0</w:t>
            </w:r>
          </w:p>
        </w:tc>
        <w:tc>
          <w:tcPr>
            <w:tcW w:w="1079" w:type="pct"/>
            <w:gridSpan w:val="2"/>
            <w:tcBorders>
              <w:top w:val="single" w:sz="4" w:space="0" w:color="A6A6A6"/>
              <w:bottom w:val="single" w:sz="4" w:space="0" w:color="A6A6A6"/>
            </w:tcBorders>
          </w:tcPr>
          <w:p w14:paraId="5B0D515C" w14:textId="77777777" w:rsidR="008361C5" w:rsidRPr="00200234" w:rsidRDefault="008361C5" w:rsidP="002D639B">
            <w:pPr>
              <w:keepNext/>
              <w:tabs>
                <w:tab w:val="decimal" w:pos="983"/>
              </w:tabs>
              <w:spacing w:before="60" w:after="60"/>
              <w:rPr>
                <w:rFonts w:cs="Segoe UI"/>
                <w:sz w:val="18"/>
              </w:rPr>
            </w:pPr>
            <w:r w:rsidRPr="00200234">
              <w:rPr>
                <w:rFonts w:cs="Segoe UI"/>
                <w:sz w:val="18"/>
              </w:rPr>
              <w:t>0</w:t>
            </w:r>
          </w:p>
        </w:tc>
        <w:tc>
          <w:tcPr>
            <w:tcW w:w="1569" w:type="pct"/>
            <w:tcBorders>
              <w:top w:val="single" w:sz="4" w:space="0" w:color="A6A6A6"/>
              <w:bottom w:val="single" w:sz="4" w:space="0" w:color="A6A6A6"/>
            </w:tcBorders>
            <w:vAlign w:val="center"/>
          </w:tcPr>
          <w:p w14:paraId="28F70AF1" w14:textId="77777777" w:rsidR="008361C5" w:rsidRPr="00200234" w:rsidRDefault="008361C5" w:rsidP="00912EAD">
            <w:pPr>
              <w:keepNext/>
              <w:tabs>
                <w:tab w:val="decimal" w:pos="1012"/>
              </w:tabs>
              <w:spacing w:before="60" w:after="60"/>
              <w:rPr>
                <w:rFonts w:cs="Segoe UI"/>
                <w:sz w:val="18"/>
              </w:rPr>
            </w:pPr>
            <w:r w:rsidRPr="00200234">
              <w:rPr>
                <w:rFonts w:cs="Segoe UI"/>
                <w:sz w:val="18"/>
              </w:rPr>
              <w:t>0</w:t>
            </w:r>
          </w:p>
        </w:tc>
      </w:tr>
      <w:tr w:rsidR="008361C5" w:rsidRPr="00200234" w14:paraId="1D37C3D3" w14:textId="77777777" w:rsidTr="002D639B">
        <w:trPr>
          <w:cantSplit/>
        </w:trPr>
        <w:tc>
          <w:tcPr>
            <w:tcW w:w="1250" w:type="pct"/>
            <w:gridSpan w:val="2"/>
            <w:tcBorders>
              <w:top w:val="single" w:sz="4" w:space="0" w:color="A6A6A6"/>
            </w:tcBorders>
          </w:tcPr>
          <w:p w14:paraId="42476A3E" w14:textId="77777777" w:rsidR="008361C5" w:rsidRPr="00200234" w:rsidRDefault="008361C5" w:rsidP="002D639B">
            <w:pPr>
              <w:keepNext/>
              <w:spacing w:before="60" w:after="60"/>
              <w:rPr>
                <w:rFonts w:cs="Segoe UI"/>
                <w:sz w:val="18"/>
              </w:rPr>
            </w:pPr>
            <w:r w:rsidRPr="00200234">
              <w:rPr>
                <w:rFonts w:cs="Segoe UI"/>
                <w:w w:val="110"/>
                <w:sz w:val="18"/>
              </w:rPr>
              <w:t>Northland</w:t>
            </w:r>
          </w:p>
        </w:tc>
        <w:tc>
          <w:tcPr>
            <w:tcW w:w="1075" w:type="pct"/>
            <w:gridSpan w:val="2"/>
            <w:tcBorders>
              <w:top w:val="single" w:sz="4" w:space="0" w:color="A6A6A6"/>
            </w:tcBorders>
          </w:tcPr>
          <w:p w14:paraId="48C3A683" w14:textId="77777777" w:rsidR="008361C5" w:rsidRPr="00200234" w:rsidRDefault="008361C5" w:rsidP="002D639B">
            <w:pPr>
              <w:keepNext/>
              <w:tabs>
                <w:tab w:val="decimal" w:pos="882"/>
              </w:tabs>
              <w:spacing w:before="60" w:after="60"/>
              <w:rPr>
                <w:rFonts w:cs="Segoe UI"/>
                <w:sz w:val="18"/>
              </w:rPr>
            </w:pPr>
            <w:r w:rsidRPr="00200234">
              <w:rPr>
                <w:rFonts w:cs="Segoe UI"/>
                <w:sz w:val="18"/>
              </w:rPr>
              <w:t>10</w:t>
            </w:r>
          </w:p>
        </w:tc>
        <w:tc>
          <w:tcPr>
            <w:tcW w:w="1076" w:type="pct"/>
            <w:tcBorders>
              <w:top w:val="single" w:sz="4" w:space="0" w:color="A6A6A6"/>
            </w:tcBorders>
          </w:tcPr>
          <w:p w14:paraId="14D7CF34" w14:textId="77777777" w:rsidR="008361C5" w:rsidRPr="00200234" w:rsidRDefault="008361C5" w:rsidP="002D639B">
            <w:pPr>
              <w:keepNext/>
              <w:tabs>
                <w:tab w:val="decimal" w:pos="983"/>
              </w:tabs>
              <w:spacing w:before="60" w:after="60"/>
              <w:rPr>
                <w:rFonts w:cs="Segoe UI"/>
                <w:sz w:val="18"/>
              </w:rPr>
            </w:pPr>
            <w:r w:rsidRPr="00200234">
              <w:rPr>
                <w:rFonts w:cs="Segoe UI"/>
                <w:sz w:val="18"/>
              </w:rPr>
              <w:t>131</w:t>
            </w:r>
          </w:p>
        </w:tc>
        <w:tc>
          <w:tcPr>
            <w:tcW w:w="1600" w:type="pct"/>
            <w:gridSpan w:val="2"/>
            <w:tcBorders>
              <w:top w:val="single" w:sz="4" w:space="0" w:color="A6A6A6"/>
            </w:tcBorders>
            <w:vAlign w:val="center"/>
          </w:tcPr>
          <w:p w14:paraId="3634A8AD" w14:textId="77777777" w:rsidR="008361C5" w:rsidRPr="00200234" w:rsidRDefault="008361C5" w:rsidP="00912EAD">
            <w:pPr>
              <w:keepNext/>
              <w:tabs>
                <w:tab w:val="decimal" w:pos="1012"/>
              </w:tabs>
              <w:spacing w:before="60" w:after="60"/>
              <w:rPr>
                <w:rFonts w:cs="Segoe UI"/>
                <w:sz w:val="18"/>
              </w:rPr>
            </w:pPr>
            <w:r w:rsidRPr="00200234">
              <w:rPr>
                <w:rFonts w:cs="Segoe UI"/>
                <w:sz w:val="18"/>
              </w:rPr>
              <w:t>13 (3–25)</w:t>
            </w:r>
          </w:p>
        </w:tc>
      </w:tr>
      <w:tr w:rsidR="008361C5" w:rsidRPr="00200234" w14:paraId="0F83A883" w14:textId="77777777" w:rsidTr="002D639B">
        <w:trPr>
          <w:cantSplit/>
        </w:trPr>
        <w:tc>
          <w:tcPr>
            <w:tcW w:w="1250" w:type="pct"/>
            <w:gridSpan w:val="2"/>
          </w:tcPr>
          <w:p w14:paraId="7F603A5C" w14:textId="77777777" w:rsidR="008361C5" w:rsidRPr="00200234" w:rsidRDefault="008361C5" w:rsidP="002D639B">
            <w:pPr>
              <w:keepNext/>
              <w:spacing w:before="60" w:after="60"/>
              <w:rPr>
                <w:rFonts w:cs="Segoe UI"/>
                <w:sz w:val="18"/>
              </w:rPr>
            </w:pPr>
            <w:r w:rsidRPr="00200234">
              <w:rPr>
                <w:rFonts w:cs="Segoe UI"/>
                <w:w w:val="105"/>
                <w:sz w:val="18"/>
              </w:rPr>
              <w:t>South Canterbury</w:t>
            </w:r>
          </w:p>
        </w:tc>
        <w:tc>
          <w:tcPr>
            <w:tcW w:w="1075" w:type="pct"/>
            <w:gridSpan w:val="2"/>
          </w:tcPr>
          <w:p w14:paraId="29ABCAEB" w14:textId="77777777" w:rsidR="008361C5" w:rsidRPr="00200234" w:rsidRDefault="008361C5" w:rsidP="002D639B">
            <w:pPr>
              <w:keepNext/>
              <w:tabs>
                <w:tab w:val="decimal" w:pos="882"/>
              </w:tabs>
              <w:spacing w:before="60" w:after="60"/>
              <w:rPr>
                <w:rFonts w:cs="Segoe UI"/>
                <w:sz w:val="18"/>
              </w:rPr>
            </w:pPr>
            <w:r w:rsidRPr="00200234">
              <w:rPr>
                <w:rFonts w:cs="Segoe UI"/>
                <w:sz w:val="18"/>
              </w:rPr>
              <w:t>0</w:t>
            </w:r>
          </w:p>
        </w:tc>
        <w:tc>
          <w:tcPr>
            <w:tcW w:w="1076" w:type="pct"/>
          </w:tcPr>
          <w:p w14:paraId="3E9457A3" w14:textId="77777777" w:rsidR="008361C5" w:rsidRPr="00200234" w:rsidRDefault="008361C5" w:rsidP="002D639B">
            <w:pPr>
              <w:keepNext/>
              <w:tabs>
                <w:tab w:val="decimal" w:pos="983"/>
              </w:tabs>
              <w:spacing w:before="60" w:after="60"/>
              <w:rPr>
                <w:rFonts w:cs="Segoe UI"/>
                <w:sz w:val="18"/>
              </w:rPr>
            </w:pPr>
            <w:r w:rsidRPr="00200234">
              <w:rPr>
                <w:rFonts w:cs="Segoe UI"/>
                <w:sz w:val="18"/>
              </w:rPr>
              <w:t>0</w:t>
            </w:r>
          </w:p>
        </w:tc>
        <w:tc>
          <w:tcPr>
            <w:tcW w:w="1600" w:type="pct"/>
            <w:gridSpan w:val="2"/>
            <w:vAlign w:val="center"/>
          </w:tcPr>
          <w:p w14:paraId="5BF2DFE1" w14:textId="77777777" w:rsidR="008361C5" w:rsidRPr="00200234" w:rsidRDefault="008361C5" w:rsidP="00912EAD">
            <w:pPr>
              <w:keepNext/>
              <w:tabs>
                <w:tab w:val="decimal" w:pos="1012"/>
              </w:tabs>
              <w:spacing w:before="60" w:after="60"/>
              <w:rPr>
                <w:rFonts w:cs="Segoe UI"/>
                <w:sz w:val="18"/>
              </w:rPr>
            </w:pPr>
            <w:r w:rsidRPr="00200234">
              <w:rPr>
                <w:rFonts w:cs="Segoe UI"/>
                <w:sz w:val="18"/>
              </w:rPr>
              <w:t>0</w:t>
            </w:r>
          </w:p>
        </w:tc>
      </w:tr>
      <w:tr w:rsidR="008361C5" w:rsidRPr="00200234" w14:paraId="262876E0" w14:textId="77777777" w:rsidTr="002D639B">
        <w:trPr>
          <w:cantSplit/>
        </w:trPr>
        <w:tc>
          <w:tcPr>
            <w:tcW w:w="1250" w:type="pct"/>
            <w:gridSpan w:val="2"/>
            <w:tcBorders>
              <w:bottom w:val="single" w:sz="4" w:space="0" w:color="A6A6A6"/>
            </w:tcBorders>
          </w:tcPr>
          <w:p w14:paraId="48E46109" w14:textId="77777777" w:rsidR="008361C5" w:rsidRPr="00200234" w:rsidRDefault="008361C5" w:rsidP="002D639B">
            <w:pPr>
              <w:keepNext/>
              <w:spacing w:before="60" w:after="60"/>
              <w:rPr>
                <w:rFonts w:cs="Segoe UI"/>
                <w:sz w:val="18"/>
              </w:rPr>
            </w:pPr>
            <w:r w:rsidRPr="00200234">
              <w:rPr>
                <w:rFonts w:cs="Segoe UI"/>
                <w:w w:val="105"/>
                <w:sz w:val="18"/>
              </w:rPr>
              <w:t>Southern</w:t>
            </w:r>
          </w:p>
        </w:tc>
        <w:tc>
          <w:tcPr>
            <w:tcW w:w="1075" w:type="pct"/>
            <w:gridSpan w:val="2"/>
            <w:tcBorders>
              <w:bottom w:val="single" w:sz="4" w:space="0" w:color="A6A6A6"/>
            </w:tcBorders>
          </w:tcPr>
          <w:p w14:paraId="7C6B7FFD" w14:textId="77777777" w:rsidR="008361C5" w:rsidRPr="00200234" w:rsidRDefault="008361C5" w:rsidP="002D639B">
            <w:pPr>
              <w:keepNext/>
              <w:tabs>
                <w:tab w:val="decimal" w:pos="882"/>
              </w:tabs>
              <w:spacing w:before="60" w:after="60"/>
              <w:rPr>
                <w:rFonts w:cs="Segoe UI"/>
                <w:sz w:val="18"/>
              </w:rPr>
            </w:pPr>
            <w:r w:rsidRPr="00200234">
              <w:rPr>
                <w:rFonts w:cs="Segoe UI"/>
                <w:sz w:val="18"/>
              </w:rPr>
              <w:t>32</w:t>
            </w:r>
          </w:p>
        </w:tc>
        <w:tc>
          <w:tcPr>
            <w:tcW w:w="1076" w:type="pct"/>
            <w:tcBorders>
              <w:bottom w:val="single" w:sz="4" w:space="0" w:color="A6A6A6"/>
            </w:tcBorders>
          </w:tcPr>
          <w:p w14:paraId="431A186D" w14:textId="77777777" w:rsidR="008361C5" w:rsidRPr="00200234" w:rsidRDefault="008361C5" w:rsidP="002D639B">
            <w:pPr>
              <w:keepNext/>
              <w:tabs>
                <w:tab w:val="decimal" w:pos="983"/>
              </w:tabs>
              <w:spacing w:before="60" w:after="60"/>
              <w:rPr>
                <w:rFonts w:cs="Segoe UI"/>
                <w:sz w:val="18"/>
              </w:rPr>
            </w:pPr>
            <w:r w:rsidRPr="00200234">
              <w:rPr>
                <w:rFonts w:cs="Segoe UI"/>
                <w:sz w:val="18"/>
              </w:rPr>
              <w:t>454</w:t>
            </w:r>
          </w:p>
        </w:tc>
        <w:tc>
          <w:tcPr>
            <w:tcW w:w="1600" w:type="pct"/>
            <w:gridSpan w:val="2"/>
            <w:tcBorders>
              <w:bottom w:val="single" w:sz="4" w:space="0" w:color="A6A6A6"/>
            </w:tcBorders>
            <w:vAlign w:val="center"/>
          </w:tcPr>
          <w:p w14:paraId="5B27EFD4" w14:textId="77777777" w:rsidR="008361C5" w:rsidRPr="00200234" w:rsidRDefault="008361C5" w:rsidP="00912EAD">
            <w:pPr>
              <w:keepNext/>
              <w:tabs>
                <w:tab w:val="decimal" w:pos="1012"/>
              </w:tabs>
              <w:spacing w:before="60" w:after="60"/>
              <w:rPr>
                <w:rFonts w:cs="Segoe UI"/>
                <w:sz w:val="18"/>
              </w:rPr>
            </w:pPr>
            <w:r w:rsidRPr="00200234">
              <w:rPr>
                <w:rFonts w:cs="Segoe UI"/>
                <w:sz w:val="18"/>
              </w:rPr>
              <w:t>14 (1–60)</w:t>
            </w:r>
          </w:p>
        </w:tc>
      </w:tr>
      <w:tr w:rsidR="008361C5" w:rsidRPr="00200234" w14:paraId="5507B37B" w14:textId="77777777" w:rsidTr="002D639B">
        <w:trPr>
          <w:cantSplit/>
        </w:trPr>
        <w:tc>
          <w:tcPr>
            <w:tcW w:w="1250" w:type="pct"/>
            <w:gridSpan w:val="2"/>
            <w:tcBorders>
              <w:top w:val="single" w:sz="4" w:space="0" w:color="A6A6A6"/>
            </w:tcBorders>
          </w:tcPr>
          <w:p w14:paraId="79654790" w14:textId="77777777" w:rsidR="008361C5" w:rsidRPr="00200234" w:rsidRDefault="008361C5" w:rsidP="002D639B">
            <w:pPr>
              <w:keepNext/>
              <w:spacing w:before="60" w:after="60"/>
              <w:rPr>
                <w:rFonts w:cs="Segoe UI"/>
                <w:sz w:val="18"/>
              </w:rPr>
            </w:pPr>
            <w:proofErr w:type="spellStart"/>
            <w:r w:rsidRPr="00200234">
              <w:rPr>
                <w:rFonts w:cs="Segoe UI"/>
                <w:w w:val="110"/>
                <w:sz w:val="18"/>
              </w:rPr>
              <w:t>Tairāwhiti</w:t>
            </w:r>
            <w:proofErr w:type="spellEnd"/>
          </w:p>
        </w:tc>
        <w:tc>
          <w:tcPr>
            <w:tcW w:w="1075" w:type="pct"/>
            <w:gridSpan w:val="2"/>
            <w:tcBorders>
              <w:top w:val="single" w:sz="4" w:space="0" w:color="A6A6A6"/>
            </w:tcBorders>
          </w:tcPr>
          <w:p w14:paraId="3D77577F" w14:textId="77777777" w:rsidR="008361C5" w:rsidRPr="00200234" w:rsidRDefault="008361C5" w:rsidP="002D639B">
            <w:pPr>
              <w:keepNext/>
              <w:tabs>
                <w:tab w:val="decimal" w:pos="882"/>
              </w:tabs>
              <w:spacing w:before="60" w:after="60"/>
              <w:rPr>
                <w:rFonts w:cs="Segoe UI"/>
                <w:sz w:val="18"/>
              </w:rPr>
            </w:pPr>
            <w:r w:rsidRPr="00200234">
              <w:rPr>
                <w:rFonts w:cs="Segoe UI"/>
                <w:w w:val="102"/>
                <w:sz w:val="18"/>
              </w:rPr>
              <w:t>4</w:t>
            </w:r>
          </w:p>
        </w:tc>
        <w:tc>
          <w:tcPr>
            <w:tcW w:w="1076" w:type="pct"/>
            <w:tcBorders>
              <w:top w:val="single" w:sz="4" w:space="0" w:color="A6A6A6"/>
            </w:tcBorders>
          </w:tcPr>
          <w:p w14:paraId="26648A77" w14:textId="77777777" w:rsidR="008361C5" w:rsidRPr="00200234" w:rsidRDefault="008361C5" w:rsidP="002D639B">
            <w:pPr>
              <w:keepNext/>
              <w:tabs>
                <w:tab w:val="decimal" w:pos="983"/>
              </w:tabs>
              <w:spacing w:before="60" w:after="60"/>
              <w:rPr>
                <w:rFonts w:cs="Segoe UI"/>
                <w:sz w:val="18"/>
              </w:rPr>
            </w:pPr>
            <w:r w:rsidRPr="00200234">
              <w:rPr>
                <w:rFonts w:cs="Segoe UI"/>
                <w:w w:val="102"/>
                <w:sz w:val="18"/>
              </w:rPr>
              <w:t>28</w:t>
            </w:r>
          </w:p>
        </w:tc>
        <w:tc>
          <w:tcPr>
            <w:tcW w:w="1600" w:type="pct"/>
            <w:gridSpan w:val="2"/>
            <w:tcBorders>
              <w:top w:val="single" w:sz="4" w:space="0" w:color="A6A6A6"/>
            </w:tcBorders>
            <w:vAlign w:val="center"/>
          </w:tcPr>
          <w:p w14:paraId="7A20BD36" w14:textId="77777777" w:rsidR="008361C5" w:rsidRPr="00200234" w:rsidRDefault="008361C5" w:rsidP="00912EAD">
            <w:pPr>
              <w:keepNext/>
              <w:tabs>
                <w:tab w:val="decimal" w:pos="1012"/>
              </w:tabs>
              <w:spacing w:before="60" w:after="60"/>
              <w:rPr>
                <w:rFonts w:cs="Segoe UI"/>
                <w:sz w:val="18"/>
              </w:rPr>
            </w:pPr>
            <w:r w:rsidRPr="00200234">
              <w:rPr>
                <w:rFonts w:cs="Segoe UI"/>
                <w:sz w:val="18"/>
              </w:rPr>
              <w:t>7 (4–12)</w:t>
            </w:r>
          </w:p>
        </w:tc>
      </w:tr>
      <w:tr w:rsidR="008361C5" w:rsidRPr="00200234" w14:paraId="57660197" w14:textId="77777777" w:rsidTr="002D639B">
        <w:trPr>
          <w:cantSplit/>
        </w:trPr>
        <w:tc>
          <w:tcPr>
            <w:tcW w:w="1250" w:type="pct"/>
            <w:gridSpan w:val="2"/>
            <w:tcBorders>
              <w:top w:val="single" w:sz="4" w:space="0" w:color="A6A6A6"/>
            </w:tcBorders>
          </w:tcPr>
          <w:p w14:paraId="237D610F" w14:textId="77777777" w:rsidR="008361C5" w:rsidRPr="00200234" w:rsidRDefault="008361C5" w:rsidP="002D639B">
            <w:pPr>
              <w:keepNext/>
              <w:spacing w:before="60" w:after="60"/>
              <w:rPr>
                <w:rFonts w:cs="Segoe UI"/>
                <w:w w:val="110"/>
                <w:sz w:val="18"/>
              </w:rPr>
            </w:pPr>
            <w:r w:rsidRPr="00200234">
              <w:rPr>
                <w:rFonts w:cs="Segoe UI"/>
                <w:w w:val="105"/>
                <w:sz w:val="18"/>
              </w:rPr>
              <w:t>Taranaki</w:t>
            </w:r>
          </w:p>
        </w:tc>
        <w:tc>
          <w:tcPr>
            <w:tcW w:w="1075" w:type="pct"/>
            <w:gridSpan w:val="2"/>
            <w:tcBorders>
              <w:top w:val="single" w:sz="4" w:space="0" w:color="A6A6A6"/>
            </w:tcBorders>
          </w:tcPr>
          <w:p w14:paraId="1C013B17" w14:textId="77777777" w:rsidR="008361C5" w:rsidRPr="00200234" w:rsidRDefault="008361C5" w:rsidP="002D639B">
            <w:pPr>
              <w:keepNext/>
              <w:tabs>
                <w:tab w:val="decimal" w:pos="882"/>
              </w:tabs>
              <w:spacing w:before="60" w:after="60"/>
              <w:rPr>
                <w:rFonts w:cs="Segoe UI"/>
                <w:w w:val="102"/>
                <w:sz w:val="18"/>
              </w:rPr>
            </w:pPr>
            <w:r w:rsidRPr="00200234">
              <w:rPr>
                <w:rFonts w:cs="Segoe UI"/>
                <w:w w:val="102"/>
                <w:sz w:val="18"/>
              </w:rPr>
              <w:t>2</w:t>
            </w:r>
          </w:p>
        </w:tc>
        <w:tc>
          <w:tcPr>
            <w:tcW w:w="1076" w:type="pct"/>
            <w:tcBorders>
              <w:top w:val="single" w:sz="4" w:space="0" w:color="A6A6A6"/>
            </w:tcBorders>
          </w:tcPr>
          <w:p w14:paraId="7644B57F" w14:textId="77777777" w:rsidR="008361C5" w:rsidRPr="00200234" w:rsidRDefault="008361C5" w:rsidP="002D639B">
            <w:pPr>
              <w:keepNext/>
              <w:tabs>
                <w:tab w:val="decimal" w:pos="983"/>
              </w:tabs>
              <w:spacing w:before="60" w:after="60"/>
              <w:rPr>
                <w:rFonts w:cs="Segoe UI"/>
                <w:w w:val="102"/>
                <w:sz w:val="18"/>
              </w:rPr>
            </w:pPr>
            <w:r w:rsidRPr="00200234">
              <w:rPr>
                <w:rFonts w:cs="Segoe UI"/>
                <w:w w:val="102"/>
                <w:sz w:val="18"/>
              </w:rPr>
              <w:t>10</w:t>
            </w:r>
          </w:p>
        </w:tc>
        <w:tc>
          <w:tcPr>
            <w:tcW w:w="1600" w:type="pct"/>
            <w:gridSpan w:val="2"/>
            <w:tcBorders>
              <w:top w:val="single" w:sz="4" w:space="0" w:color="A6A6A6"/>
            </w:tcBorders>
            <w:vAlign w:val="center"/>
          </w:tcPr>
          <w:p w14:paraId="44F3C8AA" w14:textId="77777777" w:rsidR="008361C5" w:rsidRPr="00200234" w:rsidRDefault="008361C5" w:rsidP="00912EAD">
            <w:pPr>
              <w:keepNext/>
              <w:tabs>
                <w:tab w:val="decimal" w:pos="1012"/>
              </w:tabs>
              <w:spacing w:before="60" w:after="60"/>
              <w:rPr>
                <w:rFonts w:cs="Segoe UI"/>
                <w:sz w:val="18"/>
              </w:rPr>
            </w:pPr>
            <w:r w:rsidRPr="00200234">
              <w:rPr>
                <w:rFonts w:cs="Segoe UI"/>
                <w:sz w:val="18"/>
              </w:rPr>
              <w:t>5 (5–5)</w:t>
            </w:r>
          </w:p>
        </w:tc>
      </w:tr>
      <w:tr w:rsidR="008361C5" w:rsidRPr="00200234" w14:paraId="14C3900F" w14:textId="77777777" w:rsidTr="002D639B">
        <w:trPr>
          <w:cantSplit/>
        </w:trPr>
        <w:tc>
          <w:tcPr>
            <w:tcW w:w="1250" w:type="pct"/>
            <w:gridSpan w:val="2"/>
            <w:tcBorders>
              <w:top w:val="single" w:sz="4" w:space="0" w:color="A6A6A6"/>
            </w:tcBorders>
          </w:tcPr>
          <w:p w14:paraId="7F57E3E7" w14:textId="77777777" w:rsidR="008361C5" w:rsidRPr="00200234" w:rsidRDefault="008361C5" w:rsidP="002D639B">
            <w:pPr>
              <w:keepNext/>
              <w:spacing w:before="60" w:after="60"/>
              <w:rPr>
                <w:rFonts w:cs="Segoe UI"/>
                <w:w w:val="105"/>
                <w:sz w:val="18"/>
              </w:rPr>
            </w:pPr>
            <w:r w:rsidRPr="00200234">
              <w:rPr>
                <w:rFonts w:cs="Segoe UI"/>
                <w:w w:val="105"/>
                <w:sz w:val="18"/>
              </w:rPr>
              <w:t>Waikato</w:t>
            </w:r>
          </w:p>
        </w:tc>
        <w:tc>
          <w:tcPr>
            <w:tcW w:w="1075" w:type="pct"/>
            <w:gridSpan w:val="2"/>
            <w:tcBorders>
              <w:top w:val="single" w:sz="4" w:space="0" w:color="A6A6A6"/>
            </w:tcBorders>
          </w:tcPr>
          <w:p w14:paraId="69CF2441" w14:textId="77777777" w:rsidR="008361C5" w:rsidRPr="00200234" w:rsidRDefault="008361C5" w:rsidP="002D639B">
            <w:pPr>
              <w:keepNext/>
              <w:tabs>
                <w:tab w:val="decimal" w:pos="882"/>
              </w:tabs>
              <w:spacing w:before="60" w:after="60"/>
              <w:rPr>
                <w:rFonts w:cs="Segoe UI"/>
                <w:w w:val="102"/>
                <w:sz w:val="18"/>
              </w:rPr>
            </w:pPr>
            <w:r w:rsidRPr="00200234">
              <w:rPr>
                <w:rFonts w:cs="Segoe UI"/>
                <w:sz w:val="18"/>
              </w:rPr>
              <w:t>37</w:t>
            </w:r>
          </w:p>
        </w:tc>
        <w:tc>
          <w:tcPr>
            <w:tcW w:w="1076" w:type="pct"/>
            <w:tcBorders>
              <w:top w:val="single" w:sz="4" w:space="0" w:color="A6A6A6"/>
            </w:tcBorders>
          </w:tcPr>
          <w:p w14:paraId="4AAEBDE2" w14:textId="77777777" w:rsidR="008361C5" w:rsidRPr="00200234" w:rsidRDefault="008361C5" w:rsidP="002D639B">
            <w:pPr>
              <w:keepNext/>
              <w:tabs>
                <w:tab w:val="decimal" w:pos="983"/>
              </w:tabs>
              <w:spacing w:before="60" w:after="60"/>
              <w:rPr>
                <w:rFonts w:cs="Segoe UI"/>
                <w:w w:val="102"/>
                <w:sz w:val="18"/>
              </w:rPr>
            </w:pPr>
            <w:r w:rsidRPr="00200234">
              <w:rPr>
                <w:rFonts w:cs="Segoe UI"/>
                <w:sz w:val="18"/>
              </w:rPr>
              <w:t>470</w:t>
            </w:r>
          </w:p>
        </w:tc>
        <w:tc>
          <w:tcPr>
            <w:tcW w:w="1600" w:type="pct"/>
            <w:gridSpan w:val="2"/>
            <w:tcBorders>
              <w:top w:val="single" w:sz="4" w:space="0" w:color="A6A6A6"/>
            </w:tcBorders>
            <w:vAlign w:val="center"/>
          </w:tcPr>
          <w:p w14:paraId="2CB77300" w14:textId="77777777" w:rsidR="008361C5" w:rsidRPr="00200234" w:rsidRDefault="008361C5" w:rsidP="00912EAD">
            <w:pPr>
              <w:keepNext/>
              <w:tabs>
                <w:tab w:val="decimal" w:pos="1012"/>
              </w:tabs>
              <w:spacing w:before="60" w:after="60"/>
              <w:rPr>
                <w:rFonts w:cs="Segoe UI"/>
                <w:sz w:val="18"/>
              </w:rPr>
            </w:pPr>
            <w:r w:rsidRPr="00200234">
              <w:rPr>
                <w:rFonts w:cs="Segoe UI"/>
                <w:sz w:val="18"/>
              </w:rPr>
              <w:t>13 (1–36)</w:t>
            </w:r>
          </w:p>
        </w:tc>
      </w:tr>
      <w:tr w:rsidR="008361C5" w:rsidRPr="00200234" w14:paraId="503D3501" w14:textId="77777777" w:rsidTr="002D639B">
        <w:trPr>
          <w:cantSplit/>
        </w:trPr>
        <w:tc>
          <w:tcPr>
            <w:tcW w:w="1250" w:type="pct"/>
            <w:gridSpan w:val="2"/>
            <w:tcBorders>
              <w:top w:val="single" w:sz="4" w:space="0" w:color="A6A6A6"/>
            </w:tcBorders>
          </w:tcPr>
          <w:p w14:paraId="2D7A46BF" w14:textId="77777777" w:rsidR="008361C5" w:rsidRPr="00200234" w:rsidRDefault="008361C5" w:rsidP="002D639B">
            <w:pPr>
              <w:keepNext/>
              <w:spacing w:before="60" w:after="60"/>
              <w:rPr>
                <w:rFonts w:cs="Segoe UI"/>
                <w:w w:val="105"/>
                <w:sz w:val="18"/>
              </w:rPr>
            </w:pPr>
            <w:r w:rsidRPr="00200234">
              <w:rPr>
                <w:rFonts w:cs="Segoe UI"/>
                <w:w w:val="105"/>
                <w:sz w:val="18"/>
              </w:rPr>
              <w:t>Wairarapa</w:t>
            </w:r>
          </w:p>
        </w:tc>
        <w:tc>
          <w:tcPr>
            <w:tcW w:w="1075" w:type="pct"/>
            <w:gridSpan w:val="2"/>
            <w:tcBorders>
              <w:top w:val="single" w:sz="4" w:space="0" w:color="A6A6A6"/>
            </w:tcBorders>
          </w:tcPr>
          <w:p w14:paraId="46F8E92C" w14:textId="77777777" w:rsidR="008361C5" w:rsidRPr="00200234" w:rsidRDefault="008361C5" w:rsidP="002D639B">
            <w:pPr>
              <w:keepNext/>
              <w:tabs>
                <w:tab w:val="decimal" w:pos="882"/>
              </w:tabs>
              <w:spacing w:before="60" w:after="60"/>
              <w:rPr>
                <w:rFonts w:cs="Segoe UI"/>
                <w:sz w:val="18"/>
              </w:rPr>
            </w:pPr>
            <w:r w:rsidRPr="00200234">
              <w:rPr>
                <w:rFonts w:cs="Segoe UI"/>
                <w:sz w:val="18"/>
              </w:rPr>
              <w:t>0</w:t>
            </w:r>
          </w:p>
        </w:tc>
        <w:tc>
          <w:tcPr>
            <w:tcW w:w="1076" w:type="pct"/>
            <w:tcBorders>
              <w:top w:val="single" w:sz="4" w:space="0" w:color="A6A6A6"/>
            </w:tcBorders>
          </w:tcPr>
          <w:p w14:paraId="56162A61" w14:textId="77777777" w:rsidR="008361C5" w:rsidRPr="00200234" w:rsidRDefault="008361C5" w:rsidP="002D639B">
            <w:pPr>
              <w:keepNext/>
              <w:tabs>
                <w:tab w:val="decimal" w:pos="983"/>
              </w:tabs>
              <w:spacing w:before="60" w:after="60"/>
              <w:rPr>
                <w:rFonts w:cs="Segoe UI"/>
                <w:sz w:val="18"/>
              </w:rPr>
            </w:pPr>
            <w:r w:rsidRPr="00200234">
              <w:rPr>
                <w:rFonts w:cs="Segoe UI"/>
                <w:sz w:val="18"/>
              </w:rPr>
              <w:t>0</w:t>
            </w:r>
          </w:p>
        </w:tc>
        <w:tc>
          <w:tcPr>
            <w:tcW w:w="1600" w:type="pct"/>
            <w:gridSpan w:val="2"/>
            <w:tcBorders>
              <w:top w:val="single" w:sz="4" w:space="0" w:color="A6A6A6"/>
            </w:tcBorders>
            <w:vAlign w:val="center"/>
          </w:tcPr>
          <w:p w14:paraId="2B64AC92" w14:textId="77777777" w:rsidR="008361C5" w:rsidRPr="00200234" w:rsidRDefault="008361C5" w:rsidP="00912EAD">
            <w:pPr>
              <w:keepNext/>
              <w:tabs>
                <w:tab w:val="decimal" w:pos="1012"/>
              </w:tabs>
              <w:spacing w:before="60" w:after="60"/>
              <w:rPr>
                <w:rFonts w:cs="Segoe UI"/>
                <w:sz w:val="18"/>
              </w:rPr>
            </w:pPr>
            <w:r w:rsidRPr="00200234">
              <w:rPr>
                <w:rFonts w:cs="Segoe UI"/>
                <w:sz w:val="18"/>
              </w:rPr>
              <w:t>0</w:t>
            </w:r>
          </w:p>
        </w:tc>
      </w:tr>
      <w:tr w:rsidR="008361C5" w:rsidRPr="00200234" w14:paraId="764676A4" w14:textId="77777777" w:rsidTr="002D639B">
        <w:trPr>
          <w:cantSplit/>
        </w:trPr>
        <w:tc>
          <w:tcPr>
            <w:tcW w:w="1250" w:type="pct"/>
            <w:gridSpan w:val="2"/>
            <w:tcBorders>
              <w:top w:val="single" w:sz="4" w:space="0" w:color="A6A6A6"/>
            </w:tcBorders>
          </w:tcPr>
          <w:p w14:paraId="57274AA4" w14:textId="77777777" w:rsidR="008361C5" w:rsidRPr="00200234" w:rsidRDefault="008361C5" w:rsidP="002D639B">
            <w:pPr>
              <w:keepNext/>
              <w:spacing w:before="60" w:after="60"/>
              <w:rPr>
                <w:rFonts w:cs="Segoe UI"/>
                <w:w w:val="105"/>
                <w:sz w:val="18"/>
              </w:rPr>
            </w:pPr>
            <w:proofErr w:type="spellStart"/>
            <w:r w:rsidRPr="00200234">
              <w:rPr>
                <w:rFonts w:cs="Segoe UI"/>
                <w:w w:val="105"/>
                <w:sz w:val="18"/>
              </w:rPr>
              <w:t>Waitematā</w:t>
            </w:r>
            <w:proofErr w:type="spellEnd"/>
          </w:p>
        </w:tc>
        <w:tc>
          <w:tcPr>
            <w:tcW w:w="1075" w:type="pct"/>
            <w:gridSpan w:val="2"/>
            <w:tcBorders>
              <w:top w:val="single" w:sz="4" w:space="0" w:color="A6A6A6"/>
            </w:tcBorders>
          </w:tcPr>
          <w:p w14:paraId="19676945" w14:textId="77777777" w:rsidR="008361C5" w:rsidRPr="00200234" w:rsidRDefault="008361C5" w:rsidP="002D639B">
            <w:pPr>
              <w:keepNext/>
              <w:tabs>
                <w:tab w:val="decimal" w:pos="882"/>
              </w:tabs>
              <w:spacing w:before="60" w:after="60"/>
              <w:rPr>
                <w:rFonts w:cs="Segoe UI"/>
                <w:w w:val="102"/>
                <w:sz w:val="18"/>
              </w:rPr>
            </w:pPr>
            <w:r w:rsidRPr="00200234">
              <w:rPr>
                <w:rFonts w:cs="Segoe UI"/>
                <w:sz w:val="18"/>
              </w:rPr>
              <w:t>24</w:t>
            </w:r>
          </w:p>
        </w:tc>
        <w:tc>
          <w:tcPr>
            <w:tcW w:w="1076" w:type="pct"/>
            <w:tcBorders>
              <w:top w:val="single" w:sz="4" w:space="0" w:color="A6A6A6"/>
            </w:tcBorders>
          </w:tcPr>
          <w:p w14:paraId="2F3E40ED" w14:textId="77777777" w:rsidR="008361C5" w:rsidRPr="00200234" w:rsidRDefault="008361C5" w:rsidP="002D639B">
            <w:pPr>
              <w:keepNext/>
              <w:tabs>
                <w:tab w:val="decimal" w:pos="983"/>
              </w:tabs>
              <w:spacing w:before="60" w:after="60"/>
              <w:rPr>
                <w:rFonts w:cs="Segoe UI"/>
                <w:w w:val="102"/>
                <w:sz w:val="18"/>
              </w:rPr>
            </w:pPr>
            <w:r w:rsidRPr="00200234">
              <w:rPr>
                <w:rFonts w:cs="Segoe UI"/>
                <w:sz w:val="18"/>
              </w:rPr>
              <w:t>334</w:t>
            </w:r>
          </w:p>
        </w:tc>
        <w:tc>
          <w:tcPr>
            <w:tcW w:w="1600" w:type="pct"/>
            <w:gridSpan w:val="2"/>
            <w:tcBorders>
              <w:top w:val="single" w:sz="4" w:space="0" w:color="A6A6A6"/>
            </w:tcBorders>
            <w:vAlign w:val="center"/>
          </w:tcPr>
          <w:p w14:paraId="024D9B2B" w14:textId="77777777" w:rsidR="008361C5" w:rsidRPr="00200234" w:rsidRDefault="008361C5" w:rsidP="00912EAD">
            <w:pPr>
              <w:keepNext/>
              <w:tabs>
                <w:tab w:val="decimal" w:pos="1012"/>
              </w:tabs>
              <w:spacing w:before="60" w:after="60"/>
              <w:rPr>
                <w:rFonts w:cs="Segoe UI"/>
                <w:sz w:val="18"/>
              </w:rPr>
            </w:pPr>
            <w:r w:rsidRPr="00200234">
              <w:rPr>
                <w:rFonts w:cs="Segoe UI"/>
                <w:sz w:val="18"/>
              </w:rPr>
              <w:t>14 (2–36)</w:t>
            </w:r>
          </w:p>
        </w:tc>
      </w:tr>
      <w:tr w:rsidR="008361C5" w:rsidRPr="00200234" w14:paraId="7140ED29" w14:textId="77777777" w:rsidTr="002D639B">
        <w:trPr>
          <w:cantSplit/>
        </w:trPr>
        <w:tc>
          <w:tcPr>
            <w:tcW w:w="1250" w:type="pct"/>
            <w:gridSpan w:val="2"/>
            <w:tcBorders>
              <w:top w:val="single" w:sz="4" w:space="0" w:color="A6A6A6"/>
            </w:tcBorders>
          </w:tcPr>
          <w:p w14:paraId="0842705D" w14:textId="77777777" w:rsidR="008361C5" w:rsidRPr="00200234" w:rsidRDefault="008361C5" w:rsidP="002D639B">
            <w:pPr>
              <w:keepNext/>
              <w:spacing w:before="60" w:after="60"/>
              <w:rPr>
                <w:rFonts w:cs="Segoe UI"/>
                <w:w w:val="105"/>
                <w:sz w:val="18"/>
              </w:rPr>
            </w:pPr>
            <w:r w:rsidRPr="00200234">
              <w:rPr>
                <w:rFonts w:cs="Segoe UI"/>
                <w:sz w:val="18"/>
              </w:rPr>
              <w:t>West Coast</w:t>
            </w:r>
          </w:p>
        </w:tc>
        <w:tc>
          <w:tcPr>
            <w:tcW w:w="1075" w:type="pct"/>
            <w:gridSpan w:val="2"/>
            <w:tcBorders>
              <w:top w:val="single" w:sz="4" w:space="0" w:color="A6A6A6"/>
            </w:tcBorders>
          </w:tcPr>
          <w:p w14:paraId="77DD50DC" w14:textId="77777777" w:rsidR="008361C5" w:rsidRPr="00200234" w:rsidRDefault="008361C5" w:rsidP="002D639B">
            <w:pPr>
              <w:keepNext/>
              <w:tabs>
                <w:tab w:val="decimal" w:pos="882"/>
              </w:tabs>
              <w:spacing w:before="60" w:after="60"/>
              <w:rPr>
                <w:rFonts w:cs="Segoe UI"/>
                <w:sz w:val="18"/>
              </w:rPr>
            </w:pPr>
            <w:r w:rsidRPr="00200234">
              <w:rPr>
                <w:rFonts w:cs="Segoe UI"/>
                <w:w w:val="102"/>
                <w:sz w:val="18"/>
              </w:rPr>
              <w:t>2</w:t>
            </w:r>
          </w:p>
        </w:tc>
        <w:tc>
          <w:tcPr>
            <w:tcW w:w="1076" w:type="pct"/>
            <w:tcBorders>
              <w:top w:val="single" w:sz="4" w:space="0" w:color="A6A6A6"/>
            </w:tcBorders>
          </w:tcPr>
          <w:p w14:paraId="00740728" w14:textId="77777777" w:rsidR="008361C5" w:rsidRPr="00200234" w:rsidRDefault="008361C5" w:rsidP="002D639B">
            <w:pPr>
              <w:keepNext/>
              <w:tabs>
                <w:tab w:val="decimal" w:pos="983"/>
              </w:tabs>
              <w:spacing w:before="60" w:after="60"/>
              <w:rPr>
                <w:rFonts w:cs="Segoe UI"/>
                <w:sz w:val="18"/>
              </w:rPr>
            </w:pPr>
            <w:r w:rsidRPr="00200234">
              <w:rPr>
                <w:rFonts w:cs="Segoe UI"/>
                <w:w w:val="102"/>
                <w:sz w:val="18"/>
              </w:rPr>
              <w:t>15</w:t>
            </w:r>
          </w:p>
        </w:tc>
        <w:tc>
          <w:tcPr>
            <w:tcW w:w="1600" w:type="pct"/>
            <w:gridSpan w:val="2"/>
            <w:tcBorders>
              <w:top w:val="single" w:sz="4" w:space="0" w:color="A6A6A6"/>
            </w:tcBorders>
            <w:vAlign w:val="center"/>
          </w:tcPr>
          <w:p w14:paraId="7E432720" w14:textId="77777777" w:rsidR="008361C5" w:rsidRPr="00200234" w:rsidRDefault="008361C5" w:rsidP="00912EAD">
            <w:pPr>
              <w:keepNext/>
              <w:tabs>
                <w:tab w:val="decimal" w:pos="1012"/>
              </w:tabs>
              <w:spacing w:before="60" w:after="60"/>
              <w:rPr>
                <w:rFonts w:cs="Segoe UI"/>
                <w:sz w:val="18"/>
              </w:rPr>
            </w:pPr>
            <w:r w:rsidRPr="00200234">
              <w:rPr>
                <w:rFonts w:cs="Segoe UI"/>
                <w:sz w:val="18"/>
              </w:rPr>
              <w:t>8 (4–11)</w:t>
            </w:r>
          </w:p>
        </w:tc>
      </w:tr>
      <w:tr w:rsidR="008361C5" w:rsidRPr="00200234" w14:paraId="08680F1D" w14:textId="77777777" w:rsidTr="002D639B">
        <w:trPr>
          <w:cantSplit/>
        </w:trPr>
        <w:tc>
          <w:tcPr>
            <w:tcW w:w="1250" w:type="pct"/>
            <w:gridSpan w:val="2"/>
            <w:tcBorders>
              <w:top w:val="single" w:sz="4" w:space="0" w:color="A6A6A6"/>
            </w:tcBorders>
          </w:tcPr>
          <w:p w14:paraId="62D730E8" w14:textId="77777777" w:rsidR="008361C5" w:rsidRPr="00200234" w:rsidRDefault="008361C5" w:rsidP="002D639B">
            <w:pPr>
              <w:keepNext/>
              <w:spacing w:before="60" w:after="60"/>
              <w:rPr>
                <w:rFonts w:cs="Segoe UI"/>
                <w:sz w:val="18"/>
              </w:rPr>
            </w:pPr>
            <w:r w:rsidRPr="00200234">
              <w:rPr>
                <w:rFonts w:cs="Segoe UI"/>
                <w:w w:val="105"/>
                <w:sz w:val="18"/>
              </w:rPr>
              <w:t>Whanganui</w:t>
            </w:r>
          </w:p>
        </w:tc>
        <w:tc>
          <w:tcPr>
            <w:tcW w:w="1075" w:type="pct"/>
            <w:gridSpan w:val="2"/>
            <w:tcBorders>
              <w:top w:val="single" w:sz="4" w:space="0" w:color="A6A6A6"/>
            </w:tcBorders>
          </w:tcPr>
          <w:p w14:paraId="747C2D96" w14:textId="77777777" w:rsidR="008361C5" w:rsidRPr="00200234" w:rsidRDefault="008361C5" w:rsidP="002D639B">
            <w:pPr>
              <w:keepNext/>
              <w:tabs>
                <w:tab w:val="decimal" w:pos="882"/>
              </w:tabs>
              <w:spacing w:before="60" w:after="60"/>
              <w:rPr>
                <w:rFonts w:cs="Segoe UI"/>
                <w:w w:val="102"/>
                <w:sz w:val="18"/>
              </w:rPr>
            </w:pPr>
            <w:r w:rsidRPr="00200234">
              <w:rPr>
                <w:rFonts w:cs="Segoe UI"/>
                <w:w w:val="102"/>
                <w:sz w:val="18"/>
              </w:rPr>
              <w:t>1</w:t>
            </w:r>
          </w:p>
        </w:tc>
        <w:tc>
          <w:tcPr>
            <w:tcW w:w="1076" w:type="pct"/>
            <w:tcBorders>
              <w:top w:val="single" w:sz="4" w:space="0" w:color="A6A6A6"/>
            </w:tcBorders>
          </w:tcPr>
          <w:p w14:paraId="5AEDD69E" w14:textId="77777777" w:rsidR="008361C5" w:rsidRPr="00200234" w:rsidRDefault="008361C5" w:rsidP="002D639B">
            <w:pPr>
              <w:keepNext/>
              <w:tabs>
                <w:tab w:val="decimal" w:pos="983"/>
              </w:tabs>
              <w:spacing w:before="60" w:after="60"/>
              <w:rPr>
                <w:rFonts w:cs="Segoe UI"/>
                <w:w w:val="102"/>
                <w:sz w:val="18"/>
              </w:rPr>
            </w:pPr>
            <w:r w:rsidRPr="00200234">
              <w:rPr>
                <w:rFonts w:cs="Segoe UI"/>
                <w:sz w:val="18"/>
              </w:rPr>
              <w:t>11</w:t>
            </w:r>
          </w:p>
        </w:tc>
        <w:tc>
          <w:tcPr>
            <w:tcW w:w="1600" w:type="pct"/>
            <w:gridSpan w:val="2"/>
            <w:tcBorders>
              <w:top w:val="single" w:sz="4" w:space="0" w:color="A6A6A6"/>
            </w:tcBorders>
            <w:vAlign w:val="center"/>
          </w:tcPr>
          <w:p w14:paraId="714F4070" w14:textId="77777777" w:rsidR="008361C5" w:rsidRPr="00200234" w:rsidRDefault="008361C5" w:rsidP="00912EAD">
            <w:pPr>
              <w:keepNext/>
              <w:tabs>
                <w:tab w:val="decimal" w:pos="1012"/>
              </w:tabs>
              <w:spacing w:before="60" w:after="60"/>
              <w:rPr>
                <w:rFonts w:cs="Segoe UI"/>
                <w:sz w:val="18"/>
              </w:rPr>
            </w:pPr>
            <w:r w:rsidRPr="00200234">
              <w:rPr>
                <w:rFonts w:cs="Segoe UI"/>
                <w:sz w:val="18"/>
              </w:rPr>
              <w:t>11 (11–11)</w:t>
            </w:r>
          </w:p>
        </w:tc>
      </w:tr>
      <w:tr w:rsidR="008361C5" w:rsidRPr="00200234" w14:paraId="0195000F" w14:textId="77777777" w:rsidTr="002D639B">
        <w:trPr>
          <w:cantSplit/>
        </w:trPr>
        <w:tc>
          <w:tcPr>
            <w:tcW w:w="1250" w:type="pct"/>
            <w:gridSpan w:val="2"/>
            <w:tcBorders>
              <w:top w:val="single" w:sz="4" w:space="0" w:color="A6A6A6"/>
            </w:tcBorders>
          </w:tcPr>
          <w:p w14:paraId="1B1879EB" w14:textId="77777777" w:rsidR="008361C5" w:rsidRPr="00200234" w:rsidRDefault="008361C5" w:rsidP="002D639B">
            <w:pPr>
              <w:keepNext/>
              <w:spacing w:before="60" w:after="60"/>
              <w:rPr>
                <w:rFonts w:cs="Segoe UI"/>
                <w:b/>
                <w:sz w:val="18"/>
              </w:rPr>
            </w:pPr>
            <w:r w:rsidRPr="00200234">
              <w:rPr>
                <w:rFonts w:cs="Segoe UI"/>
                <w:b/>
                <w:sz w:val="18"/>
              </w:rPr>
              <w:t>New Zealand total</w:t>
            </w:r>
          </w:p>
        </w:tc>
        <w:tc>
          <w:tcPr>
            <w:tcW w:w="1075" w:type="pct"/>
            <w:gridSpan w:val="2"/>
            <w:tcBorders>
              <w:top w:val="single" w:sz="4" w:space="0" w:color="A6A6A6"/>
            </w:tcBorders>
          </w:tcPr>
          <w:p w14:paraId="1509F08F" w14:textId="77777777" w:rsidR="008361C5" w:rsidRPr="00200234" w:rsidRDefault="008361C5" w:rsidP="002D639B">
            <w:pPr>
              <w:keepNext/>
              <w:tabs>
                <w:tab w:val="decimal" w:pos="882"/>
              </w:tabs>
              <w:spacing w:before="60" w:after="60"/>
              <w:rPr>
                <w:rFonts w:cs="Segoe UI"/>
                <w:b/>
                <w:sz w:val="18"/>
              </w:rPr>
            </w:pPr>
            <w:r w:rsidRPr="00200234">
              <w:rPr>
                <w:rFonts w:cs="Segoe UI"/>
                <w:b/>
                <w:sz w:val="18"/>
              </w:rPr>
              <w:t>246</w:t>
            </w:r>
          </w:p>
        </w:tc>
        <w:tc>
          <w:tcPr>
            <w:tcW w:w="1076" w:type="pct"/>
            <w:tcBorders>
              <w:top w:val="single" w:sz="4" w:space="0" w:color="A6A6A6"/>
            </w:tcBorders>
          </w:tcPr>
          <w:p w14:paraId="395E5CAA" w14:textId="77777777" w:rsidR="008361C5" w:rsidRPr="00200234" w:rsidRDefault="008361C5" w:rsidP="002D639B">
            <w:pPr>
              <w:keepNext/>
              <w:tabs>
                <w:tab w:val="decimal" w:pos="983"/>
              </w:tabs>
              <w:spacing w:before="60" w:after="60"/>
              <w:rPr>
                <w:rFonts w:cs="Segoe UI"/>
                <w:b/>
                <w:sz w:val="18"/>
              </w:rPr>
            </w:pPr>
            <w:r w:rsidRPr="00200234">
              <w:rPr>
                <w:rFonts w:cs="Segoe UI"/>
                <w:b/>
                <w:sz w:val="18"/>
              </w:rPr>
              <w:t>2797</w:t>
            </w:r>
          </w:p>
        </w:tc>
        <w:tc>
          <w:tcPr>
            <w:tcW w:w="1600" w:type="pct"/>
            <w:gridSpan w:val="2"/>
            <w:tcBorders>
              <w:top w:val="single" w:sz="4" w:space="0" w:color="A6A6A6"/>
            </w:tcBorders>
          </w:tcPr>
          <w:p w14:paraId="7415C0DE" w14:textId="77777777" w:rsidR="008361C5" w:rsidRPr="00200234" w:rsidRDefault="008361C5" w:rsidP="00912EAD">
            <w:pPr>
              <w:keepNext/>
              <w:tabs>
                <w:tab w:val="decimal" w:pos="1012"/>
              </w:tabs>
              <w:spacing w:before="60" w:after="60"/>
              <w:rPr>
                <w:rFonts w:cs="Segoe UI"/>
                <w:b/>
                <w:bCs/>
                <w:sz w:val="18"/>
              </w:rPr>
            </w:pPr>
            <w:r w:rsidRPr="00200234">
              <w:rPr>
                <w:rFonts w:cs="Segoe UI"/>
                <w:b/>
                <w:bCs/>
                <w:sz w:val="18"/>
              </w:rPr>
              <w:t>11 (1–61)</w:t>
            </w:r>
          </w:p>
        </w:tc>
      </w:tr>
    </w:tbl>
    <w:p w14:paraId="4C2FF938" w14:textId="6D95CD73" w:rsidR="008361C5" w:rsidRPr="00200234" w:rsidRDefault="008361C5" w:rsidP="002D639B">
      <w:pPr>
        <w:pStyle w:val="Note"/>
        <w:keepNext/>
      </w:pPr>
      <w:r w:rsidRPr="00200234">
        <w:t xml:space="preserve">Notes: In 2019, </w:t>
      </w:r>
      <w:r w:rsidR="00DB1FB1">
        <w:t>16</w:t>
      </w:r>
      <w:r w:rsidRPr="00200234">
        <w:t xml:space="preserve"> people were treated out of area, as follows:</w:t>
      </w:r>
    </w:p>
    <w:p w14:paraId="6778B4E8" w14:textId="77777777" w:rsidR="008361C5" w:rsidRPr="00200234" w:rsidRDefault="008361C5" w:rsidP="00DA02E3">
      <w:pPr>
        <w:pStyle w:val="Note"/>
        <w:keepNext/>
        <w:numPr>
          <w:ilvl w:val="0"/>
          <w:numId w:val="6"/>
        </w:numPr>
        <w:spacing w:before="40"/>
        <w:ind w:left="284" w:hanging="284"/>
        <w:rPr>
          <w:szCs w:val="17"/>
        </w:rPr>
      </w:pPr>
      <w:r w:rsidRPr="00200234">
        <w:rPr>
          <w:szCs w:val="17"/>
        </w:rPr>
        <w:t>Auckland DHB saw one person from Counties Manukau DHB</w:t>
      </w:r>
    </w:p>
    <w:p w14:paraId="1CC10C3D" w14:textId="77777777" w:rsidR="008361C5" w:rsidRPr="00200234" w:rsidRDefault="008361C5" w:rsidP="00DA02E3">
      <w:pPr>
        <w:pStyle w:val="Note"/>
        <w:keepNext/>
        <w:numPr>
          <w:ilvl w:val="0"/>
          <w:numId w:val="6"/>
        </w:numPr>
        <w:spacing w:before="40"/>
        <w:ind w:left="284" w:hanging="284"/>
        <w:rPr>
          <w:szCs w:val="17"/>
        </w:rPr>
      </w:pPr>
      <w:r w:rsidRPr="00200234">
        <w:rPr>
          <w:szCs w:val="17"/>
        </w:rPr>
        <w:t xml:space="preserve">Bay of Plenty DHB saw four people from </w:t>
      </w:r>
      <w:proofErr w:type="spellStart"/>
      <w:r w:rsidRPr="00200234">
        <w:rPr>
          <w:szCs w:val="17"/>
        </w:rPr>
        <w:t>Tairāwhiti</w:t>
      </w:r>
      <w:proofErr w:type="spellEnd"/>
      <w:r w:rsidRPr="00200234">
        <w:rPr>
          <w:szCs w:val="17"/>
        </w:rPr>
        <w:t xml:space="preserve"> DHB</w:t>
      </w:r>
    </w:p>
    <w:p w14:paraId="34FF3F7A" w14:textId="77777777" w:rsidR="008361C5" w:rsidRPr="00200234" w:rsidRDefault="008361C5" w:rsidP="00DA02E3">
      <w:pPr>
        <w:pStyle w:val="Note"/>
        <w:keepNext/>
        <w:numPr>
          <w:ilvl w:val="0"/>
          <w:numId w:val="6"/>
        </w:numPr>
        <w:spacing w:before="40"/>
        <w:ind w:left="284" w:hanging="284"/>
        <w:rPr>
          <w:szCs w:val="17"/>
        </w:rPr>
      </w:pPr>
      <w:r w:rsidRPr="00200234">
        <w:rPr>
          <w:szCs w:val="17"/>
        </w:rPr>
        <w:t>Canterbury DHB saw one person from Southern DHB and two people from West Coast DHB</w:t>
      </w:r>
    </w:p>
    <w:p w14:paraId="3F32F174" w14:textId="77777777" w:rsidR="008361C5" w:rsidRPr="00200234" w:rsidRDefault="008361C5" w:rsidP="00DA02E3">
      <w:pPr>
        <w:pStyle w:val="Note"/>
        <w:keepNext/>
        <w:numPr>
          <w:ilvl w:val="0"/>
          <w:numId w:val="6"/>
        </w:numPr>
        <w:spacing w:before="40"/>
        <w:ind w:left="284" w:hanging="284"/>
        <w:rPr>
          <w:szCs w:val="17"/>
        </w:rPr>
      </w:pPr>
      <w:r w:rsidRPr="00200234">
        <w:rPr>
          <w:szCs w:val="17"/>
        </w:rPr>
        <w:t>Capital &amp; Coast DHB saw one person from Hutt Valley DHB</w:t>
      </w:r>
    </w:p>
    <w:p w14:paraId="2065C995" w14:textId="77777777" w:rsidR="008361C5" w:rsidRPr="00200234" w:rsidRDefault="008361C5" w:rsidP="00DA02E3">
      <w:pPr>
        <w:pStyle w:val="Note"/>
        <w:keepNext/>
        <w:numPr>
          <w:ilvl w:val="0"/>
          <w:numId w:val="6"/>
        </w:numPr>
        <w:spacing w:before="40"/>
        <w:ind w:left="284" w:hanging="284"/>
        <w:rPr>
          <w:szCs w:val="17"/>
        </w:rPr>
      </w:pPr>
      <w:r w:rsidRPr="00200234">
        <w:rPr>
          <w:szCs w:val="17"/>
        </w:rPr>
        <w:t>Counties Manukau DHB saw one person from Auckland DHB and one person from Lakes DHB</w:t>
      </w:r>
    </w:p>
    <w:p w14:paraId="7BF315D1" w14:textId="77777777" w:rsidR="008361C5" w:rsidRPr="00200234" w:rsidRDefault="008361C5" w:rsidP="00DA02E3">
      <w:pPr>
        <w:pStyle w:val="Note"/>
        <w:keepNext/>
        <w:numPr>
          <w:ilvl w:val="0"/>
          <w:numId w:val="6"/>
        </w:numPr>
        <w:spacing w:before="40"/>
        <w:ind w:left="284" w:hanging="284"/>
        <w:rPr>
          <w:szCs w:val="17"/>
        </w:rPr>
      </w:pPr>
      <w:r w:rsidRPr="00200234">
        <w:rPr>
          <w:szCs w:val="17"/>
        </w:rPr>
        <w:t xml:space="preserve">Hutt Valley DHB saw one person from </w:t>
      </w:r>
      <w:proofErr w:type="spellStart"/>
      <w:r w:rsidRPr="00200234">
        <w:rPr>
          <w:szCs w:val="17"/>
        </w:rPr>
        <w:t>MidCentral</w:t>
      </w:r>
      <w:proofErr w:type="spellEnd"/>
      <w:r w:rsidRPr="00200234">
        <w:rPr>
          <w:szCs w:val="17"/>
        </w:rPr>
        <w:t xml:space="preserve"> DHB</w:t>
      </w:r>
    </w:p>
    <w:p w14:paraId="3798F813" w14:textId="77777777" w:rsidR="008361C5" w:rsidRPr="00200234" w:rsidRDefault="008361C5" w:rsidP="00DA02E3">
      <w:pPr>
        <w:pStyle w:val="Note"/>
        <w:keepNext/>
        <w:numPr>
          <w:ilvl w:val="0"/>
          <w:numId w:val="6"/>
        </w:numPr>
        <w:spacing w:before="40"/>
        <w:ind w:left="284" w:hanging="284"/>
        <w:rPr>
          <w:szCs w:val="17"/>
        </w:rPr>
      </w:pPr>
      <w:proofErr w:type="spellStart"/>
      <w:r w:rsidRPr="00200234">
        <w:rPr>
          <w:szCs w:val="17"/>
        </w:rPr>
        <w:t>MidCentral</w:t>
      </w:r>
      <w:proofErr w:type="spellEnd"/>
      <w:r w:rsidRPr="00200234">
        <w:rPr>
          <w:szCs w:val="17"/>
        </w:rPr>
        <w:t xml:space="preserve"> DHB saw one person from Whanganui DHB</w:t>
      </w:r>
    </w:p>
    <w:p w14:paraId="0271C234" w14:textId="77777777" w:rsidR="008361C5" w:rsidRPr="00200234" w:rsidRDefault="008361C5" w:rsidP="00DA02E3">
      <w:pPr>
        <w:pStyle w:val="Note"/>
        <w:keepNext/>
        <w:numPr>
          <w:ilvl w:val="0"/>
          <w:numId w:val="6"/>
        </w:numPr>
        <w:spacing w:before="40"/>
        <w:ind w:left="284" w:hanging="284"/>
        <w:rPr>
          <w:szCs w:val="17"/>
        </w:rPr>
      </w:pPr>
      <w:r w:rsidRPr="00200234">
        <w:rPr>
          <w:szCs w:val="17"/>
        </w:rPr>
        <w:t>Waikato DHB saw one person from Taranaki DHB</w:t>
      </w:r>
    </w:p>
    <w:p w14:paraId="6133FB70" w14:textId="77777777" w:rsidR="008361C5" w:rsidRPr="00200234" w:rsidRDefault="008361C5" w:rsidP="00DA02E3">
      <w:pPr>
        <w:pStyle w:val="Note"/>
        <w:keepNext/>
        <w:numPr>
          <w:ilvl w:val="0"/>
          <w:numId w:val="6"/>
        </w:numPr>
        <w:spacing w:before="40"/>
        <w:ind w:left="284" w:hanging="284"/>
        <w:rPr>
          <w:szCs w:val="17"/>
        </w:rPr>
      </w:pPr>
      <w:proofErr w:type="spellStart"/>
      <w:r w:rsidRPr="00200234">
        <w:rPr>
          <w:szCs w:val="17"/>
        </w:rPr>
        <w:t>Waitematā</w:t>
      </w:r>
      <w:proofErr w:type="spellEnd"/>
      <w:r w:rsidRPr="00200234">
        <w:rPr>
          <w:szCs w:val="17"/>
        </w:rPr>
        <w:t xml:space="preserve"> DHB saw one person from Auckland DHB and one person from Waikato DHB.</w:t>
      </w:r>
    </w:p>
    <w:p w14:paraId="2241DA86" w14:textId="7D603770" w:rsidR="008361C5" w:rsidRPr="00200234" w:rsidRDefault="008361C5" w:rsidP="008361C5">
      <w:pPr>
        <w:pStyle w:val="Note"/>
      </w:pPr>
      <w:r w:rsidRPr="00200234">
        <w:t>Source</w:t>
      </w:r>
      <w:r w:rsidR="00935BF5" w:rsidRPr="00200234">
        <w:t>s</w:t>
      </w:r>
      <w:r w:rsidRPr="00200234">
        <w:t>: PRIMHD data</w:t>
      </w:r>
      <w:r w:rsidR="0015429E">
        <w:t xml:space="preserve"> (extracted</w:t>
      </w:r>
      <w:r w:rsidRPr="00200234">
        <w:t xml:space="preserve"> 19 October 2020</w:t>
      </w:r>
      <w:r w:rsidR="003510A5">
        <w:t>)</w:t>
      </w:r>
      <w:r w:rsidRPr="00200234">
        <w:t xml:space="preserve"> </w:t>
      </w:r>
      <w:r w:rsidR="00935BF5" w:rsidRPr="00200234">
        <w:t>and manual data from</w:t>
      </w:r>
      <w:r w:rsidRPr="00200234">
        <w:t xml:space="preserve"> Southern DHB.</w:t>
      </w:r>
    </w:p>
    <w:p w14:paraId="53690133" w14:textId="77777777" w:rsidR="008361C5" w:rsidRPr="00200234" w:rsidRDefault="008361C5" w:rsidP="008361C5"/>
    <w:p w14:paraId="7E5FD60B" w14:textId="77777777" w:rsidR="008361C5" w:rsidRPr="00200234" w:rsidRDefault="008361C5" w:rsidP="00DC3196">
      <w:pPr>
        <w:pStyle w:val="Heading2"/>
      </w:pPr>
      <w:bookmarkStart w:id="287" w:name="_Toc65141637"/>
      <w:bookmarkStart w:id="288" w:name="_Toc69307718"/>
      <w:r w:rsidRPr="00200234">
        <w:lastRenderedPageBreak/>
        <w:t>Sex and age of people receiving ECT</w:t>
      </w:r>
      <w:bookmarkEnd w:id="287"/>
      <w:bookmarkEnd w:id="288"/>
    </w:p>
    <w:p w14:paraId="3DA36001" w14:textId="2F315008" w:rsidR="008361C5" w:rsidRPr="00200234" w:rsidRDefault="008361C5" w:rsidP="00DB1FB1">
      <w:pPr>
        <w:keepNext/>
      </w:pPr>
      <w:r w:rsidRPr="00200234">
        <w:t xml:space="preserve">In 2018 and 2019, women were more likely to receive ECT than men. This ratio is </w:t>
      </w:r>
      <w:proofErr w:type="gramStart"/>
      <w:r w:rsidRPr="00200234">
        <w:t>similar to</w:t>
      </w:r>
      <w:proofErr w:type="gramEnd"/>
      <w:r w:rsidRPr="00200234">
        <w:t xml:space="preserve"> that reported in other countries. </w:t>
      </w:r>
    </w:p>
    <w:p w14:paraId="11D80811" w14:textId="77777777" w:rsidR="002D639B" w:rsidRPr="00200234" w:rsidRDefault="002D639B" w:rsidP="00DB1FB1">
      <w:pPr>
        <w:keepNext/>
      </w:pPr>
    </w:p>
    <w:p w14:paraId="3FA6D184" w14:textId="77777777" w:rsidR="008361C5" w:rsidRPr="00200234" w:rsidRDefault="008361C5" w:rsidP="002D639B">
      <w:r w:rsidRPr="00200234">
        <w:t>Older people were more likely to receive ECT than younger people, with patients over 50 years old representing 61 percent of all patients in 2018 and 65 percent of all patients in 2019.</w:t>
      </w:r>
    </w:p>
    <w:p w14:paraId="7DC095E8" w14:textId="77777777" w:rsidR="008361C5" w:rsidRPr="00200234" w:rsidRDefault="008361C5" w:rsidP="009F24DE"/>
    <w:p w14:paraId="6043E721" w14:textId="16D5C752" w:rsidR="008361C5" w:rsidRPr="00200234" w:rsidRDefault="008361C5" w:rsidP="008361C5">
      <w:pPr>
        <w:pStyle w:val="Figure"/>
      </w:pPr>
      <w:bookmarkStart w:id="289" w:name="_Ref65672687"/>
      <w:bookmarkStart w:id="290" w:name="_Toc63764792"/>
      <w:bookmarkStart w:id="291" w:name="_Toc66716239"/>
      <w:r w:rsidRPr="00200234">
        <w:t xml:space="preserve">Figure </w:t>
      </w:r>
      <w:fldSimple w:instr=" SEQ Figure \* ARABIC ">
        <w:r w:rsidR="00422361">
          <w:rPr>
            <w:noProof/>
          </w:rPr>
          <w:t>57</w:t>
        </w:r>
      </w:fldSimple>
      <w:bookmarkEnd w:id="289"/>
      <w:r w:rsidRPr="00200234">
        <w:t xml:space="preserve">: Number of people treated with </w:t>
      </w:r>
      <w:r w:rsidR="003A59E3" w:rsidRPr="003A59E3">
        <w:t>ECT</w:t>
      </w:r>
      <w:r w:rsidRPr="00200234">
        <w:t>, by age group and sex, 1 January to 31 December 2018</w:t>
      </w:r>
      <w:bookmarkEnd w:id="290"/>
      <w:bookmarkEnd w:id="291"/>
    </w:p>
    <w:p w14:paraId="2806D4F3" w14:textId="77777777" w:rsidR="008361C5" w:rsidRPr="00200234" w:rsidRDefault="008361C5" w:rsidP="002D639B">
      <w:pPr>
        <w:keepNext/>
        <w:rPr>
          <w:rFonts w:eastAsia="Calibri" w:cs="Segoe UI"/>
        </w:rPr>
      </w:pPr>
      <w:r w:rsidRPr="00200234">
        <w:rPr>
          <w:rFonts w:ascii="Calibri Light" w:eastAsia="Calibri" w:hAnsi="Calibri Light"/>
          <w:noProof/>
        </w:rPr>
        <w:drawing>
          <wp:inline distT="0" distB="0" distL="0" distR="0" wp14:anchorId="509CCDE0" wp14:editId="5A662758">
            <wp:extent cx="5039995" cy="2779414"/>
            <wp:effectExtent l="0" t="0" r="8255" b="1905"/>
            <wp:docPr id="47" name="Chart 47" descr="This bar graph shows that in 2018, females were generally treated with ECT more often than males, with the exception of the 60-64 age group, where males outnumbered females. The largest number of people who received the treatment were in the 65-69 age group, at about 40. There were about 25 people each in the 40-44, 50-54, 55-59, 60-64, and 70-74 age groups. It was less than 20 in all other age groups.">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92440B3" w14:textId="539A871F" w:rsidR="008361C5" w:rsidRPr="00200234" w:rsidRDefault="008361C5" w:rsidP="008361C5">
      <w:pPr>
        <w:pStyle w:val="Note"/>
      </w:pPr>
      <w:r w:rsidRPr="00200234">
        <w:t>Source</w:t>
      </w:r>
      <w:r w:rsidR="00B45714" w:rsidRPr="00200234">
        <w:t>s</w:t>
      </w:r>
      <w:r w:rsidRPr="00200234">
        <w:t>: PRIMHD data</w:t>
      </w:r>
      <w:r w:rsidR="0015429E">
        <w:t xml:space="preserve"> (extracted</w:t>
      </w:r>
      <w:r w:rsidRPr="00200234">
        <w:t xml:space="preserve"> 29 July 2019</w:t>
      </w:r>
      <w:r w:rsidR="003510A5">
        <w:t>)</w:t>
      </w:r>
      <w:r w:rsidRPr="00200234">
        <w:t xml:space="preserve"> </w:t>
      </w:r>
      <w:r w:rsidR="00314226" w:rsidRPr="00200234">
        <w:t xml:space="preserve">and manual data from </w:t>
      </w:r>
      <w:r w:rsidRPr="00200234">
        <w:t xml:space="preserve">Lakes, </w:t>
      </w:r>
      <w:proofErr w:type="spellStart"/>
      <w:r w:rsidRPr="00200234">
        <w:t>MidCentral</w:t>
      </w:r>
      <w:proofErr w:type="spellEnd"/>
      <w:r w:rsidRPr="00200234">
        <w:t xml:space="preserve">, Nelson Marlborough, Southern and </w:t>
      </w:r>
      <w:proofErr w:type="spellStart"/>
      <w:r w:rsidRPr="00200234">
        <w:t>Waitematā</w:t>
      </w:r>
      <w:proofErr w:type="spellEnd"/>
      <w:r w:rsidRPr="00200234">
        <w:t xml:space="preserve"> DHBs.</w:t>
      </w:r>
    </w:p>
    <w:p w14:paraId="6ED2E55F" w14:textId="77777777" w:rsidR="008361C5" w:rsidRPr="00200234" w:rsidRDefault="008361C5" w:rsidP="002D639B"/>
    <w:p w14:paraId="2BB65F41" w14:textId="760A9719" w:rsidR="008361C5" w:rsidRPr="00200234" w:rsidRDefault="008361C5" w:rsidP="008361C5">
      <w:pPr>
        <w:pStyle w:val="Figure"/>
      </w:pPr>
      <w:bookmarkStart w:id="292" w:name="_Ref65672692"/>
      <w:bookmarkStart w:id="293" w:name="_Toc63764793"/>
      <w:bookmarkStart w:id="294" w:name="_Toc66716240"/>
      <w:r w:rsidRPr="00200234">
        <w:t xml:space="preserve">Figure </w:t>
      </w:r>
      <w:fldSimple w:instr=" SEQ Figure \* ARABIC ">
        <w:r w:rsidR="00422361">
          <w:rPr>
            <w:noProof/>
          </w:rPr>
          <w:t>58</w:t>
        </w:r>
      </w:fldSimple>
      <w:bookmarkEnd w:id="292"/>
      <w:r w:rsidRPr="00200234">
        <w:t xml:space="preserve">: Number of people treated with </w:t>
      </w:r>
      <w:r w:rsidR="003A59E3" w:rsidRPr="003A59E3">
        <w:t>ECT</w:t>
      </w:r>
      <w:r w:rsidRPr="00200234">
        <w:t>, by age group and sex, 1 January to 31 December 2019</w:t>
      </w:r>
      <w:bookmarkEnd w:id="293"/>
      <w:bookmarkEnd w:id="294"/>
    </w:p>
    <w:p w14:paraId="0E711044" w14:textId="77777777" w:rsidR="008361C5" w:rsidRPr="00200234" w:rsidRDefault="008361C5" w:rsidP="002D639B">
      <w:pPr>
        <w:keepNext/>
        <w:rPr>
          <w:rFonts w:eastAsia="Calibri" w:cs="Segoe UI"/>
        </w:rPr>
      </w:pPr>
      <w:r w:rsidRPr="00200234">
        <w:rPr>
          <w:noProof/>
        </w:rPr>
        <w:drawing>
          <wp:inline distT="0" distB="0" distL="0" distR="0" wp14:anchorId="5EABF646" wp14:editId="3E4CBADA">
            <wp:extent cx="5040000" cy="2647950"/>
            <wp:effectExtent l="0" t="0" r="8255" b="0"/>
            <wp:docPr id="17" name="Chart 17" descr="This bar graph shows that in 2019, more women than men were treated with ECT. The majority of people who received the treatment were between the ages of 55 and 70, with between25 and 30 people in each of those age brackets receiving ECT. 23 people in the 50-54 age group and 70-74 age group received ECT. In all other groups, fewer than 20 people received ECT.">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289B767" w14:textId="3DE95320" w:rsidR="008361C5" w:rsidRPr="00200234" w:rsidRDefault="008361C5" w:rsidP="008361C5">
      <w:pPr>
        <w:pStyle w:val="Note"/>
      </w:pPr>
      <w:r w:rsidRPr="00200234">
        <w:t>Source</w:t>
      </w:r>
      <w:r w:rsidR="00B45714" w:rsidRPr="00200234">
        <w:t>s</w:t>
      </w:r>
      <w:r w:rsidRPr="00200234">
        <w:t>: PRIMHD data</w:t>
      </w:r>
      <w:r w:rsidR="0015429E">
        <w:t xml:space="preserve"> (extracted</w:t>
      </w:r>
      <w:r w:rsidRPr="00200234">
        <w:t xml:space="preserve"> 19 October 2020</w:t>
      </w:r>
      <w:r w:rsidR="003510A5">
        <w:t>)</w:t>
      </w:r>
      <w:r w:rsidRPr="00200234">
        <w:t xml:space="preserve"> </w:t>
      </w:r>
      <w:r w:rsidR="00314226" w:rsidRPr="00200234">
        <w:t xml:space="preserve">and manual data from </w:t>
      </w:r>
      <w:r w:rsidRPr="00200234">
        <w:t>Southern DHB.</w:t>
      </w:r>
    </w:p>
    <w:p w14:paraId="4F5D2938" w14:textId="3B26C678" w:rsidR="008361C5" w:rsidRPr="00200234" w:rsidRDefault="008361C5" w:rsidP="00DC3196">
      <w:pPr>
        <w:pStyle w:val="Heading2"/>
      </w:pPr>
      <w:bookmarkStart w:id="295" w:name="_Toc65141638"/>
      <w:bookmarkStart w:id="296" w:name="_Toc69307719"/>
      <w:r w:rsidRPr="00200234">
        <w:lastRenderedPageBreak/>
        <w:t xml:space="preserve">Ethnicity of people treated with </w:t>
      </w:r>
      <w:r w:rsidR="003A59E3" w:rsidRPr="003A59E3">
        <w:t>ECT</w:t>
      </w:r>
      <w:bookmarkEnd w:id="295"/>
      <w:bookmarkEnd w:id="296"/>
    </w:p>
    <w:p w14:paraId="44031732" w14:textId="0F0C4591" w:rsidR="008361C5" w:rsidRPr="00200234" w:rsidRDefault="008361C5" w:rsidP="009F24DE">
      <w:r w:rsidRPr="00200234">
        <w:t xml:space="preserve">Tables </w:t>
      </w:r>
      <w:r w:rsidR="00A012A6" w:rsidRPr="00200234">
        <w:fldChar w:fldCharType="begin"/>
      </w:r>
      <w:r w:rsidR="00A012A6" w:rsidRPr="00200234">
        <w:instrText xml:space="preserve"> REF _Ref65673271 \# 0 \h </w:instrText>
      </w:r>
      <w:r w:rsidR="00A012A6" w:rsidRPr="00200234">
        <w:fldChar w:fldCharType="separate"/>
      </w:r>
      <w:r w:rsidR="00422361">
        <w:t>20</w:t>
      </w:r>
      <w:r w:rsidR="00A012A6" w:rsidRPr="00200234">
        <w:fldChar w:fldCharType="end"/>
      </w:r>
      <w:r w:rsidRPr="00200234">
        <w:t xml:space="preserve"> and </w:t>
      </w:r>
      <w:r w:rsidR="00A012A6" w:rsidRPr="00200234">
        <w:fldChar w:fldCharType="begin"/>
      </w:r>
      <w:r w:rsidR="00A012A6" w:rsidRPr="00200234">
        <w:instrText xml:space="preserve"> REF _Ref65673275 \# 0 \h </w:instrText>
      </w:r>
      <w:r w:rsidR="00A012A6" w:rsidRPr="00200234">
        <w:fldChar w:fldCharType="separate"/>
      </w:r>
      <w:r w:rsidR="00422361">
        <w:t>21</w:t>
      </w:r>
      <w:r w:rsidR="00A012A6" w:rsidRPr="00200234">
        <w:fldChar w:fldCharType="end"/>
      </w:r>
      <w:r w:rsidRPr="00200234">
        <w:t xml:space="preserve"> indicate that Asian, Māori and Pacific peoples are less likely to receive ECT than those of other ethnicities, such as New Zealand European. However, the numbers involved are so small that it is not statistically appropriate to compare the percentages of people receiving ECT in each ethnic group with the proportion of each ethnic group in the total population of New Zealand.</w:t>
      </w:r>
    </w:p>
    <w:p w14:paraId="459DA870" w14:textId="77777777" w:rsidR="008361C5" w:rsidRPr="00200234" w:rsidRDefault="008361C5" w:rsidP="009F24DE"/>
    <w:p w14:paraId="4C53B145" w14:textId="6384C723" w:rsidR="008361C5" w:rsidRPr="00200234" w:rsidRDefault="008361C5" w:rsidP="008361C5">
      <w:pPr>
        <w:pStyle w:val="Table"/>
      </w:pPr>
      <w:bookmarkStart w:id="297" w:name="_Ref65673271"/>
      <w:bookmarkStart w:id="298" w:name="_Toc34653664"/>
      <w:bookmarkStart w:id="299" w:name="_Toc63764683"/>
      <w:bookmarkStart w:id="300" w:name="_Toc69306790"/>
      <w:r w:rsidRPr="00200234">
        <w:t xml:space="preserve">Table </w:t>
      </w:r>
      <w:fldSimple w:instr=" SEQ Table \* ARABIC ">
        <w:r w:rsidR="00422361">
          <w:rPr>
            <w:noProof/>
          </w:rPr>
          <w:t>20</w:t>
        </w:r>
      </w:fldSimple>
      <w:bookmarkEnd w:id="297"/>
      <w:r w:rsidRPr="00200234">
        <w:t xml:space="preserve">: Number of people treated with </w:t>
      </w:r>
      <w:r w:rsidR="003A59E3" w:rsidRPr="003A59E3">
        <w:t>ECT</w:t>
      </w:r>
      <w:r w:rsidRPr="00200234">
        <w:t>, by ethnicity, 1</w:t>
      </w:r>
      <w:r w:rsidR="00F55A31">
        <w:t> </w:t>
      </w:r>
      <w:r w:rsidRPr="00200234">
        <w:t>January to 31 December 2018</w:t>
      </w:r>
      <w:bookmarkEnd w:id="298"/>
      <w:bookmarkEnd w:id="299"/>
      <w:bookmarkEnd w:id="300"/>
    </w:p>
    <w:tbl>
      <w:tblPr>
        <w:tblW w:w="3261" w:type="dxa"/>
        <w:tblInd w:w="57" w:type="dxa"/>
        <w:tblBorders>
          <w:top w:val="single" w:sz="4" w:space="0" w:color="A6A6A6"/>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1985"/>
        <w:gridCol w:w="1276"/>
      </w:tblGrid>
      <w:tr w:rsidR="008361C5" w:rsidRPr="00200234" w14:paraId="3B223A7D" w14:textId="77777777" w:rsidTr="008361C5">
        <w:trPr>
          <w:cantSplit/>
        </w:trPr>
        <w:tc>
          <w:tcPr>
            <w:tcW w:w="1985" w:type="dxa"/>
            <w:tcBorders>
              <w:top w:val="nil"/>
              <w:bottom w:val="nil"/>
            </w:tcBorders>
            <w:shd w:val="clear" w:color="auto" w:fill="D9D9D9"/>
          </w:tcPr>
          <w:p w14:paraId="41C48313" w14:textId="77777777" w:rsidR="008361C5" w:rsidRPr="00200234" w:rsidRDefault="008361C5" w:rsidP="009F24DE">
            <w:pPr>
              <w:keepNext/>
              <w:spacing w:before="60" w:after="60"/>
              <w:rPr>
                <w:rFonts w:cs="Segoe UI"/>
                <w:b/>
                <w:sz w:val="18"/>
              </w:rPr>
            </w:pPr>
            <w:r w:rsidRPr="00200234">
              <w:rPr>
                <w:rFonts w:cs="Segoe UI"/>
                <w:b/>
                <w:sz w:val="18"/>
              </w:rPr>
              <w:t>Ethnicity</w:t>
            </w:r>
          </w:p>
        </w:tc>
        <w:tc>
          <w:tcPr>
            <w:tcW w:w="1276" w:type="dxa"/>
            <w:tcBorders>
              <w:top w:val="nil"/>
              <w:bottom w:val="nil"/>
            </w:tcBorders>
            <w:shd w:val="clear" w:color="auto" w:fill="D9D9D9"/>
          </w:tcPr>
          <w:p w14:paraId="2AE55608" w14:textId="77777777" w:rsidR="008361C5" w:rsidRPr="00200234" w:rsidRDefault="008361C5" w:rsidP="009F24DE">
            <w:pPr>
              <w:keepNext/>
              <w:spacing w:before="60" w:after="60"/>
              <w:jc w:val="center"/>
              <w:rPr>
                <w:rFonts w:cs="Segoe UI"/>
                <w:b/>
                <w:sz w:val="18"/>
              </w:rPr>
            </w:pPr>
            <w:r w:rsidRPr="00200234">
              <w:rPr>
                <w:rFonts w:cs="Segoe UI"/>
                <w:b/>
                <w:sz w:val="18"/>
              </w:rPr>
              <w:t>Number</w:t>
            </w:r>
          </w:p>
        </w:tc>
      </w:tr>
      <w:tr w:rsidR="008361C5" w:rsidRPr="00200234" w14:paraId="0BFAED55" w14:textId="77777777" w:rsidTr="008361C5">
        <w:trPr>
          <w:cantSplit/>
        </w:trPr>
        <w:tc>
          <w:tcPr>
            <w:tcW w:w="1985" w:type="dxa"/>
            <w:tcBorders>
              <w:top w:val="nil"/>
            </w:tcBorders>
          </w:tcPr>
          <w:p w14:paraId="2B2A8F20" w14:textId="77777777" w:rsidR="008361C5" w:rsidRPr="00200234" w:rsidRDefault="008361C5" w:rsidP="009F24DE">
            <w:pPr>
              <w:keepNext/>
              <w:spacing w:before="60" w:after="60"/>
              <w:rPr>
                <w:rFonts w:cs="Segoe UI"/>
                <w:sz w:val="18"/>
              </w:rPr>
            </w:pPr>
            <w:r w:rsidRPr="00200234">
              <w:rPr>
                <w:rFonts w:cs="Segoe UI"/>
                <w:sz w:val="18"/>
              </w:rPr>
              <w:t>Asian</w:t>
            </w:r>
          </w:p>
        </w:tc>
        <w:tc>
          <w:tcPr>
            <w:tcW w:w="1276" w:type="dxa"/>
            <w:tcBorders>
              <w:top w:val="nil"/>
            </w:tcBorders>
          </w:tcPr>
          <w:p w14:paraId="1AC17D91" w14:textId="77777777" w:rsidR="008361C5" w:rsidRPr="00200234" w:rsidRDefault="008361C5" w:rsidP="009F24DE">
            <w:pPr>
              <w:keepNext/>
              <w:tabs>
                <w:tab w:val="decimal" w:pos="652"/>
              </w:tabs>
              <w:spacing w:before="60" w:after="60"/>
              <w:rPr>
                <w:rFonts w:cs="Segoe UI"/>
                <w:sz w:val="18"/>
              </w:rPr>
            </w:pPr>
            <w:r w:rsidRPr="00200234">
              <w:rPr>
                <w:rFonts w:cs="Segoe UI"/>
                <w:sz w:val="18"/>
              </w:rPr>
              <w:t>21</w:t>
            </w:r>
          </w:p>
        </w:tc>
      </w:tr>
      <w:tr w:rsidR="008361C5" w:rsidRPr="00200234" w14:paraId="038BA362" w14:textId="77777777" w:rsidTr="008361C5">
        <w:trPr>
          <w:cantSplit/>
        </w:trPr>
        <w:tc>
          <w:tcPr>
            <w:tcW w:w="1985" w:type="dxa"/>
          </w:tcPr>
          <w:p w14:paraId="346F9E8F" w14:textId="77777777" w:rsidR="008361C5" w:rsidRPr="00200234" w:rsidRDefault="008361C5" w:rsidP="009F24DE">
            <w:pPr>
              <w:keepNext/>
              <w:spacing w:before="60" w:after="60"/>
              <w:rPr>
                <w:rFonts w:cs="Segoe UI"/>
                <w:sz w:val="18"/>
              </w:rPr>
            </w:pPr>
            <w:r w:rsidRPr="00200234">
              <w:rPr>
                <w:rFonts w:cs="Segoe UI"/>
                <w:sz w:val="18"/>
              </w:rPr>
              <w:t>Māori</w:t>
            </w:r>
          </w:p>
        </w:tc>
        <w:tc>
          <w:tcPr>
            <w:tcW w:w="1276" w:type="dxa"/>
          </w:tcPr>
          <w:p w14:paraId="3922B522" w14:textId="77777777" w:rsidR="008361C5" w:rsidRPr="00200234" w:rsidRDefault="008361C5" w:rsidP="009F24DE">
            <w:pPr>
              <w:keepNext/>
              <w:tabs>
                <w:tab w:val="decimal" w:pos="652"/>
              </w:tabs>
              <w:spacing w:before="60" w:after="60"/>
              <w:rPr>
                <w:rFonts w:cs="Segoe UI"/>
                <w:sz w:val="18"/>
              </w:rPr>
            </w:pPr>
            <w:r w:rsidRPr="00200234">
              <w:rPr>
                <w:rFonts w:cs="Segoe UI"/>
                <w:sz w:val="18"/>
              </w:rPr>
              <w:t>33</w:t>
            </w:r>
          </w:p>
        </w:tc>
      </w:tr>
      <w:tr w:rsidR="008361C5" w:rsidRPr="00200234" w14:paraId="5162E8C6" w14:textId="77777777" w:rsidTr="008361C5">
        <w:trPr>
          <w:cantSplit/>
        </w:trPr>
        <w:tc>
          <w:tcPr>
            <w:tcW w:w="1985" w:type="dxa"/>
          </w:tcPr>
          <w:p w14:paraId="1F07ABC3" w14:textId="77777777" w:rsidR="008361C5" w:rsidRPr="00200234" w:rsidRDefault="008361C5" w:rsidP="009F24DE">
            <w:pPr>
              <w:keepNext/>
              <w:spacing w:before="60" w:after="60"/>
              <w:rPr>
                <w:rFonts w:cs="Segoe UI"/>
                <w:sz w:val="18"/>
              </w:rPr>
            </w:pPr>
            <w:r w:rsidRPr="00200234">
              <w:rPr>
                <w:rFonts w:cs="Segoe UI"/>
                <w:sz w:val="18"/>
              </w:rPr>
              <w:t>Pacific</w:t>
            </w:r>
          </w:p>
        </w:tc>
        <w:tc>
          <w:tcPr>
            <w:tcW w:w="1276" w:type="dxa"/>
          </w:tcPr>
          <w:p w14:paraId="0455246C" w14:textId="77777777" w:rsidR="008361C5" w:rsidRPr="00200234" w:rsidRDefault="008361C5" w:rsidP="009F24DE">
            <w:pPr>
              <w:keepNext/>
              <w:tabs>
                <w:tab w:val="decimal" w:pos="652"/>
              </w:tabs>
              <w:spacing w:before="60" w:after="60"/>
              <w:rPr>
                <w:rFonts w:cs="Segoe UI"/>
                <w:sz w:val="18"/>
              </w:rPr>
            </w:pPr>
            <w:r w:rsidRPr="00200234">
              <w:rPr>
                <w:rFonts w:cs="Segoe UI"/>
                <w:sz w:val="18"/>
              </w:rPr>
              <w:t>8</w:t>
            </w:r>
          </w:p>
        </w:tc>
      </w:tr>
      <w:tr w:rsidR="008361C5" w:rsidRPr="00200234" w14:paraId="3869F771" w14:textId="77777777" w:rsidTr="008361C5">
        <w:trPr>
          <w:cantSplit/>
        </w:trPr>
        <w:tc>
          <w:tcPr>
            <w:tcW w:w="1985" w:type="dxa"/>
          </w:tcPr>
          <w:p w14:paraId="5A88CDD8" w14:textId="77777777" w:rsidR="008361C5" w:rsidRPr="00200234" w:rsidRDefault="008361C5" w:rsidP="009F24DE">
            <w:pPr>
              <w:keepNext/>
              <w:spacing w:before="60" w:after="60"/>
              <w:rPr>
                <w:rFonts w:cs="Segoe UI"/>
                <w:sz w:val="18"/>
              </w:rPr>
            </w:pPr>
            <w:r w:rsidRPr="00200234">
              <w:rPr>
                <w:rFonts w:cs="Segoe UI"/>
                <w:sz w:val="18"/>
              </w:rPr>
              <w:t>Other</w:t>
            </w:r>
          </w:p>
        </w:tc>
        <w:tc>
          <w:tcPr>
            <w:tcW w:w="1276" w:type="dxa"/>
          </w:tcPr>
          <w:p w14:paraId="4D4DB01C" w14:textId="77777777" w:rsidR="008361C5" w:rsidRPr="00200234" w:rsidRDefault="008361C5" w:rsidP="009F24DE">
            <w:pPr>
              <w:keepNext/>
              <w:tabs>
                <w:tab w:val="decimal" w:pos="652"/>
              </w:tabs>
              <w:spacing w:before="60" w:after="60"/>
              <w:rPr>
                <w:rFonts w:cs="Segoe UI"/>
                <w:sz w:val="18"/>
              </w:rPr>
            </w:pPr>
            <w:r w:rsidRPr="00200234">
              <w:rPr>
                <w:rFonts w:cs="Segoe UI"/>
                <w:sz w:val="18"/>
              </w:rPr>
              <w:t>203</w:t>
            </w:r>
          </w:p>
        </w:tc>
      </w:tr>
      <w:tr w:rsidR="008361C5" w:rsidRPr="00200234" w14:paraId="4E6B634A" w14:textId="77777777" w:rsidTr="008361C5">
        <w:trPr>
          <w:cantSplit/>
        </w:trPr>
        <w:tc>
          <w:tcPr>
            <w:tcW w:w="1985" w:type="dxa"/>
          </w:tcPr>
          <w:p w14:paraId="544678A6" w14:textId="77777777" w:rsidR="008361C5" w:rsidRPr="00200234" w:rsidRDefault="008361C5" w:rsidP="009F24DE">
            <w:pPr>
              <w:keepNext/>
              <w:spacing w:before="60" w:after="60"/>
              <w:rPr>
                <w:rFonts w:cs="Segoe UI"/>
                <w:b/>
                <w:sz w:val="18"/>
              </w:rPr>
            </w:pPr>
            <w:r w:rsidRPr="00200234">
              <w:rPr>
                <w:rFonts w:cs="Segoe UI"/>
                <w:b/>
                <w:sz w:val="18"/>
              </w:rPr>
              <w:t>Total</w:t>
            </w:r>
          </w:p>
        </w:tc>
        <w:tc>
          <w:tcPr>
            <w:tcW w:w="1276" w:type="dxa"/>
          </w:tcPr>
          <w:p w14:paraId="2E8F66E6" w14:textId="77777777" w:rsidR="008361C5" w:rsidRPr="00200234" w:rsidRDefault="008361C5" w:rsidP="009F24DE">
            <w:pPr>
              <w:keepNext/>
              <w:tabs>
                <w:tab w:val="decimal" w:pos="652"/>
              </w:tabs>
              <w:spacing w:before="60" w:after="60"/>
              <w:rPr>
                <w:rFonts w:cs="Segoe UI"/>
                <w:b/>
                <w:sz w:val="18"/>
              </w:rPr>
            </w:pPr>
            <w:r w:rsidRPr="00200234">
              <w:rPr>
                <w:rFonts w:cs="Segoe UI"/>
                <w:b/>
                <w:sz w:val="18"/>
              </w:rPr>
              <w:t>265</w:t>
            </w:r>
          </w:p>
        </w:tc>
      </w:tr>
    </w:tbl>
    <w:p w14:paraId="08CCF0A4" w14:textId="0623ECC1" w:rsidR="008361C5" w:rsidRPr="00200234" w:rsidRDefault="008361C5" w:rsidP="008361C5">
      <w:pPr>
        <w:pStyle w:val="Note"/>
      </w:pPr>
      <w:r w:rsidRPr="00200234">
        <w:t>Source</w:t>
      </w:r>
      <w:r w:rsidR="00B45714" w:rsidRPr="00200234">
        <w:t>s</w:t>
      </w:r>
      <w:r w:rsidRPr="00200234">
        <w:t>: PRIMHD data</w:t>
      </w:r>
      <w:r w:rsidR="0015429E">
        <w:t xml:space="preserve"> (extracted</w:t>
      </w:r>
      <w:r w:rsidRPr="00200234">
        <w:t xml:space="preserve"> 29 July 2019</w:t>
      </w:r>
      <w:r w:rsidR="003510A5">
        <w:t>)</w:t>
      </w:r>
      <w:r w:rsidRPr="00200234">
        <w:t xml:space="preserve"> </w:t>
      </w:r>
      <w:r w:rsidR="00314226" w:rsidRPr="00200234">
        <w:t xml:space="preserve">and manual data from </w:t>
      </w:r>
      <w:r w:rsidRPr="00200234">
        <w:t xml:space="preserve">Lakes, </w:t>
      </w:r>
      <w:proofErr w:type="spellStart"/>
      <w:r w:rsidRPr="00200234">
        <w:t>MidCentral</w:t>
      </w:r>
      <w:proofErr w:type="spellEnd"/>
      <w:r w:rsidRPr="00200234">
        <w:t xml:space="preserve">, Nelson Marlborough, Southern and </w:t>
      </w:r>
      <w:proofErr w:type="spellStart"/>
      <w:r w:rsidRPr="00200234">
        <w:t>Waitematā</w:t>
      </w:r>
      <w:proofErr w:type="spellEnd"/>
      <w:r w:rsidRPr="00200234">
        <w:t xml:space="preserve"> DHBs.</w:t>
      </w:r>
    </w:p>
    <w:p w14:paraId="3938867D" w14:textId="77777777" w:rsidR="008361C5" w:rsidRPr="00200234" w:rsidRDefault="008361C5" w:rsidP="009F24DE"/>
    <w:p w14:paraId="488C4B1E" w14:textId="334DF6DD" w:rsidR="008361C5" w:rsidRPr="00200234" w:rsidRDefault="008361C5" w:rsidP="008361C5">
      <w:pPr>
        <w:pStyle w:val="Table"/>
      </w:pPr>
      <w:bookmarkStart w:id="301" w:name="_Ref65673275"/>
      <w:bookmarkStart w:id="302" w:name="_Toc63764684"/>
      <w:bookmarkStart w:id="303" w:name="_Toc69306791"/>
      <w:r w:rsidRPr="00200234">
        <w:t xml:space="preserve">Table </w:t>
      </w:r>
      <w:fldSimple w:instr=" SEQ Table \* ARABIC ">
        <w:r w:rsidR="00422361">
          <w:rPr>
            <w:noProof/>
          </w:rPr>
          <w:t>21</w:t>
        </w:r>
      </w:fldSimple>
      <w:bookmarkEnd w:id="301"/>
      <w:r w:rsidRPr="00200234">
        <w:t xml:space="preserve">: Number of people treated with </w:t>
      </w:r>
      <w:r w:rsidR="003A59E3" w:rsidRPr="003A59E3">
        <w:t>ECT</w:t>
      </w:r>
      <w:r w:rsidRPr="00200234">
        <w:t>, by ethnicity, 1</w:t>
      </w:r>
      <w:r w:rsidR="00F55A31">
        <w:t> </w:t>
      </w:r>
      <w:r w:rsidRPr="00200234">
        <w:t>January to 31 December 2019</w:t>
      </w:r>
      <w:bookmarkEnd w:id="302"/>
      <w:bookmarkEnd w:id="303"/>
    </w:p>
    <w:tbl>
      <w:tblPr>
        <w:tblW w:w="3261" w:type="dxa"/>
        <w:tblInd w:w="57" w:type="dxa"/>
        <w:tblBorders>
          <w:top w:val="single" w:sz="4" w:space="0" w:color="A6A6A6"/>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1985"/>
        <w:gridCol w:w="1276"/>
      </w:tblGrid>
      <w:tr w:rsidR="008361C5" w:rsidRPr="00200234" w14:paraId="1D817125" w14:textId="77777777" w:rsidTr="008361C5">
        <w:trPr>
          <w:cantSplit/>
        </w:trPr>
        <w:tc>
          <w:tcPr>
            <w:tcW w:w="1985" w:type="dxa"/>
            <w:tcBorders>
              <w:top w:val="nil"/>
              <w:bottom w:val="nil"/>
            </w:tcBorders>
            <w:shd w:val="clear" w:color="auto" w:fill="D9D9D9"/>
          </w:tcPr>
          <w:p w14:paraId="492A9258" w14:textId="77777777" w:rsidR="008361C5" w:rsidRPr="00200234" w:rsidRDefault="008361C5" w:rsidP="009F24DE">
            <w:pPr>
              <w:keepNext/>
              <w:spacing w:before="60" w:after="60"/>
              <w:rPr>
                <w:rFonts w:cs="Segoe UI"/>
                <w:b/>
                <w:sz w:val="18"/>
              </w:rPr>
            </w:pPr>
            <w:r w:rsidRPr="00200234">
              <w:rPr>
                <w:rFonts w:cs="Segoe UI"/>
                <w:b/>
                <w:sz w:val="18"/>
              </w:rPr>
              <w:t>Ethnicity</w:t>
            </w:r>
          </w:p>
        </w:tc>
        <w:tc>
          <w:tcPr>
            <w:tcW w:w="1276" w:type="dxa"/>
            <w:tcBorders>
              <w:top w:val="nil"/>
              <w:bottom w:val="nil"/>
            </w:tcBorders>
            <w:shd w:val="clear" w:color="auto" w:fill="D9D9D9"/>
          </w:tcPr>
          <w:p w14:paraId="013D08A6" w14:textId="77777777" w:rsidR="008361C5" w:rsidRPr="00200234" w:rsidRDefault="008361C5" w:rsidP="009F24DE">
            <w:pPr>
              <w:keepNext/>
              <w:spacing w:before="60" w:after="60"/>
              <w:jc w:val="center"/>
              <w:rPr>
                <w:rFonts w:cs="Segoe UI"/>
                <w:b/>
                <w:sz w:val="18"/>
              </w:rPr>
            </w:pPr>
            <w:r w:rsidRPr="00200234">
              <w:rPr>
                <w:rFonts w:cs="Segoe UI"/>
                <w:b/>
                <w:sz w:val="18"/>
              </w:rPr>
              <w:t>Number</w:t>
            </w:r>
          </w:p>
        </w:tc>
      </w:tr>
      <w:tr w:rsidR="008361C5" w:rsidRPr="00200234" w14:paraId="25A5A5DD" w14:textId="77777777" w:rsidTr="008361C5">
        <w:trPr>
          <w:cantSplit/>
        </w:trPr>
        <w:tc>
          <w:tcPr>
            <w:tcW w:w="1985" w:type="dxa"/>
            <w:tcBorders>
              <w:top w:val="nil"/>
            </w:tcBorders>
          </w:tcPr>
          <w:p w14:paraId="09DE4BB2" w14:textId="77777777" w:rsidR="008361C5" w:rsidRPr="00200234" w:rsidRDefault="008361C5" w:rsidP="009F24DE">
            <w:pPr>
              <w:keepNext/>
              <w:spacing w:before="60" w:after="60"/>
              <w:rPr>
                <w:rFonts w:cs="Segoe UI"/>
                <w:sz w:val="18"/>
              </w:rPr>
            </w:pPr>
            <w:r w:rsidRPr="00200234">
              <w:rPr>
                <w:rFonts w:cs="Segoe UI"/>
                <w:sz w:val="18"/>
              </w:rPr>
              <w:t>Asian</w:t>
            </w:r>
          </w:p>
        </w:tc>
        <w:tc>
          <w:tcPr>
            <w:tcW w:w="1276" w:type="dxa"/>
            <w:tcBorders>
              <w:top w:val="nil"/>
            </w:tcBorders>
          </w:tcPr>
          <w:p w14:paraId="300AB3EF" w14:textId="77777777" w:rsidR="008361C5" w:rsidRPr="00200234" w:rsidRDefault="008361C5" w:rsidP="009F24DE">
            <w:pPr>
              <w:keepNext/>
              <w:tabs>
                <w:tab w:val="decimal" w:pos="652"/>
              </w:tabs>
              <w:spacing w:before="60" w:after="60"/>
              <w:rPr>
                <w:rFonts w:cs="Segoe UI"/>
                <w:sz w:val="18"/>
              </w:rPr>
            </w:pPr>
            <w:r w:rsidRPr="00200234">
              <w:rPr>
                <w:rFonts w:cs="Segoe UI"/>
                <w:sz w:val="18"/>
              </w:rPr>
              <w:t>15</w:t>
            </w:r>
          </w:p>
        </w:tc>
      </w:tr>
      <w:tr w:rsidR="008361C5" w:rsidRPr="00200234" w14:paraId="24E12BF3" w14:textId="77777777" w:rsidTr="008361C5">
        <w:trPr>
          <w:cantSplit/>
        </w:trPr>
        <w:tc>
          <w:tcPr>
            <w:tcW w:w="1985" w:type="dxa"/>
          </w:tcPr>
          <w:p w14:paraId="5ED8DCCC" w14:textId="77777777" w:rsidR="008361C5" w:rsidRPr="00200234" w:rsidRDefault="008361C5" w:rsidP="009F24DE">
            <w:pPr>
              <w:keepNext/>
              <w:spacing w:before="60" w:after="60"/>
              <w:rPr>
                <w:rFonts w:cs="Segoe UI"/>
                <w:sz w:val="18"/>
              </w:rPr>
            </w:pPr>
            <w:r w:rsidRPr="00200234">
              <w:rPr>
                <w:rFonts w:cs="Segoe UI"/>
                <w:sz w:val="18"/>
              </w:rPr>
              <w:t>Māori</w:t>
            </w:r>
          </w:p>
        </w:tc>
        <w:tc>
          <w:tcPr>
            <w:tcW w:w="1276" w:type="dxa"/>
          </w:tcPr>
          <w:p w14:paraId="409B6792" w14:textId="77777777" w:rsidR="008361C5" w:rsidRPr="00200234" w:rsidRDefault="008361C5" w:rsidP="009F24DE">
            <w:pPr>
              <w:keepNext/>
              <w:tabs>
                <w:tab w:val="decimal" w:pos="652"/>
              </w:tabs>
              <w:spacing w:before="60" w:after="60"/>
              <w:rPr>
                <w:rFonts w:cs="Segoe UI"/>
                <w:sz w:val="18"/>
              </w:rPr>
            </w:pPr>
            <w:r w:rsidRPr="00200234">
              <w:rPr>
                <w:rFonts w:cs="Segoe UI"/>
                <w:sz w:val="18"/>
              </w:rPr>
              <w:t>23</w:t>
            </w:r>
          </w:p>
        </w:tc>
      </w:tr>
      <w:tr w:rsidR="008361C5" w:rsidRPr="00200234" w14:paraId="43C32192" w14:textId="77777777" w:rsidTr="008361C5">
        <w:trPr>
          <w:cantSplit/>
        </w:trPr>
        <w:tc>
          <w:tcPr>
            <w:tcW w:w="1985" w:type="dxa"/>
          </w:tcPr>
          <w:p w14:paraId="6D5FCFEF" w14:textId="77777777" w:rsidR="008361C5" w:rsidRPr="00200234" w:rsidRDefault="008361C5" w:rsidP="009F24DE">
            <w:pPr>
              <w:keepNext/>
              <w:spacing w:before="60" w:after="60"/>
              <w:rPr>
                <w:rFonts w:cs="Segoe UI"/>
                <w:sz w:val="18"/>
              </w:rPr>
            </w:pPr>
            <w:r w:rsidRPr="00200234">
              <w:rPr>
                <w:rFonts w:cs="Segoe UI"/>
                <w:sz w:val="18"/>
              </w:rPr>
              <w:t>Pacific</w:t>
            </w:r>
          </w:p>
        </w:tc>
        <w:tc>
          <w:tcPr>
            <w:tcW w:w="1276" w:type="dxa"/>
          </w:tcPr>
          <w:p w14:paraId="0FB8E8AE" w14:textId="77777777" w:rsidR="008361C5" w:rsidRPr="00200234" w:rsidRDefault="008361C5" w:rsidP="009F24DE">
            <w:pPr>
              <w:keepNext/>
              <w:tabs>
                <w:tab w:val="decimal" w:pos="652"/>
              </w:tabs>
              <w:spacing w:before="60" w:after="60"/>
              <w:rPr>
                <w:rFonts w:cs="Segoe UI"/>
                <w:sz w:val="18"/>
              </w:rPr>
            </w:pPr>
            <w:r w:rsidRPr="00200234">
              <w:rPr>
                <w:rFonts w:cs="Segoe UI"/>
                <w:sz w:val="18"/>
              </w:rPr>
              <w:t>6</w:t>
            </w:r>
          </w:p>
        </w:tc>
      </w:tr>
      <w:tr w:rsidR="008361C5" w:rsidRPr="00200234" w14:paraId="26A4F823" w14:textId="77777777" w:rsidTr="008361C5">
        <w:trPr>
          <w:cantSplit/>
        </w:trPr>
        <w:tc>
          <w:tcPr>
            <w:tcW w:w="1985" w:type="dxa"/>
          </w:tcPr>
          <w:p w14:paraId="2FEBA705" w14:textId="77777777" w:rsidR="008361C5" w:rsidRPr="00200234" w:rsidRDefault="008361C5" w:rsidP="009F24DE">
            <w:pPr>
              <w:keepNext/>
              <w:spacing w:before="60" w:after="60"/>
              <w:rPr>
                <w:rFonts w:cs="Segoe UI"/>
                <w:sz w:val="18"/>
              </w:rPr>
            </w:pPr>
            <w:r w:rsidRPr="00200234">
              <w:rPr>
                <w:rFonts w:cs="Segoe UI"/>
                <w:sz w:val="18"/>
              </w:rPr>
              <w:t>Other</w:t>
            </w:r>
          </w:p>
        </w:tc>
        <w:tc>
          <w:tcPr>
            <w:tcW w:w="1276" w:type="dxa"/>
          </w:tcPr>
          <w:p w14:paraId="7E734181" w14:textId="77777777" w:rsidR="008361C5" w:rsidRPr="00200234" w:rsidRDefault="008361C5" w:rsidP="009F24DE">
            <w:pPr>
              <w:keepNext/>
              <w:tabs>
                <w:tab w:val="decimal" w:pos="652"/>
              </w:tabs>
              <w:spacing w:before="60" w:after="60"/>
              <w:rPr>
                <w:rFonts w:cs="Segoe UI"/>
                <w:sz w:val="18"/>
              </w:rPr>
            </w:pPr>
            <w:r w:rsidRPr="00200234">
              <w:rPr>
                <w:rFonts w:cs="Segoe UI"/>
                <w:sz w:val="18"/>
              </w:rPr>
              <w:t>202</w:t>
            </w:r>
          </w:p>
        </w:tc>
      </w:tr>
      <w:tr w:rsidR="008361C5" w:rsidRPr="00200234" w14:paraId="4FAB9E5B" w14:textId="77777777" w:rsidTr="008361C5">
        <w:trPr>
          <w:cantSplit/>
        </w:trPr>
        <w:tc>
          <w:tcPr>
            <w:tcW w:w="1985" w:type="dxa"/>
          </w:tcPr>
          <w:p w14:paraId="21D01D60" w14:textId="77777777" w:rsidR="008361C5" w:rsidRPr="00200234" w:rsidRDefault="008361C5" w:rsidP="009F24DE">
            <w:pPr>
              <w:keepNext/>
              <w:spacing w:before="60" w:after="60"/>
              <w:rPr>
                <w:rFonts w:cs="Segoe UI"/>
                <w:b/>
                <w:sz w:val="18"/>
              </w:rPr>
            </w:pPr>
            <w:r w:rsidRPr="00200234">
              <w:rPr>
                <w:rFonts w:cs="Segoe UI"/>
                <w:b/>
                <w:sz w:val="18"/>
              </w:rPr>
              <w:t>Total</w:t>
            </w:r>
          </w:p>
        </w:tc>
        <w:tc>
          <w:tcPr>
            <w:tcW w:w="1276" w:type="dxa"/>
          </w:tcPr>
          <w:p w14:paraId="4803AA5D" w14:textId="77777777" w:rsidR="008361C5" w:rsidRPr="00200234" w:rsidRDefault="008361C5" w:rsidP="009F24DE">
            <w:pPr>
              <w:keepNext/>
              <w:tabs>
                <w:tab w:val="decimal" w:pos="652"/>
              </w:tabs>
              <w:spacing w:before="60" w:after="60"/>
              <w:rPr>
                <w:rFonts w:cs="Segoe UI"/>
                <w:b/>
                <w:sz w:val="18"/>
              </w:rPr>
            </w:pPr>
            <w:r w:rsidRPr="00200234">
              <w:rPr>
                <w:rFonts w:cs="Segoe UI"/>
                <w:b/>
                <w:sz w:val="18"/>
              </w:rPr>
              <w:t>246</w:t>
            </w:r>
          </w:p>
        </w:tc>
      </w:tr>
    </w:tbl>
    <w:p w14:paraId="05E6EA78" w14:textId="07F77998" w:rsidR="008361C5" w:rsidRPr="00200234" w:rsidRDefault="008361C5" w:rsidP="008361C5">
      <w:pPr>
        <w:pStyle w:val="Note"/>
      </w:pPr>
      <w:r w:rsidRPr="00200234">
        <w:t>Source</w:t>
      </w:r>
      <w:r w:rsidR="00B45714" w:rsidRPr="00200234">
        <w:t>s</w:t>
      </w:r>
      <w:r w:rsidRPr="00200234">
        <w:t>: PRIMHD data</w:t>
      </w:r>
      <w:r w:rsidR="0015429E">
        <w:t xml:space="preserve"> (extracted</w:t>
      </w:r>
      <w:r w:rsidRPr="00200234">
        <w:t xml:space="preserve"> 19 October 2020</w:t>
      </w:r>
      <w:r w:rsidR="003510A5">
        <w:t>)</w:t>
      </w:r>
      <w:r w:rsidRPr="00200234">
        <w:t xml:space="preserve"> </w:t>
      </w:r>
      <w:r w:rsidR="00314226" w:rsidRPr="00200234">
        <w:t xml:space="preserve">and manual data from </w:t>
      </w:r>
      <w:r w:rsidRPr="00200234">
        <w:t>Southern DHB.</w:t>
      </w:r>
    </w:p>
    <w:p w14:paraId="3702486B" w14:textId="77777777" w:rsidR="008361C5" w:rsidRPr="00200234" w:rsidRDefault="008361C5" w:rsidP="00DC3196">
      <w:pPr>
        <w:pStyle w:val="Heading2"/>
      </w:pPr>
      <w:bookmarkStart w:id="304" w:name="_Toc65141639"/>
      <w:bookmarkStart w:id="305" w:name="_Toc69307720"/>
      <w:r w:rsidRPr="00200234">
        <w:t>Consent to treatment</w:t>
      </w:r>
      <w:bookmarkEnd w:id="304"/>
      <w:bookmarkEnd w:id="305"/>
    </w:p>
    <w:p w14:paraId="6DA0FE92" w14:textId="77777777" w:rsidR="008361C5" w:rsidRPr="00200234" w:rsidRDefault="008361C5" w:rsidP="009F24DE">
      <w:r w:rsidRPr="00200234">
        <w:t>Under the Mental Health Act, a person can be treated with ECT if they consent in writing, or if an independent psychiatrist appointed by the Mental Health Review Tribunal considers this treatment to be in the person’s interests. An independent psychiatrist cannot be the patient’s responsible clinician or part of the patient’s clinical team.</w:t>
      </w:r>
    </w:p>
    <w:p w14:paraId="4D44C750" w14:textId="77777777" w:rsidR="009F24DE" w:rsidRPr="00200234" w:rsidRDefault="009F24DE" w:rsidP="009F24DE"/>
    <w:p w14:paraId="54530EBD" w14:textId="54E76CC6" w:rsidR="008361C5" w:rsidRPr="00200234" w:rsidRDefault="008361C5" w:rsidP="009F24DE">
      <w:r w:rsidRPr="00200234">
        <w:t xml:space="preserve">During 2018, services administered ECT to 99 people who could not consent to treatment. The total number of ECT treatments administered without consent was 1,024, a slight decrease from 1,137 treatments in 2017. An additional 23 treatments were administered to two people who did have capacity to consent but refused, after the DHB gained a second opinion from an independent psychiatrist. </w:t>
      </w:r>
    </w:p>
    <w:p w14:paraId="0F34BD76" w14:textId="77777777" w:rsidR="009F24DE" w:rsidRPr="00200234" w:rsidRDefault="009F24DE" w:rsidP="009F24DE"/>
    <w:p w14:paraId="1169517D" w14:textId="3C008307" w:rsidR="008361C5" w:rsidRPr="00200234" w:rsidRDefault="008361C5" w:rsidP="008361C5">
      <w:pPr>
        <w:rPr>
          <w:rFonts w:cs="Segoe UI"/>
        </w:rPr>
      </w:pPr>
      <w:r w:rsidRPr="00200234">
        <w:rPr>
          <w:rFonts w:cs="Segoe UI"/>
        </w:rPr>
        <w:lastRenderedPageBreak/>
        <w:t>During 2019, services administered ECT to 88 people who could not consent to treatment. The total number of ECT treatments administered without consent was 838, a decrease from 2018. An additional 36 treatments were administered to four people who did have capacity to consent but refused after the DHB gained a second opinion from an independent psychiatrist.</w:t>
      </w:r>
    </w:p>
    <w:p w14:paraId="5D0B04D6" w14:textId="77777777" w:rsidR="009F24DE" w:rsidRPr="00200234" w:rsidRDefault="009F24DE" w:rsidP="009F24DE"/>
    <w:p w14:paraId="1067E04F" w14:textId="48BE9048" w:rsidR="008361C5" w:rsidRPr="00200234" w:rsidRDefault="008361C5" w:rsidP="008361C5">
      <w:pPr>
        <w:rPr>
          <w:rFonts w:cs="Segoe UI"/>
        </w:rPr>
      </w:pPr>
      <w:r w:rsidRPr="00200234">
        <w:rPr>
          <w:rFonts w:cs="Segoe UI"/>
        </w:rPr>
        <w:t xml:space="preserve">Tables </w:t>
      </w:r>
      <w:r w:rsidR="00A012A6" w:rsidRPr="00200234">
        <w:rPr>
          <w:rFonts w:cs="Segoe UI"/>
        </w:rPr>
        <w:fldChar w:fldCharType="begin"/>
      </w:r>
      <w:r w:rsidR="00A012A6" w:rsidRPr="00200234">
        <w:rPr>
          <w:rFonts w:cs="Segoe UI"/>
        </w:rPr>
        <w:instrText xml:space="preserve"> REF _Ref65673313 \# 0 \h </w:instrText>
      </w:r>
      <w:r w:rsidR="00A012A6" w:rsidRPr="00200234">
        <w:rPr>
          <w:rFonts w:cs="Segoe UI"/>
        </w:rPr>
      </w:r>
      <w:r w:rsidR="00A012A6" w:rsidRPr="00200234">
        <w:rPr>
          <w:rFonts w:cs="Segoe UI"/>
        </w:rPr>
        <w:fldChar w:fldCharType="separate"/>
      </w:r>
      <w:r w:rsidR="00422361">
        <w:rPr>
          <w:rFonts w:cs="Segoe UI"/>
        </w:rPr>
        <w:t>22</w:t>
      </w:r>
      <w:r w:rsidR="00A012A6" w:rsidRPr="00200234">
        <w:rPr>
          <w:rFonts w:cs="Segoe UI"/>
        </w:rPr>
        <w:fldChar w:fldCharType="end"/>
      </w:r>
      <w:r w:rsidRPr="00200234">
        <w:rPr>
          <w:rFonts w:cs="Segoe UI"/>
        </w:rPr>
        <w:t xml:space="preserve"> and </w:t>
      </w:r>
      <w:r w:rsidR="00A012A6" w:rsidRPr="00200234">
        <w:rPr>
          <w:rFonts w:cs="Segoe UI"/>
        </w:rPr>
        <w:fldChar w:fldCharType="begin"/>
      </w:r>
      <w:r w:rsidR="00A012A6" w:rsidRPr="00200234">
        <w:rPr>
          <w:rFonts w:cs="Segoe UI"/>
        </w:rPr>
        <w:instrText xml:space="preserve"> REF _Ref65673321 \# 0 \h </w:instrText>
      </w:r>
      <w:r w:rsidR="00A012A6" w:rsidRPr="00200234">
        <w:rPr>
          <w:rFonts w:cs="Segoe UI"/>
        </w:rPr>
      </w:r>
      <w:r w:rsidR="00A012A6" w:rsidRPr="00200234">
        <w:rPr>
          <w:rFonts w:cs="Segoe UI"/>
        </w:rPr>
        <w:fldChar w:fldCharType="separate"/>
      </w:r>
      <w:r w:rsidR="00422361">
        <w:rPr>
          <w:rFonts w:cs="Segoe UI"/>
        </w:rPr>
        <w:t>23</w:t>
      </w:r>
      <w:r w:rsidR="00A012A6" w:rsidRPr="00200234">
        <w:rPr>
          <w:rFonts w:cs="Segoe UI"/>
        </w:rPr>
        <w:fldChar w:fldCharType="end"/>
      </w:r>
      <w:r w:rsidRPr="00200234">
        <w:rPr>
          <w:rFonts w:cs="Segoe UI"/>
        </w:rPr>
        <w:t xml:space="preserve"> show the number of treatments administered without consent during 2018 and 2019.</w:t>
      </w:r>
    </w:p>
    <w:p w14:paraId="7C14FD81" w14:textId="2A7E61A7" w:rsidR="008361C5" w:rsidRPr="00200234" w:rsidRDefault="008361C5" w:rsidP="0049640C">
      <w:pPr>
        <w:pStyle w:val="Table"/>
        <w:spacing w:before="240"/>
      </w:pPr>
      <w:bookmarkStart w:id="306" w:name="_Ref65673313"/>
      <w:bookmarkStart w:id="307" w:name="_Toc34653665"/>
      <w:bookmarkStart w:id="308" w:name="_Toc63764685"/>
      <w:bookmarkStart w:id="309" w:name="_Toc69306792"/>
      <w:r w:rsidRPr="00200234">
        <w:t xml:space="preserve">Table </w:t>
      </w:r>
      <w:fldSimple w:instr=" SEQ Table \* ARABIC ">
        <w:r w:rsidR="00422361">
          <w:rPr>
            <w:noProof/>
          </w:rPr>
          <w:t>22</w:t>
        </w:r>
      </w:fldSimple>
      <w:bookmarkEnd w:id="306"/>
      <w:r w:rsidRPr="00200234">
        <w:t xml:space="preserve">: </w:t>
      </w:r>
      <w:r w:rsidR="003A59E3" w:rsidRPr="003A59E3">
        <w:t>ECT</w:t>
      </w:r>
      <w:r w:rsidRPr="00200234">
        <w:t xml:space="preserve"> administered under second opinion without consent, by DHB of service, 1 January to 31 December 2018</w:t>
      </w:r>
      <w:bookmarkEnd w:id="307"/>
      <w:bookmarkEnd w:id="308"/>
      <w:bookmarkEnd w:id="309"/>
    </w:p>
    <w:tbl>
      <w:tblPr>
        <w:tblW w:w="5000" w:type="pct"/>
        <w:tblBorders>
          <w:top w:val="single" w:sz="4" w:space="0" w:color="A6A6A6"/>
          <w:bottom w:val="single" w:sz="4" w:space="0" w:color="A6A6A6"/>
          <w:insideH w:val="single" w:sz="6" w:space="0" w:color="A6A6A6"/>
        </w:tblBorders>
        <w:tblCellMar>
          <w:left w:w="57" w:type="dxa"/>
          <w:right w:w="57" w:type="dxa"/>
        </w:tblCellMar>
        <w:tblLook w:val="01E0" w:firstRow="1" w:lastRow="1" w:firstColumn="1" w:lastColumn="1" w:noHBand="0" w:noVBand="0"/>
      </w:tblPr>
      <w:tblGrid>
        <w:gridCol w:w="1716"/>
        <w:gridCol w:w="1493"/>
        <w:gridCol w:w="1774"/>
        <w:gridCol w:w="1472"/>
        <w:gridCol w:w="1624"/>
      </w:tblGrid>
      <w:tr w:rsidR="008361C5" w:rsidRPr="00200234" w14:paraId="19D8A5CA" w14:textId="77777777" w:rsidTr="00B00B4D">
        <w:trPr>
          <w:cantSplit/>
          <w:trHeight w:val="808"/>
        </w:trPr>
        <w:tc>
          <w:tcPr>
            <w:tcW w:w="1062" w:type="pct"/>
            <w:tcBorders>
              <w:top w:val="nil"/>
              <w:bottom w:val="nil"/>
            </w:tcBorders>
            <w:shd w:val="clear" w:color="auto" w:fill="D9D9D9"/>
          </w:tcPr>
          <w:p w14:paraId="4C4E30A7" w14:textId="77777777" w:rsidR="008361C5" w:rsidRPr="00200234" w:rsidRDefault="008361C5" w:rsidP="0049640C">
            <w:pPr>
              <w:keepNext/>
              <w:spacing w:before="60" w:after="60"/>
              <w:rPr>
                <w:rFonts w:cs="Segoe UI"/>
                <w:b/>
                <w:sz w:val="18"/>
              </w:rPr>
            </w:pPr>
            <w:r w:rsidRPr="00200234">
              <w:rPr>
                <w:rFonts w:cs="Segoe UI"/>
                <w:b/>
                <w:sz w:val="18"/>
              </w:rPr>
              <w:t>DHB of service</w:t>
            </w:r>
          </w:p>
        </w:tc>
        <w:tc>
          <w:tcPr>
            <w:tcW w:w="2022" w:type="pct"/>
            <w:gridSpan w:val="2"/>
            <w:tcBorders>
              <w:top w:val="nil"/>
              <w:bottom w:val="nil"/>
            </w:tcBorders>
            <w:shd w:val="clear" w:color="auto" w:fill="D9D9D9"/>
          </w:tcPr>
          <w:p w14:paraId="6EAD5AFF" w14:textId="77777777" w:rsidR="008361C5" w:rsidRPr="00200234" w:rsidRDefault="008361C5" w:rsidP="0049640C">
            <w:pPr>
              <w:keepNext/>
              <w:spacing w:before="60" w:after="60"/>
              <w:jc w:val="center"/>
              <w:rPr>
                <w:rFonts w:cs="Segoe UI"/>
                <w:b/>
                <w:sz w:val="18"/>
              </w:rPr>
            </w:pPr>
            <w:r w:rsidRPr="00200234">
              <w:rPr>
                <w:rFonts w:cs="Segoe UI"/>
                <w:b/>
                <w:sz w:val="18"/>
              </w:rPr>
              <w:t>Second opinion where patient did not have the capacity to consent</w:t>
            </w:r>
          </w:p>
        </w:tc>
        <w:tc>
          <w:tcPr>
            <w:tcW w:w="1916" w:type="pct"/>
            <w:gridSpan w:val="2"/>
            <w:tcBorders>
              <w:top w:val="nil"/>
              <w:bottom w:val="nil"/>
            </w:tcBorders>
            <w:shd w:val="clear" w:color="auto" w:fill="D9D9D9"/>
          </w:tcPr>
          <w:p w14:paraId="0B88CACC" w14:textId="77777777" w:rsidR="008361C5" w:rsidRPr="00200234" w:rsidRDefault="008361C5" w:rsidP="0049640C">
            <w:pPr>
              <w:keepNext/>
              <w:spacing w:before="60" w:after="60"/>
              <w:jc w:val="center"/>
              <w:rPr>
                <w:rFonts w:cs="Segoe UI"/>
                <w:b/>
                <w:sz w:val="18"/>
              </w:rPr>
            </w:pPr>
            <w:r w:rsidRPr="00200234">
              <w:rPr>
                <w:rFonts w:cs="Segoe UI"/>
                <w:b/>
                <w:sz w:val="18"/>
              </w:rPr>
              <w:t>Second opinion where patient had capacity and refused to consent</w:t>
            </w:r>
          </w:p>
        </w:tc>
      </w:tr>
      <w:tr w:rsidR="008361C5" w:rsidRPr="00200234" w14:paraId="4924220F" w14:textId="77777777" w:rsidTr="00B00B4D">
        <w:trPr>
          <w:cantSplit/>
          <w:trHeight w:val="808"/>
        </w:trPr>
        <w:tc>
          <w:tcPr>
            <w:tcW w:w="1062" w:type="pct"/>
            <w:tcBorders>
              <w:top w:val="nil"/>
            </w:tcBorders>
            <w:shd w:val="clear" w:color="auto" w:fill="D9D9D9"/>
          </w:tcPr>
          <w:p w14:paraId="275CFA45" w14:textId="77777777" w:rsidR="008361C5" w:rsidRPr="00200234" w:rsidRDefault="008361C5" w:rsidP="0049640C">
            <w:pPr>
              <w:keepNext/>
              <w:spacing w:before="60" w:after="60"/>
              <w:rPr>
                <w:rFonts w:cs="Segoe UI"/>
                <w:b/>
                <w:sz w:val="18"/>
              </w:rPr>
            </w:pPr>
          </w:p>
        </w:tc>
        <w:tc>
          <w:tcPr>
            <w:tcW w:w="924" w:type="pct"/>
            <w:tcBorders>
              <w:top w:val="nil"/>
            </w:tcBorders>
            <w:shd w:val="clear" w:color="auto" w:fill="D9D9D9"/>
          </w:tcPr>
          <w:p w14:paraId="34F9F246" w14:textId="77777777" w:rsidR="008361C5" w:rsidRPr="00200234" w:rsidRDefault="008361C5" w:rsidP="0049640C">
            <w:pPr>
              <w:keepNext/>
              <w:spacing w:before="60" w:after="60"/>
              <w:jc w:val="center"/>
              <w:rPr>
                <w:rFonts w:cs="Segoe UI"/>
                <w:b/>
                <w:sz w:val="18"/>
              </w:rPr>
            </w:pPr>
            <w:r w:rsidRPr="00200234">
              <w:rPr>
                <w:rFonts w:cs="Segoe UI"/>
                <w:b/>
                <w:sz w:val="18"/>
              </w:rPr>
              <w:t>Number of people given ECT</w:t>
            </w:r>
          </w:p>
        </w:tc>
        <w:tc>
          <w:tcPr>
            <w:tcW w:w="1098" w:type="pct"/>
            <w:tcBorders>
              <w:top w:val="nil"/>
            </w:tcBorders>
            <w:shd w:val="clear" w:color="auto" w:fill="D9D9D9"/>
          </w:tcPr>
          <w:p w14:paraId="73D02CA9" w14:textId="77777777" w:rsidR="008361C5" w:rsidRPr="00200234" w:rsidRDefault="008361C5" w:rsidP="0049640C">
            <w:pPr>
              <w:keepNext/>
              <w:spacing w:before="60" w:after="60"/>
              <w:jc w:val="center"/>
              <w:rPr>
                <w:rFonts w:cs="Segoe UI"/>
                <w:b/>
                <w:sz w:val="18"/>
              </w:rPr>
            </w:pPr>
            <w:r w:rsidRPr="00200234">
              <w:rPr>
                <w:rFonts w:cs="Segoe UI"/>
                <w:b/>
                <w:sz w:val="18"/>
              </w:rPr>
              <w:t>Number of treatments administered</w:t>
            </w:r>
          </w:p>
        </w:tc>
        <w:tc>
          <w:tcPr>
            <w:tcW w:w="911" w:type="pct"/>
            <w:tcBorders>
              <w:top w:val="nil"/>
            </w:tcBorders>
            <w:shd w:val="clear" w:color="auto" w:fill="D9D9D9"/>
          </w:tcPr>
          <w:p w14:paraId="144E494E" w14:textId="77777777" w:rsidR="008361C5" w:rsidRPr="00200234" w:rsidRDefault="008361C5" w:rsidP="0049640C">
            <w:pPr>
              <w:keepNext/>
              <w:spacing w:before="60" w:after="60"/>
              <w:jc w:val="center"/>
              <w:rPr>
                <w:rFonts w:cs="Segoe UI"/>
                <w:b/>
                <w:sz w:val="18"/>
              </w:rPr>
            </w:pPr>
            <w:r w:rsidRPr="00200234">
              <w:rPr>
                <w:rFonts w:cs="Segoe UI"/>
                <w:b/>
                <w:sz w:val="18"/>
              </w:rPr>
              <w:t>Number of people given ECT</w:t>
            </w:r>
          </w:p>
        </w:tc>
        <w:tc>
          <w:tcPr>
            <w:tcW w:w="1005" w:type="pct"/>
            <w:tcBorders>
              <w:top w:val="nil"/>
            </w:tcBorders>
            <w:shd w:val="clear" w:color="auto" w:fill="D9D9D9"/>
          </w:tcPr>
          <w:p w14:paraId="1A5EFD32" w14:textId="77777777" w:rsidR="008361C5" w:rsidRPr="00200234" w:rsidRDefault="008361C5" w:rsidP="0049640C">
            <w:pPr>
              <w:keepNext/>
              <w:spacing w:before="60" w:after="60"/>
              <w:jc w:val="center"/>
              <w:rPr>
                <w:rFonts w:cs="Segoe UI"/>
                <w:b/>
                <w:sz w:val="18"/>
              </w:rPr>
            </w:pPr>
            <w:r w:rsidRPr="00200234">
              <w:rPr>
                <w:rFonts w:cs="Segoe UI"/>
                <w:b/>
                <w:sz w:val="18"/>
              </w:rPr>
              <w:t>Number of treatments administered</w:t>
            </w:r>
          </w:p>
        </w:tc>
      </w:tr>
      <w:tr w:rsidR="008361C5" w:rsidRPr="00200234" w14:paraId="463931A1" w14:textId="77777777" w:rsidTr="00486A72">
        <w:trPr>
          <w:cantSplit/>
          <w:trHeight w:val="269"/>
        </w:trPr>
        <w:tc>
          <w:tcPr>
            <w:tcW w:w="1062" w:type="pct"/>
            <w:shd w:val="clear" w:color="auto" w:fill="auto"/>
          </w:tcPr>
          <w:p w14:paraId="0A3B6A73" w14:textId="77777777" w:rsidR="008361C5" w:rsidRPr="00200234" w:rsidRDefault="008361C5" w:rsidP="0049640C">
            <w:pPr>
              <w:keepNext/>
              <w:spacing w:before="60" w:after="60"/>
              <w:rPr>
                <w:rFonts w:cs="Segoe UI"/>
                <w:sz w:val="18"/>
              </w:rPr>
            </w:pPr>
            <w:r w:rsidRPr="00200234">
              <w:rPr>
                <w:rFonts w:cs="Segoe UI"/>
                <w:sz w:val="18"/>
              </w:rPr>
              <w:t>Auckland</w:t>
            </w:r>
          </w:p>
        </w:tc>
        <w:tc>
          <w:tcPr>
            <w:tcW w:w="924" w:type="pct"/>
            <w:shd w:val="clear" w:color="auto" w:fill="auto"/>
            <w:vAlign w:val="center"/>
          </w:tcPr>
          <w:p w14:paraId="246F7ED1"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11</w:t>
            </w:r>
          </w:p>
        </w:tc>
        <w:tc>
          <w:tcPr>
            <w:tcW w:w="1098" w:type="pct"/>
            <w:shd w:val="clear" w:color="auto" w:fill="auto"/>
            <w:vAlign w:val="center"/>
          </w:tcPr>
          <w:p w14:paraId="6460E4E0"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97</w:t>
            </w:r>
          </w:p>
        </w:tc>
        <w:tc>
          <w:tcPr>
            <w:tcW w:w="911" w:type="pct"/>
            <w:shd w:val="clear" w:color="auto" w:fill="auto"/>
            <w:vAlign w:val="center"/>
          </w:tcPr>
          <w:p w14:paraId="7439541E"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05" w:type="pct"/>
            <w:shd w:val="clear" w:color="auto" w:fill="auto"/>
            <w:vAlign w:val="center"/>
          </w:tcPr>
          <w:p w14:paraId="565CEE92"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r>
      <w:tr w:rsidR="008361C5" w:rsidRPr="00200234" w14:paraId="7ED41FC2" w14:textId="77777777" w:rsidTr="00486A72">
        <w:trPr>
          <w:cantSplit/>
          <w:trHeight w:val="258"/>
        </w:trPr>
        <w:tc>
          <w:tcPr>
            <w:tcW w:w="1062" w:type="pct"/>
            <w:shd w:val="clear" w:color="auto" w:fill="auto"/>
          </w:tcPr>
          <w:p w14:paraId="1B31B81F" w14:textId="77777777" w:rsidR="008361C5" w:rsidRPr="00200234" w:rsidRDefault="008361C5" w:rsidP="0049640C">
            <w:pPr>
              <w:keepNext/>
              <w:spacing w:before="60" w:after="60"/>
              <w:rPr>
                <w:rFonts w:cs="Segoe UI"/>
                <w:sz w:val="18"/>
              </w:rPr>
            </w:pPr>
            <w:r w:rsidRPr="00200234">
              <w:rPr>
                <w:rFonts w:cs="Segoe UI"/>
                <w:sz w:val="18"/>
              </w:rPr>
              <w:t>Bay of Plenty</w:t>
            </w:r>
          </w:p>
        </w:tc>
        <w:tc>
          <w:tcPr>
            <w:tcW w:w="924" w:type="pct"/>
            <w:shd w:val="clear" w:color="auto" w:fill="auto"/>
            <w:vAlign w:val="center"/>
          </w:tcPr>
          <w:p w14:paraId="5D712D70"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2</w:t>
            </w:r>
          </w:p>
        </w:tc>
        <w:tc>
          <w:tcPr>
            <w:tcW w:w="1098" w:type="pct"/>
            <w:shd w:val="clear" w:color="auto" w:fill="auto"/>
            <w:vAlign w:val="center"/>
          </w:tcPr>
          <w:p w14:paraId="59E91A05"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24</w:t>
            </w:r>
          </w:p>
        </w:tc>
        <w:tc>
          <w:tcPr>
            <w:tcW w:w="911" w:type="pct"/>
            <w:shd w:val="clear" w:color="auto" w:fill="auto"/>
            <w:vAlign w:val="center"/>
          </w:tcPr>
          <w:p w14:paraId="5E982714"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05" w:type="pct"/>
            <w:shd w:val="clear" w:color="auto" w:fill="auto"/>
            <w:vAlign w:val="center"/>
          </w:tcPr>
          <w:p w14:paraId="0E200E60"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r>
      <w:tr w:rsidR="008361C5" w:rsidRPr="00200234" w14:paraId="7CFA11D2" w14:textId="77777777" w:rsidTr="00486A72">
        <w:trPr>
          <w:cantSplit/>
          <w:trHeight w:val="269"/>
        </w:trPr>
        <w:tc>
          <w:tcPr>
            <w:tcW w:w="1062" w:type="pct"/>
            <w:shd w:val="clear" w:color="auto" w:fill="auto"/>
          </w:tcPr>
          <w:p w14:paraId="2AD36018" w14:textId="77777777" w:rsidR="008361C5" w:rsidRPr="00200234" w:rsidRDefault="008361C5" w:rsidP="0049640C">
            <w:pPr>
              <w:keepNext/>
              <w:spacing w:before="60" w:after="60"/>
              <w:rPr>
                <w:rFonts w:cs="Segoe UI"/>
                <w:sz w:val="18"/>
              </w:rPr>
            </w:pPr>
            <w:r w:rsidRPr="00200234">
              <w:rPr>
                <w:rFonts w:cs="Segoe UI"/>
                <w:sz w:val="18"/>
              </w:rPr>
              <w:t>Canterbury</w:t>
            </w:r>
          </w:p>
        </w:tc>
        <w:tc>
          <w:tcPr>
            <w:tcW w:w="924" w:type="pct"/>
            <w:shd w:val="clear" w:color="auto" w:fill="auto"/>
            <w:vAlign w:val="center"/>
          </w:tcPr>
          <w:p w14:paraId="0A1A540F"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10</w:t>
            </w:r>
          </w:p>
        </w:tc>
        <w:tc>
          <w:tcPr>
            <w:tcW w:w="1098" w:type="pct"/>
            <w:shd w:val="clear" w:color="auto" w:fill="auto"/>
            <w:vAlign w:val="center"/>
          </w:tcPr>
          <w:p w14:paraId="2F178709"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118</w:t>
            </w:r>
          </w:p>
        </w:tc>
        <w:tc>
          <w:tcPr>
            <w:tcW w:w="911" w:type="pct"/>
            <w:shd w:val="clear" w:color="auto" w:fill="auto"/>
            <w:vAlign w:val="center"/>
          </w:tcPr>
          <w:p w14:paraId="34A437F7"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2</w:t>
            </w:r>
          </w:p>
        </w:tc>
        <w:tc>
          <w:tcPr>
            <w:tcW w:w="1005" w:type="pct"/>
            <w:shd w:val="clear" w:color="auto" w:fill="auto"/>
            <w:vAlign w:val="center"/>
          </w:tcPr>
          <w:p w14:paraId="1B03D473"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23</w:t>
            </w:r>
          </w:p>
        </w:tc>
      </w:tr>
      <w:tr w:rsidR="008361C5" w:rsidRPr="00200234" w14:paraId="5AB15390" w14:textId="77777777" w:rsidTr="00486A72">
        <w:trPr>
          <w:cantSplit/>
          <w:trHeight w:val="269"/>
        </w:trPr>
        <w:tc>
          <w:tcPr>
            <w:tcW w:w="1062" w:type="pct"/>
            <w:shd w:val="clear" w:color="auto" w:fill="auto"/>
          </w:tcPr>
          <w:p w14:paraId="208AA186" w14:textId="77777777" w:rsidR="008361C5" w:rsidRPr="00200234" w:rsidRDefault="008361C5" w:rsidP="0049640C">
            <w:pPr>
              <w:keepNext/>
              <w:spacing w:before="60" w:after="60"/>
              <w:rPr>
                <w:rFonts w:cs="Segoe UI"/>
                <w:sz w:val="18"/>
              </w:rPr>
            </w:pPr>
            <w:r w:rsidRPr="00200234">
              <w:rPr>
                <w:rFonts w:cs="Segoe UI"/>
                <w:sz w:val="18"/>
              </w:rPr>
              <w:t>Capital &amp; Coast</w:t>
            </w:r>
          </w:p>
        </w:tc>
        <w:tc>
          <w:tcPr>
            <w:tcW w:w="924" w:type="pct"/>
            <w:shd w:val="clear" w:color="auto" w:fill="auto"/>
            <w:vAlign w:val="center"/>
          </w:tcPr>
          <w:p w14:paraId="01634B74"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5</w:t>
            </w:r>
          </w:p>
        </w:tc>
        <w:tc>
          <w:tcPr>
            <w:tcW w:w="1098" w:type="pct"/>
            <w:shd w:val="clear" w:color="auto" w:fill="auto"/>
            <w:vAlign w:val="center"/>
          </w:tcPr>
          <w:p w14:paraId="59525657"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49</w:t>
            </w:r>
          </w:p>
        </w:tc>
        <w:tc>
          <w:tcPr>
            <w:tcW w:w="911" w:type="pct"/>
            <w:shd w:val="clear" w:color="auto" w:fill="auto"/>
            <w:vAlign w:val="center"/>
          </w:tcPr>
          <w:p w14:paraId="46C72019"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05" w:type="pct"/>
            <w:shd w:val="clear" w:color="auto" w:fill="auto"/>
            <w:vAlign w:val="center"/>
          </w:tcPr>
          <w:p w14:paraId="602731E0"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r>
      <w:tr w:rsidR="008361C5" w:rsidRPr="00200234" w14:paraId="09F72DFF" w14:textId="77777777" w:rsidTr="00486A72">
        <w:trPr>
          <w:cantSplit/>
          <w:trHeight w:val="258"/>
        </w:trPr>
        <w:tc>
          <w:tcPr>
            <w:tcW w:w="1062" w:type="pct"/>
            <w:shd w:val="clear" w:color="auto" w:fill="auto"/>
          </w:tcPr>
          <w:p w14:paraId="5FDF9872" w14:textId="77777777" w:rsidR="008361C5" w:rsidRPr="00200234" w:rsidRDefault="008361C5" w:rsidP="0049640C">
            <w:pPr>
              <w:keepNext/>
              <w:spacing w:before="60" w:after="60"/>
              <w:rPr>
                <w:rFonts w:cs="Segoe UI"/>
                <w:sz w:val="18"/>
              </w:rPr>
            </w:pPr>
            <w:r w:rsidRPr="00200234">
              <w:rPr>
                <w:rFonts w:cs="Segoe UI"/>
                <w:sz w:val="18"/>
              </w:rPr>
              <w:t>Counties Manukau</w:t>
            </w:r>
          </w:p>
        </w:tc>
        <w:tc>
          <w:tcPr>
            <w:tcW w:w="924" w:type="pct"/>
            <w:shd w:val="clear" w:color="auto" w:fill="auto"/>
            <w:vAlign w:val="center"/>
          </w:tcPr>
          <w:p w14:paraId="1FE84527"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14</w:t>
            </w:r>
          </w:p>
        </w:tc>
        <w:tc>
          <w:tcPr>
            <w:tcW w:w="1098" w:type="pct"/>
            <w:shd w:val="clear" w:color="auto" w:fill="auto"/>
            <w:vAlign w:val="center"/>
          </w:tcPr>
          <w:p w14:paraId="2CB1A6B0"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146</w:t>
            </w:r>
          </w:p>
        </w:tc>
        <w:tc>
          <w:tcPr>
            <w:tcW w:w="911" w:type="pct"/>
            <w:shd w:val="clear" w:color="auto" w:fill="auto"/>
            <w:vAlign w:val="center"/>
          </w:tcPr>
          <w:p w14:paraId="36546649"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05" w:type="pct"/>
            <w:shd w:val="clear" w:color="auto" w:fill="auto"/>
            <w:vAlign w:val="center"/>
          </w:tcPr>
          <w:p w14:paraId="5EE4C8C6"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r>
      <w:tr w:rsidR="008361C5" w:rsidRPr="00200234" w14:paraId="1D043AD7" w14:textId="77777777" w:rsidTr="00486A72">
        <w:trPr>
          <w:cantSplit/>
          <w:trHeight w:val="269"/>
        </w:trPr>
        <w:tc>
          <w:tcPr>
            <w:tcW w:w="1062" w:type="pct"/>
            <w:shd w:val="clear" w:color="auto" w:fill="auto"/>
          </w:tcPr>
          <w:p w14:paraId="6AAC4FD9" w14:textId="77777777" w:rsidR="008361C5" w:rsidRPr="00200234" w:rsidRDefault="008361C5" w:rsidP="0049640C">
            <w:pPr>
              <w:keepNext/>
              <w:spacing w:before="60" w:after="60"/>
              <w:rPr>
                <w:rFonts w:cs="Segoe UI"/>
                <w:sz w:val="18"/>
              </w:rPr>
            </w:pPr>
            <w:r w:rsidRPr="00200234">
              <w:rPr>
                <w:rFonts w:cs="Segoe UI"/>
                <w:sz w:val="18"/>
              </w:rPr>
              <w:t>Hawke’s Bay</w:t>
            </w:r>
          </w:p>
        </w:tc>
        <w:tc>
          <w:tcPr>
            <w:tcW w:w="924" w:type="pct"/>
            <w:shd w:val="clear" w:color="auto" w:fill="auto"/>
            <w:vAlign w:val="center"/>
          </w:tcPr>
          <w:p w14:paraId="6F802B38"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1</w:t>
            </w:r>
          </w:p>
        </w:tc>
        <w:tc>
          <w:tcPr>
            <w:tcW w:w="1098" w:type="pct"/>
            <w:shd w:val="clear" w:color="auto" w:fill="auto"/>
            <w:vAlign w:val="center"/>
          </w:tcPr>
          <w:p w14:paraId="2306F90F"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22</w:t>
            </w:r>
          </w:p>
        </w:tc>
        <w:tc>
          <w:tcPr>
            <w:tcW w:w="911" w:type="pct"/>
            <w:shd w:val="clear" w:color="auto" w:fill="auto"/>
            <w:vAlign w:val="center"/>
          </w:tcPr>
          <w:p w14:paraId="5D8D75B6"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05" w:type="pct"/>
            <w:shd w:val="clear" w:color="auto" w:fill="auto"/>
            <w:vAlign w:val="center"/>
          </w:tcPr>
          <w:p w14:paraId="16E9A8FA"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r>
      <w:tr w:rsidR="008361C5" w:rsidRPr="00200234" w14:paraId="6AD34346" w14:textId="77777777" w:rsidTr="00486A72">
        <w:trPr>
          <w:cantSplit/>
          <w:trHeight w:val="269"/>
        </w:trPr>
        <w:tc>
          <w:tcPr>
            <w:tcW w:w="1062" w:type="pct"/>
            <w:shd w:val="clear" w:color="auto" w:fill="auto"/>
          </w:tcPr>
          <w:p w14:paraId="4652108A" w14:textId="77777777" w:rsidR="008361C5" w:rsidRPr="00200234" w:rsidRDefault="008361C5" w:rsidP="0049640C">
            <w:pPr>
              <w:keepNext/>
              <w:spacing w:before="60" w:after="60"/>
              <w:rPr>
                <w:rFonts w:cs="Segoe UI"/>
                <w:sz w:val="18"/>
              </w:rPr>
            </w:pPr>
            <w:r w:rsidRPr="00200234">
              <w:rPr>
                <w:rFonts w:cs="Segoe UI"/>
                <w:sz w:val="18"/>
              </w:rPr>
              <w:t>Hutt Valley</w:t>
            </w:r>
          </w:p>
        </w:tc>
        <w:tc>
          <w:tcPr>
            <w:tcW w:w="924" w:type="pct"/>
            <w:shd w:val="clear" w:color="auto" w:fill="auto"/>
            <w:vAlign w:val="center"/>
          </w:tcPr>
          <w:p w14:paraId="55514E15"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7</w:t>
            </w:r>
          </w:p>
        </w:tc>
        <w:tc>
          <w:tcPr>
            <w:tcW w:w="1098" w:type="pct"/>
            <w:shd w:val="clear" w:color="auto" w:fill="auto"/>
            <w:vAlign w:val="center"/>
          </w:tcPr>
          <w:p w14:paraId="2B2D4E34"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42</w:t>
            </w:r>
          </w:p>
        </w:tc>
        <w:tc>
          <w:tcPr>
            <w:tcW w:w="911" w:type="pct"/>
            <w:shd w:val="clear" w:color="auto" w:fill="auto"/>
            <w:vAlign w:val="center"/>
          </w:tcPr>
          <w:p w14:paraId="041DDAD0"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05" w:type="pct"/>
            <w:shd w:val="clear" w:color="auto" w:fill="auto"/>
            <w:vAlign w:val="center"/>
          </w:tcPr>
          <w:p w14:paraId="086020B4"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r>
      <w:tr w:rsidR="008361C5" w:rsidRPr="00200234" w14:paraId="232184E5" w14:textId="77777777" w:rsidTr="00486A72">
        <w:trPr>
          <w:cantSplit/>
          <w:trHeight w:val="258"/>
        </w:trPr>
        <w:tc>
          <w:tcPr>
            <w:tcW w:w="1062" w:type="pct"/>
            <w:shd w:val="clear" w:color="auto" w:fill="auto"/>
          </w:tcPr>
          <w:p w14:paraId="45C8C2E0" w14:textId="77777777" w:rsidR="008361C5" w:rsidRPr="00200234" w:rsidRDefault="008361C5" w:rsidP="0049640C">
            <w:pPr>
              <w:keepNext/>
              <w:spacing w:before="60" w:after="60"/>
              <w:rPr>
                <w:rFonts w:cs="Segoe UI"/>
                <w:sz w:val="18"/>
              </w:rPr>
            </w:pPr>
            <w:r w:rsidRPr="00200234">
              <w:rPr>
                <w:rFonts w:cs="Segoe UI"/>
                <w:sz w:val="18"/>
              </w:rPr>
              <w:t>Lakes</w:t>
            </w:r>
          </w:p>
        </w:tc>
        <w:tc>
          <w:tcPr>
            <w:tcW w:w="924" w:type="pct"/>
            <w:shd w:val="clear" w:color="auto" w:fill="auto"/>
            <w:vAlign w:val="center"/>
          </w:tcPr>
          <w:p w14:paraId="41E8DB53"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98" w:type="pct"/>
            <w:shd w:val="clear" w:color="auto" w:fill="auto"/>
            <w:vAlign w:val="center"/>
          </w:tcPr>
          <w:p w14:paraId="1D32D1BA"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0</w:t>
            </w:r>
          </w:p>
        </w:tc>
        <w:tc>
          <w:tcPr>
            <w:tcW w:w="911" w:type="pct"/>
            <w:shd w:val="clear" w:color="auto" w:fill="auto"/>
            <w:vAlign w:val="center"/>
          </w:tcPr>
          <w:p w14:paraId="41A4867D"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05" w:type="pct"/>
            <w:shd w:val="clear" w:color="auto" w:fill="auto"/>
            <w:vAlign w:val="center"/>
          </w:tcPr>
          <w:p w14:paraId="5FC852E8"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r>
      <w:tr w:rsidR="008361C5" w:rsidRPr="00200234" w14:paraId="29EA9E96" w14:textId="77777777" w:rsidTr="00486A72">
        <w:trPr>
          <w:cantSplit/>
          <w:trHeight w:val="269"/>
        </w:trPr>
        <w:tc>
          <w:tcPr>
            <w:tcW w:w="1062" w:type="pct"/>
            <w:shd w:val="clear" w:color="auto" w:fill="auto"/>
          </w:tcPr>
          <w:p w14:paraId="57F40D45" w14:textId="77777777" w:rsidR="008361C5" w:rsidRPr="00200234" w:rsidRDefault="008361C5" w:rsidP="0049640C">
            <w:pPr>
              <w:keepNext/>
              <w:spacing w:before="60" w:after="60"/>
              <w:rPr>
                <w:rFonts w:cs="Segoe UI"/>
                <w:sz w:val="18"/>
              </w:rPr>
            </w:pPr>
            <w:proofErr w:type="spellStart"/>
            <w:r w:rsidRPr="00200234">
              <w:rPr>
                <w:rFonts w:cs="Segoe UI"/>
                <w:sz w:val="18"/>
              </w:rPr>
              <w:t>MidCentral</w:t>
            </w:r>
            <w:proofErr w:type="spellEnd"/>
          </w:p>
        </w:tc>
        <w:tc>
          <w:tcPr>
            <w:tcW w:w="924" w:type="pct"/>
            <w:shd w:val="clear" w:color="auto" w:fill="auto"/>
            <w:vAlign w:val="center"/>
          </w:tcPr>
          <w:p w14:paraId="48AE063A"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4</w:t>
            </w:r>
          </w:p>
        </w:tc>
        <w:tc>
          <w:tcPr>
            <w:tcW w:w="1098" w:type="pct"/>
            <w:shd w:val="clear" w:color="auto" w:fill="auto"/>
            <w:vAlign w:val="center"/>
          </w:tcPr>
          <w:p w14:paraId="5731CA11"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65</w:t>
            </w:r>
          </w:p>
        </w:tc>
        <w:tc>
          <w:tcPr>
            <w:tcW w:w="911" w:type="pct"/>
            <w:shd w:val="clear" w:color="auto" w:fill="auto"/>
            <w:vAlign w:val="center"/>
          </w:tcPr>
          <w:p w14:paraId="2C21D6B4"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05" w:type="pct"/>
            <w:shd w:val="clear" w:color="auto" w:fill="auto"/>
            <w:vAlign w:val="center"/>
          </w:tcPr>
          <w:p w14:paraId="293679C7"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r>
      <w:tr w:rsidR="008361C5" w:rsidRPr="00200234" w14:paraId="5C93BF2F" w14:textId="77777777" w:rsidTr="00486A72">
        <w:trPr>
          <w:cantSplit/>
          <w:trHeight w:val="258"/>
        </w:trPr>
        <w:tc>
          <w:tcPr>
            <w:tcW w:w="1062" w:type="pct"/>
            <w:shd w:val="clear" w:color="auto" w:fill="auto"/>
          </w:tcPr>
          <w:p w14:paraId="28D2AB6C" w14:textId="77777777" w:rsidR="008361C5" w:rsidRPr="00200234" w:rsidRDefault="008361C5" w:rsidP="0049640C">
            <w:pPr>
              <w:keepNext/>
              <w:spacing w:before="60" w:after="60"/>
              <w:rPr>
                <w:rFonts w:cs="Segoe UI"/>
                <w:sz w:val="18"/>
              </w:rPr>
            </w:pPr>
            <w:r w:rsidRPr="00200234">
              <w:rPr>
                <w:rFonts w:cs="Segoe UI"/>
                <w:sz w:val="18"/>
              </w:rPr>
              <w:t>Nelson Marlborough</w:t>
            </w:r>
          </w:p>
        </w:tc>
        <w:tc>
          <w:tcPr>
            <w:tcW w:w="924" w:type="pct"/>
            <w:shd w:val="clear" w:color="auto" w:fill="auto"/>
            <w:vAlign w:val="center"/>
          </w:tcPr>
          <w:p w14:paraId="35071A4A"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98" w:type="pct"/>
            <w:shd w:val="clear" w:color="auto" w:fill="auto"/>
            <w:vAlign w:val="center"/>
          </w:tcPr>
          <w:p w14:paraId="6C884A5E"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0</w:t>
            </w:r>
          </w:p>
        </w:tc>
        <w:tc>
          <w:tcPr>
            <w:tcW w:w="911" w:type="pct"/>
            <w:shd w:val="clear" w:color="auto" w:fill="auto"/>
            <w:vAlign w:val="center"/>
          </w:tcPr>
          <w:p w14:paraId="4399EEE9"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05" w:type="pct"/>
            <w:shd w:val="clear" w:color="auto" w:fill="auto"/>
            <w:vAlign w:val="center"/>
          </w:tcPr>
          <w:p w14:paraId="036F36BE"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r>
      <w:tr w:rsidR="008361C5" w:rsidRPr="00200234" w14:paraId="660C776C" w14:textId="77777777" w:rsidTr="00486A72">
        <w:trPr>
          <w:cantSplit/>
          <w:trHeight w:val="269"/>
        </w:trPr>
        <w:tc>
          <w:tcPr>
            <w:tcW w:w="1062" w:type="pct"/>
            <w:shd w:val="clear" w:color="auto" w:fill="auto"/>
          </w:tcPr>
          <w:p w14:paraId="2B1A55B4" w14:textId="77777777" w:rsidR="008361C5" w:rsidRPr="00200234" w:rsidRDefault="008361C5" w:rsidP="0049640C">
            <w:pPr>
              <w:keepNext/>
              <w:spacing w:before="60" w:after="60"/>
              <w:rPr>
                <w:rFonts w:cs="Segoe UI"/>
                <w:sz w:val="18"/>
              </w:rPr>
            </w:pPr>
            <w:r w:rsidRPr="00200234">
              <w:rPr>
                <w:rFonts w:cs="Segoe UI"/>
                <w:sz w:val="18"/>
              </w:rPr>
              <w:t>Northland</w:t>
            </w:r>
          </w:p>
        </w:tc>
        <w:tc>
          <w:tcPr>
            <w:tcW w:w="924" w:type="pct"/>
            <w:shd w:val="clear" w:color="auto" w:fill="auto"/>
            <w:vAlign w:val="center"/>
          </w:tcPr>
          <w:p w14:paraId="2C5695E3"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5</w:t>
            </w:r>
          </w:p>
        </w:tc>
        <w:tc>
          <w:tcPr>
            <w:tcW w:w="1098" w:type="pct"/>
            <w:shd w:val="clear" w:color="auto" w:fill="auto"/>
            <w:vAlign w:val="center"/>
          </w:tcPr>
          <w:p w14:paraId="10C0E17C"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49</w:t>
            </w:r>
          </w:p>
        </w:tc>
        <w:tc>
          <w:tcPr>
            <w:tcW w:w="911" w:type="pct"/>
            <w:shd w:val="clear" w:color="auto" w:fill="auto"/>
            <w:vAlign w:val="center"/>
          </w:tcPr>
          <w:p w14:paraId="5297187B"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05" w:type="pct"/>
            <w:shd w:val="clear" w:color="auto" w:fill="auto"/>
            <w:vAlign w:val="center"/>
          </w:tcPr>
          <w:p w14:paraId="0992F6A3"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r>
      <w:tr w:rsidR="008361C5" w:rsidRPr="00200234" w14:paraId="0513688D" w14:textId="77777777" w:rsidTr="00486A72">
        <w:trPr>
          <w:cantSplit/>
          <w:trHeight w:val="269"/>
        </w:trPr>
        <w:tc>
          <w:tcPr>
            <w:tcW w:w="1062" w:type="pct"/>
            <w:shd w:val="clear" w:color="auto" w:fill="auto"/>
          </w:tcPr>
          <w:p w14:paraId="074E4A85" w14:textId="77777777" w:rsidR="008361C5" w:rsidRPr="00200234" w:rsidRDefault="008361C5" w:rsidP="0049640C">
            <w:pPr>
              <w:keepNext/>
              <w:spacing w:before="60" w:after="60"/>
              <w:rPr>
                <w:rFonts w:cs="Segoe UI"/>
                <w:sz w:val="18"/>
              </w:rPr>
            </w:pPr>
            <w:r w:rsidRPr="00200234">
              <w:rPr>
                <w:rFonts w:cs="Segoe UI"/>
                <w:sz w:val="18"/>
              </w:rPr>
              <w:t>South Canterbury</w:t>
            </w:r>
          </w:p>
        </w:tc>
        <w:tc>
          <w:tcPr>
            <w:tcW w:w="924" w:type="pct"/>
            <w:shd w:val="clear" w:color="auto" w:fill="auto"/>
            <w:vAlign w:val="center"/>
          </w:tcPr>
          <w:p w14:paraId="618D9373"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98" w:type="pct"/>
            <w:shd w:val="clear" w:color="auto" w:fill="auto"/>
            <w:vAlign w:val="center"/>
          </w:tcPr>
          <w:p w14:paraId="0F5E9964"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0</w:t>
            </w:r>
          </w:p>
        </w:tc>
        <w:tc>
          <w:tcPr>
            <w:tcW w:w="911" w:type="pct"/>
            <w:shd w:val="clear" w:color="auto" w:fill="auto"/>
            <w:vAlign w:val="center"/>
          </w:tcPr>
          <w:p w14:paraId="3B2F5969"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05" w:type="pct"/>
            <w:shd w:val="clear" w:color="auto" w:fill="auto"/>
            <w:vAlign w:val="center"/>
          </w:tcPr>
          <w:p w14:paraId="2285E0F2"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r>
      <w:tr w:rsidR="008361C5" w:rsidRPr="00200234" w14:paraId="123BB476" w14:textId="77777777" w:rsidTr="00486A72">
        <w:trPr>
          <w:cantSplit/>
          <w:trHeight w:val="258"/>
        </w:trPr>
        <w:tc>
          <w:tcPr>
            <w:tcW w:w="1062" w:type="pct"/>
            <w:shd w:val="clear" w:color="auto" w:fill="auto"/>
          </w:tcPr>
          <w:p w14:paraId="549EAB62" w14:textId="77777777" w:rsidR="008361C5" w:rsidRPr="00200234" w:rsidRDefault="008361C5" w:rsidP="0049640C">
            <w:pPr>
              <w:keepNext/>
              <w:spacing w:before="60" w:after="60"/>
              <w:rPr>
                <w:rFonts w:cs="Segoe UI"/>
                <w:sz w:val="18"/>
              </w:rPr>
            </w:pPr>
            <w:r w:rsidRPr="00200234">
              <w:rPr>
                <w:rFonts w:cs="Segoe UI"/>
                <w:sz w:val="18"/>
              </w:rPr>
              <w:t>Southern</w:t>
            </w:r>
          </w:p>
        </w:tc>
        <w:tc>
          <w:tcPr>
            <w:tcW w:w="924" w:type="pct"/>
            <w:shd w:val="clear" w:color="auto" w:fill="auto"/>
            <w:vAlign w:val="center"/>
          </w:tcPr>
          <w:p w14:paraId="6621B759"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10</w:t>
            </w:r>
          </w:p>
        </w:tc>
        <w:tc>
          <w:tcPr>
            <w:tcW w:w="1098" w:type="pct"/>
            <w:shd w:val="clear" w:color="auto" w:fill="auto"/>
            <w:vAlign w:val="center"/>
          </w:tcPr>
          <w:p w14:paraId="3683CEFD"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140</w:t>
            </w:r>
          </w:p>
        </w:tc>
        <w:tc>
          <w:tcPr>
            <w:tcW w:w="911" w:type="pct"/>
            <w:shd w:val="clear" w:color="auto" w:fill="auto"/>
            <w:vAlign w:val="center"/>
          </w:tcPr>
          <w:p w14:paraId="79A88AD6"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05" w:type="pct"/>
            <w:shd w:val="clear" w:color="auto" w:fill="auto"/>
            <w:vAlign w:val="center"/>
          </w:tcPr>
          <w:p w14:paraId="51E32628"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r>
      <w:tr w:rsidR="008361C5" w:rsidRPr="00200234" w14:paraId="716B948F" w14:textId="77777777" w:rsidTr="00486A72">
        <w:trPr>
          <w:cantSplit/>
          <w:trHeight w:val="269"/>
        </w:trPr>
        <w:tc>
          <w:tcPr>
            <w:tcW w:w="1062" w:type="pct"/>
            <w:shd w:val="clear" w:color="auto" w:fill="auto"/>
          </w:tcPr>
          <w:p w14:paraId="1786C3E0" w14:textId="77777777" w:rsidR="008361C5" w:rsidRPr="00200234" w:rsidRDefault="008361C5" w:rsidP="0049640C">
            <w:pPr>
              <w:keepNext/>
              <w:spacing w:before="60" w:after="60"/>
              <w:rPr>
                <w:rFonts w:cs="Segoe UI"/>
                <w:sz w:val="18"/>
              </w:rPr>
            </w:pPr>
            <w:proofErr w:type="spellStart"/>
            <w:r w:rsidRPr="00200234">
              <w:rPr>
                <w:rFonts w:cs="Segoe UI"/>
                <w:sz w:val="18"/>
              </w:rPr>
              <w:t>Tairāwhiti</w:t>
            </w:r>
            <w:proofErr w:type="spellEnd"/>
          </w:p>
        </w:tc>
        <w:tc>
          <w:tcPr>
            <w:tcW w:w="924" w:type="pct"/>
            <w:shd w:val="clear" w:color="auto" w:fill="auto"/>
            <w:vAlign w:val="center"/>
          </w:tcPr>
          <w:p w14:paraId="281513E9"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98" w:type="pct"/>
            <w:shd w:val="clear" w:color="auto" w:fill="auto"/>
            <w:vAlign w:val="center"/>
          </w:tcPr>
          <w:p w14:paraId="4BA99993"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0</w:t>
            </w:r>
          </w:p>
        </w:tc>
        <w:tc>
          <w:tcPr>
            <w:tcW w:w="911" w:type="pct"/>
            <w:shd w:val="clear" w:color="auto" w:fill="auto"/>
            <w:vAlign w:val="center"/>
          </w:tcPr>
          <w:p w14:paraId="447584A1"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05" w:type="pct"/>
            <w:shd w:val="clear" w:color="auto" w:fill="auto"/>
            <w:vAlign w:val="center"/>
          </w:tcPr>
          <w:p w14:paraId="6B6DE15D"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r>
      <w:tr w:rsidR="008361C5" w:rsidRPr="00200234" w14:paraId="49EFE4E0" w14:textId="77777777" w:rsidTr="00486A72">
        <w:trPr>
          <w:cantSplit/>
          <w:trHeight w:val="269"/>
        </w:trPr>
        <w:tc>
          <w:tcPr>
            <w:tcW w:w="1062" w:type="pct"/>
            <w:shd w:val="clear" w:color="auto" w:fill="auto"/>
          </w:tcPr>
          <w:p w14:paraId="472F21D1" w14:textId="77777777" w:rsidR="008361C5" w:rsidRPr="00200234" w:rsidRDefault="008361C5" w:rsidP="0049640C">
            <w:pPr>
              <w:keepNext/>
              <w:spacing w:before="60" w:after="60"/>
              <w:rPr>
                <w:rFonts w:cs="Segoe UI"/>
                <w:sz w:val="18"/>
              </w:rPr>
            </w:pPr>
            <w:r w:rsidRPr="00200234">
              <w:rPr>
                <w:rFonts w:cs="Segoe UI"/>
                <w:sz w:val="18"/>
              </w:rPr>
              <w:t>Taranaki</w:t>
            </w:r>
          </w:p>
        </w:tc>
        <w:tc>
          <w:tcPr>
            <w:tcW w:w="924" w:type="pct"/>
            <w:shd w:val="clear" w:color="auto" w:fill="auto"/>
            <w:vAlign w:val="center"/>
          </w:tcPr>
          <w:p w14:paraId="7631301B"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98" w:type="pct"/>
            <w:shd w:val="clear" w:color="auto" w:fill="auto"/>
            <w:vAlign w:val="center"/>
          </w:tcPr>
          <w:p w14:paraId="580F6C33"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0</w:t>
            </w:r>
          </w:p>
        </w:tc>
        <w:tc>
          <w:tcPr>
            <w:tcW w:w="911" w:type="pct"/>
            <w:shd w:val="clear" w:color="auto" w:fill="auto"/>
            <w:vAlign w:val="center"/>
          </w:tcPr>
          <w:p w14:paraId="62B6CC0C"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05" w:type="pct"/>
            <w:shd w:val="clear" w:color="auto" w:fill="auto"/>
            <w:vAlign w:val="center"/>
          </w:tcPr>
          <w:p w14:paraId="19BEDB4D"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r>
      <w:tr w:rsidR="008361C5" w:rsidRPr="00200234" w14:paraId="528721D4" w14:textId="77777777" w:rsidTr="00486A72">
        <w:trPr>
          <w:cantSplit/>
          <w:trHeight w:val="258"/>
        </w:trPr>
        <w:tc>
          <w:tcPr>
            <w:tcW w:w="1062" w:type="pct"/>
            <w:shd w:val="clear" w:color="auto" w:fill="auto"/>
          </w:tcPr>
          <w:p w14:paraId="132C3F4B" w14:textId="77777777" w:rsidR="008361C5" w:rsidRPr="00200234" w:rsidRDefault="008361C5" w:rsidP="0049640C">
            <w:pPr>
              <w:keepNext/>
              <w:spacing w:before="60" w:after="60"/>
              <w:rPr>
                <w:rFonts w:cs="Segoe UI"/>
                <w:sz w:val="18"/>
              </w:rPr>
            </w:pPr>
            <w:r w:rsidRPr="00200234">
              <w:rPr>
                <w:rFonts w:cs="Segoe UI"/>
                <w:sz w:val="18"/>
              </w:rPr>
              <w:t>Waikato</w:t>
            </w:r>
          </w:p>
        </w:tc>
        <w:tc>
          <w:tcPr>
            <w:tcW w:w="924" w:type="pct"/>
            <w:shd w:val="clear" w:color="auto" w:fill="auto"/>
            <w:vAlign w:val="center"/>
          </w:tcPr>
          <w:p w14:paraId="2384D286"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14</w:t>
            </w:r>
          </w:p>
        </w:tc>
        <w:tc>
          <w:tcPr>
            <w:tcW w:w="1098" w:type="pct"/>
            <w:shd w:val="clear" w:color="auto" w:fill="auto"/>
            <w:vAlign w:val="center"/>
          </w:tcPr>
          <w:p w14:paraId="398D33F3"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178</w:t>
            </w:r>
          </w:p>
        </w:tc>
        <w:tc>
          <w:tcPr>
            <w:tcW w:w="911" w:type="pct"/>
            <w:shd w:val="clear" w:color="auto" w:fill="auto"/>
            <w:vAlign w:val="center"/>
          </w:tcPr>
          <w:p w14:paraId="790EBFE0"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05" w:type="pct"/>
            <w:shd w:val="clear" w:color="auto" w:fill="auto"/>
            <w:vAlign w:val="center"/>
          </w:tcPr>
          <w:p w14:paraId="45E3E2F8"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r>
      <w:tr w:rsidR="008361C5" w:rsidRPr="00200234" w14:paraId="04B92C9F" w14:textId="77777777" w:rsidTr="00486A72">
        <w:trPr>
          <w:cantSplit/>
          <w:trHeight w:val="269"/>
        </w:trPr>
        <w:tc>
          <w:tcPr>
            <w:tcW w:w="1062" w:type="pct"/>
            <w:shd w:val="clear" w:color="auto" w:fill="auto"/>
          </w:tcPr>
          <w:p w14:paraId="2529A4C6" w14:textId="77777777" w:rsidR="008361C5" w:rsidRPr="00200234" w:rsidRDefault="008361C5" w:rsidP="0049640C">
            <w:pPr>
              <w:keepNext/>
              <w:spacing w:before="60" w:after="60"/>
              <w:rPr>
                <w:rFonts w:cs="Segoe UI"/>
                <w:sz w:val="18"/>
              </w:rPr>
            </w:pPr>
            <w:r w:rsidRPr="00200234">
              <w:rPr>
                <w:rFonts w:cs="Segoe UI"/>
                <w:sz w:val="18"/>
              </w:rPr>
              <w:t>Wairarapa</w:t>
            </w:r>
          </w:p>
        </w:tc>
        <w:tc>
          <w:tcPr>
            <w:tcW w:w="924" w:type="pct"/>
            <w:shd w:val="clear" w:color="auto" w:fill="auto"/>
            <w:vAlign w:val="center"/>
          </w:tcPr>
          <w:p w14:paraId="49A302D7"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w:t>
            </w:r>
          </w:p>
        </w:tc>
        <w:tc>
          <w:tcPr>
            <w:tcW w:w="1098" w:type="pct"/>
            <w:shd w:val="clear" w:color="auto" w:fill="auto"/>
            <w:vAlign w:val="center"/>
          </w:tcPr>
          <w:p w14:paraId="0DB0D3D1"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w:t>
            </w:r>
          </w:p>
        </w:tc>
        <w:tc>
          <w:tcPr>
            <w:tcW w:w="911" w:type="pct"/>
            <w:shd w:val="clear" w:color="auto" w:fill="auto"/>
            <w:vAlign w:val="center"/>
          </w:tcPr>
          <w:p w14:paraId="53BAA701"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w:t>
            </w:r>
          </w:p>
        </w:tc>
        <w:tc>
          <w:tcPr>
            <w:tcW w:w="1005" w:type="pct"/>
            <w:shd w:val="clear" w:color="auto" w:fill="auto"/>
            <w:vAlign w:val="center"/>
          </w:tcPr>
          <w:p w14:paraId="3AA5C667" w14:textId="76FC0A16" w:rsidR="008361C5" w:rsidRPr="00200234" w:rsidRDefault="000E5F67" w:rsidP="0049640C">
            <w:pPr>
              <w:keepNext/>
              <w:tabs>
                <w:tab w:val="decimal" w:pos="355"/>
              </w:tabs>
              <w:spacing w:before="60" w:after="60"/>
              <w:jc w:val="center"/>
              <w:rPr>
                <w:rFonts w:cs="Segoe UI"/>
                <w:sz w:val="18"/>
              </w:rPr>
            </w:pPr>
            <w:r>
              <w:rPr>
                <w:rFonts w:cs="Segoe UI"/>
                <w:sz w:val="18"/>
              </w:rPr>
              <w:t>–</w:t>
            </w:r>
          </w:p>
        </w:tc>
      </w:tr>
      <w:tr w:rsidR="008361C5" w:rsidRPr="00200234" w14:paraId="269957A1" w14:textId="77777777" w:rsidTr="00486A72">
        <w:trPr>
          <w:cantSplit/>
          <w:trHeight w:val="258"/>
        </w:trPr>
        <w:tc>
          <w:tcPr>
            <w:tcW w:w="1062" w:type="pct"/>
            <w:shd w:val="clear" w:color="auto" w:fill="auto"/>
          </w:tcPr>
          <w:p w14:paraId="4EF18303" w14:textId="77777777" w:rsidR="008361C5" w:rsidRPr="00200234" w:rsidRDefault="008361C5" w:rsidP="0049640C">
            <w:pPr>
              <w:keepNext/>
              <w:spacing w:before="60" w:after="60"/>
              <w:rPr>
                <w:rFonts w:cs="Segoe UI"/>
                <w:sz w:val="18"/>
              </w:rPr>
            </w:pPr>
            <w:proofErr w:type="spellStart"/>
            <w:r w:rsidRPr="00200234">
              <w:rPr>
                <w:rFonts w:cs="Segoe UI"/>
                <w:sz w:val="18"/>
              </w:rPr>
              <w:t>Waitematā</w:t>
            </w:r>
            <w:proofErr w:type="spellEnd"/>
          </w:p>
        </w:tc>
        <w:tc>
          <w:tcPr>
            <w:tcW w:w="924" w:type="pct"/>
            <w:shd w:val="clear" w:color="auto" w:fill="auto"/>
            <w:vAlign w:val="center"/>
          </w:tcPr>
          <w:p w14:paraId="223BED39"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16</w:t>
            </w:r>
          </w:p>
        </w:tc>
        <w:tc>
          <w:tcPr>
            <w:tcW w:w="1098" w:type="pct"/>
            <w:shd w:val="clear" w:color="auto" w:fill="auto"/>
            <w:vAlign w:val="center"/>
          </w:tcPr>
          <w:p w14:paraId="70086318"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94</w:t>
            </w:r>
          </w:p>
        </w:tc>
        <w:tc>
          <w:tcPr>
            <w:tcW w:w="911" w:type="pct"/>
            <w:shd w:val="clear" w:color="auto" w:fill="auto"/>
            <w:vAlign w:val="center"/>
          </w:tcPr>
          <w:p w14:paraId="0CCE8330"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c>
          <w:tcPr>
            <w:tcW w:w="1005" w:type="pct"/>
            <w:shd w:val="clear" w:color="auto" w:fill="auto"/>
            <w:vAlign w:val="center"/>
          </w:tcPr>
          <w:p w14:paraId="698B7877"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0</w:t>
            </w:r>
          </w:p>
        </w:tc>
      </w:tr>
      <w:tr w:rsidR="008361C5" w:rsidRPr="00200234" w14:paraId="7FCD7B23" w14:textId="77777777" w:rsidTr="00486A72">
        <w:trPr>
          <w:cantSplit/>
          <w:trHeight w:val="269"/>
        </w:trPr>
        <w:tc>
          <w:tcPr>
            <w:tcW w:w="1062" w:type="pct"/>
            <w:shd w:val="clear" w:color="auto" w:fill="auto"/>
          </w:tcPr>
          <w:p w14:paraId="63C392A1" w14:textId="77777777" w:rsidR="008361C5" w:rsidRPr="00200234" w:rsidRDefault="008361C5" w:rsidP="0049640C">
            <w:pPr>
              <w:keepNext/>
              <w:spacing w:before="60" w:after="60"/>
              <w:rPr>
                <w:rFonts w:cs="Segoe UI"/>
                <w:sz w:val="18"/>
              </w:rPr>
            </w:pPr>
            <w:r w:rsidRPr="00200234">
              <w:rPr>
                <w:rFonts w:cs="Segoe UI"/>
                <w:sz w:val="18"/>
              </w:rPr>
              <w:t>West Coast</w:t>
            </w:r>
          </w:p>
        </w:tc>
        <w:tc>
          <w:tcPr>
            <w:tcW w:w="924" w:type="pct"/>
            <w:shd w:val="clear" w:color="auto" w:fill="auto"/>
            <w:vAlign w:val="center"/>
          </w:tcPr>
          <w:p w14:paraId="60DD0DD7"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w:t>
            </w:r>
          </w:p>
        </w:tc>
        <w:tc>
          <w:tcPr>
            <w:tcW w:w="1098" w:type="pct"/>
            <w:shd w:val="clear" w:color="auto" w:fill="auto"/>
            <w:vAlign w:val="center"/>
          </w:tcPr>
          <w:p w14:paraId="1B68EBC4"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w:t>
            </w:r>
          </w:p>
        </w:tc>
        <w:tc>
          <w:tcPr>
            <w:tcW w:w="911" w:type="pct"/>
            <w:shd w:val="clear" w:color="auto" w:fill="auto"/>
            <w:vAlign w:val="center"/>
          </w:tcPr>
          <w:p w14:paraId="23297EF1"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w:t>
            </w:r>
          </w:p>
        </w:tc>
        <w:tc>
          <w:tcPr>
            <w:tcW w:w="1005" w:type="pct"/>
            <w:shd w:val="clear" w:color="auto" w:fill="auto"/>
            <w:vAlign w:val="center"/>
          </w:tcPr>
          <w:p w14:paraId="09F7BAFF" w14:textId="3E1BEC8C" w:rsidR="008361C5" w:rsidRPr="00200234" w:rsidRDefault="000E5F67" w:rsidP="0049640C">
            <w:pPr>
              <w:keepNext/>
              <w:tabs>
                <w:tab w:val="decimal" w:pos="355"/>
              </w:tabs>
              <w:spacing w:before="60" w:after="60"/>
              <w:jc w:val="center"/>
              <w:rPr>
                <w:rFonts w:cs="Segoe UI"/>
                <w:sz w:val="18"/>
              </w:rPr>
            </w:pPr>
            <w:r>
              <w:rPr>
                <w:rFonts w:cs="Segoe UI"/>
                <w:sz w:val="18"/>
              </w:rPr>
              <w:t>–</w:t>
            </w:r>
          </w:p>
        </w:tc>
      </w:tr>
      <w:tr w:rsidR="008361C5" w:rsidRPr="00200234" w14:paraId="795FCC6F" w14:textId="77777777" w:rsidTr="00486A72">
        <w:trPr>
          <w:cantSplit/>
          <w:trHeight w:val="269"/>
        </w:trPr>
        <w:tc>
          <w:tcPr>
            <w:tcW w:w="1062" w:type="pct"/>
            <w:shd w:val="clear" w:color="auto" w:fill="auto"/>
          </w:tcPr>
          <w:p w14:paraId="08F9D7E4" w14:textId="77777777" w:rsidR="008361C5" w:rsidRPr="00200234" w:rsidRDefault="008361C5" w:rsidP="0049640C">
            <w:pPr>
              <w:keepNext/>
              <w:spacing w:before="60" w:after="60"/>
              <w:rPr>
                <w:rFonts w:cs="Segoe UI"/>
                <w:sz w:val="18"/>
              </w:rPr>
            </w:pPr>
            <w:r w:rsidRPr="00200234">
              <w:rPr>
                <w:rFonts w:cs="Segoe UI"/>
                <w:sz w:val="18"/>
              </w:rPr>
              <w:t>Whanganui</w:t>
            </w:r>
          </w:p>
        </w:tc>
        <w:tc>
          <w:tcPr>
            <w:tcW w:w="924" w:type="pct"/>
            <w:shd w:val="clear" w:color="auto" w:fill="auto"/>
            <w:vAlign w:val="center"/>
          </w:tcPr>
          <w:p w14:paraId="73DC0823"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w:t>
            </w:r>
          </w:p>
        </w:tc>
        <w:tc>
          <w:tcPr>
            <w:tcW w:w="1098" w:type="pct"/>
            <w:shd w:val="clear" w:color="auto" w:fill="auto"/>
            <w:vAlign w:val="center"/>
          </w:tcPr>
          <w:p w14:paraId="5B311D66" w14:textId="77777777" w:rsidR="008361C5" w:rsidRPr="00200234" w:rsidRDefault="008361C5" w:rsidP="0049640C">
            <w:pPr>
              <w:keepNext/>
              <w:tabs>
                <w:tab w:val="decimal" w:pos="277"/>
              </w:tabs>
              <w:spacing w:before="60" w:after="60"/>
              <w:jc w:val="center"/>
              <w:rPr>
                <w:rFonts w:cs="Segoe UI"/>
                <w:sz w:val="18"/>
              </w:rPr>
            </w:pPr>
            <w:r w:rsidRPr="00200234">
              <w:rPr>
                <w:rFonts w:cs="Segoe UI"/>
                <w:sz w:val="18"/>
              </w:rPr>
              <w:t>–</w:t>
            </w:r>
          </w:p>
        </w:tc>
        <w:tc>
          <w:tcPr>
            <w:tcW w:w="911" w:type="pct"/>
            <w:shd w:val="clear" w:color="auto" w:fill="auto"/>
            <w:vAlign w:val="center"/>
          </w:tcPr>
          <w:p w14:paraId="0641C779" w14:textId="77777777" w:rsidR="008361C5" w:rsidRPr="00200234" w:rsidRDefault="008361C5" w:rsidP="0049640C">
            <w:pPr>
              <w:keepNext/>
              <w:tabs>
                <w:tab w:val="decimal" w:pos="355"/>
              </w:tabs>
              <w:spacing w:before="60" w:after="60"/>
              <w:jc w:val="center"/>
              <w:rPr>
                <w:rFonts w:cs="Segoe UI"/>
                <w:sz w:val="18"/>
              </w:rPr>
            </w:pPr>
            <w:r w:rsidRPr="00200234">
              <w:rPr>
                <w:rFonts w:cs="Segoe UI"/>
                <w:sz w:val="18"/>
              </w:rPr>
              <w:t>–</w:t>
            </w:r>
          </w:p>
        </w:tc>
        <w:tc>
          <w:tcPr>
            <w:tcW w:w="1005" w:type="pct"/>
            <w:shd w:val="clear" w:color="auto" w:fill="auto"/>
            <w:vAlign w:val="center"/>
          </w:tcPr>
          <w:p w14:paraId="248E1246" w14:textId="504E88C1" w:rsidR="008361C5" w:rsidRPr="00200234" w:rsidRDefault="000E5F67" w:rsidP="0049640C">
            <w:pPr>
              <w:keepNext/>
              <w:tabs>
                <w:tab w:val="decimal" w:pos="355"/>
              </w:tabs>
              <w:spacing w:before="60" w:after="60"/>
              <w:jc w:val="center"/>
              <w:rPr>
                <w:rFonts w:cs="Segoe UI"/>
                <w:sz w:val="18"/>
              </w:rPr>
            </w:pPr>
            <w:r>
              <w:rPr>
                <w:rFonts w:cs="Segoe UI"/>
                <w:sz w:val="18"/>
              </w:rPr>
              <w:t>–</w:t>
            </w:r>
          </w:p>
        </w:tc>
      </w:tr>
      <w:tr w:rsidR="008361C5" w:rsidRPr="00200234" w14:paraId="4CDA7CFD" w14:textId="77777777" w:rsidTr="00486A72">
        <w:trPr>
          <w:cantSplit/>
          <w:trHeight w:val="258"/>
        </w:trPr>
        <w:tc>
          <w:tcPr>
            <w:tcW w:w="1062" w:type="pct"/>
            <w:shd w:val="clear" w:color="auto" w:fill="auto"/>
          </w:tcPr>
          <w:p w14:paraId="6B32C9B0" w14:textId="77777777" w:rsidR="008361C5" w:rsidRPr="00200234" w:rsidRDefault="008361C5" w:rsidP="0049640C">
            <w:pPr>
              <w:keepNext/>
              <w:spacing w:before="60" w:after="60"/>
              <w:rPr>
                <w:rFonts w:cs="Segoe UI"/>
                <w:b/>
                <w:sz w:val="18"/>
              </w:rPr>
            </w:pPr>
            <w:r w:rsidRPr="00200234">
              <w:rPr>
                <w:rFonts w:cs="Segoe UI"/>
                <w:b/>
                <w:sz w:val="18"/>
              </w:rPr>
              <w:t>New Zealand</w:t>
            </w:r>
          </w:p>
        </w:tc>
        <w:tc>
          <w:tcPr>
            <w:tcW w:w="924" w:type="pct"/>
            <w:shd w:val="clear" w:color="auto" w:fill="auto"/>
            <w:vAlign w:val="center"/>
          </w:tcPr>
          <w:p w14:paraId="16705F73" w14:textId="77777777" w:rsidR="008361C5" w:rsidRPr="00200234" w:rsidRDefault="008361C5" w:rsidP="0049640C">
            <w:pPr>
              <w:keepNext/>
              <w:tabs>
                <w:tab w:val="decimal" w:pos="355"/>
              </w:tabs>
              <w:spacing w:before="60" w:after="60"/>
              <w:jc w:val="center"/>
              <w:rPr>
                <w:rFonts w:cs="Segoe UI"/>
                <w:b/>
                <w:sz w:val="18"/>
              </w:rPr>
            </w:pPr>
            <w:r w:rsidRPr="00200234">
              <w:rPr>
                <w:rFonts w:cs="Segoe UI"/>
                <w:b/>
                <w:sz w:val="18"/>
              </w:rPr>
              <w:t>99</w:t>
            </w:r>
          </w:p>
        </w:tc>
        <w:tc>
          <w:tcPr>
            <w:tcW w:w="1098" w:type="pct"/>
            <w:shd w:val="clear" w:color="auto" w:fill="auto"/>
            <w:vAlign w:val="center"/>
          </w:tcPr>
          <w:p w14:paraId="700A71A7" w14:textId="77777777" w:rsidR="008361C5" w:rsidRPr="00200234" w:rsidRDefault="008361C5" w:rsidP="0049640C">
            <w:pPr>
              <w:keepNext/>
              <w:tabs>
                <w:tab w:val="decimal" w:pos="277"/>
              </w:tabs>
              <w:spacing w:before="60" w:after="60"/>
              <w:jc w:val="center"/>
              <w:rPr>
                <w:rFonts w:cs="Segoe UI"/>
                <w:b/>
                <w:sz w:val="18"/>
              </w:rPr>
            </w:pPr>
            <w:r w:rsidRPr="00200234">
              <w:rPr>
                <w:rFonts w:cs="Segoe UI"/>
                <w:b/>
                <w:sz w:val="18"/>
              </w:rPr>
              <w:t>1,024</w:t>
            </w:r>
          </w:p>
        </w:tc>
        <w:tc>
          <w:tcPr>
            <w:tcW w:w="911" w:type="pct"/>
            <w:shd w:val="clear" w:color="auto" w:fill="auto"/>
            <w:vAlign w:val="center"/>
          </w:tcPr>
          <w:p w14:paraId="5BB6FA52" w14:textId="77777777" w:rsidR="008361C5" w:rsidRPr="005D3B9F" w:rsidRDefault="008361C5" w:rsidP="0049640C">
            <w:pPr>
              <w:keepNext/>
              <w:tabs>
                <w:tab w:val="decimal" w:pos="355"/>
              </w:tabs>
              <w:spacing w:before="60" w:after="60"/>
              <w:jc w:val="center"/>
              <w:rPr>
                <w:rFonts w:cs="Segoe UI"/>
                <w:b/>
                <w:bCs/>
                <w:sz w:val="18"/>
              </w:rPr>
            </w:pPr>
            <w:r w:rsidRPr="005D3B9F">
              <w:rPr>
                <w:rFonts w:cs="Segoe UI"/>
                <w:b/>
                <w:bCs/>
                <w:sz w:val="18"/>
              </w:rPr>
              <w:t>2</w:t>
            </w:r>
          </w:p>
        </w:tc>
        <w:tc>
          <w:tcPr>
            <w:tcW w:w="1005" w:type="pct"/>
            <w:shd w:val="clear" w:color="auto" w:fill="auto"/>
            <w:vAlign w:val="center"/>
          </w:tcPr>
          <w:p w14:paraId="15ADEFF0" w14:textId="77777777" w:rsidR="008361C5" w:rsidRPr="005D3B9F" w:rsidRDefault="008361C5" w:rsidP="0049640C">
            <w:pPr>
              <w:keepNext/>
              <w:tabs>
                <w:tab w:val="decimal" w:pos="355"/>
              </w:tabs>
              <w:spacing w:before="60" w:after="60"/>
              <w:jc w:val="center"/>
              <w:rPr>
                <w:rFonts w:cs="Segoe UI"/>
                <w:b/>
                <w:bCs/>
                <w:sz w:val="18"/>
              </w:rPr>
            </w:pPr>
            <w:r w:rsidRPr="005D3B9F">
              <w:rPr>
                <w:rFonts w:cs="Segoe UI"/>
                <w:b/>
                <w:bCs/>
                <w:sz w:val="18"/>
              </w:rPr>
              <w:t>23</w:t>
            </w:r>
          </w:p>
        </w:tc>
      </w:tr>
    </w:tbl>
    <w:p w14:paraId="74F9D597" w14:textId="25AC869D" w:rsidR="008361C5" w:rsidRPr="00200234" w:rsidRDefault="008361C5" w:rsidP="0049640C">
      <w:pPr>
        <w:pStyle w:val="Note"/>
        <w:keepNext/>
      </w:pPr>
      <w:r w:rsidRPr="00200234">
        <w:t>Notes: The data in this table cannot be reliably compared with the data in Table 1</w:t>
      </w:r>
      <w:r w:rsidR="00DB1FB1">
        <w:t>8</w:t>
      </w:r>
      <w:r w:rsidR="001A49C6">
        <w:t xml:space="preserve"> because</w:t>
      </w:r>
      <w:r w:rsidRPr="00200234">
        <w:t xml:space="preserve"> it relates to DHB of service rather than DHB of domicile.</w:t>
      </w:r>
    </w:p>
    <w:p w14:paraId="2F840056" w14:textId="77777777" w:rsidR="008361C5" w:rsidRPr="00200234" w:rsidRDefault="008361C5" w:rsidP="0049640C">
      <w:pPr>
        <w:pStyle w:val="Note"/>
        <w:keepNext/>
      </w:pPr>
      <w:r w:rsidRPr="00200234">
        <w:t>A dash (–) indicates the DHB does not perform ECT. In this case, the DHB sends people to other DHBs for treatment.</w:t>
      </w:r>
    </w:p>
    <w:p w14:paraId="2A657AC2" w14:textId="1223207F" w:rsidR="00314226" w:rsidRPr="00200234" w:rsidRDefault="008361C5" w:rsidP="008361C5">
      <w:pPr>
        <w:pStyle w:val="Note"/>
      </w:pPr>
      <w:r w:rsidRPr="00200234">
        <w:t>Source: Manual data from DHBs</w:t>
      </w:r>
      <w:r w:rsidR="00314226" w:rsidRPr="00200234">
        <w:t>.</w:t>
      </w:r>
    </w:p>
    <w:p w14:paraId="760DAE18" w14:textId="1FEEE21F" w:rsidR="008361C5" w:rsidRPr="00200234" w:rsidRDefault="008361C5" w:rsidP="00DB1FB1">
      <w:r w:rsidRPr="00200234">
        <w:lastRenderedPageBreak/>
        <w:t xml:space="preserve"> </w:t>
      </w:r>
    </w:p>
    <w:p w14:paraId="05DCBA2B" w14:textId="4A619B3A" w:rsidR="008361C5" w:rsidRPr="00200234" w:rsidRDefault="008361C5" w:rsidP="008361C5">
      <w:pPr>
        <w:pStyle w:val="Table"/>
      </w:pPr>
      <w:bookmarkStart w:id="310" w:name="_Ref65673321"/>
      <w:bookmarkStart w:id="311" w:name="_Toc63764686"/>
      <w:bookmarkStart w:id="312" w:name="_Toc69306793"/>
      <w:r w:rsidRPr="00200234">
        <w:t xml:space="preserve">Table </w:t>
      </w:r>
      <w:fldSimple w:instr=" SEQ Table \* ARABIC ">
        <w:r w:rsidR="00422361">
          <w:rPr>
            <w:noProof/>
          </w:rPr>
          <w:t>23</w:t>
        </w:r>
      </w:fldSimple>
      <w:bookmarkEnd w:id="310"/>
      <w:r w:rsidRPr="00200234">
        <w:t xml:space="preserve">: </w:t>
      </w:r>
      <w:r w:rsidR="003A59E3" w:rsidRPr="003A59E3">
        <w:t>ECT</w:t>
      </w:r>
      <w:r w:rsidRPr="00200234">
        <w:t xml:space="preserve"> administered under second opinion without consent, by DHB of service, 1 January to 31 December 2019</w:t>
      </w:r>
      <w:bookmarkEnd w:id="311"/>
      <w:bookmarkEnd w:id="312"/>
    </w:p>
    <w:tbl>
      <w:tblPr>
        <w:tblW w:w="5000" w:type="pct"/>
        <w:tblBorders>
          <w:top w:val="single" w:sz="4" w:space="0" w:color="A6A6A6"/>
          <w:bottom w:val="single" w:sz="4" w:space="0" w:color="A6A6A6"/>
          <w:insideH w:val="single" w:sz="6" w:space="0" w:color="A6A6A6"/>
        </w:tblBorders>
        <w:tblCellMar>
          <w:left w:w="57" w:type="dxa"/>
          <w:right w:w="57" w:type="dxa"/>
        </w:tblCellMar>
        <w:tblLook w:val="01E0" w:firstRow="1" w:lastRow="1" w:firstColumn="1" w:lastColumn="1" w:noHBand="0" w:noVBand="0"/>
      </w:tblPr>
      <w:tblGrid>
        <w:gridCol w:w="1716"/>
        <w:gridCol w:w="1493"/>
        <w:gridCol w:w="1774"/>
        <w:gridCol w:w="1472"/>
        <w:gridCol w:w="1624"/>
      </w:tblGrid>
      <w:tr w:rsidR="008361C5" w:rsidRPr="00200234" w14:paraId="0EEF884F" w14:textId="77777777" w:rsidTr="00B00B4D">
        <w:trPr>
          <w:cantSplit/>
          <w:trHeight w:val="808"/>
        </w:trPr>
        <w:tc>
          <w:tcPr>
            <w:tcW w:w="1062" w:type="pct"/>
            <w:tcBorders>
              <w:top w:val="nil"/>
              <w:bottom w:val="nil"/>
            </w:tcBorders>
            <w:shd w:val="clear" w:color="auto" w:fill="D9D9D9"/>
          </w:tcPr>
          <w:p w14:paraId="7FDEC960" w14:textId="77777777" w:rsidR="008361C5" w:rsidRPr="00200234" w:rsidRDefault="008361C5" w:rsidP="008361C5">
            <w:pPr>
              <w:spacing w:before="60" w:after="60"/>
              <w:rPr>
                <w:rFonts w:cs="Segoe UI"/>
                <w:b/>
                <w:sz w:val="18"/>
              </w:rPr>
            </w:pPr>
            <w:bookmarkStart w:id="313" w:name="_Hlk62808803"/>
            <w:r w:rsidRPr="00200234">
              <w:rPr>
                <w:rFonts w:cs="Segoe UI"/>
                <w:b/>
                <w:sz w:val="18"/>
              </w:rPr>
              <w:t>DHB of service</w:t>
            </w:r>
          </w:p>
        </w:tc>
        <w:tc>
          <w:tcPr>
            <w:tcW w:w="2022" w:type="pct"/>
            <w:gridSpan w:val="2"/>
            <w:tcBorders>
              <w:top w:val="nil"/>
              <w:bottom w:val="nil"/>
            </w:tcBorders>
            <w:shd w:val="clear" w:color="auto" w:fill="D9D9D9"/>
          </w:tcPr>
          <w:p w14:paraId="20E06C33" w14:textId="77777777" w:rsidR="008361C5" w:rsidRPr="00200234" w:rsidRDefault="008361C5" w:rsidP="008361C5">
            <w:pPr>
              <w:spacing w:before="60" w:after="60"/>
              <w:jc w:val="center"/>
              <w:rPr>
                <w:rFonts w:cs="Segoe UI"/>
                <w:b/>
                <w:sz w:val="18"/>
              </w:rPr>
            </w:pPr>
            <w:r w:rsidRPr="00200234">
              <w:rPr>
                <w:rFonts w:cs="Segoe UI"/>
                <w:b/>
                <w:sz w:val="18"/>
              </w:rPr>
              <w:t>Second opinion where patient did not have the capacity to consent</w:t>
            </w:r>
          </w:p>
        </w:tc>
        <w:tc>
          <w:tcPr>
            <w:tcW w:w="1916" w:type="pct"/>
            <w:gridSpan w:val="2"/>
            <w:tcBorders>
              <w:top w:val="nil"/>
              <w:bottom w:val="nil"/>
            </w:tcBorders>
            <w:shd w:val="clear" w:color="auto" w:fill="D9D9D9"/>
          </w:tcPr>
          <w:p w14:paraId="5CA3B1F9" w14:textId="77777777" w:rsidR="008361C5" w:rsidRPr="00200234" w:rsidRDefault="008361C5" w:rsidP="008361C5">
            <w:pPr>
              <w:spacing w:before="60" w:after="60"/>
              <w:jc w:val="center"/>
              <w:rPr>
                <w:rFonts w:cs="Segoe UI"/>
                <w:b/>
                <w:sz w:val="18"/>
              </w:rPr>
            </w:pPr>
            <w:r w:rsidRPr="00200234">
              <w:rPr>
                <w:rFonts w:cs="Segoe UI"/>
                <w:b/>
                <w:sz w:val="18"/>
              </w:rPr>
              <w:t>Second opinion where patient had capacity and refused to consent</w:t>
            </w:r>
          </w:p>
        </w:tc>
      </w:tr>
      <w:tr w:rsidR="008361C5" w:rsidRPr="00200234" w14:paraId="6005D1BA" w14:textId="77777777" w:rsidTr="00B00B4D">
        <w:trPr>
          <w:cantSplit/>
          <w:trHeight w:val="808"/>
        </w:trPr>
        <w:tc>
          <w:tcPr>
            <w:tcW w:w="1062" w:type="pct"/>
            <w:tcBorders>
              <w:top w:val="nil"/>
            </w:tcBorders>
            <w:shd w:val="clear" w:color="auto" w:fill="D9D9D9"/>
          </w:tcPr>
          <w:p w14:paraId="164CF2ED" w14:textId="77777777" w:rsidR="008361C5" w:rsidRPr="00200234" w:rsidRDefault="008361C5" w:rsidP="008361C5">
            <w:pPr>
              <w:spacing w:before="60" w:after="60"/>
              <w:rPr>
                <w:rFonts w:cs="Segoe UI"/>
                <w:b/>
                <w:sz w:val="18"/>
              </w:rPr>
            </w:pPr>
          </w:p>
        </w:tc>
        <w:tc>
          <w:tcPr>
            <w:tcW w:w="924" w:type="pct"/>
            <w:tcBorders>
              <w:top w:val="nil"/>
            </w:tcBorders>
            <w:shd w:val="clear" w:color="auto" w:fill="D9D9D9"/>
          </w:tcPr>
          <w:p w14:paraId="211038BA" w14:textId="77777777" w:rsidR="008361C5" w:rsidRPr="00200234" w:rsidRDefault="008361C5" w:rsidP="008361C5">
            <w:pPr>
              <w:spacing w:before="60" w:after="60"/>
              <w:jc w:val="center"/>
              <w:rPr>
                <w:rFonts w:cs="Segoe UI"/>
                <w:b/>
                <w:sz w:val="18"/>
              </w:rPr>
            </w:pPr>
            <w:r w:rsidRPr="00200234">
              <w:rPr>
                <w:rFonts w:cs="Segoe UI"/>
                <w:b/>
                <w:sz w:val="18"/>
              </w:rPr>
              <w:t>Number of people given ECT</w:t>
            </w:r>
          </w:p>
        </w:tc>
        <w:tc>
          <w:tcPr>
            <w:tcW w:w="1098" w:type="pct"/>
            <w:tcBorders>
              <w:top w:val="nil"/>
            </w:tcBorders>
            <w:shd w:val="clear" w:color="auto" w:fill="D9D9D9"/>
          </w:tcPr>
          <w:p w14:paraId="065D0E1E" w14:textId="77777777" w:rsidR="008361C5" w:rsidRPr="00200234" w:rsidRDefault="008361C5" w:rsidP="008361C5">
            <w:pPr>
              <w:spacing w:before="60" w:after="60"/>
              <w:jc w:val="center"/>
              <w:rPr>
                <w:rFonts w:cs="Segoe UI"/>
                <w:b/>
                <w:sz w:val="18"/>
              </w:rPr>
            </w:pPr>
            <w:r w:rsidRPr="00200234">
              <w:rPr>
                <w:rFonts w:cs="Segoe UI"/>
                <w:b/>
                <w:sz w:val="18"/>
              </w:rPr>
              <w:t>Number of treatments administered</w:t>
            </w:r>
          </w:p>
        </w:tc>
        <w:tc>
          <w:tcPr>
            <w:tcW w:w="911" w:type="pct"/>
            <w:tcBorders>
              <w:top w:val="nil"/>
            </w:tcBorders>
            <w:shd w:val="clear" w:color="auto" w:fill="D9D9D9"/>
          </w:tcPr>
          <w:p w14:paraId="3AF34082" w14:textId="77777777" w:rsidR="008361C5" w:rsidRPr="00200234" w:rsidRDefault="008361C5" w:rsidP="008361C5">
            <w:pPr>
              <w:spacing w:before="60" w:after="60"/>
              <w:jc w:val="center"/>
              <w:rPr>
                <w:rFonts w:cs="Segoe UI"/>
                <w:b/>
                <w:sz w:val="18"/>
              </w:rPr>
            </w:pPr>
            <w:r w:rsidRPr="00200234">
              <w:rPr>
                <w:rFonts w:cs="Segoe UI"/>
                <w:b/>
                <w:sz w:val="18"/>
              </w:rPr>
              <w:t>Number of people given ECT</w:t>
            </w:r>
          </w:p>
        </w:tc>
        <w:tc>
          <w:tcPr>
            <w:tcW w:w="1005" w:type="pct"/>
            <w:tcBorders>
              <w:top w:val="nil"/>
            </w:tcBorders>
            <w:shd w:val="clear" w:color="auto" w:fill="D9D9D9"/>
          </w:tcPr>
          <w:p w14:paraId="20FE8A21" w14:textId="77777777" w:rsidR="008361C5" w:rsidRPr="00200234" w:rsidRDefault="008361C5" w:rsidP="008361C5">
            <w:pPr>
              <w:spacing w:before="60" w:after="60"/>
              <w:jc w:val="center"/>
              <w:rPr>
                <w:rFonts w:cs="Segoe UI"/>
                <w:b/>
                <w:sz w:val="18"/>
              </w:rPr>
            </w:pPr>
            <w:r w:rsidRPr="00200234">
              <w:rPr>
                <w:rFonts w:cs="Segoe UI"/>
                <w:b/>
                <w:sz w:val="18"/>
              </w:rPr>
              <w:t>Number of treatments administered</w:t>
            </w:r>
          </w:p>
        </w:tc>
      </w:tr>
      <w:tr w:rsidR="008361C5" w:rsidRPr="00200234" w14:paraId="11620808" w14:textId="77777777" w:rsidTr="00B00B4D">
        <w:trPr>
          <w:cantSplit/>
          <w:trHeight w:val="269"/>
        </w:trPr>
        <w:tc>
          <w:tcPr>
            <w:tcW w:w="1062" w:type="pct"/>
            <w:shd w:val="clear" w:color="auto" w:fill="auto"/>
          </w:tcPr>
          <w:p w14:paraId="5A4BC02F" w14:textId="77777777" w:rsidR="008361C5" w:rsidRPr="00200234" w:rsidRDefault="008361C5" w:rsidP="008361C5">
            <w:pPr>
              <w:spacing w:before="60" w:after="60"/>
              <w:rPr>
                <w:rFonts w:cs="Segoe UI"/>
                <w:sz w:val="18"/>
              </w:rPr>
            </w:pPr>
            <w:r w:rsidRPr="00200234">
              <w:rPr>
                <w:rFonts w:cs="Segoe UI"/>
                <w:sz w:val="18"/>
              </w:rPr>
              <w:t>Auckland</w:t>
            </w:r>
          </w:p>
        </w:tc>
        <w:tc>
          <w:tcPr>
            <w:tcW w:w="924" w:type="pct"/>
            <w:shd w:val="clear" w:color="auto" w:fill="auto"/>
          </w:tcPr>
          <w:p w14:paraId="2718AF55"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6</w:t>
            </w:r>
          </w:p>
        </w:tc>
        <w:tc>
          <w:tcPr>
            <w:tcW w:w="1098" w:type="pct"/>
            <w:shd w:val="clear" w:color="auto" w:fill="auto"/>
          </w:tcPr>
          <w:p w14:paraId="790B04B3"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50</w:t>
            </w:r>
          </w:p>
        </w:tc>
        <w:tc>
          <w:tcPr>
            <w:tcW w:w="911" w:type="pct"/>
            <w:shd w:val="clear" w:color="auto" w:fill="auto"/>
          </w:tcPr>
          <w:p w14:paraId="36C04967"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c>
          <w:tcPr>
            <w:tcW w:w="1005" w:type="pct"/>
            <w:shd w:val="clear" w:color="auto" w:fill="auto"/>
          </w:tcPr>
          <w:p w14:paraId="09CCD05C"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r>
      <w:tr w:rsidR="008361C5" w:rsidRPr="00200234" w14:paraId="3260CA8F" w14:textId="77777777" w:rsidTr="00B00B4D">
        <w:trPr>
          <w:cantSplit/>
          <w:trHeight w:val="258"/>
        </w:trPr>
        <w:tc>
          <w:tcPr>
            <w:tcW w:w="1062" w:type="pct"/>
            <w:shd w:val="clear" w:color="auto" w:fill="auto"/>
          </w:tcPr>
          <w:p w14:paraId="78DACDA1" w14:textId="77777777" w:rsidR="008361C5" w:rsidRPr="00200234" w:rsidRDefault="008361C5" w:rsidP="008361C5">
            <w:pPr>
              <w:spacing w:before="60" w:after="60"/>
              <w:rPr>
                <w:rFonts w:cs="Segoe UI"/>
                <w:sz w:val="18"/>
              </w:rPr>
            </w:pPr>
            <w:r w:rsidRPr="00200234">
              <w:rPr>
                <w:rFonts w:cs="Segoe UI"/>
                <w:sz w:val="18"/>
              </w:rPr>
              <w:t>Bay of Plenty</w:t>
            </w:r>
          </w:p>
        </w:tc>
        <w:tc>
          <w:tcPr>
            <w:tcW w:w="924" w:type="pct"/>
            <w:shd w:val="clear" w:color="auto" w:fill="auto"/>
          </w:tcPr>
          <w:p w14:paraId="7D0F9890"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2</w:t>
            </w:r>
          </w:p>
        </w:tc>
        <w:tc>
          <w:tcPr>
            <w:tcW w:w="1098" w:type="pct"/>
            <w:shd w:val="clear" w:color="auto" w:fill="auto"/>
          </w:tcPr>
          <w:p w14:paraId="5A5CCEE9"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30</w:t>
            </w:r>
          </w:p>
        </w:tc>
        <w:tc>
          <w:tcPr>
            <w:tcW w:w="911" w:type="pct"/>
            <w:shd w:val="clear" w:color="auto" w:fill="auto"/>
          </w:tcPr>
          <w:p w14:paraId="357AB190"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c>
          <w:tcPr>
            <w:tcW w:w="1005" w:type="pct"/>
            <w:shd w:val="clear" w:color="auto" w:fill="auto"/>
          </w:tcPr>
          <w:p w14:paraId="3EFAB0E3"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r>
      <w:tr w:rsidR="008361C5" w:rsidRPr="00200234" w14:paraId="0B5F11A5" w14:textId="77777777" w:rsidTr="00B00B4D">
        <w:trPr>
          <w:cantSplit/>
          <w:trHeight w:val="269"/>
        </w:trPr>
        <w:tc>
          <w:tcPr>
            <w:tcW w:w="1062" w:type="pct"/>
            <w:shd w:val="clear" w:color="auto" w:fill="auto"/>
          </w:tcPr>
          <w:p w14:paraId="46479E79" w14:textId="77777777" w:rsidR="008361C5" w:rsidRPr="00200234" w:rsidRDefault="008361C5" w:rsidP="008361C5">
            <w:pPr>
              <w:spacing w:before="60" w:after="60"/>
              <w:rPr>
                <w:rFonts w:cs="Segoe UI"/>
                <w:sz w:val="18"/>
              </w:rPr>
            </w:pPr>
            <w:r w:rsidRPr="00200234">
              <w:rPr>
                <w:rFonts w:cs="Segoe UI"/>
                <w:sz w:val="18"/>
              </w:rPr>
              <w:t>Canterbury</w:t>
            </w:r>
          </w:p>
        </w:tc>
        <w:tc>
          <w:tcPr>
            <w:tcW w:w="924" w:type="pct"/>
            <w:shd w:val="clear" w:color="auto" w:fill="auto"/>
          </w:tcPr>
          <w:p w14:paraId="44976F95"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10</w:t>
            </w:r>
          </w:p>
        </w:tc>
        <w:tc>
          <w:tcPr>
            <w:tcW w:w="1098" w:type="pct"/>
            <w:shd w:val="clear" w:color="auto" w:fill="auto"/>
          </w:tcPr>
          <w:p w14:paraId="00A088FD"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44</w:t>
            </w:r>
          </w:p>
        </w:tc>
        <w:tc>
          <w:tcPr>
            <w:tcW w:w="911" w:type="pct"/>
            <w:shd w:val="clear" w:color="auto" w:fill="auto"/>
          </w:tcPr>
          <w:p w14:paraId="29B40DEE"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4</w:t>
            </w:r>
          </w:p>
        </w:tc>
        <w:tc>
          <w:tcPr>
            <w:tcW w:w="1005" w:type="pct"/>
            <w:shd w:val="clear" w:color="auto" w:fill="auto"/>
          </w:tcPr>
          <w:p w14:paraId="7B8729E4"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36</w:t>
            </w:r>
          </w:p>
        </w:tc>
      </w:tr>
      <w:tr w:rsidR="008361C5" w:rsidRPr="00200234" w14:paraId="7C21A0B4" w14:textId="77777777" w:rsidTr="00B00B4D">
        <w:trPr>
          <w:cantSplit/>
          <w:trHeight w:val="269"/>
        </w:trPr>
        <w:tc>
          <w:tcPr>
            <w:tcW w:w="1062" w:type="pct"/>
            <w:shd w:val="clear" w:color="auto" w:fill="auto"/>
          </w:tcPr>
          <w:p w14:paraId="5934A1E9" w14:textId="77777777" w:rsidR="008361C5" w:rsidRPr="00200234" w:rsidRDefault="008361C5" w:rsidP="008361C5">
            <w:pPr>
              <w:spacing w:before="60" w:after="60"/>
              <w:rPr>
                <w:rFonts w:cs="Segoe UI"/>
                <w:sz w:val="18"/>
              </w:rPr>
            </w:pPr>
            <w:r w:rsidRPr="00200234">
              <w:rPr>
                <w:rFonts w:cs="Segoe UI"/>
                <w:sz w:val="18"/>
              </w:rPr>
              <w:t>Capital &amp; Coast</w:t>
            </w:r>
          </w:p>
        </w:tc>
        <w:tc>
          <w:tcPr>
            <w:tcW w:w="924" w:type="pct"/>
            <w:shd w:val="clear" w:color="auto" w:fill="auto"/>
          </w:tcPr>
          <w:p w14:paraId="53343F9C"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4</w:t>
            </w:r>
          </w:p>
        </w:tc>
        <w:tc>
          <w:tcPr>
            <w:tcW w:w="1098" w:type="pct"/>
            <w:shd w:val="clear" w:color="auto" w:fill="auto"/>
          </w:tcPr>
          <w:p w14:paraId="167926F4"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26</w:t>
            </w:r>
          </w:p>
        </w:tc>
        <w:tc>
          <w:tcPr>
            <w:tcW w:w="911" w:type="pct"/>
            <w:shd w:val="clear" w:color="auto" w:fill="auto"/>
          </w:tcPr>
          <w:p w14:paraId="40D82BF8"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c>
          <w:tcPr>
            <w:tcW w:w="1005" w:type="pct"/>
            <w:shd w:val="clear" w:color="auto" w:fill="auto"/>
          </w:tcPr>
          <w:p w14:paraId="401B8DF4"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r>
      <w:tr w:rsidR="008361C5" w:rsidRPr="00200234" w14:paraId="4F7800E9" w14:textId="77777777" w:rsidTr="00B00B4D">
        <w:trPr>
          <w:cantSplit/>
          <w:trHeight w:val="258"/>
        </w:trPr>
        <w:tc>
          <w:tcPr>
            <w:tcW w:w="1062" w:type="pct"/>
            <w:shd w:val="clear" w:color="auto" w:fill="auto"/>
          </w:tcPr>
          <w:p w14:paraId="311F1C24" w14:textId="77777777" w:rsidR="008361C5" w:rsidRPr="00200234" w:rsidRDefault="008361C5" w:rsidP="008361C5">
            <w:pPr>
              <w:spacing w:before="60" w:after="60"/>
              <w:rPr>
                <w:rFonts w:cs="Segoe UI"/>
                <w:sz w:val="18"/>
              </w:rPr>
            </w:pPr>
            <w:r w:rsidRPr="00200234">
              <w:rPr>
                <w:rFonts w:cs="Segoe UI"/>
                <w:sz w:val="18"/>
              </w:rPr>
              <w:t>Counties Manukau</w:t>
            </w:r>
          </w:p>
        </w:tc>
        <w:tc>
          <w:tcPr>
            <w:tcW w:w="924" w:type="pct"/>
            <w:shd w:val="clear" w:color="auto" w:fill="auto"/>
          </w:tcPr>
          <w:p w14:paraId="11876992"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10</w:t>
            </w:r>
          </w:p>
        </w:tc>
        <w:tc>
          <w:tcPr>
            <w:tcW w:w="1098" w:type="pct"/>
            <w:shd w:val="clear" w:color="auto" w:fill="auto"/>
          </w:tcPr>
          <w:p w14:paraId="12E9CD60"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74</w:t>
            </w:r>
          </w:p>
        </w:tc>
        <w:tc>
          <w:tcPr>
            <w:tcW w:w="911" w:type="pct"/>
            <w:shd w:val="clear" w:color="auto" w:fill="auto"/>
          </w:tcPr>
          <w:p w14:paraId="2E788C5B"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c>
          <w:tcPr>
            <w:tcW w:w="1005" w:type="pct"/>
            <w:shd w:val="clear" w:color="auto" w:fill="auto"/>
          </w:tcPr>
          <w:p w14:paraId="61AD468A"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r>
      <w:tr w:rsidR="008361C5" w:rsidRPr="00200234" w14:paraId="4E96F41D" w14:textId="77777777" w:rsidTr="00B00B4D">
        <w:trPr>
          <w:cantSplit/>
          <w:trHeight w:val="269"/>
        </w:trPr>
        <w:tc>
          <w:tcPr>
            <w:tcW w:w="1062" w:type="pct"/>
            <w:shd w:val="clear" w:color="auto" w:fill="auto"/>
          </w:tcPr>
          <w:p w14:paraId="49C7D03F" w14:textId="77777777" w:rsidR="008361C5" w:rsidRPr="00200234" w:rsidRDefault="008361C5" w:rsidP="008361C5">
            <w:pPr>
              <w:spacing w:before="60" w:after="60"/>
              <w:rPr>
                <w:rFonts w:cs="Segoe UI"/>
                <w:sz w:val="18"/>
              </w:rPr>
            </w:pPr>
            <w:r w:rsidRPr="00200234">
              <w:rPr>
                <w:rFonts w:cs="Segoe UI"/>
                <w:sz w:val="18"/>
              </w:rPr>
              <w:t>Hawke’s Bay</w:t>
            </w:r>
          </w:p>
        </w:tc>
        <w:tc>
          <w:tcPr>
            <w:tcW w:w="924" w:type="pct"/>
            <w:shd w:val="clear" w:color="auto" w:fill="auto"/>
          </w:tcPr>
          <w:p w14:paraId="118CE66B"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1</w:t>
            </w:r>
          </w:p>
        </w:tc>
        <w:tc>
          <w:tcPr>
            <w:tcW w:w="1098" w:type="pct"/>
            <w:shd w:val="clear" w:color="auto" w:fill="auto"/>
          </w:tcPr>
          <w:p w14:paraId="65704F11"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8</w:t>
            </w:r>
          </w:p>
        </w:tc>
        <w:tc>
          <w:tcPr>
            <w:tcW w:w="911" w:type="pct"/>
            <w:shd w:val="clear" w:color="auto" w:fill="auto"/>
          </w:tcPr>
          <w:p w14:paraId="209621DC"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c>
          <w:tcPr>
            <w:tcW w:w="1005" w:type="pct"/>
            <w:shd w:val="clear" w:color="auto" w:fill="auto"/>
          </w:tcPr>
          <w:p w14:paraId="3A9DB0DD"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r>
      <w:tr w:rsidR="008361C5" w:rsidRPr="00200234" w14:paraId="7AC1CC15" w14:textId="77777777" w:rsidTr="00B00B4D">
        <w:trPr>
          <w:cantSplit/>
          <w:trHeight w:val="269"/>
        </w:trPr>
        <w:tc>
          <w:tcPr>
            <w:tcW w:w="1062" w:type="pct"/>
            <w:shd w:val="clear" w:color="auto" w:fill="auto"/>
          </w:tcPr>
          <w:p w14:paraId="101FD09C" w14:textId="77777777" w:rsidR="008361C5" w:rsidRPr="00200234" w:rsidRDefault="008361C5" w:rsidP="008361C5">
            <w:pPr>
              <w:spacing w:before="60" w:after="60"/>
              <w:rPr>
                <w:rFonts w:cs="Segoe UI"/>
                <w:sz w:val="18"/>
              </w:rPr>
            </w:pPr>
            <w:r w:rsidRPr="00200234">
              <w:rPr>
                <w:rFonts w:cs="Segoe UI"/>
                <w:sz w:val="18"/>
              </w:rPr>
              <w:t>Hutt Valley</w:t>
            </w:r>
          </w:p>
        </w:tc>
        <w:tc>
          <w:tcPr>
            <w:tcW w:w="924" w:type="pct"/>
            <w:shd w:val="clear" w:color="auto" w:fill="auto"/>
          </w:tcPr>
          <w:p w14:paraId="2F929C82"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5</w:t>
            </w:r>
          </w:p>
        </w:tc>
        <w:tc>
          <w:tcPr>
            <w:tcW w:w="1098" w:type="pct"/>
            <w:shd w:val="clear" w:color="auto" w:fill="auto"/>
          </w:tcPr>
          <w:p w14:paraId="268AE4AB"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21</w:t>
            </w:r>
          </w:p>
        </w:tc>
        <w:tc>
          <w:tcPr>
            <w:tcW w:w="911" w:type="pct"/>
            <w:shd w:val="clear" w:color="auto" w:fill="auto"/>
          </w:tcPr>
          <w:p w14:paraId="39734BDD"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c>
          <w:tcPr>
            <w:tcW w:w="1005" w:type="pct"/>
            <w:shd w:val="clear" w:color="auto" w:fill="auto"/>
          </w:tcPr>
          <w:p w14:paraId="17322BAA"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r>
      <w:tr w:rsidR="008361C5" w:rsidRPr="00200234" w14:paraId="0545F3E5" w14:textId="77777777" w:rsidTr="00B00B4D">
        <w:trPr>
          <w:cantSplit/>
          <w:trHeight w:val="258"/>
        </w:trPr>
        <w:tc>
          <w:tcPr>
            <w:tcW w:w="1062" w:type="pct"/>
            <w:shd w:val="clear" w:color="auto" w:fill="auto"/>
          </w:tcPr>
          <w:p w14:paraId="77BF2BB9" w14:textId="77777777" w:rsidR="008361C5" w:rsidRPr="00200234" w:rsidRDefault="008361C5" w:rsidP="008361C5">
            <w:pPr>
              <w:spacing w:before="60" w:after="60"/>
              <w:rPr>
                <w:rFonts w:cs="Segoe UI"/>
                <w:sz w:val="18"/>
              </w:rPr>
            </w:pPr>
            <w:r w:rsidRPr="00200234">
              <w:rPr>
                <w:rFonts w:cs="Segoe UI"/>
                <w:sz w:val="18"/>
              </w:rPr>
              <w:t>Lakes</w:t>
            </w:r>
          </w:p>
        </w:tc>
        <w:tc>
          <w:tcPr>
            <w:tcW w:w="924" w:type="pct"/>
            <w:shd w:val="clear" w:color="auto" w:fill="auto"/>
          </w:tcPr>
          <w:p w14:paraId="7BFD6033"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0</w:t>
            </w:r>
          </w:p>
        </w:tc>
        <w:tc>
          <w:tcPr>
            <w:tcW w:w="1098" w:type="pct"/>
            <w:shd w:val="clear" w:color="auto" w:fill="auto"/>
          </w:tcPr>
          <w:p w14:paraId="42607871"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0</w:t>
            </w:r>
          </w:p>
        </w:tc>
        <w:tc>
          <w:tcPr>
            <w:tcW w:w="911" w:type="pct"/>
            <w:shd w:val="clear" w:color="auto" w:fill="auto"/>
          </w:tcPr>
          <w:p w14:paraId="09F960E5"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c>
          <w:tcPr>
            <w:tcW w:w="1005" w:type="pct"/>
            <w:shd w:val="clear" w:color="auto" w:fill="auto"/>
          </w:tcPr>
          <w:p w14:paraId="3F06DC80"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r>
      <w:tr w:rsidR="008361C5" w:rsidRPr="00200234" w14:paraId="68E7F3AF" w14:textId="77777777" w:rsidTr="00B00B4D">
        <w:trPr>
          <w:cantSplit/>
          <w:trHeight w:val="269"/>
        </w:trPr>
        <w:tc>
          <w:tcPr>
            <w:tcW w:w="1062" w:type="pct"/>
            <w:shd w:val="clear" w:color="auto" w:fill="auto"/>
          </w:tcPr>
          <w:p w14:paraId="67AA400D" w14:textId="77777777" w:rsidR="008361C5" w:rsidRPr="00200234" w:rsidRDefault="008361C5" w:rsidP="008361C5">
            <w:pPr>
              <w:spacing w:before="60" w:after="60"/>
              <w:rPr>
                <w:rFonts w:cs="Segoe UI"/>
                <w:sz w:val="18"/>
              </w:rPr>
            </w:pPr>
            <w:proofErr w:type="spellStart"/>
            <w:r w:rsidRPr="00200234">
              <w:rPr>
                <w:rFonts w:cs="Segoe UI"/>
                <w:sz w:val="18"/>
              </w:rPr>
              <w:t>MidCentral</w:t>
            </w:r>
            <w:proofErr w:type="spellEnd"/>
          </w:p>
        </w:tc>
        <w:tc>
          <w:tcPr>
            <w:tcW w:w="924" w:type="pct"/>
            <w:shd w:val="clear" w:color="auto" w:fill="auto"/>
          </w:tcPr>
          <w:p w14:paraId="096824D8"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4</w:t>
            </w:r>
          </w:p>
        </w:tc>
        <w:tc>
          <w:tcPr>
            <w:tcW w:w="1098" w:type="pct"/>
            <w:shd w:val="clear" w:color="auto" w:fill="auto"/>
          </w:tcPr>
          <w:p w14:paraId="7B5A1814"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26</w:t>
            </w:r>
          </w:p>
        </w:tc>
        <w:tc>
          <w:tcPr>
            <w:tcW w:w="911" w:type="pct"/>
            <w:shd w:val="clear" w:color="auto" w:fill="auto"/>
          </w:tcPr>
          <w:p w14:paraId="4A5ABE83"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c>
          <w:tcPr>
            <w:tcW w:w="1005" w:type="pct"/>
            <w:shd w:val="clear" w:color="auto" w:fill="auto"/>
          </w:tcPr>
          <w:p w14:paraId="164B7C30"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r>
      <w:tr w:rsidR="008361C5" w:rsidRPr="00200234" w14:paraId="49C974D0" w14:textId="77777777" w:rsidTr="00B00B4D">
        <w:trPr>
          <w:cantSplit/>
          <w:trHeight w:val="258"/>
        </w:trPr>
        <w:tc>
          <w:tcPr>
            <w:tcW w:w="1062" w:type="pct"/>
            <w:shd w:val="clear" w:color="auto" w:fill="auto"/>
          </w:tcPr>
          <w:p w14:paraId="257C6DE6" w14:textId="77777777" w:rsidR="008361C5" w:rsidRPr="00200234" w:rsidRDefault="008361C5" w:rsidP="008361C5">
            <w:pPr>
              <w:spacing w:before="60" w:after="60"/>
              <w:rPr>
                <w:rFonts w:cs="Segoe UI"/>
                <w:sz w:val="18"/>
              </w:rPr>
            </w:pPr>
            <w:r w:rsidRPr="00200234">
              <w:rPr>
                <w:rFonts w:cs="Segoe UI"/>
                <w:sz w:val="18"/>
              </w:rPr>
              <w:t>Nelson Marlborough</w:t>
            </w:r>
          </w:p>
        </w:tc>
        <w:tc>
          <w:tcPr>
            <w:tcW w:w="924" w:type="pct"/>
            <w:shd w:val="clear" w:color="auto" w:fill="auto"/>
          </w:tcPr>
          <w:p w14:paraId="3190C48E"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0</w:t>
            </w:r>
          </w:p>
        </w:tc>
        <w:tc>
          <w:tcPr>
            <w:tcW w:w="1098" w:type="pct"/>
            <w:shd w:val="clear" w:color="auto" w:fill="auto"/>
          </w:tcPr>
          <w:p w14:paraId="19D157AD"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0</w:t>
            </w:r>
          </w:p>
        </w:tc>
        <w:tc>
          <w:tcPr>
            <w:tcW w:w="911" w:type="pct"/>
            <w:shd w:val="clear" w:color="auto" w:fill="auto"/>
          </w:tcPr>
          <w:p w14:paraId="0F1D4465"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c>
          <w:tcPr>
            <w:tcW w:w="1005" w:type="pct"/>
            <w:shd w:val="clear" w:color="auto" w:fill="auto"/>
          </w:tcPr>
          <w:p w14:paraId="70D5812C"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r>
      <w:tr w:rsidR="008361C5" w:rsidRPr="00200234" w14:paraId="5B0B3EF9" w14:textId="77777777" w:rsidTr="00B00B4D">
        <w:trPr>
          <w:cantSplit/>
          <w:trHeight w:val="269"/>
        </w:trPr>
        <w:tc>
          <w:tcPr>
            <w:tcW w:w="1062" w:type="pct"/>
            <w:shd w:val="clear" w:color="auto" w:fill="auto"/>
          </w:tcPr>
          <w:p w14:paraId="509324E8" w14:textId="77777777" w:rsidR="008361C5" w:rsidRPr="00200234" w:rsidRDefault="008361C5" w:rsidP="008361C5">
            <w:pPr>
              <w:spacing w:before="60" w:after="60"/>
              <w:rPr>
                <w:rFonts w:cs="Segoe UI"/>
                <w:sz w:val="18"/>
              </w:rPr>
            </w:pPr>
            <w:r w:rsidRPr="00200234">
              <w:rPr>
                <w:rFonts w:cs="Segoe UI"/>
                <w:sz w:val="18"/>
              </w:rPr>
              <w:t>Northland</w:t>
            </w:r>
          </w:p>
        </w:tc>
        <w:tc>
          <w:tcPr>
            <w:tcW w:w="924" w:type="pct"/>
            <w:shd w:val="clear" w:color="auto" w:fill="auto"/>
          </w:tcPr>
          <w:p w14:paraId="37FBADDA"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5</w:t>
            </w:r>
          </w:p>
        </w:tc>
        <w:tc>
          <w:tcPr>
            <w:tcW w:w="1098" w:type="pct"/>
            <w:shd w:val="clear" w:color="auto" w:fill="auto"/>
          </w:tcPr>
          <w:p w14:paraId="4D49484E"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62</w:t>
            </w:r>
          </w:p>
        </w:tc>
        <w:tc>
          <w:tcPr>
            <w:tcW w:w="911" w:type="pct"/>
            <w:shd w:val="clear" w:color="auto" w:fill="auto"/>
          </w:tcPr>
          <w:p w14:paraId="0F67B673"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c>
          <w:tcPr>
            <w:tcW w:w="1005" w:type="pct"/>
            <w:shd w:val="clear" w:color="auto" w:fill="auto"/>
          </w:tcPr>
          <w:p w14:paraId="18CF12A7"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r>
      <w:tr w:rsidR="008361C5" w:rsidRPr="00200234" w14:paraId="5C353EF6" w14:textId="77777777" w:rsidTr="00B00B4D">
        <w:trPr>
          <w:cantSplit/>
          <w:trHeight w:val="269"/>
        </w:trPr>
        <w:tc>
          <w:tcPr>
            <w:tcW w:w="1062" w:type="pct"/>
            <w:shd w:val="clear" w:color="auto" w:fill="auto"/>
          </w:tcPr>
          <w:p w14:paraId="597BBA09" w14:textId="77777777" w:rsidR="008361C5" w:rsidRPr="00200234" w:rsidRDefault="008361C5" w:rsidP="008361C5">
            <w:pPr>
              <w:spacing w:before="60" w:after="60"/>
              <w:rPr>
                <w:rFonts w:cs="Segoe UI"/>
                <w:sz w:val="18"/>
              </w:rPr>
            </w:pPr>
            <w:r w:rsidRPr="00200234">
              <w:rPr>
                <w:rFonts w:cs="Segoe UI"/>
                <w:sz w:val="18"/>
              </w:rPr>
              <w:t>South Canterbury</w:t>
            </w:r>
          </w:p>
        </w:tc>
        <w:tc>
          <w:tcPr>
            <w:tcW w:w="924" w:type="pct"/>
            <w:shd w:val="clear" w:color="auto" w:fill="auto"/>
          </w:tcPr>
          <w:p w14:paraId="7A9CD477"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0</w:t>
            </w:r>
          </w:p>
        </w:tc>
        <w:tc>
          <w:tcPr>
            <w:tcW w:w="1098" w:type="pct"/>
            <w:shd w:val="clear" w:color="auto" w:fill="auto"/>
          </w:tcPr>
          <w:p w14:paraId="6D8FDA54"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0</w:t>
            </w:r>
          </w:p>
        </w:tc>
        <w:tc>
          <w:tcPr>
            <w:tcW w:w="911" w:type="pct"/>
            <w:shd w:val="clear" w:color="auto" w:fill="auto"/>
          </w:tcPr>
          <w:p w14:paraId="42B7C785"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c>
          <w:tcPr>
            <w:tcW w:w="1005" w:type="pct"/>
            <w:shd w:val="clear" w:color="auto" w:fill="auto"/>
          </w:tcPr>
          <w:p w14:paraId="1F6E0EA9"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r>
      <w:tr w:rsidR="008361C5" w:rsidRPr="00200234" w14:paraId="08A58CBD" w14:textId="77777777" w:rsidTr="00B00B4D">
        <w:trPr>
          <w:cantSplit/>
          <w:trHeight w:val="258"/>
        </w:trPr>
        <w:tc>
          <w:tcPr>
            <w:tcW w:w="1062" w:type="pct"/>
            <w:shd w:val="clear" w:color="auto" w:fill="auto"/>
          </w:tcPr>
          <w:p w14:paraId="01BD4DD8" w14:textId="77777777" w:rsidR="008361C5" w:rsidRPr="00200234" w:rsidRDefault="008361C5" w:rsidP="008361C5">
            <w:pPr>
              <w:spacing w:before="60" w:after="60"/>
              <w:rPr>
                <w:rFonts w:cs="Segoe UI"/>
                <w:sz w:val="18"/>
              </w:rPr>
            </w:pPr>
            <w:r w:rsidRPr="00200234">
              <w:rPr>
                <w:rFonts w:cs="Segoe UI"/>
                <w:sz w:val="18"/>
              </w:rPr>
              <w:t>Southern</w:t>
            </w:r>
          </w:p>
        </w:tc>
        <w:tc>
          <w:tcPr>
            <w:tcW w:w="924" w:type="pct"/>
            <w:shd w:val="clear" w:color="auto" w:fill="auto"/>
          </w:tcPr>
          <w:p w14:paraId="56600F37"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12</w:t>
            </w:r>
          </w:p>
        </w:tc>
        <w:tc>
          <w:tcPr>
            <w:tcW w:w="1098" w:type="pct"/>
            <w:shd w:val="clear" w:color="auto" w:fill="auto"/>
          </w:tcPr>
          <w:p w14:paraId="3E349038"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198</w:t>
            </w:r>
          </w:p>
        </w:tc>
        <w:tc>
          <w:tcPr>
            <w:tcW w:w="911" w:type="pct"/>
            <w:shd w:val="clear" w:color="auto" w:fill="auto"/>
          </w:tcPr>
          <w:p w14:paraId="018D79A8"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c>
          <w:tcPr>
            <w:tcW w:w="1005" w:type="pct"/>
            <w:shd w:val="clear" w:color="auto" w:fill="auto"/>
          </w:tcPr>
          <w:p w14:paraId="2B80D62F"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r>
      <w:tr w:rsidR="008361C5" w:rsidRPr="00200234" w14:paraId="0EEC097E" w14:textId="77777777" w:rsidTr="00B00B4D">
        <w:trPr>
          <w:cantSplit/>
          <w:trHeight w:val="269"/>
        </w:trPr>
        <w:tc>
          <w:tcPr>
            <w:tcW w:w="1062" w:type="pct"/>
            <w:shd w:val="clear" w:color="auto" w:fill="auto"/>
          </w:tcPr>
          <w:p w14:paraId="5214EE76" w14:textId="77777777" w:rsidR="008361C5" w:rsidRPr="00200234" w:rsidRDefault="008361C5" w:rsidP="008361C5">
            <w:pPr>
              <w:spacing w:before="60" w:after="60"/>
              <w:rPr>
                <w:rFonts w:cs="Segoe UI"/>
                <w:sz w:val="18"/>
              </w:rPr>
            </w:pPr>
            <w:proofErr w:type="spellStart"/>
            <w:r w:rsidRPr="00200234">
              <w:rPr>
                <w:rFonts w:cs="Segoe UI"/>
                <w:sz w:val="18"/>
              </w:rPr>
              <w:t>Tairāwhiti</w:t>
            </w:r>
            <w:proofErr w:type="spellEnd"/>
          </w:p>
        </w:tc>
        <w:tc>
          <w:tcPr>
            <w:tcW w:w="924" w:type="pct"/>
            <w:shd w:val="clear" w:color="auto" w:fill="auto"/>
          </w:tcPr>
          <w:p w14:paraId="080D051E"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0</w:t>
            </w:r>
          </w:p>
        </w:tc>
        <w:tc>
          <w:tcPr>
            <w:tcW w:w="1098" w:type="pct"/>
            <w:shd w:val="clear" w:color="auto" w:fill="auto"/>
          </w:tcPr>
          <w:p w14:paraId="7689FC67"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0</w:t>
            </w:r>
          </w:p>
        </w:tc>
        <w:tc>
          <w:tcPr>
            <w:tcW w:w="911" w:type="pct"/>
            <w:shd w:val="clear" w:color="auto" w:fill="auto"/>
          </w:tcPr>
          <w:p w14:paraId="26A4F793"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c>
          <w:tcPr>
            <w:tcW w:w="1005" w:type="pct"/>
            <w:shd w:val="clear" w:color="auto" w:fill="auto"/>
          </w:tcPr>
          <w:p w14:paraId="21BA9B7F"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r>
      <w:tr w:rsidR="008361C5" w:rsidRPr="00200234" w14:paraId="52D95F43" w14:textId="77777777" w:rsidTr="00B00B4D">
        <w:trPr>
          <w:cantSplit/>
          <w:trHeight w:val="269"/>
        </w:trPr>
        <w:tc>
          <w:tcPr>
            <w:tcW w:w="1062" w:type="pct"/>
            <w:shd w:val="clear" w:color="auto" w:fill="auto"/>
          </w:tcPr>
          <w:p w14:paraId="1034DCA6" w14:textId="77777777" w:rsidR="008361C5" w:rsidRPr="00200234" w:rsidRDefault="008361C5" w:rsidP="008361C5">
            <w:pPr>
              <w:spacing w:before="60" w:after="60"/>
              <w:rPr>
                <w:rFonts w:cs="Segoe UI"/>
                <w:sz w:val="18"/>
              </w:rPr>
            </w:pPr>
            <w:r w:rsidRPr="00200234">
              <w:rPr>
                <w:rFonts w:cs="Segoe UI"/>
                <w:sz w:val="18"/>
              </w:rPr>
              <w:t>Taranaki</w:t>
            </w:r>
          </w:p>
        </w:tc>
        <w:tc>
          <w:tcPr>
            <w:tcW w:w="924" w:type="pct"/>
            <w:shd w:val="clear" w:color="auto" w:fill="auto"/>
          </w:tcPr>
          <w:p w14:paraId="570196C8"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0</w:t>
            </w:r>
          </w:p>
        </w:tc>
        <w:tc>
          <w:tcPr>
            <w:tcW w:w="1098" w:type="pct"/>
            <w:shd w:val="clear" w:color="auto" w:fill="auto"/>
          </w:tcPr>
          <w:p w14:paraId="7302659F"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0</w:t>
            </w:r>
          </w:p>
        </w:tc>
        <w:tc>
          <w:tcPr>
            <w:tcW w:w="911" w:type="pct"/>
            <w:shd w:val="clear" w:color="auto" w:fill="auto"/>
          </w:tcPr>
          <w:p w14:paraId="3E018557"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c>
          <w:tcPr>
            <w:tcW w:w="1005" w:type="pct"/>
            <w:shd w:val="clear" w:color="auto" w:fill="auto"/>
          </w:tcPr>
          <w:p w14:paraId="5B6528C1"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r>
      <w:tr w:rsidR="008361C5" w:rsidRPr="00200234" w14:paraId="51DF48C1" w14:textId="77777777" w:rsidTr="00B00B4D">
        <w:trPr>
          <w:cantSplit/>
          <w:trHeight w:val="258"/>
        </w:trPr>
        <w:tc>
          <w:tcPr>
            <w:tcW w:w="1062" w:type="pct"/>
            <w:shd w:val="clear" w:color="auto" w:fill="auto"/>
          </w:tcPr>
          <w:p w14:paraId="78285D6F" w14:textId="77777777" w:rsidR="008361C5" w:rsidRPr="00200234" w:rsidRDefault="008361C5" w:rsidP="008361C5">
            <w:pPr>
              <w:spacing w:before="60" w:after="60"/>
              <w:rPr>
                <w:rFonts w:cs="Segoe UI"/>
                <w:sz w:val="18"/>
              </w:rPr>
            </w:pPr>
            <w:r w:rsidRPr="00200234">
              <w:rPr>
                <w:rFonts w:cs="Segoe UI"/>
                <w:sz w:val="18"/>
              </w:rPr>
              <w:t>Waikato</w:t>
            </w:r>
          </w:p>
        </w:tc>
        <w:tc>
          <w:tcPr>
            <w:tcW w:w="924" w:type="pct"/>
            <w:shd w:val="clear" w:color="auto" w:fill="auto"/>
          </w:tcPr>
          <w:p w14:paraId="3F957232"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12</w:t>
            </w:r>
          </w:p>
        </w:tc>
        <w:tc>
          <w:tcPr>
            <w:tcW w:w="1098" w:type="pct"/>
            <w:shd w:val="clear" w:color="auto" w:fill="auto"/>
          </w:tcPr>
          <w:p w14:paraId="634AC034"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114</w:t>
            </w:r>
          </w:p>
        </w:tc>
        <w:tc>
          <w:tcPr>
            <w:tcW w:w="911" w:type="pct"/>
            <w:shd w:val="clear" w:color="auto" w:fill="auto"/>
          </w:tcPr>
          <w:p w14:paraId="45BC7524"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c>
          <w:tcPr>
            <w:tcW w:w="1005" w:type="pct"/>
            <w:shd w:val="clear" w:color="auto" w:fill="auto"/>
          </w:tcPr>
          <w:p w14:paraId="69E6AF48"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r>
      <w:tr w:rsidR="008361C5" w:rsidRPr="00200234" w14:paraId="46981C29" w14:textId="77777777" w:rsidTr="00B00B4D">
        <w:trPr>
          <w:cantSplit/>
          <w:trHeight w:val="269"/>
        </w:trPr>
        <w:tc>
          <w:tcPr>
            <w:tcW w:w="1062" w:type="pct"/>
            <w:shd w:val="clear" w:color="auto" w:fill="auto"/>
          </w:tcPr>
          <w:p w14:paraId="7DF6E7A8" w14:textId="77777777" w:rsidR="008361C5" w:rsidRPr="00200234" w:rsidRDefault="008361C5" w:rsidP="008361C5">
            <w:pPr>
              <w:spacing w:before="60" w:after="60"/>
              <w:rPr>
                <w:rFonts w:cs="Segoe UI"/>
                <w:sz w:val="18"/>
              </w:rPr>
            </w:pPr>
            <w:r w:rsidRPr="00200234">
              <w:rPr>
                <w:rFonts w:cs="Segoe UI"/>
                <w:sz w:val="18"/>
              </w:rPr>
              <w:t>Wairarapa</w:t>
            </w:r>
          </w:p>
        </w:tc>
        <w:tc>
          <w:tcPr>
            <w:tcW w:w="924" w:type="pct"/>
            <w:shd w:val="clear" w:color="auto" w:fill="auto"/>
          </w:tcPr>
          <w:p w14:paraId="0422062E"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w:t>
            </w:r>
          </w:p>
        </w:tc>
        <w:tc>
          <w:tcPr>
            <w:tcW w:w="1098" w:type="pct"/>
            <w:shd w:val="clear" w:color="auto" w:fill="auto"/>
          </w:tcPr>
          <w:p w14:paraId="2853C6CA"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w:t>
            </w:r>
          </w:p>
        </w:tc>
        <w:tc>
          <w:tcPr>
            <w:tcW w:w="911" w:type="pct"/>
            <w:shd w:val="clear" w:color="auto" w:fill="auto"/>
          </w:tcPr>
          <w:p w14:paraId="30FDF013"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w:t>
            </w:r>
          </w:p>
        </w:tc>
        <w:tc>
          <w:tcPr>
            <w:tcW w:w="1005" w:type="pct"/>
            <w:shd w:val="clear" w:color="auto" w:fill="auto"/>
          </w:tcPr>
          <w:p w14:paraId="18EFE7B0" w14:textId="12B1B1AE" w:rsidR="008361C5" w:rsidRPr="00200234" w:rsidRDefault="001A49C6" w:rsidP="001A49C6">
            <w:pPr>
              <w:tabs>
                <w:tab w:val="decimal" w:pos="355"/>
              </w:tabs>
              <w:spacing w:before="60" w:after="60"/>
              <w:jc w:val="center"/>
              <w:rPr>
                <w:rFonts w:cs="Segoe UI"/>
                <w:sz w:val="18"/>
              </w:rPr>
            </w:pPr>
            <w:r>
              <w:rPr>
                <w:rFonts w:cs="Segoe UI"/>
                <w:sz w:val="18"/>
              </w:rPr>
              <w:t>–</w:t>
            </w:r>
          </w:p>
        </w:tc>
      </w:tr>
      <w:tr w:rsidR="008361C5" w:rsidRPr="00200234" w14:paraId="13A0FDEB" w14:textId="77777777" w:rsidTr="00B00B4D">
        <w:trPr>
          <w:cantSplit/>
          <w:trHeight w:val="258"/>
        </w:trPr>
        <w:tc>
          <w:tcPr>
            <w:tcW w:w="1062" w:type="pct"/>
            <w:shd w:val="clear" w:color="auto" w:fill="auto"/>
          </w:tcPr>
          <w:p w14:paraId="547D26D6" w14:textId="77777777" w:rsidR="008361C5" w:rsidRPr="00200234" w:rsidRDefault="008361C5" w:rsidP="008361C5">
            <w:pPr>
              <w:spacing w:before="60" w:after="60"/>
              <w:rPr>
                <w:rFonts w:cs="Segoe UI"/>
                <w:sz w:val="18"/>
              </w:rPr>
            </w:pPr>
            <w:proofErr w:type="spellStart"/>
            <w:r w:rsidRPr="00200234">
              <w:rPr>
                <w:rFonts w:cs="Segoe UI"/>
                <w:sz w:val="18"/>
              </w:rPr>
              <w:t>Waitematā</w:t>
            </w:r>
            <w:proofErr w:type="spellEnd"/>
          </w:p>
        </w:tc>
        <w:tc>
          <w:tcPr>
            <w:tcW w:w="924" w:type="pct"/>
            <w:shd w:val="clear" w:color="auto" w:fill="auto"/>
          </w:tcPr>
          <w:p w14:paraId="6047C6B1"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17</w:t>
            </w:r>
          </w:p>
        </w:tc>
        <w:tc>
          <w:tcPr>
            <w:tcW w:w="1098" w:type="pct"/>
            <w:shd w:val="clear" w:color="auto" w:fill="auto"/>
          </w:tcPr>
          <w:p w14:paraId="3C9E642B"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184</w:t>
            </w:r>
          </w:p>
        </w:tc>
        <w:tc>
          <w:tcPr>
            <w:tcW w:w="911" w:type="pct"/>
            <w:shd w:val="clear" w:color="auto" w:fill="auto"/>
          </w:tcPr>
          <w:p w14:paraId="2375A6BB"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c>
          <w:tcPr>
            <w:tcW w:w="1005" w:type="pct"/>
            <w:shd w:val="clear" w:color="auto" w:fill="auto"/>
          </w:tcPr>
          <w:p w14:paraId="738A16FE"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0</w:t>
            </w:r>
          </w:p>
        </w:tc>
      </w:tr>
      <w:tr w:rsidR="008361C5" w:rsidRPr="00200234" w14:paraId="7F9535D5" w14:textId="77777777" w:rsidTr="00B00B4D">
        <w:trPr>
          <w:cantSplit/>
          <w:trHeight w:val="269"/>
        </w:trPr>
        <w:tc>
          <w:tcPr>
            <w:tcW w:w="1062" w:type="pct"/>
            <w:shd w:val="clear" w:color="auto" w:fill="auto"/>
          </w:tcPr>
          <w:p w14:paraId="2239ECBA" w14:textId="77777777" w:rsidR="008361C5" w:rsidRPr="00200234" w:rsidRDefault="008361C5" w:rsidP="008361C5">
            <w:pPr>
              <w:spacing w:before="60" w:after="60"/>
              <w:rPr>
                <w:rFonts w:cs="Segoe UI"/>
                <w:sz w:val="18"/>
              </w:rPr>
            </w:pPr>
            <w:r w:rsidRPr="00200234">
              <w:rPr>
                <w:rFonts w:cs="Segoe UI"/>
                <w:sz w:val="18"/>
              </w:rPr>
              <w:t>West Coast</w:t>
            </w:r>
          </w:p>
        </w:tc>
        <w:tc>
          <w:tcPr>
            <w:tcW w:w="924" w:type="pct"/>
            <w:shd w:val="clear" w:color="auto" w:fill="auto"/>
          </w:tcPr>
          <w:p w14:paraId="233B5292"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w:t>
            </w:r>
          </w:p>
        </w:tc>
        <w:tc>
          <w:tcPr>
            <w:tcW w:w="1098" w:type="pct"/>
            <w:shd w:val="clear" w:color="auto" w:fill="auto"/>
          </w:tcPr>
          <w:p w14:paraId="35DB6AF4"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w:t>
            </w:r>
          </w:p>
        </w:tc>
        <w:tc>
          <w:tcPr>
            <w:tcW w:w="911" w:type="pct"/>
            <w:shd w:val="clear" w:color="auto" w:fill="auto"/>
          </w:tcPr>
          <w:p w14:paraId="3DA2EA28"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w:t>
            </w:r>
          </w:p>
        </w:tc>
        <w:tc>
          <w:tcPr>
            <w:tcW w:w="1005" w:type="pct"/>
            <w:shd w:val="clear" w:color="auto" w:fill="auto"/>
          </w:tcPr>
          <w:p w14:paraId="2DFDE05E" w14:textId="45FA2897" w:rsidR="008361C5" w:rsidRPr="00200234" w:rsidRDefault="001A49C6" w:rsidP="001A49C6">
            <w:pPr>
              <w:tabs>
                <w:tab w:val="decimal" w:pos="355"/>
              </w:tabs>
              <w:spacing w:before="60" w:after="60"/>
              <w:jc w:val="center"/>
              <w:rPr>
                <w:rFonts w:cs="Segoe UI"/>
                <w:sz w:val="18"/>
              </w:rPr>
            </w:pPr>
            <w:r>
              <w:rPr>
                <w:rFonts w:cs="Segoe UI"/>
                <w:sz w:val="18"/>
              </w:rPr>
              <w:t>–</w:t>
            </w:r>
          </w:p>
        </w:tc>
      </w:tr>
      <w:tr w:rsidR="008361C5" w:rsidRPr="00200234" w14:paraId="582D4991" w14:textId="77777777" w:rsidTr="00B00B4D">
        <w:trPr>
          <w:cantSplit/>
          <w:trHeight w:val="269"/>
        </w:trPr>
        <w:tc>
          <w:tcPr>
            <w:tcW w:w="1062" w:type="pct"/>
            <w:shd w:val="clear" w:color="auto" w:fill="auto"/>
          </w:tcPr>
          <w:p w14:paraId="1A3F3BB8" w14:textId="77777777" w:rsidR="008361C5" w:rsidRPr="00200234" w:rsidRDefault="008361C5" w:rsidP="008361C5">
            <w:pPr>
              <w:spacing w:before="60" w:after="60"/>
              <w:rPr>
                <w:rFonts w:cs="Segoe UI"/>
                <w:sz w:val="18"/>
              </w:rPr>
            </w:pPr>
            <w:r w:rsidRPr="00200234">
              <w:rPr>
                <w:rFonts w:cs="Segoe UI"/>
                <w:sz w:val="18"/>
              </w:rPr>
              <w:t>Whanganui</w:t>
            </w:r>
          </w:p>
        </w:tc>
        <w:tc>
          <w:tcPr>
            <w:tcW w:w="924" w:type="pct"/>
            <w:shd w:val="clear" w:color="auto" w:fill="auto"/>
          </w:tcPr>
          <w:p w14:paraId="06E2C7C1" w14:textId="77777777" w:rsidR="008361C5" w:rsidRPr="00200234" w:rsidRDefault="008361C5" w:rsidP="00BA51FF">
            <w:pPr>
              <w:tabs>
                <w:tab w:val="decimal" w:pos="355"/>
              </w:tabs>
              <w:spacing w:before="60" w:after="60"/>
              <w:jc w:val="center"/>
              <w:rPr>
                <w:rFonts w:cs="Segoe UI"/>
                <w:sz w:val="18"/>
              </w:rPr>
            </w:pPr>
            <w:r w:rsidRPr="00200234">
              <w:rPr>
                <w:rFonts w:cs="Segoe UI"/>
                <w:sz w:val="18"/>
              </w:rPr>
              <w:t>–</w:t>
            </w:r>
          </w:p>
        </w:tc>
        <w:tc>
          <w:tcPr>
            <w:tcW w:w="1098" w:type="pct"/>
            <w:shd w:val="clear" w:color="auto" w:fill="auto"/>
          </w:tcPr>
          <w:p w14:paraId="4515FCA6" w14:textId="77777777" w:rsidR="008361C5" w:rsidRPr="00200234" w:rsidRDefault="008361C5" w:rsidP="00BA51FF">
            <w:pPr>
              <w:tabs>
                <w:tab w:val="decimal" w:pos="355"/>
                <w:tab w:val="decimal" w:pos="1172"/>
              </w:tabs>
              <w:spacing w:before="60" w:after="60"/>
              <w:jc w:val="center"/>
              <w:rPr>
                <w:rFonts w:cs="Segoe UI"/>
                <w:sz w:val="18"/>
              </w:rPr>
            </w:pPr>
            <w:r w:rsidRPr="00200234">
              <w:rPr>
                <w:rFonts w:cs="Segoe UI"/>
                <w:sz w:val="18"/>
              </w:rPr>
              <w:t>–</w:t>
            </w:r>
          </w:p>
        </w:tc>
        <w:tc>
          <w:tcPr>
            <w:tcW w:w="911" w:type="pct"/>
            <w:shd w:val="clear" w:color="auto" w:fill="auto"/>
          </w:tcPr>
          <w:p w14:paraId="778A355B" w14:textId="77777777" w:rsidR="008361C5" w:rsidRPr="00200234" w:rsidRDefault="008361C5" w:rsidP="001A49C6">
            <w:pPr>
              <w:tabs>
                <w:tab w:val="decimal" w:pos="355"/>
              </w:tabs>
              <w:spacing w:before="60" w:after="60"/>
              <w:jc w:val="center"/>
              <w:rPr>
                <w:rFonts w:cs="Segoe UI"/>
                <w:sz w:val="18"/>
              </w:rPr>
            </w:pPr>
            <w:r w:rsidRPr="00200234">
              <w:rPr>
                <w:rFonts w:cs="Segoe UI"/>
                <w:sz w:val="18"/>
              </w:rPr>
              <w:t>–</w:t>
            </w:r>
          </w:p>
        </w:tc>
        <w:tc>
          <w:tcPr>
            <w:tcW w:w="1005" w:type="pct"/>
            <w:shd w:val="clear" w:color="auto" w:fill="auto"/>
          </w:tcPr>
          <w:p w14:paraId="0C2DE816" w14:textId="28F41487" w:rsidR="008361C5" w:rsidRPr="00200234" w:rsidRDefault="001A49C6" w:rsidP="001A49C6">
            <w:pPr>
              <w:tabs>
                <w:tab w:val="decimal" w:pos="355"/>
              </w:tabs>
              <w:spacing w:before="60" w:after="60"/>
              <w:jc w:val="center"/>
              <w:rPr>
                <w:rFonts w:cs="Segoe UI"/>
                <w:sz w:val="18"/>
              </w:rPr>
            </w:pPr>
            <w:r>
              <w:rPr>
                <w:rFonts w:cs="Segoe UI"/>
                <w:sz w:val="18"/>
              </w:rPr>
              <w:t>–</w:t>
            </w:r>
          </w:p>
        </w:tc>
      </w:tr>
      <w:tr w:rsidR="008361C5" w:rsidRPr="00200234" w14:paraId="49ED8770" w14:textId="77777777" w:rsidTr="00B00B4D">
        <w:trPr>
          <w:cantSplit/>
          <w:trHeight w:val="258"/>
        </w:trPr>
        <w:tc>
          <w:tcPr>
            <w:tcW w:w="1062" w:type="pct"/>
            <w:shd w:val="clear" w:color="auto" w:fill="auto"/>
          </w:tcPr>
          <w:p w14:paraId="5C6C14A5" w14:textId="77777777" w:rsidR="008361C5" w:rsidRPr="00200234" w:rsidRDefault="008361C5" w:rsidP="008361C5">
            <w:pPr>
              <w:spacing w:before="60" w:after="60"/>
              <w:rPr>
                <w:rFonts w:cs="Segoe UI"/>
                <w:b/>
                <w:sz w:val="18"/>
              </w:rPr>
            </w:pPr>
            <w:r w:rsidRPr="00200234">
              <w:rPr>
                <w:rFonts w:cs="Segoe UI"/>
                <w:b/>
                <w:sz w:val="18"/>
              </w:rPr>
              <w:t>New Zealand</w:t>
            </w:r>
          </w:p>
        </w:tc>
        <w:tc>
          <w:tcPr>
            <w:tcW w:w="924" w:type="pct"/>
            <w:shd w:val="clear" w:color="auto" w:fill="auto"/>
          </w:tcPr>
          <w:p w14:paraId="3960D708" w14:textId="77777777" w:rsidR="008361C5" w:rsidRPr="00BA51FF" w:rsidRDefault="008361C5" w:rsidP="00BA51FF">
            <w:pPr>
              <w:tabs>
                <w:tab w:val="decimal" w:pos="355"/>
              </w:tabs>
              <w:spacing w:before="60" w:after="60"/>
              <w:jc w:val="center"/>
              <w:rPr>
                <w:rFonts w:cs="Segoe UI"/>
                <w:b/>
                <w:bCs/>
                <w:sz w:val="18"/>
              </w:rPr>
            </w:pPr>
            <w:r w:rsidRPr="00BA51FF">
              <w:rPr>
                <w:rFonts w:cs="Segoe UI"/>
                <w:b/>
                <w:bCs/>
                <w:sz w:val="18"/>
              </w:rPr>
              <w:t>88</w:t>
            </w:r>
          </w:p>
        </w:tc>
        <w:tc>
          <w:tcPr>
            <w:tcW w:w="1098" w:type="pct"/>
            <w:shd w:val="clear" w:color="auto" w:fill="auto"/>
          </w:tcPr>
          <w:p w14:paraId="5326269F" w14:textId="77777777" w:rsidR="008361C5" w:rsidRPr="00BA51FF" w:rsidRDefault="008361C5" w:rsidP="00BA51FF">
            <w:pPr>
              <w:tabs>
                <w:tab w:val="decimal" w:pos="355"/>
                <w:tab w:val="decimal" w:pos="1172"/>
              </w:tabs>
              <w:spacing w:before="60" w:after="60"/>
              <w:jc w:val="center"/>
              <w:rPr>
                <w:rFonts w:cs="Segoe UI"/>
                <w:b/>
                <w:bCs/>
                <w:sz w:val="18"/>
              </w:rPr>
            </w:pPr>
            <w:r w:rsidRPr="00BA51FF">
              <w:rPr>
                <w:rFonts w:cs="Segoe UI"/>
                <w:b/>
                <w:bCs/>
                <w:sz w:val="18"/>
              </w:rPr>
              <w:t>838</w:t>
            </w:r>
          </w:p>
        </w:tc>
        <w:tc>
          <w:tcPr>
            <w:tcW w:w="911" w:type="pct"/>
            <w:shd w:val="clear" w:color="auto" w:fill="auto"/>
          </w:tcPr>
          <w:p w14:paraId="79A47DFF" w14:textId="77777777" w:rsidR="008361C5" w:rsidRPr="001A49C6" w:rsidRDefault="008361C5" w:rsidP="001A49C6">
            <w:pPr>
              <w:tabs>
                <w:tab w:val="decimal" w:pos="355"/>
              </w:tabs>
              <w:spacing w:before="60" w:after="60"/>
              <w:jc w:val="center"/>
              <w:rPr>
                <w:rFonts w:cs="Segoe UI"/>
                <w:b/>
                <w:bCs/>
                <w:sz w:val="18"/>
              </w:rPr>
            </w:pPr>
            <w:r w:rsidRPr="001A49C6">
              <w:rPr>
                <w:rFonts w:cs="Segoe UI"/>
                <w:b/>
                <w:bCs/>
                <w:sz w:val="18"/>
              </w:rPr>
              <w:t>4</w:t>
            </w:r>
          </w:p>
        </w:tc>
        <w:tc>
          <w:tcPr>
            <w:tcW w:w="1005" w:type="pct"/>
            <w:shd w:val="clear" w:color="auto" w:fill="auto"/>
          </w:tcPr>
          <w:p w14:paraId="3682907B" w14:textId="77777777" w:rsidR="008361C5" w:rsidRPr="001A49C6" w:rsidRDefault="008361C5" w:rsidP="001A49C6">
            <w:pPr>
              <w:tabs>
                <w:tab w:val="decimal" w:pos="355"/>
              </w:tabs>
              <w:spacing w:before="60" w:after="60"/>
              <w:jc w:val="center"/>
              <w:rPr>
                <w:rFonts w:cs="Segoe UI"/>
                <w:b/>
                <w:bCs/>
                <w:sz w:val="18"/>
              </w:rPr>
            </w:pPr>
            <w:r w:rsidRPr="001A49C6">
              <w:rPr>
                <w:rFonts w:cs="Segoe UI"/>
                <w:b/>
                <w:bCs/>
                <w:sz w:val="18"/>
              </w:rPr>
              <w:t>36</w:t>
            </w:r>
          </w:p>
        </w:tc>
      </w:tr>
    </w:tbl>
    <w:bookmarkEnd w:id="313"/>
    <w:p w14:paraId="3871BBD7" w14:textId="66B4E955" w:rsidR="008361C5" w:rsidRPr="00200234" w:rsidRDefault="008361C5" w:rsidP="008361C5">
      <w:pPr>
        <w:pStyle w:val="Note"/>
      </w:pPr>
      <w:r w:rsidRPr="00200234">
        <w:t>Notes: The data in this table cannot be reliably compared with the data in Table 19</w:t>
      </w:r>
      <w:r w:rsidR="00AC0D51">
        <w:t xml:space="preserve"> because</w:t>
      </w:r>
      <w:r w:rsidRPr="00200234">
        <w:t xml:space="preserve"> it relates to DHB of service rather than DHB of domicile.</w:t>
      </w:r>
    </w:p>
    <w:p w14:paraId="7E3FED03" w14:textId="77777777" w:rsidR="008361C5" w:rsidRPr="00200234" w:rsidRDefault="008361C5" w:rsidP="008361C5">
      <w:pPr>
        <w:pStyle w:val="Note"/>
      </w:pPr>
      <w:r w:rsidRPr="00200234">
        <w:t>A dash (–) indicates the DHB does not perform ECT. In this case, the DHB sends people to other DHBs for treatment.</w:t>
      </w:r>
    </w:p>
    <w:p w14:paraId="757477FC" w14:textId="68A26E91" w:rsidR="008361C5" w:rsidRPr="00200234" w:rsidRDefault="008361C5" w:rsidP="008361C5">
      <w:pPr>
        <w:pStyle w:val="Note"/>
      </w:pPr>
      <w:r w:rsidRPr="00200234">
        <w:t>Source: Manual data from DHBs</w:t>
      </w:r>
      <w:r w:rsidR="00314226" w:rsidRPr="00200234">
        <w:t>.</w:t>
      </w:r>
      <w:r w:rsidRPr="00200234">
        <w:t xml:space="preserve"> </w:t>
      </w:r>
    </w:p>
    <w:p w14:paraId="571989FC" w14:textId="365FE4A5" w:rsidR="008361C5" w:rsidRPr="00200234" w:rsidRDefault="008361C5" w:rsidP="00AA1D14"/>
    <w:p w14:paraId="09CF71D4" w14:textId="199C9064" w:rsidR="008361C5" w:rsidRPr="00200234" w:rsidRDefault="008361C5" w:rsidP="008361C5">
      <w:pPr>
        <w:pStyle w:val="Heading1"/>
      </w:pPr>
      <w:bookmarkStart w:id="314" w:name="_Toc65141640"/>
      <w:bookmarkStart w:id="315" w:name="_Toc69307721"/>
      <w:r w:rsidRPr="00200234">
        <w:lastRenderedPageBreak/>
        <w:t xml:space="preserve">2018 and 2019 </w:t>
      </w:r>
      <w:r w:rsidR="00000045">
        <w:t>s</w:t>
      </w:r>
      <w:r w:rsidRPr="00200234">
        <w:t xml:space="preserve">ubstance </w:t>
      </w:r>
      <w:r w:rsidR="00000045">
        <w:t>u</w:t>
      </w:r>
      <w:r w:rsidRPr="00200234">
        <w:t xml:space="preserve">se </w:t>
      </w:r>
      <w:r w:rsidR="00000045">
        <w:t>t</w:t>
      </w:r>
      <w:r w:rsidRPr="00200234">
        <w:t>reatment</w:t>
      </w:r>
      <w:bookmarkEnd w:id="314"/>
      <w:bookmarkEnd w:id="315"/>
    </w:p>
    <w:p w14:paraId="3AFA0040" w14:textId="77777777" w:rsidR="008361C5" w:rsidRPr="00200234" w:rsidRDefault="008361C5" w:rsidP="00226FE6">
      <w:pPr>
        <w:pStyle w:val="Heading2"/>
      </w:pPr>
      <w:bookmarkStart w:id="316" w:name="_Toc65141641"/>
      <w:bookmarkStart w:id="317" w:name="_Toc69307722"/>
      <w:r w:rsidRPr="00200234">
        <w:t>Substance Addiction (Compulsory Assessment and Treatment) Act 2017</w:t>
      </w:r>
      <w:bookmarkEnd w:id="316"/>
      <w:bookmarkEnd w:id="317"/>
    </w:p>
    <w:p w14:paraId="23E87463" w14:textId="36064A41" w:rsidR="008361C5" w:rsidRPr="00200234" w:rsidRDefault="008361C5" w:rsidP="00226FE6">
      <w:r w:rsidRPr="00200234">
        <w:t>In February 2018, the Substance Addiction Act came into force, replacing the Alcoholism and Drug Addiction Act 1966. The Substance Addiction Act is designed to help people with a severe substance addiction and impaired capacity to make decisions about engaging in treatment. This new legislation is better equipped to protect the human rights and cultural needs of patients and whānau</w:t>
      </w:r>
      <w:r w:rsidR="00141887">
        <w:t>,</w:t>
      </w:r>
      <w:r w:rsidRPr="00200234">
        <w:t xml:space="preserve"> and </w:t>
      </w:r>
      <w:r w:rsidR="00141887">
        <w:t xml:space="preserve">it </w:t>
      </w:r>
      <w:r w:rsidRPr="00200234">
        <w:t>places greater emphasis on a mana-enhancing and health-based approach.</w:t>
      </w:r>
    </w:p>
    <w:p w14:paraId="6A16861F" w14:textId="77777777" w:rsidR="008361C5" w:rsidRPr="00200234" w:rsidRDefault="008361C5" w:rsidP="00505348">
      <w:pPr>
        <w:pStyle w:val="Heading2"/>
      </w:pPr>
      <w:bookmarkStart w:id="318" w:name="_Toc65141642"/>
      <w:bookmarkStart w:id="319" w:name="_Toc69307723"/>
      <w:r w:rsidRPr="00200234">
        <w:t>Severe substance addiction</w:t>
      </w:r>
      <w:bookmarkEnd w:id="318"/>
      <w:bookmarkEnd w:id="319"/>
    </w:p>
    <w:p w14:paraId="7D2431F8" w14:textId="77777777" w:rsidR="008361C5" w:rsidRPr="00200234" w:rsidRDefault="008361C5" w:rsidP="00226FE6">
      <w:r w:rsidRPr="00200234">
        <w:t xml:space="preserve">Section 8 of the Substance Addiction Act states the meaning of severe substance addiction. It is a continuous or intermittent condition that is of such severity that it poses </w:t>
      </w:r>
      <w:proofErr w:type="gramStart"/>
      <w:r w:rsidRPr="00200234">
        <w:t>a serious danger</w:t>
      </w:r>
      <w:proofErr w:type="gramEnd"/>
      <w:r w:rsidRPr="00200234">
        <w:t xml:space="preserve"> to the health and safety of the person and seriously diminishes their ability to care for themselves. It manifests itself in the compulsive use of a substance that is characterised by at least two of the following features:</w:t>
      </w:r>
    </w:p>
    <w:p w14:paraId="709DE7B5" w14:textId="77777777" w:rsidR="008361C5" w:rsidRPr="00ED4FA1" w:rsidRDefault="008361C5" w:rsidP="00226FE6">
      <w:pPr>
        <w:pStyle w:val="Bullet"/>
        <w:rPr>
          <w:szCs w:val="21"/>
        </w:rPr>
      </w:pPr>
      <w:r w:rsidRPr="00ED4FA1">
        <w:rPr>
          <w:szCs w:val="21"/>
        </w:rPr>
        <w:t>neuro-adaption to the substance</w:t>
      </w:r>
    </w:p>
    <w:p w14:paraId="74CF0B41" w14:textId="77777777" w:rsidR="008361C5" w:rsidRPr="00ED4FA1" w:rsidRDefault="008361C5" w:rsidP="00226FE6">
      <w:pPr>
        <w:pStyle w:val="Bullet"/>
        <w:rPr>
          <w:szCs w:val="21"/>
        </w:rPr>
      </w:pPr>
      <w:r w:rsidRPr="00ED4FA1">
        <w:rPr>
          <w:szCs w:val="21"/>
        </w:rPr>
        <w:t>craving for the substance</w:t>
      </w:r>
    </w:p>
    <w:p w14:paraId="45EFAA3C" w14:textId="14B3BBFD" w:rsidR="008361C5" w:rsidRPr="00ED4FA1" w:rsidRDefault="008361C5" w:rsidP="00226FE6">
      <w:pPr>
        <w:pStyle w:val="Bullet"/>
        <w:rPr>
          <w:szCs w:val="21"/>
        </w:rPr>
      </w:pPr>
      <w:r w:rsidRPr="00ED4FA1">
        <w:rPr>
          <w:szCs w:val="21"/>
        </w:rPr>
        <w:t xml:space="preserve">unsuccessful efforts to control the use of </w:t>
      </w:r>
      <w:r w:rsidR="00141887" w:rsidRPr="00ED4FA1">
        <w:rPr>
          <w:szCs w:val="21"/>
        </w:rPr>
        <w:t xml:space="preserve">the </w:t>
      </w:r>
      <w:r w:rsidRPr="00ED4FA1">
        <w:rPr>
          <w:szCs w:val="21"/>
        </w:rPr>
        <w:t>substance</w:t>
      </w:r>
    </w:p>
    <w:p w14:paraId="16628FC0" w14:textId="2A5B6EBD" w:rsidR="008361C5" w:rsidRPr="00ED4FA1" w:rsidRDefault="008361C5" w:rsidP="00226FE6">
      <w:pPr>
        <w:pStyle w:val="Bullet"/>
        <w:rPr>
          <w:szCs w:val="21"/>
        </w:rPr>
      </w:pPr>
      <w:r w:rsidRPr="00ED4FA1">
        <w:rPr>
          <w:szCs w:val="21"/>
        </w:rPr>
        <w:t>use of the substance despite suffering harmful consequences.</w:t>
      </w:r>
    </w:p>
    <w:p w14:paraId="27FAEB4A" w14:textId="77777777" w:rsidR="008361C5" w:rsidRPr="00200234" w:rsidRDefault="008361C5" w:rsidP="00505348">
      <w:pPr>
        <w:pStyle w:val="Heading3"/>
      </w:pPr>
      <w:bookmarkStart w:id="320" w:name="_Toc65141643"/>
      <w:r w:rsidRPr="00200234">
        <w:t>Criteria for compulsory treatment</w:t>
      </w:r>
      <w:bookmarkEnd w:id="320"/>
    </w:p>
    <w:p w14:paraId="60213904" w14:textId="77777777" w:rsidR="008361C5" w:rsidRPr="00200234" w:rsidRDefault="008361C5" w:rsidP="00226FE6">
      <w:r w:rsidRPr="00200234">
        <w:t>Section 7 of the Substance Addiction Act states the criteria for compulsory treatment, all of which must apply:</w:t>
      </w:r>
    </w:p>
    <w:p w14:paraId="75954510" w14:textId="77777777" w:rsidR="008361C5" w:rsidRPr="00ED4FA1" w:rsidRDefault="008361C5" w:rsidP="00226FE6">
      <w:pPr>
        <w:pStyle w:val="Bullet"/>
        <w:rPr>
          <w:szCs w:val="21"/>
        </w:rPr>
      </w:pPr>
      <w:r w:rsidRPr="00ED4FA1">
        <w:rPr>
          <w:szCs w:val="21"/>
        </w:rPr>
        <w:t>the person has a severe substance addiction; and</w:t>
      </w:r>
    </w:p>
    <w:p w14:paraId="7A876541" w14:textId="77777777" w:rsidR="008361C5" w:rsidRPr="00ED4FA1" w:rsidRDefault="008361C5" w:rsidP="00226FE6">
      <w:pPr>
        <w:pStyle w:val="Bullet"/>
        <w:rPr>
          <w:szCs w:val="21"/>
        </w:rPr>
      </w:pPr>
      <w:r w:rsidRPr="00ED4FA1">
        <w:rPr>
          <w:szCs w:val="21"/>
        </w:rPr>
        <w:t>the person’s capacity to make informed decisions about treatment for that addiction is severely impaired; and</w:t>
      </w:r>
    </w:p>
    <w:p w14:paraId="374464ED" w14:textId="77777777" w:rsidR="008361C5" w:rsidRPr="00ED4FA1" w:rsidRDefault="008361C5" w:rsidP="00226FE6">
      <w:pPr>
        <w:pStyle w:val="Bullet"/>
        <w:rPr>
          <w:szCs w:val="21"/>
        </w:rPr>
      </w:pPr>
      <w:r w:rsidRPr="00ED4FA1">
        <w:rPr>
          <w:szCs w:val="21"/>
        </w:rPr>
        <w:t>compulsory treatment of the person is necessary; and</w:t>
      </w:r>
    </w:p>
    <w:p w14:paraId="55E0AABE" w14:textId="77777777" w:rsidR="008361C5" w:rsidRPr="00ED4FA1" w:rsidRDefault="008361C5" w:rsidP="00226FE6">
      <w:pPr>
        <w:pStyle w:val="Bullet"/>
        <w:rPr>
          <w:szCs w:val="21"/>
        </w:rPr>
      </w:pPr>
      <w:r w:rsidRPr="00ED4FA1">
        <w:rPr>
          <w:szCs w:val="21"/>
        </w:rPr>
        <w:t>appropriate treatment for the person is available.</w:t>
      </w:r>
    </w:p>
    <w:p w14:paraId="293F59DB" w14:textId="77777777" w:rsidR="008361C5" w:rsidRPr="00200234" w:rsidRDefault="008361C5" w:rsidP="00505348">
      <w:pPr>
        <w:pStyle w:val="Heading3"/>
      </w:pPr>
      <w:bookmarkStart w:id="321" w:name="_Toc65141644"/>
      <w:r w:rsidRPr="00200234">
        <w:lastRenderedPageBreak/>
        <w:t>Key stages of the treatment process under the Substance Addiction Act</w:t>
      </w:r>
      <w:bookmarkEnd w:id="321"/>
    </w:p>
    <w:p w14:paraId="7E66FD79" w14:textId="77777777" w:rsidR="008361C5" w:rsidRPr="00200234" w:rsidRDefault="008361C5" w:rsidP="008361C5"/>
    <w:tbl>
      <w:tblPr>
        <w:tblW w:w="5000" w:type="pct"/>
        <w:tblLook w:val="04A0" w:firstRow="1" w:lastRow="0" w:firstColumn="1" w:lastColumn="0" w:noHBand="0" w:noVBand="1"/>
      </w:tblPr>
      <w:tblGrid>
        <w:gridCol w:w="1899"/>
        <w:gridCol w:w="6180"/>
      </w:tblGrid>
      <w:tr w:rsidR="008361C5" w:rsidRPr="00200234" w14:paraId="7F1A4678" w14:textId="77777777" w:rsidTr="00226FE6">
        <w:trPr>
          <w:cantSplit/>
          <w:trHeight w:val="1330"/>
        </w:trPr>
        <w:tc>
          <w:tcPr>
            <w:tcW w:w="1175" w:type="pct"/>
            <w:tcBorders>
              <w:top w:val="nil"/>
              <w:left w:val="nil"/>
              <w:bottom w:val="nil"/>
              <w:right w:val="nil"/>
            </w:tcBorders>
            <w:shd w:val="clear" w:color="auto" w:fill="8EAADB" w:themeFill="accent1" w:themeFillTint="99"/>
          </w:tcPr>
          <w:p w14:paraId="5016FFC5" w14:textId="77777777" w:rsidR="008361C5" w:rsidRPr="00200234" w:rsidRDefault="008361C5" w:rsidP="008361C5">
            <w:pPr>
              <w:rPr>
                <w:rFonts w:cs="Segoe UI"/>
                <w:b/>
                <w:szCs w:val="21"/>
              </w:rPr>
            </w:pPr>
            <w:r w:rsidRPr="00200234">
              <w:rPr>
                <w:rFonts w:cs="Segoe UI"/>
                <w:b/>
                <w:szCs w:val="21"/>
              </w:rPr>
              <w:t>Application</w:t>
            </w:r>
          </w:p>
        </w:tc>
        <w:tc>
          <w:tcPr>
            <w:tcW w:w="3825" w:type="pct"/>
            <w:tcBorders>
              <w:top w:val="nil"/>
              <w:left w:val="nil"/>
              <w:bottom w:val="nil"/>
              <w:right w:val="nil"/>
            </w:tcBorders>
          </w:tcPr>
          <w:p w14:paraId="1D5F094D" w14:textId="77777777" w:rsidR="008361C5" w:rsidRPr="00200234" w:rsidRDefault="008361C5" w:rsidP="008361C5">
            <w:pPr>
              <w:pStyle w:val="NoSpacing"/>
              <w:rPr>
                <w:rFonts w:ascii="Segoe UI" w:hAnsi="Segoe UI" w:cs="Segoe UI"/>
                <w:b/>
                <w:sz w:val="21"/>
                <w:szCs w:val="21"/>
                <w:lang w:val="en-NZ"/>
              </w:rPr>
            </w:pPr>
            <w:r w:rsidRPr="00200234">
              <w:rPr>
                <w:rFonts w:ascii="Segoe UI" w:hAnsi="Segoe UI" w:cs="Segoe UI"/>
                <w:b/>
                <w:sz w:val="21"/>
                <w:szCs w:val="21"/>
                <w:lang w:val="en-NZ"/>
              </w:rPr>
              <w:t xml:space="preserve">Section 14 </w:t>
            </w:r>
          </w:p>
          <w:p w14:paraId="61F4958E" w14:textId="77777777" w:rsidR="008361C5" w:rsidRPr="00200234" w:rsidRDefault="008361C5" w:rsidP="008361C5">
            <w:pPr>
              <w:pStyle w:val="NoSpacing"/>
              <w:rPr>
                <w:rFonts w:ascii="Segoe UI" w:hAnsi="Segoe UI" w:cs="Segoe UI"/>
                <w:sz w:val="21"/>
                <w:szCs w:val="21"/>
                <w:lang w:val="en-NZ"/>
              </w:rPr>
            </w:pPr>
            <w:r w:rsidRPr="00200234">
              <w:rPr>
                <w:rFonts w:ascii="Segoe UI" w:hAnsi="Segoe UI" w:cs="Segoe UI"/>
                <w:sz w:val="21"/>
                <w:szCs w:val="21"/>
                <w:lang w:val="en-NZ"/>
              </w:rPr>
              <w:t>An applicant who believes that a person has a severe substance addiction may apply to the Director of Area Addiction Services to have the person assessed.</w:t>
            </w:r>
          </w:p>
        </w:tc>
      </w:tr>
      <w:tr w:rsidR="008361C5" w:rsidRPr="00200234" w14:paraId="63859AAD" w14:textId="77777777" w:rsidTr="00226FE6">
        <w:trPr>
          <w:cantSplit/>
          <w:trHeight w:val="144"/>
        </w:trPr>
        <w:tc>
          <w:tcPr>
            <w:tcW w:w="1175" w:type="pct"/>
            <w:tcBorders>
              <w:top w:val="nil"/>
              <w:left w:val="nil"/>
              <w:bottom w:val="nil"/>
              <w:right w:val="nil"/>
            </w:tcBorders>
          </w:tcPr>
          <w:p w14:paraId="2E0E5A4A" w14:textId="77777777" w:rsidR="008361C5" w:rsidRPr="00200234" w:rsidRDefault="008361C5" w:rsidP="00226FE6">
            <w:pPr>
              <w:rPr>
                <w:rFonts w:cs="Segoe UI"/>
                <w:b/>
                <w:sz w:val="10"/>
                <w:szCs w:val="10"/>
              </w:rPr>
            </w:pPr>
          </w:p>
        </w:tc>
        <w:tc>
          <w:tcPr>
            <w:tcW w:w="3825" w:type="pct"/>
            <w:tcBorders>
              <w:top w:val="nil"/>
              <w:left w:val="nil"/>
              <w:bottom w:val="nil"/>
              <w:right w:val="nil"/>
            </w:tcBorders>
          </w:tcPr>
          <w:p w14:paraId="77AA838C" w14:textId="77777777" w:rsidR="008361C5" w:rsidRPr="00200234" w:rsidRDefault="008361C5" w:rsidP="00226FE6">
            <w:pPr>
              <w:pStyle w:val="NoSpacing"/>
              <w:rPr>
                <w:rFonts w:ascii="Segoe UI" w:hAnsi="Segoe UI" w:cs="Segoe UI"/>
                <w:b/>
                <w:sz w:val="10"/>
                <w:szCs w:val="10"/>
                <w:lang w:val="en-NZ"/>
              </w:rPr>
            </w:pPr>
          </w:p>
        </w:tc>
      </w:tr>
      <w:tr w:rsidR="008361C5" w:rsidRPr="00200234" w14:paraId="0159AACD" w14:textId="77777777" w:rsidTr="00226FE6">
        <w:trPr>
          <w:cantSplit/>
          <w:trHeight w:val="2231"/>
        </w:trPr>
        <w:tc>
          <w:tcPr>
            <w:tcW w:w="1175" w:type="pct"/>
            <w:tcBorders>
              <w:top w:val="nil"/>
              <w:left w:val="nil"/>
              <w:bottom w:val="nil"/>
              <w:right w:val="nil"/>
            </w:tcBorders>
            <w:shd w:val="clear" w:color="auto" w:fill="8EAADB" w:themeFill="accent1" w:themeFillTint="99"/>
          </w:tcPr>
          <w:p w14:paraId="178BD2C4" w14:textId="77777777" w:rsidR="008361C5" w:rsidRPr="00200234" w:rsidRDefault="008361C5" w:rsidP="008361C5">
            <w:pPr>
              <w:rPr>
                <w:rFonts w:cs="Segoe UI"/>
                <w:b/>
                <w:szCs w:val="21"/>
              </w:rPr>
            </w:pPr>
            <w:r w:rsidRPr="00200234">
              <w:rPr>
                <w:rFonts w:cs="Segoe UI"/>
                <w:b/>
                <w:szCs w:val="21"/>
              </w:rPr>
              <w:t>Assessment</w:t>
            </w:r>
          </w:p>
        </w:tc>
        <w:tc>
          <w:tcPr>
            <w:tcW w:w="3825" w:type="pct"/>
            <w:tcBorders>
              <w:top w:val="nil"/>
              <w:left w:val="nil"/>
              <w:bottom w:val="nil"/>
              <w:right w:val="nil"/>
            </w:tcBorders>
          </w:tcPr>
          <w:p w14:paraId="6A215C9A" w14:textId="77777777" w:rsidR="008361C5" w:rsidRPr="00200234" w:rsidRDefault="008361C5" w:rsidP="008361C5">
            <w:pPr>
              <w:pStyle w:val="NoSpacing"/>
              <w:rPr>
                <w:rFonts w:ascii="Segoe UI" w:hAnsi="Segoe UI" w:cs="Segoe UI"/>
                <w:b/>
                <w:sz w:val="21"/>
                <w:szCs w:val="21"/>
                <w:lang w:val="en-NZ"/>
              </w:rPr>
            </w:pPr>
            <w:r w:rsidRPr="00200234">
              <w:rPr>
                <w:rFonts w:ascii="Segoe UI" w:hAnsi="Segoe UI" w:cs="Segoe UI"/>
                <w:b/>
                <w:sz w:val="21"/>
                <w:szCs w:val="21"/>
                <w:lang w:val="en-NZ"/>
              </w:rPr>
              <w:t>Section 22</w:t>
            </w:r>
          </w:p>
          <w:p w14:paraId="68FE5D99" w14:textId="10B41B4F" w:rsidR="008361C5" w:rsidRPr="00200234" w:rsidRDefault="008361C5" w:rsidP="00BE56DA">
            <w:pPr>
              <w:pStyle w:val="NoSpacing"/>
              <w:rPr>
                <w:rFonts w:ascii="Segoe UI" w:hAnsi="Segoe UI" w:cs="Segoe UI"/>
                <w:sz w:val="21"/>
                <w:szCs w:val="21"/>
                <w:lang w:val="en-NZ"/>
              </w:rPr>
            </w:pPr>
            <w:r w:rsidRPr="00200234">
              <w:rPr>
                <w:rFonts w:ascii="Segoe UI" w:hAnsi="Segoe UI" w:cs="Segoe UI"/>
                <w:sz w:val="21"/>
                <w:szCs w:val="21"/>
                <w:lang w:val="en-NZ"/>
              </w:rPr>
              <w:t xml:space="preserve">An approved specialist assesses whether a person has a severe substance addiction. If the approved specialist considers that the person has a severe substance addiction, they must then assess whether that person’s capacity to make informed decisions about treatment has been severely impaired. </w:t>
            </w:r>
          </w:p>
        </w:tc>
      </w:tr>
      <w:tr w:rsidR="008361C5" w:rsidRPr="00200234" w14:paraId="77B3C08B" w14:textId="77777777" w:rsidTr="00226FE6">
        <w:trPr>
          <w:cantSplit/>
          <w:trHeight w:val="112"/>
        </w:trPr>
        <w:tc>
          <w:tcPr>
            <w:tcW w:w="1175" w:type="pct"/>
            <w:tcBorders>
              <w:top w:val="nil"/>
              <w:left w:val="nil"/>
              <w:bottom w:val="nil"/>
              <w:right w:val="nil"/>
            </w:tcBorders>
          </w:tcPr>
          <w:p w14:paraId="67FA2362" w14:textId="77777777" w:rsidR="008361C5" w:rsidRPr="00200234" w:rsidRDefault="008361C5" w:rsidP="00226FE6">
            <w:pPr>
              <w:rPr>
                <w:rFonts w:cs="Segoe UI"/>
                <w:b/>
                <w:sz w:val="10"/>
                <w:szCs w:val="10"/>
              </w:rPr>
            </w:pPr>
          </w:p>
        </w:tc>
        <w:tc>
          <w:tcPr>
            <w:tcW w:w="3825" w:type="pct"/>
            <w:tcBorders>
              <w:top w:val="nil"/>
              <w:left w:val="nil"/>
              <w:bottom w:val="nil"/>
              <w:right w:val="nil"/>
            </w:tcBorders>
          </w:tcPr>
          <w:p w14:paraId="022C4730" w14:textId="77777777" w:rsidR="008361C5" w:rsidRPr="00200234" w:rsidRDefault="008361C5" w:rsidP="00226FE6">
            <w:pPr>
              <w:rPr>
                <w:rFonts w:cs="Segoe UI"/>
                <w:b/>
                <w:sz w:val="10"/>
                <w:szCs w:val="10"/>
              </w:rPr>
            </w:pPr>
          </w:p>
        </w:tc>
      </w:tr>
      <w:tr w:rsidR="008361C5" w:rsidRPr="00200234" w14:paraId="74403D20" w14:textId="77777777" w:rsidTr="00226FE6">
        <w:trPr>
          <w:cantSplit/>
          <w:trHeight w:val="1956"/>
        </w:trPr>
        <w:tc>
          <w:tcPr>
            <w:tcW w:w="1175" w:type="pct"/>
            <w:tcBorders>
              <w:top w:val="nil"/>
              <w:left w:val="nil"/>
              <w:bottom w:val="nil"/>
              <w:right w:val="nil"/>
            </w:tcBorders>
            <w:shd w:val="clear" w:color="auto" w:fill="8EAADB" w:themeFill="accent1" w:themeFillTint="99"/>
          </w:tcPr>
          <w:p w14:paraId="45EE98F9" w14:textId="77777777" w:rsidR="008361C5" w:rsidRPr="00200234" w:rsidRDefault="008361C5" w:rsidP="008361C5">
            <w:pPr>
              <w:rPr>
                <w:rFonts w:cs="Segoe UI"/>
                <w:b/>
                <w:szCs w:val="21"/>
              </w:rPr>
            </w:pPr>
            <w:r w:rsidRPr="00200234">
              <w:rPr>
                <w:rFonts w:cs="Segoe UI"/>
                <w:b/>
                <w:szCs w:val="21"/>
              </w:rPr>
              <w:t>Certification</w:t>
            </w:r>
          </w:p>
        </w:tc>
        <w:tc>
          <w:tcPr>
            <w:tcW w:w="3825" w:type="pct"/>
            <w:tcBorders>
              <w:top w:val="nil"/>
              <w:left w:val="nil"/>
              <w:bottom w:val="nil"/>
              <w:right w:val="nil"/>
            </w:tcBorders>
          </w:tcPr>
          <w:p w14:paraId="6D6F5867" w14:textId="77777777" w:rsidR="008361C5" w:rsidRPr="00200234" w:rsidRDefault="008361C5" w:rsidP="008361C5">
            <w:pPr>
              <w:pStyle w:val="NoSpacing"/>
              <w:rPr>
                <w:rFonts w:ascii="Segoe UI" w:hAnsi="Segoe UI" w:cs="Segoe UI"/>
                <w:b/>
                <w:sz w:val="21"/>
                <w:szCs w:val="21"/>
                <w:lang w:val="en-NZ"/>
              </w:rPr>
            </w:pPr>
            <w:r w:rsidRPr="00200234">
              <w:rPr>
                <w:rFonts w:ascii="Segoe UI" w:hAnsi="Segoe UI" w:cs="Segoe UI"/>
                <w:b/>
                <w:sz w:val="21"/>
                <w:szCs w:val="21"/>
                <w:lang w:val="en-NZ"/>
              </w:rPr>
              <w:t xml:space="preserve">Section 23 </w:t>
            </w:r>
          </w:p>
          <w:p w14:paraId="639F605A" w14:textId="77777777" w:rsidR="008361C5" w:rsidRPr="00200234" w:rsidRDefault="008361C5" w:rsidP="008361C5">
            <w:pPr>
              <w:pStyle w:val="NoSpacing"/>
              <w:rPr>
                <w:rFonts w:ascii="Segoe UI" w:hAnsi="Segoe UI" w:cs="Segoe UI"/>
                <w:sz w:val="21"/>
                <w:szCs w:val="21"/>
                <w:lang w:val="en-NZ"/>
              </w:rPr>
            </w:pPr>
            <w:r w:rsidRPr="00200234">
              <w:rPr>
                <w:rFonts w:ascii="Segoe UI" w:hAnsi="Segoe UI" w:cs="Segoe UI"/>
                <w:sz w:val="21"/>
                <w:szCs w:val="21"/>
                <w:lang w:val="en-NZ"/>
              </w:rPr>
              <w:t>After assessment, if the approved specialist considers that the person meets the criteria for compulsory treatment, they sign a compulsory treatment certificate. The person is detained at a health care service for a period of stabilisation while arrangements are made to admit them to a treatment centre.</w:t>
            </w:r>
          </w:p>
        </w:tc>
      </w:tr>
      <w:tr w:rsidR="008361C5" w:rsidRPr="00200234" w14:paraId="4735A5DC" w14:textId="77777777" w:rsidTr="00226FE6">
        <w:trPr>
          <w:cantSplit/>
          <w:trHeight w:val="116"/>
        </w:trPr>
        <w:tc>
          <w:tcPr>
            <w:tcW w:w="1175" w:type="pct"/>
            <w:tcBorders>
              <w:top w:val="nil"/>
              <w:left w:val="nil"/>
              <w:bottom w:val="nil"/>
              <w:right w:val="nil"/>
            </w:tcBorders>
          </w:tcPr>
          <w:p w14:paraId="5F75EC0F" w14:textId="77777777" w:rsidR="008361C5" w:rsidRPr="00200234" w:rsidRDefault="008361C5" w:rsidP="00226FE6">
            <w:pPr>
              <w:rPr>
                <w:rFonts w:cs="Segoe UI"/>
                <w:b/>
                <w:sz w:val="10"/>
                <w:szCs w:val="10"/>
              </w:rPr>
            </w:pPr>
          </w:p>
        </w:tc>
        <w:tc>
          <w:tcPr>
            <w:tcW w:w="3825" w:type="pct"/>
            <w:tcBorders>
              <w:top w:val="nil"/>
              <w:left w:val="nil"/>
              <w:bottom w:val="nil"/>
              <w:right w:val="nil"/>
            </w:tcBorders>
          </w:tcPr>
          <w:p w14:paraId="49EDE9F8" w14:textId="77777777" w:rsidR="008361C5" w:rsidRPr="00200234" w:rsidRDefault="008361C5" w:rsidP="00226FE6">
            <w:pPr>
              <w:rPr>
                <w:rFonts w:cs="Segoe UI"/>
                <w:b/>
                <w:sz w:val="10"/>
                <w:szCs w:val="10"/>
              </w:rPr>
            </w:pPr>
          </w:p>
        </w:tc>
      </w:tr>
      <w:tr w:rsidR="008361C5" w:rsidRPr="00200234" w14:paraId="47B8E4B1" w14:textId="77777777" w:rsidTr="00226FE6">
        <w:trPr>
          <w:cantSplit/>
          <w:trHeight w:val="1649"/>
        </w:trPr>
        <w:tc>
          <w:tcPr>
            <w:tcW w:w="1175" w:type="pct"/>
            <w:tcBorders>
              <w:top w:val="nil"/>
              <w:left w:val="nil"/>
              <w:bottom w:val="nil"/>
              <w:right w:val="nil"/>
            </w:tcBorders>
            <w:shd w:val="clear" w:color="auto" w:fill="8EAADB" w:themeFill="accent1" w:themeFillTint="99"/>
          </w:tcPr>
          <w:p w14:paraId="7028CFCC" w14:textId="77777777" w:rsidR="008361C5" w:rsidRPr="00200234" w:rsidRDefault="008361C5" w:rsidP="008361C5">
            <w:pPr>
              <w:rPr>
                <w:rFonts w:cs="Segoe UI"/>
                <w:b/>
                <w:szCs w:val="21"/>
              </w:rPr>
            </w:pPr>
            <w:r w:rsidRPr="00200234">
              <w:rPr>
                <w:rFonts w:cs="Segoe UI"/>
                <w:b/>
                <w:szCs w:val="21"/>
              </w:rPr>
              <w:t>Treatment plan</w:t>
            </w:r>
          </w:p>
        </w:tc>
        <w:tc>
          <w:tcPr>
            <w:tcW w:w="3825" w:type="pct"/>
            <w:tcBorders>
              <w:top w:val="nil"/>
              <w:left w:val="nil"/>
              <w:bottom w:val="nil"/>
              <w:right w:val="nil"/>
            </w:tcBorders>
          </w:tcPr>
          <w:p w14:paraId="68B8AE02" w14:textId="77777777" w:rsidR="008361C5" w:rsidRPr="00200234" w:rsidRDefault="008361C5" w:rsidP="008361C5">
            <w:pPr>
              <w:pStyle w:val="NoSpacing"/>
              <w:rPr>
                <w:rFonts w:ascii="Segoe UI" w:hAnsi="Segoe UI" w:cs="Segoe UI"/>
                <w:b/>
                <w:sz w:val="21"/>
                <w:szCs w:val="21"/>
                <w:lang w:val="en-NZ"/>
              </w:rPr>
            </w:pPr>
            <w:r w:rsidRPr="00200234">
              <w:rPr>
                <w:rFonts w:ascii="Segoe UI" w:hAnsi="Segoe UI" w:cs="Segoe UI"/>
                <w:b/>
                <w:sz w:val="21"/>
                <w:szCs w:val="21"/>
                <w:lang w:val="en-NZ"/>
              </w:rPr>
              <w:t>Section 29</w:t>
            </w:r>
          </w:p>
          <w:p w14:paraId="0FF867F5" w14:textId="77777777" w:rsidR="008361C5" w:rsidRPr="00200234" w:rsidRDefault="008361C5" w:rsidP="008361C5">
            <w:pPr>
              <w:pStyle w:val="NoSpacing"/>
              <w:rPr>
                <w:rFonts w:ascii="Segoe UI" w:hAnsi="Segoe UI" w:cs="Segoe UI"/>
                <w:sz w:val="21"/>
                <w:szCs w:val="21"/>
                <w:lang w:val="en-NZ"/>
              </w:rPr>
            </w:pPr>
            <w:r w:rsidRPr="00200234">
              <w:rPr>
                <w:rFonts w:ascii="Segoe UI" w:hAnsi="Segoe UI" w:cs="Segoe UI"/>
                <w:sz w:val="21"/>
                <w:szCs w:val="21"/>
                <w:lang w:val="en-NZ"/>
              </w:rPr>
              <w:t>The responsible clinician must prepare a treatment plan for the patient, arrange for the patient to be admitted into a treatment centre and apply to the court for a review of the compulsory status of the patient.</w:t>
            </w:r>
          </w:p>
        </w:tc>
      </w:tr>
      <w:tr w:rsidR="008361C5" w:rsidRPr="00200234" w14:paraId="79761829" w14:textId="77777777" w:rsidTr="00226FE6">
        <w:trPr>
          <w:cantSplit/>
          <w:trHeight w:val="115"/>
        </w:trPr>
        <w:tc>
          <w:tcPr>
            <w:tcW w:w="1175" w:type="pct"/>
            <w:tcBorders>
              <w:top w:val="nil"/>
              <w:left w:val="nil"/>
              <w:bottom w:val="nil"/>
              <w:right w:val="nil"/>
            </w:tcBorders>
          </w:tcPr>
          <w:p w14:paraId="1B2A271B" w14:textId="77777777" w:rsidR="008361C5" w:rsidRPr="00200234" w:rsidRDefault="008361C5" w:rsidP="00226FE6">
            <w:pPr>
              <w:rPr>
                <w:rFonts w:cs="Segoe UI"/>
                <w:b/>
                <w:sz w:val="10"/>
                <w:szCs w:val="10"/>
              </w:rPr>
            </w:pPr>
          </w:p>
        </w:tc>
        <w:tc>
          <w:tcPr>
            <w:tcW w:w="3825" w:type="pct"/>
            <w:tcBorders>
              <w:top w:val="nil"/>
              <w:left w:val="nil"/>
              <w:bottom w:val="nil"/>
              <w:right w:val="nil"/>
            </w:tcBorders>
          </w:tcPr>
          <w:p w14:paraId="3B2AF141" w14:textId="77777777" w:rsidR="008361C5" w:rsidRPr="00200234" w:rsidRDefault="008361C5" w:rsidP="00226FE6">
            <w:pPr>
              <w:rPr>
                <w:rFonts w:cs="Segoe UI"/>
                <w:b/>
                <w:sz w:val="10"/>
                <w:szCs w:val="10"/>
              </w:rPr>
            </w:pPr>
          </w:p>
        </w:tc>
      </w:tr>
      <w:tr w:rsidR="008361C5" w:rsidRPr="00200234" w14:paraId="187598AB" w14:textId="77777777" w:rsidTr="00226FE6">
        <w:trPr>
          <w:cantSplit/>
          <w:trHeight w:val="1411"/>
        </w:trPr>
        <w:tc>
          <w:tcPr>
            <w:tcW w:w="1175" w:type="pct"/>
            <w:tcBorders>
              <w:top w:val="nil"/>
              <w:left w:val="nil"/>
              <w:bottom w:val="nil"/>
              <w:right w:val="nil"/>
            </w:tcBorders>
            <w:shd w:val="clear" w:color="auto" w:fill="8EAADB" w:themeFill="accent1" w:themeFillTint="99"/>
          </w:tcPr>
          <w:p w14:paraId="4289DD06" w14:textId="77777777" w:rsidR="008361C5" w:rsidRPr="00200234" w:rsidRDefault="008361C5" w:rsidP="008361C5">
            <w:pPr>
              <w:rPr>
                <w:rFonts w:cs="Segoe UI"/>
                <w:b/>
                <w:szCs w:val="21"/>
              </w:rPr>
            </w:pPr>
            <w:r w:rsidRPr="00200234">
              <w:rPr>
                <w:rFonts w:cs="Segoe UI"/>
                <w:b/>
                <w:szCs w:val="21"/>
              </w:rPr>
              <w:t>Detention</w:t>
            </w:r>
          </w:p>
        </w:tc>
        <w:tc>
          <w:tcPr>
            <w:tcW w:w="3825" w:type="pct"/>
            <w:tcBorders>
              <w:top w:val="nil"/>
              <w:left w:val="nil"/>
              <w:bottom w:val="nil"/>
              <w:right w:val="nil"/>
            </w:tcBorders>
          </w:tcPr>
          <w:p w14:paraId="3DF0FA09" w14:textId="77777777" w:rsidR="008361C5" w:rsidRPr="00200234" w:rsidRDefault="008361C5" w:rsidP="008361C5">
            <w:pPr>
              <w:pStyle w:val="NoSpacing"/>
              <w:rPr>
                <w:rFonts w:ascii="Segoe UI" w:hAnsi="Segoe UI" w:cs="Segoe UI"/>
                <w:b/>
                <w:sz w:val="21"/>
                <w:szCs w:val="21"/>
                <w:lang w:val="en-NZ"/>
              </w:rPr>
            </w:pPr>
            <w:r w:rsidRPr="00200234">
              <w:rPr>
                <w:rFonts w:ascii="Segoe UI" w:hAnsi="Segoe UI" w:cs="Segoe UI"/>
                <w:b/>
                <w:sz w:val="21"/>
                <w:szCs w:val="21"/>
                <w:lang w:val="en-NZ"/>
              </w:rPr>
              <w:t>Section 30</w:t>
            </w:r>
          </w:p>
          <w:p w14:paraId="60B4F05A" w14:textId="77777777" w:rsidR="008361C5" w:rsidRPr="00200234" w:rsidRDefault="008361C5" w:rsidP="008361C5">
            <w:pPr>
              <w:pStyle w:val="NoSpacing"/>
              <w:rPr>
                <w:rFonts w:ascii="Segoe UI" w:hAnsi="Segoe UI" w:cs="Segoe UI"/>
                <w:sz w:val="21"/>
                <w:szCs w:val="21"/>
                <w:lang w:val="en-NZ"/>
              </w:rPr>
            </w:pPr>
            <w:r w:rsidRPr="00200234">
              <w:rPr>
                <w:rFonts w:ascii="Segoe UI" w:hAnsi="Segoe UI" w:cs="Segoe UI"/>
                <w:sz w:val="21"/>
                <w:szCs w:val="21"/>
                <w:lang w:val="en-NZ"/>
              </w:rPr>
              <w:t xml:space="preserve">The responsible clinician must direct that the patient be detained and treated in a treatment centre. The primary treatment centre is Nova Supported Treatment and Recovery (Nova STAR) in Christchurch. </w:t>
            </w:r>
          </w:p>
        </w:tc>
      </w:tr>
      <w:tr w:rsidR="008361C5" w:rsidRPr="00200234" w14:paraId="0EA2B56C" w14:textId="77777777" w:rsidTr="00226FE6">
        <w:trPr>
          <w:cantSplit/>
          <w:trHeight w:val="80"/>
        </w:trPr>
        <w:tc>
          <w:tcPr>
            <w:tcW w:w="1175" w:type="pct"/>
            <w:tcBorders>
              <w:top w:val="nil"/>
              <w:left w:val="nil"/>
              <w:bottom w:val="nil"/>
              <w:right w:val="nil"/>
            </w:tcBorders>
          </w:tcPr>
          <w:p w14:paraId="726EA824" w14:textId="77777777" w:rsidR="008361C5" w:rsidRPr="00200234" w:rsidRDefault="008361C5" w:rsidP="00226FE6">
            <w:pPr>
              <w:rPr>
                <w:rFonts w:cs="Segoe UI"/>
                <w:b/>
                <w:sz w:val="10"/>
                <w:szCs w:val="10"/>
              </w:rPr>
            </w:pPr>
          </w:p>
        </w:tc>
        <w:tc>
          <w:tcPr>
            <w:tcW w:w="3825" w:type="pct"/>
            <w:tcBorders>
              <w:top w:val="nil"/>
              <w:left w:val="nil"/>
              <w:bottom w:val="nil"/>
              <w:right w:val="nil"/>
            </w:tcBorders>
          </w:tcPr>
          <w:p w14:paraId="1A356CFC" w14:textId="77777777" w:rsidR="008361C5" w:rsidRPr="00200234" w:rsidRDefault="008361C5" w:rsidP="00226FE6">
            <w:pPr>
              <w:rPr>
                <w:rFonts w:cs="Segoe UI"/>
                <w:b/>
                <w:sz w:val="10"/>
                <w:szCs w:val="10"/>
              </w:rPr>
            </w:pPr>
          </w:p>
        </w:tc>
      </w:tr>
      <w:tr w:rsidR="008361C5" w:rsidRPr="00200234" w14:paraId="510ACC67" w14:textId="77777777" w:rsidTr="00226FE6">
        <w:trPr>
          <w:cantSplit/>
          <w:trHeight w:val="1319"/>
        </w:trPr>
        <w:tc>
          <w:tcPr>
            <w:tcW w:w="1175" w:type="pct"/>
            <w:tcBorders>
              <w:top w:val="nil"/>
              <w:left w:val="nil"/>
              <w:bottom w:val="nil"/>
              <w:right w:val="nil"/>
            </w:tcBorders>
            <w:shd w:val="clear" w:color="auto" w:fill="8EAADB" w:themeFill="accent1" w:themeFillTint="99"/>
          </w:tcPr>
          <w:p w14:paraId="1316BAB7" w14:textId="77777777" w:rsidR="008361C5" w:rsidRPr="00200234" w:rsidRDefault="008361C5" w:rsidP="008361C5">
            <w:pPr>
              <w:rPr>
                <w:rFonts w:cs="Segoe UI"/>
                <w:b/>
                <w:szCs w:val="21"/>
              </w:rPr>
            </w:pPr>
            <w:r w:rsidRPr="00200234">
              <w:rPr>
                <w:rFonts w:cs="Segoe UI"/>
                <w:b/>
                <w:szCs w:val="21"/>
              </w:rPr>
              <w:t>Review</w:t>
            </w:r>
          </w:p>
        </w:tc>
        <w:tc>
          <w:tcPr>
            <w:tcW w:w="3825" w:type="pct"/>
            <w:tcBorders>
              <w:top w:val="nil"/>
              <w:left w:val="nil"/>
              <w:bottom w:val="nil"/>
              <w:right w:val="nil"/>
            </w:tcBorders>
          </w:tcPr>
          <w:p w14:paraId="6A05C715" w14:textId="77777777" w:rsidR="008361C5" w:rsidRPr="00200234" w:rsidRDefault="008361C5" w:rsidP="008361C5">
            <w:pPr>
              <w:pStyle w:val="NoSpacing"/>
              <w:rPr>
                <w:rFonts w:ascii="Segoe UI" w:hAnsi="Segoe UI" w:cs="Segoe UI"/>
                <w:b/>
                <w:sz w:val="21"/>
                <w:szCs w:val="21"/>
                <w:lang w:val="en-NZ"/>
              </w:rPr>
            </w:pPr>
            <w:r w:rsidRPr="00200234">
              <w:rPr>
                <w:rFonts w:ascii="Segoe UI" w:hAnsi="Segoe UI" w:cs="Segoe UI"/>
                <w:b/>
                <w:sz w:val="21"/>
                <w:szCs w:val="21"/>
                <w:lang w:val="en-NZ"/>
              </w:rPr>
              <w:t>Section 32</w:t>
            </w:r>
          </w:p>
          <w:p w14:paraId="7AB37134" w14:textId="53D46DDF" w:rsidR="008361C5" w:rsidRPr="00200234" w:rsidRDefault="008361C5" w:rsidP="008361C5">
            <w:pPr>
              <w:pStyle w:val="NoSpacing"/>
              <w:rPr>
                <w:rFonts w:ascii="Segoe UI" w:hAnsi="Segoe UI" w:cs="Segoe UI"/>
                <w:sz w:val="21"/>
                <w:szCs w:val="21"/>
                <w:lang w:val="en-NZ"/>
              </w:rPr>
            </w:pPr>
            <w:r w:rsidRPr="00200234">
              <w:rPr>
                <w:rFonts w:ascii="Segoe UI" w:hAnsi="Segoe UI" w:cs="Segoe UI"/>
                <w:sz w:val="21"/>
                <w:szCs w:val="21"/>
                <w:lang w:val="en-NZ"/>
              </w:rPr>
              <w:t xml:space="preserve">The court reviews the compulsory status of the patient. If the judge is satisfied the patient meets the criteria for compulsory treatment, </w:t>
            </w:r>
            <w:r w:rsidR="00BE56DA" w:rsidRPr="00200234">
              <w:rPr>
                <w:rFonts w:ascii="Segoe UI" w:hAnsi="Segoe UI" w:cs="Segoe UI"/>
                <w:sz w:val="21"/>
                <w:szCs w:val="21"/>
                <w:lang w:val="en-NZ"/>
              </w:rPr>
              <w:t>the</w:t>
            </w:r>
            <w:r w:rsidR="00BE56DA">
              <w:rPr>
                <w:rFonts w:ascii="Segoe UI" w:hAnsi="Segoe UI" w:cs="Segoe UI"/>
                <w:sz w:val="21"/>
                <w:szCs w:val="21"/>
                <w:lang w:val="en-NZ"/>
              </w:rPr>
              <w:t>n</w:t>
            </w:r>
            <w:r w:rsidR="00BE56DA" w:rsidRPr="00200234">
              <w:rPr>
                <w:rFonts w:ascii="Segoe UI" w:hAnsi="Segoe UI" w:cs="Segoe UI"/>
                <w:sz w:val="21"/>
                <w:szCs w:val="21"/>
                <w:lang w:val="en-NZ"/>
              </w:rPr>
              <w:t xml:space="preserve"> </w:t>
            </w:r>
            <w:r w:rsidRPr="00200234">
              <w:rPr>
                <w:rFonts w:ascii="Segoe UI" w:hAnsi="Segoe UI" w:cs="Segoe UI"/>
                <w:sz w:val="21"/>
                <w:szCs w:val="21"/>
                <w:lang w:val="en-NZ"/>
              </w:rPr>
              <w:t>they can make a compulsory treatment order, which lasts 56 days. These orders may be extended for a further 56 days.</w:t>
            </w:r>
            <w:r w:rsidR="005466E3" w:rsidRPr="00200234">
              <w:rPr>
                <w:rFonts w:ascii="Segoe UI" w:hAnsi="Segoe UI" w:cs="Segoe UI"/>
                <w:sz w:val="21"/>
                <w:szCs w:val="21"/>
                <w:lang w:val="en-NZ"/>
              </w:rPr>
              <w:t xml:space="preserve"> </w:t>
            </w:r>
          </w:p>
        </w:tc>
      </w:tr>
    </w:tbl>
    <w:p w14:paraId="265076A4" w14:textId="77777777" w:rsidR="008361C5" w:rsidRPr="00200234" w:rsidRDefault="008361C5" w:rsidP="001B1712"/>
    <w:p w14:paraId="77E448A4" w14:textId="6A1CCE7C" w:rsidR="008361C5" w:rsidRPr="00200234" w:rsidRDefault="008361C5" w:rsidP="00BA51FF">
      <w:pPr>
        <w:keepLines/>
      </w:pPr>
      <w:r w:rsidRPr="00200234">
        <w:t>Statutory roles within this process ensure that health professionals involve family and whānau</w:t>
      </w:r>
      <w:r w:rsidR="00BE56DA">
        <w:t>,</w:t>
      </w:r>
      <w:r w:rsidRPr="00200234">
        <w:t xml:space="preserve"> help the person to engage in voluntary treatment</w:t>
      </w:r>
      <w:r w:rsidR="00BE56DA">
        <w:t>,</w:t>
      </w:r>
      <w:r w:rsidRPr="00200234">
        <w:t xml:space="preserve"> and take a mana-enhancing approach. These roles include authorised offices, approved specialists, responsible clinicians, Directors of Area Addiction Services, and district inspectors.</w:t>
      </w:r>
    </w:p>
    <w:p w14:paraId="0BC3BE55" w14:textId="77777777" w:rsidR="008361C5" w:rsidRPr="00200234" w:rsidRDefault="008361C5" w:rsidP="008361C5">
      <w:r w:rsidRPr="00200234">
        <w:lastRenderedPageBreak/>
        <w:t xml:space="preserve">For more information about the Substance Addiction Act and these roles, visit the Ministry of Health website (health.govt.nz) and search ‘SACAT </w:t>
      </w:r>
      <w:proofErr w:type="gramStart"/>
      <w:r w:rsidRPr="00200234">
        <w:t>resources’</w:t>
      </w:r>
      <w:proofErr w:type="gramEnd"/>
      <w:r w:rsidRPr="00200234">
        <w:t>.</w:t>
      </w:r>
    </w:p>
    <w:p w14:paraId="3BBA950F" w14:textId="77777777" w:rsidR="008361C5" w:rsidRPr="00200234" w:rsidRDefault="008361C5" w:rsidP="00505348">
      <w:pPr>
        <w:pStyle w:val="Heading3"/>
      </w:pPr>
      <w:bookmarkStart w:id="322" w:name="_Toc65141645"/>
      <w:r w:rsidRPr="00200234">
        <w:t>Nova Trust</w:t>
      </w:r>
      <w:bookmarkEnd w:id="322"/>
    </w:p>
    <w:p w14:paraId="7FF5374A" w14:textId="0B9D2457" w:rsidR="008361C5" w:rsidRPr="00200234" w:rsidRDefault="008361C5" w:rsidP="001B1712">
      <w:r w:rsidRPr="00200234">
        <w:t>Nova Trust is the primary approved provider of treatment for people detained under the Substance Addiction Act. The Trust operates a nine-bed inpatient unit in Christchurch (Nova STAR)</w:t>
      </w:r>
      <w:r w:rsidR="00126474">
        <w:t>,</w:t>
      </w:r>
      <w:r w:rsidRPr="00200234">
        <w:t xml:space="preserve"> which offers medical care, cognitive assessments, remediation interventions, occupational therapy and relapse prevention support. Health care services can apply to be an approved provider if they meet certain criteria under section 92 of the Substance Addiction Act.</w:t>
      </w:r>
    </w:p>
    <w:p w14:paraId="0D9D6781" w14:textId="77777777" w:rsidR="008361C5" w:rsidRPr="00200234" w:rsidRDefault="008361C5" w:rsidP="00505348">
      <w:pPr>
        <w:pStyle w:val="Heading3"/>
      </w:pPr>
      <w:bookmarkStart w:id="323" w:name="_Toc65141646"/>
      <w:r w:rsidRPr="00200234">
        <w:t>Statutory reporting</w:t>
      </w:r>
      <w:bookmarkEnd w:id="323"/>
    </w:p>
    <w:p w14:paraId="6A9866C0" w14:textId="77777777" w:rsidR="008361C5" w:rsidRPr="00200234" w:rsidRDefault="008361C5" w:rsidP="001B1712">
      <w:r w:rsidRPr="00200234">
        <w:t xml:space="preserve">Section 119 of the Substance Addiction Act requires the Ministry to publish </w:t>
      </w:r>
      <w:proofErr w:type="gramStart"/>
      <w:r w:rsidRPr="00200234">
        <w:t>all of</w:t>
      </w:r>
      <w:proofErr w:type="gramEnd"/>
      <w:r w:rsidRPr="00200234">
        <w:t xml:space="preserve"> the following information:</w:t>
      </w:r>
    </w:p>
    <w:p w14:paraId="73AAB800" w14:textId="77777777" w:rsidR="008361C5" w:rsidRPr="00ED4FA1" w:rsidRDefault="008361C5" w:rsidP="001B1712">
      <w:pPr>
        <w:pStyle w:val="Bullet"/>
        <w:rPr>
          <w:szCs w:val="21"/>
        </w:rPr>
      </w:pPr>
      <w:r w:rsidRPr="00ED4FA1">
        <w:rPr>
          <w:szCs w:val="21"/>
        </w:rPr>
        <w:t>the number of people who were detained under the Substance Addiction Act</w:t>
      </w:r>
    </w:p>
    <w:p w14:paraId="7761D98C" w14:textId="77777777" w:rsidR="008361C5" w:rsidRPr="00ED4FA1" w:rsidRDefault="008361C5" w:rsidP="001B1712">
      <w:pPr>
        <w:pStyle w:val="Bullet"/>
        <w:rPr>
          <w:szCs w:val="21"/>
        </w:rPr>
      </w:pPr>
      <w:r w:rsidRPr="00ED4FA1">
        <w:rPr>
          <w:szCs w:val="21"/>
        </w:rPr>
        <w:t>the length of their detention</w:t>
      </w:r>
    </w:p>
    <w:p w14:paraId="7FE3D24E" w14:textId="77777777" w:rsidR="008361C5" w:rsidRPr="00ED4FA1" w:rsidRDefault="008361C5" w:rsidP="001B1712">
      <w:pPr>
        <w:pStyle w:val="Bullet"/>
        <w:rPr>
          <w:szCs w:val="21"/>
        </w:rPr>
      </w:pPr>
      <w:r w:rsidRPr="00ED4FA1">
        <w:rPr>
          <w:szCs w:val="21"/>
        </w:rPr>
        <w:t>the number of compulsory treatment orders made</w:t>
      </w:r>
    </w:p>
    <w:p w14:paraId="620803AE" w14:textId="77777777" w:rsidR="008361C5" w:rsidRPr="00ED4FA1" w:rsidRDefault="008361C5" w:rsidP="001B1712">
      <w:pPr>
        <w:pStyle w:val="Bullet"/>
        <w:rPr>
          <w:szCs w:val="21"/>
        </w:rPr>
      </w:pPr>
      <w:r w:rsidRPr="00ED4FA1">
        <w:rPr>
          <w:szCs w:val="21"/>
        </w:rPr>
        <w:t>the number of compulsory treatment orders extended</w:t>
      </w:r>
    </w:p>
    <w:p w14:paraId="6882021A" w14:textId="77777777" w:rsidR="008361C5" w:rsidRPr="00ED4FA1" w:rsidRDefault="008361C5" w:rsidP="001B1712">
      <w:pPr>
        <w:pStyle w:val="Bullet"/>
        <w:rPr>
          <w:szCs w:val="21"/>
        </w:rPr>
      </w:pPr>
      <w:r w:rsidRPr="00ED4FA1">
        <w:rPr>
          <w:szCs w:val="21"/>
        </w:rPr>
        <w:t>the number of discharged patients who chose to have voluntary residential treatment and outpatient services.</w:t>
      </w:r>
    </w:p>
    <w:p w14:paraId="4480D819" w14:textId="77777777" w:rsidR="001B1712" w:rsidRPr="00200234" w:rsidRDefault="001B1712" w:rsidP="001B1712"/>
    <w:p w14:paraId="5E977BC1" w14:textId="6E2A57EA" w:rsidR="008361C5" w:rsidRPr="00200234" w:rsidRDefault="008361C5" w:rsidP="001B1712">
      <w:r w:rsidRPr="00200234">
        <w:t xml:space="preserve">Because the Substance Addiction Act was introduced in 2018, this report may contain minor data discrepancies. We aim to </w:t>
      </w:r>
      <w:r w:rsidR="00767A19" w:rsidRPr="00200234">
        <w:t xml:space="preserve">strengthen </w:t>
      </w:r>
      <w:r w:rsidRPr="00200234">
        <w:t>the data reporting process for future reports.</w:t>
      </w:r>
    </w:p>
    <w:p w14:paraId="10D85296" w14:textId="77777777" w:rsidR="008361C5" w:rsidRPr="00200234" w:rsidRDefault="008361C5" w:rsidP="00505348">
      <w:pPr>
        <w:pStyle w:val="Heading3"/>
      </w:pPr>
      <w:bookmarkStart w:id="324" w:name="_Toc65141647"/>
      <w:r w:rsidRPr="00200234">
        <w:t>Substance Addiction Act in 2018</w:t>
      </w:r>
      <w:bookmarkEnd w:id="324"/>
    </w:p>
    <w:p w14:paraId="55E4F8DE" w14:textId="33A27F8A" w:rsidR="008361C5" w:rsidRPr="00200234" w:rsidRDefault="008361C5" w:rsidP="001B1712">
      <w:r w:rsidRPr="00200234">
        <w:t>In 2018, 25 people were detained under the Substance Addiction Act.</w:t>
      </w:r>
      <w:r w:rsidRPr="00200234">
        <w:rPr>
          <w:rStyle w:val="FootnoteReference"/>
        </w:rPr>
        <w:footnoteReference w:id="26"/>
      </w:r>
      <w:r w:rsidRPr="00200234">
        <w:t xml:space="preserve"> This report interprets ‘detained’ to mean an approved specialist has signed a compulsory treatment certificate for the person. It is important to note that ‘detention’ may not solely refer to treatment at Nova STAR. After an approved specialist has signed a compulsory treatment certificate, most patients first need detention in a medical ward or a specialist withdrawal management ward for a period of stabilisation because of their severe physical health needs.</w:t>
      </w:r>
    </w:p>
    <w:p w14:paraId="74F65B99" w14:textId="77777777" w:rsidR="001B1712" w:rsidRPr="00200234" w:rsidRDefault="001B1712" w:rsidP="001B1712"/>
    <w:p w14:paraId="4C2C3537" w14:textId="1DEF0097" w:rsidR="008361C5" w:rsidRPr="00200234" w:rsidRDefault="008361C5" w:rsidP="001B1712">
      <w:r w:rsidRPr="00200234">
        <w:t xml:space="preserve">Among those subject to compulsory treatment certificates, 12 were women and 13 were men. They tended to be in older age groups, with 60 percent over 50 years old. The most common ethnic group in this cohort was New Zealand European. Nearly half of all patients with compulsory treatment certificates were referred from DHBs in the greater Auckland region (Auckland, </w:t>
      </w:r>
      <w:proofErr w:type="spellStart"/>
      <w:r w:rsidRPr="00200234">
        <w:t>Waitematā</w:t>
      </w:r>
      <w:proofErr w:type="spellEnd"/>
      <w:r w:rsidRPr="00200234">
        <w:t xml:space="preserve"> and Counties Manukau). The courts made 15 compulsory treatment orders and extended 10 compulsory treatment orders.</w:t>
      </w:r>
    </w:p>
    <w:p w14:paraId="57024D48" w14:textId="77777777" w:rsidR="008361C5" w:rsidRPr="00200234" w:rsidRDefault="008361C5" w:rsidP="001B1712"/>
    <w:p w14:paraId="0E5B95E1" w14:textId="10238844" w:rsidR="008361C5" w:rsidRPr="00200234" w:rsidRDefault="008361C5" w:rsidP="008361C5">
      <w:pPr>
        <w:pStyle w:val="Figure"/>
      </w:pPr>
      <w:bookmarkStart w:id="325" w:name="_Toc63764794"/>
      <w:bookmarkStart w:id="326" w:name="_Toc66716241"/>
      <w:r w:rsidRPr="00200234">
        <w:lastRenderedPageBreak/>
        <w:t xml:space="preserve">Figure </w:t>
      </w:r>
      <w:fldSimple w:instr=" SEQ Figure \* ARABIC ">
        <w:r w:rsidR="00422361">
          <w:rPr>
            <w:noProof/>
          </w:rPr>
          <w:t>59</w:t>
        </w:r>
      </w:fldSimple>
      <w:r w:rsidRPr="00200234">
        <w:t>: Percentage of patients subject to compulsory treatment certificates, by ethnicity, 1 January to 31 December 2018</w:t>
      </w:r>
      <w:bookmarkEnd w:id="325"/>
      <w:bookmarkEnd w:id="326"/>
    </w:p>
    <w:p w14:paraId="6A91A098" w14:textId="77777777" w:rsidR="008361C5" w:rsidRPr="00200234" w:rsidRDefault="008361C5" w:rsidP="001B1712">
      <w:pPr>
        <w:keepNext/>
        <w:rPr>
          <w:rFonts w:cs="Segoe UI"/>
          <w:b/>
        </w:rPr>
      </w:pPr>
      <w:r w:rsidRPr="00200234">
        <w:rPr>
          <w:noProof/>
          <w:lang w:eastAsia="en-NZ"/>
        </w:rPr>
        <w:drawing>
          <wp:inline distT="0" distB="0" distL="0" distR="0" wp14:anchorId="3FBE8B7A" wp14:editId="73FA75D9">
            <wp:extent cx="2921000" cy="2880000"/>
            <wp:effectExtent l="0" t="0" r="0" b="0"/>
            <wp:docPr id="23" name="Chart 23" descr="This pie chart shows that in 2018, of the patients subject to compulsory treatment certificates, 16% were Māori and 84% were non-Māori."/>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FCAC879" w14:textId="7C0390BE" w:rsidR="008361C5" w:rsidRPr="00200234" w:rsidRDefault="008361C5" w:rsidP="008361C5">
      <w:pPr>
        <w:pStyle w:val="Note"/>
      </w:pPr>
      <w:r w:rsidRPr="00200234">
        <w:t>Source: PRIMHD data</w:t>
      </w:r>
      <w:r w:rsidR="0015429E">
        <w:t xml:space="preserve"> (extracted</w:t>
      </w:r>
      <w:r w:rsidRPr="00200234">
        <w:t xml:space="preserve"> 12 September 2019</w:t>
      </w:r>
      <w:r w:rsidR="003510A5">
        <w:t>)</w:t>
      </w:r>
      <w:r w:rsidRPr="00200234">
        <w:t xml:space="preserve">. </w:t>
      </w:r>
    </w:p>
    <w:p w14:paraId="5179C151" w14:textId="77777777" w:rsidR="008361C5" w:rsidRPr="00200234" w:rsidRDefault="008361C5" w:rsidP="001B1712"/>
    <w:p w14:paraId="46FA27E7" w14:textId="7FB284B2" w:rsidR="008361C5" w:rsidRPr="00200234" w:rsidRDefault="008361C5" w:rsidP="001B1712">
      <w:r w:rsidRPr="00200234">
        <w:t xml:space="preserve">The average length of detention was seven weeks and four days. Among these patients, 46 percent were detained for a period of less than eight weeks, which is within the first period of compulsory treatment set out in the Substance Addiction Act. Another 47 percent of patients were detained for a period of between 8 and 16 weeks, requiring a compulsory treatment order extension. Seven percent of patients were detained for a period of longer than 16 weeks (see </w:t>
      </w:r>
      <w:r w:rsidR="001B5043" w:rsidRPr="00200234">
        <w:fldChar w:fldCharType="begin"/>
      </w:r>
      <w:r w:rsidR="001B5043" w:rsidRPr="00200234">
        <w:instrText xml:space="preserve"> REF _Ref65672766 \h </w:instrText>
      </w:r>
      <w:r w:rsidR="001B5043" w:rsidRPr="00200234">
        <w:fldChar w:fldCharType="separate"/>
      </w:r>
      <w:r w:rsidR="00422361" w:rsidRPr="00200234">
        <w:t xml:space="preserve">Figure </w:t>
      </w:r>
      <w:r w:rsidR="00422361">
        <w:rPr>
          <w:noProof/>
        </w:rPr>
        <w:t>60</w:t>
      </w:r>
      <w:r w:rsidR="001B5043" w:rsidRPr="00200234">
        <w:fldChar w:fldCharType="end"/>
      </w:r>
      <w:r w:rsidRPr="00200234">
        <w:t xml:space="preserve">). </w:t>
      </w:r>
    </w:p>
    <w:p w14:paraId="05D99CD7" w14:textId="77777777" w:rsidR="008361C5" w:rsidRPr="00200234" w:rsidRDefault="008361C5" w:rsidP="001B1712"/>
    <w:p w14:paraId="0862A85E" w14:textId="1A73BF9D" w:rsidR="008361C5" w:rsidRPr="00200234" w:rsidRDefault="008361C5" w:rsidP="008361C5">
      <w:pPr>
        <w:pStyle w:val="Figure"/>
      </w:pPr>
      <w:bookmarkStart w:id="327" w:name="_Ref65672766"/>
      <w:bookmarkStart w:id="328" w:name="_Toc63764795"/>
      <w:bookmarkStart w:id="329" w:name="_Toc66716242"/>
      <w:r w:rsidRPr="00200234">
        <w:t xml:space="preserve">Figure </w:t>
      </w:r>
      <w:fldSimple w:instr=" SEQ Figure \* ARABIC ">
        <w:r w:rsidR="00422361">
          <w:rPr>
            <w:noProof/>
          </w:rPr>
          <w:t>60</w:t>
        </w:r>
      </w:fldSimple>
      <w:bookmarkEnd w:id="327"/>
      <w:r w:rsidRPr="00200234">
        <w:t>: Percentage of patients subject to compulsory treatment certificates, by number of weeks in detention, 1 January to 31 December 2018</w:t>
      </w:r>
      <w:bookmarkEnd w:id="328"/>
      <w:bookmarkEnd w:id="329"/>
    </w:p>
    <w:p w14:paraId="4BE1E3D5" w14:textId="77777777" w:rsidR="008361C5" w:rsidRPr="00200234" w:rsidRDefault="008361C5" w:rsidP="001B1712">
      <w:pPr>
        <w:keepNext/>
        <w:rPr>
          <w:rFonts w:cs="Segoe UI"/>
        </w:rPr>
      </w:pPr>
      <w:r w:rsidRPr="00200234">
        <w:rPr>
          <w:noProof/>
          <w:lang w:eastAsia="en-NZ"/>
        </w:rPr>
        <w:drawing>
          <wp:inline distT="0" distB="0" distL="0" distR="0" wp14:anchorId="01CDFD66" wp14:editId="25DB3B4D">
            <wp:extent cx="3302000" cy="2520000"/>
            <wp:effectExtent l="0" t="0" r="0" b="0"/>
            <wp:docPr id="25" name="Chart 25" descr="This pie chart shows that in 2018, of patients subject to compulsory treatment certificates, 46% were detained for 0 to 8 weeks, 47% were detained 8 to 16 weeks, and 7% were detained for more than 16 weeks."/>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3EE395F" w14:textId="7CD69FD5" w:rsidR="008361C5" w:rsidRPr="00200234" w:rsidRDefault="008361C5" w:rsidP="008361C5">
      <w:pPr>
        <w:pStyle w:val="Note"/>
      </w:pPr>
      <w:r w:rsidRPr="00200234">
        <w:t>Source: PRIMHD data</w:t>
      </w:r>
      <w:r w:rsidR="0015429E">
        <w:t xml:space="preserve"> (extracted</w:t>
      </w:r>
      <w:r w:rsidRPr="00200234">
        <w:t xml:space="preserve"> 12 September 2019</w:t>
      </w:r>
      <w:r w:rsidR="003510A5">
        <w:t>)</w:t>
      </w:r>
      <w:r w:rsidRPr="00200234">
        <w:t xml:space="preserve">. </w:t>
      </w:r>
    </w:p>
    <w:p w14:paraId="551BC6EE" w14:textId="77777777" w:rsidR="008361C5" w:rsidRPr="00200234" w:rsidRDefault="008361C5" w:rsidP="001B1712"/>
    <w:p w14:paraId="25AB7500" w14:textId="77777777" w:rsidR="008361C5" w:rsidRPr="00200234" w:rsidRDefault="008361C5" w:rsidP="001B1712">
      <w:r w:rsidRPr="00200234">
        <w:t xml:space="preserve">Section 43 of the Substance Addiction Act describes the threshold for release from compulsory status. The responsible clinician must order the release of a patient if the responsible clinician is satisfied that the patient no longer meets the criteria for compulsory treatment or that no useful purpose would be served by continuing with </w:t>
      </w:r>
      <w:r w:rsidRPr="00200234">
        <w:lastRenderedPageBreak/>
        <w:t>compulsory treatment of the patient. Section 43 does not use the term ‘discharge’. However, we use it in this report to mean that a patient is no longer under a compulsory treatment certificate, compulsory treatment order or compulsory treatment order extension.</w:t>
      </w:r>
    </w:p>
    <w:p w14:paraId="4EDB8CCC" w14:textId="77777777" w:rsidR="001B1712" w:rsidRPr="00200234" w:rsidRDefault="001B1712" w:rsidP="001B1712"/>
    <w:p w14:paraId="3DB440FD" w14:textId="6498A414" w:rsidR="008361C5" w:rsidRPr="00200234" w:rsidRDefault="008361C5" w:rsidP="001B1712">
      <w:r w:rsidRPr="00200234">
        <w:t>PRIMHD records show that in 2018, among service users who were discharged from the Substance Addiction Act:</w:t>
      </w:r>
    </w:p>
    <w:p w14:paraId="472E0865" w14:textId="77777777" w:rsidR="008361C5" w:rsidRPr="00ED4FA1" w:rsidRDefault="008361C5" w:rsidP="001B1712">
      <w:pPr>
        <w:pStyle w:val="Bullet"/>
        <w:rPr>
          <w:szCs w:val="21"/>
        </w:rPr>
      </w:pPr>
      <w:r w:rsidRPr="00ED4FA1">
        <w:rPr>
          <w:szCs w:val="21"/>
        </w:rPr>
        <w:t>36 percent received additional inpatient care</w:t>
      </w:r>
      <w:r w:rsidRPr="00ED4FA1">
        <w:rPr>
          <w:rStyle w:val="FootnoteReference"/>
          <w:szCs w:val="21"/>
        </w:rPr>
        <w:footnoteReference w:id="27"/>
      </w:r>
    </w:p>
    <w:p w14:paraId="4C04E667" w14:textId="77777777" w:rsidR="008361C5" w:rsidRPr="00ED4FA1" w:rsidRDefault="008361C5" w:rsidP="001B1712">
      <w:pPr>
        <w:pStyle w:val="Bullet"/>
        <w:rPr>
          <w:szCs w:val="21"/>
        </w:rPr>
      </w:pPr>
      <w:r w:rsidRPr="00ED4FA1">
        <w:rPr>
          <w:szCs w:val="21"/>
        </w:rPr>
        <w:t>64 percent engaged with individual treatments in outpatient services</w:t>
      </w:r>
    </w:p>
    <w:p w14:paraId="7307E3D8" w14:textId="77777777" w:rsidR="008361C5" w:rsidRPr="00ED4FA1" w:rsidRDefault="008361C5" w:rsidP="001B1712">
      <w:pPr>
        <w:pStyle w:val="Bullet"/>
        <w:rPr>
          <w:szCs w:val="21"/>
        </w:rPr>
      </w:pPr>
      <w:r w:rsidRPr="00ED4FA1">
        <w:rPr>
          <w:szCs w:val="21"/>
        </w:rPr>
        <w:t>44 percent had family meetings arranged</w:t>
      </w:r>
    </w:p>
    <w:p w14:paraId="10BCBAED" w14:textId="77777777" w:rsidR="008361C5" w:rsidRPr="00ED4FA1" w:rsidRDefault="008361C5" w:rsidP="001B1712">
      <w:pPr>
        <w:pStyle w:val="Bullet"/>
        <w:rPr>
          <w:szCs w:val="21"/>
        </w:rPr>
      </w:pPr>
      <w:r w:rsidRPr="00ED4FA1">
        <w:rPr>
          <w:szCs w:val="21"/>
        </w:rPr>
        <w:t>36 percent had Supplementary Consumer Records</w:t>
      </w:r>
    </w:p>
    <w:p w14:paraId="335BC77A" w14:textId="77777777" w:rsidR="008361C5" w:rsidRPr="00ED4FA1" w:rsidRDefault="008361C5" w:rsidP="001B1712">
      <w:pPr>
        <w:pStyle w:val="Bullet"/>
        <w:rPr>
          <w:szCs w:val="21"/>
        </w:rPr>
      </w:pPr>
      <w:r w:rsidRPr="00ED4FA1">
        <w:rPr>
          <w:szCs w:val="21"/>
        </w:rPr>
        <w:t>25 percent had wellness plans.</w:t>
      </w:r>
      <w:r w:rsidRPr="00ED4FA1">
        <w:rPr>
          <w:rStyle w:val="FootnoteReference"/>
          <w:szCs w:val="21"/>
        </w:rPr>
        <w:footnoteReference w:id="28"/>
      </w:r>
    </w:p>
    <w:p w14:paraId="64281DD2" w14:textId="77777777" w:rsidR="001B1712" w:rsidRPr="00200234" w:rsidRDefault="001B1712" w:rsidP="001B1712"/>
    <w:p w14:paraId="630061B2" w14:textId="57B55FC6" w:rsidR="008361C5" w:rsidRPr="00200234" w:rsidRDefault="008361C5" w:rsidP="001B1712">
      <w:r w:rsidRPr="00200234">
        <w:t>Note that this data represents the 2018 calendar year. If a service user was discharged in late December, they are unlikely to have had enough time to engage with outpatient services during the reporting period. For this reason, it may be difficult to draw meaningful conclusions about a service user’s recovery journey from the information above.</w:t>
      </w:r>
    </w:p>
    <w:p w14:paraId="77021BD3" w14:textId="77777777" w:rsidR="001B1712" w:rsidRPr="00200234" w:rsidRDefault="001B1712" w:rsidP="001B1712"/>
    <w:p w14:paraId="20B0C35B" w14:textId="720CFAE5" w:rsidR="008361C5" w:rsidRPr="00200234" w:rsidRDefault="008361C5" w:rsidP="001B1712">
      <w:r w:rsidRPr="00200234">
        <w:t>Additionally, data from PRIMHD is only able to measure mental health outcomes, so these results may not fully encompass other sources of support for people recovering from severe substance addiction – for example, support for access to housing.</w:t>
      </w:r>
    </w:p>
    <w:p w14:paraId="10E3EB8D" w14:textId="77777777" w:rsidR="00B468D5" w:rsidRPr="00200234" w:rsidRDefault="00B468D5" w:rsidP="00B468D5">
      <w:pPr>
        <w:pStyle w:val="Heading3"/>
      </w:pPr>
      <w:bookmarkStart w:id="330" w:name="_Toc65236630"/>
      <w:bookmarkStart w:id="331" w:name="_Toc65141649"/>
      <w:r w:rsidRPr="00200234">
        <w:t>Substance Addiction Act in 2019</w:t>
      </w:r>
      <w:bookmarkEnd w:id="330"/>
    </w:p>
    <w:p w14:paraId="12D03679" w14:textId="77777777" w:rsidR="00B468D5" w:rsidRPr="00200234" w:rsidRDefault="00B468D5" w:rsidP="00B468D5">
      <w:r w:rsidRPr="00200234">
        <w:t>In 2019, 26 people were detained under the Substance Addiction Act.</w:t>
      </w:r>
      <w:r w:rsidRPr="00200234">
        <w:rPr>
          <w:rStyle w:val="FootnoteReference"/>
        </w:rPr>
        <w:footnoteReference w:id="29"/>
      </w:r>
      <w:r w:rsidRPr="00200234">
        <w:t xml:space="preserve"> Among those subject to compulsory treatment certificates, 12 were women and 14 were men. They tended to be in older age groups, with 54 percent over 50 years old. The most common ethnic group in this cohort was New Zealand European. Half of all patients with compulsory treatment certificates were referred from DHBs in the greater Auckland region (Auckland, Counties Manukau and </w:t>
      </w:r>
      <w:proofErr w:type="spellStart"/>
      <w:r w:rsidRPr="00200234">
        <w:t>Waitematā</w:t>
      </w:r>
      <w:proofErr w:type="spellEnd"/>
      <w:r w:rsidRPr="00200234">
        <w:t>). The courts made 16 compulsory treatment orders and extended 10 compulsory treatment orders.</w:t>
      </w:r>
    </w:p>
    <w:p w14:paraId="58C686EA" w14:textId="1F3794AF" w:rsidR="00B468D5" w:rsidRPr="00200234" w:rsidRDefault="00B468D5" w:rsidP="00B468D5">
      <w:pPr>
        <w:pStyle w:val="Figure"/>
      </w:pPr>
      <w:bookmarkStart w:id="332" w:name="_Toc65574490"/>
      <w:bookmarkStart w:id="333" w:name="_Toc63764796"/>
      <w:bookmarkStart w:id="334" w:name="_Toc66716243"/>
      <w:r w:rsidRPr="00200234">
        <w:lastRenderedPageBreak/>
        <w:t xml:space="preserve">Figure </w:t>
      </w:r>
      <w:fldSimple w:instr=" SEQ Figure \* ARABIC ">
        <w:r w:rsidR="00422361">
          <w:rPr>
            <w:noProof/>
          </w:rPr>
          <w:t>61</w:t>
        </w:r>
      </w:fldSimple>
      <w:r w:rsidRPr="00200234">
        <w:t>: Percentage of patients subject to compulsory treatment certificates, by ethnicity, 1 January to 31 December 2019</w:t>
      </w:r>
      <w:bookmarkEnd w:id="332"/>
      <w:bookmarkEnd w:id="333"/>
      <w:bookmarkEnd w:id="334"/>
    </w:p>
    <w:p w14:paraId="5332995F" w14:textId="77777777" w:rsidR="00B468D5" w:rsidRPr="00200234" w:rsidRDefault="00B468D5" w:rsidP="00B468D5">
      <w:pPr>
        <w:keepNext/>
        <w:rPr>
          <w:rFonts w:cs="Segoe UI"/>
          <w:b/>
        </w:rPr>
      </w:pPr>
      <w:r w:rsidRPr="00200234">
        <w:rPr>
          <w:noProof/>
        </w:rPr>
        <w:drawing>
          <wp:inline distT="0" distB="0" distL="0" distR="0" wp14:anchorId="7DDB8181" wp14:editId="5570CBF6">
            <wp:extent cx="3076575" cy="2880000"/>
            <wp:effectExtent l="0" t="0" r="0" b="0"/>
            <wp:docPr id="10" name="Chart 10" descr="This pie chart shows that in 2019, of the patients subject to compulsory treatment certificates, 15.4% were Māori and 84.6% were non-Māori.">
              <a:extLst xmlns:a="http://schemas.openxmlformats.org/drawingml/2006/main">
                <a:ext uri="{FF2B5EF4-FFF2-40B4-BE49-F238E27FC236}">
                  <a16:creationId xmlns:a16="http://schemas.microsoft.com/office/drawing/2014/main" id="{7E6F76D9-6B16-4F11-BE48-662DE701D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732AD99" w14:textId="50BEA045" w:rsidR="00B468D5" w:rsidRPr="00200234" w:rsidRDefault="00B468D5" w:rsidP="00B468D5">
      <w:pPr>
        <w:pStyle w:val="Note"/>
      </w:pPr>
      <w:r w:rsidRPr="00200234">
        <w:t>Source: PRIMHD data</w:t>
      </w:r>
      <w:r w:rsidR="0015429E">
        <w:t xml:space="preserve"> (extracted</w:t>
      </w:r>
      <w:r w:rsidRPr="00200234">
        <w:t xml:space="preserve"> 2 September 2020</w:t>
      </w:r>
      <w:r w:rsidR="003510A5">
        <w:t>)</w:t>
      </w:r>
      <w:r w:rsidRPr="00200234">
        <w:t xml:space="preserve">. </w:t>
      </w:r>
    </w:p>
    <w:p w14:paraId="4E3AA97D" w14:textId="77777777" w:rsidR="00B468D5" w:rsidRPr="00200234" w:rsidRDefault="00B468D5" w:rsidP="00B468D5"/>
    <w:p w14:paraId="3B84F142" w14:textId="78A49D2A" w:rsidR="00B468D5" w:rsidRPr="00200234" w:rsidRDefault="00B468D5" w:rsidP="00B468D5">
      <w:r w:rsidRPr="00200234">
        <w:t xml:space="preserve">The average length of detention was 10 weeks and six days. Among these patients, 37.5 percent were detained for a period of less than eight weeks, which is within the first period of compulsory treatment set out in the Substance Addiction Act. The other 62.5 percent of patients were detained for a period of between 8 and 16 weeks, requiring a compulsory treatment order extension (see </w:t>
      </w:r>
      <w:r w:rsidR="001B5043" w:rsidRPr="00200234">
        <w:fldChar w:fldCharType="begin"/>
      </w:r>
      <w:r w:rsidR="001B5043" w:rsidRPr="00200234">
        <w:instrText xml:space="preserve"> REF _Ref65672784 \h </w:instrText>
      </w:r>
      <w:r w:rsidR="001B5043" w:rsidRPr="00200234">
        <w:fldChar w:fldCharType="separate"/>
      </w:r>
      <w:r w:rsidR="00422361" w:rsidRPr="00200234">
        <w:t xml:space="preserve">Figure </w:t>
      </w:r>
      <w:r w:rsidR="00422361">
        <w:rPr>
          <w:noProof/>
        </w:rPr>
        <w:t>62</w:t>
      </w:r>
      <w:r w:rsidR="001B5043" w:rsidRPr="00200234">
        <w:fldChar w:fldCharType="end"/>
      </w:r>
      <w:r w:rsidRPr="00200234">
        <w:t xml:space="preserve">). </w:t>
      </w:r>
    </w:p>
    <w:p w14:paraId="76284A70" w14:textId="77777777" w:rsidR="00B468D5" w:rsidRPr="00200234" w:rsidRDefault="00B468D5" w:rsidP="00B468D5"/>
    <w:p w14:paraId="02BCA640" w14:textId="31638169" w:rsidR="00B468D5" w:rsidRPr="00200234" w:rsidRDefault="00B468D5" w:rsidP="00B468D5">
      <w:pPr>
        <w:pStyle w:val="Figure"/>
      </w:pPr>
      <w:bookmarkStart w:id="335" w:name="_Ref65672784"/>
      <w:bookmarkStart w:id="336" w:name="_Toc65574491"/>
      <w:bookmarkStart w:id="337" w:name="_Toc63764797"/>
      <w:bookmarkStart w:id="338" w:name="_Toc66716244"/>
      <w:r w:rsidRPr="00200234">
        <w:t xml:space="preserve">Figure </w:t>
      </w:r>
      <w:fldSimple w:instr=" SEQ Figure \* ARABIC ">
        <w:r w:rsidR="00422361">
          <w:rPr>
            <w:noProof/>
          </w:rPr>
          <w:t>62</w:t>
        </w:r>
      </w:fldSimple>
      <w:bookmarkEnd w:id="335"/>
      <w:r w:rsidRPr="00200234">
        <w:t>: Percentage of patients subject to compulsory treatment certificates, by number of weeks in detention, 1 January to 31 December 2019</w:t>
      </w:r>
      <w:bookmarkEnd w:id="336"/>
      <w:bookmarkEnd w:id="337"/>
      <w:bookmarkEnd w:id="338"/>
    </w:p>
    <w:p w14:paraId="1A428699" w14:textId="77777777" w:rsidR="00B468D5" w:rsidRPr="00200234" w:rsidRDefault="00B468D5" w:rsidP="00B468D5">
      <w:pPr>
        <w:rPr>
          <w:rFonts w:cs="Segoe UI"/>
        </w:rPr>
      </w:pPr>
      <w:r w:rsidRPr="00200234">
        <w:rPr>
          <w:noProof/>
        </w:rPr>
        <w:drawing>
          <wp:inline distT="0" distB="0" distL="0" distR="0" wp14:anchorId="62043C48" wp14:editId="5414113B">
            <wp:extent cx="3295650" cy="2520000"/>
            <wp:effectExtent l="0" t="0" r="0" b="0"/>
            <wp:docPr id="254" name="Chart 254" descr="This pie chart shows that in 2019, of patients subject to compulsory treatment certificates, 37.5% were detained for 0 to 8 weeks, 62.5% were detained 8 to 16 weeks.">
              <a:extLst xmlns:a="http://schemas.openxmlformats.org/drawingml/2006/main">
                <a:ext uri="{FF2B5EF4-FFF2-40B4-BE49-F238E27FC236}">
                  <a16:creationId xmlns:a16="http://schemas.microsoft.com/office/drawing/2014/main" id="{096CA05B-007A-4FB0-88BD-E1E6ABAB7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532488C" w14:textId="4D2A35C8" w:rsidR="00B468D5" w:rsidRPr="00200234" w:rsidRDefault="00B468D5" w:rsidP="00B468D5">
      <w:pPr>
        <w:pStyle w:val="Note"/>
      </w:pPr>
      <w:r w:rsidRPr="00200234">
        <w:t>Source: PRIMHD data</w:t>
      </w:r>
      <w:r w:rsidR="0015429E">
        <w:t xml:space="preserve"> (extracted</w:t>
      </w:r>
      <w:r w:rsidRPr="00200234">
        <w:t xml:space="preserve"> 2 September 2020</w:t>
      </w:r>
      <w:r w:rsidR="003510A5">
        <w:t>)</w:t>
      </w:r>
      <w:r w:rsidRPr="00200234">
        <w:t xml:space="preserve">. </w:t>
      </w:r>
    </w:p>
    <w:p w14:paraId="7515C65F" w14:textId="77777777" w:rsidR="00B468D5" w:rsidRPr="00200234" w:rsidRDefault="00B468D5" w:rsidP="00B468D5"/>
    <w:p w14:paraId="5F682E75" w14:textId="77777777" w:rsidR="00B468D5" w:rsidRPr="00200234" w:rsidRDefault="00B468D5" w:rsidP="00B468D5">
      <w:r w:rsidRPr="00200234">
        <w:t>PRIMHD records show that in 2019, among service users who were discharged from the Substance Addiction Act:</w:t>
      </w:r>
    </w:p>
    <w:p w14:paraId="3ACB39C3" w14:textId="77777777" w:rsidR="00B468D5" w:rsidRPr="00ED4FA1" w:rsidRDefault="00B468D5" w:rsidP="00B468D5">
      <w:pPr>
        <w:pStyle w:val="Bullet"/>
        <w:rPr>
          <w:szCs w:val="21"/>
        </w:rPr>
      </w:pPr>
      <w:r w:rsidRPr="00ED4FA1">
        <w:rPr>
          <w:szCs w:val="21"/>
        </w:rPr>
        <w:t>40.6 percent received additional inpatient care</w:t>
      </w:r>
      <w:r w:rsidRPr="00ED4FA1">
        <w:rPr>
          <w:rStyle w:val="FootnoteReference"/>
          <w:szCs w:val="21"/>
        </w:rPr>
        <w:footnoteReference w:id="30"/>
      </w:r>
    </w:p>
    <w:p w14:paraId="2173BFF7" w14:textId="77777777" w:rsidR="00B468D5" w:rsidRPr="00ED4FA1" w:rsidRDefault="00B468D5" w:rsidP="00B468D5">
      <w:pPr>
        <w:pStyle w:val="Bullet"/>
        <w:rPr>
          <w:szCs w:val="21"/>
        </w:rPr>
      </w:pPr>
      <w:r w:rsidRPr="00ED4FA1">
        <w:rPr>
          <w:szCs w:val="21"/>
        </w:rPr>
        <w:lastRenderedPageBreak/>
        <w:t>75 percent engaged with individual treatments in outpatient services</w:t>
      </w:r>
    </w:p>
    <w:p w14:paraId="70981D33" w14:textId="77777777" w:rsidR="00B468D5" w:rsidRPr="00ED4FA1" w:rsidRDefault="00B468D5" w:rsidP="00B468D5">
      <w:pPr>
        <w:pStyle w:val="Bullet"/>
        <w:rPr>
          <w:szCs w:val="21"/>
        </w:rPr>
      </w:pPr>
      <w:r w:rsidRPr="00ED4FA1">
        <w:rPr>
          <w:szCs w:val="21"/>
        </w:rPr>
        <w:t>50 percent had family meetings arranged</w:t>
      </w:r>
    </w:p>
    <w:p w14:paraId="16A52FC1" w14:textId="77777777" w:rsidR="00B468D5" w:rsidRPr="00ED4FA1" w:rsidRDefault="00B468D5" w:rsidP="00B468D5">
      <w:pPr>
        <w:pStyle w:val="Bullet"/>
        <w:rPr>
          <w:szCs w:val="21"/>
        </w:rPr>
      </w:pPr>
      <w:r w:rsidRPr="00ED4FA1">
        <w:rPr>
          <w:szCs w:val="21"/>
        </w:rPr>
        <w:t>37.5 percent had Supplementary Consumer Records</w:t>
      </w:r>
    </w:p>
    <w:p w14:paraId="5A25CD43" w14:textId="77777777" w:rsidR="00B468D5" w:rsidRPr="00ED4FA1" w:rsidRDefault="00B468D5" w:rsidP="00B468D5">
      <w:pPr>
        <w:pStyle w:val="Bullet"/>
        <w:rPr>
          <w:szCs w:val="21"/>
        </w:rPr>
      </w:pPr>
      <w:r w:rsidRPr="00ED4FA1">
        <w:rPr>
          <w:szCs w:val="21"/>
        </w:rPr>
        <w:t>28.1 percent had wellness plans.</w:t>
      </w:r>
      <w:r w:rsidRPr="00ED4FA1">
        <w:rPr>
          <w:rStyle w:val="FootnoteReference"/>
          <w:szCs w:val="21"/>
        </w:rPr>
        <w:footnoteReference w:id="31"/>
      </w:r>
    </w:p>
    <w:p w14:paraId="2A582955" w14:textId="77777777" w:rsidR="00B468D5" w:rsidRPr="00200234" w:rsidRDefault="00B468D5" w:rsidP="00B468D5"/>
    <w:p w14:paraId="77406E7C" w14:textId="43979C68" w:rsidR="00B468D5" w:rsidRPr="00200234" w:rsidRDefault="00B468D5" w:rsidP="00B468D5">
      <w:r w:rsidRPr="00200234">
        <w:t>Note that this data represents the 2019 calendar year. If a service user was discharged in late December, they are unlikely to have had enough time to engage with outpatient services during the reporting period. For this reason, it may be difficult to draw meaningful conclusions about a service user’s recovery journey from the information above.</w:t>
      </w:r>
    </w:p>
    <w:p w14:paraId="0FBFF80B" w14:textId="77777777" w:rsidR="008361C5" w:rsidRPr="00200234" w:rsidRDefault="008361C5" w:rsidP="00505348">
      <w:pPr>
        <w:pStyle w:val="Heading2"/>
      </w:pPr>
      <w:bookmarkStart w:id="339" w:name="_Toc69307724"/>
      <w:r w:rsidRPr="00200234">
        <w:t>Land Transport Act 1998</w:t>
      </w:r>
      <w:bookmarkEnd w:id="331"/>
      <w:bookmarkEnd w:id="339"/>
    </w:p>
    <w:p w14:paraId="529B79DD" w14:textId="2F0B7CA1" w:rsidR="008361C5" w:rsidRPr="00200234" w:rsidRDefault="008361C5" w:rsidP="001B1712">
      <w:r w:rsidRPr="00200234">
        <w:t xml:space="preserve">In 2018 and 2019, the Office of the Director of Mental Health and Addiction Services continued to work with </w:t>
      </w:r>
      <w:r w:rsidR="00976DB2">
        <w:t>Waka Kotahi NZ</w:t>
      </w:r>
      <w:r w:rsidRPr="00200234">
        <w:t xml:space="preserve"> Transport Agency, </w:t>
      </w:r>
      <w:r w:rsidR="00976DB2">
        <w:t xml:space="preserve">the </w:t>
      </w:r>
      <w:r w:rsidRPr="00200234">
        <w:t xml:space="preserve">Ministry of Transport and </w:t>
      </w:r>
      <w:r w:rsidR="00271864" w:rsidRPr="00271864">
        <w:t>the Drug and Alcohol Practitioners</w:t>
      </w:r>
      <w:r w:rsidR="00976DB2">
        <w:t>’</w:t>
      </w:r>
      <w:r w:rsidR="00271864" w:rsidRPr="00271864">
        <w:t xml:space="preserve"> Association Aotearoa–New Zealand (DAPAANZ)</w:t>
      </w:r>
      <w:r w:rsidRPr="00200234">
        <w:t xml:space="preserve"> to monitor the reinstatement of drivers disqualified for offences involving alcohol or drugs and to approve assessment centres as stated under section 65A of the Land Transport Act 1998. This section provides for the mandatory indefinite disqualification of driver licences and assessment for repeat driving offenders involving drugs or alcohol. For a licence to be reinstated, the person must attend an approved assessment centre and undergo an assessment of how well they are managing their substance use or addictive behaviours. The assessment centres send copies of their reports to </w:t>
      </w:r>
      <w:r w:rsidR="00976DB2">
        <w:t>Waka Kotahi</w:t>
      </w:r>
      <w:r w:rsidRPr="00200234">
        <w:t>, which decides whether to reinstate the person’s licence.</w:t>
      </w:r>
    </w:p>
    <w:p w14:paraId="13DAE92F" w14:textId="77777777" w:rsidR="001B1712" w:rsidRPr="00200234" w:rsidRDefault="001B1712" w:rsidP="001B1712"/>
    <w:p w14:paraId="319EF225" w14:textId="66B8ECC6" w:rsidR="008361C5" w:rsidRPr="00200234" w:rsidRDefault="008361C5" w:rsidP="001B1712">
      <w:r w:rsidRPr="00200234">
        <w:t>The Director-General of Health approves assessment centres. Establishments and individuals applying to be an approved assessment centre must demonstrate that they are competent in assessing alcohol and other drug problems and are a registered and experienced alcohol and drug practitioner.</w:t>
      </w:r>
    </w:p>
    <w:p w14:paraId="07FB11AD" w14:textId="77777777" w:rsidR="008361C5" w:rsidRPr="00200234" w:rsidRDefault="008361C5" w:rsidP="00505348">
      <w:pPr>
        <w:pStyle w:val="Heading2"/>
      </w:pPr>
      <w:bookmarkStart w:id="340" w:name="_Toc65141650"/>
      <w:bookmarkStart w:id="341" w:name="_Toc69307725"/>
      <w:r w:rsidRPr="00200234">
        <w:t>Opioid substitution treatment</w:t>
      </w:r>
      <w:bookmarkEnd w:id="340"/>
      <w:bookmarkEnd w:id="341"/>
    </w:p>
    <w:p w14:paraId="45E1DACF" w14:textId="77777777" w:rsidR="008361C5" w:rsidRPr="00200234" w:rsidRDefault="008361C5" w:rsidP="001B1712">
      <w:r w:rsidRPr="00200234">
        <w:t>Opioid dependence is a complex, relapsing condition requiring a model of treatment and care much like any other chronic health problem. Opioid substitution treatment (OST) helps people with opioid dependence to access treatment, including substitution therapy, that provides them with the opportunity to recover their health and wellbeing.</w:t>
      </w:r>
    </w:p>
    <w:p w14:paraId="6F811AB0" w14:textId="77777777" w:rsidR="001B1712" w:rsidRPr="00200234" w:rsidRDefault="001B1712" w:rsidP="001B1712"/>
    <w:p w14:paraId="0494238D" w14:textId="27512619" w:rsidR="008361C5" w:rsidRPr="00200234" w:rsidRDefault="008361C5" w:rsidP="001B1712">
      <w:r w:rsidRPr="00200234">
        <w:t xml:space="preserve">Specialist OST services are specified by the Minister of Health under section 24A of the Misuse of Drugs Act 1975 and notified in the </w:t>
      </w:r>
      <w:r w:rsidRPr="00DB1FB1">
        <w:rPr>
          <w:i/>
          <w:iCs/>
        </w:rPr>
        <w:t>New Zealand Gazette</w:t>
      </w:r>
      <w:r w:rsidRPr="00200234">
        <w:t xml:space="preserve">. OST services in New Zealand are expected to provide a standardised approach underpinned by concepts of person-, family-, and whānau-centred treatment, recovery, wellbeing and citizenship. To help services take this approach, </w:t>
      </w:r>
      <w:r w:rsidR="000E242F">
        <w:t xml:space="preserve">the </w:t>
      </w:r>
      <w:r w:rsidRPr="00DB1FB1">
        <w:rPr>
          <w:i/>
          <w:iCs/>
        </w:rPr>
        <w:t>New Zealand Practice Guidelines for Opioid Substitution Treatment</w:t>
      </w:r>
      <w:r w:rsidRPr="00200234">
        <w:t xml:space="preserve"> provides clinical and procedural guidance for specialist services and primary care providers who deliver OST.</w:t>
      </w:r>
    </w:p>
    <w:p w14:paraId="11EAAF84" w14:textId="77777777" w:rsidR="001B1712" w:rsidRPr="00200234" w:rsidRDefault="001B1712" w:rsidP="001B1712"/>
    <w:p w14:paraId="42247E5D" w14:textId="46E9C9AC" w:rsidR="008361C5" w:rsidRPr="00200234" w:rsidRDefault="008361C5" w:rsidP="001B1712">
      <w:r w:rsidRPr="00200234">
        <w:t>The Medical Officer of Health, acting under delegated authority from the Minister of Health, designates specialist services and lead clinicians to provide treatment with controlled drugs to people who are dependent on controlled drugs, according to section 24A(7)(b) of the Misuse of Drugs Act 1975. These services are also subject to a Ministry audit every three years, through the Specialist Opioid Substitution Treatment Service Audit and Review Tool.</w:t>
      </w:r>
    </w:p>
    <w:p w14:paraId="3073E32C" w14:textId="77777777" w:rsidR="001B1712" w:rsidRPr="00200234" w:rsidRDefault="001B1712" w:rsidP="001B1712">
      <w:bookmarkStart w:id="342" w:name="_Toc65141651"/>
    </w:p>
    <w:p w14:paraId="4C40C2E1" w14:textId="6F2F6472" w:rsidR="008361C5" w:rsidRPr="00DD75F8" w:rsidRDefault="009A4134" w:rsidP="00DD75F8">
      <w:r w:rsidRPr="009A4134">
        <w:t>In summary, i</w:t>
      </w:r>
      <w:r w:rsidR="008361C5" w:rsidRPr="00DD75F8">
        <w:t>n 2018:</w:t>
      </w:r>
      <w:bookmarkEnd w:id="342"/>
    </w:p>
    <w:p w14:paraId="6B810A00" w14:textId="77777777" w:rsidR="008361C5" w:rsidRPr="00ED4FA1" w:rsidRDefault="008361C5" w:rsidP="001B1712">
      <w:pPr>
        <w:pStyle w:val="Bullet"/>
        <w:rPr>
          <w:szCs w:val="21"/>
        </w:rPr>
      </w:pPr>
      <w:r w:rsidRPr="00ED4FA1">
        <w:rPr>
          <w:szCs w:val="21"/>
        </w:rPr>
        <w:t>5,573 people received OST</w:t>
      </w:r>
    </w:p>
    <w:p w14:paraId="5069A127" w14:textId="77777777" w:rsidR="008361C5" w:rsidRPr="00ED4FA1" w:rsidRDefault="008361C5" w:rsidP="001B1712">
      <w:pPr>
        <w:pStyle w:val="Bullet"/>
        <w:rPr>
          <w:szCs w:val="21"/>
        </w:rPr>
      </w:pPr>
      <w:r w:rsidRPr="00ED4FA1">
        <w:rPr>
          <w:szCs w:val="21"/>
        </w:rPr>
        <w:t>80.4 percent of these people were New Zealand European, 14.9 percent were Māori, 1.3 percent were Pacific peoples and 3.3 percent were of another ethnicity</w:t>
      </w:r>
    </w:p>
    <w:p w14:paraId="7F583872" w14:textId="77777777" w:rsidR="008361C5" w:rsidRPr="00ED4FA1" w:rsidRDefault="008361C5" w:rsidP="001B1712">
      <w:pPr>
        <w:pStyle w:val="Bullet"/>
        <w:rPr>
          <w:szCs w:val="21"/>
        </w:rPr>
      </w:pPr>
      <w:r w:rsidRPr="00ED4FA1">
        <w:rPr>
          <w:szCs w:val="21"/>
        </w:rPr>
        <w:t>61.7 percent of clients receiving OST were over 45 years old</w:t>
      </w:r>
    </w:p>
    <w:p w14:paraId="767A611A" w14:textId="77777777" w:rsidR="008361C5" w:rsidRPr="00ED4FA1" w:rsidRDefault="008361C5" w:rsidP="001B1712">
      <w:pPr>
        <w:pStyle w:val="Bullet"/>
        <w:rPr>
          <w:szCs w:val="21"/>
        </w:rPr>
      </w:pPr>
      <w:r w:rsidRPr="00ED4FA1">
        <w:rPr>
          <w:szCs w:val="21"/>
        </w:rPr>
        <w:t>27.3 percent of people receiving OST were being treated by a general practitioner in a shared-care arrangement.</w:t>
      </w:r>
      <w:r w:rsidRPr="00ED4FA1">
        <w:rPr>
          <w:rStyle w:val="FootnoteReference"/>
          <w:szCs w:val="21"/>
        </w:rPr>
        <w:footnoteReference w:id="32"/>
      </w:r>
    </w:p>
    <w:p w14:paraId="4ABEF683" w14:textId="77777777" w:rsidR="001B1712" w:rsidRPr="00200234" w:rsidRDefault="001B1712" w:rsidP="001B1712">
      <w:bookmarkStart w:id="343" w:name="_Toc65141652"/>
    </w:p>
    <w:p w14:paraId="4FEC0DAB" w14:textId="082D61AD" w:rsidR="008361C5" w:rsidRPr="00DD75F8" w:rsidRDefault="005B6C1D" w:rsidP="00DD75F8">
      <w:r>
        <w:t>I</w:t>
      </w:r>
      <w:r w:rsidR="008361C5" w:rsidRPr="00DD75F8">
        <w:t>n 2019:</w:t>
      </w:r>
      <w:bookmarkEnd w:id="343"/>
    </w:p>
    <w:p w14:paraId="2DD53044" w14:textId="77777777" w:rsidR="008361C5" w:rsidRPr="00ED4FA1" w:rsidRDefault="008361C5" w:rsidP="001B1712">
      <w:pPr>
        <w:pStyle w:val="Bullet"/>
        <w:rPr>
          <w:szCs w:val="21"/>
        </w:rPr>
      </w:pPr>
      <w:r w:rsidRPr="00ED4FA1">
        <w:rPr>
          <w:szCs w:val="21"/>
        </w:rPr>
        <w:t>5,548 people received OST</w:t>
      </w:r>
    </w:p>
    <w:p w14:paraId="66A95DB1" w14:textId="5008F1DA" w:rsidR="008361C5" w:rsidRPr="00ED4FA1" w:rsidRDefault="008361C5" w:rsidP="001B1712">
      <w:pPr>
        <w:pStyle w:val="Bullet"/>
        <w:rPr>
          <w:szCs w:val="21"/>
        </w:rPr>
      </w:pPr>
      <w:r w:rsidRPr="00ED4FA1">
        <w:rPr>
          <w:szCs w:val="21"/>
        </w:rPr>
        <w:t xml:space="preserve">79.6 percent of these people were New Zealand European, 15.2 percent were Māori, 1.1 percent were Pacific </w:t>
      </w:r>
      <w:r w:rsidR="00DD75F8" w:rsidRPr="00ED4FA1">
        <w:rPr>
          <w:szCs w:val="21"/>
        </w:rPr>
        <w:t>p</w:t>
      </w:r>
      <w:r w:rsidRPr="00ED4FA1">
        <w:rPr>
          <w:szCs w:val="21"/>
        </w:rPr>
        <w:t>eoples and 4.1 percent were of another ethnicity</w:t>
      </w:r>
    </w:p>
    <w:p w14:paraId="0A7C49F6" w14:textId="77777777" w:rsidR="008361C5" w:rsidRPr="00ED4FA1" w:rsidRDefault="008361C5" w:rsidP="001B1712">
      <w:pPr>
        <w:pStyle w:val="Bullet"/>
        <w:rPr>
          <w:szCs w:val="21"/>
        </w:rPr>
      </w:pPr>
      <w:r w:rsidRPr="00ED4FA1">
        <w:rPr>
          <w:szCs w:val="21"/>
        </w:rPr>
        <w:t>63.3 percent of clients receiving OST were over 45 years old</w:t>
      </w:r>
    </w:p>
    <w:p w14:paraId="5D2E231B" w14:textId="77777777" w:rsidR="008361C5" w:rsidRPr="00ED4FA1" w:rsidRDefault="008361C5" w:rsidP="001B1712">
      <w:pPr>
        <w:pStyle w:val="Bullet"/>
        <w:rPr>
          <w:szCs w:val="21"/>
        </w:rPr>
      </w:pPr>
      <w:r w:rsidRPr="00ED4FA1">
        <w:rPr>
          <w:szCs w:val="21"/>
        </w:rPr>
        <w:t>27.5 percent of people receiving OST were being treated by a general practitioner in a shared-care arrangement.</w:t>
      </w:r>
      <w:r w:rsidRPr="00ED4FA1">
        <w:rPr>
          <w:rStyle w:val="FootnoteReference"/>
          <w:szCs w:val="21"/>
        </w:rPr>
        <w:footnoteReference w:id="33"/>
      </w:r>
    </w:p>
    <w:p w14:paraId="47FB621D" w14:textId="77777777" w:rsidR="008361C5" w:rsidRPr="00200234" w:rsidRDefault="008361C5" w:rsidP="00505348">
      <w:pPr>
        <w:pStyle w:val="Heading3"/>
      </w:pPr>
      <w:bookmarkStart w:id="344" w:name="_Toc65141653"/>
      <w:r w:rsidRPr="00200234">
        <w:t>Service providers</w:t>
      </w:r>
      <w:bookmarkEnd w:id="344"/>
    </w:p>
    <w:p w14:paraId="00820290" w14:textId="77777777" w:rsidR="001B1712" w:rsidRPr="00200234" w:rsidRDefault="008361C5" w:rsidP="001B1712">
      <w:r w:rsidRPr="00200234">
        <w:t>Three types of providers undertake OST services.</w:t>
      </w:r>
    </w:p>
    <w:p w14:paraId="5B84C283" w14:textId="77777777" w:rsidR="001B1712" w:rsidRPr="00200234" w:rsidRDefault="001B1712" w:rsidP="001B1712"/>
    <w:p w14:paraId="19CA98F4" w14:textId="77777777" w:rsidR="001B1712" w:rsidRPr="00200234" w:rsidRDefault="008361C5" w:rsidP="001B1712">
      <w:r w:rsidRPr="00200234">
        <w:rPr>
          <w:rFonts w:ascii="Segoe UI Semibold" w:hAnsi="Segoe UI Semibold" w:cs="Segoe UI Semibold"/>
        </w:rPr>
        <w:t>Specialist services.</w:t>
      </w:r>
      <w:r w:rsidRPr="00200234">
        <w:t xml:space="preserve"> Specialist OST services are the entry point for nearly all people requiring treatment with controlled drugs. Specialist OST services will comprehensively assess the needs of clients, provide specialist interventions and stabilise clients. This creates a pathway for recovery planning, referrals for co-existing health needs and social support and eventually the transfer of treatment to a primary health provider or withdrawal from treatment altogether.</w:t>
      </w:r>
    </w:p>
    <w:p w14:paraId="2D353052" w14:textId="77777777" w:rsidR="001B1712" w:rsidRPr="00200234" w:rsidRDefault="001B1712" w:rsidP="001B1712"/>
    <w:p w14:paraId="0C5A7826" w14:textId="4631B1EE" w:rsidR="001B1712" w:rsidRPr="00200234" w:rsidRDefault="008361C5" w:rsidP="001B1712">
      <w:r w:rsidRPr="00200234">
        <w:rPr>
          <w:rFonts w:ascii="Segoe UI Semibold" w:hAnsi="Segoe UI Semibold" w:cs="Segoe UI Semibold"/>
        </w:rPr>
        <w:t xml:space="preserve">Primary health. </w:t>
      </w:r>
      <w:r w:rsidRPr="00200234">
        <w:t xml:space="preserve">Specialist addiction services work together with primary health care. This approach allows specialist services to focus on clients with the highest need and normalises the treatment process. In 2018, 27.3 percent of clients receiving OST had that treatment from their general practitioner, and in 2019 this number was 24 percent. The Ministry’s target for service provision is 50:50 between primary and specialist health care services. Figures </w:t>
      </w:r>
      <w:r w:rsidR="001B5043" w:rsidRPr="00200234">
        <w:fldChar w:fldCharType="begin"/>
      </w:r>
      <w:r w:rsidR="001B5043" w:rsidRPr="00200234">
        <w:instrText xml:space="preserve"> REF _Ref65672817 </w:instrText>
      </w:r>
      <w:r w:rsidR="007F0A9A" w:rsidRPr="00200234">
        <w:instrText>\# 0 \h</w:instrText>
      </w:r>
      <w:r w:rsidR="001B5043" w:rsidRPr="00200234">
        <w:instrText xml:space="preserve"> </w:instrText>
      </w:r>
      <w:r w:rsidR="001B5043" w:rsidRPr="00200234">
        <w:fldChar w:fldCharType="separate"/>
      </w:r>
      <w:r w:rsidR="00422361">
        <w:t>63</w:t>
      </w:r>
      <w:r w:rsidR="001B5043" w:rsidRPr="00200234">
        <w:fldChar w:fldCharType="end"/>
      </w:r>
      <w:r w:rsidRPr="00200234">
        <w:t xml:space="preserve"> and </w:t>
      </w:r>
      <w:r w:rsidR="001B5043" w:rsidRPr="00200234">
        <w:fldChar w:fldCharType="begin"/>
      </w:r>
      <w:r w:rsidR="001B5043" w:rsidRPr="00200234">
        <w:instrText xml:space="preserve"> REF _Ref65672822 </w:instrText>
      </w:r>
      <w:r w:rsidR="007F0A9A" w:rsidRPr="00200234">
        <w:instrText>\# 0 \h</w:instrText>
      </w:r>
      <w:r w:rsidR="001B5043" w:rsidRPr="00200234">
        <w:instrText xml:space="preserve"> </w:instrText>
      </w:r>
      <w:r w:rsidR="001B5043" w:rsidRPr="00200234">
        <w:fldChar w:fldCharType="separate"/>
      </w:r>
      <w:r w:rsidR="00422361">
        <w:t>64</w:t>
      </w:r>
      <w:r w:rsidR="001B5043" w:rsidRPr="00200234">
        <w:fldChar w:fldCharType="end"/>
      </w:r>
      <w:r w:rsidRPr="00200234">
        <w:t xml:space="preserve"> present the percentage of people receiving OST from specialist services and general practice in each DHB in 2018 and 2019.</w:t>
      </w:r>
    </w:p>
    <w:p w14:paraId="0733B8A0" w14:textId="77777777" w:rsidR="001B1712" w:rsidRPr="00200234" w:rsidRDefault="001B1712" w:rsidP="001B1712"/>
    <w:p w14:paraId="05C0036E" w14:textId="77777777" w:rsidR="001B1712" w:rsidRPr="00200234" w:rsidRDefault="008361C5" w:rsidP="001B1712">
      <w:r w:rsidRPr="00200234">
        <w:rPr>
          <w:rFonts w:ascii="Segoe UI Semibold" w:hAnsi="Segoe UI Semibold" w:cs="Segoe UI Semibold"/>
        </w:rPr>
        <w:lastRenderedPageBreak/>
        <w:t xml:space="preserve">Department of Corrections. </w:t>
      </w:r>
      <w:r w:rsidRPr="00200234">
        <w:t>When a person receiving OST goes to prison, the Department of Corrections ensures that the person continues to receive OST services, including psychosocial support and treatment from specialist services. In 2018, 1.3 percent of clients receiving OST had that treatment from the Department of Corrections. In 2019, 1.2 percent of clients received this treatment from the Department of Corrections. Service providers and the Department of Corrections work together to initiate OST as appropriate for people who are imprisoned.</w:t>
      </w:r>
    </w:p>
    <w:p w14:paraId="759341E4" w14:textId="77777777" w:rsidR="001B1712" w:rsidRPr="00200234" w:rsidRDefault="001B1712" w:rsidP="001B1712"/>
    <w:p w14:paraId="32503A39" w14:textId="3712B5CC" w:rsidR="001B1712" w:rsidRPr="00200234" w:rsidRDefault="007F0A9A" w:rsidP="001B1712">
      <w:r w:rsidRPr="00200234">
        <w:fldChar w:fldCharType="begin"/>
      </w:r>
      <w:r w:rsidRPr="00200234">
        <w:instrText xml:space="preserve"> REF _Ref65672913 \h </w:instrText>
      </w:r>
      <w:r w:rsidRPr="00200234">
        <w:fldChar w:fldCharType="separate"/>
      </w:r>
      <w:r w:rsidR="00422361" w:rsidRPr="00200234">
        <w:t xml:space="preserve">Figure </w:t>
      </w:r>
      <w:r w:rsidR="00422361">
        <w:rPr>
          <w:noProof/>
        </w:rPr>
        <w:t>65</w:t>
      </w:r>
      <w:r w:rsidRPr="00200234">
        <w:fldChar w:fldCharType="end"/>
      </w:r>
      <w:r w:rsidR="008361C5" w:rsidRPr="00200234">
        <w:t xml:space="preserve"> shows the number of people receiving OST from each of these types of providers each year from 2008 to 2019.</w:t>
      </w:r>
    </w:p>
    <w:p w14:paraId="3FD79F4B" w14:textId="0289A885" w:rsidR="001B1712" w:rsidRPr="00200234" w:rsidRDefault="001B1712" w:rsidP="001B1712"/>
    <w:p w14:paraId="4AD67D70" w14:textId="5C999635" w:rsidR="008361C5" w:rsidRPr="00200234" w:rsidRDefault="008361C5" w:rsidP="008361C5">
      <w:pPr>
        <w:pStyle w:val="Figure"/>
      </w:pPr>
      <w:bookmarkStart w:id="345" w:name="_Ref65672817"/>
      <w:bookmarkStart w:id="346" w:name="_Toc63764798"/>
      <w:bookmarkStart w:id="347" w:name="_Toc66716245"/>
      <w:r w:rsidRPr="00200234">
        <w:t xml:space="preserve">Figure </w:t>
      </w:r>
      <w:fldSimple w:instr=" SEQ Figure \* ARABIC ">
        <w:r w:rsidR="00422361">
          <w:rPr>
            <w:noProof/>
          </w:rPr>
          <w:t>63</w:t>
        </w:r>
      </w:fldSimple>
      <w:bookmarkEnd w:id="345"/>
      <w:r w:rsidRPr="00200234">
        <w:t>: Percentage of people receiving opioid substitution treatment from specialist services and general practice, by DHB, 1 January to 31 December 2018</w:t>
      </w:r>
      <w:bookmarkEnd w:id="346"/>
      <w:bookmarkEnd w:id="347"/>
    </w:p>
    <w:p w14:paraId="4E06D285" w14:textId="7323EDCF" w:rsidR="008361C5" w:rsidRPr="00200234" w:rsidRDefault="00466EF0" w:rsidP="00C20CA6">
      <w:pPr>
        <w:keepNext/>
        <w:rPr>
          <w:rFonts w:cs="Segoe UI"/>
        </w:rPr>
      </w:pPr>
      <w:r>
        <w:rPr>
          <w:noProof/>
        </w:rPr>
        <w:drawing>
          <wp:inline distT="0" distB="0" distL="0" distR="0" wp14:anchorId="2A7E8AD3" wp14:editId="0507E596">
            <wp:extent cx="5124450" cy="3343275"/>
            <wp:effectExtent l="0" t="0" r="0" b="0"/>
            <wp:docPr id="46" name="Chart 46" descr="This bar graph shows that in 2018, most people received opioid substitution treatment from specialist services. Auckland had the largest number of people receiving it from their GP, at just over 40%, while Tairawhiti DHB had no GPs providing it. Most other DHBs were between 30 and 10% GPs.">
              <a:extLst xmlns:a="http://schemas.openxmlformats.org/drawingml/2006/main">
                <a:ext uri="{FF2B5EF4-FFF2-40B4-BE49-F238E27FC236}">
                  <a16:creationId xmlns:a16="http://schemas.microsoft.com/office/drawing/2014/main" id="{ADBCBDFF-36A1-4156-B619-C10ABF3E61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6C713BA" w14:textId="77EC3881" w:rsidR="008361C5" w:rsidRPr="00200234" w:rsidRDefault="008361C5" w:rsidP="00C20CA6">
      <w:pPr>
        <w:pStyle w:val="Note"/>
        <w:keepNext/>
      </w:pPr>
      <w:r w:rsidRPr="00200234">
        <w:t>Note: GP = general practitioner.</w:t>
      </w:r>
      <w:r w:rsidR="00466EF0">
        <w:t xml:space="preserve"> ‘Auckland’ includes Auckland, Counties Manukau and </w:t>
      </w:r>
      <w:proofErr w:type="spellStart"/>
      <w:r w:rsidR="00466EF0">
        <w:t>Waitematā</w:t>
      </w:r>
      <w:proofErr w:type="spellEnd"/>
      <w:r w:rsidR="00466EF0">
        <w:t xml:space="preserve"> DHBs. ‘Capital &amp; Coast’ includes Capital &amp; Coast and Hutt Valley DHBs.</w:t>
      </w:r>
    </w:p>
    <w:p w14:paraId="4E4CB77D" w14:textId="77777777" w:rsidR="008361C5" w:rsidRPr="00200234" w:rsidRDefault="008361C5" w:rsidP="008361C5">
      <w:pPr>
        <w:pStyle w:val="Note"/>
      </w:pPr>
      <w:r w:rsidRPr="00200234">
        <w:t>Source: Data provided by OST services in six-monthly reports.</w:t>
      </w:r>
    </w:p>
    <w:p w14:paraId="4A7D4A83" w14:textId="1CA566D1" w:rsidR="008361C5" w:rsidRDefault="008361C5" w:rsidP="00466EF0">
      <w:pPr>
        <w:pStyle w:val="Figure"/>
      </w:pPr>
      <w:bookmarkStart w:id="348" w:name="_Ref65672822"/>
      <w:bookmarkStart w:id="349" w:name="_Toc63764799"/>
      <w:bookmarkStart w:id="350" w:name="_Toc66716246"/>
      <w:r w:rsidRPr="00200234">
        <w:lastRenderedPageBreak/>
        <w:t xml:space="preserve">Figure </w:t>
      </w:r>
      <w:fldSimple w:instr=" SEQ Figure \* ARABIC ">
        <w:r w:rsidR="00422361">
          <w:rPr>
            <w:noProof/>
          </w:rPr>
          <w:t>64</w:t>
        </w:r>
      </w:fldSimple>
      <w:bookmarkEnd w:id="348"/>
      <w:r w:rsidRPr="00200234">
        <w:t>: Percentage of people receiving opioid substitution treatment from specialist services and general practice, by DHB, 1 January to 31 December 2019</w:t>
      </w:r>
      <w:bookmarkEnd w:id="349"/>
      <w:bookmarkEnd w:id="350"/>
    </w:p>
    <w:p w14:paraId="7C9AF6B2" w14:textId="63387A64" w:rsidR="00466EF0" w:rsidRPr="00200234" w:rsidRDefault="00466EF0" w:rsidP="008361C5">
      <w:pPr>
        <w:keepNext/>
        <w:rPr>
          <w:rFonts w:cs="Segoe UI"/>
        </w:rPr>
      </w:pPr>
      <w:r>
        <w:rPr>
          <w:noProof/>
        </w:rPr>
        <w:drawing>
          <wp:inline distT="0" distB="0" distL="0" distR="0" wp14:anchorId="08BC2BD8" wp14:editId="484E3560">
            <wp:extent cx="4995863" cy="3343275"/>
            <wp:effectExtent l="0" t="0" r="0" b="0"/>
            <wp:docPr id="52" name="Chart 52" descr="This bar graph shows that in 2019, most people received opioid substitution treatment from specialist services. Auckland had the largest number of people receiving it from their GP, at just over 40%, while Tairawhiti DHB had almost no GPs providing it. Most other DHBs were between 30 and 10% GPs.">
              <a:extLst xmlns:a="http://schemas.openxmlformats.org/drawingml/2006/main">
                <a:ext uri="{FF2B5EF4-FFF2-40B4-BE49-F238E27FC236}">
                  <a16:creationId xmlns:a16="http://schemas.microsoft.com/office/drawing/2014/main" id="{52FBEDFC-ACBB-4B79-8B5F-73E091D2C3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3A04E25" w14:textId="18BE1C86" w:rsidR="008361C5" w:rsidRPr="00200234" w:rsidRDefault="008361C5" w:rsidP="00C20CA6">
      <w:pPr>
        <w:pStyle w:val="Note"/>
        <w:keepNext/>
      </w:pPr>
      <w:r w:rsidRPr="00200234">
        <w:t>Note: GP = general practitioner.</w:t>
      </w:r>
      <w:r w:rsidR="00466EF0">
        <w:t xml:space="preserve"> ‘Auckland’ includes Auckland, Counties Manukau and </w:t>
      </w:r>
      <w:proofErr w:type="spellStart"/>
      <w:r w:rsidR="00466EF0">
        <w:t>Waitematā</w:t>
      </w:r>
      <w:proofErr w:type="spellEnd"/>
      <w:r w:rsidR="00466EF0">
        <w:t xml:space="preserve"> DHBs. ‘Capital &amp; Coast’ includes Capital &amp; Coast and Hutt Valley DHBs.</w:t>
      </w:r>
    </w:p>
    <w:p w14:paraId="77E2B103" w14:textId="55FEAFFF" w:rsidR="008361C5" w:rsidRPr="00200234" w:rsidRDefault="008361C5" w:rsidP="008361C5">
      <w:pPr>
        <w:pStyle w:val="Note"/>
      </w:pPr>
      <w:r w:rsidRPr="00200234">
        <w:t>Source: Data provided by OST services in six-monthly reports.</w:t>
      </w:r>
    </w:p>
    <w:p w14:paraId="26B2A606" w14:textId="77777777" w:rsidR="00C20CA6" w:rsidRPr="00200234" w:rsidRDefault="00C20CA6" w:rsidP="00C20CA6"/>
    <w:p w14:paraId="4EADBC8C" w14:textId="20514C20" w:rsidR="008361C5" w:rsidRPr="00200234" w:rsidRDefault="008361C5" w:rsidP="008361C5">
      <w:pPr>
        <w:pStyle w:val="Figure"/>
      </w:pPr>
      <w:bookmarkStart w:id="351" w:name="_Ref65672913"/>
      <w:bookmarkStart w:id="352" w:name="_Toc63764800"/>
      <w:bookmarkStart w:id="353" w:name="_Toc66716247"/>
      <w:r w:rsidRPr="00200234">
        <w:t xml:space="preserve">Figure </w:t>
      </w:r>
      <w:fldSimple w:instr=" SEQ Figure \* ARABIC ">
        <w:r w:rsidR="00422361">
          <w:rPr>
            <w:noProof/>
          </w:rPr>
          <w:t>65</w:t>
        </w:r>
      </w:fldSimple>
      <w:bookmarkEnd w:id="351"/>
      <w:r w:rsidRPr="00200234">
        <w:t>: Number of people receiving opioid substitution treatment from a specialist service, general practice or prison service, 2008–2019</w:t>
      </w:r>
      <w:bookmarkEnd w:id="352"/>
      <w:bookmarkEnd w:id="353"/>
    </w:p>
    <w:p w14:paraId="7A271575" w14:textId="77777777" w:rsidR="008361C5" w:rsidRPr="00200234" w:rsidRDefault="008361C5" w:rsidP="00C20CA6">
      <w:pPr>
        <w:keepNext/>
      </w:pPr>
      <w:r w:rsidRPr="00200234">
        <w:rPr>
          <w:noProof/>
        </w:rPr>
        <w:drawing>
          <wp:inline distT="0" distB="0" distL="0" distR="0" wp14:anchorId="46601777" wp14:editId="0E4BAFDD">
            <wp:extent cx="5040000" cy="3067050"/>
            <wp:effectExtent l="0" t="0" r="8255" b="0"/>
            <wp:docPr id="227" name="Chart 227" descr="This bar graph shows that the number of people receiving opioid substitution treatment has increased over time from just over 4500 in 2008 to about 5500 in 2019. The proportion of people receiving treatment at specialist services compared to general practice has remained relatively steady. Beginning in 2013, a small number of people began receiving treatment at prison services.">
              <a:extLst xmlns:a="http://schemas.openxmlformats.org/drawingml/2006/main">
                <a:ext uri="{FF2B5EF4-FFF2-40B4-BE49-F238E27FC236}">
                  <a16:creationId xmlns:a16="http://schemas.microsoft.com/office/drawing/2014/main" id="{00000000-0008-0000-0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86F1819" w14:textId="77777777" w:rsidR="008361C5" w:rsidRPr="00200234" w:rsidRDefault="008361C5" w:rsidP="00C20CA6">
      <w:pPr>
        <w:pStyle w:val="Note"/>
        <w:keepNext/>
      </w:pPr>
      <w:r w:rsidRPr="00200234">
        <w:t>Note: Data for clients seen in prison collected from July 2013.</w:t>
      </w:r>
    </w:p>
    <w:p w14:paraId="68FC54D1" w14:textId="77777777" w:rsidR="008361C5" w:rsidRPr="00200234" w:rsidRDefault="008361C5" w:rsidP="008361C5">
      <w:pPr>
        <w:pStyle w:val="Note"/>
      </w:pPr>
      <w:r w:rsidRPr="00200234">
        <w:t>Source: Data provided by OST services in six-monthly reports.</w:t>
      </w:r>
    </w:p>
    <w:p w14:paraId="334EB8AF" w14:textId="77777777" w:rsidR="008361C5" w:rsidRPr="00200234" w:rsidRDefault="008361C5" w:rsidP="00C20CA6"/>
    <w:p w14:paraId="6E0FD47C" w14:textId="77777777" w:rsidR="008361C5" w:rsidRPr="00200234" w:rsidRDefault="008361C5" w:rsidP="00505348">
      <w:pPr>
        <w:pStyle w:val="Heading3"/>
      </w:pPr>
      <w:bookmarkStart w:id="354" w:name="_Toc65141654"/>
      <w:r w:rsidRPr="00200234">
        <w:lastRenderedPageBreak/>
        <w:t>Prescribing opioid treatments</w:t>
      </w:r>
      <w:bookmarkEnd w:id="354"/>
    </w:p>
    <w:p w14:paraId="70577AC0" w14:textId="399025FF" w:rsidR="008361C5" w:rsidRPr="00200234" w:rsidRDefault="008361C5" w:rsidP="00C20CA6">
      <w:r w:rsidRPr="00200234">
        <w:t>Replacing addictive substances like opioids with prescribed drugs is called pharmacotherapy. The purpose of this treatment is to stabilise the opioid user’s life and reduce harms related to drug use, such as the risk of overdose, blood-borne virus transmission and substance-related criminal activity.</w:t>
      </w:r>
    </w:p>
    <w:p w14:paraId="661F33CC" w14:textId="77777777" w:rsidR="00C20CA6" w:rsidRPr="00200234" w:rsidRDefault="00C20CA6" w:rsidP="00C20CA6"/>
    <w:p w14:paraId="670D128E" w14:textId="173BA46A" w:rsidR="008361C5" w:rsidRPr="00200234" w:rsidRDefault="008361C5" w:rsidP="00C20CA6">
      <w:r w:rsidRPr="00200234">
        <w:t>The two types of pharmacotherapy are:</w:t>
      </w:r>
    </w:p>
    <w:p w14:paraId="7B8DC6B2" w14:textId="77777777" w:rsidR="008361C5" w:rsidRPr="00200234" w:rsidRDefault="008361C5" w:rsidP="00DA02E3">
      <w:pPr>
        <w:pStyle w:val="ListNumber"/>
        <w:numPr>
          <w:ilvl w:val="0"/>
          <w:numId w:val="9"/>
        </w:numPr>
      </w:pPr>
      <w:r w:rsidRPr="00200234">
        <w:t>Maintenance therapy – using opioid substitutes for the purpose of remaining on a stable dose</w:t>
      </w:r>
    </w:p>
    <w:p w14:paraId="090C9733" w14:textId="77777777" w:rsidR="008361C5" w:rsidRPr="00200234" w:rsidRDefault="008361C5" w:rsidP="00DA02E3">
      <w:pPr>
        <w:pStyle w:val="ListNumber"/>
        <w:numPr>
          <w:ilvl w:val="0"/>
          <w:numId w:val="9"/>
        </w:numPr>
      </w:pPr>
      <w:r w:rsidRPr="00200234">
        <w:t>Detox – using opioid substitutes for the purpose of gradually withdrawing from the substitute so the client is free of all opioid substances.</w:t>
      </w:r>
    </w:p>
    <w:p w14:paraId="43EE360F" w14:textId="77777777" w:rsidR="00C20CA6" w:rsidRPr="00200234" w:rsidRDefault="00C20CA6" w:rsidP="00C20CA6"/>
    <w:p w14:paraId="43112ECF" w14:textId="2AA2D5BB" w:rsidR="008361C5" w:rsidRPr="00200234" w:rsidRDefault="008361C5" w:rsidP="00C20CA6">
      <w:r w:rsidRPr="00200234">
        <w:t>Methadone has historically been the main opioid substitution treatment available. Clients need a daily dose, which in turn makes it necessary to place limits on prescribing and dispensing.</w:t>
      </w:r>
    </w:p>
    <w:p w14:paraId="2A1C6FF9" w14:textId="77777777" w:rsidR="00C20CA6" w:rsidRPr="00200234" w:rsidRDefault="00C20CA6" w:rsidP="00C20CA6"/>
    <w:p w14:paraId="053D8648" w14:textId="0A6C4DA4" w:rsidR="008361C5" w:rsidRPr="00200234" w:rsidRDefault="008361C5" w:rsidP="00C20CA6">
      <w:r w:rsidRPr="00200234">
        <w:t xml:space="preserve">In 2012, PHARMAC began funding a buprenorphine-naloxone (suboxone) combination. Suboxone can be administered in cumulative doses that last several days, which reduces the risk of drug diversion and offers clients more normality in their lives. </w:t>
      </w:r>
      <w:r w:rsidR="007F0A9A" w:rsidRPr="00200234">
        <w:fldChar w:fldCharType="begin"/>
      </w:r>
      <w:r w:rsidR="007F0A9A" w:rsidRPr="00200234">
        <w:instrText xml:space="preserve"> REF _Ref65672928 \h </w:instrText>
      </w:r>
      <w:r w:rsidR="007F0A9A" w:rsidRPr="00200234">
        <w:fldChar w:fldCharType="separate"/>
      </w:r>
      <w:r w:rsidR="00422361" w:rsidRPr="00200234">
        <w:t xml:space="preserve">Figure </w:t>
      </w:r>
      <w:r w:rsidR="00422361">
        <w:rPr>
          <w:noProof/>
        </w:rPr>
        <w:t>66</w:t>
      </w:r>
      <w:r w:rsidR="007F0A9A" w:rsidRPr="00200234">
        <w:fldChar w:fldCharType="end"/>
      </w:r>
      <w:r w:rsidRPr="00200234">
        <w:t xml:space="preserve"> presents the number of people prescribed suboxone from 2008 to 2019. In 2018, 17.7 percent of clients were prescribed suboxone. In 2019, 20 percent of clients were prescribed suboxone.</w:t>
      </w:r>
    </w:p>
    <w:p w14:paraId="7AB9162A" w14:textId="77777777" w:rsidR="00C20CA6" w:rsidRPr="00200234" w:rsidRDefault="00C20CA6" w:rsidP="00C20CA6"/>
    <w:p w14:paraId="24552BC9" w14:textId="6982B1A8" w:rsidR="008361C5" w:rsidRPr="00200234" w:rsidRDefault="008361C5" w:rsidP="008361C5">
      <w:pPr>
        <w:pStyle w:val="Figure"/>
      </w:pPr>
      <w:bookmarkStart w:id="355" w:name="_Ref65672928"/>
      <w:bookmarkStart w:id="356" w:name="_Toc63764801"/>
      <w:bookmarkStart w:id="357" w:name="_Toc66716248"/>
      <w:r w:rsidRPr="00200234">
        <w:t xml:space="preserve">Figure </w:t>
      </w:r>
      <w:fldSimple w:instr=" SEQ Figure \* ARABIC ">
        <w:r w:rsidR="00422361">
          <w:rPr>
            <w:noProof/>
          </w:rPr>
          <w:t>66</w:t>
        </w:r>
      </w:fldSimple>
      <w:bookmarkEnd w:id="355"/>
      <w:r w:rsidRPr="00200234">
        <w:t>: Number of people prescribed suboxone, 2008</w:t>
      </w:r>
      <w:r w:rsidR="00912EAD" w:rsidRPr="00200234">
        <w:t>–</w:t>
      </w:r>
      <w:r w:rsidRPr="00200234">
        <w:t>2019</w:t>
      </w:r>
      <w:bookmarkEnd w:id="356"/>
      <w:bookmarkEnd w:id="357"/>
    </w:p>
    <w:p w14:paraId="727D7743" w14:textId="77777777" w:rsidR="008361C5" w:rsidRPr="00200234" w:rsidRDefault="008361C5" w:rsidP="00C20CA6">
      <w:pPr>
        <w:keepNext/>
        <w:rPr>
          <w:rFonts w:cs="Segoe UI"/>
        </w:rPr>
      </w:pPr>
      <w:r w:rsidRPr="00200234">
        <w:rPr>
          <w:noProof/>
        </w:rPr>
        <w:drawing>
          <wp:inline distT="0" distB="0" distL="0" distR="0" wp14:anchorId="5C3AC1A0" wp14:editId="07BDA752">
            <wp:extent cx="5040000" cy="3086100"/>
            <wp:effectExtent l="0" t="0" r="8255" b="0"/>
            <wp:docPr id="230" name="Chart 230" descr="This line graph shows that the number of people prescribed suboxone has increased from near zero in 2008 to just under 1100 in 2019.">
              <a:extLst xmlns:a="http://schemas.openxmlformats.org/drawingml/2006/main">
                <a:ext uri="{FF2B5EF4-FFF2-40B4-BE49-F238E27FC236}">
                  <a16:creationId xmlns:a16="http://schemas.microsoft.com/office/drawing/2014/main" id="{00000000-0008-0000-0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2553CDA" w14:textId="77777777" w:rsidR="008361C5" w:rsidRPr="00200234" w:rsidRDefault="008361C5" w:rsidP="008361C5">
      <w:pPr>
        <w:pStyle w:val="Note"/>
      </w:pPr>
      <w:r w:rsidRPr="00200234">
        <w:t>Source: Data provided by OST services in July to December six-monthly reports.</w:t>
      </w:r>
    </w:p>
    <w:p w14:paraId="10EFAA91" w14:textId="77777777" w:rsidR="008361C5" w:rsidRPr="00200234" w:rsidRDefault="008361C5" w:rsidP="00505348">
      <w:pPr>
        <w:pStyle w:val="Heading3"/>
      </w:pPr>
      <w:bookmarkStart w:id="358" w:name="_Toc65141655"/>
      <w:r w:rsidRPr="00200234">
        <w:lastRenderedPageBreak/>
        <w:t>The ageing population of OST clients</w:t>
      </w:r>
      <w:bookmarkEnd w:id="358"/>
    </w:p>
    <w:p w14:paraId="556F41AF" w14:textId="6D18EB3C" w:rsidR="008361C5" w:rsidRPr="00200234" w:rsidRDefault="008361C5" w:rsidP="00DB1FB1">
      <w:pPr>
        <w:keepLines/>
      </w:pPr>
      <w:r w:rsidRPr="00200234">
        <w:t>OST clients are an ageing population</w:t>
      </w:r>
      <w:r w:rsidR="00EA1390">
        <w:t>.</w:t>
      </w:r>
      <w:r w:rsidRPr="00200234">
        <w:t xml:space="preserve"> </w:t>
      </w:r>
      <w:r w:rsidR="007F0A9A" w:rsidRPr="00200234">
        <w:fldChar w:fldCharType="begin"/>
      </w:r>
      <w:r w:rsidR="007F0A9A" w:rsidRPr="00200234">
        <w:instrText xml:space="preserve"> REF _Ref65672935 \h </w:instrText>
      </w:r>
      <w:r w:rsidR="007F0A9A" w:rsidRPr="00200234">
        <w:fldChar w:fldCharType="separate"/>
      </w:r>
      <w:r w:rsidR="00422361" w:rsidRPr="00200234">
        <w:t xml:space="preserve">Figure </w:t>
      </w:r>
      <w:r w:rsidR="00422361">
        <w:rPr>
          <w:noProof/>
        </w:rPr>
        <w:t>67</w:t>
      </w:r>
      <w:r w:rsidR="007F0A9A" w:rsidRPr="00200234">
        <w:fldChar w:fldCharType="end"/>
      </w:r>
      <w:r w:rsidRPr="00200234">
        <w:t xml:space="preserve"> shows how clients in older groups have been increasing in number from 2008 to 2019 to the point that those over 45 years of age are now the most likely to be receiving treatment. In 2019, 63.3 percent of clients were over 45 years old, and only one service had less than half of its clients over 45 years old. Treating an ageing population also brings with it more health complications.</w:t>
      </w:r>
    </w:p>
    <w:p w14:paraId="2837BB94" w14:textId="77777777" w:rsidR="008361C5" w:rsidRPr="00200234" w:rsidRDefault="008361C5" w:rsidP="00C20CA6"/>
    <w:p w14:paraId="7D23F0E8" w14:textId="3FCE6FF2" w:rsidR="008361C5" w:rsidRPr="00200234" w:rsidRDefault="008361C5" w:rsidP="008361C5">
      <w:pPr>
        <w:pStyle w:val="Figure"/>
      </w:pPr>
      <w:bookmarkStart w:id="359" w:name="_Ref65672935"/>
      <w:bookmarkStart w:id="360" w:name="_Toc63764802"/>
      <w:bookmarkStart w:id="361" w:name="_Toc66716249"/>
      <w:r w:rsidRPr="00200234">
        <w:t xml:space="preserve">Figure </w:t>
      </w:r>
      <w:fldSimple w:instr=" SEQ Figure \* ARABIC ">
        <w:r w:rsidR="00422361">
          <w:rPr>
            <w:noProof/>
          </w:rPr>
          <w:t>67</w:t>
        </w:r>
      </w:fldSimple>
      <w:bookmarkEnd w:id="359"/>
      <w:r w:rsidRPr="00200234">
        <w:t>: Number of opioid substitution treatment clients, by age</w:t>
      </w:r>
      <w:r w:rsidR="0061351C">
        <w:t xml:space="preserve"> </w:t>
      </w:r>
      <w:r w:rsidRPr="00200234">
        <w:t>group, 2008–2019</w:t>
      </w:r>
      <w:bookmarkEnd w:id="360"/>
      <w:bookmarkEnd w:id="361"/>
    </w:p>
    <w:p w14:paraId="66DDF3CF" w14:textId="77777777" w:rsidR="008361C5" w:rsidRPr="00200234" w:rsidRDefault="008361C5" w:rsidP="00C20CA6">
      <w:pPr>
        <w:keepNext/>
        <w:rPr>
          <w:rFonts w:cs="Segoe UI"/>
        </w:rPr>
      </w:pPr>
      <w:r w:rsidRPr="00200234">
        <w:rPr>
          <w:noProof/>
        </w:rPr>
        <w:drawing>
          <wp:inline distT="0" distB="0" distL="0" distR="0" wp14:anchorId="3CE9D2B5" wp14:editId="1C14F7B7">
            <wp:extent cx="5040000" cy="2781300"/>
            <wp:effectExtent l="0" t="0" r="8255" b="0"/>
            <wp:docPr id="235" name="Chart 235" descr="This line graph shows that in 2008 there were about 2500 clients aged 30-44, decreasing to about 1500 in 2019. The number of clients aged 45-59 has increased from about 1600 in 2008 to just under 3000 in 2019. The number of clients aged 19-29 has remained relatively steady around 400 throughout this time frame. The number of clients over 60 has increased from near zero in 2008 to about 750 in 2019.">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BDF2C08" w14:textId="77777777" w:rsidR="008361C5" w:rsidRPr="00200234" w:rsidRDefault="008361C5" w:rsidP="008361C5">
      <w:pPr>
        <w:pStyle w:val="Note"/>
      </w:pPr>
      <w:r w:rsidRPr="00200234">
        <w:t>Source: Data provided by OST services in July to December six-monthly reports.</w:t>
      </w:r>
    </w:p>
    <w:p w14:paraId="5095E421" w14:textId="77777777" w:rsidR="008361C5" w:rsidRPr="00200234" w:rsidRDefault="008361C5" w:rsidP="00505348">
      <w:pPr>
        <w:pStyle w:val="Heading3"/>
      </w:pPr>
      <w:bookmarkStart w:id="362" w:name="_Toc65141656"/>
      <w:r w:rsidRPr="00200234">
        <w:t>Exit from OST</w:t>
      </w:r>
      <w:bookmarkEnd w:id="362"/>
    </w:p>
    <w:p w14:paraId="215D99D6" w14:textId="052A0DB7" w:rsidR="008361C5" w:rsidRPr="00200234" w:rsidRDefault="009A4134" w:rsidP="00DC3196">
      <w:r w:rsidRPr="009A4134">
        <w:t>In summary, i</w:t>
      </w:r>
      <w:r w:rsidR="008361C5" w:rsidRPr="00200234">
        <w:t>n 2018:</w:t>
      </w:r>
    </w:p>
    <w:p w14:paraId="1EE36409" w14:textId="46EBE3C5" w:rsidR="008361C5" w:rsidRPr="00ED4FA1" w:rsidRDefault="008361C5" w:rsidP="00DC3196">
      <w:pPr>
        <w:pStyle w:val="Bullet"/>
        <w:rPr>
          <w:szCs w:val="21"/>
        </w:rPr>
      </w:pPr>
      <w:r w:rsidRPr="00ED4FA1">
        <w:rPr>
          <w:szCs w:val="21"/>
        </w:rPr>
        <w:t>403 people voluntarily withdrew from OST, which accounted for 90 percent of all people who exited from OST that year. Seven withdrawals (2 percent of all withdrawals) were involuntary. Involuntary withdrawals are the result of behavioural risks that jeopardise the safety of the client or others.</w:t>
      </w:r>
    </w:p>
    <w:p w14:paraId="14817714" w14:textId="77777777" w:rsidR="008361C5" w:rsidRPr="00ED4FA1" w:rsidRDefault="008361C5" w:rsidP="00DC3196">
      <w:pPr>
        <w:pStyle w:val="Bullet"/>
        <w:rPr>
          <w:szCs w:val="21"/>
        </w:rPr>
      </w:pPr>
      <w:r w:rsidRPr="00ED4FA1">
        <w:rPr>
          <w:szCs w:val="21"/>
        </w:rPr>
        <w:t>43 people receiving OST died. A small proportion of these people died of a suspected overdose. When a client dies of a suspected overdose, the Ministry requires services to conduct an incident review and report it to the Medical Officer of Health. The remaining deaths had a range of other causes, such as cancer and cardiovascular disease.</w:t>
      </w:r>
    </w:p>
    <w:p w14:paraId="31947964" w14:textId="77777777" w:rsidR="00DC3196" w:rsidRPr="00200234" w:rsidRDefault="00DC3196" w:rsidP="00DC3196"/>
    <w:p w14:paraId="45C1EA85" w14:textId="7F22964B" w:rsidR="008361C5" w:rsidRPr="00200234" w:rsidRDefault="008361C5" w:rsidP="00DC3196">
      <w:r w:rsidRPr="00200234">
        <w:t>In 2019:</w:t>
      </w:r>
    </w:p>
    <w:p w14:paraId="3B4EC942" w14:textId="395CD5CF" w:rsidR="008361C5" w:rsidRPr="00ED4FA1" w:rsidRDefault="008361C5" w:rsidP="00DC3196">
      <w:pPr>
        <w:pStyle w:val="Bullet"/>
        <w:rPr>
          <w:szCs w:val="21"/>
        </w:rPr>
      </w:pPr>
      <w:r w:rsidRPr="00ED4FA1">
        <w:rPr>
          <w:szCs w:val="21"/>
        </w:rPr>
        <w:t xml:space="preserve">448 people voluntarily withdrew from OST, which accounted for 89 percent of all people who exited from OST that year. </w:t>
      </w:r>
      <w:r w:rsidR="004C38E8" w:rsidRPr="00ED4FA1">
        <w:rPr>
          <w:szCs w:val="21"/>
        </w:rPr>
        <w:t xml:space="preserve">Thirteen </w:t>
      </w:r>
      <w:r w:rsidRPr="00ED4FA1">
        <w:rPr>
          <w:szCs w:val="21"/>
        </w:rPr>
        <w:t>withdrawals (2 percent of all withdrawals) were involuntary. Involuntary withdrawals are the result of behavioural risks that jeopardise the safety of the client or others.</w:t>
      </w:r>
    </w:p>
    <w:p w14:paraId="027BD799" w14:textId="7E9D5890" w:rsidR="008361C5" w:rsidRPr="00ED4FA1" w:rsidRDefault="008361C5" w:rsidP="008361C5">
      <w:pPr>
        <w:pStyle w:val="Bullet"/>
        <w:rPr>
          <w:szCs w:val="21"/>
        </w:rPr>
      </w:pPr>
      <w:r w:rsidRPr="00ED4FA1">
        <w:rPr>
          <w:szCs w:val="21"/>
        </w:rPr>
        <w:t>44 people receiving OST died</w:t>
      </w:r>
      <w:r w:rsidR="00E0266E">
        <w:rPr>
          <w:szCs w:val="21"/>
        </w:rPr>
        <w:t>.</w:t>
      </w:r>
      <w:r w:rsidRPr="00ED4FA1">
        <w:rPr>
          <w:szCs w:val="21"/>
        </w:rPr>
        <w:t xml:space="preserve"> A small proportion of these people died of a suspected overdose. The remaining deaths had a range of other natural causes. </w:t>
      </w:r>
      <w:r w:rsidR="007F0A9A" w:rsidRPr="00ED4FA1">
        <w:rPr>
          <w:szCs w:val="21"/>
        </w:rPr>
        <w:lastRenderedPageBreak/>
        <w:fldChar w:fldCharType="begin"/>
      </w:r>
      <w:r w:rsidR="007F0A9A" w:rsidRPr="00ED4FA1">
        <w:rPr>
          <w:szCs w:val="21"/>
        </w:rPr>
        <w:instrText xml:space="preserve"> REF _Ref65672943 \h </w:instrText>
      </w:r>
      <w:r w:rsidR="00ED4FA1">
        <w:rPr>
          <w:szCs w:val="21"/>
        </w:rPr>
        <w:instrText xml:space="preserve"> \* MERGEFORMAT </w:instrText>
      </w:r>
      <w:r w:rsidR="007F0A9A" w:rsidRPr="00ED4FA1">
        <w:rPr>
          <w:szCs w:val="21"/>
        </w:rPr>
      </w:r>
      <w:r w:rsidR="007F0A9A" w:rsidRPr="00ED4FA1">
        <w:rPr>
          <w:szCs w:val="21"/>
        </w:rPr>
        <w:fldChar w:fldCharType="separate"/>
      </w:r>
      <w:r w:rsidR="00422361" w:rsidRPr="00422361">
        <w:rPr>
          <w:szCs w:val="21"/>
        </w:rPr>
        <w:t xml:space="preserve">Figure </w:t>
      </w:r>
      <w:r w:rsidR="00422361" w:rsidRPr="00422361">
        <w:rPr>
          <w:noProof/>
          <w:szCs w:val="21"/>
        </w:rPr>
        <w:t>68</w:t>
      </w:r>
      <w:r w:rsidR="007F0A9A" w:rsidRPr="00ED4FA1">
        <w:rPr>
          <w:szCs w:val="21"/>
        </w:rPr>
        <w:fldChar w:fldCharType="end"/>
      </w:r>
      <w:r w:rsidRPr="00ED4FA1">
        <w:rPr>
          <w:szCs w:val="21"/>
        </w:rPr>
        <w:t xml:space="preserve"> gives an overview of the reasons for withdrawal (voluntary, involuntary or death) over time, from 2008 to 2019.</w:t>
      </w:r>
    </w:p>
    <w:p w14:paraId="640AABF2" w14:textId="77777777" w:rsidR="008361C5" w:rsidRPr="00200234" w:rsidRDefault="008361C5" w:rsidP="008361C5"/>
    <w:p w14:paraId="087358EF" w14:textId="10B5954E" w:rsidR="008361C5" w:rsidRPr="00200234" w:rsidRDefault="008361C5" w:rsidP="008361C5">
      <w:pPr>
        <w:pStyle w:val="Figure"/>
      </w:pPr>
      <w:bookmarkStart w:id="363" w:name="_Ref65672943"/>
      <w:bookmarkStart w:id="364" w:name="_Toc63764803"/>
      <w:bookmarkStart w:id="365" w:name="_Toc66716250"/>
      <w:r w:rsidRPr="00200234">
        <w:t xml:space="preserve">Figure </w:t>
      </w:r>
      <w:fldSimple w:instr=" SEQ Figure \* ARABIC ">
        <w:r w:rsidR="00422361">
          <w:rPr>
            <w:noProof/>
          </w:rPr>
          <w:t>68</w:t>
        </w:r>
      </w:fldSimple>
      <w:bookmarkEnd w:id="363"/>
      <w:r w:rsidRPr="00200234">
        <w:t>: Percentage of withdrawals from OST programmes, by reason (voluntary, involuntary or death), 2008–2019</w:t>
      </w:r>
      <w:bookmarkEnd w:id="364"/>
      <w:bookmarkEnd w:id="365"/>
    </w:p>
    <w:p w14:paraId="4C277029" w14:textId="77777777" w:rsidR="008361C5" w:rsidRPr="00200234" w:rsidRDefault="008361C5" w:rsidP="00A36A73">
      <w:pPr>
        <w:keepNext/>
      </w:pPr>
      <w:r w:rsidRPr="00200234">
        <w:rPr>
          <w:noProof/>
        </w:rPr>
        <w:drawing>
          <wp:inline distT="0" distB="0" distL="0" distR="0" wp14:anchorId="088CB7EA" wp14:editId="6D087F00">
            <wp:extent cx="5040000" cy="3190875"/>
            <wp:effectExtent l="0" t="0" r="8255" b="0"/>
            <wp:docPr id="237" name="Chart 237" descr="This bar graph shows most people withdraw voluntarily. This has increased from a low of 67% in 2010 to a high of 89% in 2018 and 2019. In 2008 and 2009, client deaths were the next largest group, accounting for 14% and 20% of withdrawals respectively. Between 2010 and 2012 involuntary withdrawals were the next largest group, at around 20%. After 2012, the number of involuntary withdrawals was never higher than 7% and client deaths never accounted for more than 15% of the total, with the exception of 2016 when they were at 17%.">
              <a:extLst xmlns:a="http://schemas.openxmlformats.org/drawingml/2006/main">
                <a:ext uri="{FF2B5EF4-FFF2-40B4-BE49-F238E27FC236}">
                  <a16:creationId xmlns:a16="http://schemas.microsoft.com/office/drawing/2014/main" id="{00000000-0008-0000-0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006BC99" w14:textId="77777777" w:rsidR="008361C5" w:rsidRPr="00200234" w:rsidRDefault="008361C5" w:rsidP="008361C5">
      <w:pPr>
        <w:pStyle w:val="Note"/>
        <w:rPr>
          <w:rFonts w:cs="Segoe UI"/>
        </w:rPr>
      </w:pPr>
      <w:r w:rsidRPr="00200234">
        <w:t>Source: Data provided by OST services in six-monthly reports</w:t>
      </w:r>
    </w:p>
    <w:p w14:paraId="253B1042" w14:textId="77777777" w:rsidR="008361C5" w:rsidRPr="00200234" w:rsidRDefault="008361C5" w:rsidP="00A36A73"/>
    <w:p w14:paraId="65EB7AC8" w14:textId="41E6B7DF" w:rsidR="008361C5" w:rsidRPr="00200234" w:rsidRDefault="008361C5" w:rsidP="008361C5">
      <w:pPr>
        <w:pStyle w:val="Heading1"/>
      </w:pPr>
      <w:bookmarkStart w:id="366" w:name="_Toc65141657"/>
      <w:bookmarkStart w:id="367" w:name="_Toc69307726"/>
      <w:r w:rsidRPr="00200234">
        <w:lastRenderedPageBreak/>
        <w:t xml:space="preserve">Appendix: Additional </w:t>
      </w:r>
      <w:r w:rsidR="006F796A">
        <w:t>s</w:t>
      </w:r>
      <w:r w:rsidRPr="00200234">
        <w:t>tatistics</w:t>
      </w:r>
      <w:bookmarkEnd w:id="366"/>
      <w:bookmarkEnd w:id="367"/>
    </w:p>
    <w:p w14:paraId="3D8C22BE" w14:textId="77777777" w:rsidR="008361C5" w:rsidRPr="00200234" w:rsidRDefault="008361C5" w:rsidP="00505348">
      <w:pPr>
        <w:pStyle w:val="Heading2"/>
      </w:pPr>
      <w:bookmarkStart w:id="368" w:name="_Toc65141658"/>
      <w:bookmarkStart w:id="369" w:name="_Toc69307727"/>
      <w:r w:rsidRPr="00200234">
        <w:t>Ministry of Justice</w:t>
      </w:r>
      <w:bookmarkEnd w:id="368"/>
      <w:bookmarkEnd w:id="369"/>
    </w:p>
    <w:p w14:paraId="441DB52E" w14:textId="784EFDC9" w:rsidR="008361C5" w:rsidRPr="00200234" w:rsidRDefault="008361C5" w:rsidP="00A36A73">
      <w:r w:rsidRPr="00200234">
        <w:t>Table A1 presents data on applications for a compulsory treatment order from 2004 to 2019. Table A2 shows the types of orders granted over the same period.</w:t>
      </w:r>
    </w:p>
    <w:p w14:paraId="096AF50B" w14:textId="77777777" w:rsidR="00A36A73" w:rsidRPr="00200234" w:rsidRDefault="00A36A73" w:rsidP="00A36A73"/>
    <w:p w14:paraId="42BC7D9A" w14:textId="2EE74E35" w:rsidR="008361C5" w:rsidRPr="00200234" w:rsidRDefault="008361C5" w:rsidP="000D7A1E">
      <w:pPr>
        <w:pStyle w:val="Table"/>
      </w:pPr>
      <w:bookmarkStart w:id="370" w:name="_Toc63764687"/>
      <w:bookmarkStart w:id="371" w:name="_Toc69306794"/>
      <w:r w:rsidRPr="00200234">
        <w:t>Table A</w:t>
      </w:r>
      <w:fldSimple w:instr=" SEQ Table_A \* ARABIC ">
        <w:r w:rsidR="00422361">
          <w:rPr>
            <w:noProof/>
          </w:rPr>
          <w:t>1</w:t>
        </w:r>
      </w:fldSimple>
      <w:r w:rsidRPr="00200234">
        <w:t>: Applications for compulsory treatment orders or extensions, 2004</w:t>
      </w:r>
      <w:r w:rsidR="00912EAD" w:rsidRPr="00200234">
        <w:t>–</w:t>
      </w:r>
      <w:r w:rsidRPr="00200234">
        <w:t>2019</w:t>
      </w:r>
      <w:bookmarkEnd w:id="370"/>
      <w:bookmarkEnd w:id="371"/>
    </w:p>
    <w:tbl>
      <w:tblPr>
        <w:tblW w:w="5000" w:type="pct"/>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57" w:type="dxa"/>
          <w:right w:w="57" w:type="dxa"/>
        </w:tblCellMar>
        <w:tblLook w:val="01E0" w:firstRow="1" w:lastRow="1" w:firstColumn="1" w:lastColumn="1" w:noHBand="0" w:noVBand="0"/>
      </w:tblPr>
      <w:tblGrid>
        <w:gridCol w:w="708"/>
        <w:gridCol w:w="1474"/>
        <w:gridCol w:w="1474"/>
        <w:gridCol w:w="1474"/>
        <w:gridCol w:w="1474"/>
        <w:gridCol w:w="1475"/>
      </w:tblGrid>
      <w:tr w:rsidR="008361C5" w:rsidRPr="00200234" w14:paraId="3AAB96F9" w14:textId="77777777" w:rsidTr="00A36A73">
        <w:trPr>
          <w:cantSplit/>
        </w:trPr>
        <w:tc>
          <w:tcPr>
            <w:tcW w:w="439" w:type="pct"/>
            <w:tcBorders>
              <w:top w:val="nil"/>
              <w:bottom w:val="nil"/>
            </w:tcBorders>
            <w:shd w:val="clear" w:color="auto" w:fill="D9D9D9" w:themeFill="background1" w:themeFillShade="D9"/>
          </w:tcPr>
          <w:p w14:paraId="542B5942" w14:textId="77777777" w:rsidR="008361C5" w:rsidRPr="00200234" w:rsidRDefault="008361C5" w:rsidP="008361C5">
            <w:pPr>
              <w:pStyle w:val="TableText"/>
              <w:keepNext/>
              <w:rPr>
                <w:rFonts w:cs="Segoe UI"/>
                <w:b/>
              </w:rPr>
            </w:pPr>
            <w:r w:rsidRPr="00200234">
              <w:rPr>
                <w:rFonts w:cs="Segoe UI"/>
                <w:b/>
              </w:rPr>
              <w:t>Year</w:t>
            </w:r>
          </w:p>
        </w:tc>
        <w:tc>
          <w:tcPr>
            <w:tcW w:w="912" w:type="pct"/>
            <w:tcBorders>
              <w:top w:val="nil"/>
              <w:bottom w:val="nil"/>
            </w:tcBorders>
            <w:shd w:val="clear" w:color="auto" w:fill="D9D9D9" w:themeFill="background1" w:themeFillShade="D9"/>
          </w:tcPr>
          <w:p w14:paraId="1E0C0A6D" w14:textId="77777777" w:rsidR="008361C5" w:rsidRPr="00200234" w:rsidRDefault="008361C5" w:rsidP="008361C5">
            <w:pPr>
              <w:pStyle w:val="TableText"/>
              <w:keepNext/>
              <w:jc w:val="center"/>
              <w:rPr>
                <w:rFonts w:cs="Segoe UI"/>
                <w:b/>
              </w:rPr>
            </w:pPr>
            <w:r w:rsidRPr="00200234">
              <w:rPr>
                <w:rFonts w:cs="Segoe UI"/>
                <w:b/>
              </w:rPr>
              <w:t>Number of applications for a CTO, or extension to a CTO</w:t>
            </w:r>
          </w:p>
        </w:tc>
        <w:tc>
          <w:tcPr>
            <w:tcW w:w="912" w:type="pct"/>
            <w:tcBorders>
              <w:top w:val="nil"/>
              <w:bottom w:val="nil"/>
            </w:tcBorders>
            <w:shd w:val="clear" w:color="auto" w:fill="D9D9D9" w:themeFill="background1" w:themeFillShade="D9"/>
          </w:tcPr>
          <w:p w14:paraId="4EF8BC15" w14:textId="77777777" w:rsidR="008361C5" w:rsidRPr="00200234" w:rsidRDefault="008361C5" w:rsidP="008361C5">
            <w:pPr>
              <w:pStyle w:val="TableText"/>
              <w:keepNext/>
              <w:jc w:val="center"/>
              <w:rPr>
                <w:rFonts w:cs="Segoe UI"/>
                <w:b/>
              </w:rPr>
            </w:pPr>
            <w:r w:rsidRPr="00200234">
              <w:rPr>
                <w:rFonts w:cs="Segoe UI"/>
                <w:b/>
              </w:rPr>
              <w:t>Number of applications granted or granted with consent</w:t>
            </w:r>
          </w:p>
        </w:tc>
        <w:tc>
          <w:tcPr>
            <w:tcW w:w="912" w:type="pct"/>
            <w:tcBorders>
              <w:top w:val="nil"/>
              <w:bottom w:val="nil"/>
            </w:tcBorders>
            <w:shd w:val="clear" w:color="auto" w:fill="D9D9D9" w:themeFill="background1" w:themeFillShade="D9"/>
          </w:tcPr>
          <w:p w14:paraId="37544C38" w14:textId="77777777" w:rsidR="008361C5" w:rsidRPr="00200234" w:rsidRDefault="008361C5" w:rsidP="008361C5">
            <w:pPr>
              <w:pStyle w:val="TableText"/>
              <w:keepNext/>
              <w:jc w:val="center"/>
              <w:rPr>
                <w:rFonts w:cs="Segoe UI"/>
                <w:b/>
              </w:rPr>
            </w:pPr>
            <w:r w:rsidRPr="00200234">
              <w:rPr>
                <w:rFonts w:cs="Segoe UI"/>
                <w:b/>
              </w:rPr>
              <w:t>Number of applications dismissed or struck out</w:t>
            </w:r>
          </w:p>
        </w:tc>
        <w:tc>
          <w:tcPr>
            <w:tcW w:w="912" w:type="pct"/>
            <w:tcBorders>
              <w:top w:val="nil"/>
              <w:bottom w:val="nil"/>
            </w:tcBorders>
            <w:shd w:val="clear" w:color="auto" w:fill="D9D9D9" w:themeFill="background1" w:themeFillShade="D9"/>
          </w:tcPr>
          <w:p w14:paraId="37FCCAF9" w14:textId="77777777" w:rsidR="008361C5" w:rsidRPr="00200234" w:rsidRDefault="008361C5" w:rsidP="008361C5">
            <w:pPr>
              <w:pStyle w:val="TableText"/>
              <w:keepNext/>
              <w:jc w:val="center"/>
              <w:rPr>
                <w:rFonts w:cs="Segoe UI"/>
                <w:b/>
              </w:rPr>
            </w:pPr>
            <w:r w:rsidRPr="00200234">
              <w:rPr>
                <w:rFonts w:cs="Segoe UI"/>
                <w:b/>
              </w:rPr>
              <w:t>Number of applications withdrawn, lapsed or discontinued</w:t>
            </w:r>
          </w:p>
        </w:tc>
        <w:tc>
          <w:tcPr>
            <w:tcW w:w="913" w:type="pct"/>
            <w:tcBorders>
              <w:top w:val="nil"/>
              <w:bottom w:val="nil"/>
            </w:tcBorders>
            <w:shd w:val="clear" w:color="auto" w:fill="D9D9D9" w:themeFill="background1" w:themeFillShade="D9"/>
          </w:tcPr>
          <w:p w14:paraId="780388FF" w14:textId="77777777" w:rsidR="008361C5" w:rsidRPr="00200234" w:rsidRDefault="008361C5" w:rsidP="008361C5">
            <w:pPr>
              <w:pStyle w:val="TableText"/>
              <w:keepNext/>
              <w:jc w:val="center"/>
              <w:rPr>
                <w:rFonts w:cs="Segoe UI"/>
                <w:b/>
              </w:rPr>
            </w:pPr>
            <w:r w:rsidRPr="00200234">
              <w:rPr>
                <w:rFonts w:cs="Segoe UI"/>
                <w:b/>
              </w:rPr>
              <w:t>Number of applications transferred to the High Court</w:t>
            </w:r>
          </w:p>
        </w:tc>
      </w:tr>
      <w:tr w:rsidR="008361C5" w:rsidRPr="00BA51FF" w14:paraId="2744216D" w14:textId="77777777" w:rsidTr="00A36A73">
        <w:trPr>
          <w:cantSplit/>
        </w:trPr>
        <w:tc>
          <w:tcPr>
            <w:tcW w:w="439" w:type="pct"/>
            <w:tcBorders>
              <w:top w:val="nil"/>
            </w:tcBorders>
          </w:tcPr>
          <w:p w14:paraId="63CB9D81" w14:textId="77777777" w:rsidR="008361C5" w:rsidRPr="00BA51FF" w:rsidRDefault="008361C5" w:rsidP="008361C5">
            <w:pPr>
              <w:pStyle w:val="TableText"/>
              <w:rPr>
                <w:rFonts w:cs="Segoe UI"/>
              </w:rPr>
            </w:pPr>
            <w:r w:rsidRPr="00BA51FF">
              <w:rPr>
                <w:rFonts w:cs="Segoe UI"/>
                <w:w w:val="105"/>
              </w:rPr>
              <w:t>2004</w:t>
            </w:r>
          </w:p>
        </w:tc>
        <w:tc>
          <w:tcPr>
            <w:tcW w:w="912" w:type="pct"/>
            <w:tcBorders>
              <w:top w:val="nil"/>
            </w:tcBorders>
          </w:tcPr>
          <w:p w14:paraId="15664FE8" w14:textId="77777777" w:rsidR="008361C5" w:rsidRPr="00BA51FF" w:rsidRDefault="008361C5" w:rsidP="008361C5">
            <w:pPr>
              <w:pStyle w:val="TableText"/>
              <w:tabs>
                <w:tab w:val="decimal" w:pos="553"/>
              </w:tabs>
              <w:jc w:val="center"/>
              <w:rPr>
                <w:rFonts w:cs="Segoe UI"/>
              </w:rPr>
            </w:pPr>
            <w:r w:rsidRPr="00BA51FF">
              <w:rPr>
                <w:rFonts w:cs="Segoe UI"/>
              </w:rPr>
              <w:t>4,443</w:t>
            </w:r>
          </w:p>
        </w:tc>
        <w:tc>
          <w:tcPr>
            <w:tcW w:w="912" w:type="pct"/>
            <w:tcBorders>
              <w:top w:val="nil"/>
            </w:tcBorders>
          </w:tcPr>
          <w:p w14:paraId="11143C4B" w14:textId="77777777" w:rsidR="008361C5" w:rsidRPr="00BA51FF" w:rsidRDefault="008361C5" w:rsidP="008361C5">
            <w:pPr>
              <w:pStyle w:val="TableText"/>
              <w:jc w:val="center"/>
              <w:rPr>
                <w:rFonts w:cs="Segoe UI"/>
              </w:rPr>
            </w:pPr>
            <w:r w:rsidRPr="00BA51FF">
              <w:rPr>
                <w:rFonts w:cs="Segoe UI"/>
              </w:rPr>
              <w:t>3,863</w:t>
            </w:r>
          </w:p>
        </w:tc>
        <w:tc>
          <w:tcPr>
            <w:tcW w:w="912" w:type="pct"/>
            <w:tcBorders>
              <w:top w:val="nil"/>
            </w:tcBorders>
          </w:tcPr>
          <w:p w14:paraId="5059C7E3" w14:textId="77777777" w:rsidR="008361C5" w:rsidRPr="00BA51FF" w:rsidRDefault="008361C5" w:rsidP="008361C5">
            <w:pPr>
              <w:pStyle w:val="TableText"/>
              <w:tabs>
                <w:tab w:val="decimal" w:pos="907"/>
              </w:tabs>
              <w:rPr>
                <w:rFonts w:cs="Segoe UI"/>
              </w:rPr>
            </w:pPr>
            <w:r w:rsidRPr="00BA51FF">
              <w:rPr>
                <w:rFonts w:cs="Segoe UI"/>
              </w:rPr>
              <w:t>100</w:t>
            </w:r>
          </w:p>
        </w:tc>
        <w:tc>
          <w:tcPr>
            <w:tcW w:w="912" w:type="pct"/>
            <w:tcBorders>
              <w:top w:val="nil"/>
            </w:tcBorders>
          </w:tcPr>
          <w:p w14:paraId="1F56239D" w14:textId="77777777" w:rsidR="008361C5" w:rsidRPr="00BA51FF" w:rsidRDefault="008361C5" w:rsidP="008361C5">
            <w:pPr>
              <w:pStyle w:val="TableText"/>
              <w:jc w:val="center"/>
              <w:rPr>
                <w:rFonts w:cs="Segoe UI"/>
              </w:rPr>
            </w:pPr>
            <w:r w:rsidRPr="00BA51FF">
              <w:rPr>
                <w:rFonts w:cs="Segoe UI"/>
              </w:rPr>
              <w:t>460</w:t>
            </w:r>
          </w:p>
        </w:tc>
        <w:tc>
          <w:tcPr>
            <w:tcW w:w="913" w:type="pct"/>
            <w:tcBorders>
              <w:top w:val="nil"/>
            </w:tcBorders>
          </w:tcPr>
          <w:p w14:paraId="46A0F0D6" w14:textId="77777777" w:rsidR="008361C5" w:rsidRPr="00BA51FF" w:rsidRDefault="008361C5" w:rsidP="008361C5">
            <w:pPr>
              <w:pStyle w:val="TableText"/>
              <w:tabs>
                <w:tab w:val="decimal" w:pos="594"/>
              </w:tabs>
              <w:rPr>
                <w:rFonts w:cs="Segoe UI"/>
              </w:rPr>
            </w:pPr>
            <w:r w:rsidRPr="00BA51FF">
              <w:rPr>
                <w:rFonts w:cs="Segoe UI"/>
                <w:w w:val="102"/>
              </w:rPr>
              <w:t>0</w:t>
            </w:r>
          </w:p>
        </w:tc>
      </w:tr>
      <w:tr w:rsidR="008361C5" w:rsidRPr="00BA51FF" w14:paraId="23F0F300" w14:textId="77777777" w:rsidTr="00A36A73">
        <w:trPr>
          <w:cantSplit/>
        </w:trPr>
        <w:tc>
          <w:tcPr>
            <w:tcW w:w="439" w:type="pct"/>
          </w:tcPr>
          <w:p w14:paraId="7BC32AB6" w14:textId="77777777" w:rsidR="008361C5" w:rsidRPr="00BA51FF" w:rsidRDefault="008361C5" w:rsidP="008361C5">
            <w:pPr>
              <w:pStyle w:val="TableText"/>
              <w:rPr>
                <w:rFonts w:cs="Segoe UI"/>
              </w:rPr>
            </w:pPr>
            <w:r w:rsidRPr="00BA51FF">
              <w:rPr>
                <w:rFonts w:cs="Segoe UI"/>
                <w:w w:val="105"/>
              </w:rPr>
              <w:t>2005</w:t>
            </w:r>
          </w:p>
        </w:tc>
        <w:tc>
          <w:tcPr>
            <w:tcW w:w="912" w:type="pct"/>
          </w:tcPr>
          <w:p w14:paraId="094A7956" w14:textId="77777777" w:rsidR="008361C5" w:rsidRPr="00BA51FF" w:rsidRDefault="008361C5" w:rsidP="008361C5">
            <w:pPr>
              <w:pStyle w:val="TableText"/>
              <w:tabs>
                <w:tab w:val="decimal" w:pos="553"/>
              </w:tabs>
              <w:jc w:val="center"/>
              <w:rPr>
                <w:rFonts w:cs="Segoe UI"/>
              </w:rPr>
            </w:pPr>
            <w:r w:rsidRPr="00BA51FF">
              <w:rPr>
                <w:rFonts w:cs="Segoe UI"/>
              </w:rPr>
              <w:t>4,298</w:t>
            </w:r>
          </w:p>
        </w:tc>
        <w:tc>
          <w:tcPr>
            <w:tcW w:w="912" w:type="pct"/>
          </w:tcPr>
          <w:p w14:paraId="091D9D68" w14:textId="77777777" w:rsidR="008361C5" w:rsidRPr="00BA51FF" w:rsidRDefault="008361C5" w:rsidP="008361C5">
            <w:pPr>
              <w:pStyle w:val="TableText"/>
              <w:jc w:val="center"/>
              <w:rPr>
                <w:rFonts w:cs="Segoe UI"/>
              </w:rPr>
            </w:pPr>
            <w:r w:rsidRPr="00BA51FF">
              <w:rPr>
                <w:rFonts w:cs="Segoe UI"/>
              </w:rPr>
              <w:t>3,682</w:t>
            </w:r>
          </w:p>
        </w:tc>
        <w:tc>
          <w:tcPr>
            <w:tcW w:w="912" w:type="pct"/>
          </w:tcPr>
          <w:p w14:paraId="502C44FE" w14:textId="77777777" w:rsidR="008361C5" w:rsidRPr="00BA51FF" w:rsidRDefault="008361C5" w:rsidP="008361C5">
            <w:pPr>
              <w:pStyle w:val="TableText"/>
              <w:tabs>
                <w:tab w:val="decimal" w:pos="907"/>
              </w:tabs>
              <w:rPr>
                <w:rFonts w:cs="Segoe UI"/>
              </w:rPr>
            </w:pPr>
            <w:r w:rsidRPr="00BA51FF">
              <w:rPr>
                <w:rFonts w:cs="Segoe UI"/>
              </w:rPr>
              <w:t>100</w:t>
            </w:r>
          </w:p>
        </w:tc>
        <w:tc>
          <w:tcPr>
            <w:tcW w:w="912" w:type="pct"/>
          </w:tcPr>
          <w:p w14:paraId="4D5FB68A" w14:textId="77777777" w:rsidR="008361C5" w:rsidRPr="00BA51FF" w:rsidRDefault="008361C5" w:rsidP="008361C5">
            <w:pPr>
              <w:pStyle w:val="TableText"/>
              <w:jc w:val="center"/>
              <w:rPr>
                <w:rFonts w:cs="Segoe UI"/>
              </w:rPr>
            </w:pPr>
            <w:r w:rsidRPr="00BA51FF">
              <w:rPr>
                <w:rFonts w:cs="Segoe UI"/>
              </w:rPr>
              <w:t>520</w:t>
            </w:r>
          </w:p>
        </w:tc>
        <w:tc>
          <w:tcPr>
            <w:tcW w:w="913" w:type="pct"/>
          </w:tcPr>
          <w:p w14:paraId="6BEAA60B" w14:textId="77777777" w:rsidR="008361C5" w:rsidRPr="00BA51FF" w:rsidRDefault="008361C5" w:rsidP="008361C5">
            <w:pPr>
              <w:pStyle w:val="TableText"/>
              <w:tabs>
                <w:tab w:val="decimal" w:pos="594"/>
              </w:tabs>
              <w:rPr>
                <w:rFonts w:cs="Segoe UI"/>
              </w:rPr>
            </w:pPr>
            <w:r w:rsidRPr="00BA51FF">
              <w:rPr>
                <w:rFonts w:cs="Segoe UI"/>
                <w:w w:val="102"/>
              </w:rPr>
              <w:t>0</w:t>
            </w:r>
          </w:p>
        </w:tc>
      </w:tr>
      <w:tr w:rsidR="008361C5" w:rsidRPr="00BA51FF" w14:paraId="43EE7295" w14:textId="77777777" w:rsidTr="00A36A73">
        <w:trPr>
          <w:cantSplit/>
        </w:trPr>
        <w:tc>
          <w:tcPr>
            <w:tcW w:w="439" w:type="pct"/>
          </w:tcPr>
          <w:p w14:paraId="6DA71C57" w14:textId="77777777" w:rsidR="008361C5" w:rsidRPr="00BA51FF" w:rsidRDefault="008361C5" w:rsidP="008361C5">
            <w:pPr>
              <w:pStyle w:val="TableText"/>
              <w:rPr>
                <w:rFonts w:cs="Segoe UI"/>
              </w:rPr>
            </w:pPr>
            <w:r w:rsidRPr="00BA51FF">
              <w:rPr>
                <w:rFonts w:cs="Segoe UI"/>
                <w:w w:val="105"/>
              </w:rPr>
              <w:t>2006</w:t>
            </w:r>
          </w:p>
        </w:tc>
        <w:tc>
          <w:tcPr>
            <w:tcW w:w="912" w:type="pct"/>
          </w:tcPr>
          <w:p w14:paraId="3EF7318A" w14:textId="77777777" w:rsidR="008361C5" w:rsidRPr="00BA51FF" w:rsidRDefault="008361C5" w:rsidP="008361C5">
            <w:pPr>
              <w:pStyle w:val="TableText"/>
              <w:tabs>
                <w:tab w:val="decimal" w:pos="553"/>
              </w:tabs>
              <w:jc w:val="center"/>
              <w:rPr>
                <w:rFonts w:cs="Segoe UI"/>
              </w:rPr>
            </w:pPr>
            <w:r w:rsidRPr="00BA51FF">
              <w:rPr>
                <w:rFonts w:cs="Segoe UI"/>
              </w:rPr>
              <w:t>4,254</w:t>
            </w:r>
          </w:p>
        </w:tc>
        <w:tc>
          <w:tcPr>
            <w:tcW w:w="912" w:type="pct"/>
          </w:tcPr>
          <w:p w14:paraId="2C343F65" w14:textId="77777777" w:rsidR="008361C5" w:rsidRPr="00BA51FF" w:rsidRDefault="008361C5" w:rsidP="008361C5">
            <w:pPr>
              <w:pStyle w:val="TableText"/>
              <w:jc w:val="center"/>
              <w:rPr>
                <w:rFonts w:cs="Segoe UI"/>
              </w:rPr>
            </w:pPr>
            <w:r w:rsidRPr="00BA51FF">
              <w:rPr>
                <w:rFonts w:cs="Segoe UI"/>
              </w:rPr>
              <w:t>3,643</w:t>
            </w:r>
          </w:p>
        </w:tc>
        <w:tc>
          <w:tcPr>
            <w:tcW w:w="912" w:type="pct"/>
          </w:tcPr>
          <w:p w14:paraId="6B70CB5F" w14:textId="77777777" w:rsidR="008361C5" w:rsidRPr="00BA51FF" w:rsidRDefault="008361C5" w:rsidP="008361C5">
            <w:pPr>
              <w:pStyle w:val="TableText"/>
              <w:tabs>
                <w:tab w:val="decimal" w:pos="907"/>
              </w:tabs>
              <w:rPr>
                <w:rFonts w:cs="Segoe UI"/>
              </w:rPr>
            </w:pPr>
            <w:r w:rsidRPr="00BA51FF">
              <w:rPr>
                <w:rFonts w:cs="Segoe UI"/>
              </w:rPr>
              <w:t>109</w:t>
            </w:r>
          </w:p>
        </w:tc>
        <w:tc>
          <w:tcPr>
            <w:tcW w:w="912" w:type="pct"/>
          </w:tcPr>
          <w:p w14:paraId="6136F8DD" w14:textId="77777777" w:rsidR="008361C5" w:rsidRPr="00BA51FF" w:rsidRDefault="008361C5" w:rsidP="008361C5">
            <w:pPr>
              <w:pStyle w:val="TableText"/>
              <w:jc w:val="center"/>
              <w:rPr>
                <w:rFonts w:cs="Segoe UI"/>
              </w:rPr>
            </w:pPr>
            <w:r w:rsidRPr="00BA51FF">
              <w:rPr>
                <w:rFonts w:cs="Segoe UI"/>
              </w:rPr>
              <w:t>515</w:t>
            </w:r>
          </w:p>
        </w:tc>
        <w:tc>
          <w:tcPr>
            <w:tcW w:w="913" w:type="pct"/>
          </w:tcPr>
          <w:p w14:paraId="14F63225" w14:textId="77777777" w:rsidR="008361C5" w:rsidRPr="00BA51FF" w:rsidRDefault="008361C5" w:rsidP="008361C5">
            <w:pPr>
              <w:pStyle w:val="TableText"/>
              <w:tabs>
                <w:tab w:val="decimal" w:pos="594"/>
              </w:tabs>
              <w:rPr>
                <w:rFonts w:cs="Segoe UI"/>
              </w:rPr>
            </w:pPr>
            <w:r w:rsidRPr="00BA51FF">
              <w:rPr>
                <w:rFonts w:cs="Segoe UI"/>
                <w:w w:val="102"/>
              </w:rPr>
              <w:t>1</w:t>
            </w:r>
          </w:p>
        </w:tc>
      </w:tr>
      <w:tr w:rsidR="008361C5" w:rsidRPr="00BA51FF" w14:paraId="6A4850A2" w14:textId="77777777" w:rsidTr="00A36A73">
        <w:trPr>
          <w:cantSplit/>
        </w:trPr>
        <w:tc>
          <w:tcPr>
            <w:tcW w:w="439" w:type="pct"/>
          </w:tcPr>
          <w:p w14:paraId="2DAEA05D" w14:textId="77777777" w:rsidR="008361C5" w:rsidRPr="00BA51FF" w:rsidRDefault="008361C5" w:rsidP="008361C5">
            <w:pPr>
              <w:pStyle w:val="TableText"/>
              <w:rPr>
                <w:rFonts w:cs="Segoe UI"/>
              </w:rPr>
            </w:pPr>
            <w:r w:rsidRPr="00BA51FF">
              <w:rPr>
                <w:rFonts w:cs="Segoe UI"/>
                <w:w w:val="105"/>
              </w:rPr>
              <w:t>2007</w:t>
            </w:r>
          </w:p>
        </w:tc>
        <w:tc>
          <w:tcPr>
            <w:tcW w:w="912" w:type="pct"/>
          </w:tcPr>
          <w:p w14:paraId="1F4AC849" w14:textId="77777777" w:rsidR="008361C5" w:rsidRPr="00BA51FF" w:rsidRDefault="008361C5" w:rsidP="008361C5">
            <w:pPr>
              <w:pStyle w:val="TableText"/>
              <w:tabs>
                <w:tab w:val="decimal" w:pos="553"/>
              </w:tabs>
              <w:jc w:val="center"/>
              <w:rPr>
                <w:rFonts w:cs="Segoe UI"/>
              </w:rPr>
            </w:pPr>
            <w:r w:rsidRPr="00BA51FF">
              <w:rPr>
                <w:rFonts w:cs="Segoe UI"/>
              </w:rPr>
              <w:t>4,535</w:t>
            </w:r>
          </w:p>
        </w:tc>
        <w:tc>
          <w:tcPr>
            <w:tcW w:w="912" w:type="pct"/>
          </w:tcPr>
          <w:p w14:paraId="12F24A5A" w14:textId="77777777" w:rsidR="008361C5" w:rsidRPr="00BA51FF" w:rsidRDefault="008361C5" w:rsidP="008361C5">
            <w:pPr>
              <w:pStyle w:val="TableText"/>
              <w:jc w:val="center"/>
              <w:rPr>
                <w:rFonts w:cs="Segoe UI"/>
              </w:rPr>
            </w:pPr>
            <w:r w:rsidRPr="00BA51FF">
              <w:rPr>
                <w:rFonts w:cs="Segoe UI"/>
              </w:rPr>
              <w:t>3,916</w:t>
            </w:r>
          </w:p>
        </w:tc>
        <w:tc>
          <w:tcPr>
            <w:tcW w:w="912" w:type="pct"/>
          </w:tcPr>
          <w:p w14:paraId="741B0A27" w14:textId="77777777" w:rsidR="008361C5" w:rsidRPr="00BA51FF" w:rsidRDefault="008361C5" w:rsidP="008361C5">
            <w:pPr>
              <w:pStyle w:val="TableText"/>
              <w:tabs>
                <w:tab w:val="decimal" w:pos="907"/>
              </w:tabs>
              <w:rPr>
                <w:rFonts w:cs="Segoe UI"/>
              </w:rPr>
            </w:pPr>
            <w:r w:rsidRPr="00BA51FF">
              <w:rPr>
                <w:rFonts w:cs="Segoe UI"/>
              </w:rPr>
              <w:t>99</w:t>
            </w:r>
          </w:p>
        </w:tc>
        <w:tc>
          <w:tcPr>
            <w:tcW w:w="912" w:type="pct"/>
          </w:tcPr>
          <w:p w14:paraId="4C61617E" w14:textId="77777777" w:rsidR="008361C5" w:rsidRPr="00BA51FF" w:rsidRDefault="008361C5" w:rsidP="008361C5">
            <w:pPr>
              <w:pStyle w:val="TableText"/>
              <w:jc w:val="center"/>
              <w:rPr>
                <w:rFonts w:cs="Segoe UI"/>
              </w:rPr>
            </w:pPr>
            <w:r w:rsidRPr="00BA51FF">
              <w:rPr>
                <w:rFonts w:cs="Segoe UI"/>
              </w:rPr>
              <w:t>542</w:t>
            </w:r>
          </w:p>
        </w:tc>
        <w:tc>
          <w:tcPr>
            <w:tcW w:w="913" w:type="pct"/>
          </w:tcPr>
          <w:p w14:paraId="4EE60B32" w14:textId="77777777" w:rsidR="008361C5" w:rsidRPr="00BA51FF" w:rsidRDefault="008361C5" w:rsidP="008361C5">
            <w:pPr>
              <w:pStyle w:val="TableText"/>
              <w:tabs>
                <w:tab w:val="decimal" w:pos="594"/>
              </w:tabs>
              <w:rPr>
                <w:rFonts w:cs="Segoe UI"/>
              </w:rPr>
            </w:pPr>
            <w:r w:rsidRPr="00BA51FF">
              <w:rPr>
                <w:rFonts w:cs="Segoe UI"/>
                <w:w w:val="102"/>
              </w:rPr>
              <w:t>0</w:t>
            </w:r>
          </w:p>
        </w:tc>
      </w:tr>
      <w:tr w:rsidR="008361C5" w:rsidRPr="00BA51FF" w14:paraId="60753175" w14:textId="77777777" w:rsidTr="00A36A73">
        <w:trPr>
          <w:cantSplit/>
        </w:trPr>
        <w:tc>
          <w:tcPr>
            <w:tcW w:w="439" w:type="pct"/>
          </w:tcPr>
          <w:p w14:paraId="734A3E06" w14:textId="77777777" w:rsidR="008361C5" w:rsidRPr="00BA51FF" w:rsidRDefault="008361C5" w:rsidP="008361C5">
            <w:pPr>
              <w:pStyle w:val="TableText"/>
              <w:rPr>
                <w:rFonts w:cs="Segoe UI"/>
              </w:rPr>
            </w:pPr>
            <w:r w:rsidRPr="00BA51FF">
              <w:rPr>
                <w:rFonts w:cs="Segoe UI"/>
                <w:w w:val="105"/>
              </w:rPr>
              <w:t>2008</w:t>
            </w:r>
          </w:p>
        </w:tc>
        <w:tc>
          <w:tcPr>
            <w:tcW w:w="912" w:type="pct"/>
          </w:tcPr>
          <w:p w14:paraId="023A70F5" w14:textId="77777777" w:rsidR="008361C5" w:rsidRPr="00BA51FF" w:rsidRDefault="008361C5" w:rsidP="008361C5">
            <w:pPr>
              <w:pStyle w:val="TableText"/>
              <w:tabs>
                <w:tab w:val="decimal" w:pos="553"/>
              </w:tabs>
              <w:jc w:val="center"/>
              <w:rPr>
                <w:rFonts w:cs="Segoe UI"/>
              </w:rPr>
            </w:pPr>
            <w:r w:rsidRPr="00BA51FF">
              <w:rPr>
                <w:rFonts w:cs="Segoe UI"/>
              </w:rPr>
              <w:t>4,633</w:t>
            </w:r>
          </w:p>
        </w:tc>
        <w:tc>
          <w:tcPr>
            <w:tcW w:w="912" w:type="pct"/>
          </w:tcPr>
          <w:p w14:paraId="170C1563" w14:textId="77777777" w:rsidR="008361C5" w:rsidRPr="00BA51FF" w:rsidRDefault="008361C5" w:rsidP="008361C5">
            <w:pPr>
              <w:pStyle w:val="TableText"/>
              <w:jc w:val="center"/>
              <w:rPr>
                <w:rFonts w:cs="Segoe UI"/>
              </w:rPr>
            </w:pPr>
            <w:r w:rsidRPr="00BA51FF">
              <w:rPr>
                <w:rFonts w:cs="Segoe UI"/>
              </w:rPr>
              <w:t>3,969</w:t>
            </w:r>
          </w:p>
        </w:tc>
        <w:tc>
          <w:tcPr>
            <w:tcW w:w="912" w:type="pct"/>
          </w:tcPr>
          <w:p w14:paraId="459D3B27" w14:textId="77777777" w:rsidR="008361C5" w:rsidRPr="00BA51FF" w:rsidRDefault="008361C5" w:rsidP="008361C5">
            <w:pPr>
              <w:pStyle w:val="TableText"/>
              <w:tabs>
                <w:tab w:val="decimal" w:pos="907"/>
              </w:tabs>
              <w:rPr>
                <w:rFonts w:cs="Segoe UI"/>
              </w:rPr>
            </w:pPr>
            <w:r w:rsidRPr="00BA51FF">
              <w:rPr>
                <w:rFonts w:cs="Segoe UI"/>
              </w:rPr>
              <w:t>103</w:t>
            </w:r>
          </w:p>
        </w:tc>
        <w:tc>
          <w:tcPr>
            <w:tcW w:w="912" w:type="pct"/>
          </w:tcPr>
          <w:p w14:paraId="3BF31CE3" w14:textId="77777777" w:rsidR="008361C5" w:rsidRPr="00BA51FF" w:rsidRDefault="008361C5" w:rsidP="008361C5">
            <w:pPr>
              <w:pStyle w:val="TableText"/>
              <w:jc w:val="center"/>
              <w:rPr>
                <w:rFonts w:cs="Segoe UI"/>
              </w:rPr>
            </w:pPr>
            <w:r w:rsidRPr="00BA51FF">
              <w:rPr>
                <w:rFonts w:cs="Segoe UI"/>
              </w:rPr>
              <w:t>486</w:t>
            </w:r>
          </w:p>
        </w:tc>
        <w:tc>
          <w:tcPr>
            <w:tcW w:w="913" w:type="pct"/>
          </w:tcPr>
          <w:p w14:paraId="78A80282" w14:textId="77777777" w:rsidR="008361C5" w:rsidRPr="00BA51FF" w:rsidRDefault="008361C5" w:rsidP="008361C5">
            <w:pPr>
              <w:pStyle w:val="TableText"/>
              <w:tabs>
                <w:tab w:val="decimal" w:pos="594"/>
              </w:tabs>
              <w:rPr>
                <w:rFonts w:cs="Segoe UI"/>
              </w:rPr>
            </w:pPr>
            <w:r w:rsidRPr="00BA51FF">
              <w:rPr>
                <w:rFonts w:cs="Segoe UI"/>
                <w:w w:val="102"/>
              </w:rPr>
              <w:t>0</w:t>
            </w:r>
          </w:p>
        </w:tc>
      </w:tr>
      <w:tr w:rsidR="008361C5" w:rsidRPr="00BA51FF" w14:paraId="2FF534D1" w14:textId="77777777" w:rsidTr="00A36A73">
        <w:trPr>
          <w:cantSplit/>
        </w:trPr>
        <w:tc>
          <w:tcPr>
            <w:tcW w:w="439" w:type="pct"/>
          </w:tcPr>
          <w:p w14:paraId="0AF735A4" w14:textId="77777777" w:rsidR="008361C5" w:rsidRPr="00BA51FF" w:rsidRDefault="008361C5" w:rsidP="008361C5">
            <w:pPr>
              <w:pStyle w:val="TableText"/>
              <w:rPr>
                <w:rFonts w:cs="Segoe UI"/>
                <w:w w:val="105"/>
              </w:rPr>
            </w:pPr>
            <w:r w:rsidRPr="00BA51FF">
              <w:rPr>
                <w:rFonts w:cs="Segoe UI"/>
                <w:w w:val="105"/>
              </w:rPr>
              <w:t>2009</w:t>
            </w:r>
          </w:p>
        </w:tc>
        <w:tc>
          <w:tcPr>
            <w:tcW w:w="912" w:type="pct"/>
          </w:tcPr>
          <w:p w14:paraId="48D189C7" w14:textId="77777777" w:rsidR="008361C5" w:rsidRPr="00BA51FF" w:rsidRDefault="008361C5" w:rsidP="008361C5">
            <w:pPr>
              <w:pStyle w:val="TableText"/>
              <w:tabs>
                <w:tab w:val="decimal" w:pos="553"/>
              </w:tabs>
              <w:jc w:val="center"/>
              <w:rPr>
                <w:rFonts w:cs="Segoe UI"/>
              </w:rPr>
            </w:pPr>
            <w:r w:rsidRPr="00BA51FF">
              <w:rPr>
                <w:rFonts w:cs="Segoe UI"/>
              </w:rPr>
              <w:t>4,564</w:t>
            </w:r>
          </w:p>
        </w:tc>
        <w:tc>
          <w:tcPr>
            <w:tcW w:w="912" w:type="pct"/>
          </w:tcPr>
          <w:p w14:paraId="299F6FC9" w14:textId="77777777" w:rsidR="008361C5" w:rsidRPr="00BA51FF" w:rsidRDefault="008361C5" w:rsidP="008361C5">
            <w:pPr>
              <w:pStyle w:val="TableText"/>
              <w:jc w:val="center"/>
              <w:rPr>
                <w:rFonts w:cs="Segoe UI"/>
              </w:rPr>
            </w:pPr>
            <w:r w:rsidRPr="00BA51FF">
              <w:rPr>
                <w:rFonts w:cs="Segoe UI"/>
              </w:rPr>
              <w:t>4,039</w:t>
            </w:r>
          </w:p>
        </w:tc>
        <w:tc>
          <w:tcPr>
            <w:tcW w:w="912" w:type="pct"/>
          </w:tcPr>
          <w:p w14:paraId="64903959" w14:textId="77777777" w:rsidR="008361C5" w:rsidRPr="00BA51FF" w:rsidRDefault="008361C5" w:rsidP="008361C5">
            <w:pPr>
              <w:pStyle w:val="TableText"/>
              <w:tabs>
                <w:tab w:val="decimal" w:pos="907"/>
              </w:tabs>
              <w:rPr>
                <w:rFonts w:cs="Segoe UI"/>
              </w:rPr>
            </w:pPr>
            <w:r w:rsidRPr="00BA51FF">
              <w:rPr>
                <w:rFonts w:cs="Segoe UI"/>
              </w:rPr>
              <w:t>54</w:t>
            </w:r>
          </w:p>
        </w:tc>
        <w:tc>
          <w:tcPr>
            <w:tcW w:w="912" w:type="pct"/>
          </w:tcPr>
          <w:p w14:paraId="0BF5088A" w14:textId="77777777" w:rsidR="008361C5" w:rsidRPr="00BA51FF" w:rsidRDefault="008361C5" w:rsidP="008361C5">
            <w:pPr>
              <w:pStyle w:val="TableText"/>
              <w:jc w:val="center"/>
              <w:rPr>
                <w:rFonts w:cs="Segoe UI"/>
              </w:rPr>
            </w:pPr>
            <w:r w:rsidRPr="00BA51FF">
              <w:rPr>
                <w:rFonts w:cs="Segoe UI"/>
              </w:rPr>
              <w:t>494</w:t>
            </w:r>
          </w:p>
        </w:tc>
        <w:tc>
          <w:tcPr>
            <w:tcW w:w="913" w:type="pct"/>
          </w:tcPr>
          <w:p w14:paraId="52555D9D" w14:textId="77777777" w:rsidR="008361C5" w:rsidRPr="00BA51FF" w:rsidRDefault="008361C5" w:rsidP="008361C5">
            <w:pPr>
              <w:pStyle w:val="TableText"/>
              <w:tabs>
                <w:tab w:val="decimal" w:pos="594"/>
              </w:tabs>
              <w:rPr>
                <w:rFonts w:cs="Segoe UI"/>
              </w:rPr>
            </w:pPr>
            <w:r w:rsidRPr="00BA51FF">
              <w:rPr>
                <w:rFonts w:cs="Segoe UI"/>
                <w:w w:val="102"/>
              </w:rPr>
              <w:t>0</w:t>
            </w:r>
          </w:p>
        </w:tc>
      </w:tr>
      <w:tr w:rsidR="008361C5" w:rsidRPr="00BA51FF" w14:paraId="19D68321" w14:textId="77777777" w:rsidTr="00A36A73">
        <w:trPr>
          <w:cantSplit/>
        </w:trPr>
        <w:tc>
          <w:tcPr>
            <w:tcW w:w="439" w:type="pct"/>
          </w:tcPr>
          <w:p w14:paraId="6CF7F52A" w14:textId="77777777" w:rsidR="008361C5" w:rsidRPr="00BA51FF" w:rsidRDefault="008361C5" w:rsidP="008361C5">
            <w:pPr>
              <w:pStyle w:val="TableText"/>
              <w:rPr>
                <w:rFonts w:cs="Segoe UI"/>
                <w:w w:val="105"/>
              </w:rPr>
            </w:pPr>
            <w:r w:rsidRPr="00BA51FF">
              <w:rPr>
                <w:rFonts w:cs="Segoe UI"/>
                <w:w w:val="105"/>
              </w:rPr>
              <w:t>2010</w:t>
            </w:r>
          </w:p>
        </w:tc>
        <w:tc>
          <w:tcPr>
            <w:tcW w:w="912" w:type="pct"/>
          </w:tcPr>
          <w:p w14:paraId="7F8531C8" w14:textId="77777777" w:rsidR="008361C5" w:rsidRPr="00BA51FF" w:rsidRDefault="008361C5" w:rsidP="008361C5">
            <w:pPr>
              <w:pStyle w:val="TableText"/>
              <w:tabs>
                <w:tab w:val="decimal" w:pos="553"/>
              </w:tabs>
              <w:jc w:val="center"/>
              <w:rPr>
                <w:rFonts w:cs="Segoe UI"/>
              </w:rPr>
            </w:pPr>
            <w:r w:rsidRPr="00BA51FF">
              <w:rPr>
                <w:rFonts w:cs="Segoe UI"/>
              </w:rPr>
              <w:t>4,783</w:t>
            </w:r>
          </w:p>
        </w:tc>
        <w:tc>
          <w:tcPr>
            <w:tcW w:w="912" w:type="pct"/>
          </w:tcPr>
          <w:p w14:paraId="33D3CAA8" w14:textId="77777777" w:rsidR="008361C5" w:rsidRPr="00BA51FF" w:rsidRDefault="008361C5" w:rsidP="008361C5">
            <w:pPr>
              <w:pStyle w:val="TableText"/>
              <w:jc w:val="center"/>
              <w:rPr>
                <w:rFonts w:cs="Segoe UI"/>
              </w:rPr>
            </w:pPr>
            <w:r w:rsidRPr="00BA51FF">
              <w:rPr>
                <w:rFonts w:cs="Segoe UI"/>
              </w:rPr>
              <w:t>4,156</w:t>
            </w:r>
          </w:p>
        </w:tc>
        <w:tc>
          <w:tcPr>
            <w:tcW w:w="912" w:type="pct"/>
          </w:tcPr>
          <w:p w14:paraId="5F125264" w14:textId="77777777" w:rsidR="008361C5" w:rsidRPr="00BA51FF" w:rsidRDefault="008361C5" w:rsidP="008361C5">
            <w:pPr>
              <w:pStyle w:val="TableText"/>
              <w:tabs>
                <w:tab w:val="decimal" w:pos="907"/>
              </w:tabs>
              <w:rPr>
                <w:rFonts w:cs="Segoe UI"/>
              </w:rPr>
            </w:pPr>
            <w:r w:rsidRPr="00BA51FF">
              <w:rPr>
                <w:rFonts w:cs="Segoe UI"/>
              </w:rPr>
              <w:t>74</w:t>
            </w:r>
          </w:p>
        </w:tc>
        <w:tc>
          <w:tcPr>
            <w:tcW w:w="912" w:type="pct"/>
          </w:tcPr>
          <w:p w14:paraId="5CEFAB7B" w14:textId="77777777" w:rsidR="008361C5" w:rsidRPr="00BA51FF" w:rsidRDefault="008361C5" w:rsidP="008361C5">
            <w:pPr>
              <w:pStyle w:val="TableText"/>
              <w:jc w:val="center"/>
              <w:rPr>
                <w:rFonts w:cs="Segoe UI"/>
              </w:rPr>
            </w:pPr>
            <w:r w:rsidRPr="00BA51FF">
              <w:rPr>
                <w:rFonts w:cs="Segoe UI"/>
              </w:rPr>
              <w:t>523</w:t>
            </w:r>
          </w:p>
        </w:tc>
        <w:tc>
          <w:tcPr>
            <w:tcW w:w="913" w:type="pct"/>
          </w:tcPr>
          <w:p w14:paraId="71926FC3" w14:textId="77777777" w:rsidR="008361C5" w:rsidRPr="00BA51FF" w:rsidRDefault="008361C5" w:rsidP="008361C5">
            <w:pPr>
              <w:pStyle w:val="TableText"/>
              <w:tabs>
                <w:tab w:val="decimal" w:pos="594"/>
              </w:tabs>
              <w:rPr>
                <w:rFonts w:cs="Segoe UI"/>
              </w:rPr>
            </w:pPr>
            <w:r w:rsidRPr="00BA51FF">
              <w:rPr>
                <w:rFonts w:cs="Segoe UI"/>
                <w:w w:val="102"/>
              </w:rPr>
              <w:t>1</w:t>
            </w:r>
          </w:p>
        </w:tc>
      </w:tr>
      <w:tr w:rsidR="008361C5" w:rsidRPr="00BA51FF" w14:paraId="1543FDAA" w14:textId="77777777" w:rsidTr="00A36A73">
        <w:trPr>
          <w:cantSplit/>
        </w:trPr>
        <w:tc>
          <w:tcPr>
            <w:tcW w:w="439" w:type="pct"/>
          </w:tcPr>
          <w:p w14:paraId="5571430F" w14:textId="77777777" w:rsidR="008361C5" w:rsidRPr="00BA51FF" w:rsidRDefault="008361C5" w:rsidP="008361C5">
            <w:pPr>
              <w:pStyle w:val="TableText"/>
              <w:rPr>
                <w:rFonts w:cs="Segoe UI"/>
                <w:w w:val="105"/>
              </w:rPr>
            </w:pPr>
            <w:r w:rsidRPr="00BA51FF">
              <w:rPr>
                <w:rFonts w:cs="Segoe UI"/>
                <w:w w:val="105"/>
              </w:rPr>
              <w:t>2011</w:t>
            </w:r>
          </w:p>
        </w:tc>
        <w:tc>
          <w:tcPr>
            <w:tcW w:w="912" w:type="pct"/>
          </w:tcPr>
          <w:p w14:paraId="75266785" w14:textId="77777777" w:rsidR="008361C5" w:rsidRPr="00BA51FF" w:rsidRDefault="008361C5" w:rsidP="008361C5">
            <w:pPr>
              <w:pStyle w:val="TableText"/>
              <w:tabs>
                <w:tab w:val="decimal" w:pos="553"/>
              </w:tabs>
              <w:jc w:val="center"/>
              <w:rPr>
                <w:rFonts w:cs="Segoe UI"/>
              </w:rPr>
            </w:pPr>
            <w:r w:rsidRPr="00BA51FF">
              <w:rPr>
                <w:rFonts w:cs="Segoe UI"/>
              </w:rPr>
              <w:t>4,781</w:t>
            </w:r>
          </w:p>
        </w:tc>
        <w:tc>
          <w:tcPr>
            <w:tcW w:w="912" w:type="pct"/>
          </w:tcPr>
          <w:p w14:paraId="5D5E47AF" w14:textId="77777777" w:rsidR="008361C5" w:rsidRPr="00BA51FF" w:rsidRDefault="008361C5" w:rsidP="008361C5">
            <w:pPr>
              <w:pStyle w:val="TableText"/>
              <w:jc w:val="center"/>
              <w:rPr>
                <w:rFonts w:cs="Segoe UI"/>
              </w:rPr>
            </w:pPr>
            <w:r w:rsidRPr="00BA51FF">
              <w:rPr>
                <w:rFonts w:cs="Segoe UI"/>
              </w:rPr>
              <w:t>4,215</w:t>
            </w:r>
          </w:p>
        </w:tc>
        <w:tc>
          <w:tcPr>
            <w:tcW w:w="912" w:type="pct"/>
          </w:tcPr>
          <w:p w14:paraId="04F0F3D9" w14:textId="77777777" w:rsidR="008361C5" w:rsidRPr="00BA51FF" w:rsidRDefault="008361C5" w:rsidP="008361C5">
            <w:pPr>
              <w:pStyle w:val="TableText"/>
              <w:tabs>
                <w:tab w:val="decimal" w:pos="907"/>
              </w:tabs>
              <w:rPr>
                <w:rFonts w:cs="Segoe UI"/>
              </w:rPr>
            </w:pPr>
            <w:r w:rsidRPr="00BA51FF">
              <w:rPr>
                <w:rFonts w:cs="Segoe UI"/>
              </w:rPr>
              <w:t>70</w:t>
            </w:r>
          </w:p>
        </w:tc>
        <w:tc>
          <w:tcPr>
            <w:tcW w:w="912" w:type="pct"/>
          </w:tcPr>
          <w:p w14:paraId="2AC77532" w14:textId="77777777" w:rsidR="008361C5" w:rsidRPr="00BA51FF" w:rsidRDefault="008361C5" w:rsidP="008361C5">
            <w:pPr>
              <w:pStyle w:val="TableText"/>
              <w:jc w:val="center"/>
              <w:rPr>
                <w:rFonts w:cs="Segoe UI"/>
              </w:rPr>
            </w:pPr>
            <w:r w:rsidRPr="00BA51FF">
              <w:rPr>
                <w:rFonts w:cs="Segoe UI"/>
              </w:rPr>
              <w:t>516</w:t>
            </w:r>
          </w:p>
        </w:tc>
        <w:tc>
          <w:tcPr>
            <w:tcW w:w="913" w:type="pct"/>
          </w:tcPr>
          <w:p w14:paraId="40E7BCD5" w14:textId="77777777" w:rsidR="008361C5" w:rsidRPr="00BA51FF" w:rsidRDefault="008361C5" w:rsidP="008361C5">
            <w:pPr>
              <w:pStyle w:val="TableText"/>
              <w:tabs>
                <w:tab w:val="decimal" w:pos="594"/>
              </w:tabs>
              <w:rPr>
                <w:rFonts w:cs="Segoe UI"/>
              </w:rPr>
            </w:pPr>
            <w:r w:rsidRPr="00BA51FF">
              <w:rPr>
                <w:rFonts w:cs="Segoe UI"/>
                <w:w w:val="102"/>
              </w:rPr>
              <w:t>0</w:t>
            </w:r>
          </w:p>
        </w:tc>
      </w:tr>
      <w:tr w:rsidR="008361C5" w:rsidRPr="00BA51FF" w14:paraId="26DA9212" w14:textId="77777777" w:rsidTr="00A36A73">
        <w:trPr>
          <w:cantSplit/>
        </w:trPr>
        <w:tc>
          <w:tcPr>
            <w:tcW w:w="439" w:type="pct"/>
          </w:tcPr>
          <w:p w14:paraId="6C6724C4" w14:textId="77777777" w:rsidR="008361C5" w:rsidRPr="00BA51FF" w:rsidRDefault="008361C5" w:rsidP="008361C5">
            <w:pPr>
              <w:pStyle w:val="TableText"/>
              <w:rPr>
                <w:rFonts w:cs="Segoe UI"/>
                <w:w w:val="105"/>
              </w:rPr>
            </w:pPr>
            <w:r w:rsidRPr="00BA51FF">
              <w:rPr>
                <w:rFonts w:cs="Segoe UI"/>
                <w:w w:val="105"/>
              </w:rPr>
              <w:t>2012</w:t>
            </w:r>
          </w:p>
        </w:tc>
        <w:tc>
          <w:tcPr>
            <w:tcW w:w="912" w:type="pct"/>
          </w:tcPr>
          <w:p w14:paraId="4BFA7461" w14:textId="77777777" w:rsidR="008361C5" w:rsidRPr="00BA51FF" w:rsidRDefault="008361C5" w:rsidP="008361C5">
            <w:pPr>
              <w:pStyle w:val="TableText"/>
              <w:tabs>
                <w:tab w:val="decimal" w:pos="553"/>
              </w:tabs>
              <w:jc w:val="center"/>
              <w:rPr>
                <w:rFonts w:cs="Segoe UI"/>
              </w:rPr>
            </w:pPr>
            <w:r w:rsidRPr="00BA51FF">
              <w:rPr>
                <w:rFonts w:cs="Segoe UI"/>
              </w:rPr>
              <w:t>4,885</w:t>
            </w:r>
          </w:p>
        </w:tc>
        <w:tc>
          <w:tcPr>
            <w:tcW w:w="912" w:type="pct"/>
          </w:tcPr>
          <w:p w14:paraId="624F8CC5" w14:textId="77777777" w:rsidR="008361C5" w:rsidRPr="00BA51FF" w:rsidRDefault="008361C5" w:rsidP="008361C5">
            <w:pPr>
              <w:pStyle w:val="TableText"/>
              <w:jc w:val="center"/>
              <w:rPr>
                <w:rFonts w:cs="Segoe UI"/>
              </w:rPr>
            </w:pPr>
            <w:r w:rsidRPr="00BA51FF">
              <w:rPr>
                <w:rFonts w:cs="Segoe UI"/>
              </w:rPr>
              <w:t>4,343</w:t>
            </w:r>
          </w:p>
        </w:tc>
        <w:tc>
          <w:tcPr>
            <w:tcW w:w="912" w:type="pct"/>
          </w:tcPr>
          <w:p w14:paraId="20D8521C" w14:textId="77777777" w:rsidR="008361C5" w:rsidRPr="00BA51FF" w:rsidRDefault="008361C5" w:rsidP="008361C5">
            <w:pPr>
              <w:pStyle w:val="TableText"/>
              <w:tabs>
                <w:tab w:val="decimal" w:pos="907"/>
              </w:tabs>
              <w:rPr>
                <w:rFonts w:cs="Segoe UI"/>
              </w:rPr>
            </w:pPr>
            <w:r w:rsidRPr="00BA51FF">
              <w:rPr>
                <w:rFonts w:cs="Segoe UI"/>
              </w:rPr>
              <w:t>71</w:t>
            </w:r>
          </w:p>
        </w:tc>
        <w:tc>
          <w:tcPr>
            <w:tcW w:w="912" w:type="pct"/>
          </w:tcPr>
          <w:p w14:paraId="25D2CF45" w14:textId="77777777" w:rsidR="008361C5" w:rsidRPr="00BA51FF" w:rsidRDefault="008361C5" w:rsidP="008361C5">
            <w:pPr>
              <w:pStyle w:val="TableText"/>
              <w:jc w:val="center"/>
              <w:rPr>
                <w:rFonts w:cs="Segoe UI"/>
              </w:rPr>
            </w:pPr>
            <w:r w:rsidRPr="00BA51FF">
              <w:rPr>
                <w:rFonts w:cs="Segoe UI"/>
              </w:rPr>
              <w:t>443</w:t>
            </w:r>
          </w:p>
        </w:tc>
        <w:tc>
          <w:tcPr>
            <w:tcW w:w="913" w:type="pct"/>
          </w:tcPr>
          <w:p w14:paraId="23664E67" w14:textId="77777777" w:rsidR="008361C5" w:rsidRPr="00BA51FF" w:rsidRDefault="008361C5" w:rsidP="008361C5">
            <w:pPr>
              <w:pStyle w:val="TableText"/>
              <w:tabs>
                <w:tab w:val="decimal" w:pos="594"/>
              </w:tabs>
              <w:rPr>
                <w:rFonts w:cs="Segoe UI"/>
              </w:rPr>
            </w:pPr>
            <w:r w:rsidRPr="00BA51FF">
              <w:rPr>
                <w:rFonts w:cs="Segoe UI"/>
                <w:w w:val="102"/>
              </w:rPr>
              <w:t>0</w:t>
            </w:r>
          </w:p>
        </w:tc>
      </w:tr>
      <w:tr w:rsidR="008361C5" w:rsidRPr="00BA51FF" w14:paraId="0787031E" w14:textId="77777777" w:rsidTr="00A36A73">
        <w:trPr>
          <w:cantSplit/>
        </w:trPr>
        <w:tc>
          <w:tcPr>
            <w:tcW w:w="439" w:type="pct"/>
          </w:tcPr>
          <w:p w14:paraId="2A228F69" w14:textId="77777777" w:rsidR="008361C5" w:rsidRPr="00BA51FF" w:rsidRDefault="008361C5" w:rsidP="008361C5">
            <w:pPr>
              <w:pStyle w:val="TableText"/>
              <w:rPr>
                <w:rFonts w:cs="Segoe UI"/>
                <w:w w:val="105"/>
              </w:rPr>
            </w:pPr>
            <w:r w:rsidRPr="00BA51FF">
              <w:rPr>
                <w:rFonts w:cs="Segoe UI"/>
                <w:w w:val="105"/>
              </w:rPr>
              <w:t>2013</w:t>
            </w:r>
          </w:p>
        </w:tc>
        <w:tc>
          <w:tcPr>
            <w:tcW w:w="912" w:type="pct"/>
          </w:tcPr>
          <w:p w14:paraId="0AE484F1" w14:textId="77777777" w:rsidR="008361C5" w:rsidRPr="00BA51FF" w:rsidRDefault="008361C5" w:rsidP="008361C5">
            <w:pPr>
              <w:pStyle w:val="TableText"/>
              <w:tabs>
                <w:tab w:val="decimal" w:pos="553"/>
              </w:tabs>
              <w:jc w:val="center"/>
              <w:rPr>
                <w:rFonts w:cs="Segoe UI"/>
              </w:rPr>
            </w:pPr>
            <w:r w:rsidRPr="00BA51FF">
              <w:rPr>
                <w:rFonts w:cs="Segoe UI"/>
              </w:rPr>
              <w:t>5,062</w:t>
            </w:r>
          </w:p>
        </w:tc>
        <w:tc>
          <w:tcPr>
            <w:tcW w:w="912" w:type="pct"/>
          </w:tcPr>
          <w:p w14:paraId="7BCCC433" w14:textId="77777777" w:rsidR="008361C5" w:rsidRPr="00BA51FF" w:rsidRDefault="008361C5" w:rsidP="008361C5">
            <w:pPr>
              <w:pStyle w:val="TableText"/>
              <w:jc w:val="center"/>
              <w:rPr>
                <w:rFonts w:cs="Segoe UI"/>
              </w:rPr>
            </w:pPr>
            <w:r w:rsidRPr="00BA51FF">
              <w:rPr>
                <w:rFonts w:cs="Segoe UI"/>
              </w:rPr>
              <w:t>4,607</w:t>
            </w:r>
          </w:p>
        </w:tc>
        <w:tc>
          <w:tcPr>
            <w:tcW w:w="912" w:type="pct"/>
          </w:tcPr>
          <w:p w14:paraId="798FD0A2" w14:textId="77777777" w:rsidR="008361C5" w:rsidRPr="00BA51FF" w:rsidRDefault="008361C5" w:rsidP="008361C5">
            <w:pPr>
              <w:pStyle w:val="TableText"/>
              <w:tabs>
                <w:tab w:val="decimal" w:pos="907"/>
              </w:tabs>
              <w:rPr>
                <w:rFonts w:cs="Segoe UI"/>
              </w:rPr>
            </w:pPr>
            <w:r w:rsidRPr="00BA51FF">
              <w:rPr>
                <w:rFonts w:cs="Segoe UI"/>
              </w:rPr>
              <w:t>68</w:t>
            </w:r>
          </w:p>
        </w:tc>
        <w:tc>
          <w:tcPr>
            <w:tcW w:w="912" w:type="pct"/>
          </w:tcPr>
          <w:p w14:paraId="1D43DDA6" w14:textId="77777777" w:rsidR="008361C5" w:rsidRPr="00BA51FF" w:rsidRDefault="008361C5" w:rsidP="008361C5">
            <w:pPr>
              <w:pStyle w:val="TableText"/>
              <w:jc w:val="center"/>
              <w:rPr>
                <w:rFonts w:cs="Segoe UI"/>
              </w:rPr>
            </w:pPr>
            <w:r w:rsidRPr="00BA51FF">
              <w:rPr>
                <w:rFonts w:cs="Segoe UI"/>
              </w:rPr>
              <w:t>411</w:t>
            </w:r>
          </w:p>
        </w:tc>
        <w:tc>
          <w:tcPr>
            <w:tcW w:w="913" w:type="pct"/>
          </w:tcPr>
          <w:p w14:paraId="4F9AFA74" w14:textId="77777777" w:rsidR="008361C5" w:rsidRPr="00BA51FF" w:rsidRDefault="008361C5" w:rsidP="008361C5">
            <w:pPr>
              <w:pStyle w:val="TableText"/>
              <w:tabs>
                <w:tab w:val="decimal" w:pos="594"/>
              </w:tabs>
              <w:rPr>
                <w:rFonts w:cs="Segoe UI"/>
              </w:rPr>
            </w:pPr>
            <w:r w:rsidRPr="00BA51FF">
              <w:rPr>
                <w:rFonts w:cs="Segoe UI"/>
                <w:w w:val="102"/>
              </w:rPr>
              <w:t>0</w:t>
            </w:r>
          </w:p>
        </w:tc>
      </w:tr>
      <w:tr w:rsidR="008361C5" w:rsidRPr="00BA51FF" w14:paraId="51F3D625" w14:textId="77777777" w:rsidTr="00A36A73">
        <w:trPr>
          <w:cantSplit/>
        </w:trPr>
        <w:tc>
          <w:tcPr>
            <w:tcW w:w="439" w:type="pct"/>
          </w:tcPr>
          <w:p w14:paraId="618F5A9B" w14:textId="77777777" w:rsidR="008361C5" w:rsidRPr="00BA51FF" w:rsidRDefault="008361C5" w:rsidP="008361C5">
            <w:pPr>
              <w:pStyle w:val="TableText"/>
              <w:rPr>
                <w:rFonts w:cs="Segoe UI"/>
                <w:w w:val="105"/>
              </w:rPr>
            </w:pPr>
            <w:r w:rsidRPr="00BA51FF">
              <w:rPr>
                <w:rFonts w:cs="Segoe UI"/>
                <w:w w:val="105"/>
              </w:rPr>
              <w:t>2014</w:t>
            </w:r>
          </w:p>
        </w:tc>
        <w:tc>
          <w:tcPr>
            <w:tcW w:w="912" w:type="pct"/>
          </w:tcPr>
          <w:p w14:paraId="5393DBCD" w14:textId="77777777" w:rsidR="008361C5" w:rsidRPr="00BA51FF" w:rsidRDefault="008361C5" w:rsidP="008361C5">
            <w:pPr>
              <w:pStyle w:val="TableText"/>
              <w:tabs>
                <w:tab w:val="decimal" w:pos="553"/>
              </w:tabs>
              <w:jc w:val="center"/>
              <w:rPr>
                <w:rFonts w:cs="Segoe UI"/>
              </w:rPr>
            </w:pPr>
            <w:r w:rsidRPr="00BA51FF">
              <w:rPr>
                <w:rFonts w:cs="Segoe UI"/>
              </w:rPr>
              <w:t>5,227</w:t>
            </w:r>
          </w:p>
        </w:tc>
        <w:tc>
          <w:tcPr>
            <w:tcW w:w="912" w:type="pct"/>
          </w:tcPr>
          <w:p w14:paraId="6A642C19" w14:textId="77777777" w:rsidR="008361C5" w:rsidRPr="00BA51FF" w:rsidRDefault="008361C5" w:rsidP="008361C5">
            <w:pPr>
              <w:pStyle w:val="TableText"/>
              <w:jc w:val="center"/>
              <w:rPr>
                <w:rFonts w:cs="Segoe UI"/>
              </w:rPr>
            </w:pPr>
            <w:r w:rsidRPr="00BA51FF">
              <w:rPr>
                <w:rFonts w:cs="Segoe UI"/>
              </w:rPr>
              <w:t>4,632</w:t>
            </w:r>
          </w:p>
        </w:tc>
        <w:tc>
          <w:tcPr>
            <w:tcW w:w="912" w:type="pct"/>
          </w:tcPr>
          <w:p w14:paraId="1FFCB91D" w14:textId="77777777" w:rsidR="008361C5" w:rsidRPr="00BA51FF" w:rsidRDefault="008361C5" w:rsidP="008361C5">
            <w:pPr>
              <w:pStyle w:val="TableText"/>
              <w:tabs>
                <w:tab w:val="decimal" w:pos="907"/>
              </w:tabs>
              <w:rPr>
                <w:rFonts w:cs="Segoe UI"/>
              </w:rPr>
            </w:pPr>
            <w:r w:rsidRPr="00BA51FF">
              <w:rPr>
                <w:rFonts w:cs="Segoe UI"/>
              </w:rPr>
              <w:t>47</w:t>
            </w:r>
          </w:p>
        </w:tc>
        <w:tc>
          <w:tcPr>
            <w:tcW w:w="912" w:type="pct"/>
          </w:tcPr>
          <w:p w14:paraId="3D5654F1" w14:textId="77777777" w:rsidR="008361C5" w:rsidRPr="00BA51FF" w:rsidRDefault="008361C5" w:rsidP="008361C5">
            <w:pPr>
              <w:pStyle w:val="TableText"/>
              <w:jc w:val="center"/>
              <w:rPr>
                <w:rFonts w:cs="Segoe UI"/>
              </w:rPr>
            </w:pPr>
            <w:r w:rsidRPr="00BA51FF">
              <w:rPr>
                <w:rFonts w:cs="Segoe UI"/>
              </w:rPr>
              <w:t>577</w:t>
            </w:r>
          </w:p>
        </w:tc>
        <w:tc>
          <w:tcPr>
            <w:tcW w:w="913" w:type="pct"/>
          </w:tcPr>
          <w:p w14:paraId="34057F5D" w14:textId="77777777" w:rsidR="008361C5" w:rsidRPr="00BA51FF" w:rsidRDefault="008361C5" w:rsidP="008361C5">
            <w:pPr>
              <w:pStyle w:val="TableText"/>
              <w:tabs>
                <w:tab w:val="decimal" w:pos="594"/>
              </w:tabs>
              <w:rPr>
                <w:rFonts w:cs="Segoe UI"/>
              </w:rPr>
            </w:pPr>
            <w:r w:rsidRPr="00BA51FF">
              <w:rPr>
                <w:rFonts w:cs="Segoe UI"/>
                <w:w w:val="102"/>
              </w:rPr>
              <w:t>0</w:t>
            </w:r>
          </w:p>
        </w:tc>
      </w:tr>
      <w:tr w:rsidR="008361C5" w:rsidRPr="00BA51FF" w14:paraId="529951AD" w14:textId="77777777" w:rsidTr="00A36A73">
        <w:trPr>
          <w:cantSplit/>
        </w:trPr>
        <w:tc>
          <w:tcPr>
            <w:tcW w:w="439" w:type="pct"/>
          </w:tcPr>
          <w:p w14:paraId="126B2E99" w14:textId="77777777" w:rsidR="008361C5" w:rsidRPr="00BA51FF" w:rsidRDefault="008361C5" w:rsidP="008361C5">
            <w:pPr>
              <w:pStyle w:val="TableText"/>
              <w:rPr>
                <w:rFonts w:cs="Segoe UI"/>
                <w:w w:val="105"/>
              </w:rPr>
            </w:pPr>
            <w:r w:rsidRPr="00BA51FF">
              <w:rPr>
                <w:rFonts w:cs="Segoe UI"/>
                <w:w w:val="105"/>
              </w:rPr>
              <w:t>2015</w:t>
            </w:r>
          </w:p>
        </w:tc>
        <w:tc>
          <w:tcPr>
            <w:tcW w:w="912" w:type="pct"/>
          </w:tcPr>
          <w:p w14:paraId="34E75F4D" w14:textId="77777777" w:rsidR="008361C5" w:rsidRPr="00BA51FF" w:rsidRDefault="008361C5" w:rsidP="008361C5">
            <w:pPr>
              <w:pStyle w:val="TableText"/>
              <w:tabs>
                <w:tab w:val="decimal" w:pos="553"/>
              </w:tabs>
              <w:jc w:val="center"/>
              <w:rPr>
                <w:rFonts w:cs="Segoe UI"/>
              </w:rPr>
            </w:pPr>
            <w:r w:rsidRPr="00BA51FF">
              <w:rPr>
                <w:rFonts w:cs="Segoe UI"/>
              </w:rPr>
              <w:t>5,368</w:t>
            </w:r>
          </w:p>
        </w:tc>
        <w:tc>
          <w:tcPr>
            <w:tcW w:w="912" w:type="pct"/>
          </w:tcPr>
          <w:p w14:paraId="2B3FDDE6" w14:textId="77777777" w:rsidR="008361C5" w:rsidRPr="00BA51FF" w:rsidRDefault="008361C5" w:rsidP="008361C5">
            <w:pPr>
              <w:pStyle w:val="TableText"/>
              <w:jc w:val="center"/>
              <w:rPr>
                <w:rFonts w:cs="Segoe UI"/>
              </w:rPr>
            </w:pPr>
            <w:r w:rsidRPr="00BA51FF">
              <w:rPr>
                <w:rFonts w:cs="Segoe UI"/>
              </w:rPr>
              <w:t>4,748</w:t>
            </w:r>
          </w:p>
        </w:tc>
        <w:tc>
          <w:tcPr>
            <w:tcW w:w="912" w:type="pct"/>
          </w:tcPr>
          <w:p w14:paraId="4C307AA0" w14:textId="77777777" w:rsidR="008361C5" w:rsidRPr="00BA51FF" w:rsidRDefault="008361C5" w:rsidP="008361C5">
            <w:pPr>
              <w:pStyle w:val="TableText"/>
              <w:tabs>
                <w:tab w:val="decimal" w:pos="907"/>
              </w:tabs>
              <w:rPr>
                <w:rFonts w:cs="Segoe UI"/>
              </w:rPr>
            </w:pPr>
            <w:r w:rsidRPr="00BA51FF">
              <w:rPr>
                <w:rFonts w:cs="Segoe UI"/>
              </w:rPr>
              <w:t>52</w:t>
            </w:r>
          </w:p>
        </w:tc>
        <w:tc>
          <w:tcPr>
            <w:tcW w:w="912" w:type="pct"/>
          </w:tcPr>
          <w:p w14:paraId="7ADD1D32" w14:textId="77777777" w:rsidR="008361C5" w:rsidRPr="00BA51FF" w:rsidRDefault="008361C5" w:rsidP="008361C5">
            <w:pPr>
              <w:pStyle w:val="TableText"/>
              <w:jc w:val="center"/>
              <w:rPr>
                <w:rFonts w:cs="Segoe UI"/>
              </w:rPr>
            </w:pPr>
            <w:r w:rsidRPr="00BA51FF">
              <w:rPr>
                <w:rFonts w:cs="Segoe UI"/>
              </w:rPr>
              <w:t>550</w:t>
            </w:r>
          </w:p>
        </w:tc>
        <w:tc>
          <w:tcPr>
            <w:tcW w:w="913" w:type="pct"/>
          </w:tcPr>
          <w:p w14:paraId="0FB5F589" w14:textId="77777777" w:rsidR="008361C5" w:rsidRPr="00BA51FF" w:rsidRDefault="008361C5" w:rsidP="008361C5">
            <w:pPr>
              <w:pStyle w:val="TableText"/>
              <w:tabs>
                <w:tab w:val="decimal" w:pos="594"/>
              </w:tabs>
              <w:rPr>
                <w:rFonts w:cs="Segoe UI"/>
              </w:rPr>
            </w:pPr>
            <w:r w:rsidRPr="00BA51FF">
              <w:rPr>
                <w:rFonts w:cs="Segoe UI"/>
                <w:w w:val="102"/>
              </w:rPr>
              <w:t>0</w:t>
            </w:r>
          </w:p>
        </w:tc>
      </w:tr>
      <w:tr w:rsidR="008361C5" w:rsidRPr="00BA51FF" w14:paraId="6A632978" w14:textId="77777777" w:rsidTr="00A36A73">
        <w:trPr>
          <w:cantSplit/>
        </w:trPr>
        <w:tc>
          <w:tcPr>
            <w:tcW w:w="439" w:type="pct"/>
          </w:tcPr>
          <w:p w14:paraId="5EDF2992" w14:textId="77777777" w:rsidR="008361C5" w:rsidRPr="00BA51FF" w:rsidRDefault="008361C5" w:rsidP="008361C5">
            <w:pPr>
              <w:pStyle w:val="TableText"/>
              <w:rPr>
                <w:rFonts w:cs="Segoe UI"/>
                <w:w w:val="105"/>
              </w:rPr>
            </w:pPr>
            <w:r w:rsidRPr="00BA51FF">
              <w:rPr>
                <w:rFonts w:cs="Segoe UI"/>
                <w:w w:val="105"/>
              </w:rPr>
              <w:t>2016</w:t>
            </w:r>
          </w:p>
        </w:tc>
        <w:tc>
          <w:tcPr>
            <w:tcW w:w="912" w:type="pct"/>
          </w:tcPr>
          <w:p w14:paraId="324AAA12" w14:textId="77777777" w:rsidR="008361C5" w:rsidRPr="00BA51FF" w:rsidRDefault="008361C5" w:rsidP="008361C5">
            <w:pPr>
              <w:pStyle w:val="TableText"/>
              <w:tabs>
                <w:tab w:val="decimal" w:pos="553"/>
              </w:tabs>
              <w:jc w:val="center"/>
              <w:rPr>
                <w:rFonts w:cs="Segoe UI"/>
              </w:rPr>
            </w:pPr>
            <w:r w:rsidRPr="00BA51FF">
              <w:rPr>
                <w:rFonts w:cs="Segoe UI"/>
              </w:rPr>
              <w:t>5,601</w:t>
            </w:r>
          </w:p>
        </w:tc>
        <w:tc>
          <w:tcPr>
            <w:tcW w:w="912" w:type="pct"/>
          </w:tcPr>
          <w:p w14:paraId="756B3AD2" w14:textId="77777777" w:rsidR="008361C5" w:rsidRPr="00BA51FF" w:rsidRDefault="008361C5" w:rsidP="008361C5">
            <w:pPr>
              <w:pStyle w:val="TableText"/>
              <w:jc w:val="center"/>
              <w:rPr>
                <w:rFonts w:cs="Segoe UI"/>
              </w:rPr>
            </w:pPr>
            <w:r w:rsidRPr="00BA51FF">
              <w:rPr>
                <w:rFonts w:cs="Segoe UI"/>
              </w:rPr>
              <w:t>4,927</w:t>
            </w:r>
          </w:p>
        </w:tc>
        <w:tc>
          <w:tcPr>
            <w:tcW w:w="912" w:type="pct"/>
          </w:tcPr>
          <w:p w14:paraId="2DBC72AA" w14:textId="77777777" w:rsidR="008361C5" w:rsidRPr="00BA51FF" w:rsidRDefault="008361C5" w:rsidP="008361C5">
            <w:pPr>
              <w:pStyle w:val="TableText"/>
              <w:tabs>
                <w:tab w:val="decimal" w:pos="907"/>
              </w:tabs>
              <w:rPr>
                <w:rFonts w:cs="Segoe UI"/>
              </w:rPr>
            </w:pPr>
            <w:r w:rsidRPr="00BA51FF">
              <w:rPr>
                <w:rFonts w:cs="Segoe UI"/>
              </w:rPr>
              <w:t>70</w:t>
            </w:r>
          </w:p>
        </w:tc>
        <w:tc>
          <w:tcPr>
            <w:tcW w:w="912" w:type="pct"/>
          </w:tcPr>
          <w:p w14:paraId="3187BEA6" w14:textId="77777777" w:rsidR="008361C5" w:rsidRPr="00BA51FF" w:rsidRDefault="008361C5" w:rsidP="008361C5">
            <w:pPr>
              <w:pStyle w:val="TableText"/>
              <w:jc w:val="center"/>
              <w:rPr>
                <w:rFonts w:cs="Segoe UI"/>
              </w:rPr>
            </w:pPr>
            <w:r w:rsidRPr="00BA51FF">
              <w:rPr>
                <w:rFonts w:cs="Segoe UI"/>
              </w:rPr>
              <w:t>549</w:t>
            </w:r>
          </w:p>
        </w:tc>
        <w:tc>
          <w:tcPr>
            <w:tcW w:w="913" w:type="pct"/>
          </w:tcPr>
          <w:p w14:paraId="3FA9A672" w14:textId="77777777" w:rsidR="008361C5" w:rsidRPr="00BA51FF" w:rsidRDefault="008361C5" w:rsidP="008361C5">
            <w:pPr>
              <w:pStyle w:val="TableText"/>
              <w:tabs>
                <w:tab w:val="decimal" w:pos="594"/>
              </w:tabs>
              <w:rPr>
                <w:rFonts w:cs="Segoe UI"/>
                <w:w w:val="102"/>
              </w:rPr>
            </w:pPr>
            <w:r w:rsidRPr="00BA51FF">
              <w:rPr>
                <w:rFonts w:cs="Segoe UI"/>
                <w:w w:val="102"/>
              </w:rPr>
              <w:t>0</w:t>
            </w:r>
          </w:p>
        </w:tc>
      </w:tr>
      <w:tr w:rsidR="008361C5" w:rsidRPr="00BA51FF" w14:paraId="5BF4A647" w14:textId="77777777" w:rsidTr="00A36A73">
        <w:trPr>
          <w:cantSplit/>
        </w:trPr>
        <w:tc>
          <w:tcPr>
            <w:tcW w:w="439" w:type="pct"/>
          </w:tcPr>
          <w:p w14:paraId="793ADA6D" w14:textId="77777777" w:rsidR="008361C5" w:rsidRPr="00BA51FF" w:rsidRDefault="008361C5" w:rsidP="008361C5">
            <w:pPr>
              <w:pStyle w:val="TableText"/>
              <w:rPr>
                <w:rFonts w:cs="Segoe UI"/>
                <w:w w:val="105"/>
              </w:rPr>
            </w:pPr>
            <w:r w:rsidRPr="00BA51FF">
              <w:rPr>
                <w:rFonts w:cs="Segoe UI"/>
                <w:w w:val="105"/>
              </w:rPr>
              <w:t>2017</w:t>
            </w:r>
          </w:p>
        </w:tc>
        <w:tc>
          <w:tcPr>
            <w:tcW w:w="912" w:type="pct"/>
          </w:tcPr>
          <w:p w14:paraId="61DA6EC6" w14:textId="77777777" w:rsidR="008361C5" w:rsidRPr="00BA51FF" w:rsidRDefault="008361C5" w:rsidP="008361C5">
            <w:pPr>
              <w:pStyle w:val="TableText"/>
              <w:tabs>
                <w:tab w:val="decimal" w:pos="553"/>
              </w:tabs>
              <w:jc w:val="center"/>
              <w:rPr>
                <w:rFonts w:cs="Segoe UI"/>
              </w:rPr>
            </w:pPr>
            <w:r w:rsidRPr="00BA51FF">
              <w:rPr>
                <w:rFonts w:cs="Segoe UI"/>
              </w:rPr>
              <w:t>5,566</w:t>
            </w:r>
          </w:p>
        </w:tc>
        <w:tc>
          <w:tcPr>
            <w:tcW w:w="912" w:type="pct"/>
          </w:tcPr>
          <w:p w14:paraId="13D8806B" w14:textId="77777777" w:rsidR="008361C5" w:rsidRPr="00BA51FF" w:rsidRDefault="008361C5" w:rsidP="008361C5">
            <w:pPr>
              <w:pStyle w:val="TableText"/>
              <w:jc w:val="center"/>
              <w:rPr>
                <w:rFonts w:cs="Segoe UI"/>
              </w:rPr>
            </w:pPr>
            <w:r w:rsidRPr="00BA51FF">
              <w:rPr>
                <w:rFonts w:cs="Segoe UI"/>
              </w:rPr>
              <w:t>4,940</w:t>
            </w:r>
          </w:p>
        </w:tc>
        <w:tc>
          <w:tcPr>
            <w:tcW w:w="912" w:type="pct"/>
          </w:tcPr>
          <w:p w14:paraId="73C33E38" w14:textId="77777777" w:rsidR="008361C5" w:rsidRPr="00BA51FF" w:rsidRDefault="008361C5" w:rsidP="008361C5">
            <w:pPr>
              <w:pStyle w:val="TableText"/>
              <w:tabs>
                <w:tab w:val="decimal" w:pos="907"/>
              </w:tabs>
              <w:rPr>
                <w:rFonts w:cs="Segoe UI"/>
              </w:rPr>
            </w:pPr>
            <w:r w:rsidRPr="00BA51FF">
              <w:rPr>
                <w:rFonts w:cs="Segoe UI"/>
              </w:rPr>
              <w:t>69</w:t>
            </w:r>
          </w:p>
        </w:tc>
        <w:tc>
          <w:tcPr>
            <w:tcW w:w="912" w:type="pct"/>
          </w:tcPr>
          <w:p w14:paraId="2436D0C6" w14:textId="77777777" w:rsidR="008361C5" w:rsidRPr="00BA51FF" w:rsidRDefault="008361C5" w:rsidP="008361C5">
            <w:pPr>
              <w:pStyle w:val="TableText"/>
              <w:jc w:val="center"/>
              <w:rPr>
                <w:rFonts w:cs="Segoe UI"/>
              </w:rPr>
            </w:pPr>
            <w:r w:rsidRPr="00BA51FF">
              <w:rPr>
                <w:rFonts w:cs="Segoe UI"/>
              </w:rPr>
              <w:t>583</w:t>
            </w:r>
          </w:p>
        </w:tc>
        <w:tc>
          <w:tcPr>
            <w:tcW w:w="913" w:type="pct"/>
          </w:tcPr>
          <w:p w14:paraId="65F3FB18" w14:textId="77777777" w:rsidR="008361C5" w:rsidRPr="00BA51FF" w:rsidRDefault="008361C5" w:rsidP="008361C5">
            <w:pPr>
              <w:pStyle w:val="TableText"/>
              <w:tabs>
                <w:tab w:val="decimal" w:pos="594"/>
              </w:tabs>
              <w:rPr>
                <w:rFonts w:cs="Segoe UI"/>
                <w:w w:val="102"/>
              </w:rPr>
            </w:pPr>
            <w:r w:rsidRPr="00BA51FF">
              <w:rPr>
                <w:rFonts w:cs="Segoe UI"/>
                <w:w w:val="102"/>
              </w:rPr>
              <w:t>0</w:t>
            </w:r>
          </w:p>
        </w:tc>
      </w:tr>
      <w:tr w:rsidR="008361C5" w:rsidRPr="00BA51FF" w14:paraId="66C4F112" w14:textId="77777777" w:rsidTr="00A36A73">
        <w:trPr>
          <w:cantSplit/>
        </w:trPr>
        <w:tc>
          <w:tcPr>
            <w:tcW w:w="439" w:type="pct"/>
          </w:tcPr>
          <w:p w14:paraId="539BD479" w14:textId="77777777" w:rsidR="008361C5" w:rsidRPr="00BA51FF" w:rsidRDefault="008361C5" w:rsidP="008361C5">
            <w:pPr>
              <w:pStyle w:val="TableText"/>
              <w:rPr>
                <w:rFonts w:cs="Segoe UI"/>
                <w:w w:val="105"/>
              </w:rPr>
            </w:pPr>
            <w:r w:rsidRPr="00BA51FF">
              <w:rPr>
                <w:rFonts w:cs="Segoe UI"/>
                <w:w w:val="105"/>
              </w:rPr>
              <w:t>2018</w:t>
            </w:r>
          </w:p>
        </w:tc>
        <w:tc>
          <w:tcPr>
            <w:tcW w:w="912" w:type="pct"/>
          </w:tcPr>
          <w:p w14:paraId="1C330844" w14:textId="77777777" w:rsidR="008361C5" w:rsidRPr="00BA51FF" w:rsidRDefault="008361C5" w:rsidP="008361C5">
            <w:pPr>
              <w:pStyle w:val="TableText"/>
              <w:tabs>
                <w:tab w:val="decimal" w:pos="553"/>
              </w:tabs>
              <w:jc w:val="center"/>
              <w:rPr>
                <w:rFonts w:cs="Segoe UI"/>
              </w:rPr>
            </w:pPr>
            <w:r w:rsidRPr="00BA51FF">
              <w:rPr>
                <w:rFonts w:cs="Segoe UI"/>
              </w:rPr>
              <w:t>5,646</w:t>
            </w:r>
          </w:p>
        </w:tc>
        <w:tc>
          <w:tcPr>
            <w:tcW w:w="912" w:type="pct"/>
          </w:tcPr>
          <w:p w14:paraId="6CD0D82A" w14:textId="77777777" w:rsidR="008361C5" w:rsidRPr="00BA51FF" w:rsidRDefault="008361C5" w:rsidP="008361C5">
            <w:pPr>
              <w:pStyle w:val="TableText"/>
              <w:jc w:val="center"/>
              <w:rPr>
                <w:rFonts w:cs="Segoe UI"/>
              </w:rPr>
            </w:pPr>
            <w:r w:rsidRPr="00BA51FF">
              <w:rPr>
                <w:rFonts w:cs="Segoe UI"/>
              </w:rPr>
              <w:t>5,002</w:t>
            </w:r>
          </w:p>
        </w:tc>
        <w:tc>
          <w:tcPr>
            <w:tcW w:w="912" w:type="pct"/>
          </w:tcPr>
          <w:p w14:paraId="2301BDB1" w14:textId="77777777" w:rsidR="008361C5" w:rsidRPr="00BA51FF" w:rsidRDefault="008361C5" w:rsidP="008361C5">
            <w:pPr>
              <w:pStyle w:val="TableText"/>
              <w:tabs>
                <w:tab w:val="decimal" w:pos="907"/>
              </w:tabs>
              <w:rPr>
                <w:rFonts w:cs="Segoe UI"/>
              </w:rPr>
            </w:pPr>
            <w:r w:rsidRPr="00BA51FF">
              <w:rPr>
                <w:rFonts w:cs="Segoe UI"/>
              </w:rPr>
              <w:t>77</w:t>
            </w:r>
          </w:p>
        </w:tc>
        <w:tc>
          <w:tcPr>
            <w:tcW w:w="912" w:type="pct"/>
          </w:tcPr>
          <w:p w14:paraId="14D701A6" w14:textId="77777777" w:rsidR="008361C5" w:rsidRPr="00BA51FF" w:rsidRDefault="008361C5" w:rsidP="008361C5">
            <w:pPr>
              <w:pStyle w:val="TableText"/>
              <w:jc w:val="center"/>
              <w:rPr>
                <w:rFonts w:cs="Segoe UI"/>
              </w:rPr>
            </w:pPr>
            <w:r w:rsidRPr="00BA51FF">
              <w:rPr>
                <w:rFonts w:cs="Segoe UI"/>
              </w:rPr>
              <w:t>542</w:t>
            </w:r>
          </w:p>
        </w:tc>
        <w:tc>
          <w:tcPr>
            <w:tcW w:w="913" w:type="pct"/>
          </w:tcPr>
          <w:p w14:paraId="176708AF" w14:textId="77777777" w:rsidR="008361C5" w:rsidRPr="00BA51FF" w:rsidRDefault="008361C5" w:rsidP="008361C5">
            <w:pPr>
              <w:pStyle w:val="TableText"/>
              <w:tabs>
                <w:tab w:val="decimal" w:pos="594"/>
              </w:tabs>
              <w:rPr>
                <w:rFonts w:cs="Segoe UI"/>
                <w:w w:val="102"/>
              </w:rPr>
            </w:pPr>
            <w:r w:rsidRPr="00BA51FF">
              <w:rPr>
                <w:rFonts w:cs="Segoe UI"/>
                <w:w w:val="102"/>
              </w:rPr>
              <w:t>0</w:t>
            </w:r>
          </w:p>
        </w:tc>
      </w:tr>
      <w:tr w:rsidR="008361C5" w:rsidRPr="00BA51FF" w14:paraId="4A3B4BCA" w14:textId="77777777" w:rsidTr="00A36A73">
        <w:trPr>
          <w:cantSplit/>
        </w:trPr>
        <w:tc>
          <w:tcPr>
            <w:tcW w:w="439" w:type="pct"/>
          </w:tcPr>
          <w:p w14:paraId="2C613507" w14:textId="77777777" w:rsidR="008361C5" w:rsidRPr="00BA51FF" w:rsidRDefault="008361C5" w:rsidP="008361C5">
            <w:pPr>
              <w:pStyle w:val="TableText"/>
              <w:rPr>
                <w:rFonts w:cs="Segoe UI"/>
                <w:w w:val="105"/>
              </w:rPr>
            </w:pPr>
            <w:r w:rsidRPr="00BA51FF">
              <w:rPr>
                <w:rFonts w:cs="Segoe UI"/>
                <w:w w:val="105"/>
              </w:rPr>
              <w:t>2019</w:t>
            </w:r>
          </w:p>
        </w:tc>
        <w:tc>
          <w:tcPr>
            <w:tcW w:w="912" w:type="pct"/>
          </w:tcPr>
          <w:p w14:paraId="283C2031" w14:textId="77777777" w:rsidR="008361C5" w:rsidRPr="00BA51FF" w:rsidRDefault="008361C5" w:rsidP="008361C5">
            <w:pPr>
              <w:pStyle w:val="TableText"/>
              <w:tabs>
                <w:tab w:val="decimal" w:pos="553"/>
              </w:tabs>
              <w:jc w:val="center"/>
              <w:rPr>
                <w:rFonts w:cs="Segoe UI"/>
              </w:rPr>
            </w:pPr>
            <w:r w:rsidRPr="00BA51FF">
              <w:rPr>
                <w:rFonts w:cs="Segoe UI"/>
              </w:rPr>
              <w:t>5,617</w:t>
            </w:r>
          </w:p>
        </w:tc>
        <w:tc>
          <w:tcPr>
            <w:tcW w:w="912" w:type="pct"/>
          </w:tcPr>
          <w:p w14:paraId="25ABB8B1" w14:textId="77777777" w:rsidR="008361C5" w:rsidRPr="00BA51FF" w:rsidRDefault="008361C5" w:rsidP="008361C5">
            <w:pPr>
              <w:pStyle w:val="TableText"/>
              <w:jc w:val="center"/>
              <w:rPr>
                <w:rFonts w:cs="Segoe UI"/>
              </w:rPr>
            </w:pPr>
            <w:r w:rsidRPr="00BA51FF">
              <w:rPr>
                <w:rFonts w:cs="Segoe UI"/>
              </w:rPr>
              <w:t>4,984</w:t>
            </w:r>
          </w:p>
        </w:tc>
        <w:tc>
          <w:tcPr>
            <w:tcW w:w="912" w:type="pct"/>
          </w:tcPr>
          <w:p w14:paraId="47D91D51" w14:textId="77777777" w:rsidR="008361C5" w:rsidRPr="00BA51FF" w:rsidRDefault="008361C5" w:rsidP="008361C5">
            <w:pPr>
              <w:pStyle w:val="TableText"/>
              <w:tabs>
                <w:tab w:val="decimal" w:pos="907"/>
              </w:tabs>
              <w:rPr>
                <w:rFonts w:cs="Segoe UI"/>
              </w:rPr>
            </w:pPr>
            <w:r w:rsidRPr="00BA51FF">
              <w:rPr>
                <w:rFonts w:cs="Segoe UI"/>
              </w:rPr>
              <w:t>48</w:t>
            </w:r>
          </w:p>
        </w:tc>
        <w:tc>
          <w:tcPr>
            <w:tcW w:w="912" w:type="pct"/>
          </w:tcPr>
          <w:p w14:paraId="6F467D0C" w14:textId="77777777" w:rsidR="008361C5" w:rsidRPr="00BA51FF" w:rsidRDefault="008361C5" w:rsidP="008361C5">
            <w:pPr>
              <w:pStyle w:val="TableText"/>
              <w:jc w:val="center"/>
              <w:rPr>
                <w:rFonts w:cs="Segoe UI"/>
              </w:rPr>
            </w:pPr>
            <w:r w:rsidRPr="00BA51FF">
              <w:rPr>
                <w:rFonts w:cs="Segoe UI"/>
              </w:rPr>
              <w:t>618</w:t>
            </w:r>
          </w:p>
        </w:tc>
        <w:tc>
          <w:tcPr>
            <w:tcW w:w="913" w:type="pct"/>
          </w:tcPr>
          <w:p w14:paraId="7E382047" w14:textId="77777777" w:rsidR="008361C5" w:rsidRPr="00BA51FF" w:rsidRDefault="008361C5" w:rsidP="008361C5">
            <w:pPr>
              <w:pStyle w:val="TableText"/>
              <w:tabs>
                <w:tab w:val="decimal" w:pos="594"/>
              </w:tabs>
              <w:rPr>
                <w:rFonts w:cs="Segoe UI"/>
                <w:w w:val="102"/>
              </w:rPr>
            </w:pPr>
            <w:r w:rsidRPr="00BA51FF">
              <w:rPr>
                <w:rFonts w:cs="Segoe UI"/>
                <w:w w:val="102"/>
              </w:rPr>
              <w:t>0</w:t>
            </w:r>
          </w:p>
        </w:tc>
      </w:tr>
    </w:tbl>
    <w:p w14:paraId="5FD751EF" w14:textId="77777777" w:rsidR="008361C5" w:rsidRPr="00BA51FF" w:rsidRDefault="008361C5" w:rsidP="008361C5">
      <w:pPr>
        <w:pStyle w:val="Note"/>
      </w:pPr>
      <w:r w:rsidRPr="00BA51FF">
        <w:t xml:space="preserve">Notes: CTO = compulsory treatment order. The table presents applications that had been processed at the time of data extraction on 1 February 2021. The year is determined by the </w:t>
      </w:r>
      <w:proofErr w:type="gramStart"/>
      <w:r w:rsidRPr="00BA51FF">
        <w:t>final outcome</w:t>
      </w:r>
      <w:proofErr w:type="gramEnd"/>
      <w:r w:rsidRPr="00BA51FF">
        <w:t xml:space="preserve"> date. The case management system (CMS) is a live operational database. Figures are subject to minor changes at any time.</w:t>
      </w:r>
    </w:p>
    <w:p w14:paraId="626F1796" w14:textId="54999577" w:rsidR="008361C5" w:rsidRPr="00BA51FF" w:rsidRDefault="008361C5" w:rsidP="008361C5">
      <w:pPr>
        <w:pStyle w:val="Note"/>
      </w:pPr>
      <w:r w:rsidRPr="00BA51FF">
        <w:t xml:space="preserve">Source: Ministry of Justice Integrated Sector Intelligence System, which uses data </w:t>
      </w:r>
      <w:proofErr w:type="gramStart"/>
      <w:r w:rsidRPr="00BA51FF">
        <w:t>entered into</w:t>
      </w:r>
      <w:proofErr w:type="gramEnd"/>
      <w:r w:rsidRPr="00BA51FF">
        <w:t xml:space="preserve"> the CMS</w:t>
      </w:r>
      <w:r w:rsidR="0015429E">
        <w:t xml:space="preserve"> (extracted</w:t>
      </w:r>
      <w:r w:rsidRPr="00BA51FF">
        <w:t xml:space="preserve"> 1 February 2021</w:t>
      </w:r>
      <w:r w:rsidR="003510A5">
        <w:t>)</w:t>
      </w:r>
      <w:r w:rsidRPr="00BA51FF">
        <w:t>.</w:t>
      </w:r>
    </w:p>
    <w:p w14:paraId="5AE8C68F" w14:textId="77777777" w:rsidR="008361C5" w:rsidRPr="00200234" w:rsidRDefault="008361C5" w:rsidP="00A36A73"/>
    <w:p w14:paraId="080E2CFA" w14:textId="7B037B47" w:rsidR="008361C5" w:rsidRPr="00200234" w:rsidRDefault="008361C5" w:rsidP="000D7A1E">
      <w:pPr>
        <w:pStyle w:val="Table"/>
      </w:pPr>
      <w:bookmarkStart w:id="372" w:name="_Toc63764688"/>
      <w:bookmarkStart w:id="373" w:name="_Toc69306795"/>
      <w:r w:rsidRPr="00200234">
        <w:lastRenderedPageBreak/>
        <w:t>Table A</w:t>
      </w:r>
      <w:fldSimple w:instr=" SEQ Table_A \* ARABIC ">
        <w:r w:rsidR="00422361">
          <w:rPr>
            <w:noProof/>
          </w:rPr>
          <w:t>2</w:t>
        </w:r>
      </w:fldSimple>
      <w:r w:rsidRPr="00200234">
        <w:t>: Types of compulsory treatment orders made on granted applications, 2004</w:t>
      </w:r>
      <w:r w:rsidR="00912EAD" w:rsidRPr="00200234">
        <w:t>–</w:t>
      </w:r>
      <w:r w:rsidRPr="00200234">
        <w:t>2019</w:t>
      </w:r>
      <w:bookmarkEnd w:id="372"/>
      <w:bookmarkEnd w:id="373"/>
    </w:p>
    <w:tbl>
      <w:tblPr>
        <w:tblW w:w="5000" w:type="pct"/>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57" w:type="dxa"/>
          <w:right w:w="57" w:type="dxa"/>
        </w:tblCellMar>
        <w:tblLook w:val="04A0" w:firstRow="1" w:lastRow="0" w:firstColumn="1" w:lastColumn="0" w:noHBand="0" w:noVBand="1"/>
      </w:tblPr>
      <w:tblGrid>
        <w:gridCol w:w="591"/>
        <w:gridCol w:w="1186"/>
        <w:gridCol w:w="1186"/>
        <w:gridCol w:w="1186"/>
        <w:gridCol w:w="1661"/>
        <w:gridCol w:w="1130"/>
        <w:gridCol w:w="1139"/>
      </w:tblGrid>
      <w:tr w:rsidR="008361C5" w:rsidRPr="00200234" w14:paraId="69C71D07" w14:textId="77777777" w:rsidTr="007D1844">
        <w:trPr>
          <w:cantSplit/>
          <w:trHeight w:val="1483"/>
        </w:trPr>
        <w:tc>
          <w:tcPr>
            <w:tcW w:w="367" w:type="pct"/>
            <w:tcBorders>
              <w:top w:val="nil"/>
              <w:bottom w:val="nil"/>
            </w:tcBorders>
            <w:shd w:val="clear" w:color="auto" w:fill="D9D9D9" w:themeFill="background1" w:themeFillShade="D9"/>
          </w:tcPr>
          <w:p w14:paraId="22E03489" w14:textId="77777777" w:rsidR="008361C5" w:rsidRPr="00200234" w:rsidRDefault="008361C5" w:rsidP="008361C5">
            <w:pPr>
              <w:pStyle w:val="TableText"/>
              <w:keepNext/>
              <w:rPr>
                <w:rFonts w:cs="Segoe UI"/>
                <w:b/>
              </w:rPr>
            </w:pPr>
            <w:r w:rsidRPr="00200234">
              <w:rPr>
                <w:rFonts w:cs="Segoe UI"/>
                <w:b/>
              </w:rPr>
              <w:t>Year</w:t>
            </w:r>
          </w:p>
        </w:tc>
        <w:tc>
          <w:tcPr>
            <w:tcW w:w="735" w:type="pct"/>
            <w:tcBorders>
              <w:top w:val="nil"/>
              <w:bottom w:val="nil"/>
            </w:tcBorders>
            <w:shd w:val="clear" w:color="auto" w:fill="D9D9D9"/>
          </w:tcPr>
          <w:p w14:paraId="0E4C2AB6" w14:textId="77777777" w:rsidR="008361C5" w:rsidRPr="00200234" w:rsidRDefault="008361C5" w:rsidP="008361C5">
            <w:pPr>
              <w:pStyle w:val="TableText"/>
              <w:keepNext/>
              <w:jc w:val="center"/>
              <w:rPr>
                <w:rFonts w:cs="Segoe UI"/>
                <w:b/>
              </w:rPr>
            </w:pPr>
            <w:r w:rsidRPr="00200234">
              <w:rPr>
                <w:rFonts w:cs="Segoe UI"/>
                <w:b/>
              </w:rPr>
              <w:t>Number of granted applications for orders</w:t>
            </w:r>
          </w:p>
        </w:tc>
        <w:tc>
          <w:tcPr>
            <w:tcW w:w="735" w:type="pct"/>
            <w:tcBorders>
              <w:top w:val="nil"/>
              <w:bottom w:val="nil"/>
            </w:tcBorders>
            <w:shd w:val="clear" w:color="auto" w:fill="D9D9D9" w:themeFill="background1" w:themeFillShade="D9"/>
          </w:tcPr>
          <w:p w14:paraId="1B0F51C6" w14:textId="77777777" w:rsidR="008361C5" w:rsidRPr="00200234" w:rsidRDefault="008361C5" w:rsidP="008361C5">
            <w:pPr>
              <w:pStyle w:val="TableText"/>
              <w:keepNext/>
              <w:jc w:val="center"/>
              <w:rPr>
                <w:rFonts w:cs="Segoe UI"/>
                <w:b/>
              </w:rPr>
            </w:pPr>
            <w:r w:rsidRPr="00200234">
              <w:rPr>
                <w:rFonts w:cs="Segoe UI"/>
                <w:b/>
              </w:rPr>
              <w:t>Number of compulsory community treatment orders (or extension)</w:t>
            </w:r>
          </w:p>
        </w:tc>
        <w:tc>
          <w:tcPr>
            <w:tcW w:w="735" w:type="pct"/>
            <w:tcBorders>
              <w:top w:val="nil"/>
              <w:bottom w:val="nil"/>
            </w:tcBorders>
            <w:shd w:val="clear" w:color="auto" w:fill="D9D9D9" w:themeFill="background1" w:themeFillShade="D9"/>
          </w:tcPr>
          <w:p w14:paraId="35C0E19C" w14:textId="77777777" w:rsidR="008361C5" w:rsidRPr="00200234" w:rsidRDefault="008361C5" w:rsidP="008361C5">
            <w:pPr>
              <w:pStyle w:val="TableText"/>
              <w:keepNext/>
              <w:jc w:val="center"/>
              <w:rPr>
                <w:rFonts w:cs="Segoe UI"/>
                <w:b/>
              </w:rPr>
            </w:pPr>
            <w:r w:rsidRPr="00200234">
              <w:rPr>
                <w:rFonts w:cs="Segoe UI"/>
                <w:b/>
              </w:rPr>
              <w:t>Number of compulsory inpatient treatment orders (or extension)</w:t>
            </w:r>
          </w:p>
        </w:tc>
        <w:tc>
          <w:tcPr>
            <w:tcW w:w="1029" w:type="pct"/>
            <w:tcBorders>
              <w:top w:val="nil"/>
              <w:bottom w:val="nil"/>
            </w:tcBorders>
            <w:shd w:val="clear" w:color="auto" w:fill="D9D9D9" w:themeFill="background1" w:themeFillShade="D9"/>
          </w:tcPr>
          <w:p w14:paraId="439BFEDB" w14:textId="77777777" w:rsidR="008361C5" w:rsidRPr="00200234" w:rsidRDefault="008361C5" w:rsidP="008361C5">
            <w:pPr>
              <w:pStyle w:val="TableText"/>
              <w:keepNext/>
              <w:jc w:val="center"/>
              <w:rPr>
                <w:rFonts w:cs="Segoe UI"/>
                <w:b/>
              </w:rPr>
            </w:pPr>
            <w:r w:rsidRPr="00200234">
              <w:rPr>
                <w:rFonts w:cs="Segoe UI"/>
                <w:b/>
              </w:rPr>
              <w:t>Number of orders recorded as both compulsory community and inpatient treatment orders (or extension)</w:t>
            </w:r>
          </w:p>
        </w:tc>
        <w:tc>
          <w:tcPr>
            <w:tcW w:w="700" w:type="pct"/>
            <w:tcBorders>
              <w:top w:val="nil"/>
              <w:bottom w:val="nil"/>
            </w:tcBorders>
            <w:shd w:val="clear" w:color="auto" w:fill="D9D9D9" w:themeFill="background1" w:themeFillShade="D9"/>
          </w:tcPr>
          <w:p w14:paraId="528CE196" w14:textId="77777777" w:rsidR="008361C5" w:rsidRPr="00200234" w:rsidRDefault="008361C5" w:rsidP="008361C5">
            <w:pPr>
              <w:pStyle w:val="TableText"/>
              <w:keepNext/>
              <w:jc w:val="center"/>
              <w:rPr>
                <w:rFonts w:cs="Segoe UI"/>
                <w:b/>
              </w:rPr>
            </w:pPr>
            <w:r w:rsidRPr="00200234">
              <w:rPr>
                <w:rFonts w:cs="Segoe UI"/>
                <w:b/>
              </w:rPr>
              <w:t>Number of other orders</w:t>
            </w:r>
          </w:p>
        </w:tc>
        <w:tc>
          <w:tcPr>
            <w:tcW w:w="700" w:type="pct"/>
            <w:tcBorders>
              <w:top w:val="nil"/>
              <w:bottom w:val="nil"/>
            </w:tcBorders>
            <w:shd w:val="clear" w:color="auto" w:fill="D9D9D9" w:themeFill="background1" w:themeFillShade="D9"/>
          </w:tcPr>
          <w:p w14:paraId="01B72305" w14:textId="77777777" w:rsidR="008361C5" w:rsidRPr="00200234" w:rsidRDefault="008361C5" w:rsidP="008361C5">
            <w:pPr>
              <w:pStyle w:val="TableText"/>
              <w:keepNext/>
              <w:jc w:val="center"/>
              <w:rPr>
                <w:rFonts w:cs="Segoe UI"/>
                <w:b/>
              </w:rPr>
            </w:pPr>
            <w:r w:rsidRPr="00200234">
              <w:rPr>
                <w:rFonts w:cs="Segoe UI"/>
                <w:b/>
              </w:rPr>
              <w:t>Number of applications where type of order was not recorded</w:t>
            </w:r>
          </w:p>
        </w:tc>
      </w:tr>
      <w:tr w:rsidR="008361C5" w:rsidRPr="00200234" w14:paraId="0AB632CC" w14:textId="77777777" w:rsidTr="00A36A73">
        <w:trPr>
          <w:cantSplit/>
          <w:trHeight w:val="342"/>
        </w:trPr>
        <w:tc>
          <w:tcPr>
            <w:tcW w:w="367" w:type="pct"/>
            <w:tcBorders>
              <w:top w:val="nil"/>
            </w:tcBorders>
          </w:tcPr>
          <w:p w14:paraId="16B187D0" w14:textId="77777777" w:rsidR="008361C5" w:rsidRPr="00200234" w:rsidRDefault="008361C5" w:rsidP="008361C5">
            <w:pPr>
              <w:pStyle w:val="TableText"/>
              <w:keepNext/>
              <w:rPr>
                <w:rFonts w:cs="Segoe UI"/>
              </w:rPr>
            </w:pPr>
            <w:r w:rsidRPr="00200234">
              <w:rPr>
                <w:rFonts w:cs="Segoe UI"/>
                <w:w w:val="105"/>
              </w:rPr>
              <w:t>2004</w:t>
            </w:r>
          </w:p>
        </w:tc>
        <w:tc>
          <w:tcPr>
            <w:tcW w:w="735" w:type="pct"/>
            <w:tcBorders>
              <w:top w:val="nil"/>
            </w:tcBorders>
          </w:tcPr>
          <w:p w14:paraId="33B4011E" w14:textId="77777777" w:rsidR="008361C5" w:rsidRPr="00200234" w:rsidRDefault="008361C5" w:rsidP="008361C5">
            <w:pPr>
              <w:pStyle w:val="TableText"/>
              <w:keepNext/>
              <w:jc w:val="center"/>
              <w:rPr>
                <w:rFonts w:cs="Segoe UI"/>
              </w:rPr>
            </w:pPr>
            <w:r w:rsidRPr="00200234">
              <w:rPr>
                <w:rFonts w:cs="Segoe UI"/>
              </w:rPr>
              <w:t>3,863</w:t>
            </w:r>
          </w:p>
        </w:tc>
        <w:tc>
          <w:tcPr>
            <w:tcW w:w="735" w:type="pct"/>
            <w:tcBorders>
              <w:top w:val="nil"/>
            </w:tcBorders>
          </w:tcPr>
          <w:p w14:paraId="1B9BAB7A" w14:textId="77777777" w:rsidR="008361C5" w:rsidRPr="00200234" w:rsidRDefault="008361C5" w:rsidP="008361C5">
            <w:pPr>
              <w:pStyle w:val="TableText"/>
              <w:keepNext/>
              <w:jc w:val="center"/>
              <w:rPr>
                <w:rFonts w:cs="Segoe UI"/>
              </w:rPr>
            </w:pPr>
            <w:r w:rsidRPr="00200234">
              <w:rPr>
                <w:rFonts w:cs="Segoe UI"/>
              </w:rPr>
              <w:t>1,831</w:t>
            </w:r>
          </w:p>
        </w:tc>
        <w:tc>
          <w:tcPr>
            <w:tcW w:w="735" w:type="pct"/>
            <w:tcBorders>
              <w:top w:val="nil"/>
            </w:tcBorders>
          </w:tcPr>
          <w:p w14:paraId="3E0E170D" w14:textId="77777777" w:rsidR="008361C5" w:rsidRPr="00200234" w:rsidRDefault="008361C5" w:rsidP="008361C5">
            <w:pPr>
              <w:pStyle w:val="TableText"/>
              <w:keepNext/>
              <w:jc w:val="center"/>
              <w:rPr>
                <w:rFonts w:cs="Segoe UI"/>
              </w:rPr>
            </w:pPr>
            <w:r w:rsidRPr="00200234">
              <w:rPr>
                <w:rFonts w:cs="Segoe UI"/>
              </w:rPr>
              <w:t>1,533</w:t>
            </w:r>
          </w:p>
        </w:tc>
        <w:tc>
          <w:tcPr>
            <w:tcW w:w="1029" w:type="pct"/>
            <w:tcBorders>
              <w:top w:val="nil"/>
            </w:tcBorders>
          </w:tcPr>
          <w:p w14:paraId="3D971C3F" w14:textId="77777777" w:rsidR="008361C5" w:rsidRPr="00200234" w:rsidRDefault="008361C5" w:rsidP="008361C5">
            <w:pPr>
              <w:pStyle w:val="TableText"/>
              <w:keepNext/>
              <w:tabs>
                <w:tab w:val="decimal" w:pos="1077"/>
              </w:tabs>
              <w:rPr>
                <w:rFonts w:cs="Segoe UI"/>
              </w:rPr>
            </w:pPr>
            <w:r w:rsidRPr="00200234">
              <w:rPr>
                <w:rFonts w:cs="Segoe UI"/>
              </w:rPr>
              <w:t>119</w:t>
            </w:r>
          </w:p>
        </w:tc>
        <w:tc>
          <w:tcPr>
            <w:tcW w:w="700" w:type="pct"/>
            <w:tcBorders>
              <w:top w:val="nil"/>
            </w:tcBorders>
          </w:tcPr>
          <w:p w14:paraId="69238483" w14:textId="77777777" w:rsidR="008361C5" w:rsidRPr="00200234" w:rsidRDefault="008361C5" w:rsidP="008361C5">
            <w:pPr>
              <w:pStyle w:val="TableText"/>
              <w:keepNext/>
              <w:tabs>
                <w:tab w:val="decimal" w:pos="794"/>
              </w:tabs>
              <w:rPr>
                <w:rFonts w:cs="Segoe UI"/>
              </w:rPr>
            </w:pPr>
            <w:r w:rsidRPr="00200234">
              <w:rPr>
                <w:rFonts w:cs="Segoe UI"/>
              </w:rPr>
              <w:t>12</w:t>
            </w:r>
          </w:p>
        </w:tc>
        <w:tc>
          <w:tcPr>
            <w:tcW w:w="700" w:type="pct"/>
            <w:tcBorders>
              <w:top w:val="nil"/>
            </w:tcBorders>
          </w:tcPr>
          <w:p w14:paraId="129F7773" w14:textId="77777777" w:rsidR="008361C5" w:rsidRPr="00200234" w:rsidRDefault="008361C5" w:rsidP="008361C5">
            <w:pPr>
              <w:pStyle w:val="TableText"/>
              <w:keepNext/>
              <w:tabs>
                <w:tab w:val="decimal" w:pos="794"/>
              </w:tabs>
              <w:rPr>
                <w:rFonts w:cs="Segoe UI"/>
              </w:rPr>
            </w:pPr>
            <w:r w:rsidRPr="00200234">
              <w:rPr>
                <w:rFonts w:cs="Segoe UI"/>
              </w:rPr>
              <w:t>368</w:t>
            </w:r>
          </w:p>
        </w:tc>
      </w:tr>
      <w:tr w:rsidR="008361C5" w:rsidRPr="00200234" w14:paraId="47398441" w14:textId="77777777" w:rsidTr="00A36A73">
        <w:trPr>
          <w:cantSplit/>
          <w:trHeight w:val="328"/>
        </w:trPr>
        <w:tc>
          <w:tcPr>
            <w:tcW w:w="367" w:type="pct"/>
          </w:tcPr>
          <w:p w14:paraId="0AC7828C" w14:textId="77777777" w:rsidR="008361C5" w:rsidRPr="00200234" w:rsidRDefault="008361C5" w:rsidP="008361C5">
            <w:pPr>
              <w:pStyle w:val="TableText"/>
              <w:keepNext/>
              <w:rPr>
                <w:rFonts w:cs="Segoe UI"/>
                <w:w w:val="105"/>
              </w:rPr>
            </w:pPr>
            <w:r w:rsidRPr="00200234">
              <w:rPr>
                <w:rFonts w:cs="Segoe UI"/>
                <w:w w:val="105"/>
              </w:rPr>
              <w:t>2005</w:t>
            </w:r>
          </w:p>
        </w:tc>
        <w:tc>
          <w:tcPr>
            <w:tcW w:w="735" w:type="pct"/>
          </w:tcPr>
          <w:p w14:paraId="22E7DE72" w14:textId="77777777" w:rsidR="008361C5" w:rsidRPr="00200234" w:rsidRDefault="008361C5" w:rsidP="008361C5">
            <w:pPr>
              <w:pStyle w:val="TableText"/>
              <w:keepNext/>
              <w:jc w:val="center"/>
              <w:rPr>
                <w:rFonts w:cs="Segoe UI"/>
              </w:rPr>
            </w:pPr>
            <w:r w:rsidRPr="00200234">
              <w:rPr>
                <w:rFonts w:cs="Segoe UI"/>
              </w:rPr>
              <w:t>3,682</w:t>
            </w:r>
          </w:p>
        </w:tc>
        <w:tc>
          <w:tcPr>
            <w:tcW w:w="735" w:type="pct"/>
          </w:tcPr>
          <w:p w14:paraId="344D8DFC" w14:textId="77777777" w:rsidR="008361C5" w:rsidRPr="00200234" w:rsidRDefault="008361C5" w:rsidP="008361C5">
            <w:pPr>
              <w:pStyle w:val="TableText"/>
              <w:keepNext/>
              <w:jc w:val="center"/>
              <w:rPr>
                <w:rFonts w:cs="Segoe UI"/>
              </w:rPr>
            </w:pPr>
            <w:r w:rsidRPr="00200234">
              <w:rPr>
                <w:rFonts w:cs="Segoe UI"/>
              </w:rPr>
              <w:t>1,575</w:t>
            </w:r>
          </w:p>
        </w:tc>
        <w:tc>
          <w:tcPr>
            <w:tcW w:w="735" w:type="pct"/>
          </w:tcPr>
          <w:p w14:paraId="1E4CDCD5" w14:textId="77777777" w:rsidR="008361C5" w:rsidRPr="00200234" w:rsidRDefault="008361C5" w:rsidP="008361C5">
            <w:pPr>
              <w:pStyle w:val="TableText"/>
              <w:keepNext/>
              <w:jc w:val="center"/>
              <w:rPr>
                <w:rFonts w:cs="Segoe UI"/>
              </w:rPr>
            </w:pPr>
            <w:r w:rsidRPr="00200234">
              <w:rPr>
                <w:rFonts w:cs="Segoe UI"/>
              </w:rPr>
              <w:t>1,438</w:t>
            </w:r>
          </w:p>
        </w:tc>
        <w:tc>
          <w:tcPr>
            <w:tcW w:w="1029" w:type="pct"/>
          </w:tcPr>
          <w:p w14:paraId="05C09A85" w14:textId="77777777" w:rsidR="008361C5" w:rsidRPr="00200234" w:rsidRDefault="008361C5" w:rsidP="008361C5">
            <w:pPr>
              <w:pStyle w:val="TableText"/>
              <w:keepNext/>
              <w:tabs>
                <w:tab w:val="decimal" w:pos="1077"/>
              </w:tabs>
              <w:rPr>
                <w:rFonts w:cs="Segoe UI"/>
              </w:rPr>
            </w:pPr>
            <w:r w:rsidRPr="00200234">
              <w:rPr>
                <w:rFonts w:cs="Segoe UI"/>
              </w:rPr>
              <w:t>93</w:t>
            </w:r>
          </w:p>
        </w:tc>
        <w:tc>
          <w:tcPr>
            <w:tcW w:w="700" w:type="pct"/>
          </w:tcPr>
          <w:p w14:paraId="48F48A33" w14:textId="77777777" w:rsidR="008361C5" w:rsidRPr="00200234" w:rsidRDefault="008361C5" w:rsidP="008361C5">
            <w:pPr>
              <w:pStyle w:val="TableText"/>
              <w:keepNext/>
              <w:tabs>
                <w:tab w:val="decimal" w:pos="794"/>
              </w:tabs>
              <w:rPr>
                <w:rFonts w:cs="Segoe UI"/>
              </w:rPr>
            </w:pPr>
            <w:r w:rsidRPr="00200234">
              <w:rPr>
                <w:rFonts w:cs="Segoe UI"/>
              </w:rPr>
              <w:t>10</w:t>
            </w:r>
          </w:p>
        </w:tc>
        <w:tc>
          <w:tcPr>
            <w:tcW w:w="700" w:type="pct"/>
          </w:tcPr>
          <w:p w14:paraId="6866B4F8" w14:textId="77777777" w:rsidR="008361C5" w:rsidRPr="00200234" w:rsidRDefault="008361C5" w:rsidP="008361C5">
            <w:pPr>
              <w:pStyle w:val="TableText"/>
              <w:keepNext/>
              <w:tabs>
                <w:tab w:val="decimal" w:pos="794"/>
              </w:tabs>
              <w:rPr>
                <w:rFonts w:cs="Segoe UI"/>
              </w:rPr>
            </w:pPr>
            <w:r w:rsidRPr="00200234">
              <w:rPr>
                <w:rFonts w:cs="Segoe UI"/>
              </w:rPr>
              <w:t>566</w:t>
            </w:r>
          </w:p>
        </w:tc>
      </w:tr>
      <w:tr w:rsidR="008361C5" w:rsidRPr="00200234" w14:paraId="35191977" w14:textId="77777777" w:rsidTr="00A36A73">
        <w:trPr>
          <w:cantSplit/>
          <w:trHeight w:val="342"/>
        </w:trPr>
        <w:tc>
          <w:tcPr>
            <w:tcW w:w="367" w:type="pct"/>
          </w:tcPr>
          <w:p w14:paraId="04939C9D" w14:textId="77777777" w:rsidR="008361C5" w:rsidRPr="00200234" w:rsidRDefault="008361C5" w:rsidP="008361C5">
            <w:pPr>
              <w:pStyle w:val="TableText"/>
              <w:keepNext/>
              <w:rPr>
                <w:rFonts w:cs="Segoe UI"/>
                <w:w w:val="105"/>
              </w:rPr>
            </w:pPr>
            <w:r w:rsidRPr="00200234">
              <w:rPr>
                <w:rFonts w:cs="Segoe UI"/>
                <w:w w:val="105"/>
              </w:rPr>
              <w:t>2006</w:t>
            </w:r>
          </w:p>
        </w:tc>
        <w:tc>
          <w:tcPr>
            <w:tcW w:w="735" w:type="pct"/>
          </w:tcPr>
          <w:p w14:paraId="2DEBF533" w14:textId="77777777" w:rsidR="008361C5" w:rsidRPr="00200234" w:rsidRDefault="008361C5" w:rsidP="008361C5">
            <w:pPr>
              <w:pStyle w:val="TableText"/>
              <w:keepNext/>
              <w:jc w:val="center"/>
              <w:rPr>
                <w:rFonts w:cs="Segoe UI"/>
              </w:rPr>
            </w:pPr>
            <w:r w:rsidRPr="00200234">
              <w:rPr>
                <w:rFonts w:cs="Segoe UI"/>
              </w:rPr>
              <w:t>3,643</w:t>
            </w:r>
          </w:p>
        </w:tc>
        <w:tc>
          <w:tcPr>
            <w:tcW w:w="735" w:type="pct"/>
          </w:tcPr>
          <w:p w14:paraId="502A67EA" w14:textId="77777777" w:rsidR="008361C5" w:rsidRPr="00200234" w:rsidRDefault="008361C5" w:rsidP="008361C5">
            <w:pPr>
              <w:pStyle w:val="TableText"/>
              <w:keepNext/>
              <w:jc w:val="center"/>
              <w:rPr>
                <w:rFonts w:cs="Segoe UI"/>
              </w:rPr>
            </w:pPr>
            <w:r w:rsidRPr="00200234">
              <w:rPr>
                <w:rFonts w:cs="Segoe UI"/>
              </w:rPr>
              <w:t>1,614</w:t>
            </w:r>
          </w:p>
        </w:tc>
        <w:tc>
          <w:tcPr>
            <w:tcW w:w="735" w:type="pct"/>
          </w:tcPr>
          <w:p w14:paraId="05E1534E" w14:textId="77777777" w:rsidR="008361C5" w:rsidRPr="00200234" w:rsidRDefault="008361C5" w:rsidP="008361C5">
            <w:pPr>
              <w:pStyle w:val="TableText"/>
              <w:keepNext/>
              <w:jc w:val="center"/>
              <w:rPr>
                <w:rFonts w:cs="Segoe UI"/>
              </w:rPr>
            </w:pPr>
            <w:r w:rsidRPr="00200234">
              <w:rPr>
                <w:rFonts w:cs="Segoe UI"/>
              </w:rPr>
              <w:t>1,384</w:t>
            </w:r>
          </w:p>
        </w:tc>
        <w:tc>
          <w:tcPr>
            <w:tcW w:w="1029" w:type="pct"/>
          </w:tcPr>
          <w:p w14:paraId="30457BE7" w14:textId="77777777" w:rsidR="008361C5" w:rsidRPr="00200234" w:rsidRDefault="008361C5" w:rsidP="008361C5">
            <w:pPr>
              <w:pStyle w:val="TableText"/>
              <w:keepNext/>
              <w:tabs>
                <w:tab w:val="decimal" w:pos="1077"/>
              </w:tabs>
              <w:rPr>
                <w:rFonts w:cs="Segoe UI"/>
              </w:rPr>
            </w:pPr>
            <w:r w:rsidRPr="00200234">
              <w:rPr>
                <w:rFonts w:cs="Segoe UI"/>
              </w:rPr>
              <w:t>91</w:t>
            </w:r>
          </w:p>
        </w:tc>
        <w:tc>
          <w:tcPr>
            <w:tcW w:w="700" w:type="pct"/>
          </w:tcPr>
          <w:p w14:paraId="74AF18F8" w14:textId="77777777" w:rsidR="008361C5" w:rsidRPr="00200234" w:rsidRDefault="008361C5" w:rsidP="008361C5">
            <w:pPr>
              <w:pStyle w:val="TableText"/>
              <w:keepNext/>
              <w:tabs>
                <w:tab w:val="decimal" w:pos="794"/>
              </w:tabs>
              <w:rPr>
                <w:rFonts w:cs="Segoe UI"/>
              </w:rPr>
            </w:pPr>
            <w:r w:rsidRPr="00200234">
              <w:rPr>
                <w:rFonts w:cs="Segoe UI"/>
              </w:rPr>
              <w:t>14</w:t>
            </w:r>
          </w:p>
        </w:tc>
        <w:tc>
          <w:tcPr>
            <w:tcW w:w="700" w:type="pct"/>
          </w:tcPr>
          <w:p w14:paraId="7C5DC9F1" w14:textId="77777777" w:rsidR="008361C5" w:rsidRPr="00200234" w:rsidRDefault="008361C5" w:rsidP="008361C5">
            <w:pPr>
              <w:pStyle w:val="TableText"/>
              <w:keepNext/>
              <w:tabs>
                <w:tab w:val="decimal" w:pos="794"/>
              </w:tabs>
              <w:rPr>
                <w:rFonts w:cs="Segoe UI"/>
              </w:rPr>
            </w:pPr>
            <w:r w:rsidRPr="00200234">
              <w:rPr>
                <w:rFonts w:cs="Segoe UI"/>
              </w:rPr>
              <w:t>540</w:t>
            </w:r>
          </w:p>
        </w:tc>
      </w:tr>
      <w:tr w:rsidR="008361C5" w:rsidRPr="00200234" w14:paraId="7A55D5CB" w14:textId="77777777" w:rsidTr="00A36A73">
        <w:trPr>
          <w:cantSplit/>
          <w:trHeight w:val="342"/>
        </w:trPr>
        <w:tc>
          <w:tcPr>
            <w:tcW w:w="367" w:type="pct"/>
          </w:tcPr>
          <w:p w14:paraId="1EF2A7E6" w14:textId="77777777" w:rsidR="008361C5" w:rsidRPr="00200234" w:rsidRDefault="008361C5" w:rsidP="008361C5">
            <w:pPr>
              <w:pStyle w:val="TableText"/>
              <w:rPr>
                <w:rFonts w:cs="Segoe UI"/>
                <w:w w:val="105"/>
              </w:rPr>
            </w:pPr>
            <w:r w:rsidRPr="00200234">
              <w:rPr>
                <w:rFonts w:cs="Segoe UI"/>
                <w:w w:val="105"/>
              </w:rPr>
              <w:t>2007</w:t>
            </w:r>
          </w:p>
        </w:tc>
        <w:tc>
          <w:tcPr>
            <w:tcW w:w="735" w:type="pct"/>
          </w:tcPr>
          <w:p w14:paraId="5E1FE8D6" w14:textId="77777777" w:rsidR="008361C5" w:rsidRPr="00200234" w:rsidRDefault="008361C5" w:rsidP="008361C5">
            <w:pPr>
              <w:pStyle w:val="TableText"/>
              <w:jc w:val="center"/>
              <w:rPr>
                <w:rFonts w:cs="Segoe UI"/>
              </w:rPr>
            </w:pPr>
            <w:r w:rsidRPr="00200234">
              <w:rPr>
                <w:rFonts w:cs="Segoe UI"/>
              </w:rPr>
              <w:t>3,916</w:t>
            </w:r>
          </w:p>
        </w:tc>
        <w:tc>
          <w:tcPr>
            <w:tcW w:w="735" w:type="pct"/>
          </w:tcPr>
          <w:p w14:paraId="0934421F" w14:textId="77777777" w:rsidR="008361C5" w:rsidRPr="00200234" w:rsidRDefault="008361C5" w:rsidP="008361C5">
            <w:pPr>
              <w:pStyle w:val="TableText"/>
              <w:jc w:val="center"/>
              <w:rPr>
                <w:rFonts w:cs="Segoe UI"/>
              </w:rPr>
            </w:pPr>
            <w:r w:rsidRPr="00200234">
              <w:rPr>
                <w:rFonts w:cs="Segoe UI"/>
              </w:rPr>
              <w:t>1,714</w:t>
            </w:r>
          </w:p>
        </w:tc>
        <w:tc>
          <w:tcPr>
            <w:tcW w:w="735" w:type="pct"/>
          </w:tcPr>
          <w:p w14:paraId="34D953B6" w14:textId="77777777" w:rsidR="008361C5" w:rsidRPr="00200234" w:rsidRDefault="008361C5" w:rsidP="008361C5">
            <w:pPr>
              <w:pStyle w:val="TableText"/>
              <w:jc w:val="center"/>
              <w:rPr>
                <w:rFonts w:cs="Segoe UI"/>
              </w:rPr>
            </w:pPr>
            <w:r w:rsidRPr="00200234">
              <w:rPr>
                <w:rFonts w:cs="Segoe UI"/>
              </w:rPr>
              <w:t>1,336</w:t>
            </w:r>
          </w:p>
        </w:tc>
        <w:tc>
          <w:tcPr>
            <w:tcW w:w="1029" w:type="pct"/>
          </w:tcPr>
          <w:p w14:paraId="106D4CA7" w14:textId="77777777" w:rsidR="008361C5" w:rsidRPr="00200234" w:rsidRDefault="008361C5" w:rsidP="008361C5">
            <w:pPr>
              <w:pStyle w:val="TableText"/>
              <w:tabs>
                <w:tab w:val="decimal" w:pos="1077"/>
              </w:tabs>
              <w:rPr>
                <w:rFonts w:cs="Segoe UI"/>
              </w:rPr>
            </w:pPr>
            <w:r w:rsidRPr="00200234">
              <w:rPr>
                <w:rFonts w:cs="Segoe UI"/>
              </w:rPr>
              <w:t>118</w:t>
            </w:r>
          </w:p>
        </w:tc>
        <w:tc>
          <w:tcPr>
            <w:tcW w:w="700" w:type="pct"/>
          </w:tcPr>
          <w:p w14:paraId="4C226CD9" w14:textId="77777777" w:rsidR="008361C5" w:rsidRPr="00200234" w:rsidRDefault="008361C5" w:rsidP="008361C5">
            <w:pPr>
              <w:pStyle w:val="TableText"/>
              <w:tabs>
                <w:tab w:val="decimal" w:pos="794"/>
              </w:tabs>
              <w:rPr>
                <w:rFonts w:cs="Segoe UI"/>
              </w:rPr>
            </w:pPr>
            <w:r w:rsidRPr="00200234">
              <w:rPr>
                <w:rFonts w:cs="Segoe UI"/>
              </w:rPr>
              <w:t>24</w:t>
            </w:r>
          </w:p>
        </w:tc>
        <w:tc>
          <w:tcPr>
            <w:tcW w:w="700" w:type="pct"/>
          </w:tcPr>
          <w:p w14:paraId="5FB693ED" w14:textId="77777777" w:rsidR="008361C5" w:rsidRPr="00200234" w:rsidRDefault="008361C5" w:rsidP="008361C5">
            <w:pPr>
              <w:pStyle w:val="TableText"/>
              <w:tabs>
                <w:tab w:val="decimal" w:pos="794"/>
              </w:tabs>
              <w:rPr>
                <w:rFonts w:cs="Segoe UI"/>
              </w:rPr>
            </w:pPr>
            <w:r w:rsidRPr="00200234">
              <w:rPr>
                <w:rFonts w:cs="Segoe UI"/>
              </w:rPr>
              <w:t>724</w:t>
            </w:r>
          </w:p>
        </w:tc>
      </w:tr>
      <w:tr w:rsidR="008361C5" w:rsidRPr="00200234" w14:paraId="2850D808" w14:textId="77777777" w:rsidTr="00A36A73">
        <w:trPr>
          <w:cantSplit/>
          <w:trHeight w:val="328"/>
        </w:trPr>
        <w:tc>
          <w:tcPr>
            <w:tcW w:w="367" w:type="pct"/>
          </w:tcPr>
          <w:p w14:paraId="49F7BFC3" w14:textId="77777777" w:rsidR="008361C5" w:rsidRPr="00200234" w:rsidRDefault="008361C5" w:rsidP="008361C5">
            <w:pPr>
              <w:pStyle w:val="TableText"/>
              <w:rPr>
                <w:rFonts w:cs="Segoe UI"/>
                <w:w w:val="105"/>
              </w:rPr>
            </w:pPr>
            <w:r w:rsidRPr="00200234">
              <w:rPr>
                <w:rFonts w:cs="Segoe UI"/>
                <w:w w:val="105"/>
              </w:rPr>
              <w:t>2008</w:t>
            </w:r>
          </w:p>
        </w:tc>
        <w:tc>
          <w:tcPr>
            <w:tcW w:w="735" w:type="pct"/>
          </w:tcPr>
          <w:p w14:paraId="40846EC9" w14:textId="77777777" w:rsidR="008361C5" w:rsidRPr="00200234" w:rsidRDefault="008361C5" w:rsidP="008361C5">
            <w:pPr>
              <w:pStyle w:val="TableText"/>
              <w:jc w:val="center"/>
              <w:rPr>
                <w:rFonts w:cs="Segoe UI"/>
              </w:rPr>
            </w:pPr>
            <w:r w:rsidRPr="00200234">
              <w:rPr>
                <w:rFonts w:cs="Segoe UI"/>
              </w:rPr>
              <w:t>3,969</w:t>
            </w:r>
          </w:p>
        </w:tc>
        <w:tc>
          <w:tcPr>
            <w:tcW w:w="735" w:type="pct"/>
          </w:tcPr>
          <w:p w14:paraId="339AF1C8" w14:textId="77777777" w:rsidR="008361C5" w:rsidRPr="00200234" w:rsidRDefault="008361C5" w:rsidP="008361C5">
            <w:pPr>
              <w:pStyle w:val="TableText"/>
              <w:jc w:val="center"/>
              <w:rPr>
                <w:rFonts w:cs="Segoe UI"/>
              </w:rPr>
            </w:pPr>
            <w:r w:rsidRPr="00200234">
              <w:rPr>
                <w:rFonts w:cs="Segoe UI"/>
              </w:rPr>
              <w:t>1,841</w:t>
            </w:r>
          </w:p>
        </w:tc>
        <w:tc>
          <w:tcPr>
            <w:tcW w:w="735" w:type="pct"/>
          </w:tcPr>
          <w:p w14:paraId="5A3A5A8C" w14:textId="77777777" w:rsidR="008361C5" w:rsidRPr="00200234" w:rsidRDefault="008361C5" w:rsidP="008361C5">
            <w:pPr>
              <w:pStyle w:val="TableText"/>
              <w:jc w:val="center"/>
              <w:rPr>
                <w:rFonts w:cs="Segoe UI"/>
              </w:rPr>
            </w:pPr>
            <w:r w:rsidRPr="00200234">
              <w:rPr>
                <w:rFonts w:cs="Segoe UI"/>
              </w:rPr>
              <w:t>1,431</w:t>
            </w:r>
          </w:p>
        </w:tc>
        <w:tc>
          <w:tcPr>
            <w:tcW w:w="1029" w:type="pct"/>
          </w:tcPr>
          <w:p w14:paraId="0BB0A559" w14:textId="77777777" w:rsidR="008361C5" w:rsidRPr="00200234" w:rsidRDefault="008361C5" w:rsidP="008361C5">
            <w:pPr>
              <w:pStyle w:val="TableText"/>
              <w:tabs>
                <w:tab w:val="decimal" w:pos="1077"/>
              </w:tabs>
              <w:rPr>
                <w:rFonts w:cs="Segoe UI"/>
              </w:rPr>
            </w:pPr>
            <w:r w:rsidRPr="00200234">
              <w:rPr>
                <w:rFonts w:cs="Segoe UI"/>
              </w:rPr>
              <w:t>120</w:t>
            </w:r>
          </w:p>
        </w:tc>
        <w:tc>
          <w:tcPr>
            <w:tcW w:w="700" w:type="pct"/>
          </w:tcPr>
          <w:p w14:paraId="12C3FDCF" w14:textId="77777777" w:rsidR="008361C5" w:rsidRPr="00200234" w:rsidRDefault="008361C5" w:rsidP="008361C5">
            <w:pPr>
              <w:pStyle w:val="TableText"/>
              <w:tabs>
                <w:tab w:val="decimal" w:pos="794"/>
              </w:tabs>
              <w:rPr>
                <w:rFonts w:cs="Segoe UI"/>
              </w:rPr>
            </w:pPr>
            <w:r w:rsidRPr="00200234">
              <w:rPr>
                <w:rFonts w:cs="Segoe UI"/>
              </w:rPr>
              <w:t>13</w:t>
            </w:r>
          </w:p>
        </w:tc>
        <w:tc>
          <w:tcPr>
            <w:tcW w:w="700" w:type="pct"/>
          </w:tcPr>
          <w:p w14:paraId="03ECA3B4" w14:textId="77777777" w:rsidR="008361C5" w:rsidRPr="00200234" w:rsidRDefault="008361C5" w:rsidP="008361C5">
            <w:pPr>
              <w:pStyle w:val="TableText"/>
              <w:tabs>
                <w:tab w:val="decimal" w:pos="794"/>
              </w:tabs>
              <w:rPr>
                <w:rFonts w:cs="Segoe UI"/>
              </w:rPr>
            </w:pPr>
            <w:r w:rsidRPr="00200234">
              <w:rPr>
                <w:rFonts w:cs="Segoe UI"/>
              </w:rPr>
              <w:t>564</w:t>
            </w:r>
          </w:p>
        </w:tc>
      </w:tr>
      <w:tr w:rsidR="008361C5" w:rsidRPr="00200234" w14:paraId="0F5C86FF" w14:textId="77777777" w:rsidTr="00A36A73">
        <w:trPr>
          <w:cantSplit/>
          <w:trHeight w:val="342"/>
        </w:trPr>
        <w:tc>
          <w:tcPr>
            <w:tcW w:w="367" w:type="pct"/>
          </w:tcPr>
          <w:p w14:paraId="407C61C1" w14:textId="77777777" w:rsidR="008361C5" w:rsidRPr="00200234" w:rsidRDefault="008361C5" w:rsidP="008361C5">
            <w:pPr>
              <w:pStyle w:val="TableText"/>
              <w:rPr>
                <w:rFonts w:cs="Segoe UI"/>
                <w:w w:val="105"/>
              </w:rPr>
            </w:pPr>
            <w:r w:rsidRPr="00200234">
              <w:rPr>
                <w:rFonts w:cs="Segoe UI"/>
                <w:w w:val="105"/>
              </w:rPr>
              <w:t>2009</w:t>
            </w:r>
          </w:p>
        </w:tc>
        <w:tc>
          <w:tcPr>
            <w:tcW w:w="735" w:type="pct"/>
          </w:tcPr>
          <w:p w14:paraId="7EBF0173" w14:textId="77777777" w:rsidR="008361C5" w:rsidRPr="00200234" w:rsidRDefault="008361C5" w:rsidP="008361C5">
            <w:pPr>
              <w:pStyle w:val="TableText"/>
              <w:jc w:val="center"/>
              <w:rPr>
                <w:rFonts w:cs="Segoe UI"/>
              </w:rPr>
            </w:pPr>
            <w:r w:rsidRPr="00200234">
              <w:rPr>
                <w:rFonts w:cs="Segoe UI"/>
              </w:rPr>
              <w:t>4,039</w:t>
            </w:r>
          </w:p>
        </w:tc>
        <w:tc>
          <w:tcPr>
            <w:tcW w:w="735" w:type="pct"/>
          </w:tcPr>
          <w:p w14:paraId="00A79EE7" w14:textId="77777777" w:rsidR="008361C5" w:rsidRPr="00200234" w:rsidRDefault="008361C5" w:rsidP="008361C5">
            <w:pPr>
              <w:pStyle w:val="TableText"/>
              <w:jc w:val="center"/>
              <w:rPr>
                <w:rFonts w:cs="Segoe UI"/>
              </w:rPr>
            </w:pPr>
            <w:r w:rsidRPr="00200234">
              <w:rPr>
                <w:rFonts w:cs="Segoe UI"/>
              </w:rPr>
              <w:t>2,085</w:t>
            </w:r>
          </w:p>
        </w:tc>
        <w:tc>
          <w:tcPr>
            <w:tcW w:w="735" w:type="pct"/>
          </w:tcPr>
          <w:p w14:paraId="3987BCCA" w14:textId="77777777" w:rsidR="008361C5" w:rsidRPr="00200234" w:rsidRDefault="008361C5" w:rsidP="008361C5">
            <w:pPr>
              <w:pStyle w:val="TableText"/>
              <w:jc w:val="center"/>
              <w:rPr>
                <w:rFonts w:cs="Segoe UI"/>
              </w:rPr>
            </w:pPr>
            <w:r w:rsidRPr="00200234">
              <w:rPr>
                <w:rFonts w:cs="Segoe UI"/>
              </w:rPr>
              <w:t>1,565</w:t>
            </w:r>
          </w:p>
        </w:tc>
        <w:tc>
          <w:tcPr>
            <w:tcW w:w="1029" w:type="pct"/>
          </w:tcPr>
          <w:p w14:paraId="2762660E" w14:textId="77777777" w:rsidR="008361C5" w:rsidRPr="00200234" w:rsidRDefault="008361C5" w:rsidP="008361C5">
            <w:pPr>
              <w:pStyle w:val="TableText"/>
              <w:tabs>
                <w:tab w:val="decimal" w:pos="1077"/>
              </w:tabs>
              <w:rPr>
                <w:rFonts w:cs="Segoe UI"/>
              </w:rPr>
            </w:pPr>
            <w:r w:rsidRPr="00200234">
              <w:rPr>
                <w:rFonts w:cs="Segoe UI"/>
              </w:rPr>
              <w:t>106</w:t>
            </w:r>
          </w:p>
        </w:tc>
        <w:tc>
          <w:tcPr>
            <w:tcW w:w="700" w:type="pct"/>
          </w:tcPr>
          <w:p w14:paraId="04F1EFC5" w14:textId="77777777" w:rsidR="008361C5" w:rsidRPr="00200234" w:rsidRDefault="008361C5" w:rsidP="008361C5">
            <w:pPr>
              <w:pStyle w:val="TableText"/>
              <w:tabs>
                <w:tab w:val="decimal" w:pos="794"/>
              </w:tabs>
              <w:rPr>
                <w:rFonts w:cs="Segoe UI"/>
              </w:rPr>
            </w:pPr>
            <w:r w:rsidRPr="00200234">
              <w:rPr>
                <w:rFonts w:cs="Segoe UI"/>
              </w:rPr>
              <w:t>15</w:t>
            </w:r>
          </w:p>
        </w:tc>
        <w:tc>
          <w:tcPr>
            <w:tcW w:w="700" w:type="pct"/>
          </w:tcPr>
          <w:p w14:paraId="50881362" w14:textId="77777777" w:rsidR="008361C5" w:rsidRPr="00200234" w:rsidRDefault="008361C5" w:rsidP="008361C5">
            <w:pPr>
              <w:pStyle w:val="TableText"/>
              <w:tabs>
                <w:tab w:val="decimal" w:pos="794"/>
              </w:tabs>
              <w:rPr>
                <w:rFonts w:cs="Segoe UI"/>
              </w:rPr>
            </w:pPr>
            <w:r w:rsidRPr="00200234">
              <w:rPr>
                <w:rFonts w:cs="Segoe UI"/>
              </w:rPr>
              <w:t>268</w:t>
            </w:r>
          </w:p>
        </w:tc>
      </w:tr>
      <w:tr w:rsidR="008361C5" w:rsidRPr="00200234" w14:paraId="125C8A87" w14:textId="77777777" w:rsidTr="00A36A73">
        <w:trPr>
          <w:cantSplit/>
          <w:trHeight w:val="328"/>
        </w:trPr>
        <w:tc>
          <w:tcPr>
            <w:tcW w:w="367" w:type="pct"/>
          </w:tcPr>
          <w:p w14:paraId="6BB3A9CB" w14:textId="77777777" w:rsidR="008361C5" w:rsidRPr="00200234" w:rsidRDefault="008361C5" w:rsidP="008361C5">
            <w:pPr>
              <w:pStyle w:val="TableText"/>
              <w:rPr>
                <w:rFonts w:cs="Segoe UI"/>
                <w:w w:val="105"/>
              </w:rPr>
            </w:pPr>
            <w:r w:rsidRPr="00200234">
              <w:rPr>
                <w:rFonts w:cs="Segoe UI"/>
                <w:w w:val="105"/>
              </w:rPr>
              <w:t>2010</w:t>
            </w:r>
          </w:p>
        </w:tc>
        <w:tc>
          <w:tcPr>
            <w:tcW w:w="735" w:type="pct"/>
          </w:tcPr>
          <w:p w14:paraId="6685C3AF" w14:textId="77777777" w:rsidR="008361C5" w:rsidRPr="00200234" w:rsidRDefault="008361C5" w:rsidP="008361C5">
            <w:pPr>
              <w:pStyle w:val="TableText"/>
              <w:jc w:val="center"/>
              <w:rPr>
                <w:rFonts w:cs="Segoe UI"/>
              </w:rPr>
            </w:pPr>
            <w:r w:rsidRPr="00200234">
              <w:rPr>
                <w:rFonts w:cs="Segoe UI"/>
              </w:rPr>
              <w:t>4,156</w:t>
            </w:r>
          </w:p>
        </w:tc>
        <w:tc>
          <w:tcPr>
            <w:tcW w:w="735" w:type="pct"/>
          </w:tcPr>
          <w:p w14:paraId="34B102FE" w14:textId="77777777" w:rsidR="008361C5" w:rsidRPr="00200234" w:rsidRDefault="008361C5" w:rsidP="008361C5">
            <w:pPr>
              <w:pStyle w:val="TableText"/>
              <w:jc w:val="center"/>
              <w:rPr>
                <w:rFonts w:cs="Segoe UI"/>
              </w:rPr>
            </w:pPr>
            <w:r w:rsidRPr="00200234">
              <w:rPr>
                <w:rFonts w:cs="Segoe UI"/>
              </w:rPr>
              <w:t>2,252</w:t>
            </w:r>
          </w:p>
        </w:tc>
        <w:tc>
          <w:tcPr>
            <w:tcW w:w="735" w:type="pct"/>
          </w:tcPr>
          <w:p w14:paraId="05CC8BC4" w14:textId="77777777" w:rsidR="008361C5" w:rsidRPr="00200234" w:rsidRDefault="008361C5" w:rsidP="008361C5">
            <w:pPr>
              <w:pStyle w:val="TableText"/>
              <w:jc w:val="center"/>
              <w:rPr>
                <w:rFonts w:cs="Segoe UI"/>
              </w:rPr>
            </w:pPr>
            <w:r w:rsidRPr="00200234">
              <w:rPr>
                <w:rFonts w:cs="Segoe UI"/>
              </w:rPr>
              <w:t>1,624</w:t>
            </w:r>
          </w:p>
        </w:tc>
        <w:tc>
          <w:tcPr>
            <w:tcW w:w="1029" w:type="pct"/>
          </w:tcPr>
          <w:p w14:paraId="131A883E" w14:textId="77777777" w:rsidR="008361C5" w:rsidRPr="00200234" w:rsidRDefault="008361C5" w:rsidP="008361C5">
            <w:pPr>
              <w:pStyle w:val="TableText"/>
              <w:tabs>
                <w:tab w:val="decimal" w:pos="1077"/>
              </w:tabs>
              <w:rPr>
                <w:rFonts w:cs="Segoe UI"/>
              </w:rPr>
            </w:pPr>
            <w:r w:rsidRPr="00200234">
              <w:rPr>
                <w:rFonts w:cs="Segoe UI"/>
              </w:rPr>
              <w:t>113</w:t>
            </w:r>
          </w:p>
        </w:tc>
        <w:tc>
          <w:tcPr>
            <w:tcW w:w="700" w:type="pct"/>
          </w:tcPr>
          <w:p w14:paraId="7BE9622D" w14:textId="77777777" w:rsidR="008361C5" w:rsidRPr="00200234" w:rsidRDefault="008361C5" w:rsidP="008361C5">
            <w:pPr>
              <w:pStyle w:val="TableText"/>
              <w:tabs>
                <w:tab w:val="decimal" w:pos="794"/>
              </w:tabs>
              <w:rPr>
                <w:rFonts w:cs="Segoe UI"/>
              </w:rPr>
            </w:pPr>
            <w:r w:rsidRPr="00200234">
              <w:rPr>
                <w:rFonts w:cs="Segoe UI"/>
              </w:rPr>
              <w:t>9</w:t>
            </w:r>
          </w:p>
        </w:tc>
        <w:tc>
          <w:tcPr>
            <w:tcW w:w="700" w:type="pct"/>
          </w:tcPr>
          <w:p w14:paraId="43684645" w14:textId="77777777" w:rsidR="008361C5" w:rsidRPr="00200234" w:rsidRDefault="008361C5" w:rsidP="008361C5">
            <w:pPr>
              <w:pStyle w:val="TableText"/>
              <w:tabs>
                <w:tab w:val="decimal" w:pos="794"/>
              </w:tabs>
              <w:rPr>
                <w:rFonts w:cs="Segoe UI"/>
              </w:rPr>
            </w:pPr>
            <w:r w:rsidRPr="00200234">
              <w:rPr>
                <w:rFonts w:cs="Segoe UI"/>
              </w:rPr>
              <w:t>158</w:t>
            </w:r>
          </w:p>
        </w:tc>
      </w:tr>
      <w:tr w:rsidR="008361C5" w:rsidRPr="00200234" w14:paraId="0734919B" w14:textId="77777777" w:rsidTr="00A36A73">
        <w:trPr>
          <w:cantSplit/>
          <w:trHeight w:val="342"/>
        </w:trPr>
        <w:tc>
          <w:tcPr>
            <w:tcW w:w="367" w:type="pct"/>
          </w:tcPr>
          <w:p w14:paraId="033B1F22" w14:textId="77777777" w:rsidR="008361C5" w:rsidRPr="00200234" w:rsidRDefault="008361C5" w:rsidP="008361C5">
            <w:pPr>
              <w:pStyle w:val="TableText"/>
              <w:rPr>
                <w:rFonts w:cs="Segoe UI"/>
                <w:w w:val="105"/>
              </w:rPr>
            </w:pPr>
            <w:r w:rsidRPr="00200234">
              <w:rPr>
                <w:rFonts w:cs="Segoe UI"/>
                <w:w w:val="105"/>
              </w:rPr>
              <w:t>2011</w:t>
            </w:r>
          </w:p>
        </w:tc>
        <w:tc>
          <w:tcPr>
            <w:tcW w:w="735" w:type="pct"/>
          </w:tcPr>
          <w:p w14:paraId="0E2616C6" w14:textId="77777777" w:rsidR="008361C5" w:rsidRPr="00200234" w:rsidRDefault="008361C5" w:rsidP="008361C5">
            <w:pPr>
              <w:pStyle w:val="TableText"/>
              <w:jc w:val="center"/>
              <w:rPr>
                <w:rFonts w:cs="Segoe UI"/>
              </w:rPr>
            </w:pPr>
            <w:r w:rsidRPr="00200234">
              <w:rPr>
                <w:rFonts w:cs="Segoe UI"/>
              </w:rPr>
              <w:t>4,215</w:t>
            </w:r>
          </w:p>
        </w:tc>
        <w:tc>
          <w:tcPr>
            <w:tcW w:w="735" w:type="pct"/>
          </w:tcPr>
          <w:p w14:paraId="66445EFB" w14:textId="77777777" w:rsidR="008361C5" w:rsidRPr="00200234" w:rsidRDefault="008361C5" w:rsidP="008361C5">
            <w:pPr>
              <w:pStyle w:val="TableText"/>
              <w:jc w:val="center"/>
              <w:rPr>
                <w:rFonts w:cs="Segoe UI"/>
              </w:rPr>
            </w:pPr>
            <w:r w:rsidRPr="00200234">
              <w:rPr>
                <w:rFonts w:cs="Segoe UI"/>
              </w:rPr>
              <w:t>2,255</w:t>
            </w:r>
          </w:p>
        </w:tc>
        <w:tc>
          <w:tcPr>
            <w:tcW w:w="735" w:type="pct"/>
          </w:tcPr>
          <w:p w14:paraId="67FCA4BD" w14:textId="77777777" w:rsidR="008361C5" w:rsidRPr="00200234" w:rsidRDefault="008361C5" w:rsidP="008361C5">
            <w:pPr>
              <w:pStyle w:val="TableText"/>
              <w:jc w:val="center"/>
              <w:rPr>
                <w:rFonts w:cs="Segoe UI"/>
              </w:rPr>
            </w:pPr>
            <w:r w:rsidRPr="00200234">
              <w:rPr>
                <w:rFonts w:cs="Segoe UI"/>
              </w:rPr>
              <w:t>1,677</w:t>
            </w:r>
          </w:p>
        </w:tc>
        <w:tc>
          <w:tcPr>
            <w:tcW w:w="1029" w:type="pct"/>
          </w:tcPr>
          <w:p w14:paraId="6248D387" w14:textId="77777777" w:rsidR="008361C5" w:rsidRPr="00200234" w:rsidRDefault="008361C5" w:rsidP="008361C5">
            <w:pPr>
              <w:pStyle w:val="TableText"/>
              <w:tabs>
                <w:tab w:val="decimal" w:pos="1077"/>
              </w:tabs>
              <w:rPr>
                <w:rFonts w:cs="Segoe UI"/>
              </w:rPr>
            </w:pPr>
            <w:r w:rsidRPr="00200234">
              <w:rPr>
                <w:rFonts w:cs="Segoe UI"/>
              </w:rPr>
              <w:t>90</w:t>
            </w:r>
          </w:p>
        </w:tc>
        <w:tc>
          <w:tcPr>
            <w:tcW w:w="700" w:type="pct"/>
          </w:tcPr>
          <w:p w14:paraId="1EE7DF53" w14:textId="77777777" w:rsidR="008361C5" w:rsidRPr="00200234" w:rsidRDefault="008361C5" w:rsidP="008361C5">
            <w:pPr>
              <w:pStyle w:val="TableText"/>
              <w:tabs>
                <w:tab w:val="decimal" w:pos="794"/>
              </w:tabs>
              <w:rPr>
                <w:rFonts w:cs="Segoe UI"/>
              </w:rPr>
            </w:pPr>
            <w:r w:rsidRPr="00200234">
              <w:rPr>
                <w:rFonts w:cs="Segoe UI"/>
              </w:rPr>
              <w:t>8</w:t>
            </w:r>
          </w:p>
        </w:tc>
        <w:tc>
          <w:tcPr>
            <w:tcW w:w="700" w:type="pct"/>
          </w:tcPr>
          <w:p w14:paraId="406F419A" w14:textId="77777777" w:rsidR="008361C5" w:rsidRPr="00200234" w:rsidRDefault="008361C5" w:rsidP="008361C5">
            <w:pPr>
              <w:pStyle w:val="TableText"/>
              <w:tabs>
                <w:tab w:val="decimal" w:pos="794"/>
              </w:tabs>
              <w:rPr>
                <w:rFonts w:cs="Segoe UI"/>
              </w:rPr>
            </w:pPr>
            <w:r w:rsidRPr="00200234">
              <w:rPr>
                <w:rFonts w:cs="Segoe UI"/>
              </w:rPr>
              <w:t>185</w:t>
            </w:r>
          </w:p>
        </w:tc>
      </w:tr>
      <w:tr w:rsidR="008361C5" w:rsidRPr="00200234" w14:paraId="5028283D" w14:textId="77777777" w:rsidTr="00A36A73">
        <w:trPr>
          <w:cantSplit/>
          <w:trHeight w:val="342"/>
        </w:trPr>
        <w:tc>
          <w:tcPr>
            <w:tcW w:w="367" w:type="pct"/>
          </w:tcPr>
          <w:p w14:paraId="06C2A6ED" w14:textId="77777777" w:rsidR="008361C5" w:rsidRPr="00200234" w:rsidRDefault="008361C5" w:rsidP="008361C5">
            <w:pPr>
              <w:pStyle w:val="TableText"/>
              <w:rPr>
                <w:rFonts w:cs="Segoe UI"/>
                <w:w w:val="105"/>
              </w:rPr>
            </w:pPr>
            <w:r w:rsidRPr="00200234">
              <w:rPr>
                <w:rFonts w:cs="Segoe UI"/>
                <w:w w:val="105"/>
              </w:rPr>
              <w:t>2012</w:t>
            </w:r>
          </w:p>
        </w:tc>
        <w:tc>
          <w:tcPr>
            <w:tcW w:w="735" w:type="pct"/>
          </w:tcPr>
          <w:p w14:paraId="748A8DBD" w14:textId="77777777" w:rsidR="008361C5" w:rsidRPr="00200234" w:rsidRDefault="008361C5" w:rsidP="008361C5">
            <w:pPr>
              <w:pStyle w:val="TableText"/>
              <w:jc w:val="center"/>
              <w:rPr>
                <w:rFonts w:cs="Segoe UI"/>
              </w:rPr>
            </w:pPr>
            <w:r w:rsidRPr="00200234">
              <w:rPr>
                <w:rFonts w:cs="Segoe UI"/>
              </w:rPr>
              <w:t>4,343</w:t>
            </w:r>
          </w:p>
        </w:tc>
        <w:tc>
          <w:tcPr>
            <w:tcW w:w="735" w:type="pct"/>
          </w:tcPr>
          <w:p w14:paraId="026C7BFB" w14:textId="77777777" w:rsidR="008361C5" w:rsidRPr="00200234" w:rsidRDefault="008361C5" w:rsidP="008361C5">
            <w:pPr>
              <w:pStyle w:val="TableText"/>
              <w:jc w:val="center"/>
              <w:rPr>
                <w:rFonts w:cs="Segoe UI"/>
              </w:rPr>
            </w:pPr>
            <w:r w:rsidRPr="00200234">
              <w:rPr>
                <w:rFonts w:cs="Segoe UI"/>
              </w:rPr>
              <w:t>2,436</w:t>
            </w:r>
          </w:p>
        </w:tc>
        <w:tc>
          <w:tcPr>
            <w:tcW w:w="735" w:type="pct"/>
          </w:tcPr>
          <w:p w14:paraId="16DD0A74" w14:textId="77777777" w:rsidR="008361C5" w:rsidRPr="00200234" w:rsidRDefault="008361C5" w:rsidP="008361C5">
            <w:pPr>
              <w:pStyle w:val="TableText"/>
              <w:jc w:val="center"/>
              <w:rPr>
                <w:rFonts w:cs="Segoe UI"/>
              </w:rPr>
            </w:pPr>
            <w:r w:rsidRPr="00200234">
              <w:rPr>
                <w:rFonts w:cs="Segoe UI"/>
              </w:rPr>
              <w:t>1,684</w:t>
            </w:r>
          </w:p>
        </w:tc>
        <w:tc>
          <w:tcPr>
            <w:tcW w:w="1029" w:type="pct"/>
          </w:tcPr>
          <w:p w14:paraId="38E6B572" w14:textId="77777777" w:rsidR="008361C5" w:rsidRPr="00200234" w:rsidRDefault="008361C5" w:rsidP="008361C5">
            <w:pPr>
              <w:pStyle w:val="TableText"/>
              <w:tabs>
                <w:tab w:val="decimal" w:pos="1077"/>
              </w:tabs>
              <w:rPr>
                <w:rFonts w:cs="Segoe UI"/>
              </w:rPr>
            </w:pPr>
            <w:r w:rsidRPr="00200234">
              <w:rPr>
                <w:rFonts w:cs="Segoe UI"/>
              </w:rPr>
              <w:t>80</w:t>
            </w:r>
          </w:p>
        </w:tc>
        <w:tc>
          <w:tcPr>
            <w:tcW w:w="700" w:type="pct"/>
          </w:tcPr>
          <w:p w14:paraId="05CBB4D4" w14:textId="77777777" w:rsidR="008361C5" w:rsidRPr="00200234" w:rsidRDefault="008361C5" w:rsidP="008361C5">
            <w:pPr>
              <w:pStyle w:val="TableText"/>
              <w:tabs>
                <w:tab w:val="decimal" w:pos="794"/>
              </w:tabs>
              <w:rPr>
                <w:rFonts w:cs="Segoe UI"/>
              </w:rPr>
            </w:pPr>
            <w:r w:rsidRPr="00200234">
              <w:rPr>
                <w:rFonts w:cs="Segoe UI"/>
              </w:rPr>
              <w:t>4</w:t>
            </w:r>
          </w:p>
        </w:tc>
        <w:tc>
          <w:tcPr>
            <w:tcW w:w="700" w:type="pct"/>
          </w:tcPr>
          <w:p w14:paraId="72E4D765" w14:textId="77777777" w:rsidR="008361C5" w:rsidRPr="00200234" w:rsidRDefault="008361C5" w:rsidP="008361C5">
            <w:pPr>
              <w:pStyle w:val="TableText"/>
              <w:tabs>
                <w:tab w:val="decimal" w:pos="794"/>
              </w:tabs>
              <w:rPr>
                <w:rFonts w:cs="Segoe UI"/>
              </w:rPr>
            </w:pPr>
            <w:r w:rsidRPr="00200234">
              <w:rPr>
                <w:rFonts w:cs="Segoe UI"/>
              </w:rPr>
              <w:t>139</w:t>
            </w:r>
          </w:p>
        </w:tc>
      </w:tr>
      <w:tr w:rsidR="008361C5" w:rsidRPr="00200234" w14:paraId="0EB641C3" w14:textId="77777777" w:rsidTr="00A36A73">
        <w:trPr>
          <w:cantSplit/>
          <w:trHeight w:val="328"/>
        </w:trPr>
        <w:tc>
          <w:tcPr>
            <w:tcW w:w="367" w:type="pct"/>
          </w:tcPr>
          <w:p w14:paraId="2F9C9164" w14:textId="77777777" w:rsidR="008361C5" w:rsidRPr="00200234" w:rsidRDefault="008361C5" w:rsidP="008361C5">
            <w:pPr>
              <w:pStyle w:val="TableText"/>
              <w:rPr>
                <w:rFonts w:cs="Segoe UI"/>
                <w:w w:val="105"/>
              </w:rPr>
            </w:pPr>
            <w:r w:rsidRPr="00200234">
              <w:rPr>
                <w:rFonts w:cs="Segoe UI"/>
                <w:w w:val="105"/>
              </w:rPr>
              <w:t>2013</w:t>
            </w:r>
          </w:p>
        </w:tc>
        <w:tc>
          <w:tcPr>
            <w:tcW w:w="735" w:type="pct"/>
          </w:tcPr>
          <w:p w14:paraId="24826C04" w14:textId="77777777" w:rsidR="008361C5" w:rsidRPr="00200234" w:rsidRDefault="008361C5" w:rsidP="008361C5">
            <w:pPr>
              <w:pStyle w:val="TableText"/>
              <w:jc w:val="center"/>
              <w:rPr>
                <w:rFonts w:cs="Segoe UI"/>
              </w:rPr>
            </w:pPr>
            <w:r w:rsidRPr="00200234">
              <w:rPr>
                <w:rFonts w:cs="Segoe UI"/>
              </w:rPr>
              <w:t>4,607</w:t>
            </w:r>
          </w:p>
        </w:tc>
        <w:tc>
          <w:tcPr>
            <w:tcW w:w="735" w:type="pct"/>
          </w:tcPr>
          <w:p w14:paraId="3A76A241" w14:textId="77777777" w:rsidR="008361C5" w:rsidRPr="00200234" w:rsidRDefault="008361C5" w:rsidP="008361C5">
            <w:pPr>
              <w:pStyle w:val="TableText"/>
              <w:jc w:val="center"/>
              <w:rPr>
                <w:rFonts w:cs="Segoe UI"/>
              </w:rPr>
            </w:pPr>
            <w:r w:rsidRPr="00200234">
              <w:rPr>
                <w:rFonts w:cs="Segoe UI"/>
              </w:rPr>
              <w:t>2,639</w:t>
            </w:r>
          </w:p>
        </w:tc>
        <w:tc>
          <w:tcPr>
            <w:tcW w:w="735" w:type="pct"/>
          </w:tcPr>
          <w:p w14:paraId="743B786B" w14:textId="77777777" w:rsidR="008361C5" w:rsidRPr="00200234" w:rsidRDefault="008361C5" w:rsidP="008361C5">
            <w:pPr>
              <w:pStyle w:val="TableText"/>
              <w:jc w:val="center"/>
              <w:rPr>
                <w:rFonts w:cs="Segoe UI"/>
              </w:rPr>
            </w:pPr>
            <w:r w:rsidRPr="00200234">
              <w:rPr>
                <w:rFonts w:cs="Segoe UI"/>
              </w:rPr>
              <w:t>1,765</w:t>
            </w:r>
          </w:p>
        </w:tc>
        <w:tc>
          <w:tcPr>
            <w:tcW w:w="1029" w:type="pct"/>
          </w:tcPr>
          <w:p w14:paraId="288794C9" w14:textId="77777777" w:rsidR="008361C5" w:rsidRPr="00200234" w:rsidRDefault="008361C5" w:rsidP="008361C5">
            <w:pPr>
              <w:pStyle w:val="TableText"/>
              <w:tabs>
                <w:tab w:val="decimal" w:pos="1077"/>
              </w:tabs>
              <w:rPr>
                <w:rFonts w:cs="Segoe UI"/>
              </w:rPr>
            </w:pPr>
            <w:r w:rsidRPr="00200234">
              <w:rPr>
                <w:rFonts w:cs="Segoe UI"/>
              </w:rPr>
              <w:t>73</w:t>
            </w:r>
          </w:p>
        </w:tc>
        <w:tc>
          <w:tcPr>
            <w:tcW w:w="700" w:type="pct"/>
          </w:tcPr>
          <w:p w14:paraId="7463BCDB" w14:textId="77777777" w:rsidR="008361C5" w:rsidRPr="00200234" w:rsidRDefault="008361C5" w:rsidP="008361C5">
            <w:pPr>
              <w:pStyle w:val="TableText"/>
              <w:tabs>
                <w:tab w:val="decimal" w:pos="794"/>
              </w:tabs>
              <w:rPr>
                <w:rFonts w:cs="Segoe UI"/>
              </w:rPr>
            </w:pPr>
            <w:r w:rsidRPr="00200234">
              <w:rPr>
                <w:rFonts w:cs="Segoe UI"/>
              </w:rPr>
              <w:t>1</w:t>
            </w:r>
          </w:p>
        </w:tc>
        <w:tc>
          <w:tcPr>
            <w:tcW w:w="700" w:type="pct"/>
          </w:tcPr>
          <w:p w14:paraId="31511598" w14:textId="77777777" w:rsidR="008361C5" w:rsidRPr="00200234" w:rsidRDefault="008361C5" w:rsidP="008361C5">
            <w:pPr>
              <w:pStyle w:val="TableText"/>
              <w:tabs>
                <w:tab w:val="decimal" w:pos="794"/>
              </w:tabs>
              <w:rPr>
                <w:rFonts w:cs="Segoe UI"/>
              </w:rPr>
            </w:pPr>
            <w:r w:rsidRPr="00200234">
              <w:rPr>
                <w:rFonts w:cs="Segoe UI"/>
              </w:rPr>
              <w:t>129</w:t>
            </w:r>
          </w:p>
        </w:tc>
      </w:tr>
      <w:tr w:rsidR="008361C5" w:rsidRPr="00200234" w14:paraId="534B1832" w14:textId="77777777" w:rsidTr="00A36A73">
        <w:trPr>
          <w:cantSplit/>
          <w:trHeight w:val="342"/>
        </w:trPr>
        <w:tc>
          <w:tcPr>
            <w:tcW w:w="367" w:type="pct"/>
          </w:tcPr>
          <w:p w14:paraId="01058BA4" w14:textId="77777777" w:rsidR="008361C5" w:rsidRPr="00200234" w:rsidRDefault="008361C5" w:rsidP="008361C5">
            <w:pPr>
              <w:pStyle w:val="TableText"/>
              <w:rPr>
                <w:rFonts w:cs="Segoe UI"/>
                <w:w w:val="105"/>
              </w:rPr>
            </w:pPr>
            <w:r w:rsidRPr="00200234">
              <w:rPr>
                <w:rFonts w:cs="Segoe UI"/>
                <w:w w:val="105"/>
              </w:rPr>
              <w:t>2014</w:t>
            </w:r>
          </w:p>
        </w:tc>
        <w:tc>
          <w:tcPr>
            <w:tcW w:w="735" w:type="pct"/>
          </w:tcPr>
          <w:p w14:paraId="4CCAD617" w14:textId="77777777" w:rsidR="008361C5" w:rsidRPr="00200234" w:rsidRDefault="008361C5" w:rsidP="008361C5">
            <w:pPr>
              <w:pStyle w:val="TableText"/>
              <w:jc w:val="center"/>
              <w:rPr>
                <w:rFonts w:cs="Segoe UI"/>
              </w:rPr>
            </w:pPr>
            <w:r w:rsidRPr="00200234">
              <w:rPr>
                <w:rFonts w:cs="Segoe UI"/>
              </w:rPr>
              <w:t>4,632</w:t>
            </w:r>
          </w:p>
        </w:tc>
        <w:tc>
          <w:tcPr>
            <w:tcW w:w="735" w:type="pct"/>
          </w:tcPr>
          <w:p w14:paraId="1C83FD16" w14:textId="77777777" w:rsidR="008361C5" w:rsidRPr="00200234" w:rsidRDefault="008361C5" w:rsidP="008361C5">
            <w:pPr>
              <w:pStyle w:val="TableText"/>
              <w:jc w:val="center"/>
              <w:rPr>
                <w:rFonts w:cs="Segoe UI"/>
              </w:rPr>
            </w:pPr>
            <w:r w:rsidRPr="00200234">
              <w:rPr>
                <w:rFonts w:cs="Segoe UI"/>
              </w:rPr>
              <w:t>2,658</w:t>
            </w:r>
          </w:p>
        </w:tc>
        <w:tc>
          <w:tcPr>
            <w:tcW w:w="735" w:type="pct"/>
          </w:tcPr>
          <w:p w14:paraId="0E90F3EF" w14:textId="77777777" w:rsidR="008361C5" w:rsidRPr="00200234" w:rsidRDefault="008361C5" w:rsidP="008361C5">
            <w:pPr>
              <w:pStyle w:val="TableText"/>
              <w:jc w:val="center"/>
              <w:rPr>
                <w:rFonts w:cs="Segoe UI"/>
              </w:rPr>
            </w:pPr>
            <w:r w:rsidRPr="00200234">
              <w:rPr>
                <w:rFonts w:cs="Segoe UI"/>
              </w:rPr>
              <w:t>1,784</w:t>
            </w:r>
          </w:p>
        </w:tc>
        <w:tc>
          <w:tcPr>
            <w:tcW w:w="1029" w:type="pct"/>
          </w:tcPr>
          <w:p w14:paraId="69EAE17A" w14:textId="77777777" w:rsidR="008361C5" w:rsidRPr="00200234" w:rsidRDefault="008361C5" w:rsidP="008361C5">
            <w:pPr>
              <w:pStyle w:val="TableText"/>
              <w:tabs>
                <w:tab w:val="decimal" w:pos="1077"/>
              </w:tabs>
              <w:rPr>
                <w:rFonts w:cs="Segoe UI"/>
              </w:rPr>
            </w:pPr>
            <w:r w:rsidRPr="00200234">
              <w:rPr>
                <w:rFonts w:cs="Segoe UI"/>
              </w:rPr>
              <w:t>84</w:t>
            </w:r>
          </w:p>
        </w:tc>
        <w:tc>
          <w:tcPr>
            <w:tcW w:w="700" w:type="pct"/>
          </w:tcPr>
          <w:p w14:paraId="72D8F45C" w14:textId="77777777" w:rsidR="008361C5" w:rsidRPr="00200234" w:rsidRDefault="008361C5" w:rsidP="008361C5">
            <w:pPr>
              <w:pStyle w:val="TableText"/>
              <w:tabs>
                <w:tab w:val="decimal" w:pos="794"/>
              </w:tabs>
              <w:rPr>
                <w:rFonts w:cs="Segoe UI"/>
              </w:rPr>
            </w:pPr>
            <w:r w:rsidRPr="00200234">
              <w:rPr>
                <w:rFonts w:cs="Segoe UI"/>
              </w:rPr>
              <w:t>1</w:t>
            </w:r>
          </w:p>
        </w:tc>
        <w:tc>
          <w:tcPr>
            <w:tcW w:w="700" w:type="pct"/>
          </w:tcPr>
          <w:p w14:paraId="082374F9" w14:textId="77777777" w:rsidR="008361C5" w:rsidRPr="00200234" w:rsidRDefault="008361C5" w:rsidP="008361C5">
            <w:pPr>
              <w:pStyle w:val="TableText"/>
              <w:tabs>
                <w:tab w:val="decimal" w:pos="794"/>
              </w:tabs>
              <w:rPr>
                <w:rFonts w:cs="Segoe UI"/>
              </w:rPr>
            </w:pPr>
            <w:r w:rsidRPr="00200234">
              <w:rPr>
                <w:rFonts w:cs="Segoe UI"/>
              </w:rPr>
              <w:t>105</w:t>
            </w:r>
          </w:p>
        </w:tc>
      </w:tr>
      <w:tr w:rsidR="008361C5" w:rsidRPr="00200234" w14:paraId="03C54E79" w14:textId="77777777" w:rsidTr="00A36A73">
        <w:trPr>
          <w:cantSplit/>
          <w:trHeight w:val="342"/>
        </w:trPr>
        <w:tc>
          <w:tcPr>
            <w:tcW w:w="367" w:type="pct"/>
          </w:tcPr>
          <w:p w14:paraId="02EC28A9" w14:textId="77777777" w:rsidR="008361C5" w:rsidRPr="00200234" w:rsidRDefault="008361C5" w:rsidP="008361C5">
            <w:pPr>
              <w:pStyle w:val="TableText"/>
              <w:rPr>
                <w:rFonts w:cs="Segoe UI"/>
                <w:w w:val="105"/>
              </w:rPr>
            </w:pPr>
            <w:r w:rsidRPr="00200234">
              <w:rPr>
                <w:rFonts w:cs="Segoe UI"/>
                <w:w w:val="105"/>
              </w:rPr>
              <w:t>2015</w:t>
            </w:r>
          </w:p>
        </w:tc>
        <w:tc>
          <w:tcPr>
            <w:tcW w:w="735" w:type="pct"/>
          </w:tcPr>
          <w:p w14:paraId="38E07D7D" w14:textId="77777777" w:rsidR="008361C5" w:rsidRPr="00200234" w:rsidRDefault="008361C5" w:rsidP="008361C5">
            <w:pPr>
              <w:pStyle w:val="TableText"/>
              <w:jc w:val="center"/>
              <w:rPr>
                <w:rFonts w:cs="Segoe UI"/>
              </w:rPr>
            </w:pPr>
            <w:r w:rsidRPr="00200234">
              <w:rPr>
                <w:rFonts w:cs="Segoe UI"/>
              </w:rPr>
              <w:t>4,748</w:t>
            </w:r>
          </w:p>
        </w:tc>
        <w:tc>
          <w:tcPr>
            <w:tcW w:w="735" w:type="pct"/>
          </w:tcPr>
          <w:p w14:paraId="173AF0B1" w14:textId="77777777" w:rsidR="008361C5" w:rsidRPr="00200234" w:rsidRDefault="008361C5" w:rsidP="008361C5">
            <w:pPr>
              <w:pStyle w:val="TableText"/>
              <w:jc w:val="center"/>
              <w:rPr>
                <w:rFonts w:cs="Segoe UI"/>
              </w:rPr>
            </w:pPr>
            <w:r w:rsidRPr="00200234">
              <w:rPr>
                <w:rFonts w:cs="Segoe UI"/>
              </w:rPr>
              <w:t>2,801</w:t>
            </w:r>
          </w:p>
        </w:tc>
        <w:tc>
          <w:tcPr>
            <w:tcW w:w="735" w:type="pct"/>
          </w:tcPr>
          <w:p w14:paraId="4B307D55" w14:textId="77777777" w:rsidR="008361C5" w:rsidRPr="00200234" w:rsidRDefault="008361C5" w:rsidP="008361C5">
            <w:pPr>
              <w:pStyle w:val="TableText"/>
              <w:jc w:val="center"/>
              <w:rPr>
                <w:rFonts w:cs="Segoe UI"/>
              </w:rPr>
            </w:pPr>
            <w:r w:rsidRPr="00200234">
              <w:rPr>
                <w:rFonts w:cs="Segoe UI"/>
              </w:rPr>
              <w:t>1,787</w:t>
            </w:r>
          </w:p>
        </w:tc>
        <w:tc>
          <w:tcPr>
            <w:tcW w:w="1029" w:type="pct"/>
          </w:tcPr>
          <w:p w14:paraId="1E450737" w14:textId="77777777" w:rsidR="008361C5" w:rsidRPr="00200234" w:rsidRDefault="008361C5" w:rsidP="008361C5">
            <w:pPr>
              <w:pStyle w:val="TableText"/>
              <w:tabs>
                <w:tab w:val="decimal" w:pos="1077"/>
              </w:tabs>
              <w:rPr>
                <w:rFonts w:cs="Segoe UI"/>
              </w:rPr>
            </w:pPr>
            <w:r w:rsidRPr="00200234">
              <w:rPr>
                <w:rFonts w:cs="Segoe UI"/>
              </w:rPr>
              <w:t>70</w:t>
            </w:r>
          </w:p>
        </w:tc>
        <w:tc>
          <w:tcPr>
            <w:tcW w:w="700" w:type="pct"/>
          </w:tcPr>
          <w:p w14:paraId="59327A95" w14:textId="77777777" w:rsidR="008361C5" w:rsidRPr="00200234" w:rsidRDefault="008361C5" w:rsidP="008361C5">
            <w:pPr>
              <w:pStyle w:val="TableText"/>
              <w:tabs>
                <w:tab w:val="decimal" w:pos="794"/>
              </w:tabs>
              <w:rPr>
                <w:rFonts w:cs="Segoe UI"/>
              </w:rPr>
            </w:pPr>
            <w:r w:rsidRPr="00200234">
              <w:rPr>
                <w:rFonts w:cs="Segoe UI"/>
              </w:rPr>
              <w:t>1</w:t>
            </w:r>
          </w:p>
        </w:tc>
        <w:tc>
          <w:tcPr>
            <w:tcW w:w="700" w:type="pct"/>
          </w:tcPr>
          <w:p w14:paraId="0095896A" w14:textId="77777777" w:rsidR="008361C5" w:rsidRPr="00200234" w:rsidRDefault="008361C5" w:rsidP="008361C5">
            <w:pPr>
              <w:pStyle w:val="TableText"/>
              <w:tabs>
                <w:tab w:val="decimal" w:pos="794"/>
              </w:tabs>
              <w:rPr>
                <w:rFonts w:cs="Segoe UI"/>
              </w:rPr>
            </w:pPr>
            <w:r w:rsidRPr="00200234">
              <w:rPr>
                <w:rFonts w:cs="Segoe UI"/>
              </w:rPr>
              <w:t>89</w:t>
            </w:r>
          </w:p>
        </w:tc>
      </w:tr>
      <w:tr w:rsidR="008361C5" w:rsidRPr="00200234" w14:paraId="5ECF9547" w14:textId="77777777" w:rsidTr="00A36A73">
        <w:trPr>
          <w:cantSplit/>
          <w:trHeight w:val="328"/>
        </w:trPr>
        <w:tc>
          <w:tcPr>
            <w:tcW w:w="367" w:type="pct"/>
          </w:tcPr>
          <w:p w14:paraId="43603CD1" w14:textId="77777777" w:rsidR="008361C5" w:rsidRPr="00200234" w:rsidRDefault="008361C5" w:rsidP="008361C5">
            <w:pPr>
              <w:pStyle w:val="TableText"/>
              <w:rPr>
                <w:rFonts w:cs="Segoe UI"/>
                <w:w w:val="105"/>
              </w:rPr>
            </w:pPr>
            <w:r w:rsidRPr="00200234">
              <w:rPr>
                <w:rFonts w:cs="Segoe UI"/>
                <w:w w:val="105"/>
              </w:rPr>
              <w:t>2016</w:t>
            </w:r>
          </w:p>
        </w:tc>
        <w:tc>
          <w:tcPr>
            <w:tcW w:w="735" w:type="pct"/>
          </w:tcPr>
          <w:p w14:paraId="5E0A007D" w14:textId="77777777" w:rsidR="008361C5" w:rsidRPr="00200234" w:rsidRDefault="008361C5" w:rsidP="008361C5">
            <w:pPr>
              <w:pStyle w:val="TableText"/>
              <w:jc w:val="center"/>
              <w:rPr>
                <w:rFonts w:cs="Segoe UI"/>
              </w:rPr>
            </w:pPr>
            <w:r w:rsidRPr="00200234">
              <w:rPr>
                <w:rFonts w:cs="Segoe UI"/>
              </w:rPr>
              <w:t>4,927</w:t>
            </w:r>
          </w:p>
        </w:tc>
        <w:tc>
          <w:tcPr>
            <w:tcW w:w="735" w:type="pct"/>
          </w:tcPr>
          <w:p w14:paraId="40C19ED7" w14:textId="77777777" w:rsidR="008361C5" w:rsidRPr="00200234" w:rsidRDefault="008361C5" w:rsidP="008361C5">
            <w:pPr>
              <w:pStyle w:val="TableText"/>
              <w:jc w:val="center"/>
              <w:rPr>
                <w:rFonts w:cs="Segoe UI"/>
              </w:rPr>
            </w:pPr>
            <w:r w:rsidRPr="00200234">
              <w:rPr>
                <w:rFonts w:cs="Segoe UI"/>
              </w:rPr>
              <w:t>2,894</w:t>
            </w:r>
          </w:p>
        </w:tc>
        <w:tc>
          <w:tcPr>
            <w:tcW w:w="735" w:type="pct"/>
          </w:tcPr>
          <w:p w14:paraId="5EF7795E" w14:textId="77777777" w:rsidR="008361C5" w:rsidRPr="00200234" w:rsidRDefault="008361C5" w:rsidP="008361C5">
            <w:pPr>
              <w:pStyle w:val="TableText"/>
              <w:jc w:val="center"/>
              <w:rPr>
                <w:rFonts w:cs="Segoe UI"/>
              </w:rPr>
            </w:pPr>
            <w:r w:rsidRPr="00200234">
              <w:rPr>
                <w:rFonts w:cs="Segoe UI"/>
              </w:rPr>
              <w:t>1,722</w:t>
            </w:r>
          </w:p>
        </w:tc>
        <w:tc>
          <w:tcPr>
            <w:tcW w:w="1029" w:type="pct"/>
          </w:tcPr>
          <w:p w14:paraId="56F7EE21" w14:textId="77777777" w:rsidR="008361C5" w:rsidRPr="00200234" w:rsidRDefault="008361C5" w:rsidP="008361C5">
            <w:pPr>
              <w:pStyle w:val="TableText"/>
              <w:tabs>
                <w:tab w:val="decimal" w:pos="1077"/>
              </w:tabs>
              <w:rPr>
                <w:rFonts w:cs="Segoe UI"/>
              </w:rPr>
            </w:pPr>
            <w:r w:rsidRPr="00200234">
              <w:rPr>
                <w:rFonts w:cs="Segoe UI"/>
              </w:rPr>
              <w:t>66</w:t>
            </w:r>
          </w:p>
        </w:tc>
        <w:tc>
          <w:tcPr>
            <w:tcW w:w="700" w:type="pct"/>
          </w:tcPr>
          <w:p w14:paraId="00773FCF" w14:textId="77777777" w:rsidR="008361C5" w:rsidRPr="00200234" w:rsidRDefault="008361C5" w:rsidP="008361C5">
            <w:pPr>
              <w:pStyle w:val="TableText"/>
              <w:tabs>
                <w:tab w:val="decimal" w:pos="794"/>
              </w:tabs>
              <w:rPr>
                <w:rFonts w:cs="Segoe UI"/>
              </w:rPr>
            </w:pPr>
            <w:r w:rsidRPr="00200234">
              <w:rPr>
                <w:rFonts w:cs="Segoe UI"/>
              </w:rPr>
              <w:t>3</w:t>
            </w:r>
          </w:p>
        </w:tc>
        <w:tc>
          <w:tcPr>
            <w:tcW w:w="700" w:type="pct"/>
          </w:tcPr>
          <w:p w14:paraId="79D7972D" w14:textId="77777777" w:rsidR="008361C5" w:rsidRPr="00200234" w:rsidRDefault="008361C5" w:rsidP="008361C5">
            <w:pPr>
              <w:pStyle w:val="TableText"/>
              <w:tabs>
                <w:tab w:val="decimal" w:pos="794"/>
              </w:tabs>
              <w:rPr>
                <w:rFonts w:cs="Segoe UI"/>
              </w:rPr>
            </w:pPr>
            <w:r w:rsidRPr="00200234">
              <w:rPr>
                <w:rFonts w:cs="Segoe UI"/>
              </w:rPr>
              <w:t>242</w:t>
            </w:r>
          </w:p>
        </w:tc>
      </w:tr>
      <w:tr w:rsidR="008361C5" w:rsidRPr="00200234" w14:paraId="67ED29C8" w14:textId="77777777" w:rsidTr="00A36A73">
        <w:trPr>
          <w:cantSplit/>
          <w:trHeight w:val="342"/>
        </w:trPr>
        <w:tc>
          <w:tcPr>
            <w:tcW w:w="367" w:type="pct"/>
          </w:tcPr>
          <w:p w14:paraId="5C9EBACE" w14:textId="77777777" w:rsidR="008361C5" w:rsidRPr="00200234" w:rsidRDefault="008361C5" w:rsidP="008361C5">
            <w:pPr>
              <w:pStyle w:val="TableText"/>
              <w:rPr>
                <w:rFonts w:cs="Segoe UI"/>
                <w:w w:val="105"/>
              </w:rPr>
            </w:pPr>
            <w:r w:rsidRPr="00200234">
              <w:rPr>
                <w:rFonts w:cs="Segoe UI"/>
                <w:w w:val="105"/>
              </w:rPr>
              <w:t>2017</w:t>
            </w:r>
          </w:p>
        </w:tc>
        <w:tc>
          <w:tcPr>
            <w:tcW w:w="735" w:type="pct"/>
          </w:tcPr>
          <w:p w14:paraId="50714DE5" w14:textId="77777777" w:rsidR="008361C5" w:rsidRPr="00200234" w:rsidRDefault="008361C5" w:rsidP="008361C5">
            <w:pPr>
              <w:pStyle w:val="TableText"/>
              <w:jc w:val="center"/>
              <w:rPr>
                <w:rFonts w:cs="Segoe UI"/>
              </w:rPr>
            </w:pPr>
            <w:r w:rsidRPr="00200234">
              <w:rPr>
                <w:rFonts w:cs="Segoe UI"/>
              </w:rPr>
              <w:t>4,940</w:t>
            </w:r>
          </w:p>
        </w:tc>
        <w:tc>
          <w:tcPr>
            <w:tcW w:w="735" w:type="pct"/>
          </w:tcPr>
          <w:p w14:paraId="25C63AF6" w14:textId="77777777" w:rsidR="008361C5" w:rsidRPr="00200234" w:rsidRDefault="008361C5" w:rsidP="008361C5">
            <w:pPr>
              <w:pStyle w:val="TableText"/>
              <w:jc w:val="center"/>
              <w:rPr>
                <w:rFonts w:cs="Segoe UI"/>
              </w:rPr>
            </w:pPr>
            <w:r w:rsidRPr="00200234">
              <w:rPr>
                <w:rFonts w:cs="Segoe UI"/>
              </w:rPr>
              <w:t>2,612</w:t>
            </w:r>
          </w:p>
        </w:tc>
        <w:tc>
          <w:tcPr>
            <w:tcW w:w="735" w:type="pct"/>
          </w:tcPr>
          <w:p w14:paraId="40D0B101" w14:textId="77777777" w:rsidR="008361C5" w:rsidRPr="00200234" w:rsidRDefault="008361C5" w:rsidP="008361C5">
            <w:pPr>
              <w:pStyle w:val="TableText"/>
              <w:jc w:val="center"/>
              <w:rPr>
                <w:rFonts w:cs="Segoe UI"/>
              </w:rPr>
            </w:pPr>
            <w:r w:rsidRPr="00200234">
              <w:rPr>
                <w:rFonts w:cs="Segoe UI"/>
              </w:rPr>
              <w:t>1,691</w:t>
            </w:r>
          </w:p>
        </w:tc>
        <w:tc>
          <w:tcPr>
            <w:tcW w:w="1029" w:type="pct"/>
          </w:tcPr>
          <w:p w14:paraId="212351B3" w14:textId="77777777" w:rsidR="008361C5" w:rsidRPr="00200234" w:rsidRDefault="008361C5" w:rsidP="008361C5">
            <w:pPr>
              <w:pStyle w:val="TableText"/>
              <w:tabs>
                <w:tab w:val="decimal" w:pos="1077"/>
              </w:tabs>
              <w:rPr>
                <w:rFonts w:cs="Segoe UI"/>
              </w:rPr>
            </w:pPr>
            <w:r w:rsidRPr="00200234">
              <w:rPr>
                <w:rFonts w:cs="Segoe UI"/>
              </w:rPr>
              <w:t>57</w:t>
            </w:r>
          </w:p>
        </w:tc>
        <w:tc>
          <w:tcPr>
            <w:tcW w:w="700" w:type="pct"/>
          </w:tcPr>
          <w:p w14:paraId="63020DCD" w14:textId="77777777" w:rsidR="008361C5" w:rsidRPr="00200234" w:rsidRDefault="008361C5" w:rsidP="008361C5">
            <w:pPr>
              <w:pStyle w:val="TableText"/>
              <w:tabs>
                <w:tab w:val="decimal" w:pos="794"/>
              </w:tabs>
              <w:rPr>
                <w:rFonts w:cs="Segoe UI"/>
              </w:rPr>
            </w:pPr>
            <w:r w:rsidRPr="00200234">
              <w:rPr>
                <w:rFonts w:cs="Segoe UI"/>
              </w:rPr>
              <w:t>3</w:t>
            </w:r>
          </w:p>
        </w:tc>
        <w:tc>
          <w:tcPr>
            <w:tcW w:w="700" w:type="pct"/>
          </w:tcPr>
          <w:p w14:paraId="60D86024" w14:textId="77777777" w:rsidR="008361C5" w:rsidRPr="00200234" w:rsidRDefault="008361C5" w:rsidP="008361C5">
            <w:pPr>
              <w:pStyle w:val="TableText"/>
              <w:tabs>
                <w:tab w:val="decimal" w:pos="794"/>
              </w:tabs>
              <w:rPr>
                <w:rFonts w:cs="Segoe UI"/>
              </w:rPr>
            </w:pPr>
            <w:r w:rsidRPr="00200234">
              <w:rPr>
                <w:rFonts w:cs="Segoe UI"/>
              </w:rPr>
              <w:t>577</w:t>
            </w:r>
          </w:p>
        </w:tc>
      </w:tr>
      <w:tr w:rsidR="008361C5" w:rsidRPr="00200234" w14:paraId="4BD910CB" w14:textId="77777777" w:rsidTr="00A36A73">
        <w:trPr>
          <w:cantSplit/>
          <w:trHeight w:val="328"/>
        </w:trPr>
        <w:tc>
          <w:tcPr>
            <w:tcW w:w="367" w:type="pct"/>
          </w:tcPr>
          <w:p w14:paraId="1068BC4B" w14:textId="77777777" w:rsidR="008361C5" w:rsidRPr="00200234" w:rsidRDefault="008361C5" w:rsidP="008361C5">
            <w:pPr>
              <w:pStyle w:val="TableText"/>
              <w:rPr>
                <w:rFonts w:cs="Segoe UI"/>
                <w:w w:val="105"/>
              </w:rPr>
            </w:pPr>
            <w:r w:rsidRPr="00200234">
              <w:rPr>
                <w:rFonts w:cs="Segoe UI"/>
                <w:w w:val="105"/>
              </w:rPr>
              <w:t>2018</w:t>
            </w:r>
          </w:p>
        </w:tc>
        <w:tc>
          <w:tcPr>
            <w:tcW w:w="735" w:type="pct"/>
          </w:tcPr>
          <w:p w14:paraId="1D0C4C89" w14:textId="77777777" w:rsidR="008361C5" w:rsidRPr="00200234" w:rsidRDefault="008361C5" w:rsidP="008361C5">
            <w:pPr>
              <w:pStyle w:val="TableText"/>
              <w:jc w:val="center"/>
              <w:rPr>
                <w:rFonts w:cs="Segoe UI"/>
              </w:rPr>
            </w:pPr>
            <w:r w:rsidRPr="00200234">
              <w:rPr>
                <w:rFonts w:cs="Segoe UI"/>
              </w:rPr>
              <w:t>5,002</w:t>
            </w:r>
          </w:p>
        </w:tc>
        <w:tc>
          <w:tcPr>
            <w:tcW w:w="735" w:type="pct"/>
          </w:tcPr>
          <w:p w14:paraId="7BE0DB96" w14:textId="77777777" w:rsidR="008361C5" w:rsidRPr="00200234" w:rsidRDefault="008361C5" w:rsidP="008361C5">
            <w:pPr>
              <w:pStyle w:val="TableText"/>
              <w:jc w:val="center"/>
              <w:rPr>
                <w:rFonts w:cs="Segoe UI"/>
              </w:rPr>
            </w:pPr>
            <w:r w:rsidRPr="00200234">
              <w:rPr>
                <w:rFonts w:cs="Segoe UI"/>
              </w:rPr>
              <w:t>2,633</w:t>
            </w:r>
          </w:p>
        </w:tc>
        <w:tc>
          <w:tcPr>
            <w:tcW w:w="735" w:type="pct"/>
          </w:tcPr>
          <w:p w14:paraId="7C55160E" w14:textId="77777777" w:rsidR="008361C5" w:rsidRPr="00200234" w:rsidRDefault="008361C5" w:rsidP="008361C5">
            <w:pPr>
              <w:pStyle w:val="TableText"/>
              <w:jc w:val="center"/>
              <w:rPr>
                <w:rFonts w:cs="Segoe UI"/>
              </w:rPr>
            </w:pPr>
            <w:r w:rsidRPr="00200234">
              <w:rPr>
                <w:rFonts w:cs="Segoe UI"/>
              </w:rPr>
              <w:t>1,753</w:t>
            </w:r>
          </w:p>
        </w:tc>
        <w:tc>
          <w:tcPr>
            <w:tcW w:w="1029" w:type="pct"/>
          </w:tcPr>
          <w:p w14:paraId="673C0DFF" w14:textId="77777777" w:rsidR="008361C5" w:rsidRPr="00200234" w:rsidRDefault="008361C5" w:rsidP="008361C5">
            <w:pPr>
              <w:pStyle w:val="TableText"/>
              <w:tabs>
                <w:tab w:val="decimal" w:pos="1077"/>
              </w:tabs>
              <w:rPr>
                <w:rFonts w:cs="Segoe UI"/>
              </w:rPr>
            </w:pPr>
            <w:r w:rsidRPr="00200234">
              <w:rPr>
                <w:rFonts w:cs="Segoe UI"/>
              </w:rPr>
              <w:t>46</w:t>
            </w:r>
          </w:p>
        </w:tc>
        <w:tc>
          <w:tcPr>
            <w:tcW w:w="700" w:type="pct"/>
          </w:tcPr>
          <w:p w14:paraId="05F1D3AB" w14:textId="77777777" w:rsidR="008361C5" w:rsidRPr="00200234" w:rsidRDefault="008361C5" w:rsidP="008361C5">
            <w:pPr>
              <w:pStyle w:val="TableText"/>
              <w:tabs>
                <w:tab w:val="decimal" w:pos="794"/>
              </w:tabs>
              <w:rPr>
                <w:rFonts w:cs="Segoe UI"/>
              </w:rPr>
            </w:pPr>
            <w:r w:rsidRPr="00200234">
              <w:rPr>
                <w:rFonts w:cs="Segoe UI"/>
              </w:rPr>
              <w:t>3</w:t>
            </w:r>
          </w:p>
        </w:tc>
        <w:tc>
          <w:tcPr>
            <w:tcW w:w="700" w:type="pct"/>
          </w:tcPr>
          <w:p w14:paraId="29520D68" w14:textId="77777777" w:rsidR="008361C5" w:rsidRPr="00200234" w:rsidRDefault="008361C5" w:rsidP="008361C5">
            <w:pPr>
              <w:pStyle w:val="TableText"/>
              <w:tabs>
                <w:tab w:val="decimal" w:pos="794"/>
              </w:tabs>
              <w:rPr>
                <w:rFonts w:cs="Segoe UI"/>
              </w:rPr>
            </w:pPr>
            <w:r w:rsidRPr="00200234">
              <w:rPr>
                <w:rFonts w:cs="Segoe UI"/>
              </w:rPr>
              <w:t>567</w:t>
            </w:r>
          </w:p>
        </w:tc>
      </w:tr>
      <w:tr w:rsidR="008361C5" w:rsidRPr="00200234" w14:paraId="78C504DC" w14:textId="77777777" w:rsidTr="00A36A73">
        <w:trPr>
          <w:cantSplit/>
          <w:trHeight w:val="328"/>
        </w:trPr>
        <w:tc>
          <w:tcPr>
            <w:tcW w:w="367" w:type="pct"/>
          </w:tcPr>
          <w:p w14:paraId="6166168F" w14:textId="77777777" w:rsidR="008361C5" w:rsidRPr="00200234" w:rsidRDefault="008361C5" w:rsidP="008361C5">
            <w:pPr>
              <w:pStyle w:val="TableText"/>
              <w:rPr>
                <w:rFonts w:cs="Segoe UI"/>
                <w:w w:val="105"/>
              </w:rPr>
            </w:pPr>
            <w:r w:rsidRPr="00200234">
              <w:rPr>
                <w:rFonts w:cs="Segoe UI"/>
                <w:w w:val="105"/>
              </w:rPr>
              <w:t>2019</w:t>
            </w:r>
          </w:p>
        </w:tc>
        <w:tc>
          <w:tcPr>
            <w:tcW w:w="735" w:type="pct"/>
          </w:tcPr>
          <w:p w14:paraId="247C4B7C" w14:textId="77777777" w:rsidR="008361C5" w:rsidRPr="00200234" w:rsidRDefault="008361C5" w:rsidP="008361C5">
            <w:pPr>
              <w:pStyle w:val="TableText"/>
              <w:jc w:val="center"/>
              <w:rPr>
                <w:rFonts w:cs="Segoe UI"/>
              </w:rPr>
            </w:pPr>
            <w:r w:rsidRPr="00200234">
              <w:rPr>
                <w:rFonts w:cs="Segoe UI"/>
              </w:rPr>
              <w:t>4,984</w:t>
            </w:r>
          </w:p>
        </w:tc>
        <w:tc>
          <w:tcPr>
            <w:tcW w:w="735" w:type="pct"/>
          </w:tcPr>
          <w:p w14:paraId="4F689E3A" w14:textId="77777777" w:rsidR="008361C5" w:rsidRPr="00200234" w:rsidRDefault="008361C5" w:rsidP="008361C5">
            <w:pPr>
              <w:pStyle w:val="TableText"/>
              <w:jc w:val="center"/>
              <w:rPr>
                <w:rFonts w:cs="Segoe UI"/>
              </w:rPr>
            </w:pPr>
            <w:r w:rsidRPr="00200234">
              <w:rPr>
                <w:rFonts w:cs="Segoe UI"/>
              </w:rPr>
              <w:t>2,780</w:t>
            </w:r>
          </w:p>
        </w:tc>
        <w:tc>
          <w:tcPr>
            <w:tcW w:w="735" w:type="pct"/>
          </w:tcPr>
          <w:p w14:paraId="7B8AEA2A" w14:textId="77777777" w:rsidR="008361C5" w:rsidRPr="00200234" w:rsidRDefault="008361C5" w:rsidP="008361C5">
            <w:pPr>
              <w:pStyle w:val="TableText"/>
              <w:jc w:val="center"/>
              <w:rPr>
                <w:rFonts w:cs="Segoe UI"/>
              </w:rPr>
            </w:pPr>
            <w:r w:rsidRPr="00200234">
              <w:rPr>
                <w:rFonts w:cs="Segoe UI"/>
              </w:rPr>
              <w:t>1,796</w:t>
            </w:r>
          </w:p>
        </w:tc>
        <w:tc>
          <w:tcPr>
            <w:tcW w:w="1029" w:type="pct"/>
          </w:tcPr>
          <w:p w14:paraId="1B4637F5" w14:textId="77777777" w:rsidR="008361C5" w:rsidRPr="00200234" w:rsidRDefault="008361C5" w:rsidP="008361C5">
            <w:pPr>
              <w:pStyle w:val="TableText"/>
              <w:tabs>
                <w:tab w:val="decimal" w:pos="1077"/>
              </w:tabs>
              <w:rPr>
                <w:rFonts w:cs="Segoe UI"/>
              </w:rPr>
            </w:pPr>
            <w:r w:rsidRPr="00200234">
              <w:rPr>
                <w:rFonts w:cs="Segoe UI"/>
              </w:rPr>
              <w:t>56</w:t>
            </w:r>
          </w:p>
        </w:tc>
        <w:tc>
          <w:tcPr>
            <w:tcW w:w="700" w:type="pct"/>
          </w:tcPr>
          <w:p w14:paraId="6FDD7EA7" w14:textId="77777777" w:rsidR="008361C5" w:rsidRPr="00200234" w:rsidRDefault="008361C5" w:rsidP="008361C5">
            <w:pPr>
              <w:pStyle w:val="TableText"/>
              <w:tabs>
                <w:tab w:val="decimal" w:pos="794"/>
              </w:tabs>
              <w:rPr>
                <w:rFonts w:cs="Segoe UI"/>
              </w:rPr>
            </w:pPr>
            <w:r w:rsidRPr="00200234">
              <w:rPr>
                <w:rFonts w:cs="Segoe UI"/>
              </w:rPr>
              <w:t>1</w:t>
            </w:r>
          </w:p>
        </w:tc>
        <w:tc>
          <w:tcPr>
            <w:tcW w:w="700" w:type="pct"/>
          </w:tcPr>
          <w:p w14:paraId="1F50C5E7" w14:textId="77777777" w:rsidR="008361C5" w:rsidRPr="00200234" w:rsidRDefault="008361C5" w:rsidP="008361C5">
            <w:pPr>
              <w:pStyle w:val="TableText"/>
              <w:tabs>
                <w:tab w:val="decimal" w:pos="794"/>
              </w:tabs>
              <w:rPr>
                <w:rFonts w:cs="Segoe UI"/>
              </w:rPr>
            </w:pPr>
            <w:r w:rsidRPr="00200234">
              <w:rPr>
                <w:rFonts w:cs="Segoe UI"/>
              </w:rPr>
              <w:t>351</w:t>
            </w:r>
          </w:p>
        </w:tc>
      </w:tr>
    </w:tbl>
    <w:p w14:paraId="395852E0" w14:textId="7EB1C99A" w:rsidR="008361C5" w:rsidRPr="00200234" w:rsidRDefault="008361C5" w:rsidP="008361C5">
      <w:pPr>
        <w:pStyle w:val="Note"/>
      </w:pPr>
      <w:r w:rsidRPr="00200234">
        <w:t>Notes: The table presents applications that had been processed at the time of data extraction on 1 February 2021. The year is determined by the date the application was granted. Where more than one type of order is shown, it is likely to be because new orders are being linked to a previous application in the case management system (CMS). The CMS is a live operational database. Figures are subject to minor changes at any time.</w:t>
      </w:r>
    </w:p>
    <w:p w14:paraId="0C702508" w14:textId="77777777" w:rsidR="008361C5" w:rsidRPr="00200234" w:rsidRDefault="008361C5" w:rsidP="008361C5">
      <w:pPr>
        <w:pStyle w:val="Note"/>
      </w:pPr>
      <w:r w:rsidRPr="00200234">
        <w:t xml:space="preserve">Source: Ministry of Justice Integrated Sector Intelligence System, which uses data </w:t>
      </w:r>
      <w:proofErr w:type="gramStart"/>
      <w:r w:rsidRPr="00200234">
        <w:t>entered into</w:t>
      </w:r>
      <w:proofErr w:type="gramEnd"/>
      <w:r w:rsidRPr="00200234">
        <w:t xml:space="preserve"> the CMS.</w:t>
      </w:r>
    </w:p>
    <w:p w14:paraId="45496C96" w14:textId="77777777" w:rsidR="008361C5" w:rsidRPr="00200234" w:rsidRDefault="008361C5" w:rsidP="00A36A73"/>
    <w:p w14:paraId="59970923" w14:textId="332C037B" w:rsidR="004149FE" w:rsidRPr="00200234" w:rsidRDefault="004149FE" w:rsidP="004149FE">
      <w:bookmarkStart w:id="374" w:name="_Toc65141659"/>
      <w:r w:rsidRPr="00200234">
        <w:br w:type="page"/>
      </w:r>
    </w:p>
    <w:p w14:paraId="2CD797AD" w14:textId="04B973AB" w:rsidR="008361C5" w:rsidRPr="00200234" w:rsidRDefault="008361C5" w:rsidP="004149FE">
      <w:pPr>
        <w:pStyle w:val="Heading2"/>
      </w:pPr>
      <w:bookmarkStart w:id="375" w:name="_Toc69307728"/>
      <w:r w:rsidRPr="00200234">
        <w:lastRenderedPageBreak/>
        <w:t>Seclusion data incorporating outlier data</w:t>
      </w:r>
      <w:bookmarkEnd w:id="374"/>
      <w:bookmarkEnd w:id="375"/>
    </w:p>
    <w:p w14:paraId="65E291E0" w14:textId="3686CD88" w:rsidR="008361C5" w:rsidRPr="00200234" w:rsidRDefault="008361C5" w:rsidP="00A36A73">
      <w:r w:rsidRPr="00200234">
        <w:t xml:space="preserve">In 2018 and 2019, Capital &amp; Coast </w:t>
      </w:r>
      <w:r w:rsidR="00E0266E">
        <w:t xml:space="preserve">DHB </w:t>
      </w:r>
      <w:r w:rsidRPr="00200234">
        <w:t xml:space="preserve">and Nelson Marlborough DHB </w:t>
      </w:r>
      <w:r w:rsidR="00E0266E">
        <w:t xml:space="preserve">each </w:t>
      </w:r>
      <w:r w:rsidRPr="00200234">
        <w:t>provided data that included a single client with a high number of seclusion hours. We have treated the data on each of these clients as an outlier because including it in the national statistics would skew the overall data and create a different picture of mental health services.</w:t>
      </w:r>
    </w:p>
    <w:p w14:paraId="3F19E5F9" w14:textId="77777777" w:rsidR="00A36A73" w:rsidRPr="00200234" w:rsidRDefault="00A36A73" w:rsidP="00A36A73"/>
    <w:p w14:paraId="400329E6" w14:textId="6C87A841" w:rsidR="008361C5" w:rsidRPr="00200234" w:rsidRDefault="008361C5" w:rsidP="00A36A73">
      <w:r w:rsidRPr="00200234">
        <w:t>To highlight how influential this discrepancy is, we present some of the data that includes the outliers in Table</w:t>
      </w:r>
      <w:r w:rsidR="00222074">
        <w:t>s</w:t>
      </w:r>
      <w:r w:rsidRPr="00200234">
        <w:t xml:space="preserve"> A3 and A4 below.</w:t>
      </w:r>
    </w:p>
    <w:p w14:paraId="7338412D" w14:textId="77777777" w:rsidR="00A36A73" w:rsidRPr="00200234" w:rsidRDefault="00A36A73" w:rsidP="00A36A73"/>
    <w:p w14:paraId="546B2921" w14:textId="428D03A8" w:rsidR="008361C5" w:rsidRPr="00200234" w:rsidRDefault="008361C5" w:rsidP="000D7A1E">
      <w:pPr>
        <w:pStyle w:val="Table"/>
      </w:pPr>
      <w:bookmarkStart w:id="376" w:name="_Toc63764689"/>
      <w:bookmarkStart w:id="377" w:name="_Toc69306796"/>
      <w:bookmarkStart w:id="378" w:name="_Hlk63161974"/>
      <w:r w:rsidRPr="00200234">
        <w:t>Table A</w:t>
      </w:r>
      <w:fldSimple w:instr=" SEQ Table_A \* ARABIC ">
        <w:r w:rsidR="00422361">
          <w:rPr>
            <w:noProof/>
          </w:rPr>
          <w:t>3</w:t>
        </w:r>
      </w:fldSimple>
      <w:r w:rsidRPr="00200234">
        <w:t>: Seclusion data in New Zealand mental health services, 1 January to 31</w:t>
      </w:r>
      <w:r w:rsidR="0078558A">
        <w:t> </w:t>
      </w:r>
      <w:r w:rsidRPr="00200234">
        <w:t>December 2018</w:t>
      </w:r>
      <w:bookmarkEnd w:id="376"/>
      <w:bookmarkEnd w:id="377"/>
    </w:p>
    <w:tbl>
      <w:tblPr>
        <w:tblW w:w="5000" w:type="pct"/>
        <w:tblBorders>
          <w:top w:val="single" w:sz="4" w:space="0" w:color="A6A6A6"/>
          <w:bottom w:val="single" w:sz="4" w:space="0" w:color="A6A6A6"/>
          <w:insideH w:val="single" w:sz="6" w:space="0" w:color="A6A6A6"/>
        </w:tblBorders>
        <w:tblLook w:val="04A0" w:firstRow="1" w:lastRow="0" w:firstColumn="1" w:lastColumn="0" w:noHBand="0" w:noVBand="1"/>
      </w:tblPr>
      <w:tblGrid>
        <w:gridCol w:w="4383"/>
        <w:gridCol w:w="1865"/>
        <w:gridCol w:w="1831"/>
      </w:tblGrid>
      <w:tr w:rsidR="008361C5" w:rsidRPr="00C11FC0" w14:paraId="10A971D9" w14:textId="77777777" w:rsidTr="008371F6">
        <w:tc>
          <w:tcPr>
            <w:tcW w:w="2713" w:type="pct"/>
            <w:shd w:val="clear" w:color="auto" w:fill="D9D9D9"/>
          </w:tcPr>
          <w:p w14:paraId="2E15C941" w14:textId="77777777" w:rsidR="008361C5" w:rsidRPr="00C236F9" w:rsidRDefault="008361C5" w:rsidP="007D1844">
            <w:pPr>
              <w:spacing w:before="60" w:after="60"/>
              <w:rPr>
                <w:rFonts w:cs="Segoe UI"/>
                <w:b/>
                <w:bCs/>
                <w:sz w:val="18"/>
                <w:szCs w:val="18"/>
              </w:rPr>
            </w:pPr>
          </w:p>
        </w:tc>
        <w:tc>
          <w:tcPr>
            <w:tcW w:w="1154" w:type="pct"/>
            <w:shd w:val="clear" w:color="auto" w:fill="D9D9D9"/>
          </w:tcPr>
          <w:p w14:paraId="14D69C88" w14:textId="067266FC" w:rsidR="008361C5" w:rsidRPr="00C236F9" w:rsidRDefault="008361C5" w:rsidP="007468C1">
            <w:pPr>
              <w:spacing w:before="60" w:after="60"/>
              <w:jc w:val="center"/>
              <w:rPr>
                <w:rFonts w:cs="Segoe UI"/>
                <w:b/>
                <w:bCs/>
                <w:sz w:val="18"/>
                <w:szCs w:val="18"/>
              </w:rPr>
            </w:pPr>
            <w:r w:rsidRPr="00C236F9">
              <w:rPr>
                <w:rFonts w:cs="Segoe UI"/>
                <w:b/>
                <w:bCs/>
                <w:sz w:val="18"/>
                <w:szCs w:val="18"/>
              </w:rPr>
              <w:t>Excluding outliers</w:t>
            </w:r>
          </w:p>
        </w:tc>
        <w:tc>
          <w:tcPr>
            <w:tcW w:w="1133" w:type="pct"/>
            <w:shd w:val="clear" w:color="auto" w:fill="D9D9D9"/>
          </w:tcPr>
          <w:p w14:paraId="083FBFB0" w14:textId="6DE59820" w:rsidR="008361C5" w:rsidRPr="00C236F9" w:rsidRDefault="008361C5" w:rsidP="007468C1">
            <w:pPr>
              <w:spacing w:before="60" w:after="60"/>
              <w:jc w:val="center"/>
              <w:rPr>
                <w:rFonts w:cs="Segoe UI"/>
                <w:b/>
                <w:bCs/>
                <w:sz w:val="18"/>
                <w:szCs w:val="18"/>
              </w:rPr>
            </w:pPr>
            <w:r w:rsidRPr="00C236F9">
              <w:rPr>
                <w:rFonts w:cs="Segoe UI"/>
                <w:b/>
                <w:bCs/>
                <w:sz w:val="18"/>
                <w:szCs w:val="18"/>
              </w:rPr>
              <w:t>Including outliers</w:t>
            </w:r>
          </w:p>
        </w:tc>
      </w:tr>
      <w:tr w:rsidR="008361C5" w:rsidRPr="00C11FC0" w14:paraId="473F4FBA" w14:textId="77777777" w:rsidTr="008371F6">
        <w:tc>
          <w:tcPr>
            <w:tcW w:w="2713" w:type="pct"/>
          </w:tcPr>
          <w:p w14:paraId="4F813A11" w14:textId="77777777" w:rsidR="008361C5" w:rsidRPr="00C11FC0" w:rsidRDefault="008361C5" w:rsidP="007525EC">
            <w:pPr>
              <w:pStyle w:val="TableText"/>
            </w:pPr>
            <w:r w:rsidRPr="00C11FC0">
              <w:t>Number of people secluded in adult services</w:t>
            </w:r>
          </w:p>
        </w:tc>
        <w:tc>
          <w:tcPr>
            <w:tcW w:w="1154" w:type="pct"/>
          </w:tcPr>
          <w:p w14:paraId="2B9D8CC6"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852 people</w:t>
            </w:r>
          </w:p>
        </w:tc>
        <w:tc>
          <w:tcPr>
            <w:tcW w:w="1133" w:type="pct"/>
          </w:tcPr>
          <w:p w14:paraId="562E3F4D"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854 people</w:t>
            </w:r>
          </w:p>
        </w:tc>
      </w:tr>
      <w:tr w:rsidR="008361C5" w:rsidRPr="00C11FC0" w14:paraId="173EEB6C" w14:textId="77777777" w:rsidTr="008371F6">
        <w:tc>
          <w:tcPr>
            <w:tcW w:w="2713" w:type="pct"/>
          </w:tcPr>
          <w:p w14:paraId="62E27BD8" w14:textId="77777777" w:rsidR="008361C5" w:rsidRPr="00C11FC0" w:rsidRDefault="008361C5" w:rsidP="007525EC">
            <w:pPr>
              <w:pStyle w:val="TableText"/>
            </w:pPr>
            <w:r w:rsidRPr="00C11FC0">
              <w:t>Number of hours of seclusion in adult services</w:t>
            </w:r>
          </w:p>
        </w:tc>
        <w:tc>
          <w:tcPr>
            <w:tcW w:w="1154" w:type="pct"/>
          </w:tcPr>
          <w:p w14:paraId="25B5EF2D"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40,649 hours</w:t>
            </w:r>
          </w:p>
        </w:tc>
        <w:tc>
          <w:tcPr>
            <w:tcW w:w="1133" w:type="pct"/>
          </w:tcPr>
          <w:p w14:paraId="4FA565CB"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46,312 hours</w:t>
            </w:r>
          </w:p>
        </w:tc>
      </w:tr>
      <w:tr w:rsidR="008361C5" w:rsidRPr="00C11FC0" w14:paraId="42149F2E" w14:textId="77777777" w:rsidTr="008371F6">
        <w:tc>
          <w:tcPr>
            <w:tcW w:w="2713" w:type="pct"/>
          </w:tcPr>
          <w:p w14:paraId="63DA5D6F" w14:textId="77777777" w:rsidR="008361C5" w:rsidRPr="00C11FC0" w:rsidRDefault="008361C5" w:rsidP="007525EC">
            <w:pPr>
              <w:pStyle w:val="TableText"/>
            </w:pPr>
            <w:r w:rsidRPr="00C11FC0">
              <w:t>Number of seclusion events in adult services</w:t>
            </w:r>
          </w:p>
        </w:tc>
        <w:tc>
          <w:tcPr>
            <w:tcW w:w="1154" w:type="pct"/>
          </w:tcPr>
          <w:p w14:paraId="4B3F44F0"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1,678 events</w:t>
            </w:r>
          </w:p>
        </w:tc>
        <w:tc>
          <w:tcPr>
            <w:tcW w:w="1133" w:type="pct"/>
          </w:tcPr>
          <w:p w14:paraId="55448E51"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2,719 events</w:t>
            </w:r>
          </w:p>
        </w:tc>
      </w:tr>
      <w:tr w:rsidR="008361C5" w:rsidRPr="00C11FC0" w14:paraId="62C6A8E2" w14:textId="77777777" w:rsidTr="008371F6">
        <w:tc>
          <w:tcPr>
            <w:tcW w:w="2713" w:type="pct"/>
          </w:tcPr>
          <w:p w14:paraId="2C2B74D0" w14:textId="77777777" w:rsidR="008361C5" w:rsidRPr="00C11FC0" w:rsidRDefault="008361C5" w:rsidP="007525EC">
            <w:pPr>
              <w:pStyle w:val="TableText"/>
            </w:pPr>
            <w:r w:rsidRPr="00C11FC0">
              <w:t>Average number of seclusion events per person</w:t>
            </w:r>
          </w:p>
        </w:tc>
        <w:tc>
          <w:tcPr>
            <w:tcW w:w="1154" w:type="pct"/>
          </w:tcPr>
          <w:p w14:paraId="1A2D25E2"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2.0 events</w:t>
            </w:r>
          </w:p>
        </w:tc>
        <w:tc>
          <w:tcPr>
            <w:tcW w:w="1133" w:type="pct"/>
          </w:tcPr>
          <w:p w14:paraId="51130C2B"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3.2 events</w:t>
            </w:r>
          </w:p>
        </w:tc>
      </w:tr>
      <w:tr w:rsidR="008361C5" w:rsidRPr="00C11FC0" w14:paraId="69937C1E" w14:textId="77777777" w:rsidTr="008371F6">
        <w:tc>
          <w:tcPr>
            <w:tcW w:w="2713" w:type="pct"/>
          </w:tcPr>
          <w:p w14:paraId="7A49C914" w14:textId="77777777" w:rsidR="008361C5" w:rsidRPr="00C11FC0" w:rsidRDefault="008361C5" w:rsidP="007525EC">
            <w:pPr>
              <w:pStyle w:val="TableText"/>
            </w:pPr>
            <w:r w:rsidRPr="00C11FC0">
              <w:t>Number of seclusion events per 1,000 bed nights</w:t>
            </w:r>
          </w:p>
        </w:tc>
        <w:tc>
          <w:tcPr>
            <w:tcW w:w="1154" w:type="pct"/>
          </w:tcPr>
          <w:p w14:paraId="7BB40271"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6.9 events</w:t>
            </w:r>
          </w:p>
        </w:tc>
        <w:tc>
          <w:tcPr>
            <w:tcW w:w="1133" w:type="pct"/>
          </w:tcPr>
          <w:p w14:paraId="43CEA4C2"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9.9 events</w:t>
            </w:r>
          </w:p>
        </w:tc>
      </w:tr>
      <w:tr w:rsidR="008361C5" w:rsidRPr="00C11FC0" w14:paraId="01D18B2B" w14:textId="77777777" w:rsidTr="008371F6">
        <w:tc>
          <w:tcPr>
            <w:tcW w:w="2713" w:type="pct"/>
          </w:tcPr>
          <w:p w14:paraId="5A0D7C57" w14:textId="77777777" w:rsidR="008361C5" w:rsidRPr="00C11FC0" w:rsidRDefault="008361C5" w:rsidP="007525EC">
            <w:pPr>
              <w:pStyle w:val="TableText"/>
            </w:pPr>
            <w:r w:rsidRPr="00C11FC0">
              <w:t>Number of people secluded per 100,000 population</w:t>
            </w:r>
          </w:p>
        </w:tc>
        <w:tc>
          <w:tcPr>
            <w:tcW w:w="1154" w:type="pct"/>
          </w:tcPr>
          <w:p w14:paraId="5267EF98"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29.4 people</w:t>
            </w:r>
          </w:p>
        </w:tc>
        <w:tc>
          <w:tcPr>
            <w:tcW w:w="1133" w:type="pct"/>
          </w:tcPr>
          <w:p w14:paraId="785F79D3"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29.4 people</w:t>
            </w:r>
          </w:p>
        </w:tc>
      </w:tr>
      <w:tr w:rsidR="008361C5" w:rsidRPr="00C11FC0" w14:paraId="65A8532F" w14:textId="77777777" w:rsidTr="008371F6">
        <w:tc>
          <w:tcPr>
            <w:tcW w:w="2713" w:type="pct"/>
          </w:tcPr>
          <w:p w14:paraId="5ED4994E" w14:textId="77777777" w:rsidR="008361C5" w:rsidRPr="00C11FC0" w:rsidRDefault="008361C5" w:rsidP="007525EC">
            <w:pPr>
              <w:pStyle w:val="TableText"/>
            </w:pPr>
            <w:r w:rsidRPr="00C11FC0">
              <w:t>Number of seclusion events per 100,000 population</w:t>
            </w:r>
          </w:p>
        </w:tc>
        <w:tc>
          <w:tcPr>
            <w:tcW w:w="1154" w:type="pct"/>
          </w:tcPr>
          <w:p w14:paraId="1D0A3762"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57.8 events</w:t>
            </w:r>
          </w:p>
        </w:tc>
        <w:tc>
          <w:tcPr>
            <w:tcW w:w="1133" w:type="pct"/>
          </w:tcPr>
          <w:p w14:paraId="2BFB6040"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93.5 events</w:t>
            </w:r>
          </w:p>
        </w:tc>
      </w:tr>
      <w:tr w:rsidR="008361C5" w:rsidRPr="00C11FC0" w14:paraId="675651CE" w14:textId="77777777" w:rsidTr="008371F6">
        <w:tc>
          <w:tcPr>
            <w:tcW w:w="2713" w:type="pct"/>
          </w:tcPr>
          <w:p w14:paraId="058C2D69" w14:textId="77777777" w:rsidR="008361C5" w:rsidRPr="00C11FC0" w:rsidRDefault="008361C5" w:rsidP="007525EC">
            <w:pPr>
              <w:pStyle w:val="TableText"/>
            </w:pPr>
            <w:r w:rsidRPr="00C11FC0">
              <w:t>Average duration per seclusion event</w:t>
            </w:r>
          </w:p>
        </w:tc>
        <w:tc>
          <w:tcPr>
            <w:tcW w:w="1154" w:type="pct"/>
          </w:tcPr>
          <w:p w14:paraId="6DB6C7DE"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24.2 hours</w:t>
            </w:r>
          </w:p>
        </w:tc>
        <w:tc>
          <w:tcPr>
            <w:tcW w:w="1133" w:type="pct"/>
          </w:tcPr>
          <w:p w14:paraId="181E8EBB"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17.1 hours</w:t>
            </w:r>
          </w:p>
        </w:tc>
      </w:tr>
      <w:tr w:rsidR="008361C5" w:rsidRPr="00C11FC0" w14:paraId="057C2E1A" w14:textId="77777777" w:rsidTr="008371F6">
        <w:tc>
          <w:tcPr>
            <w:tcW w:w="2713" w:type="pct"/>
          </w:tcPr>
          <w:p w14:paraId="758D3CAD" w14:textId="77777777" w:rsidR="008361C5" w:rsidRPr="00C11FC0" w:rsidRDefault="008361C5" w:rsidP="007525EC">
            <w:pPr>
              <w:pStyle w:val="TableText"/>
            </w:pPr>
            <w:r w:rsidRPr="00C11FC0">
              <w:t>Percentage of seclusion events lasting under 24 hours</w:t>
            </w:r>
          </w:p>
        </w:tc>
        <w:tc>
          <w:tcPr>
            <w:tcW w:w="1154" w:type="pct"/>
          </w:tcPr>
          <w:p w14:paraId="465DA7D1"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72 percent</w:t>
            </w:r>
          </w:p>
        </w:tc>
        <w:tc>
          <w:tcPr>
            <w:tcW w:w="1133" w:type="pct"/>
          </w:tcPr>
          <w:p w14:paraId="11FBD738"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80 percent</w:t>
            </w:r>
          </w:p>
        </w:tc>
      </w:tr>
      <w:tr w:rsidR="008361C5" w:rsidRPr="00C11FC0" w14:paraId="64D749E5" w14:textId="77777777" w:rsidTr="008371F6">
        <w:tc>
          <w:tcPr>
            <w:tcW w:w="2713" w:type="pct"/>
          </w:tcPr>
          <w:p w14:paraId="08015C1D" w14:textId="77777777" w:rsidR="008361C5" w:rsidRPr="00C11FC0" w:rsidRDefault="008361C5" w:rsidP="007525EC">
            <w:pPr>
              <w:pStyle w:val="TableText"/>
            </w:pPr>
            <w:r w:rsidRPr="00C11FC0">
              <w:t>Percentage of seclusion events lasting over 48 hours</w:t>
            </w:r>
          </w:p>
        </w:tc>
        <w:tc>
          <w:tcPr>
            <w:tcW w:w="1154" w:type="pct"/>
          </w:tcPr>
          <w:p w14:paraId="37376EA5"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14 percent</w:t>
            </w:r>
          </w:p>
        </w:tc>
        <w:tc>
          <w:tcPr>
            <w:tcW w:w="1133" w:type="pct"/>
          </w:tcPr>
          <w:p w14:paraId="649C8CED"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10 percent</w:t>
            </w:r>
          </w:p>
        </w:tc>
      </w:tr>
      <w:tr w:rsidR="008361C5" w:rsidRPr="00C11FC0" w14:paraId="462D5D3B" w14:textId="77777777" w:rsidTr="008371F6">
        <w:tc>
          <w:tcPr>
            <w:tcW w:w="2713" w:type="pct"/>
          </w:tcPr>
          <w:p w14:paraId="323AC250" w14:textId="77777777" w:rsidR="008361C5" w:rsidRPr="00C11FC0" w:rsidRDefault="008361C5" w:rsidP="007525EC">
            <w:pPr>
              <w:pStyle w:val="TableText"/>
            </w:pPr>
            <w:r w:rsidRPr="00C11FC0">
              <w:t>Decrease in people secluded in adult services since 2009</w:t>
            </w:r>
          </w:p>
        </w:tc>
        <w:tc>
          <w:tcPr>
            <w:tcW w:w="1154" w:type="pct"/>
          </w:tcPr>
          <w:p w14:paraId="133D5507"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25 percent</w:t>
            </w:r>
          </w:p>
        </w:tc>
        <w:tc>
          <w:tcPr>
            <w:tcW w:w="1133" w:type="pct"/>
          </w:tcPr>
          <w:p w14:paraId="32F3987A"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25 percent</w:t>
            </w:r>
          </w:p>
        </w:tc>
      </w:tr>
      <w:tr w:rsidR="008361C5" w:rsidRPr="00C11FC0" w14:paraId="6C03E74C" w14:textId="77777777" w:rsidTr="008371F6">
        <w:tc>
          <w:tcPr>
            <w:tcW w:w="2713" w:type="pct"/>
          </w:tcPr>
          <w:p w14:paraId="555E8343" w14:textId="77777777" w:rsidR="008361C5" w:rsidRPr="00C11FC0" w:rsidRDefault="008361C5" w:rsidP="007525EC">
            <w:pPr>
              <w:pStyle w:val="TableText"/>
            </w:pPr>
            <w:r w:rsidRPr="00C11FC0">
              <w:t>Decrease in hours spent in seclusion since 2009</w:t>
            </w:r>
          </w:p>
        </w:tc>
        <w:tc>
          <w:tcPr>
            <w:tcW w:w="1154" w:type="pct"/>
          </w:tcPr>
          <w:p w14:paraId="25DE9196"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55 percent</w:t>
            </w:r>
          </w:p>
        </w:tc>
        <w:tc>
          <w:tcPr>
            <w:tcW w:w="1133" w:type="pct"/>
          </w:tcPr>
          <w:p w14:paraId="6683DEB6"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49 percent</w:t>
            </w:r>
          </w:p>
        </w:tc>
      </w:tr>
      <w:tr w:rsidR="008361C5" w:rsidRPr="00C11FC0" w14:paraId="790E27AE" w14:textId="77777777" w:rsidTr="008371F6">
        <w:tc>
          <w:tcPr>
            <w:tcW w:w="2713" w:type="pct"/>
          </w:tcPr>
          <w:p w14:paraId="6CCD4020" w14:textId="77777777" w:rsidR="008361C5" w:rsidRPr="00C11FC0" w:rsidRDefault="008361C5" w:rsidP="007525EC">
            <w:pPr>
              <w:pStyle w:val="TableText"/>
            </w:pPr>
            <w:r w:rsidRPr="00C11FC0">
              <w:t>Increase in hours spent in seclusion since 2017</w:t>
            </w:r>
          </w:p>
        </w:tc>
        <w:tc>
          <w:tcPr>
            <w:tcW w:w="1154" w:type="pct"/>
          </w:tcPr>
          <w:p w14:paraId="1921ECA9"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10 percent</w:t>
            </w:r>
          </w:p>
        </w:tc>
        <w:tc>
          <w:tcPr>
            <w:tcW w:w="1133" w:type="pct"/>
          </w:tcPr>
          <w:p w14:paraId="4580CB90"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25 percent</w:t>
            </w:r>
          </w:p>
        </w:tc>
      </w:tr>
      <w:tr w:rsidR="008361C5" w:rsidRPr="00C11FC0" w14:paraId="13DADC7F" w14:textId="77777777" w:rsidTr="008371F6">
        <w:tc>
          <w:tcPr>
            <w:tcW w:w="2713" w:type="pct"/>
          </w:tcPr>
          <w:p w14:paraId="2F152C48" w14:textId="77777777" w:rsidR="008361C5" w:rsidRPr="00C11FC0" w:rsidRDefault="008361C5" w:rsidP="007525EC">
            <w:pPr>
              <w:pStyle w:val="TableText"/>
            </w:pPr>
            <w:r w:rsidRPr="00C11FC0">
              <w:t>Increase in seclusion events since 2017</w:t>
            </w:r>
          </w:p>
        </w:tc>
        <w:tc>
          <w:tcPr>
            <w:tcW w:w="1154" w:type="pct"/>
          </w:tcPr>
          <w:p w14:paraId="5A50998D"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7 percent</w:t>
            </w:r>
          </w:p>
        </w:tc>
        <w:tc>
          <w:tcPr>
            <w:tcW w:w="1133" w:type="pct"/>
          </w:tcPr>
          <w:p w14:paraId="611F966E"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26 percent</w:t>
            </w:r>
          </w:p>
        </w:tc>
      </w:tr>
    </w:tbl>
    <w:p w14:paraId="57AE07A5" w14:textId="2DA65BEB" w:rsidR="00C3331B" w:rsidRPr="00200234" w:rsidRDefault="00C3331B" w:rsidP="00C236F9">
      <w:pPr>
        <w:pStyle w:val="Note"/>
      </w:pPr>
      <w:r w:rsidRPr="00200234">
        <w:t>Sources: PRIMHD data</w:t>
      </w:r>
      <w:r w:rsidR="0015429E">
        <w:t xml:space="preserve"> (extracted</w:t>
      </w:r>
      <w:r w:rsidRPr="00200234">
        <w:t xml:space="preserve"> 29 July 2019</w:t>
      </w:r>
      <w:r w:rsidR="003510A5">
        <w:t>)</w:t>
      </w:r>
      <w:r w:rsidRPr="00200234">
        <w:t xml:space="preserve"> and manual data from Lakes, Nelson Marlborough, Southern and </w:t>
      </w:r>
      <w:proofErr w:type="spellStart"/>
      <w:r w:rsidRPr="00200234">
        <w:t>Waitematā</w:t>
      </w:r>
      <w:proofErr w:type="spellEnd"/>
      <w:r w:rsidRPr="00200234">
        <w:t xml:space="preserve"> DHBs.</w:t>
      </w:r>
    </w:p>
    <w:p w14:paraId="79DE2D25" w14:textId="1745A889" w:rsidR="008361C5" w:rsidRPr="00200234" w:rsidRDefault="008361C5" w:rsidP="004149FE">
      <w:pPr>
        <w:pStyle w:val="Table"/>
      </w:pPr>
      <w:bookmarkStart w:id="379" w:name="_Toc63764690"/>
      <w:bookmarkStart w:id="380" w:name="_Toc69306797"/>
      <w:r w:rsidRPr="00200234">
        <w:lastRenderedPageBreak/>
        <w:t>Table A</w:t>
      </w:r>
      <w:fldSimple w:instr=" SEQ Table_A \* ARABIC ">
        <w:r w:rsidR="00422361">
          <w:rPr>
            <w:noProof/>
          </w:rPr>
          <w:t>4</w:t>
        </w:r>
      </w:fldSimple>
      <w:r w:rsidRPr="00200234">
        <w:t>: Seclusion data in New Zealand mental health services, 1 January to 31</w:t>
      </w:r>
      <w:r w:rsidR="00E638D1">
        <w:t> </w:t>
      </w:r>
      <w:r w:rsidRPr="00200234">
        <w:t>December 2019</w:t>
      </w:r>
      <w:bookmarkEnd w:id="379"/>
      <w:bookmarkEnd w:id="380"/>
    </w:p>
    <w:tbl>
      <w:tblPr>
        <w:tblW w:w="5000" w:type="pct"/>
        <w:tblBorders>
          <w:top w:val="single" w:sz="4" w:space="0" w:color="A6A6A6"/>
          <w:bottom w:val="single" w:sz="4" w:space="0" w:color="A6A6A6"/>
          <w:insideH w:val="single" w:sz="6" w:space="0" w:color="A6A6A6"/>
        </w:tblBorders>
        <w:tblLook w:val="04A0" w:firstRow="1" w:lastRow="0" w:firstColumn="1" w:lastColumn="0" w:noHBand="0" w:noVBand="1"/>
      </w:tblPr>
      <w:tblGrid>
        <w:gridCol w:w="4383"/>
        <w:gridCol w:w="1865"/>
        <w:gridCol w:w="1831"/>
      </w:tblGrid>
      <w:tr w:rsidR="008361C5" w:rsidRPr="00C11FC0" w14:paraId="13305956" w14:textId="77777777" w:rsidTr="008371F6">
        <w:tc>
          <w:tcPr>
            <w:tcW w:w="2713" w:type="pct"/>
            <w:shd w:val="clear" w:color="auto" w:fill="D9D9D9"/>
          </w:tcPr>
          <w:p w14:paraId="5B76DE20" w14:textId="77777777" w:rsidR="008361C5" w:rsidRPr="00C236F9" w:rsidRDefault="008361C5" w:rsidP="007D1844">
            <w:pPr>
              <w:keepNext/>
              <w:spacing w:before="60" w:after="60"/>
              <w:rPr>
                <w:rFonts w:cs="Segoe UI"/>
                <w:b/>
                <w:bCs/>
                <w:sz w:val="18"/>
                <w:szCs w:val="18"/>
              </w:rPr>
            </w:pPr>
          </w:p>
        </w:tc>
        <w:tc>
          <w:tcPr>
            <w:tcW w:w="1154" w:type="pct"/>
            <w:shd w:val="clear" w:color="auto" w:fill="D9D9D9"/>
          </w:tcPr>
          <w:p w14:paraId="7A344ADD" w14:textId="47DCE6C7" w:rsidR="008361C5" w:rsidRPr="00C236F9" w:rsidRDefault="008361C5" w:rsidP="007468C1">
            <w:pPr>
              <w:keepNext/>
              <w:spacing w:before="60" w:after="60"/>
              <w:jc w:val="center"/>
              <w:rPr>
                <w:rFonts w:cs="Segoe UI"/>
                <w:b/>
                <w:bCs/>
                <w:sz w:val="18"/>
                <w:szCs w:val="18"/>
              </w:rPr>
            </w:pPr>
            <w:r w:rsidRPr="00C236F9">
              <w:rPr>
                <w:rFonts w:cs="Segoe UI"/>
                <w:b/>
                <w:bCs/>
                <w:sz w:val="18"/>
                <w:szCs w:val="18"/>
              </w:rPr>
              <w:t>Excluding outliers</w:t>
            </w:r>
          </w:p>
        </w:tc>
        <w:tc>
          <w:tcPr>
            <w:tcW w:w="1133" w:type="pct"/>
            <w:shd w:val="clear" w:color="auto" w:fill="D9D9D9"/>
          </w:tcPr>
          <w:p w14:paraId="4328E6F0" w14:textId="008E484C" w:rsidR="008361C5" w:rsidRPr="00C236F9" w:rsidRDefault="008361C5" w:rsidP="007468C1">
            <w:pPr>
              <w:keepNext/>
              <w:spacing w:before="60" w:after="60"/>
              <w:jc w:val="center"/>
              <w:rPr>
                <w:rFonts w:cs="Segoe UI"/>
                <w:b/>
                <w:bCs/>
                <w:sz w:val="18"/>
                <w:szCs w:val="18"/>
              </w:rPr>
            </w:pPr>
            <w:r w:rsidRPr="00C236F9">
              <w:rPr>
                <w:rFonts w:cs="Segoe UI"/>
                <w:b/>
                <w:bCs/>
                <w:sz w:val="18"/>
                <w:szCs w:val="18"/>
              </w:rPr>
              <w:t>Including outliers</w:t>
            </w:r>
          </w:p>
        </w:tc>
      </w:tr>
      <w:tr w:rsidR="008361C5" w:rsidRPr="00C11FC0" w14:paraId="55ADC45E" w14:textId="77777777" w:rsidTr="008371F6">
        <w:tc>
          <w:tcPr>
            <w:tcW w:w="2713" w:type="pct"/>
          </w:tcPr>
          <w:p w14:paraId="40DFEB0B" w14:textId="77777777" w:rsidR="008361C5" w:rsidRPr="00C11FC0" w:rsidRDefault="008361C5" w:rsidP="007D1844">
            <w:pPr>
              <w:keepNext/>
              <w:spacing w:before="60" w:after="60"/>
              <w:rPr>
                <w:rFonts w:cs="Segoe UI"/>
                <w:sz w:val="18"/>
                <w:szCs w:val="18"/>
              </w:rPr>
            </w:pPr>
            <w:r w:rsidRPr="00C11FC0">
              <w:rPr>
                <w:rFonts w:cs="Segoe UI"/>
                <w:sz w:val="18"/>
                <w:szCs w:val="18"/>
              </w:rPr>
              <w:t>Number of people secluded in adult services</w:t>
            </w:r>
          </w:p>
        </w:tc>
        <w:tc>
          <w:tcPr>
            <w:tcW w:w="1154" w:type="pct"/>
          </w:tcPr>
          <w:p w14:paraId="6948E4AD"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929 people</w:t>
            </w:r>
          </w:p>
        </w:tc>
        <w:tc>
          <w:tcPr>
            <w:tcW w:w="1133" w:type="pct"/>
          </w:tcPr>
          <w:p w14:paraId="2C79BF54"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931 people</w:t>
            </w:r>
          </w:p>
        </w:tc>
      </w:tr>
      <w:tr w:rsidR="008361C5" w:rsidRPr="00C11FC0" w14:paraId="767F3730" w14:textId="77777777" w:rsidTr="008371F6">
        <w:tc>
          <w:tcPr>
            <w:tcW w:w="2713" w:type="pct"/>
          </w:tcPr>
          <w:p w14:paraId="06533599" w14:textId="77777777" w:rsidR="008361C5" w:rsidRPr="00C11FC0" w:rsidRDefault="008361C5" w:rsidP="007D1844">
            <w:pPr>
              <w:keepNext/>
              <w:spacing w:before="60" w:after="60"/>
              <w:rPr>
                <w:rFonts w:cs="Segoe UI"/>
                <w:sz w:val="18"/>
                <w:szCs w:val="18"/>
              </w:rPr>
            </w:pPr>
            <w:r w:rsidRPr="00C11FC0">
              <w:rPr>
                <w:rFonts w:cs="Segoe UI"/>
                <w:sz w:val="18"/>
                <w:szCs w:val="18"/>
              </w:rPr>
              <w:t>Number of hours of seclusion in adult services</w:t>
            </w:r>
          </w:p>
        </w:tc>
        <w:tc>
          <w:tcPr>
            <w:tcW w:w="1154" w:type="pct"/>
          </w:tcPr>
          <w:p w14:paraId="413BF431"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48,418 hours</w:t>
            </w:r>
          </w:p>
        </w:tc>
        <w:tc>
          <w:tcPr>
            <w:tcW w:w="1133" w:type="pct"/>
          </w:tcPr>
          <w:p w14:paraId="3413CBD3"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55,805 hours</w:t>
            </w:r>
          </w:p>
        </w:tc>
      </w:tr>
      <w:tr w:rsidR="008361C5" w:rsidRPr="00C11FC0" w14:paraId="4E4DC505" w14:textId="77777777" w:rsidTr="008371F6">
        <w:tc>
          <w:tcPr>
            <w:tcW w:w="2713" w:type="pct"/>
          </w:tcPr>
          <w:p w14:paraId="09752EF7" w14:textId="77777777" w:rsidR="008361C5" w:rsidRPr="00C11FC0" w:rsidRDefault="008361C5" w:rsidP="007D1844">
            <w:pPr>
              <w:keepNext/>
              <w:spacing w:before="60" w:after="60"/>
              <w:rPr>
                <w:rFonts w:cs="Segoe UI"/>
                <w:sz w:val="18"/>
                <w:szCs w:val="18"/>
              </w:rPr>
            </w:pPr>
            <w:r w:rsidRPr="00C11FC0">
              <w:rPr>
                <w:rFonts w:cs="Segoe UI"/>
                <w:sz w:val="18"/>
                <w:szCs w:val="18"/>
              </w:rPr>
              <w:t>Number of seclusion events in adult services</w:t>
            </w:r>
          </w:p>
        </w:tc>
        <w:tc>
          <w:tcPr>
            <w:tcW w:w="1154" w:type="pct"/>
          </w:tcPr>
          <w:p w14:paraId="6F977D63"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1,745 events</w:t>
            </w:r>
          </w:p>
        </w:tc>
        <w:tc>
          <w:tcPr>
            <w:tcW w:w="1133" w:type="pct"/>
          </w:tcPr>
          <w:p w14:paraId="21B23FFE"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2,885 events</w:t>
            </w:r>
          </w:p>
        </w:tc>
      </w:tr>
      <w:tr w:rsidR="008361C5" w:rsidRPr="00C11FC0" w14:paraId="79A49285" w14:textId="77777777" w:rsidTr="008371F6">
        <w:tc>
          <w:tcPr>
            <w:tcW w:w="2713" w:type="pct"/>
          </w:tcPr>
          <w:p w14:paraId="188C312D" w14:textId="77777777" w:rsidR="008361C5" w:rsidRPr="00C11FC0" w:rsidRDefault="008361C5" w:rsidP="007D1844">
            <w:pPr>
              <w:keepNext/>
              <w:spacing w:before="60" w:after="60"/>
              <w:rPr>
                <w:rFonts w:cs="Segoe UI"/>
                <w:sz w:val="18"/>
                <w:szCs w:val="18"/>
              </w:rPr>
            </w:pPr>
            <w:r w:rsidRPr="00C11FC0">
              <w:rPr>
                <w:rFonts w:cs="Segoe UI"/>
                <w:sz w:val="18"/>
                <w:szCs w:val="18"/>
              </w:rPr>
              <w:t>Average number of seclusion events per person</w:t>
            </w:r>
          </w:p>
        </w:tc>
        <w:tc>
          <w:tcPr>
            <w:tcW w:w="1154" w:type="pct"/>
          </w:tcPr>
          <w:p w14:paraId="55475573"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1.9 events</w:t>
            </w:r>
          </w:p>
        </w:tc>
        <w:tc>
          <w:tcPr>
            <w:tcW w:w="1133" w:type="pct"/>
          </w:tcPr>
          <w:p w14:paraId="2CA60F45"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3.1 events</w:t>
            </w:r>
          </w:p>
        </w:tc>
      </w:tr>
      <w:tr w:rsidR="008361C5" w:rsidRPr="00C11FC0" w14:paraId="397A1D47" w14:textId="77777777" w:rsidTr="008371F6">
        <w:tc>
          <w:tcPr>
            <w:tcW w:w="2713" w:type="pct"/>
          </w:tcPr>
          <w:p w14:paraId="3995EAF5" w14:textId="77777777" w:rsidR="008361C5" w:rsidRPr="00C11FC0" w:rsidRDefault="008361C5" w:rsidP="007D1844">
            <w:pPr>
              <w:keepNext/>
              <w:spacing w:before="60" w:after="60"/>
              <w:rPr>
                <w:rFonts w:cs="Segoe UI"/>
                <w:sz w:val="18"/>
                <w:szCs w:val="18"/>
              </w:rPr>
            </w:pPr>
            <w:r w:rsidRPr="00C11FC0">
              <w:rPr>
                <w:rFonts w:cs="Segoe UI"/>
                <w:sz w:val="18"/>
                <w:szCs w:val="18"/>
              </w:rPr>
              <w:t>Number of seclusion events per 1,000 bed nights</w:t>
            </w:r>
          </w:p>
        </w:tc>
        <w:tc>
          <w:tcPr>
            <w:tcW w:w="1154" w:type="pct"/>
          </w:tcPr>
          <w:p w14:paraId="47638F8C"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11.4 events</w:t>
            </w:r>
          </w:p>
        </w:tc>
        <w:tc>
          <w:tcPr>
            <w:tcW w:w="1133" w:type="pct"/>
          </w:tcPr>
          <w:p w14:paraId="5186BFD5"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11.3 event</w:t>
            </w:r>
          </w:p>
        </w:tc>
      </w:tr>
      <w:tr w:rsidR="008361C5" w:rsidRPr="00C11FC0" w14:paraId="4E82D88B" w14:textId="77777777" w:rsidTr="008371F6">
        <w:tc>
          <w:tcPr>
            <w:tcW w:w="2713" w:type="pct"/>
          </w:tcPr>
          <w:p w14:paraId="1CC210E6" w14:textId="77777777" w:rsidR="008361C5" w:rsidRPr="00C11FC0" w:rsidRDefault="008361C5" w:rsidP="007D1844">
            <w:pPr>
              <w:keepNext/>
              <w:spacing w:before="60" w:after="60"/>
              <w:rPr>
                <w:rFonts w:cs="Segoe UI"/>
                <w:sz w:val="18"/>
                <w:szCs w:val="18"/>
              </w:rPr>
            </w:pPr>
            <w:r w:rsidRPr="00C11FC0">
              <w:rPr>
                <w:rFonts w:cs="Segoe UI"/>
                <w:sz w:val="18"/>
                <w:szCs w:val="18"/>
              </w:rPr>
              <w:t>Number of people secluded per 100,000 population</w:t>
            </w:r>
          </w:p>
        </w:tc>
        <w:tc>
          <w:tcPr>
            <w:tcW w:w="1154" w:type="pct"/>
          </w:tcPr>
          <w:p w14:paraId="5C0F14CE"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32.1 people</w:t>
            </w:r>
          </w:p>
        </w:tc>
        <w:tc>
          <w:tcPr>
            <w:tcW w:w="1133" w:type="pct"/>
          </w:tcPr>
          <w:p w14:paraId="499E0717"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32.2 people</w:t>
            </w:r>
          </w:p>
        </w:tc>
      </w:tr>
      <w:tr w:rsidR="008361C5" w:rsidRPr="00C11FC0" w14:paraId="044A412A" w14:textId="77777777" w:rsidTr="008371F6">
        <w:tc>
          <w:tcPr>
            <w:tcW w:w="2713" w:type="pct"/>
          </w:tcPr>
          <w:p w14:paraId="0CBA2883" w14:textId="77777777" w:rsidR="008361C5" w:rsidRPr="00C11FC0" w:rsidRDefault="008361C5" w:rsidP="007D1844">
            <w:pPr>
              <w:keepNext/>
              <w:spacing w:before="60" w:after="60"/>
              <w:rPr>
                <w:rFonts w:cs="Segoe UI"/>
                <w:sz w:val="18"/>
                <w:szCs w:val="18"/>
              </w:rPr>
            </w:pPr>
            <w:r w:rsidRPr="00C11FC0">
              <w:rPr>
                <w:rFonts w:cs="Segoe UI"/>
                <w:sz w:val="18"/>
                <w:szCs w:val="18"/>
              </w:rPr>
              <w:t>Number of seclusion events per 100,000 population</w:t>
            </w:r>
          </w:p>
        </w:tc>
        <w:tc>
          <w:tcPr>
            <w:tcW w:w="1154" w:type="pct"/>
          </w:tcPr>
          <w:p w14:paraId="5CB0DF2A"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60.4 events</w:t>
            </w:r>
          </w:p>
        </w:tc>
        <w:tc>
          <w:tcPr>
            <w:tcW w:w="1133" w:type="pct"/>
          </w:tcPr>
          <w:p w14:paraId="086E233B"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99.8 events</w:t>
            </w:r>
          </w:p>
        </w:tc>
      </w:tr>
      <w:tr w:rsidR="008361C5" w:rsidRPr="00C11FC0" w14:paraId="48D07361" w14:textId="77777777" w:rsidTr="008371F6">
        <w:tc>
          <w:tcPr>
            <w:tcW w:w="2713" w:type="pct"/>
          </w:tcPr>
          <w:p w14:paraId="2FB29A9C" w14:textId="77777777" w:rsidR="008361C5" w:rsidRPr="00C11FC0" w:rsidRDefault="008361C5" w:rsidP="007D1844">
            <w:pPr>
              <w:keepNext/>
              <w:spacing w:before="60" w:after="60"/>
              <w:rPr>
                <w:rFonts w:cs="Segoe UI"/>
                <w:sz w:val="18"/>
                <w:szCs w:val="18"/>
              </w:rPr>
            </w:pPr>
            <w:r w:rsidRPr="00C11FC0">
              <w:rPr>
                <w:rFonts w:cs="Segoe UI"/>
                <w:sz w:val="18"/>
                <w:szCs w:val="18"/>
              </w:rPr>
              <w:t>Average duration per seclusion event</w:t>
            </w:r>
          </w:p>
        </w:tc>
        <w:tc>
          <w:tcPr>
            <w:tcW w:w="1154" w:type="pct"/>
          </w:tcPr>
          <w:p w14:paraId="71E22EE8"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27.7 hours</w:t>
            </w:r>
          </w:p>
        </w:tc>
        <w:tc>
          <w:tcPr>
            <w:tcW w:w="1133" w:type="pct"/>
          </w:tcPr>
          <w:p w14:paraId="0D2E6B20"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19.3 hours</w:t>
            </w:r>
          </w:p>
        </w:tc>
      </w:tr>
      <w:tr w:rsidR="008361C5" w:rsidRPr="00C11FC0" w14:paraId="02FF6498" w14:textId="77777777" w:rsidTr="008371F6">
        <w:tc>
          <w:tcPr>
            <w:tcW w:w="2713" w:type="pct"/>
          </w:tcPr>
          <w:p w14:paraId="7FE73863" w14:textId="77777777" w:rsidR="008361C5" w:rsidRPr="00C11FC0" w:rsidRDefault="008361C5" w:rsidP="007D1844">
            <w:pPr>
              <w:keepNext/>
              <w:spacing w:before="60" w:after="60"/>
              <w:rPr>
                <w:rFonts w:cs="Segoe UI"/>
                <w:sz w:val="18"/>
                <w:szCs w:val="18"/>
              </w:rPr>
            </w:pPr>
            <w:r w:rsidRPr="00C11FC0">
              <w:rPr>
                <w:rFonts w:cs="Segoe UI"/>
                <w:sz w:val="18"/>
                <w:szCs w:val="18"/>
              </w:rPr>
              <w:t>Percentage of seclusion events lasting under 24 hours</w:t>
            </w:r>
          </w:p>
        </w:tc>
        <w:tc>
          <w:tcPr>
            <w:tcW w:w="1154" w:type="pct"/>
          </w:tcPr>
          <w:p w14:paraId="646B1A3C"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70 percent</w:t>
            </w:r>
          </w:p>
        </w:tc>
        <w:tc>
          <w:tcPr>
            <w:tcW w:w="1133" w:type="pct"/>
          </w:tcPr>
          <w:p w14:paraId="7BDA5BC4"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78 percent</w:t>
            </w:r>
          </w:p>
        </w:tc>
      </w:tr>
      <w:tr w:rsidR="008361C5" w:rsidRPr="00C11FC0" w14:paraId="386D8C90" w14:textId="77777777" w:rsidTr="008371F6">
        <w:tc>
          <w:tcPr>
            <w:tcW w:w="2713" w:type="pct"/>
          </w:tcPr>
          <w:p w14:paraId="1AC2CE66" w14:textId="77777777" w:rsidR="008361C5" w:rsidRPr="00C11FC0" w:rsidRDefault="008361C5" w:rsidP="007D1844">
            <w:pPr>
              <w:keepNext/>
              <w:spacing w:before="60" w:after="60"/>
              <w:rPr>
                <w:rFonts w:cs="Segoe UI"/>
                <w:sz w:val="18"/>
                <w:szCs w:val="18"/>
              </w:rPr>
            </w:pPr>
            <w:r w:rsidRPr="00C11FC0">
              <w:rPr>
                <w:rFonts w:cs="Segoe UI"/>
                <w:sz w:val="18"/>
                <w:szCs w:val="18"/>
              </w:rPr>
              <w:t>Percentage of seclusion events lasting over 48 hours</w:t>
            </w:r>
          </w:p>
        </w:tc>
        <w:tc>
          <w:tcPr>
            <w:tcW w:w="1154" w:type="pct"/>
          </w:tcPr>
          <w:p w14:paraId="3E74D4DB"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16 percent</w:t>
            </w:r>
          </w:p>
        </w:tc>
        <w:tc>
          <w:tcPr>
            <w:tcW w:w="1133" w:type="pct"/>
          </w:tcPr>
          <w:p w14:paraId="2316B013"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11 percent</w:t>
            </w:r>
          </w:p>
        </w:tc>
      </w:tr>
      <w:tr w:rsidR="008361C5" w:rsidRPr="00C11FC0" w14:paraId="2B179898" w14:textId="77777777" w:rsidTr="008371F6">
        <w:tc>
          <w:tcPr>
            <w:tcW w:w="2713" w:type="pct"/>
          </w:tcPr>
          <w:p w14:paraId="5DB64AF9" w14:textId="77777777" w:rsidR="008361C5" w:rsidRPr="00C11FC0" w:rsidRDefault="008361C5" w:rsidP="007D1844">
            <w:pPr>
              <w:keepNext/>
              <w:spacing w:before="60" w:after="60"/>
              <w:rPr>
                <w:rFonts w:cs="Segoe UI"/>
                <w:sz w:val="18"/>
                <w:szCs w:val="18"/>
              </w:rPr>
            </w:pPr>
            <w:r w:rsidRPr="00C11FC0">
              <w:rPr>
                <w:rFonts w:cs="Segoe UI"/>
                <w:sz w:val="18"/>
                <w:szCs w:val="18"/>
              </w:rPr>
              <w:t>Decrease in people secluded in adult services since 2009</w:t>
            </w:r>
          </w:p>
        </w:tc>
        <w:tc>
          <w:tcPr>
            <w:tcW w:w="1154" w:type="pct"/>
          </w:tcPr>
          <w:p w14:paraId="35672A6B"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19 percent</w:t>
            </w:r>
          </w:p>
        </w:tc>
        <w:tc>
          <w:tcPr>
            <w:tcW w:w="1133" w:type="pct"/>
          </w:tcPr>
          <w:p w14:paraId="51D31D4B"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19 percent</w:t>
            </w:r>
          </w:p>
        </w:tc>
      </w:tr>
      <w:tr w:rsidR="008361C5" w:rsidRPr="00C11FC0" w14:paraId="56F2B9C2" w14:textId="77777777" w:rsidTr="008371F6">
        <w:tc>
          <w:tcPr>
            <w:tcW w:w="2713" w:type="pct"/>
          </w:tcPr>
          <w:p w14:paraId="4345CA99" w14:textId="77777777" w:rsidR="008361C5" w:rsidRPr="00C11FC0" w:rsidRDefault="008361C5" w:rsidP="007D1844">
            <w:pPr>
              <w:keepNext/>
              <w:spacing w:before="60" w:after="60"/>
              <w:rPr>
                <w:rFonts w:cs="Segoe UI"/>
                <w:sz w:val="18"/>
                <w:szCs w:val="18"/>
              </w:rPr>
            </w:pPr>
            <w:r w:rsidRPr="00C11FC0">
              <w:rPr>
                <w:rFonts w:cs="Segoe UI"/>
                <w:sz w:val="18"/>
                <w:szCs w:val="18"/>
              </w:rPr>
              <w:t>Decrease in hours spent in seclusion since 2009</w:t>
            </w:r>
          </w:p>
        </w:tc>
        <w:tc>
          <w:tcPr>
            <w:tcW w:w="1154" w:type="pct"/>
          </w:tcPr>
          <w:p w14:paraId="677A1F14"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47 percent</w:t>
            </w:r>
          </w:p>
        </w:tc>
        <w:tc>
          <w:tcPr>
            <w:tcW w:w="1133" w:type="pct"/>
          </w:tcPr>
          <w:p w14:paraId="530737C1"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39 percent</w:t>
            </w:r>
          </w:p>
        </w:tc>
      </w:tr>
      <w:tr w:rsidR="008361C5" w:rsidRPr="00C11FC0" w14:paraId="44553E7A" w14:textId="77777777" w:rsidTr="008371F6">
        <w:tc>
          <w:tcPr>
            <w:tcW w:w="2713" w:type="pct"/>
          </w:tcPr>
          <w:p w14:paraId="38CD2EBA" w14:textId="77777777" w:rsidR="008361C5" w:rsidRPr="00C11FC0" w:rsidRDefault="008361C5" w:rsidP="007D1844">
            <w:pPr>
              <w:keepNext/>
              <w:spacing w:before="60" w:after="60"/>
              <w:rPr>
                <w:rFonts w:cs="Segoe UI"/>
                <w:sz w:val="18"/>
                <w:szCs w:val="18"/>
              </w:rPr>
            </w:pPr>
            <w:r w:rsidRPr="00C11FC0">
              <w:rPr>
                <w:rFonts w:cs="Segoe UI"/>
                <w:sz w:val="18"/>
                <w:szCs w:val="18"/>
              </w:rPr>
              <w:t>Increase in hours spent in seclusion since 2018</w:t>
            </w:r>
          </w:p>
        </w:tc>
        <w:tc>
          <w:tcPr>
            <w:tcW w:w="1154" w:type="pct"/>
          </w:tcPr>
          <w:p w14:paraId="32867AF3"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19 percent</w:t>
            </w:r>
          </w:p>
        </w:tc>
        <w:tc>
          <w:tcPr>
            <w:tcW w:w="1133" w:type="pct"/>
          </w:tcPr>
          <w:p w14:paraId="6C278CE6" w14:textId="77777777" w:rsidR="008361C5" w:rsidRPr="00C11FC0" w:rsidRDefault="008361C5" w:rsidP="007468C1">
            <w:pPr>
              <w:keepNext/>
              <w:spacing w:before="60" w:after="60"/>
              <w:ind w:right="113"/>
              <w:jc w:val="right"/>
              <w:rPr>
                <w:rFonts w:cs="Segoe UI"/>
                <w:sz w:val="18"/>
                <w:szCs w:val="18"/>
              </w:rPr>
            </w:pPr>
            <w:r w:rsidRPr="00C11FC0">
              <w:rPr>
                <w:rFonts w:cs="Segoe UI"/>
                <w:sz w:val="18"/>
                <w:szCs w:val="18"/>
              </w:rPr>
              <w:t>20 percent</w:t>
            </w:r>
          </w:p>
        </w:tc>
      </w:tr>
      <w:tr w:rsidR="008361C5" w:rsidRPr="00C11FC0" w14:paraId="70CE2190" w14:textId="77777777" w:rsidTr="008371F6">
        <w:trPr>
          <w:trHeight w:val="288"/>
        </w:trPr>
        <w:tc>
          <w:tcPr>
            <w:tcW w:w="2713" w:type="pct"/>
          </w:tcPr>
          <w:p w14:paraId="154AAFF4" w14:textId="77777777" w:rsidR="008361C5" w:rsidRPr="00C11FC0" w:rsidRDefault="008361C5" w:rsidP="007D1844">
            <w:pPr>
              <w:spacing w:before="60" w:after="60"/>
              <w:rPr>
                <w:rFonts w:cs="Segoe UI"/>
                <w:sz w:val="18"/>
                <w:szCs w:val="18"/>
              </w:rPr>
            </w:pPr>
            <w:r w:rsidRPr="00C11FC0">
              <w:rPr>
                <w:rFonts w:cs="Segoe UI"/>
                <w:sz w:val="18"/>
                <w:szCs w:val="18"/>
              </w:rPr>
              <w:t>Increase in seclusion events since 2018</w:t>
            </w:r>
          </w:p>
        </w:tc>
        <w:tc>
          <w:tcPr>
            <w:tcW w:w="1154" w:type="pct"/>
          </w:tcPr>
          <w:p w14:paraId="6D4CF11D" w14:textId="77777777" w:rsidR="008361C5" w:rsidRPr="00C11FC0" w:rsidRDefault="008361C5" w:rsidP="007468C1">
            <w:pPr>
              <w:spacing w:before="60" w:after="60"/>
              <w:ind w:right="113"/>
              <w:jc w:val="right"/>
              <w:rPr>
                <w:rFonts w:cs="Segoe UI"/>
                <w:sz w:val="18"/>
                <w:szCs w:val="18"/>
              </w:rPr>
            </w:pPr>
            <w:r w:rsidRPr="00C11FC0">
              <w:rPr>
                <w:rFonts w:cs="Segoe UI"/>
                <w:sz w:val="18"/>
                <w:szCs w:val="18"/>
              </w:rPr>
              <w:t>4 percent</w:t>
            </w:r>
          </w:p>
        </w:tc>
        <w:tc>
          <w:tcPr>
            <w:tcW w:w="1133" w:type="pct"/>
          </w:tcPr>
          <w:p w14:paraId="3BCADEB2" w14:textId="77777777" w:rsidR="008361C5" w:rsidRPr="00C11FC0" w:rsidRDefault="008361C5" w:rsidP="007468C1">
            <w:pPr>
              <w:spacing w:before="60" w:after="60"/>
              <w:ind w:right="113"/>
              <w:jc w:val="right"/>
              <w:rPr>
                <w:rFonts w:cs="Segoe UI"/>
                <w:sz w:val="18"/>
                <w:szCs w:val="18"/>
              </w:rPr>
            </w:pPr>
            <w:r w:rsidRPr="00C11FC0">
              <w:rPr>
                <w:rFonts w:cs="Segoe UI"/>
                <w:sz w:val="18"/>
                <w:szCs w:val="18"/>
              </w:rPr>
              <w:t>6 percent</w:t>
            </w:r>
          </w:p>
        </w:tc>
      </w:tr>
    </w:tbl>
    <w:bookmarkEnd w:id="378"/>
    <w:p w14:paraId="2EEA756B" w14:textId="29B5A21F" w:rsidR="008361C5" w:rsidRPr="00200234" w:rsidRDefault="00E9688E">
      <w:pPr>
        <w:pStyle w:val="Note"/>
      </w:pPr>
      <w:r w:rsidRPr="00200234">
        <w:t>Sources: PRIMHD data</w:t>
      </w:r>
      <w:r w:rsidR="0015429E">
        <w:t xml:space="preserve"> (extracted</w:t>
      </w:r>
      <w:r w:rsidRPr="00200234">
        <w:t xml:space="preserve"> 19 October 2020</w:t>
      </w:r>
      <w:r w:rsidR="003510A5">
        <w:t>)</w:t>
      </w:r>
      <w:r w:rsidRPr="00200234">
        <w:t xml:space="preserve"> and manual data from Southern and Whanganui DHBs.</w:t>
      </w:r>
    </w:p>
    <w:p w14:paraId="5E6E509A" w14:textId="6E5CFB1F" w:rsidR="007D1844" w:rsidRPr="00200234" w:rsidRDefault="007D1844" w:rsidP="007D1844"/>
    <w:p w14:paraId="001AB84C" w14:textId="4E4DF399" w:rsidR="007525EC" w:rsidRDefault="007525EC">
      <w:r>
        <w:br w:type="page"/>
      </w:r>
    </w:p>
    <w:p w14:paraId="2AF97E91" w14:textId="4AEEEE58" w:rsidR="007525EC" w:rsidRPr="00B011A8" w:rsidRDefault="007525EC" w:rsidP="00B011A8">
      <w:pPr>
        <w:pStyle w:val="Heading2"/>
      </w:pPr>
      <w:bookmarkStart w:id="381" w:name="_Toc68871126"/>
      <w:bookmarkStart w:id="382" w:name="_Toc69307729"/>
      <w:r w:rsidRPr="00B011A8">
        <w:rPr>
          <w:b w:val="0"/>
          <w:bCs/>
        </w:rPr>
        <w:lastRenderedPageBreak/>
        <w:t>[Added April 2021]</w:t>
      </w:r>
      <w:r w:rsidRPr="00625E23">
        <w:t xml:space="preserve"> </w:t>
      </w:r>
      <w:r w:rsidRPr="00B011A8">
        <w:t>Deaths reported to the Director of Mental Health</w:t>
      </w:r>
      <w:bookmarkEnd w:id="381"/>
      <w:bookmarkEnd w:id="382"/>
    </w:p>
    <w:p w14:paraId="407940E4" w14:textId="77777777" w:rsidR="007525EC" w:rsidRDefault="007525EC" w:rsidP="007525EC">
      <w:r>
        <w:t>Section 132 of the Mental Health (Compulsory Assessment and Treatment) Act 1992 requires the Director of Mental Health to be notified within 14 days of the death of any person or special patient under the Mental Health Act. Such a notification must identify the apparent cause of death.</w:t>
      </w:r>
    </w:p>
    <w:p w14:paraId="06BB37DC" w14:textId="77777777" w:rsidR="007525EC" w:rsidRDefault="007525EC" w:rsidP="007525EC"/>
    <w:p w14:paraId="575A9BE8" w14:textId="77777777" w:rsidR="007525EC" w:rsidRDefault="007525EC" w:rsidP="007525EC">
      <w:r>
        <w:t xml:space="preserve">In New Zealand, a coroner only officially classifies a death as suicide after completing their inquiry. Only those deaths that the coroner decides are “intentionally self-inflicted” will receive a final verdict of suicide. A coronial inquiry is unlikely to occur within a calendar year of an event occurring; for this reason, when a death appears to be </w:t>
      </w:r>
      <w:proofErr w:type="gramStart"/>
      <w:r>
        <w:t>self-inflicted</w:t>
      </w:r>
      <w:proofErr w:type="gramEnd"/>
      <w:r>
        <w:t xml:space="preserve"> but the coroner has not yet established the person’s intent, it is called a ‘suspected suicide’.</w:t>
      </w:r>
    </w:p>
    <w:p w14:paraId="4A1BFAD5" w14:textId="77777777" w:rsidR="007525EC" w:rsidRDefault="007525EC" w:rsidP="007525EC"/>
    <w:p w14:paraId="2E729845" w14:textId="77777777" w:rsidR="007525EC" w:rsidRDefault="007525EC" w:rsidP="007525EC">
      <w:r>
        <w:t>In 2018, the Director of Mental Health received 58 death notifications related to people under the Mental Health Act (see Table 1). Of these, 19 related to people who were reported to have died by suspected suicide. The remaining 39 reportedly died by other means, including natural causes and illnesses unrelated to mental health status.</w:t>
      </w:r>
    </w:p>
    <w:p w14:paraId="7D484F34" w14:textId="77777777" w:rsidR="007525EC" w:rsidRDefault="007525EC" w:rsidP="007525EC">
      <w:r>
        <w:t>In 2019, the Director of Mental Health received 48 death notifications related to people under the Mental Health Act (see Table 2). Of these, 17 related to people who were reported to have died by suspected suicide. The remaining 31 reportedly died by other means, including natural causes and illnesses unrelated to mental health status.</w:t>
      </w:r>
    </w:p>
    <w:p w14:paraId="5A136A50" w14:textId="77777777" w:rsidR="007525EC" w:rsidRDefault="007525EC" w:rsidP="007525EC">
      <w:pPr>
        <w:ind w:left="-426"/>
      </w:pPr>
    </w:p>
    <w:p w14:paraId="35E2529C" w14:textId="406A2618" w:rsidR="007525EC" w:rsidRPr="00852F2E" w:rsidRDefault="007525EC" w:rsidP="007525EC">
      <w:pPr>
        <w:pStyle w:val="Table"/>
        <w:rPr>
          <w:i/>
          <w:iCs/>
        </w:rPr>
      </w:pPr>
      <w:bookmarkStart w:id="383" w:name="_Toc69306798"/>
      <w:r w:rsidRPr="763EB660">
        <w:t xml:space="preserve">Table </w:t>
      </w:r>
      <w:r w:rsidR="0057383C">
        <w:t>A5</w:t>
      </w:r>
      <w:r w:rsidRPr="763EB660">
        <w:t>: Outcomes of reportable death notifications under section 132 of the Mental Health Act, 1 January to 31 December 2018</w:t>
      </w:r>
      <w:bookmarkEnd w:id="383"/>
    </w:p>
    <w:tbl>
      <w:tblPr>
        <w:tblStyle w:val="TableGrid"/>
        <w:tblW w:w="4679" w:type="dxa"/>
        <w:tblBorders>
          <w:left w:val="none" w:sz="0" w:space="0" w:color="auto"/>
          <w:right w:val="none" w:sz="0" w:space="0" w:color="auto"/>
          <w:insideV w:val="none" w:sz="0" w:space="0" w:color="auto"/>
        </w:tblBorders>
        <w:tblLook w:val="04A0" w:firstRow="1" w:lastRow="0" w:firstColumn="1" w:lastColumn="0" w:noHBand="0" w:noVBand="1"/>
      </w:tblPr>
      <w:tblGrid>
        <w:gridCol w:w="2750"/>
        <w:gridCol w:w="1929"/>
      </w:tblGrid>
      <w:tr w:rsidR="007525EC" w:rsidRPr="007525EC" w14:paraId="3E681F14" w14:textId="77777777" w:rsidTr="007525EC">
        <w:trPr>
          <w:trHeight w:val="469"/>
        </w:trPr>
        <w:tc>
          <w:tcPr>
            <w:tcW w:w="2750" w:type="dxa"/>
            <w:vAlign w:val="center"/>
          </w:tcPr>
          <w:p w14:paraId="4687F274" w14:textId="77777777" w:rsidR="007525EC" w:rsidRPr="007525EC" w:rsidRDefault="007525EC" w:rsidP="007525EC">
            <w:pPr>
              <w:pStyle w:val="TableText"/>
              <w:spacing w:line="240" w:lineRule="auto"/>
              <w:rPr>
                <w:b/>
                <w:bCs/>
              </w:rPr>
            </w:pPr>
            <w:r w:rsidRPr="007525EC">
              <w:rPr>
                <w:b/>
                <w:bCs/>
              </w:rPr>
              <w:t>Reportable death outcome</w:t>
            </w:r>
          </w:p>
        </w:tc>
        <w:tc>
          <w:tcPr>
            <w:tcW w:w="1929" w:type="dxa"/>
            <w:vAlign w:val="center"/>
          </w:tcPr>
          <w:p w14:paraId="686D266D" w14:textId="77777777" w:rsidR="007525EC" w:rsidRPr="007525EC" w:rsidRDefault="007525EC" w:rsidP="007525EC">
            <w:pPr>
              <w:pStyle w:val="TableText"/>
              <w:spacing w:line="240" w:lineRule="auto"/>
              <w:rPr>
                <w:b/>
                <w:bCs/>
              </w:rPr>
            </w:pPr>
            <w:r w:rsidRPr="007525EC">
              <w:rPr>
                <w:b/>
                <w:bCs/>
              </w:rPr>
              <w:t>Number of deaths</w:t>
            </w:r>
          </w:p>
        </w:tc>
      </w:tr>
      <w:tr w:rsidR="007525EC" w:rsidRPr="00884730" w14:paraId="385D59D5" w14:textId="77777777" w:rsidTr="003B11EB">
        <w:trPr>
          <w:trHeight w:val="469"/>
        </w:trPr>
        <w:tc>
          <w:tcPr>
            <w:tcW w:w="2750" w:type="dxa"/>
            <w:vAlign w:val="center"/>
          </w:tcPr>
          <w:p w14:paraId="3B7D294B" w14:textId="77777777" w:rsidR="007525EC" w:rsidRPr="00D86A22" w:rsidRDefault="007525EC" w:rsidP="007525EC">
            <w:pPr>
              <w:pStyle w:val="TableText"/>
            </w:pPr>
            <w:r w:rsidRPr="00D86A22">
              <w:t>Suspected suicide</w:t>
            </w:r>
          </w:p>
        </w:tc>
        <w:tc>
          <w:tcPr>
            <w:tcW w:w="1929" w:type="dxa"/>
            <w:vAlign w:val="center"/>
          </w:tcPr>
          <w:p w14:paraId="4BA5F2B8" w14:textId="77777777" w:rsidR="007525EC" w:rsidRPr="00D86A22" w:rsidRDefault="007525EC" w:rsidP="007525EC">
            <w:pPr>
              <w:pStyle w:val="TableText"/>
            </w:pPr>
            <w:r w:rsidRPr="00D86A22">
              <w:t>19</w:t>
            </w:r>
          </w:p>
        </w:tc>
      </w:tr>
      <w:tr w:rsidR="007525EC" w:rsidRPr="00884730" w14:paraId="0C7ACD9D" w14:textId="77777777" w:rsidTr="003B11EB">
        <w:trPr>
          <w:trHeight w:val="469"/>
        </w:trPr>
        <w:tc>
          <w:tcPr>
            <w:tcW w:w="2750" w:type="dxa"/>
            <w:vAlign w:val="center"/>
          </w:tcPr>
          <w:p w14:paraId="704C03D0" w14:textId="77777777" w:rsidR="007525EC" w:rsidRPr="00D86A22" w:rsidRDefault="007525EC" w:rsidP="007525EC">
            <w:pPr>
              <w:pStyle w:val="TableText"/>
            </w:pPr>
            <w:r w:rsidRPr="00D86A22">
              <w:t>Other deaths</w:t>
            </w:r>
          </w:p>
        </w:tc>
        <w:tc>
          <w:tcPr>
            <w:tcW w:w="1929" w:type="dxa"/>
            <w:vAlign w:val="center"/>
          </w:tcPr>
          <w:p w14:paraId="2F3B2EAF" w14:textId="77777777" w:rsidR="007525EC" w:rsidRPr="00D86A22" w:rsidRDefault="007525EC" w:rsidP="007525EC">
            <w:pPr>
              <w:pStyle w:val="TableText"/>
            </w:pPr>
            <w:r w:rsidRPr="00D86A22">
              <w:t>39</w:t>
            </w:r>
          </w:p>
        </w:tc>
      </w:tr>
      <w:tr w:rsidR="007525EC" w:rsidRPr="007525EC" w14:paraId="34FD8607" w14:textId="77777777" w:rsidTr="003B11EB">
        <w:trPr>
          <w:trHeight w:val="469"/>
        </w:trPr>
        <w:tc>
          <w:tcPr>
            <w:tcW w:w="2750" w:type="dxa"/>
            <w:vAlign w:val="center"/>
          </w:tcPr>
          <w:p w14:paraId="5E2EB1F0" w14:textId="77777777" w:rsidR="007525EC" w:rsidRPr="007525EC" w:rsidRDefault="007525EC" w:rsidP="007525EC">
            <w:pPr>
              <w:pStyle w:val="TableText"/>
              <w:rPr>
                <w:b/>
                <w:bCs/>
              </w:rPr>
            </w:pPr>
            <w:r w:rsidRPr="007525EC">
              <w:rPr>
                <w:b/>
                <w:bCs/>
              </w:rPr>
              <w:t>Total</w:t>
            </w:r>
          </w:p>
        </w:tc>
        <w:tc>
          <w:tcPr>
            <w:tcW w:w="1929" w:type="dxa"/>
            <w:vAlign w:val="center"/>
          </w:tcPr>
          <w:p w14:paraId="406D1CFA" w14:textId="77777777" w:rsidR="007525EC" w:rsidRPr="007525EC" w:rsidRDefault="007525EC" w:rsidP="007525EC">
            <w:pPr>
              <w:pStyle w:val="TableText"/>
              <w:rPr>
                <w:b/>
                <w:bCs/>
              </w:rPr>
            </w:pPr>
            <w:r w:rsidRPr="007525EC">
              <w:rPr>
                <w:b/>
                <w:bCs/>
              </w:rPr>
              <w:t>58</w:t>
            </w:r>
          </w:p>
        </w:tc>
      </w:tr>
    </w:tbl>
    <w:p w14:paraId="7D0B80E6" w14:textId="77777777" w:rsidR="007525EC" w:rsidRPr="00D86A22" w:rsidRDefault="007525EC" w:rsidP="007525EC">
      <w:pPr>
        <w:rPr>
          <w:sz w:val="18"/>
          <w:szCs w:val="16"/>
        </w:rPr>
      </w:pPr>
      <w:r w:rsidRPr="00D86A22">
        <w:rPr>
          <w:sz w:val="18"/>
          <w:szCs w:val="16"/>
        </w:rPr>
        <w:t>Source: Office of the Director of Mental Health and Addiction Services records.</w:t>
      </w:r>
    </w:p>
    <w:p w14:paraId="3D5CE6E6" w14:textId="77777777" w:rsidR="007525EC" w:rsidRDefault="007525EC" w:rsidP="007525EC"/>
    <w:p w14:paraId="3012DC66" w14:textId="66AEE400" w:rsidR="007525EC" w:rsidRPr="00852F2E" w:rsidRDefault="007525EC" w:rsidP="007525EC">
      <w:pPr>
        <w:pStyle w:val="Table"/>
        <w:rPr>
          <w:rFonts w:cstheme="minorHAnsi"/>
          <w:i/>
          <w:iCs/>
          <w:sz w:val="36"/>
          <w:szCs w:val="36"/>
        </w:rPr>
      </w:pPr>
      <w:bookmarkStart w:id="384" w:name="_Toc69306799"/>
      <w:r w:rsidRPr="00852F2E">
        <w:t xml:space="preserve">Table </w:t>
      </w:r>
      <w:r w:rsidR="0057383C">
        <w:t>A6</w:t>
      </w:r>
      <w:r w:rsidRPr="00852F2E">
        <w:t>: Outcomes of reportable death notifications under section 132 of the Mental Health Act, 1 January to 31 December 2019</w:t>
      </w:r>
      <w:bookmarkEnd w:id="384"/>
    </w:p>
    <w:tbl>
      <w:tblPr>
        <w:tblStyle w:val="TableGrid"/>
        <w:tblW w:w="4679" w:type="dxa"/>
        <w:tblBorders>
          <w:left w:val="none" w:sz="0" w:space="0" w:color="auto"/>
          <w:right w:val="none" w:sz="0" w:space="0" w:color="auto"/>
          <w:insideV w:val="none" w:sz="0" w:space="0" w:color="auto"/>
        </w:tblBorders>
        <w:tblLook w:val="04A0" w:firstRow="1" w:lastRow="0" w:firstColumn="1" w:lastColumn="0" w:noHBand="0" w:noVBand="1"/>
      </w:tblPr>
      <w:tblGrid>
        <w:gridCol w:w="2750"/>
        <w:gridCol w:w="1929"/>
      </w:tblGrid>
      <w:tr w:rsidR="007525EC" w:rsidRPr="007525EC" w14:paraId="5D64F876" w14:textId="77777777" w:rsidTr="003B11EB">
        <w:trPr>
          <w:trHeight w:val="109"/>
        </w:trPr>
        <w:tc>
          <w:tcPr>
            <w:tcW w:w="2750" w:type="dxa"/>
            <w:vAlign w:val="center"/>
          </w:tcPr>
          <w:p w14:paraId="5E9DFC89" w14:textId="77777777" w:rsidR="007525EC" w:rsidRPr="007525EC" w:rsidRDefault="007525EC" w:rsidP="007525EC">
            <w:pPr>
              <w:pStyle w:val="TableText"/>
              <w:rPr>
                <w:b/>
                <w:bCs/>
                <w:i/>
                <w:iCs/>
              </w:rPr>
            </w:pPr>
            <w:r w:rsidRPr="007525EC">
              <w:rPr>
                <w:b/>
                <w:bCs/>
              </w:rPr>
              <w:t>Reportable death outcome</w:t>
            </w:r>
          </w:p>
        </w:tc>
        <w:tc>
          <w:tcPr>
            <w:tcW w:w="1929" w:type="dxa"/>
            <w:vAlign w:val="bottom"/>
          </w:tcPr>
          <w:p w14:paraId="6DEDF88C" w14:textId="77777777" w:rsidR="007525EC" w:rsidRPr="007525EC" w:rsidRDefault="007525EC" w:rsidP="007525EC">
            <w:pPr>
              <w:pStyle w:val="TableText"/>
              <w:rPr>
                <w:b/>
                <w:bCs/>
                <w:i/>
                <w:iCs/>
              </w:rPr>
            </w:pPr>
            <w:r w:rsidRPr="007525EC">
              <w:rPr>
                <w:b/>
                <w:bCs/>
              </w:rPr>
              <w:t>Number of deaths</w:t>
            </w:r>
          </w:p>
        </w:tc>
      </w:tr>
      <w:tr w:rsidR="007525EC" w:rsidRPr="00884730" w14:paraId="0367E2EF" w14:textId="77777777" w:rsidTr="003B11EB">
        <w:trPr>
          <w:trHeight w:val="384"/>
        </w:trPr>
        <w:tc>
          <w:tcPr>
            <w:tcW w:w="2750" w:type="dxa"/>
            <w:vAlign w:val="center"/>
          </w:tcPr>
          <w:p w14:paraId="059CAC66" w14:textId="77777777" w:rsidR="007525EC" w:rsidRPr="00D86A22" w:rsidRDefault="007525EC" w:rsidP="007525EC">
            <w:pPr>
              <w:pStyle w:val="TableText"/>
              <w:rPr>
                <w:i/>
                <w:iCs/>
              </w:rPr>
            </w:pPr>
            <w:r w:rsidRPr="00D86A22">
              <w:t>Suspected suicide</w:t>
            </w:r>
          </w:p>
        </w:tc>
        <w:tc>
          <w:tcPr>
            <w:tcW w:w="1929" w:type="dxa"/>
            <w:vAlign w:val="center"/>
          </w:tcPr>
          <w:p w14:paraId="668E7D40" w14:textId="77777777" w:rsidR="007525EC" w:rsidRPr="00D86A22" w:rsidRDefault="007525EC" w:rsidP="007525EC">
            <w:pPr>
              <w:pStyle w:val="TableText"/>
              <w:rPr>
                <w:i/>
                <w:iCs/>
              </w:rPr>
            </w:pPr>
            <w:r w:rsidRPr="00D86A22">
              <w:t>17</w:t>
            </w:r>
          </w:p>
        </w:tc>
      </w:tr>
      <w:tr w:rsidR="007525EC" w:rsidRPr="00884730" w14:paraId="63B86DF9" w14:textId="77777777" w:rsidTr="003B11EB">
        <w:trPr>
          <w:trHeight w:val="384"/>
        </w:trPr>
        <w:tc>
          <w:tcPr>
            <w:tcW w:w="2750" w:type="dxa"/>
            <w:vAlign w:val="center"/>
          </w:tcPr>
          <w:p w14:paraId="4379A6C4" w14:textId="77777777" w:rsidR="007525EC" w:rsidRPr="00D86A22" w:rsidRDefault="007525EC" w:rsidP="007525EC">
            <w:pPr>
              <w:pStyle w:val="TableText"/>
              <w:rPr>
                <w:i/>
                <w:iCs/>
              </w:rPr>
            </w:pPr>
            <w:r w:rsidRPr="00D86A22">
              <w:t>Other deaths</w:t>
            </w:r>
          </w:p>
        </w:tc>
        <w:tc>
          <w:tcPr>
            <w:tcW w:w="1929" w:type="dxa"/>
            <w:vAlign w:val="center"/>
          </w:tcPr>
          <w:p w14:paraId="2CFF9308" w14:textId="77777777" w:rsidR="007525EC" w:rsidRPr="00D86A22" w:rsidRDefault="007525EC" w:rsidP="007525EC">
            <w:pPr>
              <w:pStyle w:val="TableText"/>
              <w:rPr>
                <w:i/>
                <w:iCs/>
              </w:rPr>
            </w:pPr>
            <w:r w:rsidRPr="00D86A22">
              <w:t>31</w:t>
            </w:r>
          </w:p>
        </w:tc>
      </w:tr>
      <w:tr w:rsidR="007525EC" w:rsidRPr="007525EC" w14:paraId="3FAD96B8" w14:textId="77777777" w:rsidTr="007525EC">
        <w:trPr>
          <w:trHeight w:val="512"/>
        </w:trPr>
        <w:tc>
          <w:tcPr>
            <w:tcW w:w="2750" w:type="dxa"/>
            <w:vAlign w:val="center"/>
          </w:tcPr>
          <w:p w14:paraId="355FE205" w14:textId="77777777" w:rsidR="007525EC" w:rsidRPr="007525EC" w:rsidRDefault="007525EC" w:rsidP="007525EC">
            <w:pPr>
              <w:pStyle w:val="TableText"/>
              <w:rPr>
                <w:b/>
                <w:bCs/>
                <w:szCs w:val="18"/>
              </w:rPr>
            </w:pPr>
            <w:r w:rsidRPr="007525EC">
              <w:rPr>
                <w:b/>
                <w:bCs/>
                <w:szCs w:val="18"/>
              </w:rPr>
              <w:t>Total</w:t>
            </w:r>
          </w:p>
        </w:tc>
        <w:tc>
          <w:tcPr>
            <w:tcW w:w="1929" w:type="dxa"/>
            <w:vAlign w:val="center"/>
          </w:tcPr>
          <w:p w14:paraId="3A6E9742" w14:textId="77777777" w:rsidR="007525EC" w:rsidRPr="007525EC" w:rsidRDefault="007525EC" w:rsidP="007525EC">
            <w:pPr>
              <w:pStyle w:val="TableText"/>
              <w:rPr>
                <w:b/>
                <w:bCs/>
                <w:szCs w:val="18"/>
              </w:rPr>
            </w:pPr>
            <w:r w:rsidRPr="007525EC">
              <w:rPr>
                <w:b/>
                <w:bCs/>
                <w:szCs w:val="18"/>
              </w:rPr>
              <w:t>48</w:t>
            </w:r>
          </w:p>
        </w:tc>
      </w:tr>
    </w:tbl>
    <w:p w14:paraId="017BDF39" w14:textId="77777777" w:rsidR="007525EC" w:rsidRPr="00D86A22" w:rsidRDefault="007525EC" w:rsidP="007525EC">
      <w:pPr>
        <w:rPr>
          <w:sz w:val="18"/>
          <w:szCs w:val="16"/>
        </w:rPr>
      </w:pPr>
      <w:r w:rsidRPr="00D86A22">
        <w:rPr>
          <w:sz w:val="18"/>
          <w:szCs w:val="16"/>
        </w:rPr>
        <w:t>Source: Office of the Director of Mental Health and Addiction Services records.</w:t>
      </w:r>
    </w:p>
    <w:p w14:paraId="082F4109" w14:textId="77777777" w:rsidR="007525EC" w:rsidRDefault="007525EC" w:rsidP="007525EC">
      <w:pPr>
        <w:pStyle w:val="Heading3"/>
        <w:ind w:left="-426"/>
      </w:pPr>
      <w:r>
        <w:lastRenderedPageBreak/>
        <w:t>Deaths reported to the Director of Addiction Services</w:t>
      </w:r>
    </w:p>
    <w:p w14:paraId="17DEBA02" w14:textId="77777777" w:rsidR="007525EC" w:rsidRDefault="007525EC" w:rsidP="007525EC">
      <w:pPr>
        <w:ind w:left="-426"/>
      </w:pPr>
      <w:r>
        <w:t>For deaths relating to substance use and addiction, the Substance Addiction (Compulsory Assessment and Treatment) Act 2017 makes no provision for DHBs or approved providers to report deaths of patients. Nonetheless, the Office of the Director of Mental Health and Addiction Services encourages services to report adverse events to the Director of Addiction Services.</w:t>
      </w:r>
    </w:p>
    <w:p w14:paraId="5692A57F" w14:textId="77777777" w:rsidR="007525EC" w:rsidRDefault="007525EC" w:rsidP="007525EC">
      <w:pPr>
        <w:ind w:left="-426"/>
      </w:pPr>
    </w:p>
    <w:p w14:paraId="52E3D543" w14:textId="77777777" w:rsidR="007525EC" w:rsidRPr="00DE62FD" w:rsidRDefault="007525EC" w:rsidP="007525EC">
      <w:pPr>
        <w:ind w:left="-426"/>
      </w:pPr>
      <w:r>
        <w:t>The Substance Addiction Act came into force on 21 February 2018, no deaths of people occurred during 2018 or 2019 while they were subject to that Act.</w:t>
      </w:r>
    </w:p>
    <w:p w14:paraId="09793E84" w14:textId="77777777" w:rsidR="007525EC" w:rsidRPr="00200234" w:rsidRDefault="007525EC" w:rsidP="007525EC"/>
    <w:p w14:paraId="0B5FF2E5" w14:textId="77777777" w:rsidR="007525EC" w:rsidRDefault="007525EC" w:rsidP="007525EC"/>
    <w:p w14:paraId="1F87134B" w14:textId="77777777" w:rsidR="007D1844" w:rsidRPr="00200234" w:rsidRDefault="007D1844" w:rsidP="007D1844"/>
    <w:sectPr w:rsidR="007D1844" w:rsidRPr="00200234" w:rsidSect="003309CA">
      <w:headerReference w:type="default" r:id="rId91"/>
      <w:footerReference w:type="even" r:id="rId92"/>
      <w:footerReference w:type="default" r:id="rId93"/>
      <w:pgSz w:w="11907" w:h="16834" w:code="9"/>
      <w:pgMar w:top="1418" w:right="1701" w:bottom="1134" w:left="1843" w:header="284" w:footer="425" w:gutter="284"/>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0BA4A" w16cex:dateUtc="2021-03-08T01:59:00Z"/>
  <w16cex:commentExtensible w16cex:durableId="23EC74D4" w16cex:dateUtc="2021-03-04T20:13:00Z"/>
  <w16cex:commentExtensible w16cex:durableId="23F0BAD7" w16cex:dateUtc="2021-03-08T02:01:00Z"/>
  <w16cex:commentExtensible w16cex:durableId="23ECB79C" w16cex:dateUtc="2021-03-05T00:58:00Z"/>
  <w16cex:commentExtensible w16cex:durableId="23EA2F2F" w16cex:dateUtc="2021-03-03T02:52:00Z"/>
  <w16cex:commentExtensible w16cex:durableId="23EA2000" w16cex:dateUtc="2021-03-03T01:47:00Z"/>
  <w16cex:commentExtensible w16cex:durableId="23EA20DE" w16cex:dateUtc="2021-03-03T01:51:00Z"/>
  <w16cex:commentExtensible w16cex:durableId="23F07381" w16cex:dateUtc="2021-03-07T20:57:00Z"/>
  <w16cex:commentExtensible w16cex:durableId="23F0C8AA" w16cex:dateUtc="2021-03-08T03:00:00Z"/>
  <w16cex:commentExtensible w16cex:durableId="23F07523" w16cex:dateUtc="2021-03-07T21:04:00Z"/>
  <w16cex:commentExtensible w16cex:durableId="23F07532" w16cex:dateUtc="2021-03-07T21:04:00Z"/>
  <w16cex:commentExtensible w16cex:durableId="23F0B897" w16cex:dateUtc="2021-03-08T01:52:00Z"/>
  <w16cex:commentExtensible w16cex:durableId="23F0753A" w16cex:dateUtc="2021-03-07T21:04:00Z"/>
  <w16cex:commentExtensible w16cex:durableId="23EA2441" w16cex:dateUtc="2021-03-03T02:05:00Z"/>
  <w16cex:commentExtensible w16cex:durableId="23F0BDCF" w16cex:dateUtc="2021-03-08T02:14:00Z"/>
  <w16cex:commentExtensible w16cex:durableId="23F0C073" w16cex:dateUtc="2021-03-08T02:25:00Z"/>
  <w16cex:commentExtensible w16cex:durableId="23F0C16F" w16cex:dateUtc="2021-03-08T02:29:00Z"/>
  <w16cex:commentExtensible w16cex:durableId="23EC7CC6" w16cex:dateUtc="2021-03-04T20:47:00Z"/>
  <w16cex:commentExtensible w16cex:durableId="23EC7DC7" w16cex:dateUtc="2021-03-04T20:52:00Z"/>
  <w16cex:commentExtensible w16cex:durableId="23EC7F07" w16cex:dateUtc="2021-03-04T20:57:00Z"/>
  <w16cex:commentExtensible w16cex:durableId="23EC7F1B" w16cex:dateUtc="2021-03-04T20:57:00Z"/>
  <w16cex:commentExtensible w16cex:durableId="23ECCF49" w16cex:dateUtc="2021-03-05T02:39:00Z"/>
  <w16cex:commentExtensible w16cex:durableId="23ECCDAE" w16cex:dateUtc="2021-03-05T02:33:00Z"/>
  <w16cex:commentExtensible w16cex:durableId="23ECCF58" w16cex:dateUtc="2021-03-05T02:40:00Z"/>
  <w16cex:commentExtensible w16cex:durableId="23ECCDC1" w16cex:dateUtc="2021-03-05T02:33:00Z"/>
  <w16cex:commentExtensible w16cex:durableId="23EC8608" w16cex:dateUtc="2021-03-04T21:27:00Z"/>
  <w16cex:commentExtensible w16cex:durableId="23EC8683" w16cex:dateUtc="2021-03-04T21:29:00Z"/>
  <w16cex:commentExtensible w16cex:durableId="23EC8697" w16cex:dateUtc="2021-03-04T21:29:00Z"/>
  <w16cex:commentExtensible w16cex:durableId="23EC86E3" w16cex:dateUtc="2021-03-04T21:30:00Z"/>
  <w16cex:commentExtensible w16cex:durableId="23F0A406" w16cex:dateUtc="2021-03-08T00:24:00Z"/>
  <w16cex:commentExtensible w16cex:durableId="23EC8F68" w16cex:dateUtc="2021-03-04T22:07:00Z"/>
  <w16cex:commentExtensible w16cex:durableId="23EC8FA9" w16cex:dateUtc="2021-03-04T22:08:00Z"/>
  <w16cex:commentExtensible w16cex:durableId="23ECCDD8" w16cex:dateUtc="2021-03-05T02:33:00Z"/>
  <w16cex:commentExtensible w16cex:durableId="23ECCDDD" w16cex:dateUtc="2021-03-05T02:33:00Z"/>
  <w16cex:commentExtensible w16cex:durableId="23EC921E" w16cex:dateUtc="2021-03-04T22:18:00Z"/>
  <w16cex:commentExtensible w16cex:durableId="23ECCDE4" w16cex:dateUtc="2021-03-05T02:33:00Z"/>
  <w16cex:commentExtensible w16cex:durableId="23F08A39" w16cex:dateUtc="2021-03-07T22:34:00Z"/>
  <w16cex:commentExtensible w16cex:durableId="23ECCDEB" w16cex:dateUtc="2021-03-05T02:34:00Z"/>
  <w16cex:commentExtensible w16cex:durableId="23F08A25" w16cex:dateUtc="2021-03-07T22:33:00Z"/>
  <w16cex:commentExtensible w16cex:durableId="23ECCDF0" w16cex:dateUtc="2021-03-05T02:34:00Z"/>
  <w16cex:commentExtensible w16cex:durableId="23F0A539" w16cex:dateUtc="2021-03-08T00:29:00Z"/>
  <w16cex:commentExtensible w16cex:durableId="23ECCDF5" w16cex:dateUtc="2021-03-05T02:34:00Z"/>
  <w16cex:commentExtensible w16cex:durableId="23F0A56F" w16cex:dateUtc="2021-03-08T00:30:00Z"/>
  <w16cex:commentExtensible w16cex:durableId="23ECCDF9" w16cex:dateUtc="2021-03-05T02:34:00Z"/>
  <w16cex:commentExtensible w16cex:durableId="23ECCDFF" w16cex:dateUtc="2021-03-05T02:34:00Z"/>
  <w16cex:commentExtensible w16cex:durableId="23ECCE03" w16cex:dateUtc="2021-03-05T02:34:00Z"/>
  <w16cex:commentExtensible w16cex:durableId="23ECB474" w16cex:dateUtc="2021-03-05T00:45:00Z"/>
  <w16cex:commentExtensible w16cex:durableId="23ECA766" w16cex:dateUtc="2021-03-04T23:49:00Z"/>
  <w16cex:commentExtensible w16cex:durableId="23ECCE08" w16cex:dateUtc="2021-03-05T02:34:00Z"/>
  <w16cex:commentExtensible w16cex:durableId="23ECCE0D" w16cex:dateUtc="2021-03-05T02:34:00Z"/>
  <w16cex:commentExtensible w16cex:durableId="23ECB668" w16cex:dateUtc="2021-03-05T00:53:00Z"/>
  <w16cex:commentExtensible w16cex:durableId="23ECA7B8" w16cex:dateUtc="2021-03-04T23:51:00Z"/>
  <w16cex:commentExtensible w16cex:durableId="23ECCE11" w16cex:dateUtc="2021-03-05T02:34:00Z"/>
  <w16cex:commentExtensible w16cex:durableId="23ECB604" w16cex:dateUtc="2021-03-05T00:52:00Z"/>
  <w16cex:commentExtensible w16cex:durableId="23ECB34D" w16cex:dateUtc="2021-03-05T00:40:00Z"/>
  <w16cex:commentExtensible w16cex:durableId="23ECB35F" w16cex:dateUtc="2021-03-05T00:40:00Z"/>
  <w16cex:commentExtensible w16cex:durableId="23ECCE1D" w16cex:dateUtc="2021-03-05T02:34:00Z"/>
  <w16cex:commentExtensible w16cex:durableId="23ECB370" w16cex:dateUtc="2021-03-05T00:40:00Z"/>
  <w16cex:commentExtensible w16cex:durableId="23ECCE24" w16cex:dateUtc="2021-03-05T02:35:00Z"/>
  <w16cex:commentExtensible w16cex:durableId="23ECB386" w16cex:dateUtc="2021-03-05T00:40:00Z"/>
  <w16cex:commentExtensible w16cex:durableId="23ECB3C1" w16cex:dateUtc="2021-03-05T00:40:00Z"/>
  <w16cex:commentExtensible w16cex:durableId="23ECBC14" w16cex:dateUtc="2021-03-05T01:17:00Z"/>
  <w16cex:commentExtensible w16cex:durableId="23ECBC3D" w16cex:dateUtc="2021-03-05T01:18:00Z"/>
  <w16cex:commentExtensible w16cex:durableId="23ECC132" w16cex:dateUtc="2021-03-05T01:39:00Z"/>
  <w16cex:commentExtensible w16cex:durableId="23F0A656" w16cex:dateUtc="2021-03-08T00:34:00Z"/>
  <w16cex:commentExtensible w16cex:durableId="23ECBFC2" w16cex:dateUtc="2021-03-05T01:33:00Z"/>
  <w16cex:commentExtensible w16cex:durableId="23F07C87" w16cex:dateUtc="2021-03-07T21:35:00Z"/>
  <w16cex:commentExtensible w16cex:durableId="23F07CB5" w16cex:dateUtc="2021-03-07T21:36:00Z"/>
  <w16cex:commentExtensible w16cex:durableId="23ECC30B" w16cex:dateUtc="2021-03-05T01:47:00Z"/>
  <w16cex:commentExtensible w16cex:durableId="23ECC362" w16cex:dateUtc="2021-03-05T01:49:00Z"/>
  <w16cex:commentExtensible w16cex:durableId="23ECC999" w16cex:dateUtc="2021-03-05T02:15:00Z"/>
  <w16cex:commentExtensible w16cex:durableId="23ECCE50" w16cex:dateUtc="2021-03-05T02:35:00Z"/>
  <w16cex:commentExtensible w16cex:durableId="23F0C4C2" w16cex:dateUtc="2021-03-08T02:44:00Z"/>
  <w16cex:commentExtensible w16cex:durableId="23ECD2AA" w16cex:dateUtc="2021-03-05T02:54:00Z"/>
  <w16cex:commentExtensible w16cex:durableId="23ECD2C1" w16cex:dateUtc="2021-03-05T02:54:00Z"/>
  <w16cex:commentExtensible w16cex:durableId="23ECD827" w16cex:dateUtc="2021-03-05T03:17:00Z"/>
  <w16cex:commentExtensible w16cex:durableId="23ECCE6A" w16cex:dateUtc="2021-03-05T02:36:00Z"/>
  <w16cex:commentExtensible w16cex:durableId="23ECDA4E" w16cex:dateUtc="2021-03-05T03:26:00Z"/>
  <w16cex:commentExtensible w16cex:durableId="23ECDBE1" w16cex:dateUtc="2021-03-05T03:33:00Z"/>
  <w16cex:commentExtensible w16cex:durableId="23ECDCA5" w16cex:dateUtc="2021-03-05T03:36:00Z"/>
  <w16cex:commentExtensible w16cex:durableId="23ECDE52" w16cex:dateUtc="2021-03-05T03:44:00Z"/>
  <w16cex:commentExtensible w16cex:durableId="23ECE0AB" w16cex:dateUtc="2021-03-05T03:54:00Z"/>
  <w16cex:commentExtensible w16cex:durableId="23F0C6F0" w16cex:dateUtc="2021-03-08T02:53:00Z"/>
  <w16cex:commentExtensible w16cex:durableId="23ECE155" w16cex:dateUtc="2021-03-05T03:56:00Z"/>
  <w16cex:commentExtensible w16cex:durableId="23F0C6E4" w16cex:dateUtc="2021-03-08T02:53:00Z"/>
  <w16cex:commentExtensible w16cex:durableId="23F0C70E" w16cex:dateUtc="2021-03-08T02:53:00Z"/>
  <w16cex:commentExtensible w16cex:durableId="23ECAAD2" w16cex:dateUtc="2021-03-05T00:04:00Z"/>
  <w16cex:commentExtensible w16cex:durableId="23ECAB63" w16cex:dateUtc="2021-03-05T00:06:00Z"/>
</w16cex:commentsExtensible>
</file>

<file path=word/customizations.xml><?xml version="1.0" encoding="utf-8"?>
<wne:tcg xmlns:r="http://schemas.openxmlformats.org/officeDocument/2006/relationships" xmlns:wne="http://schemas.microsoft.com/office/word/2006/wordml">
  <wne:keymaps>
    <wne:keymap wne:kcmPrimary="044E">
      <wne:acd wne:acdName="acd0"/>
    </wne:keymap>
  </wne:keymaps>
  <wne:toolbars>
    <wne:acdManifest>
      <wne:acdEntry wne:acdName="acd0"/>
    </wne:acdManifest>
  </wne:toolbars>
  <wne:acds>
    <wne:acd wne:argValue="AgBOAG8AdABl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861CA" w14:textId="77777777" w:rsidR="00422361" w:rsidRDefault="00422361">
      <w:r>
        <w:separator/>
      </w:r>
    </w:p>
    <w:p w14:paraId="02CC7DDF" w14:textId="77777777" w:rsidR="00422361" w:rsidRDefault="00422361"/>
  </w:endnote>
  <w:endnote w:type="continuationSeparator" w:id="0">
    <w:p w14:paraId="3F206F9F" w14:textId="77777777" w:rsidR="00422361" w:rsidRDefault="00422361">
      <w:r>
        <w:continuationSeparator/>
      </w:r>
    </w:p>
    <w:p w14:paraId="5A6705FF" w14:textId="77777777" w:rsidR="00422361" w:rsidRDefault="004223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4E59C" w14:textId="77777777" w:rsidR="00422361" w:rsidRDefault="00422361" w:rsidP="004D668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16E33" w14:textId="77777777" w:rsidR="00422361" w:rsidRDefault="004223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422361" w14:paraId="35CBE8F4" w14:textId="77777777" w:rsidTr="00563497">
      <w:trPr>
        <w:cantSplit/>
      </w:trPr>
      <w:tc>
        <w:tcPr>
          <w:tcW w:w="709" w:type="dxa"/>
          <w:vAlign w:val="center"/>
        </w:tcPr>
        <w:p w14:paraId="68471F69" w14:textId="77777777" w:rsidR="00422361" w:rsidRPr="00931466" w:rsidRDefault="00422361" w:rsidP="005111FC">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viii</w:t>
          </w:r>
          <w:r w:rsidRPr="00931466">
            <w:rPr>
              <w:rStyle w:val="PageNumber"/>
            </w:rPr>
            <w:fldChar w:fldCharType="end"/>
          </w:r>
        </w:p>
      </w:tc>
      <w:tc>
        <w:tcPr>
          <w:tcW w:w="8080" w:type="dxa"/>
          <w:vAlign w:val="center"/>
        </w:tcPr>
        <w:p w14:paraId="0B8CDB76" w14:textId="13DEC5EE" w:rsidR="00422361" w:rsidRDefault="00422361" w:rsidP="005111FC">
          <w:pPr>
            <w:pStyle w:val="RectoFooter"/>
            <w:jc w:val="left"/>
          </w:pPr>
          <w:r w:rsidRPr="007518F5">
            <w:t>OFFICE OF THE DIRECTOR OF MENTAL HEALTH AND ADDICTION SERVICES ANNUAL REPORT 2018 AND 2019</w:t>
          </w:r>
        </w:p>
      </w:tc>
    </w:tr>
  </w:tbl>
  <w:p w14:paraId="66CA14F3" w14:textId="77777777" w:rsidR="00422361" w:rsidRPr="00763281" w:rsidRDefault="00422361" w:rsidP="00763281">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422361" w14:paraId="4B04BD96" w14:textId="77777777" w:rsidTr="00D662F8">
      <w:trPr>
        <w:cantSplit/>
      </w:trPr>
      <w:tc>
        <w:tcPr>
          <w:tcW w:w="8080" w:type="dxa"/>
          <w:vAlign w:val="center"/>
        </w:tcPr>
        <w:p w14:paraId="218D49C2" w14:textId="645BEF4F" w:rsidR="00422361" w:rsidRDefault="00422361" w:rsidP="00926083">
          <w:pPr>
            <w:pStyle w:val="RectoFooter"/>
          </w:pPr>
          <w:r w:rsidRPr="00874134">
            <w:t>Office of the Director of Mental Health and Addiction Services Annual Report 201</w:t>
          </w:r>
          <w:r>
            <w:t>8 and 2019</w:t>
          </w:r>
        </w:p>
      </w:tc>
      <w:tc>
        <w:tcPr>
          <w:tcW w:w="709" w:type="dxa"/>
          <w:vAlign w:val="center"/>
        </w:tcPr>
        <w:p w14:paraId="44534ED9" w14:textId="77777777" w:rsidR="00422361" w:rsidRPr="00931466" w:rsidRDefault="00422361"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0FEA0CC5" w14:textId="77777777" w:rsidR="00422361" w:rsidRPr="00581EB8" w:rsidRDefault="00422361" w:rsidP="00581EB8">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422361" w14:paraId="2B3EF913" w14:textId="77777777" w:rsidTr="00D662F8">
      <w:trPr>
        <w:cantSplit/>
      </w:trPr>
      <w:tc>
        <w:tcPr>
          <w:tcW w:w="675" w:type="dxa"/>
          <w:vAlign w:val="center"/>
        </w:tcPr>
        <w:p w14:paraId="48483BBC" w14:textId="77777777" w:rsidR="00422361" w:rsidRPr="00931466" w:rsidRDefault="00422361"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1628833A" w14:textId="35F89E37" w:rsidR="00422361" w:rsidRDefault="00422361" w:rsidP="000D58DD">
          <w:pPr>
            <w:pStyle w:val="RectoFooter"/>
            <w:jc w:val="left"/>
          </w:pPr>
          <w:r w:rsidRPr="00C872F3">
            <w:t>OFFICE OF THE DIRECTOR OF MENTAL HEALTH AND ADDICTION SERVICES ANNUAL REPORT 2018 AND 2019</w:t>
          </w:r>
        </w:p>
      </w:tc>
    </w:tr>
  </w:tbl>
  <w:p w14:paraId="29E61FCD" w14:textId="77777777" w:rsidR="00422361" w:rsidRPr="00571223" w:rsidRDefault="00422361"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422361" w14:paraId="5761E592" w14:textId="77777777" w:rsidTr="00D662F8">
      <w:trPr>
        <w:cantSplit/>
      </w:trPr>
      <w:tc>
        <w:tcPr>
          <w:tcW w:w="8080" w:type="dxa"/>
          <w:vAlign w:val="center"/>
        </w:tcPr>
        <w:p w14:paraId="5A7B2EA4" w14:textId="1DDA68C4" w:rsidR="00422361" w:rsidRDefault="00422361" w:rsidP="00931466">
          <w:pPr>
            <w:pStyle w:val="RectoFooter"/>
          </w:pPr>
          <w:r w:rsidRPr="00C872F3">
            <w:t>OFFICE OF THE DIRECTOR OF MENTAL HEALTH AND ADDICTION SERVICES ANNUAL REPORT 2018 AND 2019</w:t>
          </w:r>
        </w:p>
      </w:tc>
      <w:tc>
        <w:tcPr>
          <w:tcW w:w="709" w:type="dxa"/>
          <w:vAlign w:val="center"/>
        </w:tcPr>
        <w:p w14:paraId="42B93CE5" w14:textId="77777777" w:rsidR="00422361" w:rsidRPr="00931466" w:rsidRDefault="00422361"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3</w:t>
          </w:r>
          <w:r w:rsidRPr="00931466">
            <w:rPr>
              <w:rStyle w:val="PageNumber"/>
            </w:rPr>
            <w:fldChar w:fldCharType="end"/>
          </w:r>
        </w:p>
      </w:tc>
    </w:tr>
  </w:tbl>
  <w:p w14:paraId="61B0FDB6" w14:textId="77777777" w:rsidR="00422361" w:rsidRPr="00581EB8" w:rsidRDefault="00422361"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F75156" w14:textId="77777777" w:rsidR="00422361" w:rsidRPr="00A26E6B" w:rsidRDefault="00422361" w:rsidP="00A26E6B"/>
  </w:footnote>
  <w:footnote w:type="continuationSeparator" w:id="0">
    <w:p w14:paraId="18A227CA" w14:textId="77777777" w:rsidR="00422361" w:rsidRDefault="00422361">
      <w:r>
        <w:continuationSeparator/>
      </w:r>
    </w:p>
    <w:p w14:paraId="1FDD1D91" w14:textId="77777777" w:rsidR="00422361" w:rsidRDefault="00422361"/>
  </w:footnote>
  <w:footnote w:id="1">
    <w:p w14:paraId="3322E100" w14:textId="17DEA285" w:rsidR="00422361" w:rsidRPr="00F3441B" w:rsidRDefault="00422361" w:rsidP="008361C5">
      <w:pPr>
        <w:pStyle w:val="FootnoteText"/>
        <w:rPr>
          <w:lang w:val="en-GB"/>
        </w:rPr>
      </w:pPr>
      <w:r>
        <w:rPr>
          <w:rStyle w:val="FootnoteReference"/>
        </w:rPr>
        <w:footnoteRef/>
      </w:r>
      <w:r>
        <w:rPr>
          <w:lang w:val="en-GB"/>
        </w:rPr>
        <w:tab/>
      </w:r>
      <w:r w:rsidRPr="00F3441B">
        <w:rPr>
          <w:rStyle w:val="FootnoteTextChar"/>
        </w:rPr>
        <w:t>Mental Health Act sections 11, 13, 14(4), 15(1), 15(2), 29, 30 and 31</w:t>
      </w:r>
      <w:r>
        <w:rPr>
          <w:rStyle w:val="FootnoteTextChar"/>
        </w:rPr>
        <w:t>.</w:t>
      </w:r>
    </w:p>
  </w:footnote>
  <w:footnote w:id="2">
    <w:p w14:paraId="5C1E7CEA" w14:textId="03A9257C" w:rsidR="00422361" w:rsidRDefault="00422361" w:rsidP="008361C5">
      <w:pPr>
        <w:pStyle w:val="FootnoteText"/>
      </w:pPr>
      <w:r>
        <w:rPr>
          <w:rStyle w:val="FootnoteReference"/>
        </w:rPr>
        <w:footnoteRef/>
      </w:r>
      <w:r>
        <w:t xml:space="preserve"> </w:t>
      </w:r>
      <w:r>
        <w:tab/>
        <w:t>Source: Ministry of Justice’s Case Management System data (extracted 24 June 2019).</w:t>
      </w:r>
    </w:p>
  </w:footnote>
  <w:footnote w:id="3">
    <w:p w14:paraId="18AAF487" w14:textId="75081E74" w:rsidR="00422361" w:rsidRDefault="00422361" w:rsidP="008361C5">
      <w:pPr>
        <w:pStyle w:val="FootnoteText"/>
      </w:pPr>
      <w:r>
        <w:rPr>
          <w:rStyle w:val="FootnoteReference"/>
        </w:rPr>
        <w:footnoteRef/>
      </w:r>
      <w:r>
        <w:t xml:space="preserve"> </w:t>
      </w:r>
      <w:r>
        <w:tab/>
      </w:r>
      <w:r w:rsidRPr="00940BE5">
        <w:t xml:space="preserve">Source: </w:t>
      </w:r>
      <w:r>
        <w:t>Ministry of Justice’s Case Management System data (extracted 1 February 2021).</w:t>
      </w:r>
    </w:p>
  </w:footnote>
  <w:footnote w:id="4">
    <w:p w14:paraId="71739883" w14:textId="607E5E1C" w:rsidR="00422361" w:rsidRDefault="00422361" w:rsidP="008361C5">
      <w:pPr>
        <w:pStyle w:val="FootnoteText"/>
      </w:pPr>
      <w:r>
        <w:rPr>
          <w:rStyle w:val="FootnoteReference"/>
        </w:rPr>
        <w:footnoteRef/>
      </w:r>
      <w:r>
        <w:t xml:space="preserve"> </w:t>
      </w:r>
      <w:r>
        <w:tab/>
      </w:r>
      <w:r w:rsidRPr="00940BE5">
        <w:t>Source</w:t>
      </w:r>
      <w:r>
        <w:t>s</w:t>
      </w:r>
      <w:r w:rsidRPr="00940BE5">
        <w:t xml:space="preserve">: </w:t>
      </w:r>
      <w:r>
        <w:t xml:space="preserve">Data from the </w:t>
      </w:r>
      <w:r w:rsidRPr="00CF4AE2">
        <w:t xml:space="preserve">Programme for the Integration of Mental Health Data </w:t>
      </w:r>
      <w:r>
        <w:t>(PRIMHD) (extracted</w:t>
      </w:r>
      <w:r w:rsidRPr="007F245A">
        <w:t xml:space="preserve"> 29 July 2019</w:t>
      </w:r>
      <w:r>
        <w:t>)</w:t>
      </w:r>
      <w:r w:rsidRPr="007F245A">
        <w:t xml:space="preserve"> and manual data from Auckland, Lakes, Nelson Marlborough and </w:t>
      </w:r>
      <w:proofErr w:type="spellStart"/>
      <w:r w:rsidRPr="007F245A">
        <w:t>Waitematā</w:t>
      </w:r>
      <w:proofErr w:type="spellEnd"/>
      <w:r w:rsidRPr="007F245A">
        <w:t xml:space="preserve"> district health boards </w:t>
      </w:r>
      <w:r>
        <w:t>(</w:t>
      </w:r>
      <w:r w:rsidRPr="007F245A">
        <w:t>DHBs</w:t>
      </w:r>
      <w:r>
        <w:t>).</w:t>
      </w:r>
    </w:p>
  </w:footnote>
  <w:footnote w:id="5">
    <w:p w14:paraId="58227B9A" w14:textId="2B1152D4" w:rsidR="00422361" w:rsidRDefault="00422361" w:rsidP="00CF5810">
      <w:pPr>
        <w:pStyle w:val="FootnoteText"/>
      </w:pPr>
      <w:r>
        <w:rPr>
          <w:rStyle w:val="FootnoteReference"/>
        </w:rPr>
        <w:footnoteRef/>
      </w:r>
      <w:r>
        <w:t xml:space="preserve"> </w:t>
      </w:r>
      <w:r>
        <w:tab/>
        <w:t>Source: Ministry of Justice’s Case Management System data (extracted 24 June 2019).</w:t>
      </w:r>
    </w:p>
  </w:footnote>
  <w:footnote w:id="6">
    <w:p w14:paraId="3DECA8D9" w14:textId="60C3F932" w:rsidR="00422361" w:rsidRDefault="00422361" w:rsidP="00CF5810">
      <w:pPr>
        <w:pStyle w:val="FootnoteText"/>
      </w:pPr>
      <w:r>
        <w:rPr>
          <w:rStyle w:val="FootnoteReference"/>
        </w:rPr>
        <w:footnoteRef/>
      </w:r>
      <w:r>
        <w:t xml:space="preserve"> </w:t>
      </w:r>
      <w:r>
        <w:tab/>
        <w:t>Source: Ministry of Justice’s Case Management System data (extracted 1 February 2021).</w:t>
      </w:r>
    </w:p>
  </w:footnote>
  <w:footnote w:id="7">
    <w:p w14:paraId="3B1667DF" w14:textId="699889FA" w:rsidR="00422361" w:rsidRDefault="00422361" w:rsidP="00CF5810">
      <w:pPr>
        <w:pStyle w:val="FootnoteText"/>
      </w:pPr>
      <w:r>
        <w:rPr>
          <w:rStyle w:val="FootnoteReference"/>
        </w:rPr>
        <w:footnoteRef/>
      </w:r>
      <w:r>
        <w:t xml:space="preserve"> </w:t>
      </w:r>
      <w:r>
        <w:tab/>
        <w:t xml:space="preserve">Sources: </w:t>
      </w:r>
      <w:r w:rsidRPr="0069579E">
        <w:t>PRIMHD data</w:t>
      </w:r>
      <w:r>
        <w:t xml:space="preserve"> (extracted</w:t>
      </w:r>
      <w:r w:rsidRPr="0069579E">
        <w:t xml:space="preserve"> 29 July 2019</w:t>
      </w:r>
      <w:r>
        <w:t>)</w:t>
      </w:r>
      <w:r w:rsidRPr="0069579E">
        <w:t xml:space="preserve"> and manual data from Auckland, Lakes, Nelson Marlborough and </w:t>
      </w:r>
      <w:proofErr w:type="spellStart"/>
      <w:r w:rsidRPr="0069579E">
        <w:t>Waitematā</w:t>
      </w:r>
      <w:proofErr w:type="spellEnd"/>
      <w:r w:rsidRPr="0069579E">
        <w:t xml:space="preserve"> DHBs</w:t>
      </w:r>
      <w:r>
        <w:t>.</w:t>
      </w:r>
    </w:p>
  </w:footnote>
  <w:footnote w:id="8">
    <w:p w14:paraId="659BA416" w14:textId="345AA1DB" w:rsidR="00422361" w:rsidRDefault="00422361" w:rsidP="00CF5810">
      <w:pPr>
        <w:pStyle w:val="FootnoteText"/>
      </w:pPr>
      <w:r>
        <w:rPr>
          <w:rStyle w:val="FootnoteReference"/>
        </w:rPr>
        <w:footnoteRef/>
      </w:r>
      <w:r>
        <w:t xml:space="preserve"> </w:t>
      </w:r>
      <w:r>
        <w:tab/>
        <w:t>Source: PRIMHD data (extracted 19 October 2020).</w:t>
      </w:r>
    </w:p>
  </w:footnote>
  <w:footnote w:id="9">
    <w:p w14:paraId="494B7288" w14:textId="3640A09D" w:rsidR="00422361" w:rsidRDefault="00422361" w:rsidP="00C236F9">
      <w:pPr>
        <w:pStyle w:val="FootnoteText"/>
      </w:pPr>
      <w:r>
        <w:rPr>
          <w:rStyle w:val="FootnoteReference"/>
        </w:rPr>
        <w:footnoteRef/>
      </w:r>
      <w:r>
        <w:t xml:space="preserve"> </w:t>
      </w:r>
      <w:r>
        <w:tab/>
        <w:t>These ratios are based on the age-standardised rates of the Māori and non-Māori populations.</w:t>
      </w:r>
      <w:r>
        <w:br/>
        <w:t>Source: PRIMHD data (extracted 29 July 2019). See the Appendix for a time-series extraction and analysis of the rate ratio between Māori and non-Māori under section 29 of the Mental Health Act.</w:t>
      </w:r>
    </w:p>
  </w:footnote>
  <w:footnote w:id="10">
    <w:p w14:paraId="6E75A458" w14:textId="088C30B4" w:rsidR="00422361" w:rsidRDefault="00422361" w:rsidP="008361C5">
      <w:pPr>
        <w:pStyle w:val="FootnoteText"/>
      </w:pPr>
      <w:r>
        <w:rPr>
          <w:rStyle w:val="FootnoteReference"/>
        </w:rPr>
        <w:footnoteRef/>
      </w:r>
      <w:r>
        <w:t xml:space="preserve"> </w:t>
      </w:r>
      <w:r>
        <w:tab/>
      </w:r>
      <w:r w:rsidRPr="00940BE5">
        <w:t xml:space="preserve">Source: </w:t>
      </w:r>
      <w:r>
        <w:t>PRIMHD data (extracted 29 July 2019). Deprivation deciles are ranked 1 to 10, where 1 represents areas with the least deprived scores and 10 the areas with the most deprived scores.</w:t>
      </w:r>
    </w:p>
  </w:footnote>
  <w:footnote w:id="11">
    <w:p w14:paraId="771F3FBB" w14:textId="048F4E35" w:rsidR="00422361" w:rsidRDefault="00422361">
      <w:pPr>
        <w:pStyle w:val="FootnoteText"/>
      </w:pPr>
      <w:r>
        <w:rPr>
          <w:rStyle w:val="FootnoteReference"/>
        </w:rPr>
        <w:footnoteRef/>
      </w:r>
      <w:r>
        <w:t xml:space="preserve"> </w:t>
      </w:r>
      <w:r>
        <w:tab/>
        <w:t>These ratios are based on the age-standardised rates of the Māori and non-Māori populations.</w:t>
      </w:r>
      <w:r>
        <w:br/>
        <w:t xml:space="preserve">Source: </w:t>
      </w:r>
      <w:r w:rsidRPr="0003105E">
        <w:t>PRIMHD data (extracted 19 October 2020). See the Appendix for a time-series extraction and analysis of the rate ratio between Māori and non-Māori under section 29 of the Mental Health Act.</w:t>
      </w:r>
      <w:r>
        <w:t xml:space="preserve"> </w:t>
      </w:r>
    </w:p>
  </w:footnote>
  <w:footnote w:id="12">
    <w:p w14:paraId="322EB51D" w14:textId="611A2866" w:rsidR="00422361" w:rsidRDefault="00422361" w:rsidP="008361C5">
      <w:pPr>
        <w:pStyle w:val="FootnoteText"/>
      </w:pPr>
      <w:r>
        <w:rPr>
          <w:rStyle w:val="FootnoteReference"/>
        </w:rPr>
        <w:footnoteRef/>
      </w:r>
      <w:r>
        <w:t xml:space="preserve"> </w:t>
      </w:r>
      <w:r>
        <w:tab/>
      </w:r>
      <w:r w:rsidRPr="00940BE5">
        <w:t xml:space="preserve">Source: </w:t>
      </w:r>
      <w:r>
        <w:t>PRIMHD data (extracted 19 October 2020). Deprivation deciles are ranked 1 to 10, where 1 represents areas with the least deprived scores and 10 the areas with the most deprived scores.</w:t>
      </w:r>
    </w:p>
  </w:footnote>
  <w:footnote w:id="13">
    <w:p w14:paraId="1CF2AE4C" w14:textId="310739DA" w:rsidR="00422361" w:rsidRDefault="00422361" w:rsidP="004A79D1">
      <w:pPr>
        <w:pStyle w:val="FootnoteText"/>
      </w:pPr>
      <w:r>
        <w:rPr>
          <w:rStyle w:val="FootnoteReference"/>
        </w:rPr>
        <w:footnoteRef/>
      </w:r>
      <w:r>
        <w:t xml:space="preserve"> </w:t>
      </w:r>
      <w:r>
        <w:tab/>
        <w:t xml:space="preserve">Standards New Zealand. 2008. </w:t>
      </w:r>
      <w:r w:rsidRPr="00C236F9">
        <w:rPr>
          <w:i/>
          <w:iCs/>
        </w:rPr>
        <w:t>Health and Disability Services (General) Standard</w:t>
      </w:r>
      <w:r>
        <w:t xml:space="preserve">. Wellington: Standards Council. </w:t>
      </w:r>
    </w:p>
  </w:footnote>
  <w:footnote w:id="14">
    <w:p w14:paraId="44E6D7CD" w14:textId="76ED0B8A" w:rsidR="00422361" w:rsidRDefault="00422361" w:rsidP="008361C5">
      <w:pPr>
        <w:pStyle w:val="FootnoteText"/>
      </w:pPr>
      <w:r>
        <w:rPr>
          <w:rStyle w:val="FootnoteReference"/>
        </w:rPr>
        <w:footnoteRef/>
      </w:r>
      <w:r>
        <w:t xml:space="preserve"> </w:t>
      </w:r>
      <w:r>
        <w:tab/>
        <w:t xml:space="preserve">Sources: PRIMHD data (extracted 29 July 2019) </w:t>
      </w:r>
      <w:r w:rsidRPr="00314226">
        <w:t xml:space="preserve">and manual data from </w:t>
      </w:r>
      <w:r>
        <w:t xml:space="preserve">Lakes, Nelson Marlborough, Southern and </w:t>
      </w:r>
      <w:proofErr w:type="spellStart"/>
      <w:r>
        <w:t>Waitematā</w:t>
      </w:r>
      <w:proofErr w:type="spellEnd"/>
      <w:r>
        <w:t xml:space="preserve"> DHBs. Excludes outlier data.</w:t>
      </w:r>
    </w:p>
  </w:footnote>
  <w:footnote w:id="15">
    <w:p w14:paraId="66F1AB23" w14:textId="39A4FB4C" w:rsidR="00422361" w:rsidRDefault="00422361" w:rsidP="008361C5">
      <w:pPr>
        <w:pStyle w:val="FootnoteText"/>
      </w:pPr>
      <w:r>
        <w:rPr>
          <w:rStyle w:val="FootnoteReference"/>
        </w:rPr>
        <w:footnoteRef/>
      </w:r>
      <w:r>
        <w:t xml:space="preserve"> </w:t>
      </w:r>
      <w:r>
        <w:tab/>
        <w:t>We are comparing with 2009 because that is the year when seclusion reduction policies were introduced.</w:t>
      </w:r>
    </w:p>
  </w:footnote>
  <w:footnote w:id="16">
    <w:p w14:paraId="603F4B7C" w14:textId="5FCB8E75" w:rsidR="00422361" w:rsidRDefault="00422361" w:rsidP="008361C5">
      <w:pPr>
        <w:pStyle w:val="FootnoteText"/>
      </w:pPr>
      <w:r>
        <w:rPr>
          <w:rStyle w:val="FootnoteReference"/>
        </w:rPr>
        <w:footnoteRef/>
      </w:r>
      <w:r>
        <w:t xml:space="preserve"> </w:t>
      </w:r>
      <w:r>
        <w:tab/>
        <w:t xml:space="preserve">Sources: PRIMHD data (extracted 19 October 2020) </w:t>
      </w:r>
      <w:r w:rsidRPr="00314226">
        <w:t xml:space="preserve">and manual data from </w:t>
      </w:r>
      <w:r>
        <w:t>Southern and Whanganui DHBs. Excludes outlier data.</w:t>
      </w:r>
    </w:p>
  </w:footnote>
  <w:footnote w:id="17">
    <w:p w14:paraId="773FB1DB" w14:textId="15ED5E86" w:rsidR="00422361" w:rsidRDefault="00422361" w:rsidP="008361C5">
      <w:pPr>
        <w:pStyle w:val="FootnoteText"/>
      </w:pPr>
      <w:r>
        <w:rPr>
          <w:rStyle w:val="FootnoteReference"/>
        </w:rPr>
        <w:footnoteRef/>
      </w:r>
      <w:r>
        <w:t xml:space="preserve"> </w:t>
      </w:r>
      <w:r>
        <w:tab/>
        <w:t>We are comparing with 2009 because that is the year when seclusion reduction policies were introduced.</w:t>
      </w:r>
    </w:p>
  </w:footnote>
  <w:footnote w:id="18">
    <w:p w14:paraId="61970848" w14:textId="18C36609" w:rsidR="00422361" w:rsidRDefault="00422361" w:rsidP="008361C5">
      <w:pPr>
        <w:pStyle w:val="FootnoteText"/>
      </w:pPr>
      <w:r>
        <w:rPr>
          <w:rStyle w:val="FootnoteReference"/>
        </w:rPr>
        <w:footnoteRef/>
      </w:r>
      <w:r>
        <w:t xml:space="preserve"> </w:t>
      </w:r>
      <w:r>
        <w:tab/>
        <w:t xml:space="preserve">Sources: PRIMHD data (extracted 29 July 2019) and manual data from Lakes, Nelson Marlborough, Southern, and </w:t>
      </w:r>
      <w:proofErr w:type="spellStart"/>
      <w:r>
        <w:t>Waitematā</w:t>
      </w:r>
      <w:proofErr w:type="spellEnd"/>
      <w:r>
        <w:t xml:space="preserve"> DHBs. Excludes two outliers and forensic services. Bed nights are measured by team types that provide seclusion. This figure cannot be compared with years before 2017, when bed nights were measured by acute and sub-acute bed nights.</w:t>
      </w:r>
    </w:p>
  </w:footnote>
  <w:footnote w:id="19">
    <w:p w14:paraId="7A259762" w14:textId="2B27E71B" w:rsidR="00422361" w:rsidRDefault="00422361" w:rsidP="008361C5">
      <w:pPr>
        <w:pStyle w:val="FootnoteText"/>
      </w:pPr>
      <w:r>
        <w:rPr>
          <w:rStyle w:val="FootnoteReference"/>
        </w:rPr>
        <w:footnoteRef/>
      </w:r>
      <w:r>
        <w:t xml:space="preserve"> </w:t>
      </w:r>
      <w:r>
        <w:tab/>
        <w:t xml:space="preserve">Sources: PRIMHD data (extracted 19 October 2020) and manual data from Southern and Whanganui DHBs. Excludes two outliers and forensic services. </w:t>
      </w:r>
    </w:p>
  </w:footnote>
  <w:footnote w:id="20">
    <w:p w14:paraId="0F2D73A8" w14:textId="7E026725" w:rsidR="00422361" w:rsidRDefault="00422361" w:rsidP="008361C5">
      <w:pPr>
        <w:pStyle w:val="FootnoteText"/>
      </w:pPr>
      <w:r>
        <w:rPr>
          <w:rStyle w:val="FootnoteReference"/>
        </w:rPr>
        <w:footnoteRef/>
      </w:r>
      <w:r>
        <w:t xml:space="preserve"> </w:t>
      </w:r>
      <w:r>
        <w:tab/>
        <w:t xml:space="preserve">If a person in Wairarapa DHB requires admission to mental health inpatient services, they are transported to either Hutt Valley DHB or </w:t>
      </w:r>
      <w:proofErr w:type="spellStart"/>
      <w:r>
        <w:t>MidCentral</w:t>
      </w:r>
      <w:proofErr w:type="spellEnd"/>
      <w:r>
        <w:t xml:space="preserve"> DHB, and the seclusion statistics relating to these service users appear on that DHB’s database.</w:t>
      </w:r>
    </w:p>
  </w:footnote>
  <w:footnote w:id="21">
    <w:p w14:paraId="5DBA9A9E" w14:textId="34D9CE67" w:rsidR="00422361" w:rsidRDefault="00422361" w:rsidP="008361C5">
      <w:pPr>
        <w:pStyle w:val="FootnoteText"/>
      </w:pPr>
      <w:r>
        <w:rPr>
          <w:rStyle w:val="FootnoteReference"/>
        </w:rPr>
        <w:footnoteRef/>
      </w:r>
      <w:r>
        <w:t xml:space="preserve"> </w:t>
      </w:r>
      <w:r>
        <w:tab/>
        <w:t>The year 2017 is used here because it was the year of the previous Office of the Director of Mental Health and Addiction Services Annual Report.</w:t>
      </w:r>
    </w:p>
  </w:footnote>
  <w:footnote w:id="22">
    <w:p w14:paraId="5ACA8E24" w14:textId="1B1E5233" w:rsidR="00422361" w:rsidRDefault="00422361" w:rsidP="008361C5">
      <w:pPr>
        <w:pStyle w:val="FootnoteText"/>
      </w:pPr>
      <w:r>
        <w:rPr>
          <w:rStyle w:val="FootnoteReference"/>
        </w:rPr>
        <w:footnoteRef/>
      </w:r>
      <w:r>
        <w:t xml:space="preserve"> </w:t>
      </w:r>
      <w:r>
        <w:tab/>
        <w:t>Capital &amp; Coast DHB also operates a forensic service in Whanganui.</w:t>
      </w:r>
    </w:p>
  </w:footnote>
  <w:footnote w:id="23">
    <w:p w14:paraId="27BBE6C0" w14:textId="37B45278" w:rsidR="00422361" w:rsidRDefault="00422361" w:rsidP="008361C5">
      <w:pPr>
        <w:pStyle w:val="FootnoteText"/>
      </w:pPr>
      <w:r>
        <w:rPr>
          <w:rStyle w:val="FootnoteReference"/>
        </w:rPr>
        <w:footnoteRef/>
      </w:r>
      <w:r>
        <w:t xml:space="preserve"> </w:t>
      </w:r>
      <w:r>
        <w:tab/>
        <w:t>An adverse event is an event that results in harm or has the potential to result in harm to a consumer.</w:t>
      </w:r>
    </w:p>
  </w:footnote>
  <w:footnote w:id="24">
    <w:p w14:paraId="6E902E43" w14:textId="1BCC9B77" w:rsidR="00422361" w:rsidRDefault="00422361" w:rsidP="008361C5">
      <w:pPr>
        <w:pStyle w:val="FootnoteText"/>
      </w:pPr>
      <w:r>
        <w:rPr>
          <w:rStyle w:val="FootnoteReference"/>
        </w:rPr>
        <w:footnoteRef/>
      </w:r>
      <w:r>
        <w:t xml:space="preserve"> </w:t>
      </w:r>
      <w:r>
        <w:tab/>
        <w:t xml:space="preserve">SAC is a numerical rating of how severe an adverse event is and, </w:t>
      </w:r>
      <w:proofErr w:type="gramStart"/>
      <w:r>
        <w:t>as a consequence</w:t>
      </w:r>
      <w:proofErr w:type="gramEnd"/>
      <w:r>
        <w:t>, identifies what level of reporting and investigation needs to be undertaken for that event.</w:t>
      </w:r>
    </w:p>
  </w:footnote>
  <w:footnote w:id="25">
    <w:p w14:paraId="17882843" w14:textId="7C823C51" w:rsidR="00422361" w:rsidRDefault="00422361">
      <w:pPr>
        <w:pStyle w:val="FootnoteText"/>
      </w:pPr>
      <w:r>
        <w:rPr>
          <w:rStyle w:val="FootnoteReference"/>
        </w:rPr>
        <w:footnoteRef/>
      </w:r>
      <w:r>
        <w:t xml:space="preserve"> </w:t>
      </w:r>
      <w:r>
        <w:tab/>
        <w:t xml:space="preserve">See </w:t>
      </w:r>
      <w:hyperlink r:id="rId1" w:history="1">
        <w:r w:rsidRPr="005D237F">
          <w:rPr>
            <w:rStyle w:val="Hyperlink"/>
          </w:rPr>
          <w:t>https://www.hqsc.govt.nz/our-programmes/adverse-events/national-adverse-events-policy/</w:t>
        </w:r>
      </w:hyperlink>
      <w:r>
        <w:t xml:space="preserve"> </w:t>
      </w:r>
    </w:p>
  </w:footnote>
  <w:footnote w:id="26">
    <w:p w14:paraId="2C4BAA5D" w14:textId="217D847E" w:rsidR="00422361" w:rsidRDefault="00422361" w:rsidP="008361C5">
      <w:pPr>
        <w:pStyle w:val="FootnoteText"/>
      </w:pPr>
      <w:r>
        <w:rPr>
          <w:rStyle w:val="FootnoteReference"/>
        </w:rPr>
        <w:footnoteRef/>
      </w:r>
      <w:r>
        <w:t xml:space="preserve"> </w:t>
      </w:r>
      <w:r>
        <w:tab/>
      </w:r>
      <w:r w:rsidRPr="00940BE5">
        <w:t xml:space="preserve">Source: </w:t>
      </w:r>
      <w:r>
        <w:t>PRIMHD data (extracted 12 September 2019).</w:t>
      </w:r>
    </w:p>
  </w:footnote>
  <w:footnote w:id="27">
    <w:p w14:paraId="6DD38C85" w14:textId="675098C2" w:rsidR="00422361" w:rsidRDefault="00422361" w:rsidP="008361C5">
      <w:pPr>
        <w:pStyle w:val="FootnoteText"/>
      </w:pPr>
      <w:r>
        <w:rPr>
          <w:rStyle w:val="FootnoteReference"/>
        </w:rPr>
        <w:footnoteRef/>
      </w:r>
      <w:r>
        <w:t xml:space="preserve"> </w:t>
      </w:r>
      <w:r>
        <w:tab/>
      </w:r>
      <w:r w:rsidRPr="00940BE5">
        <w:t xml:space="preserve">Source: </w:t>
      </w:r>
      <w:r>
        <w:t>PRIMHD data (extracted 30 October 2019).</w:t>
      </w:r>
    </w:p>
  </w:footnote>
  <w:footnote w:id="28">
    <w:p w14:paraId="67C2C93E" w14:textId="1A013327" w:rsidR="00422361" w:rsidRDefault="00422361" w:rsidP="008361C5">
      <w:pPr>
        <w:pStyle w:val="FootnoteText"/>
      </w:pPr>
      <w:r>
        <w:rPr>
          <w:rStyle w:val="FootnoteReference"/>
        </w:rPr>
        <w:footnoteRef/>
      </w:r>
      <w:r>
        <w:t xml:space="preserve"> </w:t>
      </w:r>
      <w:r>
        <w:tab/>
      </w:r>
      <w:r w:rsidRPr="00940BE5">
        <w:t xml:space="preserve">Source: </w:t>
      </w:r>
      <w:r>
        <w:t>PRIMHD data (extracted 20 November 2019).</w:t>
      </w:r>
    </w:p>
  </w:footnote>
  <w:footnote w:id="29">
    <w:p w14:paraId="517D1A12" w14:textId="3B142F7E" w:rsidR="00422361" w:rsidRDefault="00422361" w:rsidP="00B468D5">
      <w:pPr>
        <w:pStyle w:val="FootnoteText"/>
      </w:pPr>
      <w:r>
        <w:rPr>
          <w:rStyle w:val="FootnoteReference"/>
        </w:rPr>
        <w:footnoteRef/>
      </w:r>
      <w:r>
        <w:t xml:space="preserve"> </w:t>
      </w:r>
      <w:r>
        <w:tab/>
        <w:t xml:space="preserve">For the purposes of this report, ‘detained’ means an approved specialist has signed a compulsory treatment certificate. </w:t>
      </w:r>
      <w:r w:rsidRPr="00940BE5">
        <w:t xml:space="preserve">Source: </w:t>
      </w:r>
      <w:r>
        <w:t>PRIMHD data (extracted 2 September 2020).</w:t>
      </w:r>
    </w:p>
  </w:footnote>
  <w:footnote w:id="30">
    <w:p w14:paraId="475E0CFD" w14:textId="106EC3D3" w:rsidR="00422361" w:rsidRDefault="00422361" w:rsidP="00B468D5">
      <w:pPr>
        <w:pStyle w:val="FootnoteText"/>
      </w:pPr>
      <w:r>
        <w:rPr>
          <w:rStyle w:val="FootnoteReference"/>
        </w:rPr>
        <w:footnoteRef/>
      </w:r>
      <w:r>
        <w:t xml:space="preserve"> </w:t>
      </w:r>
      <w:r w:rsidRPr="00940BE5">
        <w:t xml:space="preserve">Source: </w:t>
      </w:r>
      <w:r>
        <w:t>PRIMHD data (extracted 3 February 2021).</w:t>
      </w:r>
    </w:p>
  </w:footnote>
  <w:footnote w:id="31">
    <w:p w14:paraId="7E2527B0" w14:textId="045B4155" w:rsidR="00422361" w:rsidRDefault="00422361" w:rsidP="00B468D5">
      <w:pPr>
        <w:pStyle w:val="FootnoteText"/>
      </w:pPr>
      <w:r>
        <w:rPr>
          <w:rStyle w:val="FootnoteReference"/>
        </w:rPr>
        <w:footnoteRef/>
      </w:r>
      <w:r>
        <w:t xml:space="preserve"> </w:t>
      </w:r>
      <w:r>
        <w:tab/>
      </w:r>
      <w:r w:rsidRPr="00940BE5">
        <w:t xml:space="preserve">Source: </w:t>
      </w:r>
      <w:r>
        <w:t>PRIMHD data (extracted 3 February 2021).</w:t>
      </w:r>
    </w:p>
  </w:footnote>
  <w:footnote w:id="32">
    <w:p w14:paraId="56E17B7C" w14:textId="3BE61EE3" w:rsidR="00422361" w:rsidRDefault="00422361" w:rsidP="008361C5">
      <w:pPr>
        <w:pStyle w:val="FootnoteText"/>
      </w:pPr>
      <w:r>
        <w:rPr>
          <w:rStyle w:val="FootnoteReference"/>
        </w:rPr>
        <w:footnoteRef/>
      </w:r>
      <w:r>
        <w:t xml:space="preserve"> </w:t>
      </w:r>
      <w:r>
        <w:tab/>
        <w:t>Data provided by OST services in six-monthly reports. These six-monthly reports do not collect data by National Health Index (NHI) numbers. The New Zealand total is a sum of the DHB figures, so it can double-count people who had services from more than one DHB.</w:t>
      </w:r>
    </w:p>
  </w:footnote>
  <w:footnote w:id="33">
    <w:p w14:paraId="234B3B56" w14:textId="437ED423" w:rsidR="00422361" w:rsidRDefault="00422361" w:rsidP="008361C5">
      <w:pPr>
        <w:pStyle w:val="FootnoteText"/>
      </w:pPr>
      <w:r>
        <w:rPr>
          <w:rStyle w:val="FootnoteReference"/>
        </w:rPr>
        <w:footnoteRef/>
      </w:r>
      <w:r>
        <w:t xml:space="preserve"> </w:t>
      </w:r>
      <w:r>
        <w:tab/>
        <w:t>Data provided by OST services in six-monthly reports.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0015D" w14:textId="77777777" w:rsidR="00422361" w:rsidRDefault="00422361" w:rsidP="00533B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A3D7E" w14:textId="77777777" w:rsidR="00422361" w:rsidRDefault="00422361" w:rsidP="009001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3517A" w14:textId="77777777" w:rsidR="00422361" w:rsidRDefault="00422361" w:rsidP="00533B9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E27C2" w14:textId="77777777" w:rsidR="00422361" w:rsidRDefault="00422361" w:rsidP="009001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D8101" w14:textId="77777777" w:rsidR="00422361" w:rsidRDefault="004223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61674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C4B2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81E84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104A5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A541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B0D1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98DA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02E4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06C12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B2EDD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1" w15:restartNumberingAfterBreak="0">
    <w:nsid w:val="09A64DB5"/>
    <w:multiLevelType w:val="hybridMultilevel"/>
    <w:tmpl w:val="A09C20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B049E1"/>
    <w:multiLevelType w:val="hybridMultilevel"/>
    <w:tmpl w:val="E884CF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6323011"/>
    <w:multiLevelType w:val="hybridMultilevel"/>
    <w:tmpl w:val="035891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8791697"/>
    <w:multiLevelType w:val="hybridMultilevel"/>
    <w:tmpl w:val="21C625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8"/>
  </w:num>
  <w:num w:numId="2">
    <w:abstractNumId w:val="13"/>
  </w:num>
  <w:num w:numId="3">
    <w:abstractNumId w:val="14"/>
  </w:num>
  <w:num w:numId="4">
    <w:abstractNumId w:val="10"/>
  </w:num>
  <w:num w:numId="5">
    <w:abstractNumId w:val="12"/>
  </w:num>
  <w:num w:numId="6">
    <w:abstractNumId w:val="17"/>
  </w:num>
  <w:num w:numId="7">
    <w:abstractNumId w:val="8"/>
  </w:num>
  <w:num w:numId="8">
    <w:abstractNumId w:val="3"/>
  </w:num>
  <w:num w:numId="9">
    <w:abstractNumId w:val="8"/>
    <w:lvlOverride w:ilvl="0">
      <w:startOverride w:val="1"/>
    </w:lvlOverride>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2"/>
  </w:num>
  <w:num w:numId="17">
    <w:abstractNumId w:val="1"/>
  </w:num>
  <w:num w:numId="18">
    <w:abstractNumId w:val="0"/>
  </w:num>
  <w:num w:numId="19">
    <w:abstractNumId w:val="15"/>
  </w:num>
  <w:num w:numId="20">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0045"/>
    <w:rsid w:val="000011C9"/>
    <w:rsid w:val="000025B8"/>
    <w:rsid w:val="00005BB5"/>
    <w:rsid w:val="000174A5"/>
    <w:rsid w:val="000222AA"/>
    <w:rsid w:val="000235EB"/>
    <w:rsid w:val="00025A6F"/>
    <w:rsid w:val="0002618D"/>
    <w:rsid w:val="00030B26"/>
    <w:rsid w:val="00030E84"/>
    <w:rsid w:val="0003105E"/>
    <w:rsid w:val="00032C0A"/>
    <w:rsid w:val="00035257"/>
    <w:rsid w:val="00035D68"/>
    <w:rsid w:val="000369F1"/>
    <w:rsid w:val="00043C6A"/>
    <w:rsid w:val="00053F18"/>
    <w:rsid w:val="00054B44"/>
    <w:rsid w:val="000573D6"/>
    <w:rsid w:val="00060DF7"/>
    <w:rsid w:val="00061F4C"/>
    <w:rsid w:val="0006228D"/>
    <w:rsid w:val="00063C06"/>
    <w:rsid w:val="00064336"/>
    <w:rsid w:val="00066817"/>
    <w:rsid w:val="000724D6"/>
    <w:rsid w:val="00072BD6"/>
    <w:rsid w:val="00075B78"/>
    <w:rsid w:val="000763E9"/>
    <w:rsid w:val="00082CD6"/>
    <w:rsid w:val="0008437D"/>
    <w:rsid w:val="00085AFE"/>
    <w:rsid w:val="0009062F"/>
    <w:rsid w:val="00090C73"/>
    <w:rsid w:val="000933C8"/>
    <w:rsid w:val="00094800"/>
    <w:rsid w:val="000A15F1"/>
    <w:rsid w:val="000A3EB9"/>
    <w:rsid w:val="000A41ED"/>
    <w:rsid w:val="000A5C40"/>
    <w:rsid w:val="000A6E9A"/>
    <w:rsid w:val="000B0390"/>
    <w:rsid w:val="000B0730"/>
    <w:rsid w:val="000B0C2F"/>
    <w:rsid w:val="000B26BA"/>
    <w:rsid w:val="000B2C8E"/>
    <w:rsid w:val="000C134D"/>
    <w:rsid w:val="000C1722"/>
    <w:rsid w:val="000C19D7"/>
    <w:rsid w:val="000C5A1A"/>
    <w:rsid w:val="000D19F4"/>
    <w:rsid w:val="000D39C2"/>
    <w:rsid w:val="000D58DD"/>
    <w:rsid w:val="000D7A1E"/>
    <w:rsid w:val="000E090C"/>
    <w:rsid w:val="000E242F"/>
    <w:rsid w:val="000E5F67"/>
    <w:rsid w:val="000E6558"/>
    <w:rsid w:val="000E72A1"/>
    <w:rsid w:val="000E756E"/>
    <w:rsid w:val="000F2AE2"/>
    <w:rsid w:val="000F2BFF"/>
    <w:rsid w:val="000F37FF"/>
    <w:rsid w:val="00100AFA"/>
    <w:rsid w:val="00100C0B"/>
    <w:rsid w:val="00102063"/>
    <w:rsid w:val="0010511F"/>
    <w:rsid w:val="0010541C"/>
    <w:rsid w:val="00106F93"/>
    <w:rsid w:val="00111D50"/>
    <w:rsid w:val="00113B8E"/>
    <w:rsid w:val="0011696D"/>
    <w:rsid w:val="0012053C"/>
    <w:rsid w:val="00122363"/>
    <w:rsid w:val="00122650"/>
    <w:rsid w:val="001237A0"/>
    <w:rsid w:val="00126474"/>
    <w:rsid w:val="001331B8"/>
    <w:rsid w:val="001342C7"/>
    <w:rsid w:val="0013585C"/>
    <w:rsid w:val="001371D1"/>
    <w:rsid w:val="00141887"/>
    <w:rsid w:val="00142261"/>
    <w:rsid w:val="00142954"/>
    <w:rsid w:val="001460E0"/>
    <w:rsid w:val="001472F0"/>
    <w:rsid w:val="00147F71"/>
    <w:rsid w:val="00150A6E"/>
    <w:rsid w:val="0015429E"/>
    <w:rsid w:val="001574C6"/>
    <w:rsid w:val="0016304B"/>
    <w:rsid w:val="00163529"/>
    <w:rsid w:val="0016379A"/>
    <w:rsid w:val="0016468A"/>
    <w:rsid w:val="001674C3"/>
    <w:rsid w:val="00171FFD"/>
    <w:rsid w:val="00176642"/>
    <w:rsid w:val="001808F2"/>
    <w:rsid w:val="0018662D"/>
    <w:rsid w:val="00197427"/>
    <w:rsid w:val="001A21B4"/>
    <w:rsid w:val="001A49C6"/>
    <w:rsid w:val="001A5606"/>
    <w:rsid w:val="001A5CF5"/>
    <w:rsid w:val="001B1712"/>
    <w:rsid w:val="001B39D2"/>
    <w:rsid w:val="001B42F3"/>
    <w:rsid w:val="001B4BF8"/>
    <w:rsid w:val="001B5043"/>
    <w:rsid w:val="001C4326"/>
    <w:rsid w:val="001C646A"/>
    <w:rsid w:val="001C665E"/>
    <w:rsid w:val="001D3541"/>
    <w:rsid w:val="001D3E4E"/>
    <w:rsid w:val="001E254A"/>
    <w:rsid w:val="001E2738"/>
    <w:rsid w:val="001E3095"/>
    <w:rsid w:val="001E7386"/>
    <w:rsid w:val="001F45A7"/>
    <w:rsid w:val="00200234"/>
    <w:rsid w:val="00201A01"/>
    <w:rsid w:val="00203E20"/>
    <w:rsid w:val="0020754B"/>
    <w:rsid w:val="002104D3"/>
    <w:rsid w:val="00213A33"/>
    <w:rsid w:val="0021763B"/>
    <w:rsid w:val="0022128D"/>
    <w:rsid w:val="002218E9"/>
    <w:rsid w:val="00222074"/>
    <w:rsid w:val="002230A2"/>
    <w:rsid w:val="00224D18"/>
    <w:rsid w:val="00226070"/>
    <w:rsid w:val="00226FE6"/>
    <w:rsid w:val="002300C4"/>
    <w:rsid w:val="00237399"/>
    <w:rsid w:val="00242B07"/>
    <w:rsid w:val="00246DB1"/>
    <w:rsid w:val="002476B5"/>
    <w:rsid w:val="00251958"/>
    <w:rsid w:val="002520CC"/>
    <w:rsid w:val="00253ECF"/>
    <w:rsid w:val="0025469D"/>
    <w:rsid w:val="002546A1"/>
    <w:rsid w:val="002611BC"/>
    <w:rsid w:val="002628F4"/>
    <w:rsid w:val="002716AF"/>
    <w:rsid w:val="0027175C"/>
    <w:rsid w:val="00271864"/>
    <w:rsid w:val="00272771"/>
    <w:rsid w:val="00272F03"/>
    <w:rsid w:val="00275D08"/>
    <w:rsid w:val="00280998"/>
    <w:rsid w:val="002858E3"/>
    <w:rsid w:val="00286A2A"/>
    <w:rsid w:val="0029190A"/>
    <w:rsid w:val="00292C5A"/>
    <w:rsid w:val="00295241"/>
    <w:rsid w:val="002A11AE"/>
    <w:rsid w:val="002A2273"/>
    <w:rsid w:val="002A39B7"/>
    <w:rsid w:val="002A4DFC"/>
    <w:rsid w:val="002A712F"/>
    <w:rsid w:val="002B047D"/>
    <w:rsid w:val="002B32F1"/>
    <w:rsid w:val="002B6888"/>
    <w:rsid w:val="002B732B"/>
    <w:rsid w:val="002B76A7"/>
    <w:rsid w:val="002C05DA"/>
    <w:rsid w:val="002C0F14"/>
    <w:rsid w:val="002C2219"/>
    <w:rsid w:val="002C2552"/>
    <w:rsid w:val="002C380A"/>
    <w:rsid w:val="002C4FD6"/>
    <w:rsid w:val="002D0DF2"/>
    <w:rsid w:val="002D13E0"/>
    <w:rsid w:val="002D23BD"/>
    <w:rsid w:val="002D639B"/>
    <w:rsid w:val="002D6553"/>
    <w:rsid w:val="002E0B47"/>
    <w:rsid w:val="002E45A5"/>
    <w:rsid w:val="002E743F"/>
    <w:rsid w:val="002E7665"/>
    <w:rsid w:val="002F2A05"/>
    <w:rsid w:val="002F4685"/>
    <w:rsid w:val="002F658F"/>
    <w:rsid w:val="002F7213"/>
    <w:rsid w:val="0030098C"/>
    <w:rsid w:val="0030382F"/>
    <w:rsid w:val="0030408D"/>
    <w:rsid w:val="003060E4"/>
    <w:rsid w:val="0030648F"/>
    <w:rsid w:val="00310109"/>
    <w:rsid w:val="003105AC"/>
    <w:rsid w:val="00312FC3"/>
    <w:rsid w:val="00314226"/>
    <w:rsid w:val="003160E7"/>
    <w:rsid w:val="0031739E"/>
    <w:rsid w:val="00324896"/>
    <w:rsid w:val="003309CA"/>
    <w:rsid w:val="00331B61"/>
    <w:rsid w:val="003325AB"/>
    <w:rsid w:val="003332D1"/>
    <w:rsid w:val="0033412B"/>
    <w:rsid w:val="00334B80"/>
    <w:rsid w:val="00336C4F"/>
    <w:rsid w:val="00341161"/>
    <w:rsid w:val="00342AA9"/>
    <w:rsid w:val="00343365"/>
    <w:rsid w:val="003445F4"/>
    <w:rsid w:val="00344FDF"/>
    <w:rsid w:val="00346BD1"/>
    <w:rsid w:val="003510A5"/>
    <w:rsid w:val="003512FB"/>
    <w:rsid w:val="00353501"/>
    <w:rsid w:val="00353734"/>
    <w:rsid w:val="003606F8"/>
    <w:rsid w:val="00363532"/>
    <w:rsid w:val="003648EF"/>
    <w:rsid w:val="003673E6"/>
    <w:rsid w:val="00371D73"/>
    <w:rsid w:val="003730D9"/>
    <w:rsid w:val="00373B90"/>
    <w:rsid w:val="00374416"/>
    <w:rsid w:val="00377264"/>
    <w:rsid w:val="003779D2"/>
    <w:rsid w:val="003827C8"/>
    <w:rsid w:val="00382E86"/>
    <w:rsid w:val="00385E38"/>
    <w:rsid w:val="0039136F"/>
    <w:rsid w:val="003A26A5"/>
    <w:rsid w:val="003A3761"/>
    <w:rsid w:val="003A512D"/>
    <w:rsid w:val="003A59E3"/>
    <w:rsid w:val="003A5FEA"/>
    <w:rsid w:val="003A6817"/>
    <w:rsid w:val="003B11EB"/>
    <w:rsid w:val="003B1D10"/>
    <w:rsid w:val="003B6C68"/>
    <w:rsid w:val="003B76FD"/>
    <w:rsid w:val="003C1088"/>
    <w:rsid w:val="003C76D4"/>
    <w:rsid w:val="003D137D"/>
    <w:rsid w:val="003D2CC5"/>
    <w:rsid w:val="003E04C1"/>
    <w:rsid w:val="003E0887"/>
    <w:rsid w:val="003E74C8"/>
    <w:rsid w:val="003E7C46"/>
    <w:rsid w:val="003F077E"/>
    <w:rsid w:val="003F2106"/>
    <w:rsid w:val="003F52A7"/>
    <w:rsid w:val="003F7013"/>
    <w:rsid w:val="0040240C"/>
    <w:rsid w:val="00402BAD"/>
    <w:rsid w:val="004125EA"/>
    <w:rsid w:val="00413021"/>
    <w:rsid w:val="004149FE"/>
    <w:rsid w:val="00422361"/>
    <w:rsid w:val="00422F7B"/>
    <w:rsid w:val="004236A5"/>
    <w:rsid w:val="00425A9F"/>
    <w:rsid w:val="004267C3"/>
    <w:rsid w:val="004301C6"/>
    <w:rsid w:val="0043478F"/>
    <w:rsid w:val="0043602B"/>
    <w:rsid w:val="00436C97"/>
    <w:rsid w:val="00440BE0"/>
    <w:rsid w:val="00442C1C"/>
    <w:rsid w:val="0044584B"/>
    <w:rsid w:val="004468CE"/>
    <w:rsid w:val="00447CB7"/>
    <w:rsid w:val="00453FA8"/>
    <w:rsid w:val="004542C5"/>
    <w:rsid w:val="0045487F"/>
    <w:rsid w:val="00455CC9"/>
    <w:rsid w:val="00460826"/>
    <w:rsid w:val="00460EA7"/>
    <w:rsid w:val="0046195B"/>
    <w:rsid w:val="0046362D"/>
    <w:rsid w:val="0046596D"/>
    <w:rsid w:val="00466EF0"/>
    <w:rsid w:val="00471D9B"/>
    <w:rsid w:val="0047263B"/>
    <w:rsid w:val="00472859"/>
    <w:rsid w:val="00472BA6"/>
    <w:rsid w:val="0047726B"/>
    <w:rsid w:val="00483094"/>
    <w:rsid w:val="00486A72"/>
    <w:rsid w:val="00487C04"/>
    <w:rsid w:val="00487E14"/>
    <w:rsid w:val="004907E1"/>
    <w:rsid w:val="00490883"/>
    <w:rsid w:val="00495113"/>
    <w:rsid w:val="0049640C"/>
    <w:rsid w:val="004A035B"/>
    <w:rsid w:val="004A2108"/>
    <w:rsid w:val="004A38D7"/>
    <w:rsid w:val="004A50BB"/>
    <w:rsid w:val="004A58E4"/>
    <w:rsid w:val="004A6450"/>
    <w:rsid w:val="004A778C"/>
    <w:rsid w:val="004A79D1"/>
    <w:rsid w:val="004B48C7"/>
    <w:rsid w:val="004C21F4"/>
    <w:rsid w:val="004C2E6A"/>
    <w:rsid w:val="004C3760"/>
    <w:rsid w:val="004C38E8"/>
    <w:rsid w:val="004C4D80"/>
    <w:rsid w:val="004C5E5D"/>
    <w:rsid w:val="004C62A9"/>
    <w:rsid w:val="004C6386"/>
    <w:rsid w:val="004C64B8"/>
    <w:rsid w:val="004D0145"/>
    <w:rsid w:val="004D2A2D"/>
    <w:rsid w:val="004D2C47"/>
    <w:rsid w:val="004D2D95"/>
    <w:rsid w:val="004D34B3"/>
    <w:rsid w:val="004D479F"/>
    <w:rsid w:val="004D6689"/>
    <w:rsid w:val="004D690F"/>
    <w:rsid w:val="004D6F65"/>
    <w:rsid w:val="004E132C"/>
    <w:rsid w:val="004E1D1D"/>
    <w:rsid w:val="004E657C"/>
    <w:rsid w:val="004E750D"/>
    <w:rsid w:val="004E7AC8"/>
    <w:rsid w:val="004F0C94"/>
    <w:rsid w:val="004F13D2"/>
    <w:rsid w:val="004F1B1C"/>
    <w:rsid w:val="004F5284"/>
    <w:rsid w:val="004F7C7D"/>
    <w:rsid w:val="0050126A"/>
    <w:rsid w:val="005019AE"/>
    <w:rsid w:val="00501C8E"/>
    <w:rsid w:val="00503749"/>
    <w:rsid w:val="00504C8F"/>
    <w:rsid w:val="00504CF4"/>
    <w:rsid w:val="00505348"/>
    <w:rsid w:val="0050635B"/>
    <w:rsid w:val="0050660B"/>
    <w:rsid w:val="005111FC"/>
    <w:rsid w:val="00513489"/>
    <w:rsid w:val="005151C2"/>
    <w:rsid w:val="00517E14"/>
    <w:rsid w:val="00526246"/>
    <w:rsid w:val="0053076E"/>
    <w:rsid w:val="0053114A"/>
    <w:rsid w:val="0053199F"/>
    <w:rsid w:val="00531E12"/>
    <w:rsid w:val="00533B90"/>
    <w:rsid w:val="005410F8"/>
    <w:rsid w:val="00544206"/>
    <w:rsid w:val="005448EC"/>
    <w:rsid w:val="00545963"/>
    <w:rsid w:val="0054627C"/>
    <w:rsid w:val="005466E3"/>
    <w:rsid w:val="00550256"/>
    <w:rsid w:val="00550E5E"/>
    <w:rsid w:val="00550FAF"/>
    <w:rsid w:val="00550FF4"/>
    <w:rsid w:val="00553165"/>
    <w:rsid w:val="00553958"/>
    <w:rsid w:val="00556BB7"/>
    <w:rsid w:val="0055763D"/>
    <w:rsid w:val="00560B0E"/>
    <w:rsid w:val="00561516"/>
    <w:rsid w:val="005618D4"/>
    <w:rsid w:val="005621F2"/>
    <w:rsid w:val="00563497"/>
    <w:rsid w:val="00567B58"/>
    <w:rsid w:val="00571223"/>
    <w:rsid w:val="0057383C"/>
    <w:rsid w:val="005763E0"/>
    <w:rsid w:val="00580ED2"/>
    <w:rsid w:val="00581136"/>
    <w:rsid w:val="00581EB8"/>
    <w:rsid w:val="00585039"/>
    <w:rsid w:val="0059130F"/>
    <w:rsid w:val="00594448"/>
    <w:rsid w:val="00597276"/>
    <w:rsid w:val="005A1AEF"/>
    <w:rsid w:val="005A27CA"/>
    <w:rsid w:val="005A2880"/>
    <w:rsid w:val="005A381D"/>
    <w:rsid w:val="005A43BD"/>
    <w:rsid w:val="005A6F2E"/>
    <w:rsid w:val="005A79E5"/>
    <w:rsid w:val="005B6C1D"/>
    <w:rsid w:val="005C0C03"/>
    <w:rsid w:val="005C7FDC"/>
    <w:rsid w:val="005D034C"/>
    <w:rsid w:val="005D237F"/>
    <w:rsid w:val="005D3B9F"/>
    <w:rsid w:val="005D41A9"/>
    <w:rsid w:val="005D4FE5"/>
    <w:rsid w:val="005D7DC7"/>
    <w:rsid w:val="005E226E"/>
    <w:rsid w:val="005E2636"/>
    <w:rsid w:val="006015D7"/>
    <w:rsid w:val="00601B21"/>
    <w:rsid w:val="006024A1"/>
    <w:rsid w:val="00602A83"/>
    <w:rsid w:val="006041F0"/>
    <w:rsid w:val="00605C6D"/>
    <w:rsid w:val="00606814"/>
    <w:rsid w:val="006120CA"/>
    <w:rsid w:val="0061351C"/>
    <w:rsid w:val="006153CD"/>
    <w:rsid w:val="0062068E"/>
    <w:rsid w:val="00621A7E"/>
    <w:rsid w:val="00621E2C"/>
    <w:rsid w:val="006224D7"/>
    <w:rsid w:val="00623C31"/>
    <w:rsid w:val="00624174"/>
    <w:rsid w:val="00624275"/>
    <w:rsid w:val="00626CF8"/>
    <w:rsid w:val="006301B5"/>
    <w:rsid w:val="006314AF"/>
    <w:rsid w:val="00631530"/>
    <w:rsid w:val="00631FB8"/>
    <w:rsid w:val="00633A9D"/>
    <w:rsid w:val="00634ED8"/>
    <w:rsid w:val="00636D7D"/>
    <w:rsid w:val="00636E1F"/>
    <w:rsid w:val="00637408"/>
    <w:rsid w:val="00642868"/>
    <w:rsid w:val="00644641"/>
    <w:rsid w:val="0064468E"/>
    <w:rsid w:val="00644D56"/>
    <w:rsid w:val="006456D8"/>
    <w:rsid w:val="00647AFE"/>
    <w:rsid w:val="006512BC"/>
    <w:rsid w:val="00653A5A"/>
    <w:rsid w:val="00654A00"/>
    <w:rsid w:val="006554AC"/>
    <w:rsid w:val="006575F4"/>
    <w:rsid w:val="006579E6"/>
    <w:rsid w:val="00660682"/>
    <w:rsid w:val="00660F74"/>
    <w:rsid w:val="006615C8"/>
    <w:rsid w:val="00663EDC"/>
    <w:rsid w:val="0066784E"/>
    <w:rsid w:val="00670CCB"/>
    <w:rsid w:val="00671078"/>
    <w:rsid w:val="006758CA"/>
    <w:rsid w:val="006775C3"/>
    <w:rsid w:val="00680A04"/>
    <w:rsid w:val="00686A3E"/>
    <w:rsid w:val="00686D80"/>
    <w:rsid w:val="00690E2A"/>
    <w:rsid w:val="00694895"/>
    <w:rsid w:val="0069579E"/>
    <w:rsid w:val="00697E2E"/>
    <w:rsid w:val="006A25A2"/>
    <w:rsid w:val="006A3B87"/>
    <w:rsid w:val="006B0E73"/>
    <w:rsid w:val="006B1E3D"/>
    <w:rsid w:val="006B3FEE"/>
    <w:rsid w:val="006B4A4D"/>
    <w:rsid w:val="006B5695"/>
    <w:rsid w:val="006B5BDB"/>
    <w:rsid w:val="006B7B0E"/>
    <w:rsid w:val="006B7B2E"/>
    <w:rsid w:val="006C0EB1"/>
    <w:rsid w:val="006C228E"/>
    <w:rsid w:val="006C78EB"/>
    <w:rsid w:val="006D092E"/>
    <w:rsid w:val="006D1660"/>
    <w:rsid w:val="006D63E5"/>
    <w:rsid w:val="006D77FF"/>
    <w:rsid w:val="006E0683"/>
    <w:rsid w:val="006E10A3"/>
    <w:rsid w:val="006E1753"/>
    <w:rsid w:val="006E3911"/>
    <w:rsid w:val="006F139E"/>
    <w:rsid w:val="006F17E3"/>
    <w:rsid w:val="006F1B67"/>
    <w:rsid w:val="006F4D9C"/>
    <w:rsid w:val="006F74B8"/>
    <w:rsid w:val="006F796A"/>
    <w:rsid w:val="00700835"/>
    <w:rsid w:val="0070091D"/>
    <w:rsid w:val="00700BB1"/>
    <w:rsid w:val="00702854"/>
    <w:rsid w:val="00702CC3"/>
    <w:rsid w:val="00705DEB"/>
    <w:rsid w:val="0070604F"/>
    <w:rsid w:val="00707162"/>
    <w:rsid w:val="0071741C"/>
    <w:rsid w:val="00717429"/>
    <w:rsid w:val="0073007C"/>
    <w:rsid w:val="00730559"/>
    <w:rsid w:val="0073278F"/>
    <w:rsid w:val="007356FB"/>
    <w:rsid w:val="007414EC"/>
    <w:rsid w:val="007427A8"/>
    <w:rsid w:val="00742B90"/>
    <w:rsid w:val="0074434D"/>
    <w:rsid w:val="007468C1"/>
    <w:rsid w:val="007518F5"/>
    <w:rsid w:val="007525EC"/>
    <w:rsid w:val="00754821"/>
    <w:rsid w:val="007570C4"/>
    <w:rsid w:val="007605B8"/>
    <w:rsid w:val="007606EB"/>
    <w:rsid w:val="00760979"/>
    <w:rsid w:val="00761282"/>
    <w:rsid w:val="0076139E"/>
    <w:rsid w:val="00763281"/>
    <w:rsid w:val="00764AF1"/>
    <w:rsid w:val="00767361"/>
    <w:rsid w:val="00767A19"/>
    <w:rsid w:val="00770ABC"/>
    <w:rsid w:val="00771B1E"/>
    <w:rsid w:val="00773C95"/>
    <w:rsid w:val="00774500"/>
    <w:rsid w:val="007811DA"/>
    <w:rsid w:val="0078171E"/>
    <w:rsid w:val="00781EBE"/>
    <w:rsid w:val="0078558A"/>
    <w:rsid w:val="00786140"/>
    <w:rsid w:val="0078658E"/>
    <w:rsid w:val="007913FC"/>
    <w:rsid w:val="007920E2"/>
    <w:rsid w:val="0079566E"/>
    <w:rsid w:val="007957D1"/>
    <w:rsid w:val="00795B34"/>
    <w:rsid w:val="00796556"/>
    <w:rsid w:val="007A067F"/>
    <w:rsid w:val="007A7D30"/>
    <w:rsid w:val="007B1770"/>
    <w:rsid w:val="007B2030"/>
    <w:rsid w:val="007B4D3E"/>
    <w:rsid w:val="007B4F5F"/>
    <w:rsid w:val="007B6908"/>
    <w:rsid w:val="007B7C70"/>
    <w:rsid w:val="007B7DEB"/>
    <w:rsid w:val="007C0041"/>
    <w:rsid w:val="007C0449"/>
    <w:rsid w:val="007D1844"/>
    <w:rsid w:val="007D2151"/>
    <w:rsid w:val="007D3B90"/>
    <w:rsid w:val="007D42CC"/>
    <w:rsid w:val="007D5DE4"/>
    <w:rsid w:val="007D6158"/>
    <w:rsid w:val="007D7C3A"/>
    <w:rsid w:val="007E0777"/>
    <w:rsid w:val="007E1341"/>
    <w:rsid w:val="007E1B41"/>
    <w:rsid w:val="007E1EC4"/>
    <w:rsid w:val="007E30B9"/>
    <w:rsid w:val="007E74F1"/>
    <w:rsid w:val="007F0A9A"/>
    <w:rsid w:val="007F0F0C"/>
    <w:rsid w:val="007F1288"/>
    <w:rsid w:val="007F245A"/>
    <w:rsid w:val="007F5168"/>
    <w:rsid w:val="007F70DA"/>
    <w:rsid w:val="00800A8A"/>
    <w:rsid w:val="0080155C"/>
    <w:rsid w:val="008052E1"/>
    <w:rsid w:val="00806EB2"/>
    <w:rsid w:val="00813071"/>
    <w:rsid w:val="0081541E"/>
    <w:rsid w:val="00822F2C"/>
    <w:rsid w:val="00823DEE"/>
    <w:rsid w:val="00825884"/>
    <w:rsid w:val="008305E8"/>
    <w:rsid w:val="0083112E"/>
    <w:rsid w:val="008341C5"/>
    <w:rsid w:val="00836165"/>
    <w:rsid w:val="008361C5"/>
    <w:rsid w:val="008371F6"/>
    <w:rsid w:val="0084640C"/>
    <w:rsid w:val="008514D6"/>
    <w:rsid w:val="008531D3"/>
    <w:rsid w:val="008532B5"/>
    <w:rsid w:val="00856088"/>
    <w:rsid w:val="00860826"/>
    <w:rsid w:val="00860E21"/>
    <w:rsid w:val="00863117"/>
    <w:rsid w:val="0086388B"/>
    <w:rsid w:val="008642E5"/>
    <w:rsid w:val="00864488"/>
    <w:rsid w:val="008644E8"/>
    <w:rsid w:val="00865331"/>
    <w:rsid w:val="00870A36"/>
    <w:rsid w:val="008727F2"/>
    <w:rsid w:val="00872D93"/>
    <w:rsid w:val="00874134"/>
    <w:rsid w:val="008767CF"/>
    <w:rsid w:val="0088025A"/>
    <w:rsid w:val="00880470"/>
    <w:rsid w:val="00880786"/>
    <w:rsid w:val="00880D94"/>
    <w:rsid w:val="0088401C"/>
    <w:rsid w:val="00885619"/>
    <w:rsid w:val="008861E5"/>
    <w:rsid w:val="00886F64"/>
    <w:rsid w:val="00891576"/>
    <w:rsid w:val="008924DE"/>
    <w:rsid w:val="008935AF"/>
    <w:rsid w:val="00895037"/>
    <w:rsid w:val="008A35A7"/>
    <w:rsid w:val="008A3755"/>
    <w:rsid w:val="008A709D"/>
    <w:rsid w:val="008B01D3"/>
    <w:rsid w:val="008B123B"/>
    <w:rsid w:val="008B19DC"/>
    <w:rsid w:val="008B264F"/>
    <w:rsid w:val="008B3C7F"/>
    <w:rsid w:val="008B6F83"/>
    <w:rsid w:val="008B7FD8"/>
    <w:rsid w:val="008C13F2"/>
    <w:rsid w:val="008C2640"/>
    <w:rsid w:val="008C2973"/>
    <w:rsid w:val="008C6324"/>
    <w:rsid w:val="008C64C4"/>
    <w:rsid w:val="008C7D4D"/>
    <w:rsid w:val="008D28FC"/>
    <w:rsid w:val="008D2CDD"/>
    <w:rsid w:val="008D2F1C"/>
    <w:rsid w:val="008D74D5"/>
    <w:rsid w:val="008E0ED1"/>
    <w:rsid w:val="008E3A07"/>
    <w:rsid w:val="008E4C7D"/>
    <w:rsid w:val="008E537B"/>
    <w:rsid w:val="008E6888"/>
    <w:rsid w:val="008E76CD"/>
    <w:rsid w:val="008F29BE"/>
    <w:rsid w:val="008F2CCA"/>
    <w:rsid w:val="008F4AE5"/>
    <w:rsid w:val="008F51EB"/>
    <w:rsid w:val="00900197"/>
    <w:rsid w:val="00902F55"/>
    <w:rsid w:val="0090582B"/>
    <w:rsid w:val="009060C0"/>
    <w:rsid w:val="00910670"/>
    <w:rsid w:val="009111A0"/>
    <w:rsid w:val="009112D7"/>
    <w:rsid w:val="00911B72"/>
    <w:rsid w:val="009121FF"/>
    <w:rsid w:val="00912EAD"/>
    <w:rsid w:val="009133F5"/>
    <w:rsid w:val="009158BE"/>
    <w:rsid w:val="0091756F"/>
    <w:rsid w:val="00920A27"/>
    <w:rsid w:val="00921216"/>
    <w:rsid w:val="009216CC"/>
    <w:rsid w:val="00926083"/>
    <w:rsid w:val="00930D08"/>
    <w:rsid w:val="00931466"/>
    <w:rsid w:val="00932D69"/>
    <w:rsid w:val="00935589"/>
    <w:rsid w:val="00935BF5"/>
    <w:rsid w:val="00940BE5"/>
    <w:rsid w:val="009416AA"/>
    <w:rsid w:val="00944647"/>
    <w:rsid w:val="0095193D"/>
    <w:rsid w:val="00954F8C"/>
    <w:rsid w:val="0095565C"/>
    <w:rsid w:val="00955CD6"/>
    <w:rsid w:val="00964AB6"/>
    <w:rsid w:val="00966F9A"/>
    <w:rsid w:val="00970CAA"/>
    <w:rsid w:val="00973041"/>
    <w:rsid w:val="00976DB2"/>
    <w:rsid w:val="00977161"/>
    <w:rsid w:val="00977B8A"/>
    <w:rsid w:val="009801C5"/>
    <w:rsid w:val="00982971"/>
    <w:rsid w:val="009845AD"/>
    <w:rsid w:val="00984835"/>
    <w:rsid w:val="00986247"/>
    <w:rsid w:val="00990A90"/>
    <w:rsid w:val="009933EF"/>
    <w:rsid w:val="00995BA0"/>
    <w:rsid w:val="009A26B3"/>
    <w:rsid w:val="009A4134"/>
    <w:rsid w:val="009A418B"/>
    <w:rsid w:val="009A426F"/>
    <w:rsid w:val="009A42D5"/>
    <w:rsid w:val="009A4473"/>
    <w:rsid w:val="009A688B"/>
    <w:rsid w:val="009B05C9"/>
    <w:rsid w:val="009B286C"/>
    <w:rsid w:val="009C151C"/>
    <w:rsid w:val="009C2B25"/>
    <w:rsid w:val="009C440A"/>
    <w:rsid w:val="009C4ED3"/>
    <w:rsid w:val="009C6D88"/>
    <w:rsid w:val="009C723F"/>
    <w:rsid w:val="009C7A0A"/>
    <w:rsid w:val="009D2ABB"/>
    <w:rsid w:val="009D5125"/>
    <w:rsid w:val="009D60B8"/>
    <w:rsid w:val="009D64EA"/>
    <w:rsid w:val="009D7D4B"/>
    <w:rsid w:val="009E0CB1"/>
    <w:rsid w:val="009E36ED"/>
    <w:rsid w:val="009E3C8C"/>
    <w:rsid w:val="009E65E6"/>
    <w:rsid w:val="009E67B1"/>
    <w:rsid w:val="009E6B77"/>
    <w:rsid w:val="009E71E8"/>
    <w:rsid w:val="009F060B"/>
    <w:rsid w:val="009F24DE"/>
    <w:rsid w:val="009F2981"/>
    <w:rsid w:val="009F460A"/>
    <w:rsid w:val="009F5824"/>
    <w:rsid w:val="009F5CA5"/>
    <w:rsid w:val="00A00692"/>
    <w:rsid w:val="00A012A6"/>
    <w:rsid w:val="00A043FB"/>
    <w:rsid w:val="00A058B7"/>
    <w:rsid w:val="00A06BE4"/>
    <w:rsid w:val="00A0729C"/>
    <w:rsid w:val="00A07779"/>
    <w:rsid w:val="00A107BC"/>
    <w:rsid w:val="00A1166A"/>
    <w:rsid w:val="00A12280"/>
    <w:rsid w:val="00A144ED"/>
    <w:rsid w:val="00A148A9"/>
    <w:rsid w:val="00A17BB6"/>
    <w:rsid w:val="00A20B2E"/>
    <w:rsid w:val="00A222AC"/>
    <w:rsid w:val="00A24F33"/>
    <w:rsid w:val="00A25069"/>
    <w:rsid w:val="00A26E6B"/>
    <w:rsid w:val="00A3068F"/>
    <w:rsid w:val="00A3145B"/>
    <w:rsid w:val="00A339D0"/>
    <w:rsid w:val="00A36A73"/>
    <w:rsid w:val="00A378CC"/>
    <w:rsid w:val="00A41002"/>
    <w:rsid w:val="00A417C3"/>
    <w:rsid w:val="00A4201A"/>
    <w:rsid w:val="00A4309D"/>
    <w:rsid w:val="00A43E96"/>
    <w:rsid w:val="00A43EFE"/>
    <w:rsid w:val="00A44322"/>
    <w:rsid w:val="00A45C4A"/>
    <w:rsid w:val="00A5465D"/>
    <w:rsid w:val="00A553CE"/>
    <w:rsid w:val="00A55FCE"/>
    <w:rsid w:val="00A5677A"/>
    <w:rsid w:val="00A56DCC"/>
    <w:rsid w:val="00A625E8"/>
    <w:rsid w:val="00A6275C"/>
    <w:rsid w:val="00A63099"/>
    <w:rsid w:val="00A63DFF"/>
    <w:rsid w:val="00A6490D"/>
    <w:rsid w:val="00A71251"/>
    <w:rsid w:val="00A7415D"/>
    <w:rsid w:val="00A758AC"/>
    <w:rsid w:val="00A80363"/>
    <w:rsid w:val="00A80939"/>
    <w:rsid w:val="00A81DB4"/>
    <w:rsid w:val="00A83E9D"/>
    <w:rsid w:val="00A84354"/>
    <w:rsid w:val="00A87C05"/>
    <w:rsid w:val="00A87D9E"/>
    <w:rsid w:val="00A90330"/>
    <w:rsid w:val="00A9169D"/>
    <w:rsid w:val="00A94CC0"/>
    <w:rsid w:val="00A96239"/>
    <w:rsid w:val="00AA1A29"/>
    <w:rsid w:val="00AA1D14"/>
    <w:rsid w:val="00AA240C"/>
    <w:rsid w:val="00AB3ED7"/>
    <w:rsid w:val="00AB4AAB"/>
    <w:rsid w:val="00AB68ED"/>
    <w:rsid w:val="00AB6FAB"/>
    <w:rsid w:val="00AB72FA"/>
    <w:rsid w:val="00AC0D51"/>
    <w:rsid w:val="00AC101C"/>
    <w:rsid w:val="00AC2FF9"/>
    <w:rsid w:val="00AC3FB2"/>
    <w:rsid w:val="00AC4B6F"/>
    <w:rsid w:val="00AC4BB1"/>
    <w:rsid w:val="00AC4EFB"/>
    <w:rsid w:val="00AC4F27"/>
    <w:rsid w:val="00AD4CF1"/>
    <w:rsid w:val="00AD5988"/>
    <w:rsid w:val="00AD6293"/>
    <w:rsid w:val="00AE2B23"/>
    <w:rsid w:val="00AE5FCB"/>
    <w:rsid w:val="00AE7C60"/>
    <w:rsid w:val="00AF28D1"/>
    <w:rsid w:val="00AF57E9"/>
    <w:rsid w:val="00AF7800"/>
    <w:rsid w:val="00B00B4D"/>
    <w:rsid w:val="00B00CF5"/>
    <w:rsid w:val="00B011A8"/>
    <w:rsid w:val="00B02544"/>
    <w:rsid w:val="00B02670"/>
    <w:rsid w:val="00B03B37"/>
    <w:rsid w:val="00B072E0"/>
    <w:rsid w:val="00B1007E"/>
    <w:rsid w:val="00B13C88"/>
    <w:rsid w:val="00B14116"/>
    <w:rsid w:val="00B1749A"/>
    <w:rsid w:val="00B24C79"/>
    <w:rsid w:val="00B253F6"/>
    <w:rsid w:val="00B256D1"/>
    <w:rsid w:val="00B26675"/>
    <w:rsid w:val="00B27DB1"/>
    <w:rsid w:val="00B305DB"/>
    <w:rsid w:val="00B32C28"/>
    <w:rsid w:val="00B332F8"/>
    <w:rsid w:val="00B3470E"/>
    <w:rsid w:val="00B3492B"/>
    <w:rsid w:val="00B37A72"/>
    <w:rsid w:val="00B40B9F"/>
    <w:rsid w:val="00B445A0"/>
    <w:rsid w:val="00B45714"/>
    <w:rsid w:val="00B4646F"/>
    <w:rsid w:val="00B468D5"/>
    <w:rsid w:val="00B46B61"/>
    <w:rsid w:val="00B55C7D"/>
    <w:rsid w:val="00B55ECC"/>
    <w:rsid w:val="00B63038"/>
    <w:rsid w:val="00B639AF"/>
    <w:rsid w:val="00B64BD8"/>
    <w:rsid w:val="00B64E0C"/>
    <w:rsid w:val="00B67F63"/>
    <w:rsid w:val="00B701D1"/>
    <w:rsid w:val="00B70D6B"/>
    <w:rsid w:val="00B73AF2"/>
    <w:rsid w:val="00B7551A"/>
    <w:rsid w:val="00B773F1"/>
    <w:rsid w:val="00B80CF1"/>
    <w:rsid w:val="00B8313B"/>
    <w:rsid w:val="00B86AB1"/>
    <w:rsid w:val="00B87E9C"/>
    <w:rsid w:val="00B950C5"/>
    <w:rsid w:val="00BA51FF"/>
    <w:rsid w:val="00BA61F5"/>
    <w:rsid w:val="00BA64F7"/>
    <w:rsid w:val="00BA7EBA"/>
    <w:rsid w:val="00BB06CE"/>
    <w:rsid w:val="00BB2A06"/>
    <w:rsid w:val="00BB2CBB"/>
    <w:rsid w:val="00BB4198"/>
    <w:rsid w:val="00BB63C8"/>
    <w:rsid w:val="00BB7BD8"/>
    <w:rsid w:val="00BC03EE"/>
    <w:rsid w:val="00BC39F9"/>
    <w:rsid w:val="00BC3AB3"/>
    <w:rsid w:val="00BC59F1"/>
    <w:rsid w:val="00BC66D7"/>
    <w:rsid w:val="00BD0229"/>
    <w:rsid w:val="00BE56DA"/>
    <w:rsid w:val="00BE5CF7"/>
    <w:rsid w:val="00BF32EC"/>
    <w:rsid w:val="00BF3DE1"/>
    <w:rsid w:val="00BF4843"/>
    <w:rsid w:val="00BF5205"/>
    <w:rsid w:val="00BF5381"/>
    <w:rsid w:val="00BF5C20"/>
    <w:rsid w:val="00C05132"/>
    <w:rsid w:val="00C07AE4"/>
    <w:rsid w:val="00C07B4B"/>
    <w:rsid w:val="00C11FC0"/>
    <w:rsid w:val="00C12508"/>
    <w:rsid w:val="00C14E0B"/>
    <w:rsid w:val="00C15E5A"/>
    <w:rsid w:val="00C20CA6"/>
    <w:rsid w:val="00C20F5D"/>
    <w:rsid w:val="00C21923"/>
    <w:rsid w:val="00C236F9"/>
    <w:rsid w:val="00C23728"/>
    <w:rsid w:val="00C3026C"/>
    <w:rsid w:val="00C313A9"/>
    <w:rsid w:val="00C318C3"/>
    <w:rsid w:val="00C3331B"/>
    <w:rsid w:val="00C3498E"/>
    <w:rsid w:val="00C34A72"/>
    <w:rsid w:val="00C37FDC"/>
    <w:rsid w:val="00C40902"/>
    <w:rsid w:val="00C441CF"/>
    <w:rsid w:val="00C45AA2"/>
    <w:rsid w:val="00C45F38"/>
    <w:rsid w:val="00C4792C"/>
    <w:rsid w:val="00C55BEF"/>
    <w:rsid w:val="00C601AF"/>
    <w:rsid w:val="00C61A63"/>
    <w:rsid w:val="00C66296"/>
    <w:rsid w:val="00C67FB0"/>
    <w:rsid w:val="00C71599"/>
    <w:rsid w:val="00C7394D"/>
    <w:rsid w:val="00C77282"/>
    <w:rsid w:val="00C838EB"/>
    <w:rsid w:val="00C84ABD"/>
    <w:rsid w:val="00C84DE5"/>
    <w:rsid w:val="00C86248"/>
    <w:rsid w:val="00C864B6"/>
    <w:rsid w:val="00C872F3"/>
    <w:rsid w:val="00C8737E"/>
    <w:rsid w:val="00C90B31"/>
    <w:rsid w:val="00C95B7C"/>
    <w:rsid w:val="00C97E14"/>
    <w:rsid w:val="00CA0D6F"/>
    <w:rsid w:val="00CA2763"/>
    <w:rsid w:val="00CA4C33"/>
    <w:rsid w:val="00CA6F4A"/>
    <w:rsid w:val="00CA7E99"/>
    <w:rsid w:val="00CB213A"/>
    <w:rsid w:val="00CB4DD5"/>
    <w:rsid w:val="00CB6427"/>
    <w:rsid w:val="00CC0FBE"/>
    <w:rsid w:val="00CC56FE"/>
    <w:rsid w:val="00CD107C"/>
    <w:rsid w:val="00CD2119"/>
    <w:rsid w:val="00CD237A"/>
    <w:rsid w:val="00CD2E35"/>
    <w:rsid w:val="00CD2EF0"/>
    <w:rsid w:val="00CD36AC"/>
    <w:rsid w:val="00CD597A"/>
    <w:rsid w:val="00CD70B7"/>
    <w:rsid w:val="00CE13A3"/>
    <w:rsid w:val="00CE1735"/>
    <w:rsid w:val="00CE1CC5"/>
    <w:rsid w:val="00CE273D"/>
    <w:rsid w:val="00CE36BC"/>
    <w:rsid w:val="00CE5432"/>
    <w:rsid w:val="00CE578B"/>
    <w:rsid w:val="00CE57D2"/>
    <w:rsid w:val="00CF01BE"/>
    <w:rsid w:val="00CF0467"/>
    <w:rsid w:val="00CF1747"/>
    <w:rsid w:val="00CF251D"/>
    <w:rsid w:val="00CF4AE2"/>
    <w:rsid w:val="00CF5810"/>
    <w:rsid w:val="00CF5A84"/>
    <w:rsid w:val="00CF60ED"/>
    <w:rsid w:val="00CF7094"/>
    <w:rsid w:val="00CF7A60"/>
    <w:rsid w:val="00D05D74"/>
    <w:rsid w:val="00D060F3"/>
    <w:rsid w:val="00D144D7"/>
    <w:rsid w:val="00D166A4"/>
    <w:rsid w:val="00D20C59"/>
    <w:rsid w:val="00D23323"/>
    <w:rsid w:val="00D2392A"/>
    <w:rsid w:val="00D25FFE"/>
    <w:rsid w:val="00D30086"/>
    <w:rsid w:val="00D30615"/>
    <w:rsid w:val="00D31611"/>
    <w:rsid w:val="00D33864"/>
    <w:rsid w:val="00D34C8B"/>
    <w:rsid w:val="00D37C4C"/>
    <w:rsid w:val="00D37D80"/>
    <w:rsid w:val="00D40959"/>
    <w:rsid w:val="00D409A2"/>
    <w:rsid w:val="00D42CEF"/>
    <w:rsid w:val="00D42E01"/>
    <w:rsid w:val="00D4476F"/>
    <w:rsid w:val="00D47931"/>
    <w:rsid w:val="00D50573"/>
    <w:rsid w:val="00D51CCD"/>
    <w:rsid w:val="00D53A62"/>
    <w:rsid w:val="00D544E0"/>
    <w:rsid w:val="00D54D50"/>
    <w:rsid w:val="00D560B4"/>
    <w:rsid w:val="00D619D6"/>
    <w:rsid w:val="00D62E0F"/>
    <w:rsid w:val="00D63D67"/>
    <w:rsid w:val="00D64C87"/>
    <w:rsid w:val="00D662F8"/>
    <w:rsid w:val="00D66797"/>
    <w:rsid w:val="00D7087C"/>
    <w:rsid w:val="00D70C3C"/>
    <w:rsid w:val="00D71DF7"/>
    <w:rsid w:val="00D72BE5"/>
    <w:rsid w:val="00D811A4"/>
    <w:rsid w:val="00D81462"/>
    <w:rsid w:val="00D82418"/>
    <w:rsid w:val="00D82F26"/>
    <w:rsid w:val="00D8424C"/>
    <w:rsid w:val="00D863D0"/>
    <w:rsid w:val="00D86799"/>
    <w:rsid w:val="00D86B00"/>
    <w:rsid w:val="00D86FB9"/>
    <w:rsid w:val="00D87C87"/>
    <w:rsid w:val="00D90BB4"/>
    <w:rsid w:val="00D90E07"/>
    <w:rsid w:val="00D932C2"/>
    <w:rsid w:val="00D97022"/>
    <w:rsid w:val="00DA02E3"/>
    <w:rsid w:val="00DA0B5F"/>
    <w:rsid w:val="00DA6750"/>
    <w:rsid w:val="00DA78E4"/>
    <w:rsid w:val="00DB10A0"/>
    <w:rsid w:val="00DB1FB1"/>
    <w:rsid w:val="00DB39CF"/>
    <w:rsid w:val="00DB67B9"/>
    <w:rsid w:val="00DB71CC"/>
    <w:rsid w:val="00DB7256"/>
    <w:rsid w:val="00DB7E55"/>
    <w:rsid w:val="00DC0401"/>
    <w:rsid w:val="00DC20BD"/>
    <w:rsid w:val="00DC2355"/>
    <w:rsid w:val="00DC3196"/>
    <w:rsid w:val="00DC7088"/>
    <w:rsid w:val="00DD06AB"/>
    <w:rsid w:val="00DD0BCD"/>
    <w:rsid w:val="00DD1EE7"/>
    <w:rsid w:val="00DD447A"/>
    <w:rsid w:val="00DD75F8"/>
    <w:rsid w:val="00DE2E46"/>
    <w:rsid w:val="00DE3B20"/>
    <w:rsid w:val="00DE6C94"/>
    <w:rsid w:val="00DE6FD7"/>
    <w:rsid w:val="00DF150B"/>
    <w:rsid w:val="00DF238E"/>
    <w:rsid w:val="00E024AD"/>
    <w:rsid w:val="00E0266E"/>
    <w:rsid w:val="00E03F6D"/>
    <w:rsid w:val="00E05D54"/>
    <w:rsid w:val="00E13CA6"/>
    <w:rsid w:val="00E20909"/>
    <w:rsid w:val="00E212A1"/>
    <w:rsid w:val="00E23271"/>
    <w:rsid w:val="00E24F80"/>
    <w:rsid w:val="00E259F3"/>
    <w:rsid w:val="00E30985"/>
    <w:rsid w:val="00E33238"/>
    <w:rsid w:val="00E3510A"/>
    <w:rsid w:val="00E376B7"/>
    <w:rsid w:val="00E42F5D"/>
    <w:rsid w:val="00E4486C"/>
    <w:rsid w:val="00E45A98"/>
    <w:rsid w:val="00E460B6"/>
    <w:rsid w:val="00E511D5"/>
    <w:rsid w:val="00E53A9F"/>
    <w:rsid w:val="00E54C74"/>
    <w:rsid w:val="00E60249"/>
    <w:rsid w:val="00E638D1"/>
    <w:rsid w:val="00E65269"/>
    <w:rsid w:val="00E716EE"/>
    <w:rsid w:val="00E74727"/>
    <w:rsid w:val="00E76556"/>
    <w:rsid w:val="00E76D66"/>
    <w:rsid w:val="00E76E69"/>
    <w:rsid w:val="00E80425"/>
    <w:rsid w:val="00E850D3"/>
    <w:rsid w:val="00E9688E"/>
    <w:rsid w:val="00EA1390"/>
    <w:rsid w:val="00EA37A4"/>
    <w:rsid w:val="00EA796A"/>
    <w:rsid w:val="00EA7E75"/>
    <w:rsid w:val="00EB1856"/>
    <w:rsid w:val="00EB320B"/>
    <w:rsid w:val="00EB42C8"/>
    <w:rsid w:val="00EB53CF"/>
    <w:rsid w:val="00EB5AA3"/>
    <w:rsid w:val="00EC50CE"/>
    <w:rsid w:val="00EC5B34"/>
    <w:rsid w:val="00EC601C"/>
    <w:rsid w:val="00EC7F1D"/>
    <w:rsid w:val="00ED021E"/>
    <w:rsid w:val="00ED1420"/>
    <w:rsid w:val="00ED323C"/>
    <w:rsid w:val="00ED4FA1"/>
    <w:rsid w:val="00ED7786"/>
    <w:rsid w:val="00EE2D5C"/>
    <w:rsid w:val="00EE4ADE"/>
    <w:rsid w:val="00EE4DE8"/>
    <w:rsid w:val="00EE51A1"/>
    <w:rsid w:val="00EE5CB7"/>
    <w:rsid w:val="00EF4F3C"/>
    <w:rsid w:val="00F009AE"/>
    <w:rsid w:val="00F00CA8"/>
    <w:rsid w:val="00F024FE"/>
    <w:rsid w:val="00F02A93"/>
    <w:rsid w:val="00F05AD4"/>
    <w:rsid w:val="00F10EB6"/>
    <w:rsid w:val="00F11DAC"/>
    <w:rsid w:val="00F125B7"/>
    <w:rsid w:val="00F13F07"/>
    <w:rsid w:val="00F140B2"/>
    <w:rsid w:val="00F17101"/>
    <w:rsid w:val="00F226E8"/>
    <w:rsid w:val="00F234B1"/>
    <w:rsid w:val="00F25970"/>
    <w:rsid w:val="00F266C1"/>
    <w:rsid w:val="00F311A9"/>
    <w:rsid w:val="00F3393F"/>
    <w:rsid w:val="00F35C39"/>
    <w:rsid w:val="00F36A30"/>
    <w:rsid w:val="00F37E93"/>
    <w:rsid w:val="00F4015B"/>
    <w:rsid w:val="00F43844"/>
    <w:rsid w:val="00F5180D"/>
    <w:rsid w:val="00F5231D"/>
    <w:rsid w:val="00F531B5"/>
    <w:rsid w:val="00F552E2"/>
    <w:rsid w:val="00F55A31"/>
    <w:rsid w:val="00F63781"/>
    <w:rsid w:val="00F66470"/>
    <w:rsid w:val="00F6695A"/>
    <w:rsid w:val="00F67496"/>
    <w:rsid w:val="00F676B2"/>
    <w:rsid w:val="00F72645"/>
    <w:rsid w:val="00F755B8"/>
    <w:rsid w:val="00F762C8"/>
    <w:rsid w:val="00F800CB"/>
    <w:rsid w:val="00F801BA"/>
    <w:rsid w:val="00F9366A"/>
    <w:rsid w:val="00F946C9"/>
    <w:rsid w:val="00F948A7"/>
    <w:rsid w:val="00F9620B"/>
    <w:rsid w:val="00F96C45"/>
    <w:rsid w:val="00FA0EA5"/>
    <w:rsid w:val="00FA409E"/>
    <w:rsid w:val="00FA6ECE"/>
    <w:rsid w:val="00FA74EE"/>
    <w:rsid w:val="00FB11E9"/>
    <w:rsid w:val="00FB1E67"/>
    <w:rsid w:val="00FB35FF"/>
    <w:rsid w:val="00FB3D9E"/>
    <w:rsid w:val="00FB3F21"/>
    <w:rsid w:val="00FC3033"/>
    <w:rsid w:val="00FC3711"/>
    <w:rsid w:val="00FC46E7"/>
    <w:rsid w:val="00FC5D25"/>
    <w:rsid w:val="00FC77AE"/>
    <w:rsid w:val="00FD0D7E"/>
    <w:rsid w:val="00FD1810"/>
    <w:rsid w:val="00FD4FFB"/>
    <w:rsid w:val="00FD5E5C"/>
    <w:rsid w:val="00FD6DE3"/>
    <w:rsid w:val="00FE08FA"/>
    <w:rsid w:val="00FE0F01"/>
    <w:rsid w:val="00FE2858"/>
    <w:rsid w:val="00FE3F1D"/>
    <w:rsid w:val="00FE6E13"/>
    <w:rsid w:val="00FF15F6"/>
    <w:rsid w:val="00FF3FEA"/>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14C69E"/>
  <w15:docId w15:val="{D84A42F7-19CC-42B4-8933-388CE71C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234"/>
    <w:rPr>
      <w:rFonts w:ascii="Segoe UI" w:hAnsi="Segoe UI"/>
      <w:sz w:val="21"/>
      <w:lang w:eastAsia="en-GB"/>
    </w:rPr>
  </w:style>
  <w:style w:type="paragraph" w:styleId="Heading1">
    <w:name w:val="heading 1"/>
    <w:basedOn w:val="Normal"/>
    <w:next w:val="Normal"/>
    <w:link w:val="Heading1Char"/>
    <w:uiPriority w:val="1"/>
    <w:qFormat/>
    <w:rsid w:val="00344FDF"/>
    <w:pPr>
      <w:keepNext/>
      <w:pageBreakBefore/>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344FDF"/>
    <w:rPr>
      <w:rFonts w:ascii="Segoe UI" w:hAnsi="Segoe UI"/>
      <w:b/>
      <w:color w:val="23305D"/>
      <w:spacing w:val="-10"/>
      <w:sz w:val="72"/>
      <w:lang w:eastAsia="en-GB"/>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Heading6Char">
    <w:name w:val="Heading 6 Char"/>
    <w:basedOn w:val="DefaultParagraphFont"/>
    <w:link w:val="Heading6"/>
    <w:uiPriority w:val="1"/>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1"/>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1"/>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4D690F"/>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qFormat/>
    <w:rsid w:val="00D25FFE"/>
  </w:style>
  <w:style w:type="character" w:customStyle="1" w:styleId="HeaderChar">
    <w:name w:val="Header Char"/>
    <w:link w:val="Header"/>
    <w:rsid w:val="0086388B"/>
    <w:rPr>
      <w:rFonts w:ascii="Georgia" w:hAnsi="Georgia"/>
      <w:sz w:val="22"/>
      <w:lang w:eastAsia="en-GB"/>
    </w:rPr>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customStyle="1" w:styleId="FooterChar">
    <w:name w:val="Footer Char"/>
    <w:link w:val="Footer"/>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styleId="TOCHeading">
    <w:name w:val="TOC Heading"/>
    <w:basedOn w:val="Heading1"/>
    <w:next w:val="Normal"/>
    <w:uiPriority w:val="39"/>
    <w:unhideWhenUsed/>
    <w:qFormat/>
    <w:rsid w:val="00A43E96"/>
    <w:pPr>
      <w:keepLines/>
      <w:spacing w:before="240" w:after="0"/>
      <w:outlineLvl w:val="9"/>
    </w:pPr>
    <w:rPr>
      <w:rFonts w:asciiTheme="majorHAnsi" w:eastAsiaTheme="majorEastAsia" w:hAnsiTheme="majorHAnsi" w:cstheme="majorBidi"/>
      <w:b w:val="0"/>
      <w:color w:val="2F5496" w:themeColor="accent1" w:themeShade="BF"/>
      <w:spacing w:val="0"/>
      <w:sz w:val="32"/>
      <w:szCs w:val="32"/>
    </w:rPr>
  </w:style>
  <w:style w:type="character" w:customStyle="1" w:styleId="BalloonTextChar">
    <w:name w:val="Balloon Text Char"/>
    <w:basedOn w:val="DefaultParagraphFont"/>
    <w:link w:val="BalloonText"/>
    <w:uiPriority w:val="99"/>
    <w:semiHidden/>
    <w:rsid w:val="008361C5"/>
    <w:rPr>
      <w:rFonts w:ascii="Segoe UI" w:hAnsi="Segoe UI" w:cs="Segoe UI"/>
      <w:sz w:val="18"/>
      <w:szCs w:val="18"/>
      <w:lang w:eastAsia="en-GB"/>
    </w:rPr>
  </w:style>
  <w:style w:type="paragraph" w:styleId="BalloonText">
    <w:name w:val="Balloon Text"/>
    <w:basedOn w:val="Normal"/>
    <w:link w:val="BalloonTextChar"/>
    <w:uiPriority w:val="99"/>
    <w:semiHidden/>
    <w:unhideWhenUsed/>
    <w:rsid w:val="008361C5"/>
    <w:rPr>
      <w:rFonts w:cs="Segoe UI"/>
      <w:sz w:val="18"/>
      <w:szCs w:val="18"/>
    </w:rPr>
  </w:style>
  <w:style w:type="paragraph" w:styleId="CommentText">
    <w:name w:val="annotation text"/>
    <w:basedOn w:val="Normal"/>
    <w:link w:val="CommentTextChar"/>
    <w:uiPriority w:val="99"/>
    <w:unhideWhenUsed/>
    <w:rsid w:val="008361C5"/>
    <w:pPr>
      <w:spacing w:after="200"/>
    </w:pPr>
    <w:rPr>
      <w:rFonts w:ascii="Cambria" w:hAnsi="Cambria"/>
      <w:sz w:val="20"/>
    </w:rPr>
  </w:style>
  <w:style w:type="character" w:customStyle="1" w:styleId="CommentTextChar">
    <w:name w:val="Comment Text Char"/>
    <w:basedOn w:val="DefaultParagraphFont"/>
    <w:link w:val="CommentText"/>
    <w:uiPriority w:val="99"/>
    <w:rsid w:val="008361C5"/>
    <w:rPr>
      <w:rFonts w:ascii="Cambria" w:hAnsi="Cambria"/>
      <w:lang w:eastAsia="en-GB"/>
    </w:rPr>
  </w:style>
  <w:style w:type="character" w:customStyle="1" w:styleId="CommentSubjectChar">
    <w:name w:val="Comment Subject Char"/>
    <w:basedOn w:val="CommentTextChar"/>
    <w:link w:val="CommentSubject"/>
    <w:uiPriority w:val="99"/>
    <w:semiHidden/>
    <w:rsid w:val="008361C5"/>
    <w:rPr>
      <w:rFonts w:asciiTheme="minorHAnsi" w:hAnsiTheme="minorHAnsi"/>
      <w:b/>
      <w:bCs/>
      <w:lang w:eastAsia="en-GB"/>
    </w:rPr>
  </w:style>
  <w:style w:type="paragraph" w:styleId="CommentSubject">
    <w:name w:val="annotation subject"/>
    <w:basedOn w:val="CommentText"/>
    <w:next w:val="CommentText"/>
    <w:link w:val="CommentSubjectChar"/>
    <w:uiPriority w:val="99"/>
    <w:semiHidden/>
    <w:unhideWhenUsed/>
    <w:rsid w:val="008361C5"/>
    <w:pPr>
      <w:spacing w:after="160"/>
    </w:pPr>
    <w:rPr>
      <w:rFonts w:asciiTheme="minorHAnsi" w:hAnsiTheme="minorHAnsi"/>
      <w:b/>
      <w:bCs/>
    </w:rPr>
  </w:style>
  <w:style w:type="character" w:customStyle="1" w:styleId="EndnoteTextChar">
    <w:name w:val="Endnote Text Char"/>
    <w:basedOn w:val="DefaultParagraphFont"/>
    <w:link w:val="EndnoteText"/>
    <w:uiPriority w:val="99"/>
    <w:semiHidden/>
    <w:rsid w:val="008361C5"/>
    <w:rPr>
      <w:rFonts w:ascii="Segoe UI" w:hAnsi="Segoe UI"/>
      <w:lang w:eastAsia="en-GB"/>
    </w:rPr>
  </w:style>
  <w:style w:type="paragraph" w:styleId="EndnoteText">
    <w:name w:val="endnote text"/>
    <w:basedOn w:val="Normal"/>
    <w:link w:val="EndnoteTextChar"/>
    <w:uiPriority w:val="99"/>
    <w:semiHidden/>
    <w:unhideWhenUsed/>
    <w:rsid w:val="008361C5"/>
    <w:rPr>
      <w:sz w:val="20"/>
    </w:rPr>
  </w:style>
  <w:style w:type="table" w:styleId="PlainTable2">
    <w:name w:val="Plain Table 2"/>
    <w:basedOn w:val="TableNormal"/>
    <w:uiPriority w:val="42"/>
    <w:rsid w:val="008361C5"/>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8361C5"/>
    <w:pPr>
      <w:ind w:left="720"/>
      <w:contextualSpacing/>
    </w:pPr>
  </w:style>
  <w:style w:type="table" w:customStyle="1" w:styleId="TableGrid1">
    <w:name w:val="Table Grid1"/>
    <w:basedOn w:val="TableNormal"/>
    <w:next w:val="TableGrid"/>
    <w:uiPriority w:val="39"/>
    <w:rsid w:val="008361C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361C5"/>
    <w:pPr>
      <w:spacing w:after="200"/>
    </w:pPr>
    <w:rPr>
      <w:i/>
      <w:iCs/>
      <w:color w:val="44546A" w:themeColor="text2"/>
      <w:sz w:val="18"/>
      <w:szCs w:val="18"/>
    </w:rPr>
  </w:style>
  <w:style w:type="paragraph" w:styleId="TableofFigures">
    <w:name w:val="table of figures"/>
    <w:basedOn w:val="Normal"/>
    <w:next w:val="Normal"/>
    <w:uiPriority w:val="99"/>
    <w:unhideWhenUsed/>
    <w:rsid w:val="008361C5"/>
  </w:style>
  <w:style w:type="paragraph" w:styleId="NoSpacing">
    <w:name w:val="No Spacing"/>
    <w:link w:val="NoSpacingChar"/>
    <w:uiPriority w:val="1"/>
    <w:qFormat/>
    <w:rsid w:val="008361C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361C5"/>
    <w:rPr>
      <w:rFonts w:asciiTheme="minorHAnsi" w:eastAsiaTheme="minorEastAsia" w:hAnsiTheme="minorHAnsi" w:cstheme="minorBidi"/>
      <w:sz w:val="22"/>
      <w:szCs w:val="22"/>
      <w:lang w:val="en-US" w:eastAsia="en-US"/>
    </w:rPr>
  </w:style>
  <w:style w:type="paragraph" w:styleId="ListNumber">
    <w:name w:val="List Number"/>
    <w:basedOn w:val="Normal"/>
    <w:uiPriority w:val="99"/>
    <w:unhideWhenUsed/>
    <w:rsid w:val="00563497"/>
    <w:pPr>
      <w:numPr>
        <w:numId w:val="7"/>
      </w:numPr>
      <w:spacing w:before="90"/>
      <w:ind w:left="357" w:hanging="357"/>
    </w:pPr>
  </w:style>
  <w:style w:type="paragraph" w:styleId="ListNumber2">
    <w:name w:val="List Number 2"/>
    <w:basedOn w:val="Normal"/>
    <w:uiPriority w:val="99"/>
    <w:unhideWhenUsed/>
    <w:rsid w:val="00AA1D14"/>
    <w:pPr>
      <w:numPr>
        <w:numId w:val="8"/>
      </w:numPr>
      <w:contextualSpacing/>
    </w:pPr>
  </w:style>
  <w:style w:type="character" w:styleId="CommentReference">
    <w:name w:val="annotation reference"/>
    <w:basedOn w:val="DefaultParagraphFont"/>
    <w:uiPriority w:val="99"/>
    <w:semiHidden/>
    <w:unhideWhenUsed/>
    <w:rsid w:val="00D63D67"/>
    <w:rPr>
      <w:sz w:val="16"/>
      <w:szCs w:val="16"/>
    </w:rPr>
  </w:style>
  <w:style w:type="character" w:styleId="UnresolvedMention">
    <w:name w:val="Unresolved Mention"/>
    <w:basedOn w:val="DefaultParagraphFont"/>
    <w:uiPriority w:val="99"/>
    <w:semiHidden/>
    <w:unhideWhenUsed/>
    <w:rsid w:val="002E45A5"/>
    <w:rPr>
      <w:color w:val="605E5C"/>
      <w:shd w:val="clear" w:color="auto" w:fill="E1DFDD"/>
    </w:rPr>
  </w:style>
  <w:style w:type="paragraph" w:styleId="NormalWeb">
    <w:name w:val="Normal (Web)"/>
    <w:basedOn w:val="Normal"/>
    <w:uiPriority w:val="99"/>
    <w:unhideWhenUsed/>
    <w:rsid w:val="002E743F"/>
    <w:pPr>
      <w:spacing w:before="100" w:beforeAutospacing="1" w:after="100" w:afterAutospacing="1"/>
    </w:pPr>
    <w:rPr>
      <w:rFonts w:ascii="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header" Target="header3.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3.xml"/><Relationship Id="rId63" Type="http://schemas.openxmlformats.org/officeDocument/2006/relationships/chart" Target="charts/chart41.xml"/><Relationship Id="rId68" Type="http://schemas.openxmlformats.org/officeDocument/2006/relationships/chart" Target="charts/chart46.xml"/><Relationship Id="rId76" Type="http://schemas.openxmlformats.org/officeDocument/2006/relationships/chart" Target="charts/chart54.xml"/><Relationship Id="rId84" Type="http://schemas.openxmlformats.org/officeDocument/2006/relationships/chart" Target="charts/chart62.xml"/><Relationship Id="rId89" Type="http://schemas.openxmlformats.org/officeDocument/2006/relationships/chart" Target="charts/chart67.xml"/><Relationship Id="rId7" Type="http://schemas.openxmlformats.org/officeDocument/2006/relationships/styles" Target="styles.xml"/><Relationship Id="rId71" Type="http://schemas.openxmlformats.org/officeDocument/2006/relationships/chart" Target="charts/chart49.xml"/><Relationship Id="rId92"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chart" Target="charts/chart7.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chart" Target="charts/chart36.xml"/><Relationship Id="rId66" Type="http://schemas.openxmlformats.org/officeDocument/2006/relationships/chart" Target="charts/chart44.xml"/><Relationship Id="rId74" Type="http://schemas.openxmlformats.org/officeDocument/2006/relationships/chart" Target="charts/chart52.xml"/><Relationship Id="rId79" Type="http://schemas.openxmlformats.org/officeDocument/2006/relationships/chart" Target="charts/chart57.xml"/><Relationship Id="rId87" Type="http://schemas.openxmlformats.org/officeDocument/2006/relationships/chart" Target="charts/chart65.xml"/><Relationship Id="rId102" Type="http://schemas.microsoft.com/office/2018/08/relationships/commentsExtensible" Target="commentsExtensible.xml"/><Relationship Id="rId5" Type="http://schemas.openxmlformats.org/officeDocument/2006/relationships/customXml" Target="../customXml/item4.xml"/><Relationship Id="rId61" Type="http://schemas.openxmlformats.org/officeDocument/2006/relationships/chart" Target="charts/chart39.xml"/><Relationship Id="rId82" Type="http://schemas.openxmlformats.org/officeDocument/2006/relationships/chart" Target="charts/chart60.xml"/><Relationship Id="rId90" Type="http://schemas.openxmlformats.org/officeDocument/2006/relationships/chart" Target="charts/chart68.xml"/><Relationship Id="rId95"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chart" Target="charts/chart34.xml"/><Relationship Id="rId64" Type="http://schemas.openxmlformats.org/officeDocument/2006/relationships/chart" Target="charts/chart42.xml"/><Relationship Id="rId69" Type="http://schemas.openxmlformats.org/officeDocument/2006/relationships/chart" Target="charts/chart47.xml"/><Relationship Id="rId77" Type="http://schemas.openxmlformats.org/officeDocument/2006/relationships/chart" Target="charts/chart55.xml"/><Relationship Id="rId8" Type="http://schemas.openxmlformats.org/officeDocument/2006/relationships/settings" Target="settings.xml"/><Relationship Id="rId51" Type="http://schemas.openxmlformats.org/officeDocument/2006/relationships/chart" Target="charts/chart29.xml"/><Relationship Id="rId72" Type="http://schemas.openxmlformats.org/officeDocument/2006/relationships/chart" Target="charts/chart50.xml"/><Relationship Id="rId80" Type="http://schemas.openxmlformats.org/officeDocument/2006/relationships/chart" Target="charts/chart58.xml"/><Relationship Id="rId85" Type="http://schemas.openxmlformats.org/officeDocument/2006/relationships/chart" Target="charts/chart63.xml"/><Relationship Id="rId93" Type="http://schemas.openxmlformats.org/officeDocument/2006/relationships/footer" Target="footer6.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chart" Target="charts/chart37.xml"/><Relationship Id="rId67" Type="http://schemas.openxmlformats.org/officeDocument/2006/relationships/chart" Target="charts/chart45.xml"/><Relationship Id="rId20" Type="http://schemas.openxmlformats.org/officeDocument/2006/relationships/footer" Target="footer4.xml"/><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chart" Target="charts/chart40.xml"/><Relationship Id="rId70" Type="http://schemas.openxmlformats.org/officeDocument/2006/relationships/chart" Target="charts/chart48.xml"/><Relationship Id="rId75" Type="http://schemas.openxmlformats.org/officeDocument/2006/relationships/chart" Target="charts/chart53.xml"/><Relationship Id="rId83" Type="http://schemas.openxmlformats.org/officeDocument/2006/relationships/chart" Target="charts/chart61.xml"/><Relationship Id="rId88" Type="http://schemas.openxmlformats.org/officeDocument/2006/relationships/chart" Target="charts/chart66.xml"/><Relationship Id="rId91"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chart" Target="charts/chart35.xml"/><Relationship Id="rId10" Type="http://schemas.openxmlformats.org/officeDocument/2006/relationships/footnotes" Target="footnotes.xml"/><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chart" Target="charts/chart38.xml"/><Relationship Id="rId65" Type="http://schemas.openxmlformats.org/officeDocument/2006/relationships/chart" Target="charts/chart43.xml"/><Relationship Id="rId73" Type="http://schemas.openxmlformats.org/officeDocument/2006/relationships/chart" Target="charts/chart51.xml"/><Relationship Id="rId78" Type="http://schemas.openxmlformats.org/officeDocument/2006/relationships/chart" Target="charts/chart56.xml"/><Relationship Id="rId81" Type="http://schemas.openxmlformats.org/officeDocument/2006/relationships/chart" Target="charts/chart59.xml"/><Relationship Id="rId86" Type="http://schemas.openxmlformats.org/officeDocument/2006/relationships/chart" Target="charts/chart64.xml"/><Relationship Id="rId94"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hqsc.govt.nz/our-programmes/adverse-events/national-adverse-events-polic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MNTFP\Group\Mental%20Health%20Protection%20Team\Annual%20Reports\Annual%20Report%202018\Data\Annual%20Report%20Data%202018_v2_HB.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8\Data\Annual%20Report%20Data%202018.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Data\Annual%20Report%20Data%202019.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1" Type="http://schemas.openxmlformats.org/officeDocument/2006/relationships/oleObject" Target="file:///\\WMNTFP\Group\Mental%20Health%20Protection%20Team\Annual%20Reports\Annual%20Report%202018\Data\Annual%20Report%20Data%202018.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Data\Annual%20Report%20Data%202019.xlsx" TargetMode="External"/><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2" Type="http://schemas.openxmlformats.org/officeDocument/2006/relationships/oleObject" Target="file:///\\WMNTFP\Group\Mental%20Health%20Protection%20Team\Annual%20Reports\Annual%20Report%202018\Data\Annual%20Report%20Data%202018.xlsx" TargetMode="External"/><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1" Type="http://schemas.openxmlformats.org/officeDocument/2006/relationships/oleObject" Target="file:///\\WMNTFP\Group\Mental%20Health%20Protection%20Team\Annual%20Reports\Annual%20Report%202019\Data\Annual%20Report%20Data%20201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WMNTFP\Group\Mental%20Health%20Protection%20Team\Annual%20Reports\Annual%20Report%202018\Data\Annual%20Report%20Data%2020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WMNTFP\Group\Mental%20Health%20Protection%20Team\Annual%20Reports\Annual%20Report%202019\Data\Annual%20Report%20Data%202019.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8\Data\Annual%20Report%20Data%202018.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1" Type="http://schemas.openxmlformats.org/officeDocument/2006/relationships/oleObject" Target="file:///\\WMNTFP\Group\Mental%20Health%20Protection%20Team\Annual%20Reports\Annual%20Report%202019\Data\Annual%20Report%20Data%202019.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11.xml"/><Relationship Id="rId1" Type="http://schemas.microsoft.com/office/2011/relationships/chartStyle" Target="style11.xml"/></Relationships>
</file>

<file path=word/charts/_rels/chart21.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12.xml"/><Relationship Id="rId1" Type="http://schemas.microsoft.com/office/2011/relationships/chartStyle" Target="style12.xml"/></Relationships>
</file>

<file path=word/charts/_rels/chart22.xml.rels><?xml version="1.0" encoding="UTF-8" standalone="yes"?>
<Relationships xmlns="http://schemas.openxmlformats.org/package/2006/relationships"><Relationship Id="rId1" Type="http://schemas.openxmlformats.org/officeDocument/2006/relationships/oleObject" Target="file:///\\WMNTFP\Group\Mental%20Health%20Protection%20Team\Annual%20Reports\Annual%20Report%202018\Data\Annual%20Report%20Data%202018_v2_HB.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WMNTFP\Group\Mental%20Health%20Protection%20Team\Annual%20Reports\Annual%20Report%202019\Data\Annual%20Report%20Data%202019.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WMNTFP\Group\Mental%20Health%20Protection%20Team\Annual%20Reports\Annual%20Report%202018\Data\Annual%20Report%20Data%202018_v2_HB.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WMNTFP\Group\Mental%20Health%20Protection%20Team\Annual%20Reports\Annual%20Report%202019\Data\Annual%20Report%20Data%202019.xlsx" TargetMode="Externa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3.xml"/><Relationship Id="rId1" Type="http://schemas.microsoft.com/office/2011/relationships/chartStyle" Target="style13.xml"/></Relationships>
</file>

<file path=word/charts/_rels/chart27.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8\Data\ODMHAS%20manual%20reporting\ODMH%20data%202018.xlsx" TargetMode="External"/><Relationship Id="rId2" Type="http://schemas.microsoft.com/office/2011/relationships/chartColorStyle" Target="colors14.xml"/><Relationship Id="rId1" Type="http://schemas.microsoft.com/office/2011/relationships/chartStyle" Target="style14.xml"/></Relationships>
</file>

<file path=word/charts/_rels/chart28.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Data\ODMHAS%207a%20consultation.xlsx" TargetMode="External"/><Relationship Id="rId2" Type="http://schemas.microsoft.com/office/2011/relationships/chartColorStyle" Target="colors15.xml"/><Relationship Id="rId1" Type="http://schemas.microsoft.com/office/2011/relationships/chartStyle" Target="style15.xml"/></Relationships>
</file>

<file path=word/charts/_rels/chart29.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8\Data\ODMH%20data%202018.xlsx" TargetMode="External"/><Relationship Id="rId2" Type="http://schemas.microsoft.com/office/2011/relationships/chartColorStyle" Target="colors16.xml"/><Relationship Id="rId1" Type="http://schemas.microsoft.com/office/2011/relationships/chartStyle" Target="style16.xml"/></Relationships>
</file>

<file path=word/charts/_rels/chart3.xml.rels><?xml version="1.0" encoding="UTF-8" standalone="yes"?>
<Relationships xmlns="http://schemas.openxmlformats.org/package/2006/relationships"><Relationship Id="rId1" Type="http://schemas.openxmlformats.org/officeDocument/2006/relationships/oleObject" Target="file:///\\WMNTFP\Group\Mental%20Health%20Protection%20Team\Annual%20Reports\Annual%20Report%202018\Data\Annual%20Report%20Data%202018_v2_HB.xlsx" TargetMode="Externa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7.xml"/><Relationship Id="rId1" Type="http://schemas.microsoft.com/office/2011/relationships/chartStyle" Target="style17.xml"/></Relationships>
</file>

<file path=word/charts/_rels/chart31.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xml"/></Relationships>
</file>

<file path=word/charts/_rels/chart32.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2.xml"/></Relationships>
</file>

<file path=word/charts/_rels/chart33.xml.rels><?xml version="1.0" encoding="UTF-8" standalone="yes"?>
<Relationships xmlns="http://schemas.openxmlformats.org/package/2006/relationships"><Relationship Id="rId1" Type="http://schemas.openxmlformats.org/officeDocument/2006/relationships/oleObject" Target="file:///\\WMNTFP\Group\Mental%20Health%20Protection%20Team\Annual%20Reports\Annual%20Report%202018\Data\Annual%20Report%20Data%202018.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WMNTFP\Group\Mental%20Health%20Protection%20Team\Annual%20Reports\Annual%20Report%202019\Annual%20Report%20Data%202019.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WMNTFP\Group\Mental%20Health%20Protection%20Team\Annual%20Reports\Annual%20Report%202018\Data\Annual%20Report%20Data%202018.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WMNTFP\Group\Mental%20Health%20Protection%20Team\Annual%20Reports\Annual%20Report%202019\Annual%20Report%20Data%202019.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Group\Mental%20Health%20Protection%20Team\Annual%20Reports\Annual%20Report%202018\Data\Annual%20Report%20Data%202018.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Group\Mental%20Health%20Protection%20Team\Annual%20Reports\Annual%20Report%202019\Annual%20Report%20Data%202019.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Group\Mental%20Health%20Protection%20Team\Annual%20Reports\Annual%20Report%202018\Data\Annual%20Report%20Data%20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MNTFP\Group\Mental%20Health%20Protection%20Team\Annual%20Reports\Annual%20Report%202019\Data\Annual%20Report%20Data%202019.xlsx"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6.xml"/></Relationships>
</file>

<file path=word/charts/_rels/chart41.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8\Data\Annual%20Report%20Data%202018_v2_HB.xlsx" TargetMode="External"/><Relationship Id="rId2" Type="http://schemas.microsoft.com/office/2011/relationships/chartColorStyle" Target="colors21.xml"/><Relationship Id="rId1" Type="http://schemas.microsoft.com/office/2011/relationships/chartStyle" Target="style21.xml"/></Relationships>
</file>

<file path=word/charts/_rels/chart42.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22.xml"/><Relationship Id="rId1" Type="http://schemas.microsoft.com/office/2011/relationships/chartStyle" Target="style22.xml"/></Relationships>
</file>

<file path=word/charts/_rels/chart43.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8\Data\Annual%20Report%20Data%202018.xlsx" TargetMode="External"/><Relationship Id="rId2" Type="http://schemas.microsoft.com/office/2011/relationships/chartColorStyle" Target="colors23.xml"/><Relationship Id="rId1" Type="http://schemas.microsoft.com/office/2011/relationships/chartStyle" Target="style23.xml"/></Relationships>
</file>

<file path=word/charts/_rels/chart44.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24.xml"/><Relationship Id="rId1" Type="http://schemas.microsoft.com/office/2011/relationships/chartStyle" Target="style24.xml"/></Relationships>
</file>

<file path=word/charts/_rels/chart45.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25.xml"/><Relationship Id="rId1" Type="http://schemas.microsoft.com/office/2011/relationships/chartStyle" Target="style25.xml"/></Relationships>
</file>

<file path=word/charts/_rels/chart46.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8\Data\Annual%20Report%20Data%202018.xlsx" TargetMode="External"/><Relationship Id="rId2" Type="http://schemas.microsoft.com/office/2011/relationships/chartColorStyle" Target="colors26.xml"/><Relationship Id="rId1" Type="http://schemas.microsoft.com/office/2011/relationships/chartStyle" Target="style26.xml"/></Relationships>
</file>

<file path=word/charts/_rels/chart47.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27.xml"/><Relationship Id="rId1" Type="http://schemas.microsoft.com/office/2011/relationships/chartStyle" Target="style27.xml"/></Relationships>
</file>

<file path=word/charts/_rels/chart48.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8\Data\Annual%20Report%20Data%202018_v2_HB.xlsx" TargetMode="External"/><Relationship Id="rId2" Type="http://schemas.microsoft.com/office/2011/relationships/chartColorStyle" Target="colors28.xml"/><Relationship Id="rId1" Type="http://schemas.microsoft.com/office/2011/relationships/chartStyle" Target="style28.xml"/></Relationships>
</file>

<file path=word/charts/_rels/chart49.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29.xml"/><Relationship Id="rId1" Type="http://schemas.microsoft.com/office/2011/relationships/chartStyle" Target="style29.xml"/></Relationships>
</file>

<file path=word/charts/_rels/chart5.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Data\Annual%20Report%20Data%202019.xlsx" TargetMode="External"/><Relationship Id="rId2" Type="http://schemas.microsoft.com/office/2011/relationships/chartColorStyle" Target="colors1.xml"/><Relationship Id="rId1" Type="http://schemas.microsoft.com/office/2011/relationships/chartStyle" Target="style1.xml"/></Relationships>
</file>

<file path=word/charts/_rels/chart50.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8\Data\Annual%20Report%20Data%202018.xlsx" TargetMode="External"/><Relationship Id="rId2" Type="http://schemas.microsoft.com/office/2011/relationships/chartColorStyle" Target="colors30.xml"/><Relationship Id="rId1" Type="http://schemas.microsoft.com/office/2011/relationships/chartStyle" Target="style30.xml"/></Relationships>
</file>

<file path=word/charts/_rels/chart51.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31.xml"/><Relationship Id="rId1" Type="http://schemas.microsoft.com/office/2011/relationships/chartStyle" Target="style31.xml"/></Relationships>
</file>

<file path=word/charts/_rels/chart52.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8\Data\Annual%20Report%20Data%202018.xlsx" TargetMode="External"/><Relationship Id="rId2" Type="http://schemas.microsoft.com/office/2011/relationships/chartColorStyle" Target="colors32.xml"/><Relationship Id="rId1" Type="http://schemas.microsoft.com/office/2011/relationships/chartStyle" Target="style32.xml"/></Relationships>
</file>

<file path=word/charts/_rels/chart53.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33.xml"/><Relationship Id="rId1" Type="http://schemas.microsoft.com/office/2011/relationships/chartStyle" Target="style33.xml"/></Relationships>
</file>

<file path=word/charts/_rels/chart54.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8\Data\Annual%20Report%20Data%202018.xlsx" TargetMode="External"/><Relationship Id="rId2" Type="http://schemas.microsoft.com/office/2011/relationships/chartColorStyle" Target="colors34.xml"/><Relationship Id="rId1" Type="http://schemas.microsoft.com/office/2011/relationships/chartStyle" Target="style34.xml"/></Relationships>
</file>

<file path=word/charts/_rels/chart55.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35.xml"/><Relationship Id="rId1" Type="http://schemas.microsoft.com/office/2011/relationships/chartStyle" Target="style35.xml"/></Relationships>
</file>

<file path=word/charts/_rels/chart56.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36.xml"/><Relationship Id="rId1" Type="http://schemas.microsoft.com/office/2011/relationships/chartStyle" Target="style36.xml"/></Relationships>
</file>

<file path=word/charts/_rels/chart57.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8\Data\Annual%20Report%20Data%202018.xlsx" TargetMode="External"/><Relationship Id="rId2" Type="http://schemas.microsoft.com/office/2011/relationships/chartColorStyle" Target="colors37.xml"/><Relationship Id="rId1" Type="http://schemas.microsoft.com/office/2011/relationships/chartStyle" Target="style37.xml"/></Relationships>
</file>

<file path=word/charts/_rels/chart58.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38.xml"/><Relationship Id="rId1" Type="http://schemas.microsoft.com/office/2011/relationships/chartStyle" Target="style38.xml"/></Relationships>
</file>

<file path=word/charts/_rels/chart59.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8\Data\SACAT%20DATA%202018\Final%20data\SACAT%20DATA%202018%20ONLY.xlsx" TargetMode="External"/><Relationship Id="rId2" Type="http://schemas.microsoft.com/office/2011/relationships/chartColorStyle" Target="colors39.xml"/><Relationship Id="rId1" Type="http://schemas.microsoft.com/office/2011/relationships/chartStyle" Target="style39.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60.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8\Data\SACAT%20DATA%202018\Final%20data\SACAT%20DATA%202018%20ONLY.xlsx" TargetMode="External"/><Relationship Id="rId2" Type="http://schemas.microsoft.com/office/2011/relationships/chartColorStyle" Target="colors40.xml"/><Relationship Id="rId1" Type="http://schemas.microsoft.com/office/2011/relationships/chartStyle" Target="style4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Emeha\AppData\Local\Microsoft\Windows\INetCache\Content.Outlook\RVLH5BAC\Nova%20STAR%20SACAT%20CTO%20and%20extension%20data%202019%20-%20HS%20comments%20040221.xlsx" TargetMode="External"/><Relationship Id="rId2" Type="http://schemas.microsoft.com/office/2011/relationships/chartColorStyle" Target="colors41.xml"/><Relationship Id="rId1" Type="http://schemas.microsoft.com/office/2011/relationships/chartStyle" Target="style4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Emeha\AppData\Local\Microsoft\Windows\INetCache\Content.Outlook\RVLH5BAC\Nova%20STAR%20SACAT%20CTO%20and%20extension%20data%202019%20-%20HS%20comments%20040221.xlsx" TargetMode="External"/><Relationship Id="rId2" Type="http://schemas.microsoft.com/office/2011/relationships/chartColorStyle" Target="colors42.xml"/><Relationship Id="rId1" Type="http://schemas.microsoft.com/office/2011/relationships/chartStyle" Target="style42.xml"/></Relationships>
</file>

<file path=word/charts/_rels/chart63.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8\Data\Annual%20Report%20Data%202018.xlsx" TargetMode="External"/><Relationship Id="rId2" Type="http://schemas.microsoft.com/office/2011/relationships/chartColorStyle" Target="colors43.xml"/><Relationship Id="rId1" Type="http://schemas.microsoft.com/office/2011/relationships/chartStyle" Target="style43.xml"/></Relationships>
</file>

<file path=word/charts/_rels/chart64.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Data\Annual%20Report%20Data%202019.xlsx" TargetMode="External"/><Relationship Id="rId2" Type="http://schemas.microsoft.com/office/2011/relationships/chartColorStyle" Target="colors44.xml"/><Relationship Id="rId1" Type="http://schemas.microsoft.com/office/2011/relationships/chartStyle" Target="style44.xml"/></Relationships>
</file>

<file path=word/charts/_rels/chart65.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45.xml"/><Relationship Id="rId1" Type="http://schemas.microsoft.com/office/2011/relationships/chartStyle" Target="style45.xml"/></Relationships>
</file>

<file path=word/charts/_rels/chart66.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46.xml"/><Relationship Id="rId1" Type="http://schemas.microsoft.com/office/2011/relationships/chartStyle" Target="style46.xml"/></Relationships>
</file>

<file path=word/charts/_rels/chart67.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47.xml"/><Relationship Id="rId1" Type="http://schemas.microsoft.com/office/2011/relationships/chartStyle" Target="style47.xml"/></Relationships>
</file>

<file path=word/charts/_rels/chart68.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48.xml"/><Relationship Id="rId1" Type="http://schemas.microsoft.com/office/2011/relationships/chartStyle" Target="style48.xml"/></Relationships>
</file>

<file path=word/charts/_rels/chart7.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8\Data\Annual%20Report%20Data%202018_v2_HB.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9\Annual%20Report%20Data%202019.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WMNTFP\Group\Mental%20Health%20Protection%20Team\Annual%20Reports\Annual%20Report%202018\Data\Annual%20Report%20Data%202018.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05828775623768E-2"/>
          <c:y val="0.13908340798717528"/>
          <c:w val="0.91552756459356299"/>
          <c:h val="0.46287377999905693"/>
        </c:manualLayout>
      </c:layout>
      <c:lineChart>
        <c:grouping val="standard"/>
        <c:varyColors val="0"/>
        <c:ser>
          <c:idx val="0"/>
          <c:order val="0"/>
          <c:tx>
            <c:strRef>
              <c:f>'Error bars'!$B$155</c:f>
              <c:strCache>
                <c:ptCount val="1"/>
                <c:pt idx="0">
                  <c:v>Section 29</c:v>
                </c:pt>
              </c:strCache>
            </c:strRef>
          </c:tx>
          <c:spPr>
            <a:ln>
              <a:noFill/>
            </a:ln>
          </c:spPr>
          <c:errBars>
            <c:errDir val="y"/>
            <c:errBarType val="both"/>
            <c:errValType val="cust"/>
            <c:noEndCap val="0"/>
            <c:plus>
              <c:numRef>
                <c:f>'Error bars'!$F$157:$F$176</c:f>
                <c:numCache>
                  <c:formatCode>General</c:formatCode>
                  <c:ptCount val="20"/>
                  <c:pt idx="0">
                    <c:v>12.855315411822545</c:v>
                  </c:pt>
                  <c:pt idx="1">
                    <c:v>12.415389307120094</c:v>
                  </c:pt>
                  <c:pt idx="2">
                    <c:v>9.2507445751886621</c:v>
                  </c:pt>
                  <c:pt idx="3">
                    <c:v>16.620830953855588</c:v>
                  </c:pt>
                  <c:pt idx="4">
                    <c:v>10.373867569772528</c:v>
                  </c:pt>
                  <c:pt idx="5">
                    <c:v>27.131428302258314</c:v>
                  </c:pt>
                  <c:pt idx="6">
                    <c:v>19.247176660161273</c:v>
                  </c:pt>
                  <c:pt idx="7">
                    <c:v>29.037491402727056</c:v>
                  </c:pt>
                  <c:pt idx="8">
                    <c:v>20.315682510255868</c:v>
                  </c:pt>
                  <c:pt idx="9">
                    <c:v>19.355051807459105</c:v>
                  </c:pt>
                  <c:pt idx="10">
                    <c:v>27.06726481909925</c:v>
                  </c:pt>
                  <c:pt idx="11">
                    <c:v>32.166678342581662</c:v>
                  </c:pt>
                  <c:pt idx="12">
                    <c:v>13.363644755079122</c:v>
                  </c:pt>
                  <c:pt idx="13">
                    <c:v>48.598147629865338</c:v>
                  </c:pt>
                  <c:pt idx="14">
                    <c:v>23.775225215847328</c:v>
                  </c:pt>
                  <c:pt idx="15">
                    <c:v>15.053241715198965</c:v>
                  </c:pt>
                  <c:pt idx="16">
                    <c:v>40.18141900006168</c:v>
                  </c:pt>
                  <c:pt idx="17">
                    <c:v>9.018853718830016</c:v>
                  </c:pt>
                  <c:pt idx="18">
                    <c:v>51.139789244766405</c:v>
                  </c:pt>
                  <c:pt idx="19">
                    <c:v>37.262201435987407</c:v>
                  </c:pt>
                </c:numCache>
              </c:numRef>
            </c:plus>
            <c:minus>
              <c:numRef>
                <c:f>'Error bars'!$E$157:$E$176</c:f>
                <c:numCache>
                  <c:formatCode>General</c:formatCode>
                  <c:ptCount val="20"/>
                  <c:pt idx="0">
                    <c:v>12.030550274639253</c:v>
                  </c:pt>
                  <c:pt idx="1">
                    <c:v>10.726871813602408</c:v>
                  </c:pt>
                  <c:pt idx="2">
                    <c:v>8.4611674625572917</c:v>
                  </c:pt>
                  <c:pt idx="3">
                    <c:v>15.374169236823192</c:v>
                  </c:pt>
                  <c:pt idx="4">
                    <c:v>9.6675603652495994</c:v>
                  </c:pt>
                  <c:pt idx="5">
                    <c:v>24.527332718747175</c:v>
                  </c:pt>
                  <c:pt idx="6">
                    <c:v>16.11171379089533</c:v>
                  </c:pt>
                  <c:pt idx="7">
                    <c:v>25.074271302641094</c:v>
                  </c:pt>
                  <c:pt idx="8">
                    <c:v>17.90343832355623</c:v>
                  </c:pt>
                  <c:pt idx="9">
                    <c:v>16.682913766377503</c:v>
                  </c:pt>
                  <c:pt idx="10">
                    <c:v>24.764814293737999</c:v>
                  </c:pt>
                  <c:pt idx="11">
                    <c:v>25.045564932946043</c:v>
                  </c:pt>
                  <c:pt idx="12">
                    <c:v>11.907384024315689</c:v>
                  </c:pt>
                  <c:pt idx="13">
                    <c:v>38.97801928060187</c:v>
                  </c:pt>
                  <c:pt idx="14">
                    <c:v>20.138613253287438</c:v>
                  </c:pt>
                  <c:pt idx="15">
                    <c:v>13.986812328109153</c:v>
                  </c:pt>
                  <c:pt idx="16">
                    <c:v>31.198000885135876</c:v>
                  </c:pt>
                  <c:pt idx="17">
                    <c:v>8.2770938489531289</c:v>
                  </c:pt>
                  <c:pt idx="18">
                    <c:v>37.338909277157178</c:v>
                  </c:pt>
                  <c:pt idx="19">
                    <c:v>29.729042628407697</c:v>
                  </c:pt>
                </c:numCache>
              </c:numRef>
            </c:minus>
          </c:errBars>
          <c:cat>
            <c:strRef>
              <c:f>'Error bars'!$B$47:$B$67</c:f>
              <c:strCache>
                <c:ptCount val="21"/>
                <c:pt idx="0">
                  <c:v>Auckland </c:v>
                </c:pt>
                <c:pt idx="1">
                  <c:v>Bay of Plenty</c:v>
                </c:pt>
                <c:pt idx="2">
                  <c:v>Canterbury</c:v>
                </c:pt>
                <c:pt idx="3">
                  <c:v>Capital &amp; Coast </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pt idx="20">
                  <c:v>National average</c:v>
                </c:pt>
              </c:strCache>
            </c:strRef>
          </c:cat>
          <c:val>
            <c:numRef>
              <c:f>'Error bars'!$C$157:$C$176</c:f>
              <c:numCache>
                <c:formatCode>0</c:formatCode>
                <c:ptCount val="20"/>
                <c:pt idx="0">
                  <c:v>124.60657027638439</c:v>
                </c:pt>
                <c:pt idx="1">
                  <c:v>46.547738413547243</c:v>
                </c:pt>
                <c:pt idx="2">
                  <c:v>65.81647610671358</c:v>
                </c:pt>
                <c:pt idx="3">
                  <c:v>120.96059857650503</c:v>
                </c:pt>
                <c:pt idx="4">
                  <c:v>83.801938280145933</c:v>
                </c:pt>
                <c:pt idx="5">
                  <c:v>163.31129807692307</c:v>
                </c:pt>
                <c:pt idx="6">
                  <c:v>67.910679439418132</c:v>
                </c:pt>
                <c:pt idx="7">
                  <c:v>117.30804138682157</c:v>
                </c:pt>
                <c:pt idx="8">
                  <c:v>96.308408624799057</c:v>
                </c:pt>
                <c:pt idx="9">
                  <c:v>71.316856110670557</c:v>
                </c:pt>
                <c:pt idx="10">
                  <c:v>178.94367886066374</c:v>
                </c:pt>
                <c:pt idx="11">
                  <c:v>69.617795528928824</c:v>
                </c:pt>
                <c:pt idx="12">
                  <c:v>77.856755617131498</c:v>
                </c:pt>
                <c:pt idx="13">
                  <c:v>135.09857630786919</c:v>
                </c:pt>
                <c:pt idx="14">
                  <c:v>84.056286580050639</c:v>
                </c:pt>
                <c:pt idx="15">
                  <c:v>131.15795323726726</c:v>
                </c:pt>
                <c:pt idx="16">
                  <c:v>82.643126997965695</c:v>
                </c:pt>
                <c:pt idx="17">
                  <c:v>69.312641881582365</c:v>
                </c:pt>
                <c:pt idx="18">
                  <c:v>88.529638183217855</c:v>
                </c:pt>
                <c:pt idx="19">
                  <c:v>104.40657147243974</c:v>
                </c:pt>
              </c:numCache>
            </c:numRef>
          </c:val>
          <c:smooth val="0"/>
          <c:extLst>
            <c:ext xmlns:c16="http://schemas.microsoft.com/office/drawing/2014/chart" uri="{C3380CC4-5D6E-409C-BE32-E72D297353CC}">
              <c16:uniqueId val="{00000000-52E9-4169-A5B0-689F96DE9AA1}"/>
            </c:ext>
          </c:extLst>
        </c:ser>
        <c:ser>
          <c:idx val="1"/>
          <c:order val="1"/>
          <c:tx>
            <c:v>National average</c:v>
          </c:tx>
          <c:marker>
            <c:symbol val="none"/>
          </c:marker>
          <c:val>
            <c:numRef>
              <c:f>'Error bars'!$D$157:$D$176</c:f>
              <c:numCache>
                <c:formatCode>0</c:formatCode>
                <c:ptCount val="20"/>
                <c:pt idx="0">
                  <c:v>108.61329686777208</c:v>
                </c:pt>
                <c:pt idx="1">
                  <c:v>108.61329686777208</c:v>
                </c:pt>
                <c:pt idx="2">
                  <c:v>108.61329686777208</c:v>
                </c:pt>
                <c:pt idx="3">
                  <c:v>108.61329686777208</c:v>
                </c:pt>
                <c:pt idx="4">
                  <c:v>108.61329686777208</c:v>
                </c:pt>
                <c:pt idx="5">
                  <c:v>108.61329686777208</c:v>
                </c:pt>
                <c:pt idx="6">
                  <c:v>108.61329686777208</c:v>
                </c:pt>
                <c:pt idx="7">
                  <c:v>108.61329686777208</c:v>
                </c:pt>
                <c:pt idx="8">
                  <c:v>108.61329686777208</c:v>
                </c:pt>
                <c:pt idx="9">
                  <c:v>108.61329686777208</c:v>
                </c:pt>
                <c:pt idx="10">
                  <c:v>108.61329686777208</c:v>
                </c:pt>
                <c:pt idx="11">
                  <c:v>108.61329686777208</c:v>
                </c:pt>
                <c:pt idx="12">
                  <c:v>108.61329686777208</c:v>
                </c:pt>
                <c:pt idx="13">
                  <c:v>108.61329686777208</c:v>
                </c:pt>
                <c:pt idx="14">
                  <c:v>108.61329686777208</c:v>
                </c:pt>
                <c:pt idx="15">
                  <c:v>108.61329686777208</c:v>
                </c:pt>
                <c:pt idx="16">
                  <c:v>108.61329686777208</c:v>
                </c:pt>
                <c:pt idx="17">
                  <c:v>108.61329686777208</c:v>
                </c:pt>
                <c:pt idx="18">
                  <c:v>108.61329686777208</c:v>
                </c:pt>
                <c:pt idx="19">
                  <c:v>108.61329686777208</c:v>
                </c:pt>
              </c:numCache>
            </c:numRef>
          </c:val>
          <c:smooth val="0"/>
          <c:extLst>
            <c:ext xmlns:c16="http://schemas.microsoft.com/office/drawing/2014/chart" uri="{C3380CC4-5D6E-409C-BE32-E72D297353CC}">
              <c16:uniqueId val="{00000001-52E9-4169-A5B0-689F96DE9AA1}"/>
            </c:ext>
          </c:extLst>
        </c:ser>
        <c:dLbls>
          <c:showLegendKey val="0"/>
          <c:showVal val="0"/>
          <c:showCatName val="0"/>
          <c:showSerName val="0"/>
          <c:showPercent val="0"/>
          <c:showBubbleSize val="0"/>
        </c:dLbls>
        <c:marker val="1"/>
        <c:smooth val="0"/>
        <c:axId val="555313552"/>
        <c:axId val="555318648"/>
      </c:lineChart>
      <c:catAx>
        <c:axId val="555313552"/>
        <c:scaling>
          <c:orientation val="minMax"/>
        </c:scaling>
        <c:delete val="0"/>
        <c:axPos val="b"/>
        <c:title>
          <c:tx>
            <c:rich>
              <a:bodyPr/>
              <a:lstStyle/>
              <a:p>
                <a:pPr>
                  <a:defRPr/>
                </a:pPr>
                <a:r>
                  <a:rPr lang="en-NZ"/>
                  <a:t>DHB</a:t>
                </a:r>
              </a:p>
            </c:rich>
          </c:tx>
          <c:layout>
            <c:manualLayout>
              <c:xMode val="edge"/>
              <c:yMode val="edge"/>
              <c:x val="0.48272845508775297"/>
              <c:y val="0.91920406210905881"/>
            </c:manualLayout>
          </c:layout>
          <c:overlay val="0"/>
        </c:title>
        <c:numFmt formatCode="General" sourceLinked="0"/>
        <c:majorTickMark val="out"/>
        <c:minorTickMark val="none"/>
        <c:tickLblPos val="nextTo"/>
        <c:txPr>
          <a:bodyPr rot="-5400000" vert="horz"/>
          <a:lstStyle/>
          <a:p>
            <a:pPr>
              <a:defRPr/>
            </a:pPr>
            <a:endParaRPr lang="en-US"/>
          </a:p>
        </c:txPr>
        <c:crossAx val="555318648"/>
        <c:crosses val="autoZero"/>
        <c:auto val="1"/>
        <c:lblAlgn val="ctr"/>
        <c:lblOffset val="100"/>
        <c:noMultiLvlLbl val="0"/>
      </c:catAx>
      <c:valAx>
        <c:axId val="555318648"/>
        <c:scaling>
          <c:orientation val="minMax"/>
        </c:scaling>
        <c:delete val="0"/>
        <c:axPos val="l"/>
        <c:title>
          <c:tx>
            <c:rich>
              <a:bodyPr rot="0" vert="horz"/>
              <a:lstStyle/>
              <a:p>
                <a:pPr>
                  <a:defRPr/>
                </a:pPr>
                <a:r>
                  <a:rPr lang="en-NZ"/>
                  <a:t>Average number per 100,000</a:t>
                </a:r>
              </a:p>
            </c:rich>
          </c:tx>
          <c:layout>
            <c:manualLayout>
              <c:xMode val="edge"/>
              <c:yMode val="edge"/>
              <c:x val="1.0079375078745118E-2"/>
              <c:y val="1.3393774376333795E-2"/>
            </c:manualLayout>
          </c:layout>
          <c:overlay val="0"/>
        </c:title>
        <c:numFmt formatCode="0" sourceLinked="1"/>
        <c:majorTickMark val="out"/>
        <c:minorTickMark val="none"/>
        <c:tickLblPos val="nextTo"/>
        <c:crossAx val="555313552"/>
        <c:crosses val="autoZero"/>
        <c:crossBetween val="between"/>
      </c:valAx>
      <c:spPr>
        <a:noFill/>
        <a:ln w="25400">
          <a:noFill/>
        </a:ln>
      </c:spPr>
    </c:plotArea>
    <c:legend>
      <c:legendPos val="tr"/>
      <c:overlay val="0"/>
    </c:legend>
    <c:plotVisOnly val="1"/>
    <c:dispBlanksAs val="gap"/>
    <c:showDLblsOverMax val="0"/>
  </c:chart>
  <c:spPr>
    <a:ln>
      <a:noFill/>
    </a:ln>
  </c:spPr>
  <c:txPr>
    <a:bodyPr/>
    <a:lstStyle/>
    <a:p>
      <a:pPr>
        <a:defRPr sz="900" b="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63-4FCA-BBCE-C77945112A8D}"/>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FB63-4FCA-BBCE-C77945112A8D}"/>
              </c:ext>
            </c:extLst>
          </c:dPt>
          <c:dLbls>
            <c:dLbl>
              <c:idx val="0"/>
              <c:layout>
                <c:manualLayout>
                  <c:x val="2.4665257223396759E-2"/>
                  <c:y val="-1.6825574873808213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fld id="{A0D41924-25D2-44A8-812C-212F4BE5DFFB}" type="CATEGORYNAME">
                      <a:rPr lang="en-US"/>
                      <a:pPr>
                        <a:defRPr/>
                      </a:pPr>
                      <a:t>[CATEGORY NAME]</a:t>
                    </a:fld>
                    <a:endParaRPr lang="en-US"/>
                  </a:p>
                  <a:p>
                    <a:pPr>
                      <a:defRPr/>
                    </a:pPr>
                    <a:r>
                      <a:rPr lang="en-US"/>
                      <a:t>(</a:t>
                    </a:r>
                    <a:fld id="{CD3EF9F0-2019-43E9-AD93-284FE05A6A19}" type="PERCENTAGE">
                      <a:rPr lang="en-US"/>
                      <a:pPr>
                        <a:defRPr/>
                      </a:pPr>
                      <a:t>[PERCENTAGE]</a:t>
                    </a:fld>
                    <a:r>
                      <a:rPr lang="en-US"/>
                      <a:t>)</a:t>
                    </a:r>
                  </a:p>
                </c:rich>
              </c:tx>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1-FB63-4FCA-BBCE-C77945112A8D}"/>
                </c:ext>
              </c:extLst>
            </c:dLbl>
            <c:dLbl>
              <c:idx val="1"/>
              <c:layout>
                <c:manualLayout>
                  <c:x val="-4.2283298097251586E-2"/>
                  <c:y val="-6.1693774537296797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fld id="{6B02831F-1D2B-457D-96D8-5D7B0B6DAFFC}" type="CATEGORYNAME">
                      <a:rPr lang="en-US"/>
                      <a:pPr>
                        <a:defRPr/>
                      </a:pPr>
                      <a:t>[CATEGORY NAME]</a:t>
                    </a:fld>
                    <a:endParaRPr lang="en-US"/>
                  </a:p>
                  <a:p>
                    <a:pPr>
                      <a:defRPr/>
                    </a:pPr>
                    <a:r>
                      <a:rPr lang="en-US"/>
                      <a:t>(</a:t>
                    </a:r>
                    <a:fld id="{54D98FE2-091D-4370-B8D5-CB934BC3752F}" type="PERCENTAGE">
                      <a:rPr lang="en-US"/>
                      <a:pPr>
                        <a:defRPr/>
                      </a:pPr>
                      <a:t>[PERCENTAGE]</a:t>
                    </a:fld>
                    <a:r>
                      <a:rPr lang="en-US"/>
                      <a:t>)</a:t>
                    </a:r>
                  </a:p>
                </c:rich>
              </c:tx>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FB63-4FCA-BBCE-C77945112A8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Female</c:v>
              </c:pt>
              <c:pt idx="1">
                <c:v> Male</c:v>
              </c:pt>
            </c:strLit>
          </c:cat>
          <c:val>
            <c:numRef>
              <c:f>'Indefinite orders'!$E$198:$E$199</c:f>
              <c:numCache>
                <c:formatCode>_-* #,##0_-;\-* #,##0_-;_-* "-"??_-;_-@_-</c:formatCode>
                <c:ptCount val="2"/>
                <c:pt idx="0">
                  <c:v>850</c:v>
                </c:pt>
                <c:pt idx="1">
                  <c:v>1849</c:v>
                </c:pt>
              </c:numCache>
            </c:numRef>
          </c:val>
          <c:extLst>
            <c:ext xmlns:c16="http://schemas.microsoft.com/office/drawing/2014/chart" uri="{C3380CC4-5D6E-409C-BE32-E72D297353CC}">
              <c16:uniqueId val="{00000004-FB63-4FCA-BBCE-C77945112A8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74601721296465E-2"/>
          <c:y val="0.13793062499578299"/>
          <c:w val="0.9158185215595237"/>
          <c:h val="0.46966594471320899"/>
        </c:manualLayout>
      </c:layout>
      <c:barChart>
        <c:barDir val="col"/>
        <c:grouping val="clustered"/>
        <c:varyColors val="0"/>
        <c:ser>
          <c:idx val="0"/>
          <c:order val="0"/>
          <c:tx>
            <c:strRef>
              <c:f>'Indefinite orders'!$D$75</c:f>
              <c:strCache>
                <c:ptCount val="1"/>
                <c:pt idx="0">
                  <c:v>Rate per 100,000 population</c:v>
                </c:pt>
              </c:strCache>
            </c:strRef>
          </c:tx>
          <c:spPr>
            <a:solidFill>
              <a:schemeClr val="accent1"/>
            </a:solidFill>
            <a:ln>
              <a:noFill/>
            </a:ln>
            <a:effectLst/>
          </c:spPr>
          <c:invertIfNegative val="0"/>
          <c:dPt>
            <c:idx val="20"/>
            <c:invertIfNegative val="0"/>
            <c:bubble3D val="0"/>
            <c:spPr>
              <a:solidFill>
                <a:schemeClr val="accent6"/>
              </a:solidFill>
              <a:ln>
                <a:noFill/>
              </a:ln>
              <a:effectLst/>
            </c:spPr>
            <c:extLst>
              <c:ext xmlns:c16="http://schemas.microsoft.com/office/drawing/2014/chart" uri="{C3380CC4-5D6E-409C-BE32-E72D297353CC}">
                <c16:uniqueId val="{00000001-15C4-4EE6-8A80-1917A893894B}"/>
              </c:ext>
            </c:extLst>
          </c:dPt>
          <c:cat>
            <c:strRef>
              <c:f>'Indefinite orders'!$A$103:$A$123</c:f>
              <c:strCache>
                <c:ptCount val="21"/>
                <c:pt idx="0">
                  <c:v>Auckland</c:v>
                </c:pt>
                <c:pt idx="1">
                  <c:v>Bay of Plenty</c:v>
                </c:pt>
                <c:pt idx="2">
                  <c:v>Canterbury</c:v>
                </c:pt>
                <c:pt idx="3">
                  <c:v>Capital &amp; Coast </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pt idx="20">
                  <c:v>NZ</c:v>
                </c:pt>
              </c:strCache>
            </c:strRef>
          </c:cat>
          <c:val>
            <c:numRef>
              <c:f>'Indefinite orders'!$D$103:$D$123</c:f>
              <c:numCache>
                <c:formatCode>_-* #,##0.0_-;\-* #,##0.0_-;_-* "-"??_-;_-@_-</c:formatCode>
                <c:ptCount val="21"/>
                <c:pt idx="0">
                  <c:v>0</c:v>
                </c:pt>
                <c:pt idx="1">
                  <c:v>0.83556149732620322</c:v>
                </c:pt>
                <c:pt idx="2">
                  <c:v>5.1011433597185576</c:v>
                </c:pt>
                <c:pt idx="3">
                  <c:v>15.318723231312722</c:v>
                </c:pt>
                <c:pt idx="4">
                  <c:v>1.5965089670586985</c:v>
                </c:pt>
                <c:pt idx="5">
                  <c:v>0.60096153846153844</c:v>
                </c:pt>
                <c:pt idx="6">
                  <c:v>1.9957424161788186</c:v>
                </c:pt>
                <c:pt idx="7">
                  <c:v>0.9076057360682519</c:v>
                </c:pt>
                <c:pt idx="8">
                  <c:v>4.4343439942353529</c:v>
                </c:pt>
                <c:pt idx="9">
                  <c:v>3.9651070578905632</c:v>
                </c:pt>
                <c:pt idx="10">
                  <c:v>2.7671702916597485</c:v>
                </c:pt>
                <c:pt idx="11">
                  <c:v>1.6641704110500914</c:v>
                </c:pt>
                <c:pt idx="12">
                  <c:v>3.3130534305162342</c:v>
                </c:pt>
                <c:pt idx="13">
                  <c:v>0</c:v>
                </c:pt>
                <c:pt idx="14">
                  <c:v>0.83018554646963594</c:v>
                </c:pt>
                <c:pt idx="15">
                  <c:v>5.0017863522686676</c:v>
                </c:pt>
                <c:pt idx="16">
                  <c:v>0</c:v>
                </c:pt>
                <c:pt idx="17">
                  <c:v>3.5088278919918983</c:v>
                </c:pt>
                <c:pt idx="18">
                  <c:v>3.0792917628945342</c:v>
                </c:pt>
                <c:pt idx="19">
                  <c:v>10.747735298633502</c:v>
                </c:pt>
                <c:pt idx="20">
                  <c:v>3.5328550443180422</c:v>
                </c:pt>
              </c:numCache>
            </c:numRef>
          </c:val>
          <c:extLst>
            <c:ext xmlns:c16="http://schemas.microsoft.com/office/drawing/2014/chart" uri="{C3380CC4-5D6E-409C-BE32-E72D297353CC}">
              <c16:uniqueId val="{00000002-15C4-4EE6-8A80-1917A893894B}"/>
            </c:ext>
          </c:extLst>
        </c:ser>
        <c:dLbls>
          <c:showLegendKey val="0"/>
          <c:showVal val="0"/>
          <c:showCatName val="0"/>
          <c:showSerName val="0"/>
          <c:showPercent val="0"/>
          <c:showBubbleSize val="0"/>
        </c:dLbls>
        <c:gapWidth val="219"/>
        <c:overlap val="-27"/>
        <c:axId val="703984328"/>
        <c:axId val="703990560"/>
      </c:barChart>
      <c:catAx>
        <c:axId val="70398432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DHB</a:t>
                </a:r>
              </a:p>
            </c:rich>
          </c:tx>
          <c:layout>
            <c:manualLayout>
              <c:xMode val="edge"/>
              <c:yMode val="edge"/>
              <c:x val="0.48228627143933461"/>
              <c:y val="0.934819506965726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3990560"/>
        <c:crosses val="autoZero"/>
        <c:auto val="1"/>
        <c:lblAlgn val="ctr"/>
        <c:lblOffset val="100"/>
        <c:noMultiLvlLbl val="0"/>
      </c:catAx>
      <c:valAx>
        <c:axId val="703990560"/>
        <c:scaling>
          <c:orientation val="minMax"/>
        </c:scaling>
        <c:delete val="0"/>
        <c:axPos val="l"/>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NZ"/>
                  <a:t>Rate per 100,000 population</a:t>
                </a:r>
              </a:p>
            </c:rich>
          </c:tx>
          <c:layout>
            <c:manualLayout>
              <c:xMode val="edge"/>
              <c:yMode val="edge"/>
              <c:x val="0"/>
              <c:y val="8.4788376088714302E-4"/>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3984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77352479157742E-2"/>
          <c:y val="0.13197068251844013"/>
          <c:w val="0.92332039702839097"/>
          <c:h val="0.45094444686126939"/>
        </c:manualLayout>
      </c:layout>
      <c:barChart>
        <c:barDir val="col"/>
        <c:grouping val="clustered"/>
        <c:varyColors val="0"/>
        <c:ser>
          <c:idx val="0"/>
          <c:order val="0"/>
          <c:tx>
            <c:strRef>
              <c:f>'Indefinite orders'!$D$75</c:f>
              <c:strCache>
                <c:ptCount val="1"/>
                <c:pt idx="0">
                  <c:v>Rate per 100,000 population</c:v>
                </c:pt>
              </c:strCache>
            </c:strRef>
          </c:tx>
          <c:spPr>
            <a:solidFill>
              <a:schemeClr val="accent1"/>
            </a:solidFill>
            <a:ln>
              <a:noFill/>
            </a:ln>
            <a:effectLst/>
          </c:spPr>
          <c:invertIfNegative val="0"/>
          <c:dPt>
            <c:idx val="20"/>
            <c:invertIfNegative val="0"/>
            <c:bubble3D val="0"/>
            <c:spPr>
              <a:solidFill>
                <a:schemeClr val="accent6"/>
              </a:solidFill>
              <a:ln>
                <a:noFill/>
              </a:ln>
              <a:effectLst/>
            </c:spPr>
            <c:extLst>
              <c:ext xmlns:c16="http://schemas.microsoft.com/office/drawing/2014/chart" uri="{C3380CC4-5D6E-409C-BE32-E72D297353CC}">
                <c16:uniqueId val="{00000001-DF5D-4FE6-B8ED-157F799DE4EC}"/>
              </c:ext>
            </c:extLst>
          </c:dPt>
          <c:cat>
            <c:strRef>
              <c:f>'Indefinite orders'!$A$103:$A$123</c:f>
              <c:strCache>
                <c:ptCount val="21"/>
                <c:pt idx="0">
                  <c:v>Auckland</c:v>
                </c:pt>
                <c:pt idx="1">
                  <c:v>Bay of Plenty</c:v>
                </c:pt>
                <c:pt idx="2">
                  <c:v>Canterbury</c:v>
                </c:pt>
                <c:pt idx="3">
                  <c:v>Capital &amp; Coast </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pt idx="20">
                  <c:v>NZ</c:v>
                </c:pt>
              </c:strCache>
            </c:strRef>
          </c:cat>
          <c:val>
            <c:numRef>
              <c:f>'Indefinite orders'!$D$103:$D$123</c:f>
              <c:numCache>
                <c:formatCode>_-* #,##0.0_-;\-* #,##0.0_-;_-* "-"??_-;_-@_-</c:formatCode>
                <c:ptCount val="21"/>
                <c:pt idx="0">
                  <c:v>1.0236671853247072</c:v>
                </c:pt>
                <c:pt idx="1">
                  <c:v>2.3519266198894595</c:v>
                </c:pt>
                <c:pt idx="2">
                  <c:v>4.2060251310001577</c:v>
                </c:pt>
                <c:pt idx="3">
                  <c:v>17.003054252337922</c:v>
                </c:pt>
                <c:pt idx="4">
                  <c:v>1.9321295580692757</c:v>
                </c:pt>
                <c:pt idx="5">
                  <c:v>0.57286892758936758</c:v>
                </c:pt>
                <c:pt idx="6">
                  <c:v>1.9301293186643504</c:v>
                </c:pt>
                <c:pt idx="7">
                  <c:v>0</c:v>
                </c:pt>
                <c:pt idx="8">
                  <c:v>2.1693150387765061</c:v>
                </c:pt>
                <c:pt idx="9">
                  <c:v>4.4371196754563895</c:v>
                </c:pt>
                <c:pt idx="10">
                  <c:v>1.5760441292356187</c:v>
                </c:pt>
                <c:pt idx="11">
                  <c:v>1.6283992835043153</c:v>
                </c:pt>
                <c:pt idx="12">
                  <c:v>2.9298877852978231</c:v>
                </c:pt>
                <c:pt idx="13">
                  <c:v>0</c:v>
                </c:pt>
                <c:pt idx="14">
                  <c:v>1.6204172574437918</c:v>
                </c:pt>
                <c:pt idx="15">
                  <c:v>6.0539735022236707</c:v>
                </c:pt>
                <c:pt idx="16">
                  <c:v>0</c:v>
                </c:pt>
                <c:pt idx="17">
                  <c:v>3.5541769657021924</c:v>
                </c:pt>
                <c:pt idx="18">
                  <c:v>6.1312078479460457</c:v>
                </c:pt>
                <c:pt idx="19">
                  <c:v>16.214622641509436</c:v>
                </c:pt>
                <c:pt idx="20">
                  <c:v>3.7769079444329994</c:v>
                </c:pt>
              </c:numCache>
            </c:numRef>
          </c:val>
          <c:extLst>
            <c:ext xmlns:c16="http://schemas.microsoft.com/office/drawing/2014/chart" uri="{C3380CC4-5D6E-409C-BE32-E72D297353CC}">
              <c16:uniqueId val="{00000002-DF5D-4FE6-B8ED-157F799DE4EC}"/>
            </c:ext>
          </c:extLst>
        </c:ser>
        <c:dLbls>
          <c:showLegendKey val="0"/>
          <c:showVal val="0"/>
          <c:showCatName val="0"/>
          <c:showSerName val="0"/>
          <c:showPercent val="0"/>
          <c:showBubbleSize val="0"/>
        </c:dLbls>
        <c:gapWidth val="219"/>
        <c:overlap val="-27"/>
        <c:axId val="703984328"/>
        <c:axId val="703990560"/>
      </c:barChart>
      <c:catAx>
        <c:axId val="70398432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DHB</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3990560"/>
        <c:crosses val="autoZero"/>
        <c:auto val="1"/>
        <c:lblAlgn val="ctr"/>
        <c:lblOffset val="100"/>
        <c:noMultiLvlLbl val="0"/>
      </c:catAx>
      <c:valAx>
        <c:axId val="703990560"/>
        <c:scaling>
          <c:orientation val="minMax"/>
        </c:scaling>
        <c:delete val="0"/>
        <c:axPos val="l"/>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NZ"/>
                  <a:t>Rate per 100,000 population</a:t>
                </a:r>
              </a:p>
            </c:rich>
          </c:tx>
          <c:layout>
            <c:manualLayout>
              <c:xMode val="edge"/>
              <c:yMode val="edge"/>
              <c:x val="0"/>
              <c:y val="3.9442583489228416E-5"/>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3984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6A-44A0-ACE8-8964CA7742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6A-44A0-ACE8-8964CA77426F}"/>
              </c:ext>
            </c:extLst>
          </c:dPt>
          <c:dLbls>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Lit>
              <c:ptCount val="2"/>
              <c:pt idx="0">
                <c:v>Female</c:v>
              </c:pt>
              <c:pt idx="1">
                <c:v> Male</c:v>
              </c:pt>
            </c:strLit>
          </c:cat>
          <c:val>
            <c:numRef>
              <c:f>'Indefinite orders'!$E$180:$E$181</c:f>
              <c:numCache>
                <c:formatCode>_-* #,##0_-;\-* #,##0_-;_-* "-"??_-;_-@_-</c:formatCode>
                <c:ptCount val="2"/>
                <c:pt idx="0">
                  <c:v>43</c:v>
                </c:pt>
                <c:pt idx="1">
                  <c:v>131</c:v>
                </c:pt>
              </c:numCache>
            </c:numRef>
          </c:val>
          <c:extLst>
            <c:ext xmlns:c16="http://schemas.microsoft.com/office/drawing/2014/chart" uri="{C3380CC4-5D6E-409C-BE32-E72D297353CC}">
              <c16:uniqueId val="{00000004-046A-44A0-ACE8-8964CA77426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vert="horz"/>
        <a:lstStyle/>
        <a:p>
          <a:pPr rtl="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33-4471-986A-F725DD4027E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33-4471-986A-F725DD4027E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Female</c:v>
              </c:pt>
              <c:pt idx="1">
                <c:v> Male</c:v>
              </c:pt>
            </c:strLit>
          </c:cat>
          <c:val>
            <c:numRef>
              <c:f>'Indefinite orders'!$E$200:$E$201</c:f>
              <c:numCache>
                <c:formatCode>_-* #,##0_-;\-* #,##0_-;_-* "-"??_-;_-@_-</c:formatCode>
                <c:ptCount val="2"/>
                <c:pt idx="0">
                  <c:v>37</c:v>
                </c:pt>
                <c:pt idx="1">
                  <c:v>150</c:v>
                </c:pt>
              </c:numCache>
            </c:numRef>
          </c:val>
          <c:extLst>
            <c:ext xmlns:c16="http://schemas.microsoft.com/office/drawing/2014/chart" uri="{C3380CC4-5D6E-409C-BE32-E72D297353CC}">
              <c16:uniqueId val="{00000004-3633-4471-986A-F725DD4027E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177190653073977E-2"/>
          <c:y val="0.1648066939558416"/>
          <c:w val="0.88244877876859673"/>
          <c:h val="0.5348641216847011"/>
        </c:manualLayout>
      </c:layout>
      <c:lineChart>
        <c:grouping val="standard"/>
        <c:varyColors val="0"/>
        <c:ser>
          <c:idx val="0"/>
          <c:order val="0"/>
          <c:tx>
            <c:v>Māori to non-Māori rate ratio</c:v>
          </c:tx>
          <c:spPr>
            <a:ln>
              <a:noFill/>
            </a:ln>
          </c:spPr>
          <c:errBars>
            <c:errDir val="y"/>
            <c:errBarType val="both"/>
            <c:errValType val="cust"/>
            <c:noEndCap val="0"/>
            <c:plus>
              <c:numRef>
                <c:f>'Error bars'!$O$458:$O$477</c:f>
                <c:numCache>
                  <c:formatCode>General</c:formatCode>
                  <c:ptCount val="20"/>
                  <c:pt idx="0">
                    <c:v>0.94266497266000826</c:v>
                  </c:pt>
                  <c:pt idx="1">
                    <c:v>2.2265382124266289</c:v>
                  </c:pt>
                  <c:pt idx="2">
                    <c:v>1.0217185378651776</c:v>
                  </c:pt>
                  <c:pt idx="3">
                    <c:v>1.0641360792850456</c:v>
                  </c:pt>
                  <c:pt idx="4">
                    <c:v>0.90798182847087094</c:v>
                  </c:pt>
                  <c:pt idx="5">
                    <c:v>1.3733056439659421</c:v>
                  </c:pt>
                  <c:pt idx="6">
                    <c:v>1.4345232340456597</c:v>
                  </c:pt>
                  <c:pt idx="7">
                    <c:v>2.7140396981031971</c:v>
                  </c:pt>
                  <c:pt idx="8">
                    <c:v>1.3907631760537322</c:v>
                  </c:pt>
                  <c:pt idx="9">
                    <c:v>1.3345447704403814</c:v>
                  </c:pt>
                  <c:pt idx="10">
                    <c:v>1.047698484971765</c:v>
                  </c:pt>
                  <c:pt idx="11">
                    <c:v>3.5322122774920124</c:v>
                  </c:pt>
                  <c:pt idx="12">
                    <c:v>1.3656359142413876</c:v>
                  </c:pt>
                  <c:pt idx="13">
                    <c:v>2.3723363445255021</c:v>
                  </c:pt>
                  <c:pt idx="14">
                    <c:v>1.4716654246364471</c:v>
                  </c:pt>
                  <c:pt idx="15">
                    <c:v>0.97766594296922538</c:v>
                  </c:pt>
                  <c:pt idx="16">
                    <c:v>3.7770037301850872</c:v>
                  </c:pt>
                  <c:pt idx="17">
                    <c:v>0.94538385004423198</c:v>
                  </c:pt>
                  <c:pt idx="18">
                    <c:v>4.125845696794511</c:v>
                  </c:pt>
                  <c:pt idx="19">
                    <c:v>1.9466076618429349</c:v>
                  </c:pt>
                </c:numCache>
              </c:numRef>
            </c:plus>
            <c:minus>
              <c:numRef>
                <c:f>'Error bars'!$N$458:$N$477</c:f>
                <c:numCache>
                  <c:formatCode>General</c:formatCode>
                  <c:ptCount val="20"/>
                  <c:pt idx="0">
                    <c:v>0.7679302589973318</c:v>
                  </c:pt>
                  <c:pt idx="1">
                    <c:v>1.5384724613611822</c:v>
                  </c:pt>
                  <c:pt idx="2">
                    <c:v>0.78625835605676286</c:v>
                  </c:pt>
                  <c:pt idx="3">
                    <c:v>0.84311485228867689</c:v>
                  </c:pt>
                  <c:pt idx="4">
                    <c:v>0.75194776640315153</c:v>
                  </c:pt>
                  <c:pt idx="5">
                    <c:v>1.0280216288736037</c:v>
                  </c:pt>
                  <c:pt idx="6">
                    <c:v>0.95722429078479432</c:v>
                  </c:pt>
                  <c:pt idx="7">
                    <c:v>1.7777025117199634</c:v>
                  </c:pt>
                  <c:pt idx="8">
                    <c:v>1.0117418095046342</c:v>
                  </c:pt>
                  <c:pt idx="9">
                    <c:v>0.80871524649760285</c:v>
                  </c:pt>
                  <c:pt idx="10">
                    <c:v>0.8188526418246278</c:v>
                  </c:pt>
                  <c:pt idx="11">
                    <c:v>1.3878902456703091</c:v>
                  </c:pt>
                  <c:pt idx="12">
                    <c:v>0.99683541976447909</c:v>
                  </c:pt>
                  <c:pt idx="13">
                    <c:v>1.3220155860886071</c:v>
                  </c:pt>
                  <c:pt idx="14">
                    <c:v>0.92950526148941726</c:v>
                  </c:pt>
                  <c:pt idx="15">
                    <c:v>0.81646357387943702</c:v>
                  </c:pt>
                  <c:pt idx="16">
                    <c:v>1.9387815021615737</c:v>
                  </c:pt>
                  <c:pt idx="17">
                    <c:v>0.76299078794667441</c:v>
                  </c:pt>
                  <c:pt idx="18">
                    <c:v>1.6226947519123534</c:v>
                  </c:pt>
                  <c:pt idx="19">
                    <c:v>1.1741593607310756</c:v>
                  </c:pt>
                </c:numCache>
              </c:numRef>
            </c:minus>
          </c:errBars>
          <c:cat>
            <c:strRef>
              <c:f>'Error bars'!$B$458:$B$477</c:f>
              <c:strCache>
                <c:ptCount val="20"/>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bars'!$K$458:$K$477</c:f>
              <c:numCache>
                <c:formatCode>_-* #,##0.0_-;\-* #,##0.0_-;_-* "-"??_-;_-@_-</c:formatCode>
                <c:ptCount val="20"/>
                <c:pt idx="0">
                  <c:v>4.1428571428571432</c:v>
                </c:pt>
                <c:pt idx="1">
                  <c:v>4.9784017278617716</c:v>
                </c:pt>
                <c:pt idx="2">
                  <c:v>3.4117647058823528</c:v>
                </c:pt>
                <c:pt idx="3">
                  <c:v>4.0592885375494072</c:v>
                </c:pt>
                <c:pt idx="4">
                  <c:v>4.3756786102062977</c:v>
                </c:pt>
                <c:pt idx="5">
                  <c:v>4.0887728459530024</c:v>
                </c:pt>
                <c:pt idx="6">
                  <c:v>2.876940133037694</c:v>
                </c:pt>
                <c:pt idx="7">
                  <c:v>5.1527967257844471</c:v>
                </c:pt>
                <c:pt idx="8">
                  <c:v>3.712437810945274</c:v>
                </c:pt>
                <c:pt idx="9">
                  <c:v>2.0525030525030523</c:v>
                </c:pt>
                <c:pt idx="10">
                  <c:v>3.7488584474885847</c:v>
                </c:pt>
                <c:pt idx="11">
                  <c:v>2.2861878453038673</c:v>
                </c:pt>
                <c:pt idx="12">
                  <c:v>3.6911942098914352</c:v>
                </c:pt>
                <c:pt idx="13">
                  <c:v>2.9860074626865671</c:v>
                </c:pt>
                <c:pt idx="14">
                  <c:v>2.5230934479054783</c:v>
                </c:pt>
                <c:pt idx="15">
                  <c:v>4.9517177344475387</c:v>
                </c:pt>
                <c:pt idx="16">
                  <c:v>3.9836233367451381</c:v>
                </c:pt>
                <c:pt idx="17">
                  <c:v>3.9547511312217196</c:v>
                </c:pt>
                <c:pt idx="18">
                  <c:v>2.6746242263483646</c:v>
                </c:pt>
                <c:pt idx="19">
                  <c:v>2.9589392643284858</c:v>
                </c:pt>
              </c:numCache>
            </c:numRef>
          </c:val>
          <c:smooth val="0"/>
          <c:extLst>
            <c:ext xmlns:c16="http://schemas.microsoft.com/office/drawing/2014/chart" uri="{C3380CC4-5D6E-409C-BE32-E72D297353CC}">
              <c16:uniqueId val="{00000000-0672-4896-8609-F2411A4B3A72}"/>
            </c:ext>
          </c:extLst>
        </c:ser>
        <c:ser>
          <c:idx val="1"/>
          <c:order val="1"/>
          <c:tx>
            <c:v>New Zealand average</c:v>
          </c:tx>
          <c:marker>
            <c:symbol val="none"/>
          </c:marker>
          <c:cat>
            <c:strRef>
              <c:f>'Error bars'!$B$458:$B$477</c:f>
              <c:strCache>
                <c:ptCount val="20"/>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bars'!$P$458:$P$477</c:f>
              <c:numCache>
                <c:formatCode>0.0</c:formatCode>
                <c:ptCount val="20"/>
                <c:pt idx="0">
                  <c:v>3.9907300115874853</c:v>
                </c:pt>
                <c:pt idx="1">
                  <c:v>3.9907300115874853</c:v>
                </c:pt>
                <c:pt idx="2">
                  <c:v>3.9907300115874853</c:v>
                </c:pt>
                <c:pt idx="3">
                  <c:v>3.9907300115874853</c:v>
                </c:pt>
                <c:pt idx="4">
                  <c:v>3.9907300115874853</c:v>
                </c:pt>
                <c:pt idx="5">
                  <c:v>3.9907300115874853</c:v>
                </c:pt>
                <c:pt idx="6">
                  <c:v>3.9907300115874853</c:v>
                </c:pt>
                <c:pt idx="7">
                  <c:v>3.9907300115874853</c:v>
                </c:pt>
                <c:pt idx="8">
                  <c:v>3.9907300115874853</c:v>
                </c:pt>
                <c:pt idx="9">
                  <c:v>3.9907300115874853</c:v>
                </c:pt>
                <c:pt idx="10">
                  <c:v>3.9907300115874853</c:v>
                </c:pt>
                <c:pt idx="11">
                  <c:v>3.9907300115874853</c:v>
                </c:pt>
                <c:pt idx="12">
                  <c:v>3.9907300115874853</c:v>
                </c:pt>
                <c:pt idx="13">
                  <c:v>3.9907300115874853</c:v>
                </c:pt>
                <c:pt idx="14">
                  <c:v>3.9907300115874853</c:v>
                </c:pt>
                <c:pt idx="15">
                  <c:v>3.9907300115874853</c:v>
                </c:pt>
                <c:pt idx="16">
                  <c:v>3.9907300115874853</c:v>
                </c:pt>
                <c:pt idx="17">
                  <c:v>3.9907300115874853</c:v>
                </c:pt>
                <c:pt idx="18">
                  <c:v>3.9907300115874853</c:v>
                </c:pt>
                <c:pt idx="19">
                  <c:v>3.9907300115874853</c:v>
                </c:pt>
              </c:numCache>
            </c:numRef>
          </c:val>
          <c:smooth val="0"/>
          <c:extLst>
            <c:ext xmlns:c16="http://schemas.microsoft.com/office/drawing/2014/chart" uri="{C3380CC4-5D6E-409C-BE32-E72D297353CC}">
              <c16:uniqueId val="{00000001-0672-4896-8609-F2411A4B3A72}"/>
            </c:ext>
          </c:extLst>
        </c:ser>
        <c:ser>
          <c:idx val="2"/>
          <c:order val="2"/>
          <c:tx>
            <c:strRef>
              <c:f>'Error bars'!$Q$392:$Q$393</c:f>
              <c:strCache>
                <c:ptCount val="2"/>
                <c:pt idx="0">
                  <c:v>No difference (1:1)</c:v>
                </c:pt>
              </c:strCache>
            </c:strRef>
          </c:tx>
          <c:spPr>
            <a:ln w="28575">
              <a:solidFill>
                <a:srgbClr val="92D050"/>
              </a:solidFill>
            </a:ln>
          </c:spPr>
          <c:marker>
            <c:symbol val="none"/>
          </c:marker>
          <c:cat>
            <c:strRef>
              <c:f>'Error bars'!$B$458:$B$477</c:f>
              <c:strCache>
                <c:ptCount val="20"/>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bars'!$Q$458:$Q$477</c:f>
              <c:numCache>
                <c:formatCode>0.0</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smooth val="0"/>
          <c:extLst>
            <c:ext xmlns:c16="http://schemas.microsoft.com/office/drawing/2014/chart" uri="{C3380CC4-5D6E-409C-BE32-E72D297353CC}">
              <c16:uniqueId val="{00000002-0672-4896-8609-F2411A4B3A72}"/>
            </c:ext>
          </c:extLst>
        </c:ser>
        <c:dLbls>
          <c:showLegendKey val="0"/>
          <c:showVal val="0"/>
          <c:showCatName val="0"/>
          <c:showSerName val="0"/>
          <c:showPercent val="0"/>
          <c:showBubbleSize val="0"/>
        </c:dLbls>
        <c:marker val="1"/>
        <c:smooth val="0"/>
        <c:axId val="580206864"/>
        <c:axId val="583348272"/>
      </c:lineChart>
      <c:catAx>
        <c:axId val="580206864"/>
        <c:scaling>
          <c:orientation val="minMax"/>
        </c:scaling>
        <c:delete val="0"/>
        <c:axPos val="b"/>
        <c:title>
          <c:tx>
            <c:rich>
              <a:bodyPr/>
              <a:lstStyle/>
              <a:p>
                <a:pPr>
                  <a:defRPr/>
                </a:pPr>
                <a:r>
                  <a:rPr lang="en-NZ"/>
                  <a:t>DHB</a:t>
                </a:r>
              </a:p>
            </c:rich>
          </c:tx>
          <c:overlay val="0"/>
        </c:title>
        <c:numFmt formatCode="General" sourceLinked="0"/>
        <c:majorTickMark val="out"/>
        <c:minorTickMark val="none"/>
        <c:tickLblPos val="nextTo"/>
        <c:spPr>
          <a:ln/>
        </c:spPr>
        <c:txPr>
          <a:bodyPr rot="-5400000" vert="horz"/>
          <a:lstStyle/>
          <a:p>
            <a:pPr>
              <a:defRPr/>
            </a:pPr>
            <a:endParaRPr lang="en-US"/>
          </a:p>
        </c:txPr>
        <c:crossAx val="583348272"/>
        <c:crosses val="autoZero"/>
        <c:auto val="1"/>
        <c:lblAlgn val="ctr"/>
        <c:lblOffset val="0"/>
        <c:noMultiLvlLbl val="0"/>
      </c:catAx>
      <c:valAx>
        <c:axId val="583348272"/>
        <c:scaling>
          <c:orientation val="minMax"/>
          <c:max val="8"/>
        </c:scaling>
        <c:delete val="0"/>
        <c:axPos val="l"/>
        <c:title>
          <c:tx>
            <c:rich>
              <a:bodyPr rot="0" vert="horz"/>
              <a:lstStyle/>
              <a:p>
                <a:pPr>
                  <a:defRPr/>
                </a:pPr>
                <a:r>
                  <a:rPr lang="en-NZ"/>
                  <a:t>Rate ratio per 100,000 population</a:t>
                </a:r>
              </a:p>
            </c:rich>
          </c:tx>
          <c:layout>
            <c:manualLayout>
              <c:xMode val="edge"/>
              <c:yMode val="edge"/>
              <c:x val="0"/>
              <c:y val="2.2942366096559204E-2"/>
            </c:manualLayout>
          </c:layout>
          <c:overlay val="0"/>
        </c:title>
        <c:numFmt formatCode="#,##0" sourceLinked="0"/>
        <c:majorTickMark val="out"/>
        <c:minorTickMark val="none"/>
        <c:tickLblPos val="nextTo"/>
        <c:spPr>
          <a:ln/>
        </c:spPr>
        <c:crossAx val="580206864"/>
        <c:crosses val="autoZero"/>
        <c:crossBetween val="between"/>
      </c:valAx>
    </c:plotArea>
    <c:legend>
      <c:legendPos val="tr"/>
      <c:layout>
        <c:manualLayout>
          <c:xMode val="edge"/>
          <c:yMode val="edge"/>
          <c:x val="0.5598114680669326"/>
          <c:y val="0"/>
          <c:w val="0.4401885319330674"/>
          <c:h val="0.15960205989255757"/>
        </c:manualLayout>
      </c:layout>
      <c:overlay val="0"/>
    </c:legend>
    <c:plotVisOnly val="1"/>
    <c:dispBlanksAs val="gap"/>
    <c:showDLblsOverMax val="0"/>
  </c:chart>
  <c:spPr>
    <a:ln>
      <a:noFill/>
    </a:ln>
  </c:spPr>
  <c:txPr>
    <a:bodyPr/>
    <a:lstStyle/>
    <a:p>
      <a:pPr>
        <a:defRPr sz="900" b="0"/>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116319845463062E-2"/>
          <c:y val="0.13034294554240322"/>
          <c:w val="0.92865258719748778"/>
          <c:h val="0.53961562751675907"/>
        </c:manualLayout>
      </c:layout>
      <c:lineChart>
        <c:grouping val="standard"/>
        <c:varyColors val="0"/>
        <c:ser>
          <c:idx val="0"/>
          <c:order val="0"/>
          <c:tx>
            <c:v>Māori to non-Māori rate ratio</c:v>
          </c:tx>
          <c:spPr>
            <a:ln>
              <a:noFill/>
            </a:ln>
          </c:spPr>
          <c:errBars>
            <c:errDir val="y"/>
            <c:errBarType val="both"/>
            <c:errValType val="cust"/>
            <c:noEndCap val="0"/>
            <c:plus>
              <c:numRef>
                <c:f>'Error bars'!$O$458:$O$477</c:f>
                <c:numCache>
                  <c:formatCode>General</c:formatCode>
                  <c:ptCount val="20"/>
                  <c:pt idx="0">
                    <c:v>0.95310293113956046</c:v>
                  </c:pt>
                  <c:pt idx="1">
                    <c:v>1.5037066764253546</c:v>
                  </c:pt>
                  <c:pt idx="2">
                    <c:v>1.0554126233826429</c:v>
                  </c:pt>
                  <c:pt idx="3">
                    <c:v>0.97704954503007535</c:v>
                  </c:pt>
                  <c:pt idx="4">
                    <c:v>0.93954281740177592</c:v>
                  </c:pt>
                  <c:pt idx="5">
                    <c:v>1.4388861632051118</c:v>
                  </c:pt>
                  <c:pt idx="6">
                    <c:v>1.4487253675347178</c:v>
                  </c:pt>
                  <c:pt idx="7">
                    <c:v>1.4699607973861308</c:v>
                  </c:pt>
                  <c:pt idx="8">
                    <c:v>1.3248311656753278</c:v>
                  </c:pt>
                  <c:pt idx="9">
                    <c:v>1.5721436983513648</c:v>
                  </c:pt>
                  <c:pt idx="10">
                    <c:v>0.82810902460374303</c:v>
                  </c:pt>
                  <c:pt idx="11">
                    <c:v>3.830826270540983</c:v>
                  </c:pt>
                  <c:pt idx="12">
                    <c:v>1.2746706873108025</c:v>
                  </c:pt>
                  <c:pt idx="13">
                    <c:v>2.5987018732364153</c:v>
                  </c:pt>
                  <c:pt idx="14">
                    <c:v>1.7547290651222025</c:v>
                  </c:pt>
                  <c:pt idx="15">
                    <c:v>0.90770979919396577</c:v>
                  </c:pt>
                  <c:pt idx="16">
                    <c:v>3.9610236954320568</c:v>
                  </c:pt>
                  <c:pt idx="17">
                    <c:v>0.93790576237522316</c:v>
                  </c:pt>
                  <c:pt idx="18">
                    <c:v>4.2362882052236372</c:v>
                  </c:pt>
                  <c:pt idx="19">
                    <c:v>1.7126144496299012</c:v>
                  </c:pt>
                </c:numCache>
              </c:numRef>
            </c:plus>
            <c:minus>
              <c:numRef>
                <c:f>'Error bars'!$N$458:$N$477</c:f>
                <c:numCache>
                  <c:formatCode>General</c:formatCode>
                  <c:ptCount val="20"/>
                  <c:pt idx="0">
                    <c:v>0.77814136015082358</c:v>
                  </c:pt>
                  <c:pt idx="1">
                    <c:v>1.0755820102764808</c:v>
                  </c:pt>
                  <c:pt idx="2">
                    <c:v>0.81889557228448195</c:v>
                  </c:pt>
                  <c:pt idx="3">
                    <c:v>0.77917942495762293</c:v>
                  </c:pt>
                  <c:pt idx="4">
                    <c:v>0.77256205898679697</c:v>
                  </c:pt>
                  <c:pt idx="5">
                    <c:v>1.0831904716313234</c:v>
                  </c:pt>
                  <c:pt idx="6">
                    <c:v>1.0236202737840512</c:v>
                  </c:pt>
                  <c:pt idx="7">
                    <c:v>0.97054573833733304</c:v>
                  </c:pt>
                  <c:pt idx="8">
                    <c:v>0.96570773197205151</c:v>
                  </c:pt>
                  <c:pt idx="9">
                    <c:v>0.98841020080746023</c:v>
                  </c:pt>
                  <c:pt idx="10">
                    <c:v>0.65490199027372498</c:v>
                  </c:pt>
                  <c:pt idx="11">
                    <c:v>1.4303592858624459</c:v>
                  </c:pt>
                  <c:pt idx="12">
                    <c:v>0.92914278689742069</c:v>
                  </c:pt>
                  <c:pt idx="13">
                    <c:v>1.3561595108428233</c:v>
                  </c:pt>
                  <c:pt idx="14">
                    <c:v>1.155250143758924</c:v>
                  </c:pt>
                  <c:pt idx="15">
                    <c:v>0.7584793811655568</c:v>
                  </c:pt>
                  <c:pt idx="16">
                    <c:v>1.8289713586929464</c:v>
                  </c:pt>
                  <c:pt idx="17">
                    <c:v>0.76262142395133115</c:v>
                  </c:pt>
                  <c:pt idx="18">
                    <c:v>1.6080865714004573</c:v>
                  </c:pt>
                  <c:pt idx="19">
                    <c:v>1.0627877502508987</c:v>
                  </c:pt>
                </c:numCache>
              </c:numRef>
            </c:minus>
          </c:errBars>
          <c:cat>
            <c:strRef>
              <c:f>'Error bars'!$B$458:$B$477</c:f>
              <c:strCache>
                <c:ptCount val="20"/>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bars'!$K$458:$K$477</c:f>
              <c:numCache>
                <c:formatCode>_-* #,##0.0_-;\-* #,##0.0_-;_-* "-"??_-;_-@_-</c:formatCode>
                <c:ptCount val="20"/>
                <c:pt idx="0">
                  <c:v>4.2389240506329111</c:v>
                </c:pt>
                <c:pt idx="1">
                  <c:v>3.7777777777777781</c:v>
                </c:pt>
                <c:pt idx="2">
                  <c:v>3.6541666666666668</c:v>
                </c:pt>
                <c:pt idx="3">
                  <c:v>3.8474576271186445</c:v>
                </c:pt>
                <c:pt idx="4">
                  <c:v>4.3469387755102042</c:v>
                </c:pt>
                <c:pt idx="5">
                  <c:v>4.3818011257035652</c:v>
                </c:pt>
                <c:pt idx="6">
                  <c:v>3.4884189325276935</c:v>
                </c:pt>
                <c:pt idx="7">
                  <c:v>2.8566703417861081</c:v>
                </c:pt>
                <c:pt idx="8">
                  <c:v>3.5625625625625621</c:v>
                </c:pt>
                <c:pt idx="9">
                  <c:v>2.6620416253716552</c:v>
                </c:pt>
                <c:pt idx="10">
                  <c:v>3.1311098332374927</c:v>
                </c:pt>
                <c:pt idx="11">
                  <c:v>2.2826633165829144</c:v>
                </c:pt>
                <c:pt idx="12">
                  <c:v>3.4276568501920615</c:v>
                </c:pt>
                <c:pt idx="13">
                  <c:v>2.8363252375923973</c:v>
                </c:pt>
                <c:pt idx="14">
                  <c:v>3.3815217391304349</c:v>
                </c:pt>
                <c:pt idx="15">
                  <c:v>4.6135310472659867</c:v>
                </c:pt>
                <c:pt idx="16">
                  <c:v>3.3979460847240048</c:v>
                </c:pt>
                <c:pt idx="17">
                  <c:v>4.0806100217864927</c:v>
                </c:pt>
                <c:pt idx="18">
                  <c:v>2.5920074349442377</c:v>
                </c:pt>
                <c:pt idx="19">
                  <c:v>2.8009708737864076</c:v>
                </c:pt>
              </c:numCache>
            </c:numRef>
          </c:val>
          <c:smooth val="0"/>
          <c:extLst>
            <c:ext xmlns:c16="http://schemas.microsoft.com/office/drawing/2014/chart" uri="{C3380CC4-5D6E-409C-BE32-E72D297353CC}">
              <c16:uniqueId val="{00000000-DB78-450D-A1A7-EDAD32FDAB94}"/>
            </c:ext>
          </c:extLst>
        </c:ser>
        <c:ser>
          <c:idx val="1"/>
          <c:order val="1"/>
          <c:tx>
            <c:v>New Zealand average</c:v>
          </c:tx>
          <c:marker>
            <c:symbol val="none"/>
          </c:marker>
          <c:cat>
            <c:strRef>
              <c:f>'Error bars'!$B$458:$B$477</c:f>
              <c:strCache>
                <c:ptCount val="20"/>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bars'!$P$458:$P$477</c:f>
              <c:numCache>
                <c:formatCode>0.0</c:formatCode>
                <c:ptCount val="20"/>
                <c:pt idx="0">
                  <c:v>3.7594070695553019</c:v>
                </c:pt>
                <c:pt idx="1">
                  <c:v>3.7594070695553019</c:v>
                </c:pt>
                <c:pt idx="2">
                  <c:v>3.7594070695553019</c:v>
                </c:pt>
                <c:pt idx="3">
                  <c:v>3.7594070695553019</c:v>
                </c:pt>
                <c:pt idx="4">
                  <c:v>3.7594070695553019</c:v>
                </c:pt>
                <c:pt idx="5">
                  <c:v>3.7594070695553019</c:v>
                </c:pt>
                <c:pt idx="6">
                  <c:v>3.7594070695553019</c:v>
                </c:pt>
                <c:pt idx="7">
                  <c:v>3.7594070695553019</c:v>
                </c:pt>
                <c:pt idx="8">
                  <c:v>3.7594070695553019</c:v>
                </c:pt>
                <c:pt idx="9">
                  <c:v>3.7594070695553019</c:v>
                </c:pt>
                <c:pt idx="10">
                  <c:v>3.7594070695553019</c:v>
                </c:pt>
                <c:pt idx="11">
                  <c:v>3.7594070695553019</c:v>
                </c:pt>
                <c:pt idx="12">
                  <c:v>3.7594070695553019</c:v>
                </c:pt>
                <c:pt idx="13">
                  <c:v>3.7594070695553019</c:v>
                </c:pt>
                <c:pt idx="14">
                  <c:v>3.7594070695553019</c:v>
                </c:pt>
                <c:pt idx="15">
                  <c:v>3.7594070695553019</c:v>
                </c:pt>
                <c:pt idx="16">
                  <c:v>3.7594070695553019</c:v>
                </c:pt>
                <c:pt idx="17">
                  <c:v>3.7594070695553019</c:v>
                </c:pt>
                <c:pt idx="18">
                  <c:v>3.7594070695553019</c:v>
                </c:pt>
                <c:pt idx="19">
                  <c:v>3.7594070695553019</c:v>
                </c:pt>
              </c:numCache>
            </c:numRef>
          </c:val>
          <c:smooth val="0"/>
          <c:extLst>
            <c:ext xmlns:c16="http://schemas.microsoft.com/office/drawing/2014/chart" uri="{C3380CC4-5D6E-409C-BE32-E72D297353CC}">
              <c16:uniqueId val="{00000001-DB78-450D-A1A7-EDAD32FDAB94}"/>
            </c:ext>
          </c:extLst>
        </c:ser>
        <c:ser>
          <c:idx val="2"/>
          <c:order val="2"/>
          <c:tx>
            <c:strRef>
              <c:f>'Error bars'!$Q$392:$Q$393</c:f>
              <c:strCache>
                <c:ptCount val="2"/>
                <c:pt idx="0">
                  <c:v>No difference (1:1)</c:v>
                </c:pt>
              </c:strCache>
            </c:strRef>
          </c:tx>
          <c:spPr>
            <a:ln w="28575">
              <a:solidFill>
                <a:srgbClr val="92D050"/>
              </a:solidFill>
            </a:ln>
          </c:spPr>
          <c:marker>
            <c:symbol val="none"/>
          </c:marker>
          <c:cat>
            <c:strRef>
              <c:f>'Error bars'!$B$458:$B$477</c:f>
              <c:strCache>
                <c:ptCount val="20"/>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bars'!$Q$458:$Q$477</c:f>
              <c:numCache>
                <c:formatCode>0.0</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smooth val="0"/>
          <c:extLst>
            <c:ext xmlns:c16="http://schemas.microsoft.com/office/drawing/2014/chart" uri="{C3380CC4-5D6E-409C-BE32-E72D297353CC}">
              <c16:uniqueId val="{00000002-DB78-450D-A1A7-EDAD32FDAB94}"/>
            </c:ext>
          </c:extLst>
        </c:ser>
        <c:dLbls>
          <c:showLegendKey val="0"/>
          <c:showVal val="0"/>
          <c:showCatName val="0"/>
          <c:showSerName val="0"/>
          <c:showPercent val="0"/>
          <c:showBubbleSize val="0"/>
        </c:dLbls>
        <c:marker val="1"/>
        <c:smooth val="0"/>
        <c:axId val="555322568"/>
        <c:axId val="555311984"/>
      </c:lineChart>
      <c:catAx>
        <c:axId val="555322568"/>
        <c:scaling>
          <c:orientation val="minMax"/>
        </c:scaling>
        <c:delete val="0"/>
        <c:axPos val="b"/>
        <c:title>
          <c:tx>
            <c:rich>
              <a:bodyPr/>
              <a:lstStyle/>
              <a:p>
                <a:pPr>
                  <a:defRPr b="0"/>
                </a:pPr>
                <a:r>
                  <a:rPr lang="en-NZ" b="0"/>
                  <a:t>DHB</a:t>
                </a:r>
              </a:p>
            </c:rich>
          </c:tx>
          <c:overlay val="0"/>
        </c:title>
        <c:numFmt formatCode="General" sourceLinked="0"/>
        <c:majorTickMark val="out"/>
        <c:minorTickMark val="none"/>
        <c:tickLblPos val="nextTo"/>
        <c:spPr>
          <a:ln/>
        </c:spPr>
        <c:txPr>
          <a:bodyPr rot="-5400000" vert="horz"/>
          <a:lstStyle/>
          <a:p>
            <a:pPr>
              <a:defRPr/>
            </a:pPr>
            <a:endParaRPr lang="en-US"/>
          </a:p>
        </c:txPr>
        <c:crossAx val="555311984"/>
        <c:crosses val="autoZero"/>
        <c:auto val="1"/>
        <c:lblAlgn val="ctr"/>
        <c:lblOffset val="100"/>
        <c:noMultiLvlLbl val="0"/>
      </c:catAx>
      <c:valAx>
        <c:axId val="555311984"/>
        <c:scaling>
          <c:orientation val="minMax"/>
          <c:max val="8"/>
        </c:scaling>
        <c:delete val="0"/>
        <c:axPos val="l"/>
        <c:title>
          <c:tx>
            <c:rich>
              <a:bodyPr rot="0" vert="horz"/>
              <a:lstStyle/>
              <a:p>
                <a:pPr>
                  <a:defRPr sz="900" b="0"/>
                </a:pPr>
                <a:r>
                  <a:rPr lang="en-NZ" sz="900" b="0"/>
                  <a:t>Rate ratio per 100,000 population</a:t>
                </a:r>
              </a:p>
            </c:rich>
          </c:tx>
          <c:layout>
            <c:manualLayout>
              <c:xMode val="edge"/>
              <c:yMode val="edge"/>
              <c:x val="0"/>
              <c:y val="3.0112975008558637E-3"/>
            </c:manualLayout>
          </c:layout>
          <c:overlay val="0"/>
        </c:title>
        <c:numFmt formatCode="#,##0" sourceLinked="0"/>
        <c:majorTickMark val="out"/>
        <c:minorTickMark val="none"/>
        <c:tickLblPos val="nextTo"/>
        <c:spPr>
          <a:ln/>
        </c:spPr>
        <c:crossAx val="555322568"/>
        <c:crosses val="autoZero"/>
        <c:crossBetween val="between"/>
      </c:valAx>
    </c:plotArea>
    <c:legend>
      <c:legendPos val="tr"/>
      <c:layout>
        <c:manualLayout>
          <c:xMode val="edge"/>
          <c:yMode val="edge"/>
          <c:x val="0.63203249798008443"/>
          <c:y val="2.1370507494510244E-3"/>
          <c:w val="0.36549194811472924"/>
          <c:h val="0.13573621178147433"/>
        </c:manualLayout>
      </c:layout>
      <c:overlay val="1"/>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04615778388669E-2"/>
          <c:y val="0.17805730715195867"/>
          <c:w val="0.94620645167804573"/>
          <c:h val="0.50344091220962528"/>
        </c:manualLayout>
      </c:layout>
      <c:lineChart>
        <c:grouping val="standard"/>
        <c:varyColors val="0"/>
        <c:ser>
          <c:idx val="0"/>
          <c:order val="0"/>
          <c:tx>
            <c:v>Māori to non-Māori rate ratio</c:v>
          </c:tx>
          <c:spPr>
            <a:ln>
              <a:noFill/>
            </a:ln>
          </c:spPr>
          <c:errBars>
            <c:errDir val="y"/>
            <c:errBarType val="both"/>
            <c:errValType val="cust"/>
            <c:noEndCap val="0"/>
            <c:plus>
              <c:numRef>
                <c:f>'Error bars'!$O$491:$O$510</c:f>
                <c:numCache>
                  <c:formatCode>General</c:formatCode>
                  <c:ptCount val="20"/>
                  <c:pt idx="0">
                    <c:v>1.6405872529705401</c:v>
                  </c:pt>
                  <c:pt idx="1">
                    <c:v>2.4324075917029395</c:v>
                  </c:pt>
                  <c:pt idx="2">
                    <c:v>1.6658601228809036</c:v>
                  </c:pt>
                  <c:pt idx="3">
                    <c:v>1.8338407238282963</c:v>
                  </c:pt>
                  <c:pt idx="4">
                    <c:v>1.6819310069236795</c:v>
                  </c:pt>
                  <c:pt idx="5">
                    <c:v>2.052222196819339</c:v>
                  </c:pt>
                  <c:pt idx="6">
                    <c:v>2.2488027275925329</c:v>
                  </c:pt>
                  <c:pt idx="7">
                    <c:v>5.9852688434912888</c:v>
                  </c:pt>
                  <c:pt idx="8">
                    <c:v>2.5870255349219629</c:v>
                  </c:pt>
                  <c:pt idx="9">
                    <c:v>3.1206689497547861</c:v>
                  </c:pt>
                  <c:pt idx="10">
                    <c:v>2.1684309539048812</c:v>
                  </c:pt>
                  <c:pt idx="11">
                    <c:v>10.651199192933833</c:v>
                  </c:pt>
                  <c:pt idx="12">
                    <c:v>2.4884137502170742</c:v>
                  </c:pt>
                  <c:pt idx="13">
                    <c:v>7.9733433939042904</c:v>
                  </c:pt>
                  <c:pt idx="14">
                    <c:v>2.9009747536154551</c:v>
                  </c:pt>
                  <c:pt idx="15">
                    <c:v>1.7107266734928936</c:v>
                  </c:pt>
                  <c:pt idx="16">
                    <c:v>0</c:v>
                  </c:pt>
                  <c:pt idx="17">
                    <c:v>1.9311969751883931</c:v>
                  </c:pt>
                  <c:pt idx="18">
                    <c:v>14.636909984399541</c:v>
                  </c:pt>
                  <c:pt idx="19">
                    <c:v>3.0585069445808979</c:v>
                  </c:pt>
                </c:numCache>
              </c:numRef>
            </c:plus>
            <c:minus>
              <c:numRef>
                <c:f>'Error bars'!$N$491:$N$510</c:f>
                <c:numCache>
                  <c:formatCode>General</c:formatCode>
                  <c:ptCount val="20"/>
                  <c:pt idx="0">
                    <c:v>1.0854840068035827</c:v>
                  </c:pt>
                  <c:pt idx="1">
                    <c:v>1.5580378071993666</c:v>
                  </c:pt>
                  <c:pt idx="2">
                    <c:v>1.1579436950115687</c:v>
                  </c:pt>
                  <c:pt idx="3">
                    <c:v>1.2858514100157779</c:v>
                  </c:pt>
                  <c:pt idx="4">
                    <c:v>1.1688323256763087</c:v>
                  </c:pt>
                  <c:pt idx="5">
                    <c:v>1.087129706323797</c:v>
                  </c:pt>
                  <c:pt idx="6">
                    <c:v>1.184165477124633</c:v>
                  </c:pt>
                  <c:pt idx="7">
                    <c:v>2.2247312090988345</c:v>
                  </c:pt>
                  <c:pt idx="8">
                    <c:v>1.4205116569697538</c:v>
                  </c:pt>
                  <c:pt idx="9">
                    <c:v>1.2637146185432115</c:v>
                  </c:pt>
                  <c:pt idx="10">
                    <c:v>1.377324109255329</c:v>
                  </c:pt>
                  <c:pt idx="11">
                    <c:v>1.4483770982526769</c:v>
                  </c:pt>
                  <c:pt idx="12">
                    <c:v>1.4444989004413791</c:v>
                  </c:pt>
                  <c:pt idx="13">
                    <c:v>1.2900971614263015</c:v>
                  </c:pt>
                  <c:pt idx="14">
                    <c:v>1.2023371691593345</c:v>
                  </c:pt>
                  <c:pt idx="15">
                    <c:v>1.2679166336260259</c:v>
                  </c:pt>
                  <c:pt idx="16">
                    <c:v>0</c:v>
                  </c:pt>
                  <c:pt idx="17">
                    <c:v>1.3950235472608452</c:v>
                  </c:pt>
                  <c:pt idx="18">
                    <c:v>3.0227879115471765</c:v>
                  </c:pt>
                  <c:pt idx="19">
                    <c:v>1.4299897761801901</c:v>
                  </c:pt>
                </c:numCache>
              </c:numRef>
            </c:minus>
          </c:errBars>
          <c:cat>
            <c:strRef>
              <c:f>'Error bars'!$B$491:$B$510</c:f>
              <c:strCache>
                <c:ptCount val="20"/>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bars'!$K$491:$K$510</c:f>
              <c:numCache>
                <c:formatCode>0.00</c:formatCode>
                <c:ptCount val="20"/>
                <c:pt idx="0">
                  <c:v>3.208108108108108</c:v>
                </c:pt>
                <c:pt idx="1">
                  <c:v>4.3343023255813957</c:v>
                </c:pt>
                <c:pt idx="2">
                  <c:v>3.7978142076502732</c:v>
                </c:pt>
                <c:pt idx="3">
                  <c:v>4.3030888030888033</c:v>
                </c:pt>
                <c:pt idx="4">
                  <c:v>3.8314176245210727</c:v>
                </c:pt>
                <c:pt idx="5">
                  <c:v>2.3117283950617287</c:v>
                </c:pt>
                <c:pt idx="6">
                  <c:v>2.5012787723785164</c:v>
                </c:pt>
                <c:pt idx="7">
                  <c:v>3.540880503144654</c:v>
                </c:pt>
                <c:pt idx="8">
                  <c:v>3.1503267973856208</c:v>
                </c:pt>
                <c:pt idx="9">
                  <c:v>2.123711340206186</c:v>
                </c:pt>
                <c:pt idx="10">
                  <c:v>3.7752577319587628</c:v>
                </c:pt>
                <c:pt idx="11">
                  <c:v>1.6763285024154591</c:v>
                </c:pt>
                <c:pt idx="12">
                  <c:v>3.4432989690721647</c:v>
                </c:pt>
                <c:pt idx="13">
                  <c:v>1.5391304347826087</c:v>
                </c:pt>
                <c:pt idx="14">
                  <c:v>2.0533807829181496</c:v>
                </c:pt>
                <c:pt idx="15">
                  <c:v>4.8983957219251337</c:v>
                </c:pt>
                <c:pt idx="16">
                  <c:v>0</c:v>
                </c:pt>
                <c:pt idx="17">
                  <c:v>5.0246153846153847</c:v>
                </c:pt>
                <c:pt idx="18">
                  <c:v>3.8095238095238098</c:v>
                </c:pt>
                <c:pt idx="19">
                  <c:v>2.6856540084388185</c:v>
                </c:pt>
              </c:numCache>
            </c:numRef>
          </c:val>
          <c:smooth val="0"/>
          <c:extLst>
            <c:ext xmlns:c16="http://schemas.microsoft.com/office/drawing/2014/chart" uri="{C3380CC4-5D6E-409C-BE32-E72D297353CC}">
              <c16:uniqueId val="{00000000-3BC6-4A9E-9897-24459006BC7E}"/>
            </c:ext>
          </c:extLst>
        </c:ser>
        <c:ser>
          <c:idx val="1"/>
          <c:order val="1"/>
          <c:tx>
            <c:v>New Zealand average</c:v>
          </c:tx>
          <c:marker>
            <c:symbol val="none"/>
          </c:marker>
          <c:cat>
            <c:strRef>
              <c:f>'Error bars'!$B$491:$B$510</c:f>
              <c:strCache>
                <c:ptCount val="20"/>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bars'!$P$491:$P$510</c:f>
              <c:numCache>
                <c:formatCode>0.0</c:formatCode>
                <c:ptCount val="20"/>
                <c:pt idx="0">
                  <c:v>2.9999811371234228</c:v>
                </c:pt>
                <c:pt idx="1">
                  <c:v>2.9999811371234228</c:v>
                </c:pt>
                <c:pt idx="2">
                  <c:v>2.9999811371234228</c:v>
                </c:pt>
                <c:pt idx="3">
                  <c:v>2.9999811371234228</c:v>
                </c:pt>
                <c:pt idx="4">
                  <c:v>2.9999811371234228</c:v>
                </c:pt>
                <c:pt idx="5">
                  <c:v>2.9999811371234228</c:v>
                </c:pt>
                <c:pt idx="6">
                  <c:v>2.9999811371234228</c:v>
                </c:pt>
                <c:pt idx="7">
                  <c:v>2.9999811371234228</c:v>
                </c:pt>
                <c:pt idx="8">
                  <c:v>2.9999811371234228</c:v>
                </c:pt>
                <c:pt idx="9">
                  <c:v>2.9999811371234228</c:v>
                </c:pt>
                <c:pt idx="10">
                  <c:v>2.9999811371234228</c:v>
                </c:pt>
                <c:pt idx="11">
                  <c:v>2.9999811371234228</c:v>
                </c:pt>
                <c:pt idx="12">
                  <c:v>2.9999811371234228</c:v>
                </c:pt>
                <c:pt idx="13">
                  <c:v>2.9999811371234228</c:v>
                </c:pt>
                <c:pt idx="14">
                  <c:v>2.9999811371234228</c:v>
                </c:pt>
                <c:pt idx="15">
                  <c:v>2.9999811371234228</c:v>
                </c:pt>
                <c:pt idx="16">
                  <c:v>2.9999811371234228</c:v>
                </c:pt>
                <c:pt idx="17">
                  <c:v>2.9999811371234228</c:v>
                </c:pt>
                <c:pt idx="18">
                  <c:v>2.9999811371234228</c:v>
                </c:pt>
                <c:pt idx="19">
                  <c:v>2.9999811371234228</c:v>
                </c:pt>
              </c:numCache>
            </c:numRef>
          </c:val>
          <c:smooth val="0"/>
          <c:extLst>
            <c:ext xmlns:c16="http://schemas.microsoft.com/office/drawing/2014/chart" uri="{C3380CC4-5D6E-409C-BE32-E72D297353CC}">
              <c16:uniqueId val="{00000001-3BC6-4A9E-9897-24459006BC7E}"/>
            </c:ext>
          </c:extLst>
        </c:ser>
        <c:ser>
          <c:idx val="2"/>
          <c:order val="2"/>
          <c:tx>
            <c:strRef>
              <c:f>'Error bars'!$Q$425:$Q$426</c:f>
              <c:strCache>
                <c:ptCount val="2"/>
                <c:pt idx="0">
                  <c:v>No difference (1:1)</c:v>
                </c:pt>
              </c:strCache>
            </c:strRef>
          </c:tx>
          <c:spPr>
            <a:ln w="28575">
              <a:solidFill>
                <a:srgbClr val="92D050"/>
              </a:solidFill>
            </a:ln>
          </c:spPr>
          <c:marker>
            <c:symbol val="none"/>
          </c:marker>
          <c:cat>
            <c:strRef>
              <c:f>'Error bars'!$B$491:$B$510</c:f>
              <c:strCache>
                <c:ptCount val="20"/>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bars'!$Q$491:$Q$510</c:f>
              <c:numCache>
                <c:formatCode>0.0</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smooth val="0"/>
          <c:extLst>
            <c:ext xmlns:c16="http://schemas.microsoft.com/office/drawing/2014/chart" uri="{C3380CC4-5D6E-409C-BE32-E72D297353CC}">
              <c16:uniqueId val="{00000002-3BC6-4A9E-9897-24459006BC7E}"/>
            </c:ext>
          </c:extLst>
        </c:ser>
        <c:dLbls>
          <c:showLegendKey val="0"/>
          <c:showVal val="0"/>
          <c:showCatName val="0"/>
          <c:showSerName val="0"/>
          <c:showPercent val="0"/>
          <c:showBubbleSize val="0"/>
        </c:dLbls>
        <c:marker val="1"/>
        <c:smooth val="0"/>
        <c:axId val="555326488"/>
        <c:axId val="555324136"/>
      </c:lineChart>
      <c:catAx>
        <c:axId val="555326488"/>
        <c:scaling>
          <c:orientation val="minMax"/>
        </c:scaling>
        <c:delete val="0"/>
        <c:axPos val="b"/>
        <c:title>
          <c:tx>
            <c:rich>
              <a:bodyPr/>
              <a:lstStyle/>
              <a:p>
                <a:pPr>
                  <a:defRPr/>
                </a:pPr>
                <a:r>
                  <a:rPr lang="en-NZ"/>
                  <a:t>DHB</a:t>
                </a:r>
              </a:p>
            </c:rich>
          </c:tx>
          <c:overlay val="0"/>
        </c:title>
        <c:numFmt formatCode="General" sourceLinked="0"/>
        <c:majorTickMark val="out"/>
        <c:minorTickMark val="none"/>
        <c:tickLblPos val="nextTo"/>
        <c:spPr>
          <a:ln/>
        </c:spPr>
        <c:txPr>
          <a:bodyPr rot="-5400000" vert="horz"/>
          <a:lstStyle/>
          <a:p>
            <a:pPr>
              <a:defRPr/>
            </a:pPr>
            <a:endParaRPr lang="en-US"/>
          </a:p>
        </c:txPr>
        <c:crossAx val="555324136"/>
        <c:crosses val="autoZero"/>
        <c:auto val="1"/>
        <c:lblAlgn val="ctr"/>
        <c:lblOffset val="0"/>
        <c:noMultiLvlLbl val="0"/>
      </c:catAx>
      <c:valAx>
        <c:axId val="555324136"/>
        <c:scaling>
          <c:orientation val="minMax"/>
          <c:max val="14"/>
          <c:min val="0"/>
        </c:scaling>
        <c:delete val="0"/>
        <c:axPos val="l"/>
        <c:title>
          <c:tx>
            <c:rich>
              <a:bodyPr rot="0" vert="horz"/>
              <a:lstStyle/>
              <a:p>
                <a:pPr>
                  <a:defRPr/>
                </a:pPr>
                <a:r>
                  <a:rPr lang="en-NZ"/>
                  <a:t>Rate ratio per 100,000 population</a:t>
                </a:r>
              </a:p>
            </c:rich>
          </c:tx>
          <c:layout>
            <c:manualLayout>
              <c:xMode val="edge"/>
              <c:yMode val="edge"/>
              <c:x val="2.5198437696862795E-3"/>
              <c:y val="7.5386410032079352E-3"/>
            </c:manualLayout>
          </c:layout>
          <c:overlay val="0"/>
        </c:title>
        <c:numFmt formatCode="#,##0" sourceLinked="0"/>
        <c:majorTickMark val="out"/>
        <c:minorTickMark val="none"/>
        <c:tickLblPos val="nextTo"/>
        <c:spPr>
          <a:ln/>
        </c:spPr>
        <c:crossAx val="555326488"/>
        <c:crosses val="autoZero"/>
        <c:crossBetween val="between"/>
      </c:valAx>
    </c:plotArea>
    <c:legend>
      <c:legendPos val="tr"/>
      <c:layout>
        <c:manualLayout>
          <c:xMode val="edge"/>
          <c:yMode val="edge"/>
          <c:x val="0.43792245825640702"/>
          <c:y val="1.5649452269170579E-2"/>
          <c:w val="0.54695847912547535"/>
          <c:h val="0.14475086154136838"/>
        </c:manualLayout>
      </c:layout>
      <c:overlay val="1"/>
    </c:legend>
    <c:plotVisOnly val="1"/>
    <c:dispBlanksAs val="gap"/>
    <c:showDLblsOverMax val="0"/>
  </c:chart>
  <c:spPr>
    <a:ln>
      <a:noFill/>
    </a:ln>
  </c:spPr>
  <c:txPr>
    <a:bodyPr/>
    <a:lstStyle/>
    <a:p>
      <a:pPr>
        <a:defRPr sz="900" b="0"/>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678795728377064E-2"/>
          <c:y val="0.17801253453480997"/>
          <c:w val="0.94620645167804573"/>
          <c:h val="0.48172497718765278"/>
        </c:manualLayout>
      </c:layout>
      <c:lineChart>
        <c:grouping val="standard"/>
        <c:varyColors val="0"/>
        <c:ser>
          <c:idx val="0"/>
          <c:order val="0"/>
          <c:tx>
            <c:v>Māori to non-Māori rate ratio</c:v>
          </c:tx>
          <c:spPr>
            <a:ln>
              <a:noFill/>
            </a:ln>
          </c:spPr>
          <c:errBars>
            <c:errDir val="y"/>
            <c:errBarType val="both"/>
            <c:errValType val="cust"/>
            <c:noEndCap val="0"/>
            <c:plus>
              <c:numRef>
                <c:f>'Error bars'!$O$491:$O$510</c:f>
                <c:numCache>
                  <c:formatCode>General</c:formatCode>
                  <c:ptCount val="17"/>
                  <c:pt idx="0">
                    <c:v>2.1784088849234813</c:v>
                  </c:pt>
                  <c:pt idx="1">
                    <c:v>2.0631459566437842</c:v>
                  </c:pt>
                  <c:pt idx="2">
                    <c:v>1.4289607230025601</c:v>
                  </c:pt>
                  <c:pt idx="3">
                    <c:v>2.1914991299280322</c:v>
                  </c:pt>
                  <c:pt idx="4">
                    <c:v>1.9983856448176791</c:v>
                  </c:pt>
                  <c:pt idx="5">
                    <c:v>2.1575485585273881</c:v>
                  </c:pt>
                  <c:pt idx="6">
                    <c:v>2.5571095635562697</c:v>
                  </c:pt>
                  <c:pt idx="7">
                    <c:v>2.7428722567356822</c:v>
                  </c:pt>
                  <c:pt idx="8">
                    <c:v>4.6444578388214124</c:v>
                  </c:pt>
                  <c:pt idx="9">
                    <c:v>3.4601682160447913</c:v>
                  </c:pt>
                  <c:pt idx="10">
                    <c:v>1.6405372894408825</c:v>
                  </c:pt>
                  <c:pt idx="11">
                    <c:v>2.237333992203232</c:v>
                  </c:pt>
                  <c:pt idx="12">
                    <c:v>4.2503228460538374</c:v>
                  </c:pt>
                  <c:pt idx="13">
                    <c:v>1.6633490137810965</c:v>
                  </c:pt>
                  <c:pt idx="14">
                    <c:v>0</c:v>
                  </c:pt>
                  <c:pt idx="15">
                    <c:v>1.8261403004735852</c:v>
                  </c:pt>
                  <c:pt idx="16">
                    <c:v>2.8467981188275147</c:v>
                  </c:pt>
                </c:numCache>
                <c:extLst/>
              </c:numRef>
            </c:plus>
            <c:minus>
              <c:numRef>
                <c:f>'Error bars'!$N$491:$N$510</c:f>
                <c:numCache>
                  <c:formatCode>General</c:formatCode>
                  <c:ptCount val="17"/>
                  <c:pt idx="0">
                    <c:v>1.5279063320226864</c:v>
                  </c:pt>
                  <c:pt idx="1">
                    <c:v>1.3039156463352235</c:v>
                  </c:pt>
                  <c:pt idx="2">
                    <c:v>1.0138593392278294</c:v>
                  </c:pt>
                  <c:pt idx="3">
                    <c:v>1.5417826182921113</c:v>
                  </c:pt>
                  <c:pt idx="4">
                    <c:v>1.3884738208750727</c:v>
                  </c:pt>
                  <c:pt idx="5">
                    <c:v>1.1938897877206747</c:v>
                  </c:pt>
                  <c:pt idx="6">
                    <c:v>1.4621631721563502</c:v>
                  </c:pt>
                  <c:pt idx="7">
                    <c:v>1.2882315380081544</c:v>
                  </c:pt>
                  <c:pt idx="8">
                    <c:v>2.2885396860792473</c:v>
                  </c:pt>
                  <c:pt idx="9">
                    <c:v>1.2674218372529373</c:v>
                  </c:pt>
                  <c:pt idx="10">
                    <c:v>1.0434126364952203</c:v>
                  </c:pt>
                  <c:pt idx="11">
                    <c:v>1.2380394380717517</c:v>
                  </c:pt>
                  <c:pt idx="12">
                    <c:v>1.7632906343700157</c:v>
                  </c:pt>
                  <c:pt idx="13">
                    <c:v>1.1966098951323185</c:v>
                  </c:pt>
                  <c:pt idx="14">
                    <c:v>0</c:v>
                  </c:pt>
                  <c:pt idx="15">
                    <c:v>1.3030140528982508</c:v>
                  </c:pt>
                  <c:pt idx="16">
                    <c:v>1.3207912288521195</c:v>
                  </c:pt>
                </c:numCache>
                <c:extLst/>
              </c:numRef>
            </c:minus>
          </c:errBars>
          <c:cat>
            <c:strRef>
              <c:f>'Error bars'!$B$491:$B$510</c:f>
              <c:strCache>
                <c:ptCount val="17"/>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Southern</c:v>
                </c:pt>
                <c:pt idx="12">
                  <c:v>Taranaki</c:v>
                </c:pt>
                <c:pt idx="13">
                  <c:v>Waikato</c:v>
                </c:pt>
                <c:pt idx="14">
                  <c:v>Wairarapa</c:v>
                </c:pt>
                <c:pt idx="15">
                  <c:v>Waitematā</c:v>
                </c:pt>
                <c:pt idx="16">
                  <c:v>Whanganui</c:v>
                </c:pt>
              </c:strCache>
              <c:extLst/>
            </c:strRef>
          </c:cat>
          <c:val>
            <c:numRef>
              <c:f>'Error bars'!$K$491:$K$510</c:f>
              <c:numCache>
                <c:formatCode>0.00</c:formatCode>
                <c:ptCount val="17"/>
                <c:pt idx="0">
                  <c:v>5.1166666666666663</c:v>
                </c:pt>
                <c:pt idx="1">
                  <c:v>3.5432835820895523</c:v>
                </c:pt>
                <c:pt idx="2">
                  <c:v>3.4901477832512313</c:v>
                </c:pt>
                <c:pt idx="3">
                  <c:v>5.200445434298441</c:v>
                </c:pt>
                <c:pt idx="4">
                  <c:v>4.5493562231759652</c:v>
                </c:pt>
                <c:pt idx="5">
                  <c:v>2.6730158730158733</c:v>
                </c:pt>
                <c:pt idx="6">
                  <c:v>3.4146981627296586</c:v>
                </c:pt>
                <c:pt idx="7">
                  <c:v>2.4290909090909092</c:v>
                </c:pt>
                <c:pt idx="8">
                  <c:v>4.5116279069767442</c:v>
                </c:pt>
                <c:pt idx="9">
                  <c:v>2</c:v>
                </c:pt>
                <c:pt idx="10">
                  <c:v>2.8666666666666667</c:v>
                </c:pt>
                <c:pt idx="11">
                  <c:v>2.7718631178707227</c:v>
                </c:pt>
                <c:pt idx="12">
                  <c:v>3.0134529147982061</c:v>
                </c:pt>
                <c:pt idx="13">
                  <c:v>4.264437689969605</c:v>
                </c:pt>
                <c:pt idx="14">
                  <c:v>0</c:v>
                </c:pt>
                <c:pt idx="15">
                  <c:v>4.5485893416927903</c:v>
                </c:pt>
                <c:pt idx="16">
                  <c:v>2.4639639639639643</c:v>
                </c:pt>
              </c:numCache>
              <c:extLst/>
            </c:numRef>
          </c:val>
          <c:smooth val="0"/>
          <c:extLst>
            <c:ext xmlns:c16="http://schemas.microsoft.com/office/drawing/2014/chart" uri="{C3380CC4-5D6E-409C-BE32-E72D297353CC}">
              <c16:uniqueId val="{00000000-3771-43C1-9746-7C009B702EE4}"/>
            </c:ext>
          </c:extLst>
        </c:ser>
        <c:ser>
          <c:idx val="1"/>
          <c:order val="1"/>
          <c:tx>
            <c:v>New Zealand average</c:v>
          </c:tx>
          <c:marker>
            <c:symbol val="none"/>
          </c:marker>
          <c:cat>
            <c:strRef>
              <c:f>'Error bars'!$B$491:$B$510</c:f>
              <c:strCache>
                <c:ptCount val="17"/>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Southern</c:v>
                </c:pt>
                <c:pt idx="12">
                  <c:v>Taranaki</c:v>
                </c:pt>
                <c:pt idx="13">
                  <c:v>Waikato</c:v>
                </c:pt>
                <c:pt idx="14">
                  <c:v>Wairarapa</c:v>
                </c:pt>
                <c:pt idx="15">
                  <c:v>Waitematā</c:v>
                </c:pt>
                <c:pt idx="16">
                  <c:v>Whanganui</c:v>
                </c:pt>
              </c:strCache>
              <c:extLst/>
            </c:strRef>
          </c:cat>
          <c:val>
            <c:numRef>
              <c:f>'Error bars'!$P$491:$P$510</c:f>
              <c:numCache>
                <c:formatCode>0.0</c:formatCode>
                <c:ptCount val="17"/>
                <c:pt idx="0">
                  <c:v>2.9681324604829231</c:v>
                </c:pt>
                <c:pt idx="1">
                  <c:v>2.9681324604829231</c:v>
                </c:pt>
                <c:pt idx="2">
                  <c:v>2.9681324604829231</c:v>
                </c:pt>
                <c:pt idx="3">
                  <c:v>2.9681324604829231</c:v>
                </c:pt>
                <c:pt idx="4">
                  <c:v>2.9681324604829231</c:v>
                </c:pt>
                <c:pt idx="5">
                  <c:v>2.9681324604829231</c:v>
                </c:pt>
                <c:pt idx="6">
                  <c:v>2.9681324604829231</c:v>
                </c:pt>
                <c:pt idx="7">
                  <c:v>2.9681324604829231</c:v>
                </c:pt>
                <c:pt idx="8">
                  <c:v>2.9681324604829231</c:v>
                </c:pt>
                <c:pt idx="9">
                  <c:v>2.9681324604829231</c:v>
                </c:pt>
                <c:pt idx="10">
                  <c:v>2.9681324604829231</c:v>
                </c:pt>
                <c:pt idx="11">
                  <c:v>2.9681324604829231</c:v>
                </c:pt>
                <c:pt idx="12">
                  <c:v>2.9681324604829231</c:v>
                </c:pt>
                <c:pt idx="13">
                  <c:v>2.9681324604829231</c:v>
                </c:pt>
                <c:pt idx="14">
                  <c:v>2.9681324604829231</c:v>
                </c:pt>
                <c:pt idx="15">
                  <c:v>2.9681324604829231</c:v>
                </c:pt>
                <c:pt idx="16">
                  <c:v>2.9681324604829231</c:v>
                </c:pt>
              </c:numCache>
              <c:extLst/>
            </c:numRef>
          </c:val>
          <c:smooth val="0"/>
          <c:extLst>
            <c:ext xmlns:c16="http://schemas.microsoft.com/office/drawing/2014/chart" uri="{C3380CC4-5D6E-409C-BE32-E72D297353CC}">
              <c16:uniqueId val="{00000001-3771-43C1-9746-7C009B702EE4}"/>
            </c:ext>
          </c:extLst>
        </c:ser>
        <c:ser>
          <c:idx val="2"/>
          <c:order val="2"/>
          <c:tx>
            <c:strRef>
              <c:f>'Error bars'!$Q$425:$Q$426</c:f>
              <c:strCache>
                <c:ptCount val="2"/>
                <c:pt idx="0">
                  <c:v>No difference (1:1)</c:v>
                </c:pt>
              </c:strCache>
            </c:strRef>
          </c:tx>
          <c:spPr>
            <a:ln w="28575">
              <a:solidFill>
                <a:srgbClr val="92D050"/>
              </a:solidFill>
            </a:ln>
          </c:spPr>
          <c:marker>
            <c:symbol val="none"/>
          </c:marker>
          <c:cat>
            <c:strRef>
              <c:f>'Error bars'!$B$491:$B$510</c:f>
              <c:strCache>
                <c:ptCount val="17"/>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Southern</c:v>
                </c:pt>
                <c:pt idx="12">
                  <c:v>Taranaki</c:v>
                </c:pt>
                <c:pt idx="13">
                  <c:v>Waikato</c:v>
                </c:pt>
                <c:pt idx="14">
                  <c:v>Wairarapa</c:v>
                </c:pt>
                <c:pt idx="15">
                  <c:v>Waitematā</c:v>
                </c:pt>
                <c:pt idx="16">
                  <c:v>Whanganui</c:v>
                </c:pt>
              </c:strCache>
              <c:extLst/>
            </c:strRef>
          </c:cat>
          <c:val>
            <c:numRef>
              <c:f>'Error bars'!$Q$491:$Q$510</c:f>
              <c:numCache>
                <c:formatCode>0.0</c:formatCode>
                <c:ptCount val="17"/>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numCache>
              <c:extLst/>
            </c:numRef>
          </c:val>
          <c:smooth val="0"/>
          <c:extLst>
            <c:ext xmlns:c16="http://schemas.microsoft.com/office/drawing/2014/chart" uri="{C3380CC4-5D6E-409C-BE32-E72D297353CC}">
              <c16:uniqueId val="{00000002-3771-43C1-9746-7C009B702EE4}"/>
            </c:ext>
          </c:extLst>
        </c:ser>
        <c:dLbls>
          <c:showLegendKey val="0"/>
          <c:showVal val="0"/>
          <c:showCatName val="0"/>
          <c:showSerName val="0"/>
          <c:showPercent val="0"/>
          <c:showBubbleSize val="0"/>
        </c:dLbls>
        <c:marker val="1"/>
        <c:smooth val="0"/>
        <c:axId val="555326488"/>
        <c:axId val="555324136"/>
      </c:lineChart>
      <c:catAx>
        <c:axId val="555326488"/>
        <c:scaling>
          <c:orientation val="minMax"/>
        </c:scaling>
        <c:delete val="0"/>
        <c:axPos val="b"/>
        <c:title>
          <c:tx>
            <c:rich>
              <a:bodyPr/>
              <a:lstStyle/>
              <a:p>
                <a:pPr>
                  <a:defRPr b="0"/>
                </a:pPr>
                <a:r>
                  <a:rPr lang="en-NZ" b="0"/>
                  <a:t>DHB</a:t>
                </a:r>
              </a:p>
            </c:rich>
          </c:tx>
          <c:overlay val="0"/>
        </c:title>
        <c:numFmt formatCode="General" sourceLinked="0"/>
        <c:majorTickMark val="out"/>
        <c:minorTickMark val="none"/>
        <c:tickLblPos val="nextTo"/>
        <c:spPr>
          <a:ln/>
        </c:spPr>
        <c:txPr>
          <a:bodyPr rot="-5400000" vert="horz"/>
          <a:lstStyle/>
          <a:p>
            <a:pPr>
              <a:defRPr/>
            </a:pPr>
            <a:endParaRPr lang="en-US"/>
          </a:p>
        </c:txPr>
        <c:crossAx val="555324136"/>
        <c:crosses val="autoZero"/>
        <c:auto val="1"/>
        <c:lblAlgn val="ctr"/>
        <c:lblOffset val="100"/>
        <c:noMultiLvlLbl val="0"/>
      </c:catAx>
      <c:valAx>
        <c:axId val="555324136"/>
        <c:scaling>
          <c:orientation val="minMax"/>
          <c:max val="10"/>
        </c:scaling>
        <c:delete val="0"/>
        <c:axPos val="l"/>
        <c:title>
          <c:tx>
            <c:rich>
              <a:bodyPr rot="0" vert="horz"/>
              <a:lstStyle/>
              <a:p>
                <a:pPr>
                  <a:defRPr sz="900" b="0"/>
                </a:pPr>
                <a:r>
                  <a:rPr lang="en-NZ" sz="900" b="0"/>
                  <a:t>Rate ratio per 100,000 population</a:t>
                </a:r>
              </a:p>
            </c:rich>
          </c:tx>
          <c:layout>
            <c:manualLayout>
              <c:xMode val="edge"/>
              <c:yMode val="edge"/>
              <c:x val="0"/>
              <c:y val="3.9020579346641482E-3"/>
            </c:manualLayout>
          </c:layout>
          <c:overlay val="0"/>
        </c:title>
        <c:numFmt formatCode="#,##0" sourceLinked="0"/>
        <c:majorTickMark val="out"/>
        <c:minorTickMark val="none"/>
        <c:tickLblPos val="nextTo"/>
        <c:spPr>
          <a:ln/>
        </c:spPr>
        <c:crossAx val="555326488"/>
        <c:crosses val="autoZero"/>
        <c:crossBetween val="between"/>
      </c:valAx>
    </c:plotArea>
    <c:legend>
      <c:legendPos val="tr"/>
      <c:layout>
        <c:manualLayout>
          <c:xMode val="edge"/>
          <c:yMode val="edge"/>
          <c:x val="0.60727695892822164"/>
          <c:y val="1.2542903290934643E-4"/>
          <c:w val="0.39024748716659213"/>
          <c:h val="0.2028418570594924"/>
        </c:manualLayout>
      </c:layout>
      <c:overlay val="1"/>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067628228714414E-2"/>
          <c:y val="0.14921626249710238"/>
          <c:w val="0.84339373758186764"/>
          <c:h val="0.64891640681666929"/>
        </c:manualLayout>
      </c:layout>
      <c:barChart>
        <c:barDir val="col"/>
        <c:grouping val="clustered"/>
        <c:varyColors val="0"/>
        <c:ser>
          <c:idx val="0"/>
          <c:order val="0"/>
          <c:tx>
            <c:strRef>
              <c:f>'Māori &amp; the MHA'!$B$378</c:f>
              <c:strCache>
                <c:ptCount val="1"/>
                <c:pt idx="0">
                  <c:v>Māori</c:v>
                </c:pt>
              </c:strCache>
            </c:strRef>
          </c:tx>
          <c:spPr>
            <a:solidFill>
              <a:schemeClr val="accent1"/>
            </a:solidFill>
            <a:ln>
              <a:noFill/>
            </a:ln>
            <a:effectLst/>
          </c:spPr>
          <c:invertIfNegative val="0"/>
          <c:cat>
            <c:multiLvlStrRef>
              <c:f>'Māori &amp; the MHA'!$C$376:$F$377</c:f>
              <c:multiLvlStrCache>
                <c:ptCount val="4"/>
                <c:lvl>
                  <c:pt idx="0">
                    <c:v>Male</c:v>
                  </c:pt>
                  <c:pt idx="1">
                    <c:v>Females</c:v>
                  </c:pt>
                  <c:pt idx="2">
                    <c:v>Male</c:v>
                  </c:pt>
                  <c:pt idx="3">
                    <c:v>Females</c:v>
                  </c:pt>
                </c:lvl>
                <c:lvl>
                  <c:pt idx="0">
                    <c:v>s29</c:v>
                  </c:pt>
                  <c:pt idx="2">
                    <c:v>s30</c:v>
                  </c:pt>
                </c:lvl>
              </c:multiLvlStrCache>
            </c:multiLvlStrRef>
          </c:cat>
          <c:val>
            <c:numRef>
              <c:f>'Māori &amp; the MHA'!$C$378:$F$378</c:f>
              <c:numCache>
                <c:formatCode>0.0</c:formatCode>
                <c:ptCount val="4"/>
                <c:pt idx="0">
                  <c:v>478.6</c:v>
                </c:pt>
                <c:pt idx="1">
                  <c:v>225</c:v>
                </c:pt>
                <c:pt idx="2">
                  <c:v>156.80000000000001</c:v>
                </c:pt>
                <c:pt idx="3">
                  <c:v>73.8</c:v>
                </c:pt>
              </c:numCache>
            </c:numRef>
          </c:val>
          <c:extLst>
            <c:ext xmlns:c16="http://schemas.microsoft.com/office/drawing/2014/chart" uri="{C3380CC4-5D6E-409C-BE32-E72D297353CC}">
              <c16:uniqueId val="{00000000-1FFE-4DA7-97CB-636AE3C85DC3}"/>
            </c:ext>
          </c:extLst>
        </c:ser>
        <c:ser>
          <c:idx val="1"/>
          <c:order val="1"/>
          <c:tx>
            <c:strRef>
              <c:f>'Māori &amp; the MHA'!$B$379</c:f>
              <c:strCache>
                <c:ptCount val="1"/>
                <c:pt idx="0">
                  <c:v>Non-Māori</c:v>
                </c:pt>
              </c:strCache>
            </c:strRef>
          </c:tx>
          <c:spPr>
            <a:solidFill>
              <a:schemeClr val="accent2"/>
            </a:solidFill>
            <a:ln>
              <a:noFill/>
            </a:ln>
            <a:effectLst/>
          </c:spPr>
          <c:invertIfNegative val="0"/>
          <c:cat>
            <c:multiLvlStrRef>
              <c:f>'Māori &amp; the MHA'!$C$376:$F$377</c:f>
              <c:multiLvlStrCache>
                <c:ptCount val="4"/>
                <c:lvl>
                  <c:pt idx="0">
                    <c:v>Male</c:v>
                  </c:pt>
                  <c:pt idx="1">
                    <c:v>Females</c:v>
                  </c:pt>
                  <c:pt idx="2">
                    <c:v>Male</c:v>
                  </c:pt>
                  <c:pt idx="3">
                    <c:v>Females</c:v>
                  </c:pt>
                </c:lvl>
                <c:lvl>
                  <c:pt idx="0">
                    <c:v>s29</c:v>
                  </c:pt>
                  <c:pt idx="2">
                    <c:v>s30</c:v>
                  </c:pt>
                </c:lvl>
              </c:multiLvlStrCache>
            </c:multiLvlStrRef>
          </c:cat>
          <c:val>
            <c:numRef>
              <c:f>'Māori &amp; the MHA'!$C$379:$F$379</c:f>
              <c:numCache>
                <c:formatCode>0.0</c:formatCode>
                <c:ptCount val="4"/>
                <c:pt idx="0">
                  <c:v>112.4</c:v>
                </c:pt>
                <c:pt idx="1">
                  <c:v>60.3</c:v>
                </c:pt>
                <c:pt idx="2">
                  <c:v>36.5</c:v>
                </c:pt>
                <c:pt idx="3">
                  <c:v>24.7</c:v>
                </c:pt>
              </c:numCache>
            </c:numRef>
          </c:val>
          <c:extLst>
            <c:ext xmlns:c16="http://schemas.microsoft.com/office/drawing/2014/chart" uri="{C3380CC4-5D6E-409C-BE32-E72D297353CC}">
              <c16:uniqueId val="{00000001-1FFE-4DA7-97CB-636AE3C85DC3}"/>
            </c:ext>
          </c:extLst>
        </c:ser>
        <c:dLbls>
          <c:showLegendKey val="0"/>
          <c:showVal val="0"/>
          <c:showCatName val="0"/>
          <c:showSerName val="0"/>
          <c:showPercent val="0"/>
          <c:showBubbleSize val="0"/>
        </c:dLbls>
        <c:gapWidth val="150"/>
        <c:axId val="248348408"/>
        <c:axId val="248346840"/>
      </c:barChart>
      <c:catAx>
        <c:axId val="248348408"/>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48346840"/>
        <c:crosses val="autoZero"/>
        <c:auto val="1"/>
        <c:lblAlgn val="ctr"/>
        <c:lblOffset val="100"/>
        <c:noMultiLvlLbl val="0"/>
      </c:catAx>
      <c:valAx>
        <c:axId val="248346840"/>
        <c:scaling>
          <c:orientation val="minMax"/>
        </c:scaling>
        <c:delete val="0"/>
        <c:axPos val="l"/>
        <c:title>
          <c:tx>
            <c:rich>
              <a:bodyPr rot="0" spcFirstLastPara="1" vertOverflow="ellipsis" wrap="square" anchor="ctr" anchorCtr="1"/>
              <a:lstStyle/>
              <a:p>
                <a:pPr algn="l">
                  <a:defRPr sz="900" b="0" i="0" u="none" strike="noStrike" kern="1200" baseline="0">
                    <a:solidFill>
                      <a:schemeClr val="tx1"/>
                    </a:solidFill>
                    <a:latin typeface="+mn-lt"/>
                    <a:ea typeface="+mn-ea"/>
                    <a:cs typeface="+mn-cs"/>
                  </a:defRPr>
                </a:pPr>
                <a:r>
                  <a:rPr lang="en-NZ"/>
                  <a:t>Age-standardised rate</a:t>
                </a:r>
              </a:p>
            </c:rich>
          </c:tx>
          <c:layout>
            <c:manualLayout>
              <c:xMode val="edge"/>
              <c:yMode val="edge"/>
              <c:x val="3.1146515564059321E-4"/>
              <c:y val="3.490888425271628E-3"/>
            </c:manualLayout>
          </c:layout>
          <c:overlay val="0"/>
          <c:spPr>
            <a:noFill/>
            <a:ln>
              <a:noFill/>
            </a:ln>
            <a:effectLst/>
          </c:spPr>
          <c:txPr>
            <a:bodyPr rot="0" spcFirstLastPara="1" vertOverflow="ellipsis" wrap="square" anchor="ctr" anchorCtr="1"/>
            <a:lstStyle/>
            <a:p>
              <a:pPr algn="l">
                <a:defRPr sz="900" b="0" i="0" u="none" strike="noStrike" kern="1200" baseline="0">
                  <a:solidFill>
                    <a:schemeClr val="tx1"/>
                  </a:solidFill>
                  <a:latin typeface="+mn-lt"/>
                  <a:ea typeface="+mn-ea"/>
                  <a:cs typeface="+mn-cs"/>
                </a:defRPr>
              </a:pPr>
              <a:endParaRPr lang="en-US"/>
            </a:p>
          </c:txPr>
        </c:title>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48348408"/>
        <c:crosses val="autoZero"/>
        <c:crossBetween val="between"/>
      </c:valAx>
      <c:spPr>
        <a:solidFill>
          <a:schemeClr val="bg1"/>
        </a:solidFill>
        <a:ln>
          <a:noFill/>
        </a:ln>
        <a:effectLst/>
      </c:spPr>
    </c:plotArea>
    <c:legend>
      <c:legendPos val="r"/>
      <c:layout>
        <c:manualLayout>
          <c:xMode val="edge"/>
          <c:yMode val="edge"/>
          <c:x val="0.84003792821986634"/>
          <c:y val="0.1755420676582094"/>
          <c:w val="0.15251328220843902"/>
          <c:h val="0.167434383202099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b="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25591954191423E-2"/>
          <c:y val="0.10476329347720424"/>
          <c:w val="0.91552756459356299"/>
          <c:h val="0.53300172280227087"/>
        </c:manualLayout>
      </c:layout>
      <c:lineChart>
        <c:grouping val="standard"/>
        <c:varyColors val="0"/>
        <c:ser>
          <c:idx val="0"/>
          <c:order val="0"/>
          <c:tx>
            <c:strRef>
              <c:f>'Error bars'!$B$155</c:f>
              <c:strCache>
                <c:ptCount val="1"/>
                <c:pt idx="0">
                  <c:v>Section 29</c:v>
                </c:pt>
              </c:strCache>
            </c:strRef>
          </c:tx>
          <c:spPr>
            <a:ln>
              <a:noFill/>
            </a:ln>
          </c:spPr>
          <c:errBars>
            <c:errDir val="y"/>
            <c:errBarType val="both"/>
            <c:errValType val="cust"/>
            <c:noEndCap val="0"/>
            <c:plus>
              <c:numRef>
                <c:f>'Error bars'!$F$157:$F$176</c:f>
                <c:numCache>
                  <c:formatCode>General</c:formatCode>
                  <c:ptCount val="20"/>
                  <c:pt idx="0">
                    <c:v>12.92251119024391</c:v>
                  </c:pt>
                  <c:pt idx="1">
                    <c:v>12.585264773841658</c:v>
                  </c:pt>
                  <c:pt idx="2">
                    <c:v>8.9868768215498136</c:v>
                  </c:pt>
                  <c:pt idx="3">
                    <c:v>17.727217570104528</c:v>
                  </c:pt>
                  <c:pt idx="4">
                    <c:v>9.9416455619112867</c:v>
                  </c:pt>
                  <c:pt idx="5">
                    <c:v>26.324116779268309</c:v>
                  </c:pt>
                  <c:pt idx="6">
                    <c:v>20.072538882244373</c:v>
                  </c:pt>
                  <c:pt idx="7">
                    <c:v>23.297933813173273</c:v>
                  </c:pt>
                  <c:pt idx="8">
                    <c:v>20.372890997102459</c:v>
                  </c:pt>
                  <c:pt idx="9">
                    <c:v>19.421872458071505</c:v>
                  </c:pt>
                  <c:pt idx="10">
                    <c:v>26.663983302226512</c:v>
                  </c:pt>
                  <c:pt idx="11">
                    <c:v>33.276809843012913</c:v>
                  </c:pt>
                  <c:pt idx="12">
                    <c:v>12.987196013412628</c:v>
                  </c:pt>
                  <c:pt idx="13">
                    <c:v>43.568259502516355</c:v>
                  </c:pt>
                  <c:pt idx="14">
                    <c:v>23.914519342550236</c:v>
                  </c:pt>
                  <c:pt idx="15">
                    <c:v>14.665184876381545</c:v>
                  </c:pt>
                  <c:pt idx="16">
                    <c:v>33.496069045301681</c:v>
                  </c:pt>
                  <c:pt idx="17">
                    <c:v>9.3801119885093271</c:v>
                  </c:pt>
                  <c:pt idx="18">
                    <c:v>49.563516042473609</c:v>
                  </c:pt>
                  <c:pt idx="19">
                    <c:v>36.294942855941756</c:v>
                  </c:pt>
                </c:numCache>
              </c:numRef>
            </c:plus>
            <c:minus>
              <c:numRef>
                <c:f>'Error bars'!$E$157:$E$176</c:f>
                <c:numCache>
                  <c:formatCode>General</c:formatCode>
                  <c:ptCount val="20"/>
                  <c:pt idx="0">
                    <c:v>12.00582201011882</c:v>
                  </c:pt>
                  <c:pt idx="1">
                    <c:v>10.873742210748482</c:v>
                  </c:pt>
                  <c:pt idx="2">
                    <c:v>8.2583712531105178</c:v>
                  </c:pt>
                  <c:pt idx="3">
                    <c:v>16.26273898452925</c:v>
                  </c:pt>
                  <c:pt idx="4">
                    <c:v>9.0954674311806798</c:v>
                  </c:pt>
                  <c:pt idx="5">
                    <c:v>23.938113154896911</c:v>
                  </c:pt>
                  <c:pt idx="6">
                    <c:v>17.476072476055833</c:v>
                  </c:pt>
                  <c:pt idx="7">
                    <c:v>19.775896571088822</c:v>
                  </c:pt>
                  <c:pt idx="8">
                    <c:v>18.014038481228042</c:v>
                  </c:pt>
                  <c:pt idx="9">
                    <c:v>16.756521498517607</c:v>
                  </c:pt>
                  <c:pt idx="10">
                    <c:v>24.129297374266741</c:v>
                  </c:pt>
                  <c:pt idx="11">
                    <c:v>25.236189603029551</c:v>
                  </c:pt>
                  <c:pt idx="12">
                    <c:v>11.619425933338803</c:v>
                  </c:pt>
                  <c:pt idx="13">
                    <c:v>35.301593686074881</c:v>
                  </c:pt>
                  <c:pt idx="14">
                    <c:v>20.368605726623613</c:v>
                  </c:pt>
                  <c:pt idx="15">
                    <c:v>13.544948391944871</c:v>
                  </c:pt>
                  <c:pt idx="16">
                    <c:v>23.4178459896176</c:v>
                  </c:pt>
                  <c:pt idx="17">
                    <c:v>8.6020912118971893</c:v>
                  </c:pt>
                  <c:pt idx="18">
                    <c:v>34.772383235612139</c:v>
                  </c:pt>
                  <c:pt idx="19">
                    <c:v>30.052063133427467</c:v>
                  </c:pt>
                </c:numCache>
              </c:numRef>
            </c:minus>
          </c:errBars>
          <c:cat>
            <c:strRef>
              <c:f>'Error bars'!$B$47:$B$67</c:f>
              <c:strCache>
                <c:ptCount val="21"/>
                <c:pt idx="0">
                  <c:v>Auckland </c:v>
                </c:pt>
                <c:pt idx="1">
                  <c:v>Bay of Plenty</c:v>
                </c:pt>
                <c:pt idx="2">
                  <c:v>Canterbury</c:v>
                </c:pt>
                <c:pt idx="3">
                  <c:v>Capital &amp; Coast </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pt idx="20">
                  <c:v>National average</c:v>
                </c:pt>
              </c:strCache>
            </c:strRef>
          </c:cat>
          <c:val>
            <c:numRef>
              <c:f>'Error bars'!$C$157:$C$176</c:f>
              <c:numCache>
                <c:formatCode>0</c:formatCode>
                <c:ptCount val="20"/>
                <c:pt idx="0">
                  <c:v>112.43277918816366</c:v>
                </c:pt>
                <c:pt idx="1">
                  <c:v>51.056407040100353</c:v>
                </c:pt>
                <c:pt idx="2">
                  <c:v>62.623040839335673</c:v>
                </c:pt>
                <c:pt idx="3">
                  <c:v>135.57836623739203</c:v>
                </c:pt>
                <c:pt idx="4">
                  <c:v>76.231293472915056</c:v>
                </c:pt>
                <c:pt idx="5">
                  <c:v>162.31286281698746</c:v>
                </c:pt>
                <c:pt idx="6">
                  <c:v>79.72506380149693</c:v>
                </c:pt>
                <c:pt idx="7">
                  <c:v>77.224827745932501</c:v>
                </c:pt>
                <c:pt idx="8">
                  <c:v>99.381745213948705</c:v>
                </c:pt>
                <c:pt idx="9">
                  <c:v>75.008451656524684</c:v>
                </c:pt>
                <c:pt idx="10">
                  <c:v>180.98240084055686</c:v>
                </c:pt>
                <c:pt idx="11">
                  <c:v>74.092167399446339</c:v>
                </c:pt>
                <c:pt idx="12">
                  <c:v>75.908509370757756</c:v>
                </c:pt>
                <c:pt idx="13">
                  <c:v>109.97709512260846</c:v>
                </c:pt>
                <c:pt idx="14">
                  <c:v>87.705084059145236</c:v>
                </c:pt>
                <c:pt idx="15">
                  <c:v>126.55133070994481</c:v>
                </c:pt>
                <c:pt idx="16">
                  <c:v>53.415457424226602</c:v>
                </c:pt>
                <c:pt idx="17">
                  <c:v>73.991502285981994</c:v>
                </c:pt>
                <c:pt idx="18">
                  <c:v>79.961169016963012</c:v>
                </c:pt>
                <c:pt idx="19">
                  <c:v>107.36045597484276</c:v>
                </c:pt>
              </c:numCache>
            </c:numRef>
          </c:val>
          <c:smooth val="0"/>
          <c:extLst>
            <c:ext xmlns:c16="http://schemas.microsoft.com/office/drawing/2014/chart" uri="{C3380CC4-5D6E-409C-BE32-E72D297353CC}">
              <c16:uniqueId val="{00000000-8914-4143-AB8F-CF56E07E939B}"/>
            </c:ext>
          </c:extLst>
        </c:ser>
        <c:ser>
          <c:idx val="1"/>
          <c:order val="1"/>
          <c:tx>
            <c:v>National average</c:v>
          </c:tx>
          <c:marker>
            <c:symbol val="none"/>
          </c:marker>
          <c:val>
            <c:numRef>
              <c:f>'Error bars'!$D$157:$D$176</c:f>
              <c:numCache>
                <c:formatCode>0</c:formatCode>
                <c:ptCount val="20"/>
                <c:pt idx="0">
                  <c:v>89.794134953431595</c:v>
                </c:pt>
                <c:pt idx="1">
                  <c:v>89.794134953431595</c:v>
                </c:pt>
                <c:pt idx="2">
                  <c:v>89.794134953431595</c:v>
                </c:pt>
                <c:pt idx="3">
                  <c:v>89.794134953431595</c:v>
                </c:pt>
                <c:pt idx="4">
                  <c:v>89.794134953431595</c:v>
                </c:pt>
                <c:pt idx="5">
                  <c:v>89.794134953431595</c:v>
                </c:pt>
                <c:pt idx="6">
                  <c:v>89.794134953431595</c:v>
                </c:pt>
                <c:pt idx="7">
                  <c:v>89.794134953431595</c:v>
                </c:pt>
                <c:pt idx="8">
                  <c:v>89.794134953431595</c:v>
                </c:pt>
                <c:pt idx="9">
                  <c:v>89.794134953431595</c:v>
                </c:pt>
                <c:pt idx="10">
                  <c:v>89.794134953431595</c:v>
                </c:pt>
                <c:pt idx="11">
                  <c:v>89.794134953431595</c:v>
                </c:pt>
                <c:pt idx="12">
                  <c:v>89.794134953431595</c:v>
                </c:pt>
                <c:pt idx="13">
                  <c:v>89.794134953431595</c:v>
                </c:pt>
                <c:pt idx="14">
                  <c:v>89.794134953431595</c:v>
                </c:pt>
                <c:pt idx="15">
                  <c:v>89.794134953431595</c:v>
                </c:pt>
                <c:pt idx="16">
                  <c:v>89.794134953431595</c:v>
                </c:pt>
                <c:pt idx="17">
                  <c:v>89.794134953431595</c:v>
                </c:pt>
                <c:pt idx="18">
                  <c:v>89.794134953431595</c:v>
                </c:pt>
                <c:pt idx="19">
                  <c:v>89.794134953431595</c:v>
                </c:pt>
              </c:numCache>
            </c:numRef>
          </c:val>
          <c:smooth val="0"/>
          <c:extLst>
            <c:ext xmlns:c16="http://schemas.microsoft.com/office/drawing/2014/chart" uri="{C3380CC4-5D6E-409C-BE32-E72D297353CC}">
              <c16:uniqueId val="{00000001-8914-4143-AB8F-CF56E07E939B}"/>
            </c:ext>
          </c:extLst>
        </c:ser>
        <c:dLbls>
          <c:showLegendKey val="0"/>
          <c:showVal val="0"/>
          <c:showCatName val="0"/>
          <c:showSerName val="0"/>
          <c:showPercent val="0"/>
          <c:showBubbleSize val="0"/>
        </c:dLbls>
        <c:marker val="1"/>
        <c:smooth val="0"/>
        <c:axId val="555313552"/>
        <c:axId val="555318648"/>
      </c:lineChart>
      <c:catAx>
        <c:axId val="555313552"/>
        <c:scaling>
          <c:orientation val="minMax"/>
        </c:scaling>
        <c:delete val="0"/>
        <c:axPos val="b"/>
        <c:title>
          <c:tx>
            <c:rich>
              <a:bodyPr/>
              <a:lstStyle/>
              <a:p>
                <a:pPr>
                  <a:defRPr b="0"/>
                </a:pPr>
                <a:r>
                  <a:rPr lang="en-NZ" b="0"/>
                  <a:t>DHB</a:t>
                </a:r>
              </a:p>
            </c:rich>
          </c:tx>
          <c:layout>
            <c:manualLayout>
              <c:xMode val="edge"/>
              <c:yMode val="edge"/>
              <c:x val="0.50620535596808292"/>
              <c:y val="0.93408558511683848"/>
            </c:manualLayout>
          </c:layout>
          <c:overlay val="0"/>
        </c:title>
        <c:numFmt formatCode="General" sourceLinked="0"/>
        <c:majorTickMark val="out"/>
        <c:minorTickMark val="none"/>
        <c:tickLblPos val="nextTo"/>
        <c:txPr>
          <a:bodyPr rot="-5400000" vert="horz"/>
          <a:lstStyle/>
          <a:p>
            <a:pPr>
              <a:defRPr/>
            </a:pPr>
            <a:endParaRPr lang="en-US"/>
          </a:p>
        </c:txPr>
        <c:crossAx val="555318648"/>
        <c:crosses val="autoZero"/>
        <c:auto val="1"/>
        <c:lblAlgn val="ctr"/>
        <c:lblOffset val="100"/>
        <c:noMultiLvlLbl val="0"/>
      </c:catAx>
      <c:valAx>
        <c:axId val="555318648"/>
        <c:scaling>
          <c:orientation val="minMax"/>
        </c:scaling>
        <c:delete val="0"/>
        <c:axPos val="l"/>
        <c:title>
          <c:tx>
            <c:rich>
              <a:bodyPr rot="0" vert="horz"/>
              <a:lstStyle/>
              <a:p>
                <a:pPr>
                  <a:defRPr b="0"/>
                </a:pPr>
                <a:r>
                  <a:rPr lang="en-NZ" b="0"/>
                  <a:t>Average number per 100,000</a:t>
                </a:r>
              </a:p>
            </c:rich>
          </c:tx>
          <c:layout>
            <c:manualLayout>
              <c:xMode val="edge"/>
              <c:yMode val="edge"/>
              <c:x val="0"/>
              <c:y val="2.1052159751378499E-3"/>
            </c:manualLayout>
          </c:layout>
          <c:overlay val="0"/>
        </c:title>
        <c:numFmt formatCode="0" sourceLinked="1"/>
        <c:majorTickMark val="out"/>
        <c:minorTickMark val="none"/>
        <c:tickLblPos val="nextTo"/>
        <c:crossAx val="555313552"/>
        <c:crosses val="autoZero"/>
        <c:crossBetween val="between"/>
      </c:valAx>
    </c:plotArea>
    <c:legend>
      <c:legendPos val="r"/>
      <c:layout>
        <c:manualLayout>
          <c:xMode val="edge"/>
          <c:yMode val="edge"/>
          <c:x val="0.75491918875903596"/>
          <c:y val="2.5316380044524823E-3"/>
          <c:w val="0.24508081124096398"/>
          <c:h val="0.11009384100959983"/>
        </c:manualLayout>
      </c:layout>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881225080580427E-2"/>
          <c:y val="0.14103893263342082"/>
          <c:w val="0.83758019601209921"/>
          <c:h val="0.67629171353580797"/>
        </c:manualLayout>
      </c:layout>
      <c:barChart>
        <c:barDir val="col"/>
        <c:grouping val="clustered"/>
        <c:varyColors val="0"/>
        <c:ser>
          <c:idx val="0"/>
          <c:order val="0"/>
          <c:tx>
            <c:strRef>
              <c:f>'Māori &amp; the MHA'!$B$378</c:f>
              <c:strCache>
                <c:ptCount val="1"/>
                <c:pt idx="0">
                  <c:v>Māori</c:v>
                </c:pt>
              </c:strCache>
            </c:strRef>
          </c:tx>
          <c:spPr>
            <a:solidFill>
              <a:schemeClr val="accent1"/>
            </a:solidFill>
            <a:ln>
              <a:noFill/>
            </a:ln>
            <a:effectLst/>
          </c:spPr>
          <c:invertIfNegative val="0"/>
          <c:cat>
            <c:multiLvlStrRef>
              <c:f>'Māori &amp; the MHA'!$C$376:$F$377</c:f>
              <c:multiLvlStrCache>
                <c:ptCount val="4"/>
                <c:lvl>
                  <c:pt idx="0">
                    <c:v>Male</c:v>
                  </c:pt>
                  <c:pt idx="1">
                    <c:v>Females</c:v>
                  </c:pt>
                  <c:pt idx="2">
                    <c:v>Male</c:v>
                  </c:pt>
                  <c:pt idx="3">
                    <c:v>Females</c:v>
                  </c:pt>
                </c:lvl>
                <c:lvl>
                  <c:pt idx="0">
                    <c:v>s29</c:v>
                  </c:pt>
                  <c:pt idx="2">
                    <c:v>s30</c:v>
                  </c:pt>
                </c:lvl>
              </c:multiLvlStrCache>
            </c:multiLvlStrRef>
          </c:cat>
          <c:val>
            <c:numRef>
              <c:f>'Māori &amp; the MHA'!$C$378:$F$378</c:f>
              <c:numCache>
                <c:formatCode>0.0</c:formatCode>
                <c:ptCount val="4"/>
                <c:pt idx="0">
                  <c:v>446.1</c:v>
                </c:pt>
                <c:pt idx="1">
                  <c:v>221.4</c:v>
                </c:pt>
                <c:pt idx="2">
                  <c:v>143.4</c:v>
                </c:pt>
                <c:pt idx="3">
                  <c:v>72.2</c:v>
                </c:pt>
              </c:numCache>
            </c:numRef>
          </c:val>
          <c:extLst>
            <c:ext xmlns:c16="http://schemas.microsoft.com/office/drawing/2014/chart" uri="{C3380CC4-5D6E-409C-BE32-E72D297353CC}">
              <c16:uniqueId val="{00000000-73DE-449F-B593-93EE87D10D9C}"/>
            </c:ext>
          </c:extLst>
        </c:ser>
        <c:ser>
          <c:idx val="1"/>
          <c:order val="1"/>
          <c:tx>
            <c:strRef>
              <c:f>'Māori &amp; the MHA'!$B$379</c:f>
              <c:strCache>
                <c:ptCount val="1"/>
                <c:pt idx="0">
                  <c:v>Non-Māori</c:v>
                </c:pt>
              </c:strCache>
            </c:strRef>
          </c:tx>
          <c:spPr>
            <a:solidFill>
              <a:schemeClr val="accent2"/>
            </a:solidFill>
            <a:ln>
              <a:noFill/>
            </a:ln>
            <a:effectLst/>
          </c:spPr>
          <c:invertIfNegative val="0"/>
          <c:cat>
            <c:multiLvlStrRef>
              <c:f>'Māori &amp; the MHA'!$C$376:$F$377</c:f>
              <c:multiLvlStrCache>
                <c:ptCount val="4"/>
                <c:lvl>
                  <c:pt idx="0">
                    <c:v>Male</c:v>
                  </c:pt>
                  <c:pt idx="1">
                    <c:v>Females</c:v>
                  </c:pt>
                  <c:pt idx="2">
                    <c:v>Male</c:v>
                  </c:pt>
                  <c:pt idx="3">
                    <c:v>Females</c:v>
                  </c:pt>
                </c:lvl>
                <c:lvl>
                  <c:pt idx="0">
                    <c:v>s29</c:v>
                  </c:pt>
                  <c:pt idx="2">
                    <c:v>s30</c:v>
                  </c:pt>
                </c:lvl>
              </c:multiLvlStrCache>
            </c:multiLvlStrRef>
          </c:cat>
          <c:val>
            <c:numRef>
              <c:f>'Māori &amp; the MHA'!$C$379:$F$379</c:f>
              <c:numCache>
                <c:formatCode>0.0</c:formatCode>
                <c:ptCount val="4"/>
                <c:pt idx="0">
                  <c:v>114.6</c:v>
                </c:pt>
                <c:pt idx="1">
                  <c:v>61.5</c:v>
                </c:pt>
                <c:pt idx="2">
                  <c:v>36.5</c:v>
                </c:pt>
                <c:pt idx="3">
                  <c:v>23.4</c:v>
                </c:pt>
              </c:numCache>
            </c:numRef>
          </c:val>
          <c:extLst>
            <c:ext xmlns:c16="http://schemas.microsoft.com/office/drawing/2014/chart" uri="{C3380CC4-5D6E-409C-BE32-E72D297353CC}">
              <c16:uniqueId val="{00000001-73DE-449F-B593-93EE87D10D9C}"/>
            </c:ext>
          </c:extLst>
        </c:ser>
        <c:dLbls>
          <c:showLegendKey val="0"/>
          <c:showVal val="0"/>
          <c:showCatName val="0"/>
          <c:showSerName val="0"/>
          <c:showPercent val="0"/>
          <c:showBubbleSize val="0"/>
        </c:dLbls>
        <c:gapWidth val="150"/>
        <c:axId val="248348408"/>
        <c:axId val="248346840"/>
      </c:barChart>
      <c:catAx>
        <c:axId val="248348408"/>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48346840"/>
        <c:crosses val="autoZero"/>
        <c:auto val="1"/>
        <c:lblAlgn val="ctr"/>
        <c:lblOffset val="100"/>
        <c:noMultiLvlLbl val="0"/>
      </c:catAx>
      <c:valAx>
        <c:axId val="248346840"/>
        <c:scaling>
          <c:orientation val="minMax"/>
        </c:scaling>
        <c:delete val="0"/>
        <c:axPos val="l"/>
        <c:title>
          <c:tx>
            <c:rich>
              <a:bodyPr rot="0" spcFirstLastPara="1" vertOverflow="ellipsis" wrap="square" anchor="ctr" anchorCtr="1"/>
              <a:lstStyle/>
              <a:p>
                <a:pPr algn="l">
                  <a:defRPr sz="900" b="0" i="0" u="none" strike="noStrike" kern="1200" baseline="0">
                    <a:solidFill>
                      <a:schemeClr val="tx1"/>
                    </a:solidFill>
                    <a:latin typeface="+mn-lt"/>
                    <a:ea typeface="+mn-ea"/>
                    <a:cs typeface="+mn-cs"/>
                  </a:defRPr>
                </a:pPr>
                <a:r>
                  <a:rPr lang="en-NZ"/>
                  <a:t>Age-standardised rate</a:t>
                </a:r>
              </a:p>
            </c:rich>
          </c:tx>
          <c:layout>
            <c:manualLayout>
              <c:xMode val="edge"/>
              <c:yMode val="edge"/>
              <c:x val="5.7123072542730378E-4"/>
              <c:y val="1.5176227971503565E-3"/>
            </c:manualLayout>
          </c:layout>
          <c:overlay val="0"/>
          <c:spPr>
            <a:noFill/>
            <a:ln>
              <a:noFill/>
            </a:ln>
            <a:effectLst/>
          </c:spPr>
          <c:txPr>
            <a:bodyPr rot="0" spcFirstLastPara="1" vertOverflow="ellipsis" wrap="square" anchor="ctr" anchorCtr="1"/>
            <a:lstStyle/>
            <a:p>
              <a:pPr algn="l">
                <a:defRPr sz="900" b="0" i="0" u="none" strike="noStrike" kern="1200" baseline="0">
                  <a:solidFill>
                    <a:schemeClr val="tx1"/>
                  </a:solidFill>
                  <a:latin typeface="+mn-lt"/>
                  <a:ea typeface="+mn-ea"/>
                  <a:cs typeface="+mn-cs"/>
                </a:defRPr>
              </a:pPr>
              <a:endParaRPr lang="en-US"/>
            </a:p>
          </c:txPr>
        </c:title>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48348408"/>
        <c:crosses val="autoZero"/>
        <c:crossBetween val="between"/>
      </c:valAx>
      <c:spPr>
        <a:solidFill>
          <a:schemeClr val="bg1"/>
        </a:solidFill>
        <a:ln>
          <a:noFill/>
        </a:ln>
        <a:effectLst/>
      </c:spPr>
    </c:plotArea>
    <c:legend>
      <c:legendPos val="r"/>
      <c:layout>
        <c:manualLayout>
          <c:xMode val="edge"/>
          <c:yMode val="edge"/>
          <c:x val="0.84003792821986634"/>
          <c:y val="0.1755420676582094"/>
          <c:w val="0.15251328220843902"/>
          <c:h val="0.167434383202099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b="0"/>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15507436570428"/>
          <c:y val="0.16930961161500382"/>
          <c:w val="0.82869291338582662"/>
          <c:h val="0.71471045549686041"/>
        </c:manualLayout>
      </c:layout>
      <c:barChart>
        <c:barDir val="col"/>
        <c:grouping val="clustered"/>
        <c:varyColors val="0"/>
        <c:ser>
          <c:idx val="0"/>
          <c:order val="0"/>
          <c:tx>
            <c:strRef>
              <c:f>'Māori &amp; the MHA'!$C$163:$C$164</c:f>
              <c:strCache>
                <c:ptCount val="2"/>
                <c:pt idx="0">
                  <c:v>s29</c:v>
                </c:pt>
                <c:pt idx="1">
                  <c:v>Māori</c:v>
                </c:pt>
              </c:strCache>
            </c:strRef>
          </c:tx>
          <c:spPr>
            <a:solidFill>
              <a:schemeClr val="accent1"/>
            </a:solidFill>
            <a:ln>
              <a:noFill/>
            </a:ln>
            <a:effectLst/>
          </c:spPr>
          <c:invertIfNegative val="0"/>
          <c:cat>
            <c:strRef>
              <c:f>'Māori &amp; the MHA'!$B$165:$B$167</c:f>
              <c:strCache>
                <c:ptCount val="3"/>
                <c:pt idx="0">
                  <c:v>Less than 1 year</c:v>
                </c:pt>
                <c:pt idx="1">
                  <c:v>1–2 years</c:v>
                </c:pt>
                <c:pt idx="2">
                  <c:v>2+ years</c:v>
                </c:pt>
              </c:strCache>
            </c:strRef>
          </c:cat>
          <c:val>
            <c:numRef>
              <c:f>'Māori &amp; the MHA'!$C$165:$C$167</c:f>
              <c:numCache>
                <c:formatCode>0.0%</c:formatCode>
                <c:ptCount val="3"/>
                <c:pt idx="0">
                  <c:v>0.68872746838848531</c:v>
                </c:pt>
                <c:pt idx="1">
                  <c:v>0.12267958030669895</c:v>
                </c:pt>
                <c:pt idx="2">
                  <c:v>0.18859295130481571</c:v>
                </c:pt>
              </c:numCache>
            </c:numRef>
          </c:val>
          <c:extLst>
            <c:ext xmlns:c16="http://schemas.microsoft.com/office/drawing/2014/chart" uri="{C3380CC4-5D6E-409C-BE32-E72D297353CC}">
              <c16:uniqueId val="{00000000-2AC0-4037-A271-61D125646661}"/>
            </c:ext>
          </c:extLst>
        </c:ser>
        <c:ser>
          <c:idx val="1"/>
          <c:order val="1"/>
          <c:tx>
            <c:strRef>
              <c:f>'Māori &amp; the MHA'!$D$163:$D$164</c:f>
              <c:strCache>
                <c:ptCount val="2"/>
                <c:pt idx="0">
                  <c:v>s29</c:v>
                </c:pt>
                <c:pt idx="1">
                  <c:v>non-Māori</c:v>
                </c:pt>
              </c:strCache>
            </c:strRef>
          </c:tx>
          <c:spPr>
            <a:solidFill>
              <a:schemeClr val="accent2"/>
            </a:solidFill>
            <a:ln>
              <a:noFill/>
            </a:ln>
            <a:effectLst/>
          </c:spPr>
          <c:invertIfNegative val="0"/>
          <c:cat>
            <c:strRef>
              <c:f>'Māori &amp; the MHA'!$B$165:$B$167</c:f>
              <c:strCache>
                <c:ptCount val="3"/>
                <c:pt idx="0">
                  <c:v>Less than 1 year</c:v>
                </c:pt>
                <c:pt idx="1">
                  <c:v>1–2 years</c:v>
                </c:pt>
                <c:pt idx="2">
                  <c:v>2+ years</c:v>
                </c:pt>
              </c:strCache>
            </c:strRef>
          </c:cat>
          <c:val>
            <c:numRef>
              <c:f>'Māori &amp; the MHA'!$D$165:$D$167</c:f>
              <c:numCache>
                <c:formatCode>0.0%</c:formatCode>
                <c:ptCount val="3"/>
                <c:pt idx="0">
                  <c:v>0.72925629993853713</c:v>
                </c:pt>
                <c:pt idx="1">
                  <c:v>9.7188076213890598E-2</c:v>
                </c:pt>
                <c:pt idx="2">
                  <c:v>0.17355562384757223</c:v>
                </c:pt>
              </c:numCache>
            </c:numRef>
          </c:val>
          <c:extLst>
            <c:ext xmlns:c16="http://schemas.microsoft.com/office/drawing/2014/chart" uri="{C3380CC4-5D6E-409C-BE32-E72D297353CC}">
              <c16:uniqueId val="{00000001-2AC0-4037-A271-61D125646661}"/>
            </c:ext>
          </c:extLst>
        </c:ser>
        <c:ser>
          <c:idx val="2"/>
          <c:order val="2"/>
          <c:tx>
            <c:strRef>
              <c:f>'Māori &amp; the MHA'!$E$163:$E$164</c:f>
              <c:strCache>
                <c:ptCount val="2"/>
                <c:pt idx="0">
                  <c:v>s30</c:v>
                </c:pt>
                <c:pt idx="1">
                  <c:v>Māori</c:v>
                </c:pt>
              </c:strCache>
            </c:strRef>
          </c:tx>
          <c:spPr>
            <a:solidFill>
              <a:schemeClr val="accent3"/>
            </a:solidFill>
            <a:ln>
              <a:noFill/>
            </a:ln>
            <a:effectLst/>
          </c:spPr>
          <c:invertIfNegative val="0"/>
          <c:cat>
            <c:strRef>
              <c:f>'Māori &amp; the MHA'!$B$165:$B$167</c:f>
              <c:strCache>
                <c:ptCount val="3"/>
                <c:pt idx="0">
                  <c:v>Less than 1 year</c:v>
                </c:pt>
                <c:pt idx="1">
                  <c:v>1–2 years</c:v>
                </c:pt>
                <c:pt idx="2">
                  <c:v>2+ years</c:v>
                </c:pt>
              </c:strCache>
            </c:strRef>
          </c:cat>
          <c:val>
            <c:numRef>
              <c:f>'Māori &amp; the MHA'!$E$165:$E$167</c:f>
              <c:numCache>
                <c:formatCode>0.0%</c:formatCode>
                <c:ptCount val="3"/>
                <c:pt idx="0">
                  <c:v>0.94025905366111551</c:v>
                </c:pt>
                <c:pt idx="1">
                  <c:v>3.013481363996828E-2</c:v>
                </c:pt>
                <c:pt idx="2">
                  <c:v>2.9606132698916203E-2</c:v>
                </c:pt>
              </c:numCache>
            </c:numRef>
          </c:val>
          <c:extLst>
            <c:ext xmlns:c16="http://schemas.microsoft.com/office/drawing/2014/chart" uri="{C3380CC4-5D6E-409C-BE32-E72D297353CC}">
              <c16:uniqueId val="{00000002-2AC0-4037-A271-61D125646661}"/>
            </c:ext>
          </c:extLst>
        </c:ser>
        <c:ser>
          <c:idx val="3"/>
          <c:order val="3"/>
          <c:tx>
            <c:strRef>
              <c:f>'Māori &amp; the MHA'!$F$163:$F$164</c:f>
              <c:strCache>
                <c:ptCount val="2"/>
                <c:pt idx="0">
                  <c:v>s30</c:v>
                </c:pt>
                <c:pt idx="1">
                  <c:v>non-Māori</c:v>
                </c:pt>
              </c:strCache>
            </c:strRef>
          </c:tx>
          <c:spPr>
            <a:solidFill>
              <a:schemeClr val="accent4"/>
            </a:solidFill>
            <a:ln>
              <a:noFill/>
            </a:ln>
            <a:effectLst/>
          </c:spPr>
          <c:invertIfNegative val="0"/>
          <c:cat>
            <c:strRef>
              <c:f>'Māori &amp; the MHA'!$B$165:$B$167</c:f>
              <c:strCache>
                <c:ptCount val="3"/>
                <c:pt idx="0">
                  <c:v>Less than 1 year</c:v>
                </c:pt>
                <c:pt idx="1">
                  <c:v>1–2 years</c:v>
                </c:pt>
                <c:pt idx="2">
                  <c:v>2+ years</c:v>
                </c:pt>
              </c:strCache>
            </c:strRef>
          </c:cat>
          <c:val>
            <c:numRef>
              <c:f>'Māori &amp; the MHA'!$F$165:$F$167</c:f>
              <c:numCache>
                <c:formatCode>0.0%</c:formatCode>
                <c:ptCount val="3"/>
                <c:pt idx="0">
                  <c:v>0.95142314990512333</c:v>
                </c:pt>
                <c:pt idx="1">
                  <c:v>2.5047438330170778E-2</c:v>
                </c:pt>
                <c:pt idx="2">
                  <c:v>2.3529411764705882E-2</c:v>
                </c:pt>
              </c:numCache>
            </c:numRef>
          </c:val>
          <c:extLst>
            <c:ext xmlns:c16="http://schemas.microsoft.com/office/drawing/2014/chart" uri="{C3380CC4-5D6E-409C-BE32-E72D297353CC}">
              <c16:uniqueId val="{00000003-2AC0-4037-A271-61D125646661}"/>
            </c:ext>
          </c:extLst>
        </c:ser>
        <c:dLbls>
          <c:showLegendKey val="0"/>
          <c:showVal val="0"/>
          <c:showCatName val="0"/>
          <c:showSerName val="0"/>
          <c:showPercent val="0"/>
          <c:showBubbleSize val="0"/>
        </c:dLbls>
        <c:gapWidth val="150"/>
        <c:axId val="248348016"/>
        <c:axId val="248350368"/>
      </c:barChart>
      <c:catAx>
        <c:axId val="248348016"/>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48350368"/>
        <c:crosses val="autoZero"/>
        <c:auto val="1"/>
        <c:lblAlgn val="ctr"/>
        <c:lblOffset val="100"/>
        <c:noMultiLvlLbl val="0"/>
      </c:catAx>
      <c:valAx>
        <c:axId val="248350368"/>
        <c:scaling>
          <c:orientation val="minMax"/>
          <c:max val="1"/>
        </c:scaling>
        <c:delete val="0"/>
        <c:axPos val="l"/>
        <c:title>
          <c:tx>
            <c:rich>
              <a:bodyPr rot="0" spcFirstLastPara="1" vertOverflow="ellipsis" wrap="square" anchor="ctr" anchorCtr="1"/>
              <a:lstStyle/>
              <a:p>
                <a:pPr>
                  <a:defRPr sz="900" b="0" i="0" u="none" strike="noStrike" kern="1200" baseline="0">
                    <a:solidFill>
                      <a:schemeClr val="tx1"/>
                    </a:solidFill>
                    <a:latin typeface="+mn-lt"/>
                    <a:ea typeface="+mn-ea"/>
                    <a:cs typeface="+mn-cs"/>
                  </a:defRPr>
                </a:pPr>
                <a:r>
                  <a:rPr lang="en-NZ"/>
                  <a:t>Percentage (clients seen)</a:t>
                </a:r>
              </a:p>
            </c:rich>
          </c:tx>
          <c:layout>
            <c:manualLayout>
              <c:xMode val="edge"/>
              <c:yMode val="edge"/>
              <c:x val="1.1111111111111112E-2"/>
              <c:y val="8.9023767862350667E-3"/>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title>
        <c:numFmt formatCode="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48348016"/>
        <c:crosses val="autoZero"/>
        <c:crossBetween val="between"/>
      </c:valAx>
      <c:spPr>
        <a:solidFill>
          <a:schemeClr val="bg1"/>
        </a:solidFill>
        <a:ln>
          <a:noFill/>
        </a:ln>
        <a:effectLst/>
      </c:spPr>
    </c:plotArea>
    <c:legend>
      <c:legendPos val="r"/>
      <c:layout>
        <c:manualLayout>
          <c:xMode val="edge"/>
          <c:yMode val="edge"/>
          <c:x val="0.7707368766404199"/>
          <c:y val="6.4047098279381751E-2"/>
          <c:w val="0.21259645669291335"/>
          <c:h val="0.334868766404199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b="0"/>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13756561266432E-2"/>
          <c:y val="0.15774820455135416"/>
          <c:w val="0.90649236755195195"/>
          <c:h val="0.468464134290906"/>
        </c:manualLayout>
      </c:layout>
      <c:lineChart>
        <c:grouping val="standard"/>
        <c:varyColors val="0"/>
        <c:ser>
          <c:idx val="0"/>
          <c:order val="0"/>
          <c:tx>
            <c:v>Māori to non-Māori rate ratio</c:v>
          </c:tx>
          <c:spPr>
            <a:ln>
              <a:noFill/>
            </a:ln>
          </c:spPr>
          <c:errBars>
            <c:errDir val="y"/>
            <c:errBarType val="both"/>
            <c:errValType val="cust"/>
            <c:noEndCap val="0"/>
            <c:plus>
              <c:numRef>
                <c:f>'Error bars'!$O$458:$O$477</c:f>
                <c:numCache>
                  <c:formatCode>General</c:formatCode>
                  <c:ptCount val="20"/>
                  <c:pt idx="0">
                    <c:v>0.94266497266000826</c:v>
                  </c:pt>
                  <c:pt idx="1">
                    <c:v>2.2265382124266289</c:v>
                  </c:pt>
                  <c:pt idx="2">
                    <c:v>1.0217185378651776</c:v>
                  </c:pt>
                  <c:pt idx="3">
                    <c:v>1.0641360792850456</c:v>
                  </c:pt>
                  <c:pt idx="4">
                    <c:v>0.90798182847087094</c:v>
                  </c:pt>
                  <c:pt idx="5">
                    <c:v>1.3733056439659421</c:v>
                  </c:pt>
                  <c:pt idx="6">
                    <c:v>1.4345232340456597</c:v>
                  </c:pt>
                  <c:pt idx="7">
                    <c:v>2.7140396981031971</c:v>
                  </c:pt>
                  <c:pt idx="8">
                    <c:v>1.3907631760537322</c:v>
                  </c:pt>
                  <c:pt idx="9">
                    <c:v>1.3345447704403814</c:v>
                  </c:pt>
                  <c:pt idx="10">
                    <c:v>1.047698484971765</c:v>
                  </c:pt>
                  <c:pt idx="11">
                    <c:v>3.5322122774920124</c:v>
                  </c:pt>
                  <c:pt idx="12">
                    <c:v>1.3656359142413876</c:v>
                  </c:pt>
                  <c:pt idx="13">
                    <c:v>2.3723363445255021</c:v>
                  </c:pt>
                  <c:pt idx="14">
                    <c:v>1.4716654246364471</c:v>
                  </c:pt>
                  <c:pt idx="15">
                    <c:v>0.97766594296922538</c:v>
                  </c:pt>
                  <c:pt idx="16">
                    <c:v>3.7770037301850872</c:v>
                  </c:pt>
                  <c:pt idx="17">
                    <c:v>0.94538385004423198</c:v>
                  </c:pt>
                  <c:pt idx="18">
                    <c:v>4.125845696794511</c:v>
                  </c:pt>
                  <c:pt idx="19">
                    <c:v>1.9466076618429349</c:v>
                  </c:pt>
                </c:numCache>
              </c:numRef>
            </c:plus>
            <c:minus>
              <c:numRef>
                <c:f>'Error bars'!$N$458:$N$477</c:f>
                <c:numCache>
                  <c:formatCode>General</c:formatCode>
                  <c:ptCount val="20"/>
                  <c:pt idx="0">
                    <c:v>0.7679302589973318</c:v>
                  </c:pt>
                  <c:pt idx="1">
                    <c:v>1.5384724613611822</c:v>
                  </c:pt>
                  <c:pt idx="2">
                    <c:v>0.78625835605676286</c:v>
                  </c:pt>
                  <c:pt idx="3">
                    <c:v>0.84311485228867689</c:v>
                  </c:pt>
                  <c:pt idx="4">
                    <c:v>0.75194776640315153</c:v>
                  </c:pt>
                  <c:pt idx="5">
                    <c:v>1.0280216288736037</c:v>
                  </c:pt>
                  <c:pt idx="6">
                    <c:v>0.95722429078479432</c:v>
                  </c:pt>
                  <c:pt idx="7">
                    <c:v>1.7777025117199634</c:v>
                  </c:pt>
                  <c:pt idx="8">
                    <c:v>1.0117418095046342</c:v>
                  </c:pt>
                  <c:pt idx="9">
                    <c:v>0.80871524649760285</c:v>
                  </c:pt>
                  <c:pt idx="10">
                    <c:v>0.8188526418246278</c:v>
                  </c:pt>
                  <c:pt idx="11">
                    <c:v>1.3878902456703091</c:v>
                  </c:pt>
                  <c:pt idx="12">
                    <c:v>0.99683541976447909</c:v>
                  </c:pt>
                  <c:pt idx="13">
                    <c:v>1.3220155860886071</c:v>
                  </c:pt>
                  <c:pt idx="14">
                    <c:v>0.92950526148941726</c:v>
                  </c:pt>
                  <c:pt idx="15">
                    <c:v>0.81646357387943702</c:v>
                  </c:pt>
                  <c:pt idx="16">
                    <c:v>1.9387815021615737</c:v>
                  </c:pt>
                  <c:pt idx="17">
                    <c:v>0.76299078794667441</c:v>
                  </c:pt>
                  <c:pt idx="18">
                    <c:v>1.6226947519123534</c:v>
                  </c:pt>
                  <c:pt idx="19">
                    <c:v>1.1741593607310756</c:v>
                  </c:pt>
                </c:numCache>
              </c:numRef>
            </c:minus>
          </c:errBars>
          <c:cat>
            <c:strRef>
              <c:f>'Error bars'!$B$601:$B$620</c:f>
              <c:strCache>
                <c:ptCount val="20"/>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bars'!$K$601:$K$620</c:f>
              <c:numCache>
                <c:formatCode>_-* #,##0.0_-;\-* #,##0.0_-;_-* "-"??_-;_-@_-</c:formatCode>
                <c:ptCount val="20"/>
                <c:pt idx="0">
                  <c:v>7.6954275580229785</c:v>
                </c:pt>
                <c:pt idx="1">
                  <c:v>4.5862392430360126</c:v>
                </c:pt>
                <c:pt idx="2">
                  <c:v>2.4884393063583814</c:v>
                </c:pt>
                <c:pt idx="3">
                  <c:v>2.8306621490294961</c:v>
                </c:pt>
                <c:pt idx="4">
                  <c:v>4.1101275414805043</c:v>
                </c:pt>
                <c:pt idx="5">
                  <c:v>2.0056910569105693</c:v>
                </c:pt>
                <c:pt idx="6">
                  <c:v>2.2208721600300194</c:v>
                </c:pt>
                <c:pt idx="7">
                  <c:v>4.4086269903419479</c:v>
                </c:pt>
                <c:pt idx="8">
                  <c:v>2.801164402550596</c:v>
                </c:pt>
                <c:pt idx="9">
                  <c:v>2.3303869752748918</c:v>
                </c:pt>
                <c:pt idx="10">
                  <c:v>3.3688583747011172</c:v>
                </c:pt>
                <c:pt idx="11">
                  <c:v>2.6059885931558937</c:v>
                </c:pt>
                <c:pt idx="12">
                  <c:v>3.2869015854023336</c:v>
                </c:pt>
                <c:pt idx="13">
                  <c:v>2.9196271484639325</c:v>
                </c:pt>
                <c:pt idx="14">
                  <c:v>2.3363824066071257</c:v>
                </c:pt>
                <c:pt idx="15">
                  <c:v>4.2577116531647814</c:v>
                </c:pt>
                <c:pt idx="16">
                  <c:v>7.4670599803343167</c:v>
                </c:pt>
                <c:pt idx="17">
                  <c:v>3.1428873400047839</c:v>
                </c:pt>
                <c:pt idx="18">
                  <c:v>2.4494430162810628</c:v>
                </c:pt>
                <c:pt idx="19">
                  <c:v>1.4710828993055556</c:v>
                </c:pt>
              </c:numCache>
            </c:numRef>
          </c:val>
          <c:smooth val="0"/>
          <c:extLst>
            <c:ext xmlns:c16="http://schemas.microsoft.com/office/drawing/2014/chart" uri="{C3380CC4-5D6E-409C-BE32-E72D297353CC}">
              <c16:uniqueId val="{00000000-3E33-42D4-91FA-793581822581}"/>
            </c:ext>
          </c:extLst>
        </c:ser>
        <c:ser>
          <c:idx val="1"/>
          <c:order val="1"/>
          <c:tx>
            <c:v>New Zealand average</c:v>
          </c:tx>
          <c:marker>
            <c:symbol val="none"/>
          </c:marker>
          <c:cat>
            <c:strRef>
              <c:f>'Error bars'!$B$601:$B$620</c:f>
              <c:strCache>
                <c:ptCount val="20"/>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bars'!$P$601:$P$620</c:f>
              <c:numCache>
                <c:formatCode>0.0</c:formatCode>
                <c:ptCount val="20"/>
                <c:pt idx="0">
                  <c:v>3.5166575559715376</c:v>
                </c:pt>
                <c:pt idx="1">
                  <c:v>3.5166575559715376</c:v>
                </c:pt>
                <c:pt idx="2">
                  <c:v>3.5166575559715376</c:v>
                </c:pt>
                <c:pt idx="3">
                  <c:v>3.5166575559715376</c:v>
                </c:pt>
                <c:pt idx="4">
                  <c:v>3.5166575559715376</c:v>
                </c:pt>
                <c:pt idx="5">
                  <c:v>3.5166575559715376</c:v>
                </c:pt>
                <c:pt idx="6">
                  <c:v>3.5166575559715376</c:v>
                </c:pt>
                <c:pt idx="7">
                  <c:v>3.5166575559715376</c:v>
                </c:pt>
                <c:pt idx="8">
                  <c:v>3.5166575559715376</c:v>
                </c:pt>
                <c:pt idx="9">
                  <c:v>3.5166575559715376</c:v>
                </c:pt>
                <c:pt idx="10">
                  <c:v>3.5166575559715376</c:v>
                </c:pt>
                <c:pt idx="11">
                  <c:v>3.5166575559715376</c:v>
                </c:pt>
                <c:pt idx="12">
                  <c:v>3.5166575559715376</c:v>
                </c:pt>
                <c:pt idx="13">
                  <c:v>3.5166575559715376</c:v>
                </c:pt>
                <c:pt idx="14">
                  <c:v>3.5166575559715376</c:v>
                </c:pt>
                <c:pt idx="15">
                  <c:v>3.5166575559715376</c:v>
                </c:pt>
                <c:pt idx="16">
                  <c:v>3.5166575559715376</c:v>
                </c:pt>
                <c:pt idx="17">
                  <c:v>3.5166575559715376</c:v>
                </c:pt>
                <c:pt idx="18">
                  <c:v>3.5166575559715376</c:v>
                </c:pt>
                <c:pt idx="19">
                  <c:v>3.5166575559715376</c:v>
                </c:pt>
              </c:numCache>
            </c:numRef>
          </c:val>
          <c:smooth val="0"/>
          <c:extLst>
            <c:ext xmlns:c16="http://schemas.microsoft.com/office/drawing/2014/chart" uri="{C3380CC4-5D6E-409C-BE32-E72D297353CC}">
              <c16:uniqueId val="{00000001-3E33-42D4-91FA-793581822581}"/>
            </c:ext>
          </c:extLst>
        </c:ser>
        <c:ser>
          <c:idx val="2"/>
          <c:order val="2"/>
          <c:tx>
            <c:v>No difference (1:1)</c:v>
          </c:tx>
          <c:spPr>
            <a:ln w="28575">
              <a:solidFill>
                <a:srgbClr val="92D050"/>
              </a:solidFill>
            </a:ln>
          </c:spPr>
          <c:marker>
            <c:symbol val="none"/>
          </c:marker>
          <c:cat>
            <c:strRef>
              <c:f>'Error bars'!$B$601:$B$620</c:f>
              <c:strCache>
                <c:ptCount val="20"/>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bars'!$Q$601:$Q$620</c:f>
              <c:numCache>
                <c:formatCode>0.0</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smooth val="0"/>
          <c:extLst>
            <c:ext xmlns:c16="http://schemas.microsoft.com/office/drawing/2014/chart" uri="{C3380CC4-5D6E-409C-BE32-E72D297353CC}">
              <c16:uniqueId val="{00000002-3E33-42D4-91FA-793581822581}"/>
            </c:ext>
          </c:extLst>
        </c:ser>
        <c:dLbls>
          <c:showLegendKey val="0"/>
          <c:showVal val="0"/>
          <c:showCatName val="0"/>
          <c:showSerName val="0"/>
          <c:showPercent val="0"/>
          <c:showBubbleSize val="0"/>
        </c:dLbls>
        <c:marker val="1"/>
        <c:smooth val="0"/>
        <c:axId val="555322568"/>
        <c:axId val="555311984"/>
      </c:lineChart>
      <c:catAx>
        <c:axId val="555322568"/>
        <c:scaling>
          <c:orientation val="minMax"/>
        </c:scaling>
        <c:delete val="0"/>
        <c:axPos val="b"/>
        <c:title>
          <c:tx>
            <c:rich>
              <a:bodyPr/>
              <a:lstStyle/>
              <a:p>
                <a:pPr>
                  <a:defRPr/>
                </a:pPr>
                <a:r>
                  <a:rPr lang="en-NZ"/>
                  <a:t>DHB</a:t>
                </a:r>
              </a:p>
            </c:rich>
          </c:tx>
          <c:layout>
            <c:manualLayout>
              <c:xMode val="edge"/>
              <c:yMode val="edge"/>
              <c:x val="0.47220959544602725"/>
              <c:y val="0.91602088200513399"/>
            </c:manualLayout>
          </c:layout>
          <c:overlay val="0"/>
        </c:title>
        <c:numFmt formatCode="General" sourceLinked="0"/>
        <c:majorTickMark val="out"/>
        <c:minorTickMark val="none"/>
        <c:tickLblPos val="nextTo"/>
        <c:spPr>
          <a:ln/>
        </c:spPr>
        <c:txPr>
          <a:bodyPr rot="-5400000" vert="horz"/>
          <a:lstStyle/>
          <a:p>
            <a:pPr>
              <a:defRPr/>
            </a:pPr>
            <a:endParaRPr lang="en-US"/>
          </a:p>
        </c:txPr>
        <c:crossAx val="555311984"/>
        <c:crosses val="autoZero"/>
        <c:auto val="1"/>
        <c:lblAlgn val="ctr"/>
        <c:lblOffset val="100"/>
        <c:noMultiLvlLbl val="0"/>
      </c:catAx>
      <c:valAx>
        <c:axId val="555311984"/>
        <c:scaling>
          <c:orientation val="minMax"/>
          <c:max val="12"/>
        </c:scaling>
        <c:delete val="0"/>
        <c:axPos val="l"/>
        <c:title>
          <c:tx>
            <c:rich>
              <a:bodyPr rot="0" vert="horz"/>
              <a:lstStyle/>
              <a:p>
                <a:pPr>
                  <a:defRPr/>
                </a:pPr>
                <a:r>
                  <a:rPr lang="en-NZ"/>
                  <a:t>Rate ratio of Māori to non-Māori</a:t>
                </a:r>
              </a:p>
            </c:rich>
          </c:tx>
          <c:layout>
            <c:manualLayout>
              <c:xMode val="edge"/>
              <c:yMode val="edge"/>
              <c:x val="0"/>
              <c:y val="2.897868535663812E-3"/>
            </c:manualLayout>
          </c:layout>
          <c:overlay val="0"/>
        </c:title>
        <c:numFmt formatCode="#,##0" sourceLinked="0"/>
        <c:majorTickMark val="out"/>
        <c:minorTickMark val="none"/>
        <c:tickLblPos val="nextTo"/>
        <c:spPr>
          <a:ln/>
        </c:spPr>
        <c:crossAx val="555322568"/>
        <c:crosses val="autoZero"/>
        <c:crossBetween val="between"/>
      </c:valAx>
    </c:plotArea>
    <c:legend>
      <c:legendPos val="tr"/>
      <c:layout>
        <c:manualLayout>
          <c:xMode val="edge"/>
          <c:yMode val="edge"/>
          <c:x val="0.47173876164559686"/>
          <c:y val="1.7582417582417582E-2"/>
          <c:w val="0.51314217573628551"/>
          <c:h val="0.13625635257131322"/>
        </c:manualLayout>
      </c:layout>
      <c:overlay val="0"/>
    </c:legend>
    <c:plotVisOnly val="1"/>
    <c:dispBlanksAs val="gap"/>
    <c:showDLblsOverMax val="0"/>
  </c:chart>
  <c:spPr>
    <a:ln>
      <a:noFill/>
    </a:ln>
  </c:spPr>
  <c:txPr>
    <a:bodyPr/>
    <a:lstStyle/>
    <a:p>
      <a:pPr>
        <a:defRPr sz="900" b="0"/>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79731158744408E-2"/>
          <c:y val="0.12218486819582333"/>
          <c:w val="0.91228917588420644"/>
          <c:h val="0.50978191362443326"/>
        </c:manualLayout>
      </c:layout>
      <c:lineChart>
        <c:grouping val="standard"/>
        <c:varyColors val="0"/>
        <c:ser>
          <c:idx val="0"/>
          <c:order val="0"/>
          <c:tx>
            <c:v>Māori to non-Māori rate ratio</c:v>
          </c:tx>
          <c:spPr>
            <a:ln>
              <a:noFill/>
            </a:ln>
          </c:spPr>
          <c:errBars>
            <c:errDir val="y"/>
            <c:errBarType val="both"/>
            <c:errValType val="cust"/>
            <c:noEndCap val="0"/>
            <c:plus>
              <c:numRef>
                <c:f>'Error bars'!$O$458:$O$477</c:f>
                <c:numCache>
                  <c:formatCode>General</c:formatCode>
                  <c:ptCount val="20"/>
                  <c:pt idx="0">
                    <c:v>0.95310293113956046</c:v>
                  </c:pt>
                  <c:pt idx="1">
                    <c:v>1.5037066764253546</c:v>
                  </c:pt>
                  <c:pt idx="2">
                    <c:v>1.0554126233826429</c:v>
                  </c:pt>
                  <c:pt idx="3">
                    <c:v>0.97704954503007535</c:v>
                  </c:pt>
                  <c:pt idx="4">
                    <c:v>0.93954281740177592</c:v>
                  </c:pt>
                  <c:pt idx="5">
                    <c:v>1.4388861632051118</c:v>
                  </c:pt>
                  <c:pt idx="6">
                    <c:v>1.4487253675347178</c:v>
                  </c:pt>
                  <c:pt idx="7">
                    <c:v>1.4699607973861308</c:v>
                  </c:pt>
                  <c:pt idx="8">
                    <c:v>1.3248311656753278</c:v>
                  </c:pt>
                  <c:pt idx="9">
                    <c:v>1.5721436983513648</c:v>
                  </c:pt>
                  <c:pt idx="10">
                    <c:v>0.82810902460374303</c:v>
                  </c:pt>
                  <c:pt idx="11">
                    <c:v>3.830826270540983</c:v>
                  </c:pt>
                  <c:pt idx="12">
                    <c:v>1.2746706873108025</c:v>
                  </c:pt>
                  <c:pt idx="13">
                    <c:v>2.5987018732364153</c:v>
                  </c:pt>
                  <c:pt idx="14">
                    <c:v>1.7547290651222025</c:v>
                  </c:pt>
                  <c:pt idx="15">
                    <c:v>0.90770979919396577</c:v>
                  </c:pt>
                  <c:pt idx="16">
                    <c:v>3.9610236954320568</c:v>
                  </c:pt>
                  <c:pt idx="17">
                    <c:v>0.93790576237522316</c:v>
                  </c:pt>
                  <c:pt idx="18">
                    <c:v>4.2362882052236372</c:v>
                  </c:pt>
                  <c:pt idx="19">
                    <c:v>1.7126144496299012</c:v>
                  </c:pt>
                </c:numCache>
              </c:numRef>
            </c:plus>
            <c:minus>
              <c:numRef>
                <c:f>'Error bars'!$N$458:$N$477</c:f>
                <c:numCache>
                  <c:formatCode>General</c:formatCode>
                  <c:ptCount val="20"/>
                  <c:pt idx="0">
                    <c:v>0.77814136015082358</c:v>
                  </c:pt>
                  <c:pt idx="1">
                    <c:v>1.0755820102764808</c:v>
                  </c:pt>
                  <c:pt idx="2">
                    <c:v>0.81889557228448195</c:v>
                  </c:pt>
                  <c:pt idx="3">
                    <c:v>0.77917942495762293</c:v>
                  </c:pt>
                  <c:pt idx="4">
                    <c:v>0.77256205898679697</c:v>
                  </c:pt>
                  <c:pt idx="5">
                    <c:v>1.0831904716313234</c:v>
                  </c:pt>
                  <c:pt idx="6">
                    <c:v>1.0236202737840512</c:v>
                  </c:pt>
                  <c:pt idx="7">
                    <c:v>0.97054573833733304</c:v>
                  </c:pt>
                  <c:pt idx="8">
                    <c:v>0.96570773197205151</c:v>
                  </c:pt>
                  <c:pt idx="9">
                    <c:v>0.98841020080746023</c:v>
                  </c:pt>
                  <c:pt idx="10">
                    <c:v>0.65490199027372498</c:v>
                  </c:pt>
                  <c:pt idx="11">
                    <c:v>1.4303592858624459</c:v>
                  </c:pt>
                  <c:pt idx="12">
                    <c:v>0.92914278689742069</c:v>
                  </c:pt>
                  <c:pt idx="13">
                    <c:v>1.3561595108428233</c:v>
                  </c:pt>
                  <c:pt idx="14">
                    <c:v>1.155250143758924</c:v>
                  </c:pt>
                  <c:pt idx="15">
                    <c:v>0.7584793811655568</c:v>
                  </c:pt>
                  <c:pt idx="16">
                    <c:v>1.8289713586929464</c:v>
                  </c:pt>
                  <c:pt idx="17">
                    <c:v>0.76262142395133115</c:v>
                  </c:pt>
                  <c:pt idx="18">
                    <c:v>1.6080865714004573</c:v>
                  </c:pt>
                  <c:pt idx="19">
                    <c:v>1.0627877502508987</c:v>
                  </c:pt>
                </c:numCache>
              </c:numRef>
            </c:minus>
          </c:errBars>
          <c:cat>
            <c:strRef>
              <c:f>'Error bars'!$B$601:$B$620</c:f>
              <c:strCache>
                <c:ptCount val="20"/>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bars'!$K$601:$K$620</c:f>
              <c:numCache>
                <c:formatCode>_-* #,##0.0_-;\-* #,##0.0_-;_-* "-"??_-;_-@_-</c:formatCode>
                <c:ptCount val="20"/>
                <c:pt idx="0">
                  <c:v>2.9627764235998941</c:v>
                </c:pt>
                <c:pt idx="1">
                  <c:v>5.0456129592723178</c:v>
                </c:pt>
                <c:pt idx="2">
                  <c:v>2.4366438118020111</c:v>
                </c:pt>
                <c:pt idx="3">
                  <c:v>2.6562021318594553</c:v>
                </c:pt>
                <c:pt idx="4">
                  <c:v>3.4232758620689663</c:v>
                </c:pt>
                <c:pt idx="5">
                  <c:v>4.6202975686464267</c:v>
                </c:pt>
                <c:pt idx="6">
                  <c:v>2.7017210144927537</c:v>
                </c:pt>
                <c:pt idx="7">
                  <c:v>3.7576715744313356</c:v>
                </c:pt>
                <c:pt idx="8">
                  <c:v>2.4704615056562291</c:v>
                </c:pt>
                <c:pt idx="9">
                  <c:v>2.9008320155261642</c:v>
                </c:pt>
                <c:pt idx="10">
                  <c:v>3.0443971941188273</c:v>
                </c:pt>
                <c:pt idx="11">
                  <c:v>2.3672111312764672</c:v>
                </c:pt>
                <c:pt idx="12">
                  <c:v>3.069346126748751</c:v>
                </c:pt>
                <c:pt idx="13">
                  <c:v>2.3154716622289846</c:v>
                </c:pt>
                <c:pt idx="14">
                  <c:v>2.5499625442365477</c:v>
                </c:pt>
                <c:pt idx="15">
                  <c:v>4.4134615384615374</c:v>
                </c:pt>
                <c:pt idx="16">
                  <c:v>1.9307881773399014</c:v>
                </c:pt>
                <c:pt idx="17">
                  <c:v>3.206527494015273</c:v>
                </c:pt>
                <c:pt idx="18">
                  <c:v>1.8518041237113403</c:v>
                </c:pt>
                <c:pt idx="19">
                  <c:v>2.082067125877904</c:v>
                </c:pt>
              </c:numCache>
            </c:numRef>
          </c:val>
          <c:smooth val="0"/>
          <c:extLst>
            <c:ext xmlns:c16="http://schemas.microsoft.com/office/drawing/2014/chart" uri="{C3380CC4-5D6E-409C-BE32-E72D297353CC}">
              <c16:uniqueId val="{00000000-DFFC-4883-976A-B96B5DF4D20F}"/>
            </c:ext>
          </c:extLst>
        </c:ser>
        <c:ser>
          <c:idx val="1"/>
          <c:order val="1"/>
          <c:tx>
            <c:v>New Zealand average</c:v>
          </c:tx>
          <c:marker>
            <c:symbol val="none"/>
          </c:marker>
          <c:cat>
            <c:strRef>
              <c:f>'Error bars'!$B$601:$B$620</c:f>
              <c:strCache>
                <c:ptCount val="20"/>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bars'!$P$601:$P$620</c:f>
              <c:numCache>
                <c:formatCode>0.0</c:formatCode>
                <c:ptCount val="20"/>
                <c:pt idx="0">
                  <c:v>2.9055611547134039</c:v>
                </c:pt>
                <c:pt idx="1">
                  <c:v>2.9055611547134039</c:v>
                </c:pt>
                <c:pt idx="2">
                  <c:v>2.9055611547134039</c:v>
                </c:pt>
                <c:pt idx="3">
                  <c:v>2.9055611547134039</c:v>
                </c:pt>
                <c:pt idx="4">
                  <c:v>2.9055611547134039</c:v>
                </c:pt>
                <c:pt idx="5">
                  <c:v>2.9055611547134039</c:v>
                </c:pt>
                <c:pt idx="6">
                  <c:v>2.9055611547134039</c:v>
                </c:pt>
                <c:pt idx="7">
                  <c:v>2.9055611547134039</c:v>
                </c:pt>
                <c:pt idx="8">
                  <c:v>2.9055611547134039</c:v>
                </c:pt>
                <c:pt idx="9">
                  <c:v>2.9055611547134039</c:v>
                </c:pt>
                <c:pt idx="10">
                  <c:v>2.9055611547134039</c:v>
                </c:pt>
                <c:pt idx="11">
                  <c:v>2.9055611547134039</c:v>
                </c:pt>
                <c:pt idx="12">
                  <c:v>2.9055611547134039</c:v>
                </c:pt>
                <c:pt idx="13">
                  <c:v>2.9055611547134039</c:v>
                </c:pt>
                <c:pt idx="14">
                  <c:v>2.9055611547134039</c:v>
                </c:pt>
                <c:pt idx="15">
                  <c:v>2.9055611547134039</c:v>
                </c:pt>
                <c:pt idx="16">
                  <c:v>2.9055611547134039</c:v>
                </c:pt>
                <c:pt idx="17">
                  <c:v>2.9055611547134039</c:v>
                </c:pt>
                <c:pt idx="18">
                  <c:v>2.9055611547134039</c:v>
                </c:pt>
                <c:pt idx="19">
                  <c:v>2.9055611547134039</c:v>
                </c:pt>
              </c:numCache>
            </c:numRef>
          </c:val>
          <c:smooth val="0"/>
          <c:extLst>
            <c:ext xmlns:c16="http://schemas.microsoft.com/office/drawing/2014/chart" uri="{C3380CC4-5D6E-409C-BE32-E72D297353CC}">
              <c16:uniqueId val="{00000001-DFFC-4883-976A-B96B5DF4D20F}"/>
            </c:ext>
          </c:extLst>
        </c:ser>
        <c:ser>
          <c:idx val="2"/>
          <c:order val="2"/>
          <c:tx>
            <c:v>No difference (1:1)</c:v>
          </c:tx>
          <c:spPr>
            <a:ln w="28575">
              <a:solidFill>
                <a:srgbClr val="92D050"/>
              </a:solidFill>
            </a:ln>
          </c:spPr>
          <c:marker>
            <c:symbol val="none"/>
          </c:marker>
          <c:cat>
            <c:strRef>
              <c:f>'Error bars'!$B$601:$B$620</c:f>
              <c:strCache>
                <c:ptCount val="20"/>
                <c:pt idx="0">
                  <c:v>Auckland</c:v>
                </c:pt>
                <c:pt idx="1">
                  <c:v>Bay of Plenty</c:v>
                </c:pt>
                <c:pt idx="2">
                  <c:v>Canterbury</c:v>
                </c:pt>
                <c:pt idx="3">
                  <c:v>Capital &amp; Coast</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bars'!$Q$601:$Q$620</c:f>
              <c:numCache>
                <c:formatCode>0.0</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smooth val="0"/>
          <c:extLst>
            <c:ext xmlns:c16="http://schemas.microsoft.com/office/drawing/2014/chart" uri="{C3380CC4-5D6E-409C-BE32-E72D297353CC}">
              <c16:uniqueId val="{00000002-DFFC-4883-976A-B96B5DF4D20F}"/>
            </c:ext>
          </c:extLst>
        </c:ser>
        <c:dLbls>
          <c:showLegendKey val="0"/>
          <c:showVal val="0"/>
          <c:showCatName val="0"/>
          <c:showSerName val="0"/>
          <c:showPercent val="0"/>
          <c:showBubbleSize val="0"/>
        </c:dLbls>
        <c:marker val="1"/>
        <c:smooth val="0"/>
        <c:axId val="555322568"/>
        <c:axId val="555311984"/>
      </c:lineChart>
      <c:catAx>
        <c:axId val="555322568"/>
        <c:scaling>
          <c:orientation val="minMax"/>
        </c:scaling>
        <c:delete val="0"/>
        <c:axPos val="b"/>
        <c:title>
          <c:tx>
            <c:rich>
              <a:bodyPr/>
              <a:lstStyle/>
              <a:p>
                <a:pPr>
                  <a:defRPr b="0"/>
                </a:pPr>
                <a:r>
                  <a:rPr lang="en-NZ" b="0"/>
                  <a:t>DHB</a:t>
                </a:r>
              </a:p>
            </c:rich>
          </c:tx>
          <c:layout>
            <c:manualLayout>
              <c:xMode val="edge"/>
              <c:yMode val="edge"/>
              <c:x val="0.48714047209007905"/>
              <c:y val="0.93468551658315435"/>
            </c:manualLayout>
          </c:layout>
          <c:overlay val="0"/>
        </c:title>
        <c:numFmt formatCode="General" sourceLinked="0"/>
        <c:majorTickMark val="out"/>
        <c:minorTickMark val="none"/>
        <c:tickLblPos val="nextTo"/>
        <c:spPr>
          <a:ln/>
        </c:spPr>
        <c:txPr>
          <a:bodyPr rot="-5400000" vert="horz"/>
          <a:lstStyle/>
          <a:p>
            <a:pPr>
              <a:defRPr/>
            </a:pPr>
            <a:endParaRPr lang="en-US"/>
          </a:p>
        </c:txPr>
        <c:crossAx val="555311984"/>
        <c:crosses val="autoZero"/>
        <c:auto val="1"/>
        <c:lblAlgn val="ctr"/>
        <c:lblOffset val="100"/>
        <c:noMultiLvlLbl val="0"/>
      </c:catAx>
      <c:valAx>
        <c:axId val="555311984"/>
        <c:scaling>
          <c:orientation val="minMax"/>
          <c:max val="12"/>
        </c:scaling>
        <c:delete val="0"/>
        <c:axPos val="l"/>
        <c:title>
          <c:tx>
            <c:rich>
              <a:bodyPr rot="0" vert="horz"/>
              <a:lstStyle/>
              <a:p>
                <a:pPr>
                  <a:defRPr sz="900" b="0"/>
                </a:pPr>
                <a:r>
                  <a:rPr lang="en-NZ" sz="900" b="0"/>
                  <a:t>Rate ratio of</a:t>
                </a:r>
                <a:r>
                  <a:rPr lang="en-NZ" sz="900" b="0" baseline="0"/>
                  <a:t> Māori to non-Māori</a:t>
                </a:r>
              </a:p>
            </c:rich>
          </c:tx>
          <c:layout>
            <c:manualLayout>
              <c:xMode val="edge"/>
              <c:yMode val="edge"/>
              <c:x val="0"/>
              <c:y val="3.0112975008558637E-3"/>
            </c:manualLayout>
          </c:layout>
          <c:overlay val="0"/>
        </c:title>
        <c:numFmt formatCode="#,##0" sourceLinked="0"/>
        <c:majorTickMark val="out"/>
        <c:minorTickMark val="none"/>
        <c:tickLblPos val="nextTo"/>
        <c:spPr>
          <a:ln/>
        </c:spPr>
        <c:crossAx val="555322568"/>
        <c:crosses val="autoZero"/>
        <c:crossBetween val="between"/>
      </c:valAx>
    </c:plotArea>
    <c:legend>
      <c:legendPos val="tr"/>
      <c:overlay val="1"/>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11195646027429E-2"/>
          <c:y val="0.15620236149726568"/>
          <c:w val="0.89293457072105187"/>
          <c:h val="0.58829010133951243"/>
        </c:manualLayout>
      </c:layout>
      <c:lineChart>
        <c:grouping val="standard"/>
        <c:varyColors val="0"/>
        <c:ser>
          <c:idx val="0"/>
          <c:order val="0"/>
          <c:tx>
            <c:v>Māori to non-Māori rate ratio</c:v>
          </c:tx>
          <c:spPr>
            <a:ln>
              <a:noFill/>
            </a:ln>
          </c:spPr>
          <c:errBars>
            <c:errDir val="y"/>
            <c:errBarType val="both"/>
            <c:errValType val="cust"/>
            <c:noEndCap val="0"/>
            <c:plus>
              <c:numRef>
                <c:f>'Error bars'!$O$458:$O$477</c:f>
                <c:numCache>
                  <c:formatCode>General</c:formatCode>
                  <c:ptCount val="11"/>
                  <c:pt idx="0">
                    <c:v>2.2265382124266289</c:v>
                  </c:pt>
                  <c:pt idx="1">
                    <c:v>1.0217185378651776</c:v>
                  </c:pt>
                  <c:pt idx="2">
                    <c:v>1.0641360792850456</c:v>
                  </c:pt>
                  <c:pt idx="3">
                    <c:v>0.90798182847087094</c:v>
                  </c:pt>
                  <c:pt idx="4">
                    <c:v>1.4345232340456597</c:v>
                  </c:pt>
                  <c:pt idx="5">
                    <c:v>1.3907631760537322</c:v>
                  </c:pt>
                  <c:pt idx="6">
                    <c:v>1.047698484971765</c:v>
                  </c:pt>
                  <c:pt idx="7">
                    <c:v>1.3656359142413876</c:v>
                  </c:pt>
                  <c:pt idx="8">
                    <c:v>0.97766594296922538</c:v>
                  </c:pt>
                  <c:pt idx="9">
                    <c:v>0.94538385004423198</c:v>
                  </c:pt>
                  <c:pt idx="10">
                    <c:v>1.9466076618429349</c:v>
                  </c:pt>
                </c:numCache>
                <c:extLst/>
              </c:numRef>
            </c:plus>
            <c:minus>
              <c:numRef>
                <c:f>'Error bars'!$N$458:$N$477</c:f>
                <c:numCache>
                  <c:formatCode>General</c:formatCode>
                  <c:ptCount val="11"/>
                  <c:pt idx="0">
                    <c:v>1.5384724613611822</c:v>
                  </c:pt>
                  <c:pt idx="1">
                    <c:v>0.78625835605676286</c:v>
                  </c:pt>
                  <c:pt idx="2">
                    <c:v>0.84311485228867689</c:v>
                  </c:pt>
                  <c:pt idx="3">
                    <c:v>0.75194776640315153</c:v>
                  </c:pt>
                  <c:pt idx="4">
                    <c:v>0.95722429078479432</c:v>
                  </c:pt>
                  <c:pt idx="5">
                    <c:v>1.0117418095046342</c:v>
                  </c:pt>
                  <c:pt idx="6">
                    <c:v>0.8188526418246278</c:v>
                  </c:pt>
                  <c:pt idx="7">
                    <c:v>0.99683541976447909</c:v>
                  </c:pt>
                  <c:pt idx="8">
                    <c:v>0.81646357387943702</c:v>
                  </c:pt>
                  <c:pt idx="9">
                    <c:v>0.76299078794667441</c:v>
                  </c:pt>
                  <c:pt idx="10">
                    <c:v>1.1741593607310756</c:v>
                  </c:pt>
                </c:numCache>
                <c:extLst/>
              </c:numRef>
            </c:minus>
          </c:errBars>
          <c:cat>
            <c:strRef>
              <c:f>'Error bars'!$B$638:$B$657</c:f>
              <c:strCache>
                <c:ptCount val="11"/>
                <c:pt idx="0">
                  <c:v>Bay of Plenty</c:v>
                </c:pt>
                <c:pt idx="1">
                  <c:v>Canterbury</c:v>
                </c:pt>
                <c:pt idx="2">
                  <c:v>Capital &amp; Coast</c:v>
                </c:pt>
                <c:pt idx="3">
                  <c:v>Counties Manukau</c:v>
                </c:pt>
                <c:pt idx="4">
                  <c:v>Hutt Valley</c:v>
                </c:pt>
                <c:pt idx="5">
                  <c:v>MidCentral</c:v>
                </c:pt>
                <c:pt idx="6">
                  <c:v>Northland</c:v>
                </c:pt>
                <c:pt idx="7">
                  <c:v>Southern</c:v>
                </c:pt>
                <c:pt idx="8">
                  <c:v>Waikato</c:v>
                </c:pt>
                <c:pt idx="9">
                  <c:v>Waitematā</c:v>
                </c:pt>
                <c:pt idx="10">
                  <c:v>Whanganui</c:v>
                </c:pt>
              </c:strCache>
              <c:extLst/>
            </c:strRef>
          </c:cat>
          <c:val>
            <c:numRef>
              <c:f>'Error bars'!$K$638:$K$657</c:f>
              <c:numCache>
                <c:formatCode>_-* #,##0.0_-;\-* #,##0.0_-;_-* "-"??_-;_-@_-</c:formatCode>
                <c:ptCount val="11"/>
                <c:pt idx="0">
                  <c:v>3.0269179004037685</c:v>
                </c:pt>
                <c:pt idx="1">
                  <c:v>2.0736994219653182</c:v>
                </c:pt>
                <c:pt idx="2">
                  <c:v>4.1552071842250413</c:v>
                </c:pt>
                <c:pt idx="3">
                  <c:v>6.7249038026256223</c:v>
                </c:pt>
                <c:pt idx="4">
                  <c:v>2.3874375720322707</c:v>
                </c:pt>
                <c:pt idx="5">
                  <c:v>6.6694390536918959</c:v>
                </c:pt>
                <c:pt idx="6">
                  <c:v>7.9444719881011405</c:v>
                </c:pt>
                <c:pt idx="7">
                  <c:v>0.89317977864193843</c:v>
                </c:pt>
                <c:pt idx="8">
                  <c:v>5.5115716527196641</c:v>
                </c:pt>
                <c:pt idx="9">
                  <c:v>4.2533742001398069</c:v>
                </c:pt>
                <c:pt idx="10">
                  <c:v>0.46151620370370372</c:v>
                </c:pt>
              </c:numCache>
              <c:extLst/>
            </c:numRef>
          </c:val>
          <c:smooth val="0"/>
          <c:extLst>
            <c:ext xmlns:c16="http://schemas.microsoft.com/office/drawing/2014/chart" uri="{C3380CC4-5D6E-409C-BE32-E72D297353CC}">
              <c16:uniqueId val="{00000000-A239-413C-A855-9210A12951F4}"/>
            </c:ext>
          </c:extLst>
        </c:ser>
        <c:ser>
          <c:idx val="1"/>
          <c:order val="1"/>
          <c:tx>
            <c:v>New Zealand average</c:v>
          </c:tx>
          <c:marker>
            <c:symbol val="none"/>
          </c:marker>
          <c:cat>
            <c:strRef>
              <c:f>'Error bars'!$B$638:$B$657</c:f>
              <c:strCache>
                <c:ptCount val="11"/>
                <c:pt idx="0">
                  <c:v>Bay of Plenty</c:v>
                </c:pt>
                <c:pt idx="1">
                  <c:v>Canterbury</c:v>
                </c:pt>
                <c:pt idx="2">
                  <c:v>Capital &amp; Coast</c:v>
                </c:pt>
                <c:pt idx="3">
                  <c:v>Counties Manukau</c:v>
                </c:pt>
                <c:pt idx="4">
                  <c:v>Hutt Valley</c:v>
                </c:pt>
                <c:pt idx="5">
                  <c:v>MidCentral</c:v>
                </c:pt>
                <c:pt idx="6">
                  <c:v>Northland</c:v>
                </c:pt>
                <c:pt idx="7">
                  <c:v>Southern</c:v>
                </c:pt>
                <c:pt idx="8">
                  <c:v>Waikato</c:v>
                </c:pt>
                <c:pt idx="9">
                  <c:v>Waitematā</c:v>
                </c:pt>
                <c:pt idx="10">
                  <c:v>Whanganui</c:v>
                </c:pt>
              </c:strCache>
              <c:extLst/>
            </c:strRef>
          </c:cat>
          <c:val>
            <c:numRef>
              <c:f>'Error bars'!$P$638:$P$657</c:f>
              <c:numCache>
                <c:formatCode>0.0</c:formatCode>
                <c:ptCount val="11"/>
                <c:pt idx="0">
                  <c:v>2.7591317747927206</c:v>
                </c:pt>
                <c:pt idx="1">
                  <c:v>2.7591317747927206</c:v>
                </c:pt>
                <c:pt idx="2">
                  <c:v>2.7591317747927206</c:v>
                </c:pt>
                <c:pt idx="3">
                  <c:v>2.7591317747927206</c:v>
                </c:pt>
                <c:pt idx="4">
                  <c:v>2.7591317747927206</c:v>
                </c:pt>
                <c:pt idx="5">
                  <c:v>2.7591317747927206</c:v>
                </c:pt>
                <c:pt idx="6">
                  <c:v>2.7591317747927206</c:v>
                </c:pt>
                <c:pt idx="7">
                  <c:v>2.7591317747927206</c:v>
                </c:pt>
                <c:pt idx="8">
                  <c:v>2.7591317747927206</c:v>
                </c:pt>
                <c:pt idx="9">
                  <c:v>2.7591317747927206</c:v>
                </c:pt>
                <c:pt idx="10">
                  <c:v>2.7591317747927206</c:v>
                </c:pt>
              </c:numCache>
              <c:extLst/>
            </c:numRef>
          </c:val>
          <c:smooth val="0"/>
          <c:extLst>
            <c:ext xmlns:c16="http://schemas.microsoft.com/office/drawing/2014/chart" uri="{C3380CC4-5D6E-409C-BE32-E72D297353CC}">
              <c16:uniqueId val="{00000001-A239-413C-A855-9210A12951F4}"/>
            </c:ext>
          </c:extLst>
        </c:ser>
        <c:ser>
          <c:idx val="2"/>
          <c:order val="2"/>
          <c:tx>
            <c:v>No difference (1:1)</c:v>
          </c:tx>
          <c:spPr>
            <a:ln w="28575">
              <a:solidFill>
                <a:srgbClr val="92D050"/>
              </a:solidFill>
            </a:ln>
          </c:spPr>
          <c:marker>
            <c:symbol val="none"/>
          </c:marker>
          <c:cat>
            <c:strRef>
              <c:f>'Error bars'!$B$638:$B$657</c:f>
              <c:strCache>
                <c:ptCount val="11"/>
                <c:pt idx="0">
                  <c:v>Bay of Plenty</c:v>
                </c:pt>
                <c:pt idx="1">
                  <c:v>Canterbury</c:v>
                </c:pt>
                <c:pt idx="2">
                  <c:v>Capital &amp; Coast</c:v>
                </c:pt>
                <c:pt idx="3">
                  <c:v>Counties Manukau</c:v>
                </c:pt>
                <c:pt idx="4">
                  <c:v>Hutt Valley</c:v>
                </c:pt>
                <c:pt idx="5">
                  <c:v>MidCentral</c:v>
                </c:pt>
                <c:pt idx="6">
                  <c:v>Northland</c:v>
                </c:pt>
                <c:pt idx="7">
                  <c:v>Southern</c:v>
                </c:pt>
                <c:pt idx="8">
                  <c:v>Waikato</c:v>
                </c:pt>
                <c:pt idx="9">
                  <c:v>Waitematā</c:v>
                </c:pt>
                <c:pt idx="10">
                  <c:v>Whanganui</c:v>
                </c:pt>
              </c:strCache>
              <c:extLst/>
            </c:strRef>
          </c:cat>
          <c:val>
            <c:numRef>
              <c:f>'Error bars'!$Q$638:$Q$657</c:f>
              <c:numCache>
                <c:formatCode>0.0</c:formatCode>
                <c:ptCount val="11"/>
                <c:pt idx="0">
                  <c:v>1</c:v>
                </c:pt>
                <c:pt idx="1">
                  <c:v>1</c:v>
                </c:pt>
                <c:pt idx="2">
                  <c:v>1</c:v>
                </c:pt>
                <c:pt idx="3">
                  <c:v>1</c:v>
                </c:pt>
                <c:pt idx="4">
                  <c:v>1</c:v>
                </c:pt>
                <c:pt idx="5">
                  <c:v>1</c:v>
                </c:pt>
                <c:pt idx="6">
                  <c:v>1</c:v>
                </c:pt>
                <c:pt idx="7">
                  <c:v>1</c:v>
                </c:pt>
                <c:pt idx="8">
                  <c:v>1</c:v>
                </c:pt>
                <c:pt idx="9">
                  <c:v>1</c:v>
                </c:pt>
                <c:pt idx="10">
                  <c:v>1</c:v>
                </c:pt>
              </c:numCache>
              <c:extLst/>
            </c:numRef>
          </c:val>
          <c:smooth val="0"/>
          <c:extLst>
            <c:ext xmlns:c16="http://schemas.microsoft.com/office/drawing/2014/chart" uri="{C3380CC4-5D6E-409C-BE32-E72D297353CC}">
              <c16:uniqueId val="{00000002-A239-413C-A855-9210A12951F4}"/>
            </c:ext>
          </c:extLst>
        </c:ser>
        <c:dLbls>
          <c:showLegendKey val="0"/>
          <c:showVal val="0"/>
          <c:showCatName val="0"/>
          <c:showSerName val="0"/>
          <c:showPercent val="0"/>
          <c:showBubbleSize val="0"/>
        </c:dLbls>
        <c:marker val="1"/>
        <c:smooth val="0"/>
        <c:axId val="555322568"/>
        <c:axId val="555311984"/>
      </c:lineChart>
      <c:catAx>
        <c:axId val="555322568"/>
        <c:scaling>
          <c:orientation val="minMax"/>
        </c:scaling>
        <c:delete val="0"/>
        <c:axPos val="b"/>
        <c:title>
          <c:tx>
            <c:rich>
              <a:bodyPr/>
              <a:lstStyle/>
              <a:p>
                <a:pPr>
                  <a:defRPr/>
                </a:pPr>
                <a:r>
                  <a:rPr lang="en-NZ"/>
                  <a:t>DHB</a:t>
                </a:r>
              </a:p>
            </c:rich>
          </c:tx>
          <c:layout>
            <c:manualLayout>
              <c:xMode val="edge"/>
              <c:yMode val="edge"/>
              <c:x val="0.4761976946405701"/>
              <c:y val="0.91648916308141881"/>
            </c:manualLayout>
          </c:layout>
          <c:overlay val="0"/>
        </c:title>
        <c:numFmt formatCode="General" sourceLinked="0"/>
        <c:majorTickMark val="out"/>
        <c:minorTickMark val="none"/>
        <c:tickLblPos val="nextTo"/>
        <c:spPr>
          <a:ln/>
        </c:spPr>
        <c:txPr>
          <a:bodyPr rot="-5400000" vert="horz"/>
          <a:lstStyle/>
          <a:p>
            <a:pPr>
              <a:defRPr/>
            </a:pPr>
            <a:endParaRPr lang="en-US"/>
          </a:p>
        </c:txPr>
        <c:crossAx val="555311984"/>
        <c:crosses val="autoZero"/>
        <c:auto val="1"/>
        <c:lblAlgn val="ctr"/>
        <c:lblOffset val="100"/>
        <c:noMultiLvlLbl val="0"/>
      </c:catAx>
      <c:valAx>
        <c:axId val="555311984"/>
        <c:scaling>
          <c:orientation val="minMax"/>
          <c:max val="12"/>
        </c:scaling>
        <c:delete val="0"/>
        <c:axPos val="l"/>
        <c:title>
          <c:tx>
            <c:rich>
              <a:bodyPr rot="0" vert="horz"/>
              <a:lstStyle/>
              <a:p>
                <a:pPr>
                  <a:defRPr/>
                </a:pPr>
                <a:r>
                  <a:rPr lang="en-NZ"/>
                  <a:t>Rate ratio of Māori to non-Māori</a:t>
                </a:r>
              </a:p>
            </c:rich>
          </c:tx>
          <c:layout>
            <c:manualLayout>
              <c:xMode val="edge"/>
              <c:yMode val="edge"/>
              <c:x val="0"/>
              <c:y val="1.3113347207620878E-3"/>
            </c:manualLayout>
          </c:layout>
          <c:overlay val="0"/>
        </c:title>
        <c:numFmt formatCode="#,##0" sourceLinked="0"/>
        <c:majorTickMark val="out"/>
        <c:minorTickMark val="none"/>
        <c:tickLblPos val="nextTo"/>
        <c:spPr>
          <a:ln/>
        </c:spPr>
        <c:crossAx val="555322568"/>
        <c:crosses val="autoZero"/>
        <c:crossBetween val="between"/>
      </c:valAx>
    </c:plotArea>
    <c:legend>
      <c:legendPos val="tr"/>
      <c:layout>
        <c:manualLayout>
          <c:xMode val="edge"/>
          <c:yMode val="edge"/>
          <c:x val="0.51961579326963614"/>
          <c:y val="1.9267822736030827E-2"/>
          <c:w val="0.46526514411224612"/>
          <c:h val="0.15371404605352165"/>
        </c:manualLayout>
      </c:layout>
      <c:overlay val="1"/>
    </c:legend>
    <c:plotVisOnly val="1"/>
    <c:dispBlanksAs val="gap"/>
    <c:showDLblsOverMax val="0"/>
  </c:chart>
  <c:spPr>
    <a:ln>
      <a:noFill/>
    </a:ln>
  </c:spPr>
  <c:txPr>
    <a:bodyPr/>
    <a:lstStyle/>
    <a:p>
      <a:pPr>
        <a:defRPr sz="900" b="0"/>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528623348371837E-2"/>
          <c:y val="0.10934242708712506"/>
          <c:w val="0.917240283694579"/>
          <c:h val="0.56345562644085545"/>
        </c:manualLayout>
      </c:layout>
      <c:lineChart>
        <c:grouping val="standard"/>
        <c:varyColors val="0"/>
        <c:ser>
          <c:idx val="0"/>
          <c:order val="0"/>
          <c:tx>
            <c:v>Māori to non-Māori rate ratio</c:v>
          </c:tx>
          <c:spPr>
            <a:ln>
              <a:noFill/>
            </a:ln>
          </c:spPr>
          <c:errBars>
            <c:errDir val="y"/>
            <c:errBarType val="both"/>
            <c:errValType val="cust"/>
            <c:noEndCap val="0"/>
            <c:plus>
              <c:numRef>
                <c:f>'Error bars'!$O$458:$O$477</c:f>
                <c:numCache>
                  <c:formatCode>General</c:formatCode>
                  <c:ptCount val="11"/>
                  <c:pt idx="0">
                    <c:v>0.95310293113956046</c:v>
                  </c:pt>
                  <c:pt idx="1">
                    <c:v>1.5037066764253546</c:v>
                  </c:pt>
                  <c:pt idx="2">
                    <c:v>1.0554126233826429</c:v>
                  </c:pt>
                  <c:pt idx="3">
                    <c:v>0.97704954503007535</c:v>
                  </c:pt>
                  <c:pt idx="4">
                    <c:v>0.93954281740177592</c:v>
                  </c:pt>
                  <c:pt idx="5">
                    <c:v>1.4487253675347178</c:v>
                  </c:pt>
                  <c:pt idx="6">
                    <c:v>1.3248311656753278</c:v>
                  </c:pt>
                  <c:pt idx="7">
                    <c:v>1.7547290651222025</c:v>
                  </c:pt>
                  <c:pt idx="8">
                    <c:v>0.90770979919396577</c:v>
                  </c:pt>
                  <c:pt idx="9">
                    <c:v>0.93790576237522316</c:v>
                  </c:pt>
                  <c:pt idx="10">
                    <c:v>1.7126144496299012</c:v>
                  </c:pt>
                </c:numCache>
                <c:extLst/>
              </c:numRef>
            </c:plus>
            <c:minus>
              <c:numRef>
                <c:f>'Error bars'!$N$458:$N$477</c:f>
                <c:numCache>
                  <c:formatCode>General</c:formatCode>
                  <c:ptCount val="11"/>
                  <c:pt idx="0">
                    <c:v>0.77814136015082358</c:v>
                  </c:pt>
                  <c:pt idx="1">
                    <c:v>1.0755820102764808</c:v>
                  </c:pt>
                  <c:pt idx="2">
                    <c:v>0.81889557228448195</c:v>
                  </c:pt>
                  <c:pt idx="3">
                    <c:v>0.77917942495762293</c:v>
                  </c:pt>
                  <c:pt idx="4">
                    <c:v>0.77256205898679697</c:v>
                  </c:pt>
                  <c:pt idx="5">
                    <c:v>1.0236202737840512</c:v>
                  </c:pt>
                  <c:pt idx="6">
                    <c:v>0.96570773197205151</c:v>
                  </c:pt>
                  <c:pt idx="7">
                    <c:v>1.155250143758924</c:v>
                  </c:pt>
                  <c:pt idx="8">
                    <c:v>0.7584793811655568</c:v>
                  </c:pt>
                  <c:pt idx="9">
                    <c:v>0.76262142395133115</c:v>
                  </c:pt>
                  <c:pt idx="10">
                    <c:v>1.0627877502508987</c:v>
                  </c:pt>
                </c:numCache>
                <c:extLst/>
              </c:numRef>
            </c:minus>
          </c:errBars>
          <c:cat>
            <c:strRef>
              <c:f>'Error bars'!$B$638:$B$657</c:f>
              <c:strCache>
                <c:ptCount val="11"/>
                <c:pt idx="0">
                  <c:v>Auckland</c:v>
                </c:pt>
                <c:pt idx="1">
                  <c:v>Bay of Plenty</c:v>
                </c:pt>
                <c:pt idx="2">
                  <c:v>Canterbury</c:v>
                </c:pt>
                <c:pt idx="3">
                  <c:v>Capital &amp; Coast</c:v>
                </c:pt>
                <c:pt idx="4">
                  <c:v>Counties Manukau</c:v>
                </c:pt>
                <c:pt idx="5">
                  <c:v>Hutt Valley</c:v>
                </c:pt>
                <c:pt idx="6">
                  <c:v>MidCentral</c:v>
                </c:pt>
                <c:pt idx="7">
                  <c:v>Taranaki</c:v>
                </c:pt>
                <c:pt idx="8">
                  <c:v>Waikato</c:v>
                </c:pt>
                <c:pt idx="9">
                  <c:v>Waitematā</c:v>
                </c:pt>
                <c:pt idx="10">
                  <c:v>Whanganui</c:v>
                </c:pt>
              </c:strCache>
              <c:extLst/>
            </c:strRef>
          </c:cat>
          <c:val>
            <c:numRef>
              <c:f>'Error bars'!$K$638:$K$657</c:f>
              <c:numCache>
                <c:formatCode>_-* #,##0.0_-;\-* #,##0.0_-;_-* "-"??_-;_-@_-</c:formatCode>
                <c:ptCount val="11"/>
                <c:pt idx="0">
                  <c:v>2.7981777333999003</c:v>
                </c:pt>
                <c:pt idx="1">
                  <c:v>2.9109305534263377</c:v>
                </c:pt>
                <c:pt idx="2">
                  <c:v>1.3309398972027793</c:v>
                </c:pt>
                <c:pt idx="3">
                  <c:v>5.5837367395540163</c:v>
                </c:pt>
                <c:pt idx="4">
                  <c:v>2.9342364532019709</c:v>
                </c:pt>
                <c:pt idx="5">
                  <c:v>2.3157608695652172</c:v>
                </c:pt>
                <c:pt idx="6">
                  <c:v>3.813103628295484</c:v>
                </c:pt>
                <c:pt idx="7">
                  <c:v>3.9949413193039249</c:v>
                </c:pt>
                <c:pt idx="8">
                  <c:v>6.020833333333333</c:v>
                </c:pt>
                <c:pt idx="9">
                  <c:v>5.0581842159114165</c:v>
                </c:pt>
                <c:pt idx="10">
                  <c:v>2.2208716009364307</c:v>
                </c:pt>
              </c:numCache>
              <c:extLst/>
            </c:numRef>
          </c:val>
          <c:smooth val="0"/>
          <c:extLst>
            <c:ext xmlns:c16="http://schemas.microsoft.com/office/drawing/2014/chart" uri="{C3380CC4-5D6E-409C-BE32-E72D297353CC}">
              <c16:uniqueId val="{00000000-9A35-48DA-B044-5A3130F8D3DE}"/>
            </c:ext>
          </c:extLst>
        </c:ser>
        <c:ser>
          <c:idx val="1"/>
          <c:order val="1"/>
          <c:tx>
            <c:v>New Zealand average</c:v>
          </c:tx>
          <c:marker>
            <c:symbol val="none"/>
          </c:marker>
          <c:cat>
            <c:strRef>
              <c:f>'Error bars'!$B$638:$B$657</c:f>
              <c:strCache>
                <c:ptCount val="11"/>
                <c:pt idx="0">
                  <c:v>Auckland</c:v>
                </c:pt>
                <c:pt idx="1">
                  <c:v>Bay of Plenty</c:v>
                </c:pt>
                <c:pt idx="2">
                  <c:v>Canterbury</c:v>
                </c:pt>
                <c:pt idx="3">
                  <c:v>Capital &amp; Coast</c:v>
                </c:pt>
                <c:pt idx="4">
                  <c:v>Counties Manukau</c:v>
                </c:pt>
                <c:pt idx="5">
                  <c:v>Hutt Valley</c:v>
                </c:pt>
                <c:pt idx="6">
                  <c:v>MidCentral</c:v>
                </c:pt>
                <c:pt idx="7">
                  <c:v>Taranaki</c:v>
                </c:pt>
                <c:pt idx="8">
                  <c:v>Waikato</c:v>
                </c:pt>
                <c:pt idx="9">
                  <c:v>Waitematā</c:v>
                </c:pt>
                <c:pt idx="10">
                  <c:v>Whanganui</c:v>
                </c:pt>
              </c:strCache>
              <c:extLst/>
            </c:strRef>
          </c:cat>
          <c:val>
            <c:numRef>
              <c:f>'Error bars'!$P$638:$P$657</c:f>
              <c:numCache>
                <c:formatCode>0.0</c:formatCode>
                <c:ptCount val="11"/>
                <c:pt idx="0">
                  <c:v>2.7446163796731509</c:v>
                </c:pt>
                <c:pt idx="1">
                  <c:v>2.7446163796731509</c:v>
                </c:pt>
                <c:pt idx="2">
                  <c:v>2.7446163796731509</c:v>
                </c:pt>
                <c:pt idx="3">
                  <c:v>2.7446163796731509</c:v>
                </c:pt>
                <c:pt idx="4">
                  <c:v>2.7446163796731509</c:v>
                </c:pt>
                <c:pt idx="5">
                  <c:v>2.7446163796731509</c:v>
                </c:pt>
                <c:pt idx="6">
                  <c:v>2.7446163796731509</c:v>
                </c:pt>
                <c:pt idx="7">
                  <c:v>2.7446163796731509</c:v>
                </c:pt>
                <c:pt idx="8">
                  <c:v>2.7446163796731509</c:v>
                </c:pt>
                <c:pt idx="9">
                  <c:v>2.7446163796731509</c:v>
                </c:pt>
                <c:pt idx="10">
                  <c:v>2.7446163796731509</c:v>
                </c:pt>
              </c:numCache>
              <c:extLst/>
            </c:numRef>
          </c:val>
          <c:smooth val="0"/>
          <c:extLst>
            <c:ext xmlns:c16="http://schemas.microsoft.com/office/drawing/2014/chart" uri="{C3380CC4-5D6E-409C-BE32-E72D297353CC}">
              <c16:uniqueId val="{00000001-9A35-48DA-B044-5A3130F8D3DE}"/>
            </c:ext>
          </c:extLst>
        </c:ser>
        <c:ser>
          <c:idx val="2"/>
          <c:order val="2"/>
          <c:tx>
            <c:v>No difference (1:1)</c:v>
          </c:tx>
          <c:spPr>
            <a:ln w="28575">
              <a:solidFill>
                <a:srgbClr val="92D050"/>
              </a:solidFill>
            </a:ln>
          </c:spPr>
          <c:marker>
            <c:symbol val="none"/>
          </c:marker>
          <c:cat>
            <c:strRef>
              <c:f>'Error bars'!$B$638:$B$657</c:f>
              <c:strCache>
                <c:ptCount val="11"/>
                <c:pt idx="0">
                  <c:v>Auckland</c:v>
                </c:pt>
                <c:pt idx="1">
                  <c:v>Bay of Plenty</c:v>
                </c:pt>
                <c:pt idx="2">
                  <c:v>Canterbury</c:v>
                </c:pt>
                <c:pt idx="3">
                  <c:v>Capital &amp; Coast</c:v>
                </c:pt>
                <c:pt idx="4">
                  <c:v>Counties Manukau</c:v>
                </c:pt>
                <c:pt idx="5">
                  <c:v>Hutt Valley</c:v>
                </c:pt>
                <c:pt idx="6">
                  <c:v>MidCentral</c:v>
                </c:pt>
                <c:pt idx="7">
                  <c:v>Taranaki</c:v>
                </c:pt>
                <c:pt idx="8">
                  <c:v>Waikato</c:v>
                </c:pt>
                <c:pt idx="9">
                  <c:v>Waitematā</c:v>
                </c:pt>
                <c:pt idx="10">
                  <c:v>Whanganui</c:v>
                </c:pt>
              </c:strCache>
              <c:extLst/>
            </c:strRef>
          </c:cat>
          <c:val>
            <c:numRef>
              <c:f>'Error bars'!$Q$638:$Q$657</c:f>
              <c:numCache>
                <c:formatCode>0.0</c:formatCode>
                <c:ptCount val="11"/>
                <c:pt idx="0">
                  <c:v>1</c:v>
                </c:pt>
                <c:pt idx="1">
                  <c:v>1</c:v>
                </c:pt>
                <c:pt idx="2">
                  <c:v>1</c:v>
                </c:pt>
                <c:pt idx="3">
                  <c:v>1</c:v>
                </c:pt>
                <c:pt idx="4">
                  <c:v>1</c:v>
                </c:pt>
                <c:pt idx="5">
                  <c:v>1</c:v>
                </c:pt>
                <c:pt idx="6">
                  <c:v>1</c:v>
                </c:pt>
                <c:pt idx="7">
                  <c:v>1</c:v>
                </c:pt>
                <c:pt idx="8">
                  <c:v>1</c:v>
                </c:pt>
                <c:pt idx="9">
                  <c:v>1</c:v>
                </c:pt>
                <c:pt idx="10">
                  <c:v>1</c:v>
                </c:pt>
              </c:numCache>
              <c:extLst/>
            </c:numRef>
          </c:val>
          <c:smooth val="0"/>
          <c:extLst>
            <c:ext xmlns:c16="http://schemas.microsoft.com/office/drawing/2014/chart" uri="{C3380CC4-5D6E-409C-BE32-E72D297353CC}">
              <c16:uniqueId val="{00000002-9A35-48DA-B044-5A3130F8D3DE}"/>
            </c:ext>
          </c:extLst>
        </c:ser>
        <c:dLbls>
          <c:showLegendKey val="0"/>
          <c:showVal val="0"/>
          <c:showCatName val="0"/>
          <c:showSerName val="0"/>
          <c:showPercent val="0"/>
          <c:showBubbleSize val="0"/>
        </c:dLbls>
        <c:marker val="1"/>
        <c:smooth val="0"/>
        <c:axId val="555322568"/>
        <c:axId val="555311984"/>
      </c:lineChart>
      <c:catAx>
        <c:axId val="555322568"/>
        <c:scaling>
          <c:orientation val="minMax"/>
        </c:scaling>
        <c:delete val="0"/>
        <c:axPos val="b"/>
        <c:title>
          <c:tx>
            <c:rich>
              <a:bodyPr/>
              <a:lstStyle/>
              <a:p>
                <a:pPr>
                  <a:defRPr b="0"/>
                </a:pPr>
                <a:r>
                  <a:rPr lang="en-NZ" b="0"/>
                  <a:t>DHB</a:t>
                </a:r>
              </a:p>
            </c:rich>
          </c:tx>
          <c:overlay val="0"/>
        </c:title>
        <c:numFmt formatCode="General" sourceLinked="0"/>
        <c:majorTickMark val="out"/>
        <c:minorTickMark val="none"/>
        <c:tickLblPos val="nextTo"/>
        <c:spPr>
          <a:ln/>
        </c:spPr>
        <c:txPr>
          <a:bodyPr rot="-5400000" vert="horz"/>
          <a:lstStyle/>
          <a:p>
            <a:pPr>
              <a:defRPr/>
            </a:pPr>
            <a:endParaRPr lang="en-US"/>
          </a:p>
        </c:txPr>
        <c:crossAx val="555311984"/>
        <c:crosses val="autoZero"/>
        <c:auto val="1"/>
        <c:lblAlgn val="ctr"/>
        <c:lblOffset val="100"/>
        <c:noMultiLvlLbl val="0"/>
      </c:catAx>
      <c:valAx>
        <c:axId val="555311984"/>
        <c:scaling>
          <c:orientation val="minMax"/>
          <c:max val="12"/>
        </c:scaling>
        <c:delete val="0"/>
        <c:axPos val="l"/>
        <c:title>
          <c:tx>
            <c:rich>
              <a:bodyPr rot="0" vert="horz"/>
              <a:lstStyle/>
              <a:p>
                <a:pPr>
                  <a:defRPr b="0"/>
                </a:pPr>
                <a:r>
                  <a:rPr lang="en-NZ" sz="900" b="0"/>
                  <a:t>Rate ratio of Māori to</a:t>
                </a:r>
                <a:r>
                  <a:rPr lang="en-NZ" sz="900" b="0" baseline="0"/>
                  <a:t> non-Māori</a:t>
                </a:r>
              </a:p>
            </c:rich>
          </c:tx>
          <c:layout>
            <c:manualLayout>
              <c:xMode val="edge"/>
              <c:yMode val="edge"/>
              <c:x val="1.7328877336303998E-2"/>
              <c:y val="3.1876069839096273E-3"/>
            </c:manualLayout>
          </c:layout>
          <c:overlay val="0"/>
        </c:title>
        <c:numFmt formatCode="#,##0" sourceLinked="0"/>
        <c:majorTickMark val="out"/>
        <c:minorTickMark val="none"/>
        <c:tickLblPos val="nextTo"/>
        <c:spPr>
          <a:ln/>
        </c:spPr>
        <c:crossAx val="555322568"/>
        <c:crosses val="autoZero"/>
        <c:crossBetween val="between"/>
      </c:valAx>
    </c:plotArea>
    <c:legend>
      <c:legendPos val="tr"/>
      <c:layout>
        <c:manualLayout>
          <c:xMode val="edge"/>
          <c:yMode val="edge"/>
          <c:x val="0.64438668151999012"/>
          <c:y val="2.6086956521739129E-2"/>
          <c:w val="0.34075999504889221"/>
          <c:h val="0.19402327969873331"/>
        </c:manualLayout>
      </c:layout>
      <c:overlay val="1"/>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75743657042868E-2"/>
          <c:y val="8.7301587301587297E-2"/>
          <c:w val="0.90777960046660822"/>
          <c:h val="0.73126092115197927"/>
        </c:manualLayout>
      </c:layout>
      <c:barChart>
        <c:barDir val="col"/>
        <c:grouping val="clustered"/>
        <c:varyColors val="0"/>
        <c:ser>
          <c:idx val="0"/>
          <c:order val="0"/>
          <c:tx>
            <c:strRef>
              <c:f>Sheet1!$B$1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Section 10</c:v>
                </c:pt>
                <c:pt idx="1">
                  <c:v>Section 12</c:v>
                </c:pt>
                <c:pt idx="2">
                  <c:v>Section 14</c:v>
                </c:pt>
                <c:pt idx="3">
                  <c:v>Section 76</c:v>
                </c:pt>
                <c:pt idx="4">
                  <c:v>Release</c:v>
                </c:pt>
              </c:strCache>
            </c:strRef>
          </c:cat>
          <c:val>
            <c:numRef>
              <c:f>Sheet1!$B$2:$B$6</c:f>
              <c:numCache>
                <c:formatCode>0%</c:formatCode>
                <c:ptCount val="5"/>
                <c:pt idx="0">
                  <c:v>0.67</c:v>
                </c:pt>
                <c:pt idx="1">
                  <c:v>0.69</c:v>
                </c:pt>
                <c:pt idx="2">
                  <c:v>0.68</c:v>
                </c:pt>
                <c:pt idx="3">
                  <c:v>0.54</c:v>
                </c:pt>
                <c:pt idx="4">
                  <c:v>0.63</c:v>
                </c:pt>
              </c:numCache>
            </c:numRef>
          </c:val>
          <c:extLst>
            <c:ext xmlns:c16="http://schemas.microsoft.com/office/drawing/2014/chart" uri="{C3380CC4-5D6E-409C-BE32-E72D297353CC}">
              <c16:uniqueId val="{00000000-D91A-45F2-877E-024B120E65FE}"/>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Section 10</c:v>
                </c:pt>
                <c:pt idx="1">
                  <c:v>Section 12</c:v>
                </c:pt>
                <c:pt idx="2">
                  <c:v>Section 14</c:v>
                </c:pt>
                <c:pt idx="3">
                  <c:v>Section 76</c:v>
                </c:pt>
                <c:pt idx="4">
                  <c:v>Release</c:v>
                </c:pt>
              </c:strCache>
            </c:strRef>
          </c:cat>
          <c:val>
            <c:numRef>
              <c:f>Sheet1!$C$2:$C$6</c:f>
              <c:numCache>
                <c:formatCode>0%</c:formatCode>
                <c:ptCount val="5"/>
                <c:pt idx="0">
                  <c:v>0.67</c:v>
                </c:pt>
                <c:pt idx="1">
                  <c:v>0.66</c:v>
                </c:pt>
                <c:pt idx="2">
                  <c:v>0.7</c:v>
                </c:pt>
                <c:pt idx="3">
                  <c:v>0.56000000000000005</c:v>
                </c:pt>
                <c:pt idx="4">
                  <c:v>0.7</c:v>
                </c:pt>
              </c:numCache>
            </c:numRef>
          </c:val>
          <c:extLst>
            <c:ext xmlns:c16="http://schemas.microsoft.com/office/drawing/2014/chart" uri="{C3380CC4-5D6E-409C-BE32-E72D297353CC}">
              <c16:uniqueId val="{00000001-D91A-45F2-877E-024B120E65FE}"/>
            </c:ext>
          </c:extLst>
        </c:ser>
        <c:dLbls>
          <c:dLblPos val="ctr"/>
          <c:showLegendKey val="0"/>
          <c:showVal val="1"/>
          <c:showCatName val="0"/>
          <c:showSerName val="0"/>
          <c:showPercent val="0"/>
          <c:showBubbleSize val="0"/>
        </c:dLbls>
        <c:gapWidth val="219"/>
        <c:overlap val="-27"/>
        <c:axId val="757862704"/>
        <c:axId val="757862376"/>
      </c:barChart>
      <c:catAx>
        <c:axId val="75786270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Assessment/treatment event</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7862376"/>
        <c:crosses val="autoZero"/>
        <c:auto val="1"/>
        <c:lblAlgn val="ctr"/>
        <c:lblOffset val="100"/>
        <c:noMultiLvlLbl val="0"/>
      </c:catAx>
      <c:valAx>
        <c:axId val="757862376"/>
        <c:scaling>
          <c:orientation val="minMax"/>
          <c:max val="1"/>
        </c:scaling>
        <c:delete val="0"/>
        <c:axPos val="l"/>
        <c:majorGridlines>
          <c:spPr>
            <a:ln w="9525" cap="flat" cmpd="sng" algn="ctr">
              <a:no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NZ"/>
                  <a:t>Percentage</a:t>
                </a:r>
              </a:p>
            </c:rich>
          </c:tx>
          <c:layout>
            <c:manualLayout>
              <c:xMode val="edge"/>
              <c:yMode val="edge"/>
              <c:x val="0"/>
              <c:y val="1.0248718910136046E-3"/>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7862704"/>
        <c:crosses val="autoZero"/>
        <c:crossBetween val="between"/>
      </c:valAx>
      <c:spPr>
        <a:noFill/>
        <a:ln>
          <a:noFill/>
        </a:ln>
        <a:effectLst/>
      </c:spPr>
    </c:plotArea>
    <c:legend>
      <c:legendPos val="tr"/>
      <c:layout>
        <c:manualLayout>
          <c:xMode val="edge"/>
          <c:yMode val="edge"/>
          <c:x val="0.85850339020122479"/>
          <c:y val="2.1917808219178082E-2"/>
          <c:w val="0.12760772090988626"/>
          <c:h val="0.1634711825405386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914260717410319E-2"/>
          <c:y val="0.10104221587843844"/>
          <c:w val="0.87975240594925641"/>
          <c:h val="0.57447886273099114"/>
        </c:manualLayout>
      </c:layout>
      <c:barChart>
        <c:barDir val="col"/>
        <c:grouping val="clustered"/>
        <c:varyColors val="0"/>
        <c:ser>
          <c:idx val="0"/>
          <c:order val="0"/>
          <c:tx>
            <c:v>Percentage of consultation</c:v>
          </c:tx>
          <c:spPr>
            <a:solidFill>
              <a:schemeClr val="accent1"/>
            </a:solidFill>
            <a:ln>
              <a:noFill/>
            </a:ln>
            <a:effectLst/>
          </c:spPr>
          <c:invertIfNegative val="0"/>
          <c:cat>
            <c:strRef>
              <c:f>'7A'!$A$5:$A$24</c:f>
              <c:strCache>
                <c:ptCount val="19"/>
                <c:pt idx="0">
                  <c:v> Auckland </c:v>
                </c:pt>
                <c:pt idx="1">
                  <c:v>Bay of Plenty </c:v>
                </c:pt>
                <c:pt idx="2">
                  <c:v>Capital &amp; Coast </c:v>
                </c:pt>
                <c:pt idx="3">
                  <c:v>Canterbury </c:v>
                </c:pt>
                <c:pt idx="4">
                  <c:v>Counties Manukau </c:v>
                </c:pt>
                <c:pt idx="5">
                  <c:v>Hawke's Bay </c:v>
                </c:pt>
                <c:pt idx="6">
                  <c:v>Hutt Valley </c:v>
                </c:pt>
                <c:pt idx="7">
                  <c:v>Lakes </c:v>
                </c:pt>
                <c:pt idx="8">
                  <c:v>MidCentral </c:v>
                </c:pt>
                <c:pt idx="9">
                  <c:v>Northland</c:v>
                </c:pt>
                <c:pt idx="10">
                  <c:v>South Canterbury </c:v>
                </c:pt>
                <c:pt idx="11">
                  <c:v>Southern</c:v>
                </c:pt>
                <c:pt idx="12">
                  <c:v>Tairāwhiti </c:v>
                </c:pt>
                <c:pt idx="13">
                  <c:v>Taranaki </c:v>
                </c:pt>
                <c:pt idx="14">
                  <c:v>Waikato</c:v>
                </c:pt>
                <c:pt idx="15">
                  <c:v>Waitematā </c:v>
                </c:pt>
                <c:pt idx="16">
                  <c:v>Wairarapa</c:v>
                </c:pt>
                <c:pt idx="17">
                  <c:v>West Coast</c:v>
                </c:pt>
                <c:pt idx="18">
                  <c:v>Whanganui</c:v>
                </c:pt>
              </c:strCache>
              <c:extLst/>
            </c:strRef>
          </c:cat>
          <c:val>
            <c:numRef>
              <c:f>'7A'!$G$5:$G$24</c:f>
              <c:numCache>
                <c:formatCode>0%</c:formatCode>
                <c:ptCount val="19"/>
                <c:pt idx="0">
                  <c:v>0.61599999999999999</c:v>
                </c:pt>
                <c:pt idx="1">
                  <c:v>0.62</c:v>
                </c:pt>
                <c:pt idx="2">
                  <c:v>0.65</c:v>
                </c:pt>
                <c:pt idx="3">
                  <c:v>0.69299999999999995</c:v>
                </c:pt>
                <c:pt idx="4">
                  <c:v>0.502</c:v>
                </c:pt>
                <c:pt idx="5">
                  <c:v>0.57999999999999996</c:v>
                </c:pt>
                <c:pt idx="6">
                  <c:v>0.64</c:v>
                </c:pt>
                <c:pt idx="7">
                  <c:v>0.57999999999999996</c:v>
                </c:pt>
                <c:pt idx="8">
                  <c:v>0.55000000000000004</c:v>
                </c:pt>
                <c:pt idx="9">
                  <c:v>0.53</c:v>
                </c:pt>
                <c:pt idx="10">
                  <c:v>0.56999999999999995</c:v>
                </c:pt>
                <c:pt idx="11">
                  <c:v>0.65</c:v>
                </c:pt>
                <c:pt idx="12">
                  <c:v>0.57599999999999996</c:v>
                </c:pt>
                <c:pt idx="13">
                  <c:v>0.71</c:v>
                </c:pt>
                <c:pt idx="14">
                  <c:v>0.6</c:v>
                </c:pt>
                <c:pt idx="15">
                  <c:v>0.64</c:v>
                </c:pt>
                <c:pt idx="16">
                  <c:v>0.74</c:v>
                </c:pt>
                <c:pt idx="17">
                  <c:v>0.58499999999999996</c:v>
                </c:pt>
                <c:pt idx="18">
                  <c:v>0.69</c:v>
                </c:pt>
              </c:numCache>
              <c:extLst/>
            </c:numRef>
          </c:val>
          <c:extLst>
            <c:ext xmlns:c16="http://schemas.microsoft.com/office/drawing/2014/chart" uri="{C3380CC4-5D6E-409C-BE32-E72D297353CC}">
              <c16:uniqueId val="{00000000-8E61-41B8-B7CB-D703A6D2E343}"/>
            </c:ext>
          </c:extLst>
        </c:ser>
        <c:dLbls>
          <c:showLegendKey val="0"/>
          <c:showVal val="0"/>
          <c:showCatName val="0"/>
          <c:showSerName val="0"/>
          <c:showPercent val="0"/>
          <c:showBubbleSize val="0"/>
        </c:dLbls>
        <c:gapWidth val="219"/>
        <c:overlap val="-27"/>
        <c:axId val="829561232"/>
        <c:axId val="829555000"/>
      </c:barChart>
      <c:lineChart>
        <c:grouping val="standard"/>
        <c:varyColors val="0"/>
        <c:ser>
          <c:idx val="1"/>
          <c:order val="1"/>
          <c:tx>
            <c:v>New Zealand average</c:v>
          </c:tx>
          <c:spPr>
            <a:ln w="28575" cap="rnd">
              <a:solidFill>
                <a:schemeClr val="accent2"/>
              </a:solidFill>
              <a:round/>
            </a:ln>
            <a:effectLst/>
          </c:spPr>
          <c:marker>
            <c:symbol val="none"/>
          </c:marker>
          <c:cat>
            <c:strRef>
              <c:f>'7A'!$A$5:$A$24</c:f>
              <c:strCache>
                <c:ptCount val="19"/>
                <c:pt idx="0">
                  <c:v> Auckland </c:v>
                </c:pt>
                <c:pt idx="1">
                  <c:v>Bay of Plenty </c:v>
                </c:pt>
                <c:pt idx="2">
                  <c:v>Capital &amp; Coast </c:v>
                </c:pt>
                <c:pt idx="3">
                  <c:v>Canterbury </c:v>
                </c:pt>
                <c:pt idx="4">
                  <c:v>Counties Manukau </c:v>
                </c:pt>
                <c:pt idx="5">
                  <c:v>Hawke's Bay </c:v>
                </c:pt>
                <c:pt idx="6">
                  <c:v>Hutt Valley </c:v>
                </c:pt>
                <c:pt idx="7">
                  <c:v>Lakes </c:v>
                </c:pt>
                <c:pt idx="8">
                  <c:v>MidCentral </c:v>
                </c:pt>
                <c:pt idx="9">
                  <c:v>Northland</c:v>
                </c:pt>
                <c:pt idx="10">
                  <c:v>South Canterbury </c:v>
                </c:pt>
                <c:pt idx="11">
                  <c:v>Southern</c:v>
                </c:pt>
                <c:pt idx="12">
                  <c:v>Tairāwhiti </c:v>
                </c:pt>
                <c:pt idx="13">
                  <c:v>Taranaki </c:v>
                </c:pt>
                <c:pt idx="14">
                  <c:v>Waikato</c:v>
                </c:pt>
                <c:pt idx="15">
                  <c:v>Waitematā </c:v>
                </c:pt>
                <c:pt idx="16">
                  <c:v>Wairarapa</c:v>
                </c:pt>
                <c:pt idx="17">
                  <c:v>West Coast</c:v>
                </c:pt>
                <c:pt idx="18">
                  <c:v>Whanganui</c:v>
                </c:pt>
              </c:strCache>
              <c:extLst/>
            </c:strRef>
          </c:cat>
          <c:val>
            <c:numRef>
              <c:f>'7A'!$H$5:$H$24</c:f>
              <c:numCache>
                <c:formatCode>0%</c:formatCode>
                <c:ptCount val="19"/>
                <c:pt idx="0">
                  <c:v>0.61694736842105258</c:v>
                </c:pt>
                <c:pt idx="1">
                  <c:v>0.61694736842105258</c:v>
                </c:pt>
                <c:pt idx="2">
                  <c:v>0.61694736842105258</c:v>
                </c:pt>
                <c:pt idx="3">
                  <c:v>0.61694736842105258</c:v>
                </c:pt>
                <c:pt idx="4">
                  <c:v>0.61694736842105258</c:v>
                </c:pt>
                <c:pt idx="5">
                  <c:v>0.61694736842105258</c:v>
                </c:pt>
                <c:pt idx="6">
                  <c:v>0.61694736842105258</c:v>
                </c:pt>
                <c:pt idx="7">
                  <c:v>0.61694736842105258</c:v>
                </c:pt>
                <c:pt idx="8">
                  <c:v>0.61694736842105258</c:v>
                </c:pt>
                <c:pt idx="9">
                  <c:v>0.61694736842105258</c:v>
                </c:pt>
                <c:pt idx="10">
                  <c:v>0.61694736842105258</c:v>
                </c:pt>
                <c:pt idx="11">
                  <c:v>0.61694736842105258</c:v>
                </c:pt>
                <c:pt idx="12">
                  <c:v>0.61694736842105258</c:v>
                </c:pt>
                <c:pt idx="13">
                  <c:v>0.61694736842105258</c:v>
                </c:pt>
                <c:pt idx="14">
                  <c:v>0.61694736842105258</c:v>
                </c:pt>
                <c:pt idx="15">
                  <c:v>0.61694736842105258</c:v>
                </c:pt>
                <c:pt idx="16">
                  <c:v>0.61694736842105258</c:v>
                </c:pt>
                <c:pt idx="17">
                  <c:v>0.61694736842105258</c:v>
                </c:pt>
                <c:pt idx="18">
                  <c:v>0.61694736842105258</c:v>
                </c:pt>
              </c:numCache>
              <c:extLst/>
            </c:numRef>
          </c:val>
          <c:smooth val="0"/>
          <c:extLst>
            <c:ext xmlns:c16="http://schemas.microsoft.com/office/drawing/2014/chart" uri="{C3380CC4-5D6E-409C-BE32-E72D297353CC}">
              <c16:uniqueId val="{00000001-8E61-41B8-B7CB-D703A6D2E343}"/>
            </c:ext>
          </c:extLst>
        </c:ser>
        <c:dLbls>
          <c:showLegendKey val="0"/>
          <c:showVal val="0"/>
          <c:showCatName val="0"/>
          <c:showSerName val="0"/>
          <c:showPercent val="0"/>
          <c:showBubbleSize val="0"/>
        </c:dLbls>
        <c:marker val="1"/>
        <c:smooth val="0"/>
        <c:axId val="829561232"/>
        <c:axId val="829555000"/>
      </c:lineChart>
      <c:catAx>
        <c:axId val="829561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DHB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555000"/>
        <c:crosses val="autoZero"/>
        <c:auto val="1"/>
        <c:lblAlgn val="ctr"/>
        <c:lblOffset val="100"/>
        <c:noMultiLvlLbl val="0"/>
      </c:catAx>
      <c:valAx>
        <c:axId val="829555000"/>
        <c:scaling>
          <c:orientation val="minMax"/>
          <c:max val="1"/>
        </c:scaling>
        <c:delete val="0"/>
        <c:axPos val="l"/>
        <c:majorGridlines>
          <c:spPr>
            <a:ln w="9525" cap="flat" cmpd="sng" algn="ctr">
              <a:no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Percentage</a:t>
                </a:r>
              </a:p>
            </c:rich>
          </c:tx>
          <c:layout>
            <c:manualLayout>
              <c:xMode val="edge"/>
              <c:yMode val="edge"/>
              <c:x val="0"/>
              <c:y val="1.8354064531764761E-3"/>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561232"/>
        <c:crosses val="autoZero"/>
        <c:crossBetween val="between"/>
      </c:valAx>
      <c:spPr>
        <a:noFill/>
        <a:ln>
          <a:noFill/>
        </a:ln>
        <a:effectLst/>
      </c:spPr>
    </c:plotArea>
    <c:legend>
      <c:legendPos val="tr"/>
      <c:layout>
        <c:manualLayout>
          <c:xMode val="edge"/>
          <c:yMode val="edge"/>
          <c:x val="0.61762423447069115"/>
          <c:y val="2.3317434433485794E-2"/>
          <c:w val="0.36570909886264219"/>
          <c:h val="0.10298717143302159"/>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697801398152176E-2"/>
          <c:y val="7.8431372549019607E-2"/>
          <c:w val="0.89325885889502821"/>
          <c:h val="0.57328741835659291"/>
        </c:manualLayout>
      </c:layout>
      <c:barChart>
        <c:barDir val="col"/>
        <c:grouping val="clustered"/>
        <c:varyColors val="0"/>
        <c:ser>
          <c:idx val="0"/>
          <c:order val="0"/>
          <c:tx>
            <c:v>Percentage of consultation</c:v>
          </c:tx>
          <c:spPr>
            <a:solidFill>
              <a:schemeClr val="accent1"/>
            </a:solidFill>
            <a:ln>
              <a:noFill/>
            </a:ln>
            <a:effectLst/>
          </c:spPr>
          <c:invertIfNegative val="0"/>
          <c:cat>
            <c:strRef>
              <c:f>'DHB data minus Tairā &amp; NMDHB'!$L$30:$L$47</c:f>
              <c:strCache>
                <c:ptCount val="18"/>
                <c:pt idx="0">
                  <c:v>Auckland</c:v>
                </c:pt>
                <c:pt idx="1">
                  <c:v>Bay of Plenty</c:v>
                </c:pt>
                <c:pt idx="2">
                  <c:v>Canterbury</c:v>
                </c:pt>
                <c:pt idx="3">
                  <c:v>Capital and Coast</c:v>
                </c:pt>
                <c:pt idx="4">
                  <c:v>Counties Manukau</c:v>
                </c:pt>
                <c:pt idx="5">
                  <c:v>Hawke's Bay</c:v>
                </c:pt>
                <c:pt idx="6">
                  <c:v>Hutt Valley</c:v>
                </c:pt>
                <c:pt idx="7">
                  <c:v>Lakes</c:v>
                </c:pt>
                <c:pt idx="8">
                  <c:v>MidCentral</c:v>
                </c:pt>
                <c:pt idx="9">
                  <c:v>Northland</c:v>
                </c:pt>
                <c:pt idx="10">
                  <c:v>Taranaki</c:v>
                </c:pt>
                <c:pt idx="11">
                  <c:v>South Canterbury</c:v>
                </c:pt>
                <c:pt idx="12">
                  <c:v>Southern</c:v>
                </c:pt>
                <c:pt idx="13">
                  <c:v>Waikato</c:v>
                </c:pt>
                <c:pt idx="14">
                  <c:v>Wairarapa</c:v>
                </c:pt>
                <c:pt idx="15">
                  <c:v>Waitematā</c:v>
                </c:pt>
                <c:pt idx="16">
                  <c:v>West Coast</c:v>
                </c:pt>
                <c:pt idx="17">
                  <c:v>Whanganui</c:v>
                </c:pt>
              </c:strCache>
            </c:strRef>
          </c:cat>
          <c:val>
            <c:numRef>
              <c:f>'DHB data minus Tairā &amp; NMDHB'!$M$30:$M$47</c:f>
              <c:numCache>
                <c:formatCode>0%</c:formatCode>
                <c:ptCount val="18"/>
                <c:pt idx="0">
                  <c:v>0.71419437340153458</c:v>
                </c:pt>
                <c:pt idx="1">
                  <c:v>0.70128205128205123</c:v>
                </c:pt>
                <c:pt idx="2">
                  <c:v>0.68001271051795364</c:v>
                </c:pt>
                <c:pt idx="3">
                  <c:v>0.66385542168674694</c:v>
                </c:pt>
                <c:pt idx="4">
                  <c:v>0.54337231968810917</c:v>
                </c:pt>
                <c:pt idx="5">
                  <c:v>0.72160356347438748</c:v>
                </c:pt>
                <c:pt idx="6">
                  <c:v>0.67375886524822692</c:v>
                </c:pt>
                <c:pt idx="7">
                  <c:v>0.66266866566716642</c:v>
                </c:pt>
                <c:pt idx="8">
                  <c:v>0.57278481012658233</c:v>
                </c:pt>
                <c:pt idx="9">
                  <c:v>0.50343773873185638</c:v>
                </c:pt>
                <c:pt idx="10">
                  <c:v>0.73899371069182385</c:v>
                </c:pt>
                <c:pt idx="11">
                  <c:v>0.85398230088495575</c:v>
                </c:pt>
                <c:pt idx="12">
                  <c:v>0.62909836065573765</c:v>
                </c:pt>
                <c:pt idx="13">
                  <c:v>0.60488245931283902</c:v>
                </c:pt>
                <c:pt idx="14">
                  <c:v>0.63157894736842102</c:v>
                </c:pt>
                <c:pt idx="15">
                  <c:v>0.68992537313432833</c:v>
                </c:pt>
                <c:pt idx="16">
                  <c:v>0.61290322580645162</c:v>
                </c:pt>
                <c:pt idx="17">
                  <c:v>0.61564625850340138</c:v>
                </c:pt>
              </c:numCache>
            </c:numRef>
          </c:val>
          <c:extLst>
            <c:ext xmlns:c16="http://schemas.microsoft.com/office/drawing/2014/chart" uri="{C3380CC4-5D6E-409C-BE32-E72D297353CC}">
              <c16:uniqueId val="{00000000-547D-415A-93AE-7A7D70DE1DA4}"/>
            </c:ext>
          </c:extLst>
        </c:ser>
        <c:dLbls>
          <c:showLegendKey val="0"/>
          <c:showVal val="0"/>
          <c:showCatName val="0"/>
          <c:showSerName val="0"/>
          <c:showPercent val="0"/>
          <c:showBubbleSize val="0"/>
        </c:dLbls>
        <c:gapWidth val="219"/>
        <c:overlap val="-27"/>
        <c:axId val="716562280"/>
        <c:axId val="716569168"/>
      </c:barChart>
      <c:lineChart>
        <c:grouping val="standard"/>
        <c:varyColors val="0"/>
        <c:ser>
          <c:idx val="1"/>
          <c:order val="1"/>
          <c:tx>
            <c:v>New Zealand average</c:v>
          </c:tx>
          <c:spPr>
            <a:ln w="28575" cap="rnd">
              <a:solidFill>
                <a:schemeClr val="accent2"/>
              </a:solidFill>
              <a:round/>
            </a:ln>
            <a:effectLst/>
          </c:spPr>
          <c:marker>
            <c:symbol val="none"/>
          </c:marker>
          <c:cat>
            <c:strRef>
              <c:f>'DHB data minus Tairā &amp; NMDHB'!$L$30:$L$47</c:f>
              <c:strCache>
                <c:ptCount val="18"/>
                <c:pt idx="0">
                  <c:v>Auckland</c:v>
                </c:pt>
                <c:pt idx="1">
                  <c:v>Bay of Plenty</c:v>
                </c:pt>
                <c:pt idx="2">
                  <c:v>Canterbury</c:v>
                </c:pt>
                <c:pt idx="3">
                  <c:v>Capital and Coast</c:v>
                </c:pt>
                <c:pt idx="4">
                  <c:v>Counties Manukau</c:v>
                </c:pt>
                <c:pt idx="5">
                  <c:v>Hawke's Bay</c:v>
                </c:pt>
                <c:pt idx="6">
                  <c:v>Hutt Valley</c:v>
                </c:pt>
                <c:pt idx="7">
                  <c:v>Lakes</c:v>
                </c:pt>
                <c:pt idx="8">
                  <c:v>MidCentral</c:v>
                </c:pt>
                <c:pt idx="9">
                  <c:v>Northland</c:v>
                </c:pt>
                <c:pt idx="10">
                  <c:v>Taranaki</c:v>
                </c:pt>
                <c:pt idx="11">
                  <c:v>South Canterbury</c:v>
                </c:pt>
                <c:pt idx="12">
                  <c:v>Southern</c:v>
                </c:pt>
                <c:pt idx="13">
                  <c:v>Waikato</c:v>
                </c:pt>
                <c:pt idx="14">
                  <c:v>Wairarapa</c:v>
                </c:pt>
                <c:pt idx="15">
                  <c:v>Waitematā</c:v>
                </c:pt>
                <c:pt idx="16">
                  <c:v>West Coast</c:v>
                </c:pt>
                <c:pt idx="17">
                  <c:v>Whanganui</c:v>
                </c:pt>
              </c:strCache>
            </c:strRef>
          </c:cat>
          <c:val>
            <c:numRef>
              <c:f>'DHB data minus Tairā &amp; NMDHB'!$N$30:$N$47</c:f>
              <c:numCache>
                <c:formatCode>0%</c:formatCode>
                <c:ptCount val="18"/>
                <c:pt idx="0">
                  <c:v>0.66</c:v>
                </c:pt>
                <c:pt idx="1">
                  <c:v>0.66</c:v>
                </c:pt>
                <c:pt idx="2">
                  <c:v>0.66</c:v>
                </c:pt>
                <c:pt idx="3">
                  <c:v>0.66</c:v>
                </c:pt>
                <c:pt idx="4">
                  <c:v>0.66</c:v>
                </c:pt>
                <c:pt idx="5">
                  <c:v>0.66</c:v>
                </c:pt>
                <c:pt idx="6">
                  <c:v>0.66</c:v>
                </c:pt>
                <c:pt idx="7">
                  <c:v>0.66</c:v>
                </c:pt>
                <c:pt idx="8">
                  <c:v>0.66</c:v>
                </c:pt>
                <c:pt idx="9">
                  <c:v>0.66</c:v>
                </c:pt>
                <c:pt idx="10">
                  <c:v>0.66</c:v>
                </c:pt>
                <c:pt idx="11">
                  <c:v>0.66</c:v>
                </c:pt>
                <c:pt idx="12">
                  <c:v>0.66</c:v>
                </c:pt>
                <c:pt idx="13">
                  <c:v>0.66</c:v>
                </c:pt>
                <c:pt idx="14">
                  <c:v>0.66</c:v>
                </c:pt>
                <c:pt idx="15">
                  <c:v>0.66</c:v>
                </c:pt>
                <c:pt idx="16">
                  <c:v>0.66</c:v>
                </c:pt>
                <c:pt idx="17">
                  <c:v>0.66</c:v>
                </c:pt>
              </c:numCache>
            </c:numRef>
          </c:val>
          <c:smooth val="0"/>
          <c:extLst>
            <c:ext xmlns:c16="http://schemas.microsoft.com/office/drawing/2014/chart" uri="{C3380CC4-5D6E-409C-BE32-E72D297353CC}">
              <c16:uniqueId val="{00000001-547D-415A-93AE-7A7D70DE1DA4}"/>
            </c:ext>
          </c:extLst>
        </c:ser>
        <c:dLbls>
          <c:showLegendKey val="0"/>
          <c:showVal val="0"/>
          <c:showCatName val="0"/>
          <c:showSerName val="0"/>
          <c:showPercent val="0"/>
          <c:showBubbleSize val="0"/>
        </c:dLbls>
        <c:marker val="1"/>
        <c:smooth val="0"/>
        <c:axId val="716562280"/>
        <c:axId val="716569168"/>
      </c:lineChart>
      <c:catAx>
        <c:axId val="716562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DHB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569168"/>
        <c:crosses val="autoZero"/>
        <c:auto val="1"/>
        <c:lblAlgn val="ctr"/>
        <c:lblOffset val="100"/>
        <c:noMultiLvlLbl val="0"/>
      </c:catAx>
      <c:valAx>
        <c:axId val="716569168"/>
        <c:scaling>
          <c:orientation val="minMax"/>
          <c:max val="1"/>
        </c:scaling>
        <c:delete val="0"/>
        <c:axPos val="l"/>
        <c:majorGridlines>
          <c:spPr>
            <a:ln w="9525" cap="flat" cmpd="sng" algn="ctr">
              <a:no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Percentage</a:t>
                </a:r>
              </a:p>
            </c:rich>
          </c:tx>
          <c:layout>
            <c:manualLayout>
              <c:xMode val="edge"/>
              <c:yMode val="edge"/>
              <c:x val="0"/>
              <c:y val="1.554127984641286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562280"/>
        <c:crosses val="autoZero"/>
        <c:crossBetween val="between"/>
      </c:valAx>
      <c:spPr>
        <a:noFill/>
        <a:ln>
          <a:noFill/>
        </a:ln>
        <a:effectLst/>
      </c:spPr>
    </c:plotArea>
    <c:legend>
      <c:legendPos val="tr"/>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15042237367388"/>
          <c:y val="0.1690086816071068"/>
          <c:w val="0.51488122808178394"/>
          <c:h val="0.72509900759446488"/>
        </c:manualLayout>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3DF8-4545-9C98-BEB637A55381}"/>
              </c:ext>
            </c:extLst>
          </c:dPt>
          <c:dPt>
            <c:idx val="1"/>
            <c:bubble3D val="0"/>
            <c:spPr>
              <a:solidFill>
                <a:schemeClr val="accent2"/>
              </a:solidFill>
              <a:ln>
                <a:noFill/>
              </a:ln>
              <a:effectLst/>
            </c:spPr>
            <c:extLst>
              <c:ext xmlns:c16="http://schemas.microsoft.com/office/drawing/2014/chart" uri="{C3380CC4-5D6E-409C-BE32-E72D297353CC}">
                <c16:uniqueId val="{00000003-3DF8-4545-9C98-BEB637A55381}"/>
              </c:ext>
            </c:extLst>
          </c:dPt>
          <c:dPt>
            <c:idx val="2"/>
            <c:bubble3D val="0"/>
            <c:spPr>
              <a:solidFill>
                <a:schemeClr val="accent3"/>
              </a:solidFill>
              <a:ln>
                <a:noFill/>
              </a:ln>
              <a:effectLst/>
            </c:spPr>
            <c:extLst>
              <c:ext xmlns:c16="http://schemas.microsoft.com/office/drawing/2014/chart" uri="{C3380CC4-5D6E-409C-BE32-E72D297353CC}">
                <c16:uniqueId val="{00000005-3DF8-4545-9C98-BEB637A55381}"/>
              </c:ext>
            </c:extLst>
          </c:dPt>
          <c:dPt>
            <c:idx val="3"/>
            <c:bubble3D val="0"/>
            <c:spPr>
              <a:solidFill>
                <a:schemeClr val="accent4"/>
              </a:solidFill>
              <a:ln>
                <a:noFill/>
              </a:ln>
              <a:effectLst/>
            </c:spPr>
            <c:extLst>
              <c:ext xmlns:c16="http://schemas.microsoft.com/office/drawing/2014/chart" uri="{C3380CC4-5D6E-409C-BE32-E72D297353CC}">
                <c16:uniqueId val="{00000007-3DF8-4545-9C98-BEB637A55381}"/>
              </c:ext>
            </c:extLst>
          </c:dPt>
          <c:dLbls>
            <c:dLbl>
              <c:idx val="0"/>
              <c:layout>
                <c:manualLayout>
                  <c:x val="7.8229559540351573E-2"/>
                  <c:y val="-0.16188685900428454"/>
                </c:manualLayout>
              </c:layout>
              <c:tx>
                <c:rich>
                  <a:bodyPr/>
                  <a:lstStyle/>
                  <a:p>
                    <a:r>
                      <a:rPr lang="en-US"/>
                      <a:t>Not practicable</a:t>
                    </a:r>
                    <a:r>
                      <a:rPr lang="en-US" baseline="0"/>
                      <a:t>
</a:t>
                    </a:r>
                    <a:fld id="{237E5552-7341-4B29-923C-CBB1656565E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DF8-4545-9C98-BEB637A55381}"/>
                </c:ext>
              </c:extLst>
            </c:dLbl>
            <c:dLbl>
              <c:idx val="1"/>
              <c:layout>
                <c:manualLayout>
                  <c:x val="-2.6304589587886496E-2"/>
                  <c:y val="7.9920326164762995E-2"/>
                </c:manualLayout>
              </c:layout>
              <c:tx>
                <c:rich>
                  <a:bodyPr/>
                  <a:lstStyle/>
                  <a:p>
                    <a:r>
                      <a:rPr lang="en-US"/>
                      <a:t>Not in best interests</a:t>
                    </a:r>
                    <a:r>
                      <a:rPr lang="en-US" baseline="0"/>
                      <a:t>
</a:t>
                    </a:r>
                    <a:fld id="{6D1542BD-38AF-45B2-8694-3D975AFB606B}"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3734487831833168"/>
                      <c:h val="0.20877491104125817"/>
                    </c:manualLayout>
                  </c15:layout>
                  <c15:dlblFieldTable/>
                  <c15:showDataLabelsRange val="0"/>
                </c:ext>
                <c:ext xmlns:c16="http://schemas.microsoft.com/office/drawing/2014/chart" uri="{C3380CC4-5D6E-409C-BE32-E72D297353CC}">
                  <c16:uniqueId val="{00000003-3DF8-4545-9C98-BEB637A55381}"/>
                </c:ext>
              </c:extLst>
            </c:dLbl>
            <c:dLbl>
              <c:idx val="2"/>
              <c:layout>
                <c:manualLayout>
                  <c:x val="6.5826440812545503E-2"/>
                  <c:y val="8.8901661242033053E-3"/>
                </c:manualLayout>
              </c:layout>
              <c:tx>
                <c:rich>
                  <a:bodyPr/>
                  <a:lstStyle/>
                  <a:p>
                    <a:r>
                      <a:rPr lang="en-US"/>
                      <a:t>No for other reasons</a:t>
                    </a:r>
                    <a:r>
                      <a:rPr lang="en-US" baseline="0"/>
                      <a:t>
</a:t>
                    </a:r>
                    <a:fld id="{867EBD9D-0EAC-42F6-9AAC-A8E2AC083A9B}"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32282913165266108"/>
                      <c:h val="0.18334858340335913"/>
                    </c:manualLayout>
                  </c15:layout>
                  <c15:dlblFieldTable/>
                  <c15:showDataLabelsRange val="0"/>
                </c:ext>
                <c:ext xmlns:c16="http://schemas.microsoft.com/office/drawing/2014/chart" uri="{C3380CC4-5D6E-409C-BE32-E72D297353CC}">
                  <c16:uniqueId val="{00000005-3DF8-4545-9C98-BEB637A55381}"/>
                </c:ext>
              </c:extLst>
            </c:dLbl>
            <c:dLbl>
              <c:idx val="3"/>
              <c:layout>
                <c:manualLayout>
                  <c:x val="0.24747325701934317"/>
                  <c:y val="-2.7917812048641848E-3"/>
                </c:manualLayout>
              </c:layout>
              <c:tx>
                <c:rich>
                  <a:bodyPr/>
                  <a:lstStyle/>
                  <a:p>
                    <a:r>
                      <a:rPr lang="en-US"/>
                      <a:t>Not recorded</a:t>
                    </a:r>
                    <a:r>
                      <a:rPr lang="en-US" baseline="0"/>
                      <a:t>
</a:t>
                    </a:r>
                    <a:fld id="{6577029C-9F16-4FA3-A248-B12C2AE5D2F7}"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DF8-4545-9C98-BEB637A55381}"/>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'7A'!$B$30:$E$30</c:f>
              <c:strCache>
                <c:ptCount val="4"/>
                <c:pt idx="0">
                  <c:v>not practical</c:v>
                </c:pt>
                <c:pt idx="1">
                  <c:v>not in best interests</c:v>
                </c:pt>
                <c:pt idx="2">
                  <c:v>no for another reason</c:v>
                </c:pt>
                <c:pt idx="3">
                  <c:v>not recorded </c:v>
                </c:pt>
              </c:strCache>
            </c:strRef>
          </c:cat>
          <c:val>
            <c:numRef>
              <c:f>'7A'!$B$51:$E$51</c:f>
              <c:numCache>
                <c:formatCode>General</c:formatCode>
                <c:ptCount val="4"/>
                <c:pt idx="0" formatCode="0">
                  <c:v>8197</c:v>
                </c:pt>
                <c:pt idx="1">
                  <c:v>878</c:v>
                </c:pt>
                <c:pt idx="2">
                  <c:v>184</c:v>
                </c:pt>
                <c:pt idx="3">
                  <c:v>1110</c:v>
                </c:pt>
              </c:numCache>
            </c:numRef>
          </c:val>
          <c:extLst>
            <c:ext xmlns:c16="http://schemas.microsoft.com/office/drawing/2014/chart" uri="{C3380CC4-5D6E-409C-BE32-E72D297353CC}">
              <c16:uniqueId val="{00000008-3DF8-4545-9C98-BEB637A55381}"/>
            </c:ext>
          </c:extLst>
        </c:ser>
        <c:ser>
          <c:idx val="1"/>
          <c:order val="1"/>
          <c:dPt>
            <c:idx val="0"/>
            <c:bubble3D val="0"/>
            <c:spPr>
              <a:solidFill>
                <a:schemeClr val="accent1"/>
              </a:solidFill>
              <a:ln>
                <a:noFill/>
              </a:ln>
              <a:effectLst/>
            </c:spPr>
            <c:extLst>
              <c:ext xmlns:c16="http://schemas.microsoft.com/office/drawing/2014/chart" uri="{C3380CC4-5D6E-409C-BE32-E72D297353CC}">
                <c16:uniqueId val="{0000000A-3DF8-4545-9C98-BEB637A55381}"/>
              </c:ext>
            </c:extLst>
          </c:dPt>
          <c:dPt>
            <c:idx val="1"/>
            <c:bubble3D val="0"/>
            <c:spPr>
              <a:solidFill>
                <a:schemeClr val="accent2"/>
              </a:solidFill>
              <a:ln>
                <a:noFill/>
              </a:ln>
              <a:effectLst/>
            </c:spPr>
            <c:extLst>
              <c:ext xmlns:c16="http://schemas.microsoft.com/office/drawing/2014/chart" uri="{C3380CC4-5D6E-409C-BE32-E72D297353CC}">
                <c16:uniqueId val="{0000000C-3DF8-4545-9C98-BEB637A55381}"/>
              </c:ext>
            </c:extLst>
          </c:dPt>
          <c:dPt>
            <c:idx val="2"/>
            <c:bubble3D val="0"/>
            <c:spPr>
              <a:solidFill>
                <a:schemeClr val="accent3"/>
              </a:solidFill>
              <a:ln>
                <a:noFill/>
              </a:ln>
              <a:effectLst/>
            </c:spPr>
            <c:extLst>
              <c:ext xmlns:c16="http://schemas.microsoft.com/office/drawing/2014/chart" uri="{C3380CC4-5D6E-409C-BE32-E72D297353CC}">
                <c16:uniqueId val="{0000000E-3DF8-4545-9C98-BEB637A55381}"/>
              </c:ext>
            </c:extLst>
          </c:dPt>
          <c:dPt>
            <c:idx val="3"/>
            <c:bubble3D val="0"/>
            <c:spPr>
              <a:solidFill>
                <a:schemeClr val="accent4"/>
              </a:solidFill>
              <a:ln>
                <a:noFill/>
              </a:ln>
              <a:effectLst/>
            </c:spPr>
            <c:extLst>
              <c:ext xmlns:c16="http://schemas.microsoft.com/office/drawing/2014/chart" uri="{C3380CC4-5D6E-409C-BE32-E72D297353CC}">
                <c16:uniqueId val="{00000010-3DF8-4545-9C98-BEB637A55381}"/>
              </c:ext>
            </c:extLst>
          </c:dPt>
          <c:dLbls>
            <c:spPr>
              <a:solidFill>
                <a:sysClr val="window" lastClr="FFFFFF"/>
              </a:solidFill>
              <a:ln>
                <a:solidFill>
                  <a:sysClr val="windowText" lastClr="000000">
                    <a:lumMod val="25000"/>
                    <a:lumOff val="75000"/>
                  </a:sysClr>
                </a:solid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'7A'!$B$30:$E$30</c:f>
              <c:strCache>
                <c:ptCount val="4"/>
                <c:pt idx="0">
                  <c:v>not practical</c:v>
                </c:pt>
                <c:pt idx="1">
                  <c:v>not in best interests</c:v>
                </c:pt>
                <c:pt idx="2">
                  <c:v>no for another reason</c:v>
                </c:pt>
                <c:pt idx="3">
                  <c:v>not recorded </c:v>
                </c:pt>
              </c:strCache>
            </c:strRef>
          </c:cat>
          <c:val>
            <c:numRef>
              <c:f>'7A'!$B$52:$E$52</c:f>
              <c:numCache>
                <c:formatCode>General</c:formatCode>
                <c:ptCount val="4"/>
                <c:pt idx="3">
                  <c:v>10369</c:v>
                </c:pt>
              </c:numCache>
            </c:numRef>
          </c:val>
          <c:extLst>
            <c:ext xmlns:c16="http://schemas.microsoft.com/office/drawing/2014/chart" uri="{C3380CC4-5D6E-409C-BE32-E72D297353CC}">
              <c16:uniqueId val="{00000011-3DF8-4545-9C98-BEB637A5538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9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13916608919987E-2"/>
          <c:y val="0.14611816134667013"/>
          <c:w val="0.91146035263972991"/>
          <c:h val="0.46187641493266951"/>
        </c:manualLayout>
      </c:layout>
      <c:lineChart>
        <c:grouping val="standard"/>
        <c:varyColors val="0"/>
        <c:ser>
          <c:idx val="0"/>
          <c:order val="0"/>
          <c:tx>
            <c:strRef>
              <c:f>'Error bars'!$B$184</c:f>
              <c:strCache>
                <c:ptCount val="1"/>
                <c:pt idx="0">
                  <c:v>Section 30</c:v>
                </c:pt>
              </c:strCache>
            </c:strRef>
          </c:tx>
          <c:spPr>
            <a:ln>
              <a:noFill/>
            </a:ln>
          </c:spPr>
          <c:errBars>
            <c:errDir val="y"/>
            <c:errBarType val="both"/>
            <c:errValType val="cust"/>
            <c:noEndCap val="0"/>
            <c:plus>
              <c:numRef>
                <c:f>'Error bars'!$F$186:$F$205</c:f>
                <c:numCache>
                  <c:formatCode>General</c:formatCode>
                  <c:ptCount val="20"/>
                  <c:pt idx="0">
                    <c:v>6.0793246128371052</c:v>
                  </c:pt>
                  <c:pt idx="1">
                    <c:v>7.8844011900871482</c:v>
                  </c:pt>
                  <c:pt idx="2">
                    <c:v>5.210448149231393</c:v>
                  </c:pt>
                  <c:pt idx="3">
                    <c:v>8.3742711245599679</c:v>
                  </c:pt>
                  <c:pt idx="4">
                    <c:v>4.1648900045009469</c:v>
                  </c:pt>
                  <c:pt idx="5">
                    <c:v>10.24198305725395</c:v>
                  </c:pt>
                  <c:pt idx="6">
                    <c:v>7.5443305115656933</c:v>
                  </c:pt>
                  <c:pt idx="7">
                    <c:v>13.187156074453544</c:v>
                  </c:pt>
                  <c:pt idx="8">
                    <c:v>7.727768819284174</c:v>
                  </c:pt>
                  <c:pt idx="9">
                    <c:v>8.5342700765632138</c:v>
                  </c:pt>
                  <c:pt idx="10">
                    <c:v>9.5591289380111242</c:v>
                  </c:pt>
                  <c:pt idx="11">
                    <c:v>11.827467835894289</c:v>
                  </c:pt>
                  <c:pt idx="12">
                    <c:v>5.926606462729632</c:v>
                  </c:pt>
                  <c:pt idx="13">
                    <c:v>14.082294320629426</c:v>
                  </c:pt>
                  <c:pt idx="14">
                    <c:v>7.1631932740316433</c:v>
                  </c:pt>
                  <c:pt idx="15">
                    <c:v>5.6837435579990228</c:v>
                  </c:pt>
                  <c:pt idx="16">
                    <c:v>8.040277798853392</c:v>
                  </c:pt>
                  <c:pt idx="17">
                    <c:v>4.0565409726484898</c:v>
                  </c:pt>
                  <c:pt idx="18">
                    <c:v>19.886480385382157</c:v>
                  </c:pt>
                  <c:pt idx="19">
                    <c:v>19.946091347452697</c:v>
                  </c:pt>
                </c:numCache>
              </c:numRef>
            </c:plus>
            <c:minus>
              <c:numRef>
                <c:f>'Error bars'!$E$186:$E$205</c:f>
                <c:numCache>
                  <c:formatCode>General</c:formatCode>
                  <c:ptCount val="20"/>
                  <c:pt idx="0">
                    <c:v>5.305444929375561</c:v>
                  </c:pt>
                  <c:pt idx="1">
                    <c:v>5.8844695277257255</c:v>
                  </c:pt>
                  <c:pt idx="2">
                    <c:v>4.3819264341159325</c:v>
                  </c:pt>
                  <c:pt idx="3">
                    <c:v>7.0019340096794629</c:v>
                  </c:pt>
                  <c:pt idx="4">
                    <c:v>3.2935697897257601</c:v>
                  </c:pt>
                  <c:pt idx="5">
                    <c:v>7.4515751966931472</c:v>
                  </c:pt>
                  <c:pt idx="6">
                    <c:v>4.4792265100343478</c:v>
                  </c:pt>
                  <c:pt idx="7">
                    <c:v>9.3913913731451988</c:v>
                  </c:pt>
                  <c:pt idx="8">
                    <c:v>4.9354746570467487</c:v>
                  </c:pt>
                  <c:pt idx="9">
                    <c:v>5.5224954204656651</c:v>
                  </c:pt>
                  <c:pt idx="10">
                    <c:v>6.9912330415718724</c:v>
                  </c:pt>
                  <c:pt idx="11">
                    <c:v>3.4334699948719845</c:v>
                  </c:pt>
                  <c:pt idx="12">
                    <c:v>4.4875310938479043</c:v>
                  </c:pt>
                  <c:pt idx="13">
                    <c:v>4.5243761521461749</c:v>
                  </c:pt>
                  <c:pt idx="14">
                    <c:v>3.2232232348193692</c:v>
                  </c:pt>
                  <c:pt idx="15">
                    <c:v>4.6339858745966396</c:v>
                  </c:pt>
                  <c:pt idx="16">
                    <c:v>0</c:v>
                  </c:pt>
                  <c:pt idx="17">
                    <c:v>3.381860443660365</c:v>
                  </c:pt>
                  <c:pt idx="18">
                    <c:v>5.7915497440290089</c:v>
                  </c:pt>
                  <c:pt idx="19">
                    <c:v>13.211192446643382</c:v>
                  </c:pt>
                </c:numCache>
              </c:numRef>
            </c:minus>
          </c:errBars>
          <c:cat>
            <c:strRef>
              <c:f>'Error bars'!$B$47:$B$67</c:f>
              <c:strCache>
                <c:ptCount val="21"/>
                <c:pt idx="0">
                  <c:v>Auckland </c:v>
                </c:pt>
                <c:pt idx="1">
                  <c:v>Bay of Plenty</c:v>
                </c:pt>
                <c:pt idx="2">
                  <c:v>Canterbury</c:v>
                </c:pt>
                <c:pt idx="3">
                  <c:v>Capital &amp; Coast </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pt idx="20">
                  <c:v>National average</c:v>
                </c:pt>
              </c:strCache>
            </c:strRef>
          </c:cat>
          <c:val>
            <c:numRef>
              <c:f>'Error bars'!$C$186:$C$205</c:f>
              <c:numCache>
                <c:formatCode>0</c:formatCode>
                <c:ptCount val="20"/>
                <c:pt idx="0">
                  <c:v>25.603668732172718</c:v>
                </c:pt>
                <c:pt idx="1">
                  <c:v>15.910483511586454</c:v>
                </c:pt>
                <c:pt idx="2">
                  <c:v>18.924069187921429</c:v>
                </c:pt>
                <c:pt idx="3">
                  <c:v>27.276706161878266</c:v>
                </c:pt>
                <c:pt idx="4">
                  <c:v>11.175562769410888</c:v>
                </c:pt>
                <c:pt idx="5">
                  <c:v>18.129006410256409</c:v>
                </c:pt>
                <c:pt idx="6">
                  <c:v>7.1514103246407661</c:v>
                </c:pt>
                <c:pt idx="7">
                  <c:v>19.437889514128397</c:v>
                </c:pt>
                <c:pt idx="8">
                  <c:v>9.7001274873898335</c:v>
                </c:pt>
                <c:pt idx="9">
                  <c:v>10.077980438805181</c:v>
                </c:pt>
                <c:pt idx="10">
                  <c:v>17.248694818012435</c:v>
                </c:pt>
                <c:pt idx="11">
                  <c:v>3.6057025572751984</c:v>
                </c:pt>
                <c:pt idx="12">
                  <c:v>12.674939260687109</c:v>
                </c:pt>
                <c:pt idx="13">
                  <c:v>4.7343681309390959</c:v>
                </c:pt>
                <c:pt idx="14">
                  <c:v>3.9433813457307707</c:v>
                </c:pt>
                <c:pt idx="15">
                  <c:v>16.017625342384186</c:v>
                </c:pt>
                <c:pt idx="16">
                  <c:v>0</c:v>
                </c:pt>
                <c:pt idx="17">
                  <c:v>12.493553857849937</c:v>
                </c:pt>
                <c:pt idx="18">
                  <c:v>5.9019758788811902</c:v>
                </c:pt>
                <c:pt idx="19">
                  <c:v>24.310353651671019</c:v>
                </c:pt>
              </c:numCache>
            </c:numRef>
          </c:val>
          <c:smooth val="0"/>
          <c:extLst>
            <c:ext xmlns:c16="http://schemas.microsoft.com/office/drawing/2014/chart" uri="{C3380CC4-5D6E-409C-BE32-E72D297353CC}">
              <c16:uniqueId val="{00000000-08C1-4CFC-852C-78D56CB9C520}"/>
            </c:ext>
          </c:extLst>
        </c:ser>
        <c:ser>
          <c:idx val="1"/>
          <c:order val="1"/>
          <c:tx>
            <c:v>National average</c:v>
          </c:tx>
          <c:marker>
            <c:symbol val="none"/>
          </c:marker>
          <c:val>
            <c:numRef>
              <c:f>'Error bars'!$D$186:$D$205</c:f>
              <c:numCache>
                <c:formatCode>0</c:formatCode>
                <c:ptCount val="20"/>
                <c:pt idx="0">
                  <c:v>16.067045737952171</c:v>
                </c:pt>
                <c:pt idx="1">
                  <c:v>16.067045737952171</c:v>
                </c:pt>
                <c:pt idx="2">
                  <c:v>16.067045737952171</c:v>
                </c:pt>
                <c:pt idx="3">
                  <c:v>16.067045737952171</c:v>
                </c:pt>
                <c:pt idx="4">
                  <c:v>16.067045737952171</c:v>
                </c:pt>
                <c:pt idx="5">
                  <c:v>16.067045737952171</c:v>
                </c:pt>
                <c:pt idx="6">
                  <c:v>16.067045737952171</c:v>
                </c:pt>
                <c:pt idx="7">
                  <c:v>16.067045737952171</c:v>
                </c:pt>
                <c:pt idx="8">
                  <c:v>16.067045737952171</c:v>
                </c:pt>
                <c:pt idx="9">
                  <c:v>16.067045737952171</c:v>
                </c:pt>
                <c:pt idx="10">
                  <c:v>16.067045737952171</c:v>
                </c:pt>
                <c:pt idx="11">
                  <c:v>16.067045737952171</c:v>
                </c:pt>
                <c:pt idx="12">
                  <c:v>16.067045737952171</c:v>
                </c:pt>
                <c:pt idx="13">
                  <c:v>16.067045737952171</c:v>
                </c:pt>
                <c:pt idx="14">
                  <c:v>16.067045737952171</c:v>
                </c:pt>
                <c:pt idx="15">
                  <c:v>16.067045737952171</c:v>
                </c:pt>
                <c:pt idx="16">
                  <c:v>16.067045737952171</c:v>
                </c:pt>
                <c:pt idx="17">
                  <c:v>16.067045737952171</c:v>
                </c:pt>
                <c:pt idx="18">
                  <c:v>16.067045737952171</c:v>
                </c:pt>
                <c:pt idx="19">
                  <c:v>16.067045737952171</c:v>
                </c:pt>
              </c:numCache>
            </c:numRef>
          </c:val>
          <c:smooth val="0"/>
          <c:extLst>
            <c:ext xmlns:c16="http://schemas.microsoft.com/office/drawing/2014/chart" uri="{C3380CC4-5D6E-409C-BE32-E72D297353CC}">
              <c16:uniqueId val="{00000001-08C1-4CFC-852C-78D56CB9C520}"/>
            </c:ext>
          </c:extLst>
        </c:ser>
        <c:dLbls>
          <c:showLegendKey val="0"/>
          <c:showVal val="0"/>
          <c:showCatName val="0"/>
          <c:showSerName val="0"/>
          <c:showPercent val="0"/>
          <c:showBubbleSize val="0"/>
        </c:dLbls>
        <c:marker val="1"/>
        <c:smooth val="0"/>
        <c:axId val="555311592"/>
        <c:axId val="555318256"/>
      </c:lineChart>
      <c:catAx>
        <c:axId val="555311592"/>
        <c:scaling>
          <c:orientation val="minMax"/>
        </c:scaling>
        <c:delete val="0"/>
        <c:axPos val="b"/>
        <c:title>
          <c:tx>
            <c:rich>
              <a:bodyPr/>
              <a:lstStyle/>
              <a:p>
                <a:pPr>
                  <a:defRPr b="0"/>
                </a:pPr>
                <a:r>
                  <a:rPr lang="en-NZ" b="0"/>
                  <a:t>DHB</a:t>
                </a:r>
              </a:p>
            </c:rich>
          </c:tx>
          <c:layout>
            <c:manualLayout>
              <c:xMode val="edge"/>
              <c:yMode val="edge"/>
              <c:x val="0.47853217196717845"/>
              <c:y val="0.92698178123628971"/>
            </c:manualLayout>
          </c:layout>
          <c:overlay val="0"/>
        </c:title>
        <c:numFmt formatCode="General" sourceLinked="0"/>
        <c:majorTickMark val="out"/>
        <c:minorTickMark val="none"/>
        <c:tickLblPos val="nextTo"/>
        <c:txPr>
          <a:bodyPr rot="-5400000" vert="horz"/>
          <a:lstStyle/>
          <a:p>
            <a:pPr>
              <a:defRPr/>
            </a:pPr>
            <a:endParaRPr lang="en-US"/>
          </a:p>
        </c:txPr>
        <c:crossAx val="555318256"/>
        <c:crosses val="autoZero"/>
        <c:auto val="1"/>
        <c:lblAlgn val="ctr"/>
        <c:lblOffset val="100"/>
        <c:noMultiLvlLbl val="0"/>
      </c:catAx>
      <c:valAx>
        <c:axId val="555318256"/>
        <c:scaling>
          <c:orientation val="minMax"/>
        </c:scaling>
        <c:delete val="0"/>
        <c:axPos val="l"/>
        <c:title>
          <c:tx>
            <c:rich>
              <a:bodyPr rot="0" vert="horz"/>
              <a:lstStyle/>
              <a:p>
                <a:pPr>
                  <a:defRPr/>
                </a:pPr>
                <a:r>
                  <a:rPr lang="en-NZ" b="0"/>
                  <a:t>Average</a:t>
                </a:r>
                <a:r>
                  <a:rPr lang="en-NZ" b="0" baseline="0"/>
                  <a:t> number per 100,000</a:t>
                </a:r>
                <a:endParaRPr lang="en-NZ" b="0"/>
              </a:p>
            </c:rich>
          </c:tx>
          <c:layout>
            <c:manualLayout>
              <c:xMode val="edge"/>
              <c:yMode val="edge"/>
              <c:x val="0"/>
              <c:y val="2.0850056973118836E-3"/>
            </c:manualLayout>
          </c:layout>
          <c:overlay val="0"/>
        </c:title>
        <c:numFmt formatCode="0" sourceLinked="1"/>
        <c:majorTickMark val="out"/>
        <c:minorTickMark val="none"/>
        <c:tickLblPos val="nextTo"/>
        <c:crossAx val="555311592"/>
        <c:crosses val="autoZero"/>
        <c:crossBetween val="between"/>
      </c:valAx>
    </c:plotArea>
    <c:legend>
      <c:legendPos val="tr"/>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90277777777779"/>
          <c:y val="0.10615079365079365"/>
          <c:w val="0.3335055774278215"/>
          <c:h val="0.7937983991670462"/>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C5-4969-AE3D-A567EBB89A9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AC5-4969-AE3D-A567EBB89A9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AC5-4969-AE3D-A567EBB89A93}"/>
              </c:ext>
            </c:extLst>
          </c:dPt>
          <c:dLbls>
            <c:dLbl>
              <c:idx val="0"/>
              <c:layout>
                <c:manualLayout>
                  <c:x val="5.5555555555555552E-2"/>
                  <c:y val="-4.7619047619047616E-2"/>
                </c:manualLayout>
              </c:layout>
              <c:tx>
                <c:rich>
                  <a:bodyPr/>
                  <a:lstStyle/>
                  <a:p>
                    <a:r>
                      <a:rPr lang="en-US"/>
                      <a:t>Not practicable</a:t>
                    </a:r>
                    <a:r>
                      <a:rPr lang="en-US" baseline="0"/>
                      <a:t>
</a:t>
                    </a:r>
                    <a:fld id="{316594E8-4450-4C76-A72E-BB8FB413E497}"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AC5-4969-AE3D-A567EBB89A93}"/>
                </c:ext>
              </c:extLst>
            </c:dLbl>
            <c:dLbl>
              <c:idx val="1"/>
              <c:layout>
                <c:manualLayout>
                  <c:x val="-1.3888888888888888E-2"/>
                  <c:y val="3.57142857142856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AC5-4969-AE3D-A567EBB89A93}"/>
                </c:ext>
              </c:extLst>
            </c:dLbl>
            <c:dLbl>
              <c:idx val="2"/>
              <c:layout>
                <c:manualLayout>
                  <c:x val="0"/>
                  <c:y val="2.380952380952381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AC5-4969-AE3D-A567EBB89A93}"/>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Not practicable</c:v>
                </c:pt>
                <c:pt idx="1">
                  <c:v>Not in best interests</c:v>
                </c:pt>
                <c:pt idx="2">
                  <c:v>Not recorded</c:v>
                </c:pt>
              </c:strCache>
            </c:strRef>
          </c:cat>
          <c:val>
            <c:numRef>
              <c:f>Sheet1!$B$2:$B$4</c:f>
              <c:numCache>
                <c:formatCode>General</c:formatCode>
                <c:ptCount val="3"/>
                <c:pt idx="0">
                  <c:v>83</c:v>
                </c:pt>
                <c:pt idx="1">
                  <c:v>8</c:v>
                </c:pt>
                <c:pt idx="2">
                  <c:v>9</c:v>
                </c:pt>
              </c:numCache>
            </c:numRef>
          </c:val>
          <c:extLst>
            <c:ext xmlns:c16="http://schemas.microsoft.com/office/drawing/2014/chart" uri="{C3380CC4-5D6E-409C-BE32-E72D297353CC}">
              <c16:uniqueId val="{00000006-8AC5-4969-AE3D-A567EBB89A9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630796150481191"/>
          <c:y val="0.15524763442530234"/>
          <c:w val="0.8431364829396325"/>
          <c:h val="0.65932793942253309"/>
        </c:manualLayout>
      </c:layout>
      <c:lineChart>
        <c:grouping val="standard"/>
        <c:varyColors val="0"/>
        <c:ser>
          <c:idx val="1"/>
          <c:order val="0"/>
          <c:tx>
            <c:strRef>
              <c:f>Seclusion!$F$8</c:f>
              <c:strCache>
                <c:ptCount val="1"/>
                <c:pt idx="0">
                  <c:v>number of people (excluding outlier)</c:v>
                </c:pt>
              </c:strCache>
            </c:strRef>
          </c:tx>
          <c:spPr>
            <a:ln w="19050" cap="rnd" cmpd="sng" algn="ctr">
              <a:solidFill>
                <a:schemeClr val="accent1">
                  <a:tint val="77000"/>
                </a:schemeClr>
              </a:solidFill>
              <a:prstDash val="solid"/>
              <a:round/>
            </a:ln>
            <a:effectLst/>
          </c:spPr>
          <c:marker>
            <c:symbol val="none"/>
          </c:marker>
          <c:cat>
            <c:numRef>
              <c:f>Seclusion!$C$9:$C$21</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Seclusion!$F$9:$F$21</c:f>
              <c:numCache>
                <c:formatCode>General</c:formatCode>
                <c:ptCount val="13"/>
                <c:pt idx="0">
                  <c:v>1143</c:v>
                </c:pt>
                <c:pt idx="1">
                  <c:v>1023</c:v>
                </c:pt>
                <c:pt idx="2">
                  <c:v>1075</c:v>
                </c:pt>
                <c:pt idx="3">
                  <c:v>1065</c:v>
                </c:pt>
                <c:pt idx="4">
                  <c:v>967</c:v>
                </c:pt>
                <c:pt idx="5">
                  <c:v>882</c:v>
                </c:pt>
                <c:pt idx="6">
                  <c:v>768</c:v>
                </c:pt>
                <c:pt idx="7">
                  <c:v>736</c:v>
                </c:pt>
                <c:pt idx="8">
                  <c:v>754</c:v>
                </c:pt>
                <c:pt idx="9">
                  <c:v>802</c:v>
                </c:pt>
                <c:pt idx="10">
                  <c:v>775</c:v>
                </c:pt>
                <c:pt idx="11">
                  <c:v>852</c:v>
                </c:pt>
                <c:pt idx="12">
                  <c:v>929</c:v>
                </c:pt>
              </c:numCache>
            </c:numRef>
          </c:val>
          <c:smooth val="0"/>
          <c:extLst>
            <c:ext xmlns:c16="http://schemas.microsoft.com/office/drawing/2014/chart" uri="{C3380CC4-5D6E-409C-BE32-E72D297353CC}">
              <c16:uniqueId val="{00000000-D0DA-438A-9A4F-DAA157E7C9C7}"/>
            </c:ext>
          </c:extLst>
        </c:ser>
        <c:dLbls>
          <c:showLegendKey val="0"/>
          <c:showVal val="0"/>
          <c:showCatName val="0"/>
          <c:showSerName val="0"/>
          <c:showPercent val="0"/>
          <c:showBubbleSize val="0"/>
        </c:dLbls>
        <c:smooth val="0"/>
        <c:axId val="209263936"/>
        <c:axId val="209264328"/>
      </c:lineChart>
      <c:catAx>
        <c:axId val="20926393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NZ"/>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9264328"/>
        <c:crosses val="autoZero"/>
        <c:auto val="1"/>
        <c:lblAlgn val="ctr"/>
        <c:lblOffset val="100"/>
        <c:noMultiLvlLbl val="0"/>
      </c:catAx>
      <c:valAx>
        <c:axId val="209264328"/>
        <c:scaling>
          <c:orientation val="minMax"/>
        </c:scaling>
        <c:delete val="0"/>
        <c:axPos val="l"/>
        <c:title>
          <c:tx>
            <c:rich>
              <a:bodyPr rot="0" spcFirstLastPara="1" vertOverflow="ellipsis" wrap="square" anchor="ctr" anchorCtr="1"/>
              <a:lstStyle/>
              <a:p>
                <a:pPr>
                  <a:defRPr sz="900" b="0" i="0" u="none" strike="noStrike" kern="1200" baseline="0">
                    <a:solidFill>
                      <a:schemeClr val="tx1"/>
                    </a:solidFill>
                    <a:latin typeface="+mn-lt"/>
                    <a:ea typeface="+mn-ea"/>
                    <a:cs typeface="+mn-cs"/>
                  </a:defRPr>
                </a:pPr>
                <a:r>
                  <a:rPr lang="en-NZ"/>
                  <a:t>Number of people</a:t>
                </a:r>
              </a:p>
            </c:rich>
          </c:tx>
          <c:layout>
            <c:manualLayout>
              <c:xMode val="edge"/>
              <c:yMode val="edge"/>
              <c:x val="9.5248093988251471E-4"/>
              <c:y val="4.6721121126080241E-2"/>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title>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926393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900" b="0"/>
      </a:pPr>
      <a:endParaRPr lang="en-US"/>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630796150481191"/>
          <c:y val="0.16817656624443683"/>
          <c:w val="0.8431364829396325"/>
          <c:h val="0.64639922727050425"/>
        </c:manualLayout>
      </c:layout>
      <c:lineChart>
        <c:grouping val="standard"/>
        <c:varyColors val="0"/>
        <c:ser>
          <c:idx val="1"/>
          <c:order val="0"/>
          <c:tx>
            <c:strRef>
              <c:f>Seclusion!$E$8</c:f>
              <c:strCache>
                <c:ptCount val="1"/>
                <c:pt idx="0">
                  <c:v>Excluding outliers</c:v>
                </c:pt>
              </c:strCache>
            </c:strRef>
          </c:tx>
          <c:spPr>
            <a:ln w="19050" cap="rnd" cmpd="sng" algn="ctr">
              <a:solidFill>
                <a:schemeClr val="accent1">
                  <a:tint val="77000"/>
                </a:schemeClr>
              </a:solidFill>
              <a:prstDash val="solid"/>
              <a:round/>
            </a:ln>
            <a:effectLst/>
          </c:spPr>
          <c:marker>
            <c:symbol val="none"/>
          </c:marker>
          <c:cat>
            <c:numRef>
              <c:f>Seclusion!$C$41:$C$53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Seclusion!$E$41:$E$53</c:f>
              <c:numCache>
                <c:formatCode>0</c:formatCode>
                <c:ptCount val="13"/>
                <c:pt idx="0">
                  <c:v>77816</c:v>
                </c:pt>
                <c:pt idx="1">
                  <c:v>87109</c:v>
                </c:pt>
                <c:pt idx="2">
                  <c:v>91313</c:v>
                </c:pt>
                <c:pt idx="3">
                  <c:v>79898</c:v>
                </c:pt>
                <c:pt idx="4">
                  <c:v>62028</c:v>
                </c:pt>
                <c:pt idx="5">
                  <c:v>58046</c:v>
                </c:pt>
                <c:pt idx="6">
                  <c:v>45658.400000000009</c:v>
                </c:pt>
                <c:pt idx="7">
                  <c:v>41476.667777771763</c:v>
                </c:pt>
                <c:pt idx="8">
                  <c:v>38781.500000000087</c:v>
                </c:pt>
                <c:pt idx="9">
                  <c:v>34446.866666665941</c:v>
                </c:pt>
                <c:pt idx="10">
                  <c:v>37120.6</c:v>
                </c:pt>
                <c:pt idx="11">
                  <c:v>40648.799999999923</c:v>
                </c:pt>
                <c:pt idx="12">
                  <c:v>48417.599999999999</c:v>
                </c:pt>
              </c:numCache>
            </c:numRef>
          </c:val>
          <c:smooth val="0"/>
          <c:extLst>
            <c:ext xmlns:c16="http://schemas.microsoft.com/office/drawing/2014/chart" uri="{C3380CC4-5D6E-409C-BE32-E72D297353CC}">
              <c16:uniqueId val="{00000000-983E-46FA-9105-062425B27E62}"/>
            </c:ext>
          </c:extLst>
        </c:ser>
        <c:dLbls>
          <c:showLegendKey val="0"/>
          <c:showVal val="0"/>
          <c:showCatName val="0"/>
          <c:showSerName val="0"/>
          <c:showPercent val="0"/>
          <c:showBubbleSize val="0"/>
        </c:dLbls>
        <c:smooth val="0"/>
        <c:axId val="209265504"/>
        <c:axId val="209265112"/>
      </c:lineChart>
      <c:catAx>
        <c:axId val="20926550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NZ"/>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9265112"/>
        <c:crosses val="autoZero"/>
        <c:auto val="1"/>
        <c:lblAlgn val="ctr"/>
        <c:lblOffset val="100"/>
        <c:noMultiLvlLbl val="0"/>
      </c:catAx>
      <c:valAx>
        <c:axId val="209265112"/>
        <c:scaling>
          <c:orientation val="minMax"/>
        </c:scaling>
        <c:delete val="0"/>
        <c:axPos val="l"/>
        <c:title>
          <c:tx>
            <c:rich>
              <a:bodyPr rot="0" spcFirstLastPara="1" vertOverflow="ellipsis" wrap="square" anchor="ctr" anchorCtr="1"/>
              <a:lstStyle/>
              <a:p>
                <a:pPr>
                  <a:defRPr sz="900" b="0" i="0" u="none" strike="noStrike" kern="1200" baseline="0">
                    <a:solidFill>
                      <a:schemeClr val="tx1"/>
                    </a:solidFill>
                    <a:latin typeface="+mn-lt"/>
                    <a:ea typeface="+mn-ea"/>
                    <a:cs typeface="+mn-cs"/>
                  </a:defRPr>
                </a:pPr>
                <a:r>
                  <a:rPr lang="en-NZ"/>
                  <a:t>Number of </a:t>
                </a:r>
              </a:p>
              <a:p>
                <a:pPr>
                  <a:defRPr/>
                </a:pPr>
                <a:r>
                  <a:rPr lang="en-NZ"/>
                  <a:t>hours</a:t>
                </a:r>
              </a:p>
            </c:rich>
          </c:tx>
          <c:layout>
            <c:manualLayout>
              <c:xMode val="edge"/>
              <c:yMode val="edge"/>
              <c:x val="1.1111111111111112E-2"/>
              <c:y val="1.1217191601049881E-2"/>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title>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926550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900" b="0"/>
      </a:pPr>
      <a:endParaRPr lang="en-US"/>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5529308836392"/>
          <c:y val="0.1594808672295347"/>
          <c:w val="0.86428915135608042"/>
          <c:h val="0.62504020684980799"/>
        </c:manualLayout>
      </c:layout>
      <c:barChart>
        <c:barDir val="col"/>
        <c:grouping val="clustered"/>
        <c:varyColors val="0"/>
        <c:ser>
          <c:idx val="0"/>
          <c:order val="0"/>
          <c:tx>
            <c:strRef>
              <c:f>Seclusion!$D$68</c:f>
              <c:strCache>
                <c:ptCount val="1"/>
                <c:pt idx="0">
                  <c:v>Number of clients - Excluding ID</c:v>
                </c:pt>
              </c:strCache>
            </c:strRef>
          </c:tx>
          <c:invertIfNegative val="0"/>
          <c:cat>
            <c:strRef>
              <c:f>Seclusion!$C$69:$C$79</c:f>
              <c:strCache>
                <c:ptCount val="11"/>
                <c:pt idx="0">
                  <c:v>0–19</c:v>
                </c:pt>
                <c:pt idx="1">
                  <c:v>20–24</c:v>
                </c:pt>
                <c:pt idx="2">
                  <c:v>25–29</c:v>
                </c:pt>
                <c:pt idx="3">
                  <c:v>30–34</c:v>
                </c:pt>
                <c:pt idx="4">
                  <c:v>35–39</c:v>
                </c:pt>
                <c:pt idx="5">
                  <c:v>40–44</c:v>
                </c:pt>
                <c:pt idx="6">
                  <c:v>45–49</c:v>
                </c:pt>
                <c:pt idx="7">
                  <c:v>50–54</c:v>
                </c:pt>
                <c:pt idx="8">
                  <c:v>55–59</c:v>
                </c:pt>
                <c:pt idx="9">
                  <c:v>60–64</c:v>
                </c:pt>
                <c:pt idx="10">
                  <c:v>65+</c:v>
                </c:pt>
              </c:strCache>
            </c:strRef>
          </c:cat>
          <c:val>
            <c:numRef>
              <c:f>Seclusion!$D$69:$D$79</c:f>
              <c:numCache>
                <c:formatCode>General</c:formatCode>
                <c:ptCount val="11"/>
                <c:pt idx="0">
                  <c:v>110</c:v>
                </c:pt>
                <c:pt idx="1">
                  <c:v>210</c:v>
                </c:pt>
                <c:pt idx="2">
                  <c:v>173</c:v>
                </c:pt>
                <c:pt idx="3">
                  <c:v>124</c:v>
                </c:pt>
                <c:pt idx="4">
                  <c:v>103</c:v>
                </c:pt>
                <c:pt idx="5">
                  <c:v>99</c:v>
                </c:pt>
                <c:pt idx="6">
                  <c:v>98</c:v>
                </c:pt>
                <c:pt idx="7">
                  <c:v>67</c:v>
                </c:pt>
                <c:pt idx="8">
                  <c:v>41</c:v>
                </c:pt>
                <c:pt idx="9">
                  <c:v>23</c:v>
                </c:pt>
                <c:pt idx="10">
                  <c:v>18</c:v>
                </c:pt>
              </c:numCache>
            </c:numRef>
          </c:val>
          <c:extLst>
            <c:ext xmlns:c16="http://schemas.microsoft.com/office/drawing/2014/chart" uri="{C3380CC4-5D6E-409C-BE32-E72D297353CC}">
              <c16:uniqueId val="{00000000-D266-4AC3-B20F-33C8EA04E9D1}"/>
            </c:ext>
          </c:extLst>
        </c:ser>
        <c:dLbls>
          <c:showLegendKey val="0"/>
          <c:showVal val="0"/>
          <c:showCatName val="0"/>
          <c:showSerName val="0"/>
          <c:showPercent val="0"/>
          <c:showBubbleSize val="0"/>
        </c:dLbls>
        <c:gapWidth val="150"/>
        <c:axId val="209266288"/>
        <c:axId val="209263544"/>
      </c:barChart>
      <c:catAx>
        <c:axId val="209266288"/>
        <c:scaling>
          <c:orientation val="minMax"/>
        </c:scaling>
        <c:delete val="0"/>
        <c:axPos val="b"/>
        <c:title>
          <c:tx>
            <c:rich>
              <a:bodyPr/>
              <a:lstStyle/>
              <a:p>
                <a:pPr>
                  <a:defRPr/>
                </a:pPr>
                <a:r>
                  <a:rPr lang="en-NZ"/>
                  <a:t>Age group (years)</a:t>
                </a:r>
              </a:p>
            </c:rich>
          </c:tx>
          <c:layout>
            <c:manualLayout>
              <c:xMode val="edge"/>
              <c:yMode val="edge"/>
              <c:x val="0.42659842519685043"/>
              <c:y val="0.90513086905803442"/>
            </c:manualLayout>
          </c:layout>
          <c:overlay val="0"/>
        </c:title>
        <c:numFmt formatCode="General" sourceLinked="0"/>
        <c:majorTickMark val="out"/>
        <c:minorTickMark val="none"/>
        <c:tickLblPos val="nextTo"/>
        <c:crossAx val="209263544"/>
        <c:crosses val="autoZero"/>
        <c:auto val="1"/>
        <c:lblAlgn val="ctr"/>
        <c:lblOffset val="100"/>
        <c:noMultiLvlLbl val="0"/>
      </c:catAx>
      <c:valAx>
        <c:axId val="209263544"/>
        <c:scaling>
          <c:orientation val="minMax"/>
          <c:max val="180"/>
        </c:scaling>
        <c:delete val="0"/>
        <c:axPos val="l"/>
        <c:title>
          <c:tx>
            <c:rich>
              <a:bodyPr rot="0" vert="horz"/>
              <a:lstStyle/>
              <a:p>
                <a:pPr>
                  <a:defRPr/>
                </a:pPr>
                <a:r>
                  <a:rPr lang="en-NZ"/>
                  <a:t>Number of people secluded</a:t>
                </a:r>
              </a:p>
            </c:rich>
          </c:tx>
          <c:layout>
            <c:manualLayout>
              <c:xMode val="edge"/>
              <c:yMode val="edge"/>
              <c:x val="1.3888888888888888E-2"/>
              <c:y val="1.7023184601924736E-2"/>
            </c:manualLayout>
          </c:layout>
          <c:overlay val="0"/>
        </c:title>
        <c:numFmt formatCode="General" sourceLinked="1"/>
        <c:majorTickMark val="out"/>
        <c:minorTickMark val="none"/>
        <c:tickLblPos val="nextTo"/>
        <c:crossAx val="209266288"/>
        <c:crosses val="autoZero"/>
        <c:crossBetween val="between"/>
        <c:majorUnit val="20"/>
      </c:valAx>
    </c:plotArea>
    <c:plotVisOnly val="1"/>
    <c:dispBlanksAs val="gap"/>
    <c:showDLblsOverMax val="0"/>
  </c:chart>
  <c:spPr>
    <a:ln>
      <a:noFill/>
    </a:ln>
  </c:spPr>
  <c:txPr>
    <a:bodyPr/>
    <a:lstStyle/>
    <a:p>
      <a:pPr>
        <a:defRPr sz="900" b="0"/>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5529308836392"/>
          <c:y val="0.14054917810231324"/>
          <c:w val="0.86428915135608042"/>
          <c:h val="0.6439722310008027"/>
        </c:manualLayout>
      </c:layout>
      <c:barChart>
        <c:barDir val="col"/>
        <c:grouping val="clustered"/>
        <c:varyColors val="0"/>
        <c:ser>
          <c:idx val="0"/>
          <c:order val="0"/>
          <c:tx>
            <c:strRef>
              <c:f>Seclusion!$D$70</c:f>
              <c:strCache>
                <c:ptCount val="1"/>
                <c:pt idx="0">
                  <c:v>Number of clients - excluding outlier</c:v>
                </c:pt>
              </c:strCache>
            </c:strRef>
          </c:tx>
          <c:invertIfNegative val="0"/>
          <c:cat>
            <c:strRef>
              <c:f>Seclusion!$C$71:$C$81</c:f>
              <c:strCache>
                <c:ptCount val="11"/>
                <c:pt idx="0">
                  <c:v>0–19</c:v>
                </c:pt>
                <c:pt idx="1">
                  <c:v>20–24</c:v>
                </c:pt>
                <c:pt idx="2">
                  <c:v>25–29</c:v>
                </c:pt>
                <c:pt idx="3">
                  <c:v>30–34</c:v>
                </c:pt>
                <c:pt idx="4">
                  <c:v>35–39</c:v>
                </c:pt>
                <c:pt idx="5">
                  <c:v>40–44</c:v>
                </c:pt>
                <c:pt idx="6">
                  <c:v>45–49</c:v>
                </c:pt>
                <c:pt idx="7">
                  <c:v>50–54</c:v>
                </c:pt>
                <c:pt idx="8">
                  <c:v>55–59</c:v>
                </c:pt>
                <c:pt idx="9">
                  <c:v>60–64</c:v>
                </c:pt>
                <c:pt idx="10">
                  <c:v>65+</c:v>
                </c:pt>
              </c:strCache>
            </c:strRef>
          </c:cat>
          <c:val>
            <c:numRef>
              <c:f>Seclusion!$D$71:$D$81</c:f>
              <c:numCache>
                <c:formatCode>General</c:formatCode>
                <c:ptCount val="11"/>
                <c:pt idx="0">
                  <c:v>95</c:v>
                </c:pt>
                <c:pt idx="1">
                  <c:v>205</c:v>
                </c:pt>
                <c:pt idx="2">
                  <c:v>177</c:v>
                </c:pt>
                <c:pt idx="3">
                  <c:v>147</c:v>
                </c:pt>
                <c:pt idx="4">
                  <c:v>131</c:v>
                </c:pt>
                <c:pt idx="5">
                  <c:v>119</c:v>
                </c:pt>
                <c:pt idx="6">
                  <c:v>87</c:v>
                </c:pt>
                <c:pt idx="7">
                  <c:v>76</c:v>
                </c:pt>
                <c:pt idx="8">
                  <c:v>52</c:v>
                </c:pt>
                <c:pt idx="9">
                  <c:v>30</c:v>
                </c:pt>
                <c:pt idx="10">
                  <c:v>40</c:v>
                </c:pt>
              </c:numCache>
            </c:numRef>
          </c:val>
          <c:extLst>
            <c:ext xmlns:c16="http://schemas.microsoft.com/office/drawing/2014/chart" uri="{C3380CC4-5D6E-409C-BE32-E72D297353CC}">
              <c16:uniqueId val="{00000000-AD99-4AEE-9470-70F225FE432E}"/>
            </c:ext>
          </c:extLst>
        </c:ser>
        <c:dLbls>
          <c:showLegendKey val="0"/>
          <c:showVal val="0"/>
          <c:showCatName val="0"/>
          <c:showSerName val="0"/>
          <c:showPercent val="0"/>
          <c:showBubbleSize val="0"/>
        </c:dLbls>
        <c:gapWidth val="150"/>
        <c:axId val="209266288"/>
        <c:axId val="209263544"/>
      </c:barChart>
      <c:catAx>
        <c:axId val="209266288"/>
        <c:scaling>
          <c:orientation val="minMax"/>
        </c:scaling>
        <c:delete val="0"/>
        <c:axPos val="b"/>
        <c:title>
          <c:tx>
            <c:rich>
              <a:bodyPr/>
              <a:lstStyle/>
              <a:p>
                <a:pPr>
                  <a:defRPr/>
                </a:pPr>
                <a:r>
                  <a:rPr lang="en-NZ"/>
                  <a:t>Age group (years)</a:t>
                </a:r>
              </a:p>
            </c:rich>
          </c:tx>
          <c:layout>
            <c:manualLayout>
              <c:xMode val="edge"/>
              <c:yMode val="edge"/>
              <c:x val="0.42659842519685043"/>
              <c:y val="0.90513086905803442"/>
            </c:manualLayout>
          </c:layout>
          <c:overlay val="0"/>
        </c:title>
        <c:numFmt formatCode="General" sourceLinked="0"/>
        <c:majorTickMark val="out"/>
        <c:minorTickMark val="none"/>
        <c:tickLblPos val="nextTo"/>
        <c:crossAx val="209263544"/>
        <c:crosses val="autoZero"/>
        <c:auto val="1"/>
        <c:lblAlgn val="ctr"/>
        <c:lblOffset val="100"/>
        <c:noMultiLvlLbl val="0"/>
      </c:catAx>
      <c:valAx>
        <c:axId val="209263544"/>
        <c:scaling>
          <c:orientation val="minMax"/>
          <c:max val="180"/>
        </c:scaling>
        <c:delete val="0"/>
        <c:axPos val="l"/>
        <c:title>
          <c:tx>
            <c:rich>
              <a:bodyPr rot="0" vert="horz"/>
              <a:lstStyle/>
              <a:p>
                <a:pPr>
                  <a:defRPr/>
                </a:pPr>
                <a:r>
                  <a:rPr lang="en-NZ"/>
                  <a:t>Number of people secluded</a:t>
                </a:r>
              </a:p>
            </c:rich>
          </c:tx>
          <c:layout>
            <c:manualLayout>
              <c:xMode val="edge"/>
              <c:yMode val="edge"/>
              <c:x val="1.3888888888888888E-2"/>
              <c:y val="1.7023184601924736E-2"/>
            </c:manualLayout>
          </c:layout>
          <c:overlay val="0"/>
        </c:title>
        <c:numFmt formatCode="General" sourceLinked="1"/>
        <c:majorTickMark val="out"/>
        <c:minorTickMark val="none"/>
        <c:tickLblPos val="nextTo"/>
        <c:crossAx val="209266288"/>
        <c:crosses val="autoZero"/>
        <c:crossBetween val="between"/>
        <c:majorUnit val="20"/>
      </c:valAx>
    </c:plotArea>
    <c:plotVisOnly val="1"/>
    <c:dispBlanksAs val="gap"/>
    <c:showDLblsOverMax val="0"/>
  </c:chart>
  <c:spPr>
    <a:ln>
      <a:noFill/>
    </a:ln>
  </c:spPr>
  <c:txPr>
    <a:bodyPr/>
    <a:lstStyle/>
    <a:p>
      <a:pPr>
        <a:defRPr sz="900" b="0"/>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992590222158124E-2"/>
          <c:y val="0.16341564363025743"/>
          <c:w val="0.89239199707935768"/>
          <c:h val="0.59332811890253678"/>
        </c:manualLayout>
      </c:layout>
      <c:barChart>
        <c:barDir val="col"/>
        <c:grouping val="clustered"/>
        <c:varyColors val="0"/>
        <c:ser>
          <c:idx val="0"/>
          <c:order val="0"/>
          <c:tx>
            <c:strRef>
              <c:f>Seclusion!$D$97</c:f>
              <c:strCache>
                <c:ptCount val="1"/>
                <c:pt idx="0">
                  <c:v>Number of events (excl outlier)</c:v>
                </c:pt>
              </c:strCache>
            </c:strRef>
          </c:tx>
          <c:invertIfNegative val="0"/>
          <c:cat>
            <c:strRef>
              <c:f>Seclusion!$C$98:$C$124</c:f>
              <c:strCache>
                <c:ptCount val="27"/>
                <c:pt idx="0">
                  <c:v> 0–1</c:v>
                </c:pt>
                <c:pt idx="1">
                  <c:v> 1–2</c:v>
                </c:pt>
                <c:pt idx="2">
                  <c:v> 2–3</c:v>
                </c:pt>
                <c:pt idx="3">
                  <c:v> 3–4</c:v>
                </c:pt>
                <c:pt idx="4">
                  <c:v> 4–5</c:v>
                </c:pt>
                <c:pt idx="5">
                  <c:v> 5–6</c:v>
                </c:pt>
                <c:pt idx="6">
                  <c:v> 6–7</c:v>
                </c:pt>
                <c:pt idx="7">
                  <c:v> 7–8</c:v>
                </c:pt>
                <c:pt idx="8">
                  <c:v> 8–9</c:v>
                </c:pt>
                <c:pt idx="9">
                  <c:v> 9–10</c:v>
                </c:pt>
                <c:pt idx="10">
                  <c:v>10–11</c:v>
                </c:pt>
                <c:pt idx="11">
                  <c:v>11–12</c:v>
                </c:pt>
                <c:pt idx="12">
                  <c:v>12–13</c:v>
                </c:pt>
                <c:pt idx="13">
                  <c:v>13–14</c:v>
                </c:pt>
                <c:pt idx="14">
                  <c:v>14–15</c:v>
                </c:pt>
                <c:pt idx="15">
                  <c:v>15–16</c:v>
                </c:pt>
                <c:pt idx="16">
                  <c:v>16–17</c:v>
                </c:pt>
                <c:pt idx="17">
                  <c:v>17–18</c:v>
                </c:pt>
                <c:pt idx="18">
                  <c:v>18–19</c:v>
                </c:pt>
                <c:pt idx="19">
                  <c:v>19–20</c:v>
                </c:pt>
                <c:pt idx="20">
                  <c:v>20–21</c:v>
                </c:pt>
                <c:pt idx="21">
                  <c:v>21–22</c:v>
                </c:pt>
                <c:pt idx="22">
                  <c:v>22–23</c:v>
                </c:pt>
                <c:pt idx="23">
                  <c:v>23–24</c:v>
                </c:pt>
                <c:pt idx="24">
                  <c:v>24–35</c:v>
                </c:pt>
                <c:pt idx="25">
                  <c:v>36–47</c:v>
                </c:pt>
                <c:pt idx="26">
                  <c:v>48+</c:v>
                </c:pt>
              </c:strCache>
            </c:strRef>
          </c:cat>
          <c:val>
            <c:numRef>
              <c:f>Seclusion!$D$98:$D$124</c:f>
              <c:numCache>
                <c:formatCode>General</c:formatCode>
                <c:ptCount val="27"/>
                <c:pt idx="0">
                  <c:v>80</c:v>
                </c:pt>
                <c:pt idx="1">
                  <c:v>187</c:v>
                </c:pt>
                <c:pt idx="2">
                  <c:v>162</c:v>
                </c:pt>
                <c:pt idx="3">
                  <c:v>94</c:v>
                </c:pt>
                <c:pt idx="4">
                  <c:v>106</c:v>
                </c:pt>
                <c:pt idx="5">
                  <c:v>71</c:v>
                </c:pt>
                <c:pt idx="6">
                  <c:v>76</c:v>
                </c:pt>
                <c:pt idx="7">
                  <c:v>159</c:v>
                </c:pt>
                <c:pt idx="8">
                  <c:v>66</c:v>
                </c:pt>
                <c:pt idx="9">
                  <c:v>71</c:v>
                </c:pt>
                <c:pt idx="10">
                  <c:v>80</c:v>
                </c:pt>
                <c:pt idx="11">
                  <c:v>90</c:v>
                </c:pt>
                <c:pt idx="12">
                  <c:v>78</c:v>
                </c:pt>
                <c:pt idx="13">
                  <c:v>56</c:v>
                </c:pt>
                <c:pt idx="14">
                  <c:v>47</c:v>
                </c:pt>
                <c:pt idx="15">
                  <c:v>62</c:v>
                </c:pt>
                <c:pt idx="16">
                  <c:v>56</c:v>
                </c:pt>
                <c:pt idx="17">
                  <c:v>59</c:v>
                </c:pt>
                <c:pt idx="18">
                  <c:v>50</c:v>
                </c:pt>
                <c:pt idx="19">
                  <c:v>46</c:v>
                </c:pt>
                <c:pt idx="20">
                  <c:v>27</c:v>
                </c:pt>
                <c:pt idx="21">
                  <c:v>33</c:v>
                </c:pt>
                <c:pt idx="22">
                  <c:v>37</c:v>
                </c:pt>
                <c:pt idx="23">
                  <c:v>33</c:v>
                </c:pt>
                <c:pt idx="24">
                  <c:v>196</c:v>
                </c:pt>
                <c:pt idx="25">
                  <c:v>170</c:v>
                </c:pt>
                <c:pt idx="26">
                  <c:v>351</c:v>
                </c:pt>
              </c:numCache>
            </c:numRef>
          </c:val>
          <c:extLst>
            <c:ext xmlns:c16="http://schemas.microsoft.com/office/drawing/2014/chart" uri="{C3380CC4-5D6E-409C-BE32-E72D297353CC}">
              <c16:uniqueId val="{00000000-1AA8-4125-AF3D-B50A2E45639E}"/>
            </c:ext>
          </c:extLst>
        </c:ser>
        <c:dLbls>
          <c:showLegendKey val="0"/>
          <c:showVal val="0"/>
          <c:showCatName val="0"/>
          <c:showSerName val="0"/>
          <c:showPercent val="0"/>
          <c:showBubbleSize val="0"/>
        </c:dLbls>
        <c:gapWidth val="150"/>
        <c:axId val="245920184"/>
        <c:axId val="245919792"/>
      </c:barChart>
      <c:catAx>
        <c:axId val="245920184"/>
        <c:scaling>
          <c:orientation val="minMax"/>
        </c:scaling>
        <c:delete val="0"/>
        <c:axPos val="b"/>
        <c:title>
          <c:tx>
            <c:rich>
              <a:bodyPr/>
              <a:lstStyle/>
              <a:p>
                <a:pPr>
                  <a:defRPr/>
                </a:pPr>
                <a:r>
                  <a:rPr lang="en-NZ"/>
                  <a:t>Hours</a:t>
                </a:r>
              </a:p>
            </c:rich>
          </c:tx>
          <c:layout>
            <c:manualLayout>
              <c:xMode val="edge"/>
              <c:yMode val="edge"/>
              <c:x val="0.48588962432826827"/>
              <c:y val="0.92034703995333922"/>
            </c:manualLayout>
          </c:layout>
          <c:overlay val="0"/>
        </c:title>
        <c:numFmt formatCode="General" sourceLinked="0"/>
        <c:majorTickMark val="out"/>
        <c:minorTickMark val="none"/>
        <c:tickLblPos val="nextTo"/>
        <c:crossAx val="245919792"/>
        <c:crosses val="autoZero"/>
        <c:auto val="1"/>
        <c:lblAlgn val="ctr"/>
        <c:lblOffset val="100"/>
        <c:noMultiLvlLbl val="0"/>
      </c:catAx>
      <c:valAx>
        <c:axId val="245919792"/>
        <c:scaling>
          <c:orientation val="minMax"/>
        </c:scaling>
        <c:delete val="0"/>
        <c:axPos val="l"/>
        <c:majorGridlines>
          <c:spPr>
            <a:ln>
              <a:noFill/>
            </a:ln>
          </c:spPr>
        </c:majorGridlines>
        <c:title>
          <c:tx>
            <c:rich>
              <a:bodyPr rot="0" vert="horz"/>
              <a:lstStyle/>
              <a:p>
                <a:pPr>
                  <a:defRPr/>
                </a:pPr>
                <a:r>
                  <a:rPr lang="en-NZ"/>
                  <a:t>Number of seclusion events</a:t>
                </a:r>
              </a:p>
            </c:rich>
          </c:tx>
          <c:layout>
            <c:manualLayout>
              <c:xMode val="edge"/>
              <c:yMode val="edge"/>
              <c:x val="1.265022137887413E-2"/>
              <c:y val="7.7639253426654772E-3"/>
            </c:manualLayout>
          </c:layout>
          <c:overlay val="0"/>
        </c:title>
        <c:numFmt formatCode="General" sourceLinked="1"/>
        <c:majorTickMark val="out"/>
        <c:minorTickMark val="none"/>
        <c:tickLblPos val="nextTo"/>
        <c:crossAx val="245920184"/>
        <c:crosses val="autoZero"/>
        <c:crossBetween val="between"/>
      </c:valAx>
    </c:plotArea>
    <c:plotVisOnly val="1"/>
    <c:dispBlanksAs val="gap"/>
    <c:showDLblsOverMax val="0"/>
  </c:chart>
  <c:spPr>
    <a:ln>
      <a:noFill/>
    </a:ln>
  </c:spPr>
  <c:txPr>
    <a:bodyPr/>
    <a:lstStyle/>
    <a:p>
      <a:pPr>
        <a:defRPr sz="900" b="0"/>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59609186120226E-2"/>
          <c:y val="0.15912471893598581"/>
          <c:w val="0.88232508167170798"/>
          <c:h val="0.59761904359680851"/>
        </c:manualLayout>
      </c:layout>
      <c:barChart>
        <c:barDir val="col"/>
        <c:grouping val="clustered"/>
        <c:varyColors val="0"/>
        <c:ser>
          <c:idx val="0"/>
          <c:order val="0"/>
          <c:tx>
            <c:strRef>
              <c:f>Seclusion!$D$99</c:f>
              <c:strCache>
                <c:ptCount val="1"/>
                <c:pt idx="0">
                  <c:v>Number of events (excl outlier)</c:v>
                </c:pt>
              </c:strCache>
            </c:strRef>
          </c:tx>
          <c:invertIfNegative val="0"/>
          <c:cat>
            <c:strRef>
              <c:f>Seclusion!$C$100:$C$126</c:f>
              <c:strCache>
                <c:ptCount val="27"/>
                <c:pt idx="0">
                  <c:v> 0–1</c:v>
                </c:pt>
                <c:pt idx="1">
                  <c:v> 1–2</c:v>
                </c:pt>
                <c:pt idx="2">
                  <c:v> 2–3</c:v>
                </c:pt>
                <c:pt idx="3">
                  <c:v> 3–4</c:v>
                </c:pt>
                <c:pt idx="4">
                  <c:v> 4–5</c:v>
                </c:pt>
                <c:pt idx="5">
                  <c:v> 5–6</c:v>
                </c:pt>
                <c:pt idx="6">
                  <c:v> 6–7</c:v>
                </c:pt>
                <c:pt idx="7">
                  <c:v> 7–8</c:v>
                </c:pt>
                <c:pt idx="8">
                  <c:v> 8–9</c:v>
                </c:pt>
                <c:pt idx="9">
                  <c:v> 9–10</c:v>
                </c:pt>
                <c:pt idx="10">
                  <c:v>10–11</c:v>
                </c:pt>
                <c:pt idx="11">
                  <c:v>11–12</c:v>
                </c:pt>
                <c:pt idx="12">
                  <c:v>12–13</c:v>
                </c:pt>
                <c:pt idx="13">
                  <c:v>13–14</c:v>
                </c:pt>
                <c:pt idx="14">
                  <c:v>14–15</c:v>
                </c:pt>
                <c:pt idx="15">
                  <c:v>15–16</c:v>
                </c:pt>
                <c:pt idx="16">
                  <c:v>16–17</c:v>
                </c:pt>
                <c:pt idx="17">
                  <c:v>17–18</c:v>
                </c:pt>
                <c:pt idx="18">
                  <c:v>18–19</c:v>
                </c:pt>
                <c:pt idx="19">
                  <c:v>19–20</c:v>
                </c:pt>
                <c:pt idx="20">
                  <c:v>20–21</c:v>
                </c:pt>
                <c:pt idx="21">
                  <c:v>21–22</c:v>
                </c:pt>
                <c:pt idx="22">
                  <c:v>22–23</c:v>
                </c:pt>
                <c:pt idx="23">
                  <c:v>23–24</c:v>
                </c:pt>
                <c:pt idx="24">
                  <c:v>24–35</c:v>
                </c:pt>
                <c:pt idx="25">
                  <c:v>36–47</c:v>
                </c:pt>
                <c:pt idx="26">
                  <c:v>48+</c:v>
                </c:pt>
              </c:strCache>
            </c:strRef>
          </c:cat>
          <c:val>
            <c:numRef>
              <c:f>Seclusion!$D$100:$D$126</c:f>
              <c:numCache>
                <c:formatCode>General</c:formatCode>
                <c:ptCount val="27"/>
                <c:pt idx="0">
                  <c:v>107</c:v>
                </c:pt>
                <c:pt idx="1">
                  <c:v>148</c:v>
                </c:pt>
                <c:pt idx="2">
                  <c:v>141</c:v>
                </c:pt>
                <c:pt idx="3">
                  <c:v>124</c:v>
                </c:pt>
                <c:pt idx="4">
                  <c:v>104</c:v>
                </c:pt>
                <c:pt idx="5">
                  <c:v>75</c:v>
                </c:pt>
                <c:pt idx="6">
                  <c:v>82</c:v>
                </c:pt>
                <c:pt idx="7">
                  <c:v>46</c:v>
                </c:pt>
                <c:pt idx="8">
                  <c:v>69</c:v>
                </c:pt>
                <c:pt idx="9">
                  <c:v>57</c:v>
                </c:pt>
                <c:pt idx="10">
                  <c:v>55</c:v>
                </c:pt>
                <c:pt idx="11">
                  <c:v>78</c:v>
                </c:pt>
                <c:pt idx="12">
                  <c:v>92</c:v>
                </c:pt>
                <c:pt idx="13">
                  <c:v>62</c:v>
                </c:pt>
                <c:pt idx="14">
                  <c:v>72</c:v>
                </c:pt>
                <c:pt idx="15">
                  <c:v>73</c:v>
                </c:pt>
                <c:pt idx="16">
                  <c:v>58</c:v>
                </c:pt>
                <c:pt idx="17">
                  <c:v>53</c:v>
                </c:pt>
                <c:pt idx="18">
                  <c:v>46</c:v>
                </c:pt>
                <c:pt idx="19">
                  <c:v>47</c:v>
                </c:pt>
                <c:pt idx="20">
                  <c:v>46</c:v>
                </c:pt>
                <c:pt idx="21">
                  <c:v>46</c:v>
                </c:pt>
                <c:pt idx="22">
                  <c:v>41</c:v>
                </c:pt>
                <c:pt idx="23">
                  <c:v>34</c:v>
                </c:pt>
                <c:pt idx="24">
                  <c:v>198</c:v>
                </c:pt>
                <c:pt idx="25">
                  <c:v>157</c:v>
                </c:pt>
                <c:pt idx="26">
                  <c:v>396</c:v>
                </c:pt>
              </c:numCache>
            </c:numRef>
          </c:val>
          <c:extLst>
            <c:ext xmlns:c16="http://schemas.microsoft.com/office/drawing/2014/chart" uri="{C3380CC4-5D6E-409C-BE32-E72D297353CC}">
              <c16:uniqueId val="{00000000-91B6-4218-BD23-6ED014FE4230}"/>
            </c:ext>
          </c:extLst>
        </c:ser>
        <c:dLbls>
          <c:showLegendKey val="0"/>
          <c:showVal val="0"/>
          <c:showCatName val="0"/>
          <c:showSerName val="0"/>
          <c:showPercent val="0"/>
          <c:showBubbleSize val="0"/>
        </c:dLbls>
        <c:gapWidth val="150"/>
        <c:axId val="245920184"/>
        <c:axId val="245919792"/>
      </c:barChart>
      <c:catAx>
        <c:axId val="245920184"/>
        <c:scaling>
          <c:orientation val="minMax"/>
        </c:scaling>
        <c:delete val="0"/>
        <c:axPos val="b"/>
        <c:title>
          <c:tx>
            <c:rich>
              <a:bodyPr/>
              <a:lstStyle/>
              <a:p>
                <a:pPr>
                  <a:defRPr/>
                </a:pPr>
                <a:r>
                  <a:rPr lang="en-NZ"/>
                  <a:t>Hours</a:t>
                </a:r>
              </a:p>
            </c:rich>
          </c:tx>
          <c:layout>
            <c:manualLayout>
              <c:xMode val="edge"/>
              <c:yMode val="edge"/>
              <c:x val="0.48588962432826827"/>
              <c:y val="0.92034703995333922"/>
            </c:manualLayout>
          </c:layout>
          <c:overlay val="0"/>
        </c:title>
        <c:numFmt formatCode="General" sourceLinked="0"/>
        <c:majorTickMark val="out"/>
        <c:minorTickMark val="none"/>
        <c:tickLblPos val="nextTo"/>
        <c:crossAx val="245919792"/>
        <c:crosses val="autoZero"/>
        <c:auto val="1"/>
        <c:lblAlgn val="ctr"/>
        <c:lblOffset val="100"/>
        <c:noMultiLvlLbl val="0"/>
      </c:catAx>
      <c:valAx>
        <c:axId val="245919792"/>
        <c:scaling>
          <c:orientation val="minMax"/>
        </c:scaling>
        <c:delete val="0"/>
        <c:axPos val="l"/>
        <c:majorGridlines>
          <c:spPr>
            <a:ln>
              <a:noFill/>
            </a:ln>
          </c:spPr>
        </c:majorGridlines>
        <c:title>
          <c:tx>
            <c:rich>
              <a:bodyPr rot="0" vert="horz"/>
              <a:lstStyle/>
              <a:p>
                <a:pPr>
                  <a:defRPr/>
                </a:pPr>
                <a:r>
                  <a:rPr lang="en-NZ"/>
                  <a:t>Number of seclusion events</a:t>
                </a:r>
              </a:p>
            </c:rich>
          </c:tx>
          <c:layout>
            <c:manualLayout>
              <c:xMode val="edge"/>
              <c:yMode val="edge"/>
              <c:x val="1.265022137887413E-2"/>
              <c:y val="7.7639253426654772E-3"/>
            </c:manualLayout>
          </c:layout>
          <c:overlay val="0"/>
        </c:title>
        <c:numFmt formatCode="General" sourceLinked="1"/>
        <c:majorTickMark val="out"/>
        <c:minorTickMark val="none"/>
        <c:tickLblPos val="nextTo"/>
        <c:crossAx val="245920184"/>
        <c:crosses val="autoZero"/>
        <c:crossBetween val="between"/>
      </c:valAx>
    </c:plotArea>
    <c:plotVisOnly val="1"/>
    <c:dispBlanksAs val="gap"/>
    <c:showDLblsOverMax val="0"/>
  </c:chart>
  <c:spPr>
    <a:ln>
      <a:noFill/>
    </a:ln>
  </c:spPr>
  <c:txPr>
    <a:bodyPr/>
    <a:lstStyle/>
    <a:p>
      <a:pPr>
        <a:defRPr sz="900" b="0"/>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43349447767315E-2"/>
          <c:y val="0.14055505631628448"/>
          <c:w val="0.80974455248267907"/>
          <c:h val="0.55259487864058954"/>
        </c:manualLayout>
      </c:layout>
      <c:lineChart>
        <c:grouping val="standard"/>
        <c:varyColors val="0"/>
        <c:ser>
          <c:idx val="0"/>
          <c:order val="0"/>
          <c:tx>
            <c:strRef>
              <c:f>'Error bars'!$B$250</c:f>
              <c:strCache>
                <c:ptCount val="1"/>
                <c:pt idx="0">
                  <c:v>People secluded</c:v>
                </c:pt>
              </c:strCache>
            </c:strRef>
          </c:tx>
          <c:spPr>
            <a:ln>
              <a:noFill/>
            </a:ln>
          </c:spPr>
          <c:errBars>
            <c:errDir val="y"/>
            <c:errBarType val="both"/>
            <c:errValType val="cust"/>
            <c:noEndCap val="0"/>
            <c:plus>
              <c:numRef>
                <c:f>'Error bars'!$F$252:$F$271</c:f>
                <c:numCache>
                  <c:formatCode>General</c:formatCode>
                  <c:ptCount val="20"/>
                  <c:pt idx="0">
                    <c:v>3.8678853084554223</c:v>
                  </c:pt>
                  <c:pt idx="1">
                    <c:v>21.199846430501324</c:v>
                  </c:pt>
                  <c:pt idx="2">
                    <c:v>7.5156149921737345</c:v>
                  </c:pt>
                  <c:pt idx="3">
                    <c:v>10.369668821039642</c:v>
                  </c:pt>
                  <c:pt idx="4">
                    <c:v>8.5716866211970384</c:v>
                  </c:pt>
                  <c:pt idx="5">
                    <c:v>22.546124874759691</c:v>
                  </c:pt>
                  <c:pt idx="6">
                    <c:v>19.186086211363978</c:v>
                  </c:pt>
                  <c:pt idx="7">
                    <c:v>25.157406768517113</c:v>
                  </c:pt>
                  <c:pt idx="8">
                    <c:v>23.292395260290874</c:v>
                  </c:pt>
                  <c:pt idx="9">
                    <c:v>24.616406476507429</c:v>
                  </c:pt>
                  <c:pt idx="10">
                    <c:v>22.42097255021379</c:v>
                  </c:pt>
                  <c:pt idx="11">
                    <c:v>38.65353583127041</c:v>
                  </c:pt>
                  <c:pt idx="12">
                    <c:v>13.81902283619025</c:v>
                  </c:pt>
                  <c:pt idx="13">
                    <c:v>58.586393742044208</c:v>
                  </c:pt>
                  <c:pt idx="14">
                    <c:v>21.959725620855153</c:v>
                  </c:pt>
                  <c:pt idx="15">
                    <c:v>11.703936527483137</c:v>
                  </c:pt>
                  <c:pt idx="16">
                    <c:v>14.974140264314739</c:v>
                  </c:pt>
                  <c:pt idx="17">
                    <c:v>3.9366489924143542</c:v>
                  </c:pt>
                  <c:pt idx="18">
                    <c:v>61.460380154512102</c:v>
                  </c:pt>
                  <c:pt idx="19">
                    <c:v>41.658616098978136</c:v>
                  </c:pt>
                </c:numCache>
              </c:numRef>
            </c:plus>
            <c:minus>
              <c:numRef>
                <c:f>'Error bars'!$E$252:$E$271</c:f>
                <c:numCache>
                  <c:formatCode>General</c:formatCode>
                  <c:ptCount val="20"/>
                  <c:pt idx="0">
                    <c:v>2.4860380862887443</c:v>
                  </c:pt>
                  <c:pt idx="1">
                    <c:v>17.424513653190338</c:v>
                  </c:pt>
                  <c:pt idx="2">
                    <c:v>6.070472365707964</c:v>
                  </c:pt>
                  <c:pt idx="3">
                    <c:v>7.8994514904609616</c:v>
                  </c:pt>
                  <c:pt idx="4">
                    <c:v>7.1169505428160882</c:v>
                  </c:pt>
                  <c:pt idx="5">
                    <c:v>17.017846586611149</c:v>
                  </c:pt>
                  <c:pt idx="6">
                    <c:v>13.557651889283669</c:v>
                  </c:pt>
                  <c:pt idx="7">
                    <c:v>17.025723516171457</c:v>
                  </c:pt>
                  <c:pt idx="8">
                    <c:v>18.419485094862125</c:v>
                  </c:pt>
                  <c:pt idx="9">
                    <c:v>18.639535171438581</c:v>
                  </c:pt>
                  <c:pt idx="10">
                    <c:v>17.268586467785596</c:v>
                  </c:pt>
                  <c:pt idx="11">
                    <c:v>22.950452511345283</c:v>
                  </c:pt>
                  <c:pt idx="12">
                    <c:v>11.293234960334864</c:v>
                  </c:pt>
                  <c:pt idx="13">
                    <c:v>39.649386395019036</c:v>
                  </c:pt>
                  <c:pt idx="14">
                    <c:v>14.442297090373467</c:v>
                  </c:pt>
                  <c:pt idx="15">
                    <c:v>9.6506020341777408</c:v>
                  </c:pt>
                  <c:pt idx="16">
                    <c:v>0</c:v>
                  </c:pt>
                  <c:pt idx="17">
                    <c:v>2.6156315611622496</c:v>
                  </c:pt>
                  <c:pt idx="18">
                    <c:v>33.880171844340154</c:v>
                  </c:pt>
                  <c:pt idx="19">
                    <c:v>27.397706167324504</c:v>
                  </c:pt>
                </c:numCache>
              </c:numRef>
            </c:minus>
          </c:errBars>
          <c:cat>
            <c:strRef>
              <c:f>'Error bars'!$B$252:$B$271</c:f>
              <c:strCache>
                <c:ptCount val="20"/>
                <c:pt idx="0">
                  <c:v>Auckland </c:v>
                </c:pt>
                <c:pt idx="1">
                  <c:v>Bay of Plenty</c:v>
                </c:pt>
                <c:pt idx="2">
                  <c:v>Canterbury</c:v>
                </c:pt>
                <c:pt idx="3">
                  <c:v>Capital &amp; Coast </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bars'!$C$252:$C$271</c:f>
              <c:numCache>
                <c:formatCode>0.0</c:formatCode>
                <c:ptCount val="20"/>
                <c:pt idx="0">
                  <c:v>4.9409827065605274</c:v>
                </c:pt>
                <c:pt idx="1">
                  <c:v>69.519542715896804</c:v>
                </c:pt>
                <c:pt idx="2">
                  <c:v>22.420863203233324</c:v>
                </c:pt>
                <c:pt idx="3">
                  <c:v>23.525878466312943</c:v>
                </c:pt>
                <c:pt idx="4">
                  <c:v>29.803594313474207</c:v>
                </c:pt>
                <c:pt idx="5">
                  <c:v>49.233523553765245</c:v>
                </c:pt>
                <c:pt idx="6">
                  <c:v>32.775768535262209</c:v>
                </c:pt>
                <c:pt idx="7">
                  <c:v>37.367993501218521</c:v>
                </c:pt>
                <c:pt idx="8">
                  <c:v>62.5</c:v>
                </c:pt>
                <c:pt idx="9">
                  <c:v>54.459639356166043</c:v>
                </c:pt>
                <c:pt idx="10">
                  <c:v>53.319393622582325</c:v>
                </c:pt>
                <c:pt idx="11">
                  <c:v>40.210330961954845</c:v>
                </c:pt>
                <c:pt idx="12">
                  <c:v>43.893622514846378</c:v>
                </c:pt>
                <c:pt idx="13">
                  <c:v>87.022323117669316</c:v>
                </c:pt>
                <c:pt idx="14">
                  <c:v>29.942360955161313</c:v>
                </c:pt>
                <c:pt idx="15">
                  <c:v>39.087126465767248</c:v>
                </c:pt>
                <c:pt idx="16">
                  <c:v>0</c:v>
                </c:pt>
                <c:pt idx="17">
                  <c:v>5.5311191297705902</c:v>
                </c:pt>
                <c:pt idx="18">
                  <c:v>53.922890266918309</c:v>
                </c:pt>
                <c:pt idx="19">
                  <c:v>56.802044873615451</c:v>
                </c:pt>
              </c:numCache>
            </c:numRef>
          </c:val>
          <c:smooth val="0"/>
          <c:extLst>
            <c:ext xmlns:c16="http://schemas.microsoft.com/office/drawing/2014/chart" uri="{C3380CC4-5D6E-409C-BE32-E72D297353CC}">
              <c16:uniqueId val="{00000000-41A0-4132-B171-B602DEB795F1}"/>
            </c:ext>
          </c:extLst>
        </c:ser>
        <c:ser>
          <c:idx val="1"/>
          <c:order val="1"/>
          <c:tx>
            <c:v>National average</c:v>
          </c:tx>
          <c:marker>
            <c:symbol val="none"/>
          </c:marker>
          <c:cat>
            <c:strRef>
              <c:f>'Error bars'!$B$252:$B$271</c:f>
              <c:strCache>
                <c:ptCount val="20"/>
                <c:pt idx="0">
                  <c:v>Auckland </c:v>
                </c:pt>
                <c:pt idx="1">
                  <c:v>Bay of Plenty</c:v>
                </c:pt>
                <c:pt idx="2">
                  <c:v>Canterbury</c:v>
                </c:pt>
                <c:pt idx="3">
                  <c:v>Capital &amp; Coast </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bars'!$D$252:$D$271</c:f>
              <c:numCache>
                <c:formatCode>0</c:formatCode>
                <c:ptCount val="20"/>
                <c:pt idx="0">
                  <c:v>29.29302154070955</c:v>
                </c:pt>
                <c:pt idx="1">
                  <c:v>29.29302154070955</c:v>
                </c:pt>
                <c:pt idx="2">
                  <c:v>29.29302154070955</c:v>
                </c:pt>
                <c:pt idx="3">
                  <c:v>29.29302154070955</c:v>
                </c:pt>
                <c:pt idx="4">
                  <c:v>29.29302154070955</c:v>
                </c:pt>
                <c:pt idx="5">
                  <c:v>29.29302154070955</c:v>
                </c:pt>
                <c:pt idx="6">
                  <c:v>29.29302154070955</c:v>
                </c:pt>
                <c:pt idx="7">
                  <c:v>29.29302154070955</c:v>
                </c:pt>
                <c:pt idx="8">
                  <c:v>29.29302154070955</c:v>
                </c:pt>
                <c:pt idx="9">
                  <c:v>29.29302154070955</c:v>
                </c:pt>
                <c:pt idx="10">
                  <c:v>29.29302154070955</c:v>
                </c:pt>
                <c:pt idx="11">
                  <c:v>29.29302154070955</c:v>
                </c:pt>
                <c:pt idx="12">
                  <c:v>29.29302154070955</c:v>
                </c:pt>
                <c:pt idx="13">
                  <c:v>29.29302154070955</c:v>
                </c:pt>
                <c:pt idx="14">
                  <c:v>29.29302154070955</c:v>
                </c:pt>
                <c:pt idx="15">
                  <c:v>29.29302154070955</c:v>
                </c:pt>
                <c:pt idx="16">
                  <c:v>29.29302154070955</c:v>
                </c:pt>
                <c:pt idx="17">
                  <c:v>29.29302154070955</c:v>
                </c:pt>
                <c:pt idx="18">
                  <c:v>29.29302154070955</c:v>
                </c:pt>
                <c:pt idx="19">
                  <c:v>29.29302154070955</c:v>
                </c:pt>
              </c:numCache>
            </c:numRef>
          </c:val>
          <c:smooth val="0"/>
          <c:extLst>
            <c:ext xmlns:c16="http://schemas.microsoft.com/office/drawing/2014/chart" uri="{C3380CC4-5D6E-409C-BE32-E72D297353CC}">
              <c16:uniqueId val="{00000001-41A0-4132-B171-B602DEB795F1}"/>
            </c:ext>
          </c:extLst>
        </c:ser>
        <c:dLbls>
          <c:showLegendKey val="0"/>
          <c:showVal val="0"/>
          <c:showCatName val="0"/>
          <c:showSerName val="0"/>
          <c:showPercent val="0"/>
          <c:showBubbleSize val="0"/>
        </c:dLbls>
        <c:marker val="1"/>
        <c:smooth val="0"/>
        <c:axId val="555319432"/>
        <c:axId val="555322960"/>
      </c:lineChart>
      <c:catAx>
        <c:axId val="555319432"/>
        <c:scaling>
          <c:orientation val="minMax"/>
        </c:scaling>
        <c:delete val="0"/>
        <c:axPos val="b"/>
        <c:title>
          <c:tx>
            <c:rich>
              <a:bodyPr/>
              <a:lstStyle/>
              <a:p>
                <a:pPr>
                  <a:defRPr/>
                </a:pPr>
                <a:r>
                  <a:rPr lang="en-NZ"/>
                  <a:t>DHB</a:t>
                </a:r>
              </a:p>
            </c:rich>
          </c:tx>
          <c:layout>
            <c:manualLayout>
              <c:xMode val="edge"/>
              <c:yMode val="edge"/>
              <c:x val="0.46102486212783939"/>
              <c:y val="0.94294281650547873"/>
            </c:manualLayout>
          </c:layout>
          <c:overlay val="0"/>
        </c:title>
        <c:numFmt formatCode="General" sourceLinked="0"/>
        <c:majorTickMark val="out"/>
        <c:minorTickMark val="none"/>
        <c:tickLblPos val="nextTo"/>
        <c:txPr>
          <a:bodyPr rot="-5400000" vert="horz"/>
          <a:lstStyle/>
          <a:p>
            <a:pPr>
              <a:defRPr/>
            </a:pPr>
            <a:endParaRPr lang="en-US"/>
          </a:p>
        </c:txPr>
        <c:crossAx val="555322960"/>
        <c:crosses val="autoZero"/>
        <c:auto val="1"/>
        <c:lblAlgn val="ctr"/>
        <c:lblOffset val="100"/>
        <c:noMultiLvlLbl val="0"/>
      </c:catAx>
      <c:valAx>
        <c:axId val="555322960"/>
        <c:scaling>
          <c:orientation val="minMax"/>
        </c:scaling>
        <c:delete val="0"/>
        <c:axPos val="l"/>
        <c:title>
          <c:tx>
            <c:rich>
              <a:bodyPr rot="0" vert="horz"/>
              <a:lstStyle/>
              <a:p>
                <a:pPr>
                  <a:defRPr/>
                </a:pPr>
                <a:r>
                  <a:rPr lang="en-NZ"/>
                  <a:t>Number per 100,000 population</a:t>
                </a:r>
              </a:p>
            </c:rich>
          </c:tx>
          <c:layout>
            <c:manualLayout>
              <c:xMode val="edge"/>
              <c:yMode val="edge"/>
              <c:x val="0"/>
              <c:y val="9.4787773853068481E-4"/>
            </c:manualLayout>
          </c:layout>
          <c:overlay val="0"/>
        </c:title>
        <c:numFmt formatCode="0" sourceLinked="0"/>
        <c:majorTickMark val="out"/>
        <c:minorTickMark val="none"/>
        <c:tickLblPos val="nextTo"/>
        <c:crossAx val="555319432"/>
        <c:crosses val="autoZero"/>
        <c:crossBetween val="between"/>
      </c:valAx>
    </c:plotArea>
    <c:plotVisOnly val="1"/>
    <c:dispBlanksAs val="gap"/>
    <c:showDLblsOverMax val="0"/>
  </c:chart>
  <c:spPr>
    <a:ln>
      <a:noFill/>
    </a:ln>
  </c:spPr>
  <c:txPr>
    <a:bodyPr/>
    <a:lstStyle/>
    <a:p>
      <a:pPr>
        <a:defRPr sz="900" b="0"/>
      </a:pPr>
      <a:endParaRPr lang="en-US"/>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44130599335911E-2"/>
          <c:y val="0.13491498376653213"/>
          <c:w val="0.80088126863601394"/>
          <c:h val="0.55304776963034319"/>
        </c:manualLayout>
      </c:layout>
      <c:lineChart>
        <c:grouping val="standard"/>
        <c:varyColors val="0"/>
        <c:ser>
          <c:idx val="0"/>
          <c:order val="0"/>
          <c:tx>
            <c:strRef>
              <c:f>'Error bars'!$B$250</c:f>
              <c:strCache>
                <c:ptCount val="1"/>
                <c:pt idx="0">
                  <c:v>People secluded</c:v>
                </c:pt>
              </c:strCache>
            </c:strRef>
          </c:tx>
          <c:spPr>
            <a:ln>
              <a:noFill/>
            </a:ln>
          </c:spPr>
          <c:errBars>
            <c:errDir val="y"/>
            <c:errBarType val="both"/>
            <c:errValType val="cust"/>
            <c:noEndCap val="0"/>
            <c:plus>
              <c:numRef>
                <c:f>'Error bars'!$F$252:$F$271</c:f>
                <c:numCache>
                  <c:formatCode>General</c:formatCode>
                  <c:ptCount val="19"/>
                  <c:pt idx="0">
                    <c:v>4.0033624318124623</c:v>
                  </c:pt>
                  <c:pt idx="1">
                    <c:v>21.724197561336027</c:v>
                  </c:pt>
                  <c:pt idx="2">
                    <c:v>8.1613013041354669</c:v>
                  </c:pt>
                  <c:pt idx="3">
                    <c:v>11.402785606849474</c:v>
                  </c:pt>
                  <c:pt idx="4">
                    <c:v>8.7545860225009307</c:v>
                  </c:pt>
                  <c:pt idx="5">
                    <c:v>19.236640167755581</c:v>
                  </c:pt>
                  <c:pt idx="6">
                    <c:v>20.064063948633454</c:v>
                  </c:pt>
                  <c:pt idx="7">
                    <c:v>28.011215798672005</c:v>
                  </c:pt>
                  <c:pt idx="8">
                    <c:v>22.848643213954752</c:v>
                  </c:pt>
                  <c:pt idx="9">
                    <c:v>25.477064010495958</c:v>
                  </c:pt>
                  <c:pt idx="10">
                    <c:v>20.314201712011332</c:v>
                  </c:pt>
                  <c:pt idx="11">
                    <c:v>30.172973854141294</c:v>
                  </c:pt>
                  <c:pt idx="12">
                    <c:v>12.774246672502287</c:v>
                  </c:pt>
                  <c:pt idx="13">
                    <c:v>47.21075985738468</c:v>
                  </c:pt>
                  <c:pt idx="14">
                    <c:v>23.154395931491834</c:v>
                  </c:pt>
                  <c:pt idx="15">
                    <c:v>13.406306609922524</c:v>
                  </c:pt>
                  <c:pt idx="16">
                    <c:v>4.5559295455878424</c:v>
                  </c:pt>
                  <c:pt idx="17">
                    <c:v>68.101842693459005</c:v>
                  </c:pt>
                  <c:pt idx="18">
                    <c:v>41.248172290601829</c:v>
                  </c:pt>
                </c:numCache>
              </c:numRef>
            </c:plus>
            <c:minus>
              <c:numRef>
                <c:f>'Error bars'!$E$252:$E$271</c:f>
                <c:numCache>
                  <c:formatCode>General</c:formatCode>
                  <c:ptCount val="19"/>
                  <c:pt idx="0">
                    <c:v>2.4231456900473187</c:v>
                  </c:pt>
                  <c:pt idx="1">
                    <c:v>18.165196042975623</c:v>
                  </c:pt>
                  <c:pt idx="2">
                    <c:v>6.7294854839890661</c:v>
                  </c:pt>
                  <c:pt idx="3">
                    <c:v>8.9083864879578236</c:v>
                  </c:pt>
                  <c:pt idx="4">
                    <c:v>7.295281679149582</c:v>
                  </c:pt>
                  <c:pt idx="5">
                    <c:v>13.962887525894672</c:v>
                  </c:pt>
                  <c:pt idx="6">
                    <c:v>14.696885166032381</c:v>
                  </c:pt>
                  <c:pt idx="7">
                    <c:v>20.233138376564092</c:v>
                  </c:pt>
                  <c:pt idx="8">
                    <c:v>18.034258394837508</c:v>
                  </c:pt>
                  <c:pt idx="9">
                    <c:v>19.814767670854629</c:v>
                  </c:pt>
                  <c:pt idx="10">
                    <c:v>15.429167321183684</c:v>
                  </c:pt>
                  <c:pt idx="11">
                    <c:v>14.776425550990997</c:v>
                  </c:pt>
                  <c:pt idx="12">
                    <c:v>10.317946235792149</c:v>
                  </c:pt>
                  <c:pt idx="13">
                    <c:v>28.031285594703171</c:v>
                  </c:pt>
                  <c:pt idx="14">
                    <c:v>15.801036025193095</c:v>
                  </c:pt>
                  <c:pt idx="15">
                    <c:v>11.382824880982064</c:v>
                  </c:pt>
                  <c:pt idx="16">
                    <c:v>3.219401087367002</c:v>
                  </c:pt>
                  <c:pt idx="17">
                    <c:v>40.435320419171276</c:v>
                  </c:pt>
                  <c:pt idx="18">
                    <c:v>27.406563676734411</c:v>
                  </c:pt>
                </c:numCache>
              </c:numRef>
            </c:minus>
          </c:errBars>
          <c:cat>
            <c:strRef>
              <c:f>'Error bars'!$B$252:$B$271</c:f>
              <c:strCache>
                <c:ptCount val="19"/>
                <c:pt idx="0">
                  <c:v>Auckland </c:v>
                </c:pt>
                <c:pt idx="1">
                  <c:v>Bay of Plenty</c:v>
                </c:pt>
                <c:pt idx="2">
                  <c:v>Canterbury</c:v>
                </c:pt>
                <c:pt idx="3">
                  <c:v>Capital &amp; Coast </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Waitematā</c:v>
                </c:pt>
                <c:pt idx="17">
                  <c:v>West Coast</c:v>
                </c:pt>
                <c:pt idx="18">
                  <c:v>Whanganui</c:v>
                </c:pt>
              </c:strCache>
            </c:strRef>
          </c:cat>
          <c:val>
            <c:numRef>
              <c:f>'Error bars'!$C$252:$C$271</c:f>
              <c:numCache>
                <c:formatCode>0.0</c:formatCode>
                <c:ptCount val="19"/>
                <c:pt idx="0">
                  <c:v>4.3664036428281818</c:v>
                </c:pt>
                <c:pt idx="1">
                  <c:v>78.820610129908047</c:v>
                </c:pt>
                <c:pt idx="2">
                  <c:v>27.255942088449931</c:v>
                </c:pt>
                <c:pt idx="3">
                  <c:v>28.901734104046245</c:v>
                </c:pt>
                <c:pt idx="4">
                  <c:v>31.107920555156738</c:v>
                </c:pt>
                <c:pt idx="5">
                  <c:v>36.120259215977903</c:v>
                </c:pt>
                <c:pt idx="6">
                  <c:v>38.965255980084422</c:v>
                </c:pt>
                <c:pt idx="7">
                  <c:v>51.67554024428437</c:v>
                </c:pt>
                <c:pt idx="8">
                  <c:v>60.75453209211171</c:v>
                </c:pt>
                <c:pt idx="9">
                  <c:v>63.269297135626367</c:v>
                </c:pt>
                <c:pt idx="10">
                  <c:v>45.517514347912133</c:v>
                </c:pt>
                <c:pt idx="11">
                  <c:v>20.842638082477297</c:v>
                </c:pt>
                <c:pt idx="12">
                  <c:v>38.108609537180968</c:v>
                </c:pt>
                <c:pt idx="13">
                  <c:v>49.112202493388743</c:v>
                </c:pt>
                <c:pt idx="14">
                  <c:v>35.294117647058826</c:v>
                </c:pt>
                <c:pt idx="15">
                  <c:v>53.636023450168395</c:v>
                </c:pt>
                <c:pt idx="16">
                  <c:v>7.7829365824857089</c:v>
                </c:pt>
                <c:pt idx="17">
                  <c:v>70.844686648501366</c:v>
                </c:pt>
                <c:pt idx="18">
                  <c:v>57.9550158686353</c:v>
                </c:pt>
              </c:numCache>
            </c:numRef>
          </c:val>
          <c:smooth val="0"/>
          <c:extLst>
            <c:ext xmlns:c16="http://schemas.microsoft.com/office/drawing/2014/chart" uri="{C3380CC4-5D6E-409C-BE32-E72D297353CC}">
              <c16:uniqueId val="{00000000-F7F6-4CC1-9DD2-1D03B4012463}"/>
            </c:ext>
          </c:extLst>
        </c:ser>
        <c:ser>
          <c:idx val="1"/>
          <c:order val="1"/>
          <c:tx>
            <c:v>National Average</c:v>
          </c:tx>
          <c:marker>
            <c:symbol val="none"/>
          </c:marker>
          <c:cat>
            <c:strRef>
              <c:f>'Error bars'!$B$252:$B$271</c:f>
              <c:strCache>
                <c:ptCount val="19"/>
                <c:pt idx="0">
                  <c:v>Auckland </c:v>
                </c:pt>
                <c:pt idx="1">
                  <c:v>Bay of Plenty</c:v>
                </c:pt>
                <c:pt idx="2">
                  <c:v>Canterbury</c:v>
                </c:pt>
                <c:pt idx="3">
                  <c:v>Capital &amp; Coast </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Waitematā</c:v>
                </c:pt>
                <c:pt idx="17">
                  <c:v>West Coast</c:v>
                </c:pt>
                <c:pt idx="18">
                  <c:v>Whanganui</c:v>
                </c:pt>
              </c:strCache>
            </c:strRef>
          </c:cat>
          <c:val>
            <c:numRef>
              <c:f>'Error bars'!$D$252:$D$271</c:f>
              <c:numCache>
                <c:formatCode>0</c:formatCode>
                <c:ptCount val="19"/>
                <c:pt idx="0">
                  <c:v>32.129375206428648</c:v>
                </c:pt>
                <c:pt idx="1">
                  <c:v>32.129375206428648</c:v>
                </c:pt>
                <c:pt idx="2">
                  <c:v>32.129375206428648</c:v>
                </c:pt>
                <c:pt idx="3">
                  <c:v>32.129375206428648</c:v>
                </c:pt>
                <c:pt idx="4">
                  <c:v>32.129375206428648</c:v>
                </c:pt>
                <c:pt idx="5">
                  <c:v>32.129375206428648</c:v>
                </c:pt>
                <c:pt idx="6">
                  <c:v>32.129375206428648</c:v>
                </c:pt>
                <c:pt idx="7">
                  <c:v>32.129375206428648</c:v>
                </c:pt>
                <c:pt idx="8">
                  <c:v>32.129375206428648</c:v>
                </c:pt>
                <c:pt idx="9">
                  <c:v>32.129375206428648</c:v>
                </c:pt>
                <c:pt idx="10">
                  <c:v>32.129375206428648</c:v>
                </c:pt>
                <c:pt idx="11">
                  <c:v>32.129375206428648</c:v>
                </c:pt>
                <c:pt idx="12">
                  <c:v>32.129375206428648</c:v>
                </c:pt>
                <c:pt idx="13">
                  <c:v>32.129375206428648</c:v>
                </c:pt>
                <c:pt idx="14">
                  <c:v>32.129375206428648</c:v>
                </c:pt>
                <c:pt idx="15">
                  <c:v>32.129375206428648</c:v>
                </c:pt>
                <c:pt idx="16">
                  <c:v>32.129375206428648</c:v>
                </c:pt>
                <c:pt idx="17">
                  <c:v>32.129375206428648</c:v>
                </c:pt>
                <c:pt idx="18">
                  <c:v>32.129375206428648</c:v>
                </c:pt>
              </c:numCache>
            </c:numRef>
          </c:val>
          <c:smooth val="0"/>
          <c:extLst>
            <c:ext xmlns:c16="http://schemas.microsoft.com/office/drawing/2014/chart" uri="{C3380CC4-5D6E-409C-BE32-E72D297353CC}">
              <c16:uniqueId val="{00000001-F7F6-4CC1-9DD2-1D03B4012463}"/>
            </c:ext>
          </c:extLst>
        </c:ser>
        <c:dLbls>
          <c:showLegendKey val="0"/>
          <c:showVal val="0"/>
          <c:showCatName val="0"/>
          <c:showSerName val="0"/>
          <c:showPercent val="0"/>
          <c:showBubbleSize val="0"/>
        </c:dLbls>
        <c:marker val="1"/>
        <c:smooth val="0"/>
        <c:axId val="555319432"/>
        <c:axId val="555322960"/>
      </c:lineChart>
      <c:catAx>
        <c:axId val="555319432"/>
        <c:scaling>
          <c:orientation val="minMax"/>
        </c:scaling>
        <c:delete val="0"/>
        <c:axPos val="b"/>
        <c:title>
          <c:tx>
            <c:rich>
              <a:bodyPr/>
              <a:lstStyle/>
              <a:p>
                <a:pPr>
                  <a:defRPr/>
                </a:pPr>
                <a:r>
                  <a:rPr lang="en-NZ"/>
                  <a:t>DHB</a:t>
                </a:r>
              </a:p>
            </c:rich>
          </c:tx>
          <c:layout>
            <c:manualLayout>
              <c:xMode val="edge"/>
              <c:yMode val="edge"/>
              <c:x val="0.46640165317624321"/>
              <c:y val="0.93748509364381083"/>
            </c:manualLayout>
          </c:layout>
          <c:overlay val="0"/>
        </c:title>
        <c:numFmt formatCode="General" sourceLinked="0"/>
        <c:majorTickMark val="out"/>
        <c:minorTickMark val="none"/>
        <c:tickLblPos val="nextTo"/>
        <c:txPr>
          <a:bodyPr rot="-5400000" vert="horz"/>
          <a:lstStyle/>
          <a:p>
            <a:pPr>
              <a:defRPr/>
            </a:pPr>
            <a:endParaRPr lang="en-US"/>
          </a:p>
        </c:txPr>
        <c:crossAx val="555322960"/>
        <c:crosses val="autoZero"/>
        <c:auto val="1"/>
        <c:lblAlgn val="ctr"/>
        <c:lblOffset val="100"/>
        <c:noMultiLvlLbl val="0"/>
      </c:catAx>
      <c:valAx>
        <c:axId val="555322960"/>
        <c:scaling>
          <c:orientation val="minMax"/>
        </c:scaling>
        <c:delete val="0"/>
        <c:axPos val="l"/>
        <c:title>
          <c:tx>
            <c:rich>
              <a:bodyPr rot="0" vert="horz"/>
              <a:lstStyle/>
              <a:p>
                <a:pPr>
                  <a:defRPr/>
                </a:pPr>
                <a:r>
                  <a:rPr lang="en-NZ"/>
                  <a:t>Number per 100,000 population</a:t>
                </a:r>
              </a:p>
            </c:rich>
          </c:tx>
          <c:layout>
            <c:manualLayout>
              <c:xMode val="edge"/>
              <c:yMode val="edge"/>
              <c:x val="0"/>
              <c:y val="1.5921298346264344E-3"/>
            </c:manualLayout>
          </c:layout>
          <c:overlay val="0"/>
        </c:title>
        <c:numFmt formatCode="0" sourceLinked="0"/>
        <c:majorTickMark val="out"/>
        <c:minorTickMark val="none"/>
        <c:tickLblPos val="nextTo"/>
        <c:crossAx val="555319432"/>
        <c:crosses val="autoZero"/>
        <c:crossBetween val="between"/>
      </c:valAx>
    </c:plotArea>
    <c:plotVisOnly val="1"/>
    <c:dispBlanksAs val="gap"/>
    <c:showDLblsOverMax val="0"/>
  </c:chart>
  <c:spPr>
    <a:ln>
      <a:noFill/>
    </a:ln>
  </c:spPr>
  <c:txPr>
    <a:bodyPr/>
    <a:lstStyle/>
    <a:p>
      <a:pPr>
        <a:defRPr sz="900" b="0"/>
      </a:pPr>
      <a:endParaRPr lang="en-US"/>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461375457713745E-2"/>
          <c:y val="0.12880686789151355"/>
          <c:w val="0.80778492505308008"/>
          <c:h val="0.54914326334208219"/>
        </c:manualLayout>
      </c:layout>
      <c:lineChart>
        <c:grouping val="standard"/>
        <c:varyColors val="0"/>
        <c:ser>
          <c:idx val="0"/>
          <c:order val="0"/>
          <c:tx>
            <c:strRef>
              <c:f>'Error bars'!$B$287</c:f>
              <c:strCache>
                <c:ptCount val="1"/>
                <c:pt idx="0">
                  <c:v>Number of events</c:v>
                </c:pt>
              </c:strCache>
            </c:strRef>
          </c:tx>
          <c:spPr>
            <a:ln>
              <a:noFill/>
            </a:ln>
          </c:spPr>
          <c:errBars>
            <c:errDir val="y"/>
            <c:errBarType val="both"/>
            <c:errValType val="cust"/>
            <c:noEndCap val="0"/>
            <c:plus>
              <c:numRef>
                <c:f>'Error bars'!$F$289:$F$308</c:f>
                <c:numCache>
                  <c:formatCode>General</c:formatCode>
                  <c:ptCount val="20"/>
                  <c:pt idx="0">
                    <c:v>4.3920979553630737</c:v>
                  </c:pt>
                  <c:pt idx="1">
                    <c:v>28.086614618505365</c:v>
                  </c:pt>
                  <c:pt idx="2">
                    <c:v>9.9033261545161508</c:v>
                  </c:pt>
                  <c:pt idx="3">
                    <c:v>13.113541709955804</c:v>
                  </c:pt>
                  <c:pt idx="4">
                    <c:v>10.321542871667333</c:v>
                  </c:pt>
                  <c:pt idx="5">
                    <c:v>27.50013342485002</c:v>
                  </c:pt>
                  <c:pt idx="6">
                    <c:v>23.622937893260087</c:v>
                  </c:pt>
                  <c:pt idx="7">
                    <c:v>29.77061731798009</c:v>
                  </c:pt>
                  <c:pt idx="8">
                    <c:v>29.530253470776429</c:v>
                  </c:pt>
                  <c:pt idx="9">
                    <c:v>34.179673095553866</c:v>
                  </c:pt>
                  <c:pt idx="10">
                    <c:v>31.120225299051356</c:v>
                  </c:pt>
                  <c:pt idx="11">
                    <c:v>50.265859159876968</c:v>
                  </c:pt>
                  <c:pt idx="12">
                    <c:v>24.292479364897389</c:v>
                  </c:pt>
                  <c:pt idx="13">
                    <c:v>76.237123725208988</c:v>
                  </c:pt>
                  <c:pt idx="14">
                    <c:v>23.954506851392587</c:v>
                  </c:pt>
                  <c:pt idx="15">
                    <c:v>15.030075950848698</c:v>
                  </c:pt>
                  <c:pt idx="16">
                    <c:v>14.974140264314739</c:v>
                  </c:pt>
                  <c:pt idx="17">
                    <c:v>4.8824475681888071</c:v>
                  </c:pt>
                  <c:pt idx="18">
                    <c:v>70.984402695365048</c:v>
                  </c:pt>
                  <c:pt idx="19">
                    <c:v>54.993090618622759</c:v>
                  </c:pt>
                </c:numCache>
              </c:numRef>
            </c:plus>
            <c:minus>
              <c:numRef>
                <c:f>'Error bars'!$E$289:$E$308</c:f>
                <c:numCache>
                  <c:formatCode>General</c:formatCode>
                  <c:ptCount val="20"/>
                  <c:pt idx="0">
                    <c:v>3.0207591454332547</c:v>
                  </c:pt>
                  <c:pt idx="1">
                    <c:v>24.337630265640087</c:v>
                  </c:pt>
                  <c:pt idx="2">
                    <c:v>8.4689710267084592</c:v>
                  </c:pt>
                  <c:pt idx="3">
                    <c:v>10.663679681549841</c:v>
                  </c:pt>
                  <c:pt idx="4">
                    <c:v>8.8735094444718499</c:v>
                  </c:pt>
                  <c:pt idx="5">
                    <c:v>22.012508912302721</c:v>
                  </c:pt>
                  <c:pt idx="6">
                    <c:v>18.047396357106614</c:v>
                  </c:pt>
                  <c:pt idx="7">
                    <c:v>21.709846022889131</c:v>
                  </c:pt>
                  <c:pt idx="8">
                    <c:v>24.69241231952897</c:v>
                  </c:pt>
                  <c:pt idx="9">
                    <c:v>28.269536659022734</c:v>
                  </c:pt>
                  <c:pt idx="10">
                    <c:v>26.021904462190477</c:v>
                  </c:pt>
                  <c:pt idx="11">
                    <c:v>34.826532873873639</c:v>
                  </c:pt>
                  <c:pt idx="12">
                    <c:v>21.798077915585225</c:v>
                  </c:pt>
                  <c:pt idx="13">
                    <c:v>57.54388760671354</c:v>
                  </c:pt>
                  <c:pt idx="14">
                    <c:v>16.475223544896096</c:v>
                  </c:pt>
                  <c:pt idx="15">
                    <c:v>12.989491615752243</c:v>
                  </c:pt>
                  <c:pt idx="16">
                    <c:v>0</c:v>
                  </c:pt>
                  <c:pt idx="17">
                    <c:v>3.5763827020563452</c:v>
                  </c:pt>
                  <c:pt idx="18">
                    <c:v>43.713346294142063</c:v>
                  </c:pt>
                  <c:pt idx="19">
                    <c:v>40.937330459464334</c:v>
                  </c:pt>
                </c:numCache>
              </c:numRef>
            </c:minus>
          </c:errBars>
          <c:cat>
            <c:strRef>
              <c:f>'Error bars'!$B$289:$B$308</c:f>
              <c:strCache>
                <c:ptCount val="20"/>
                <c:pt idx="0">
                  <c:v>Auckland </c:v>
                </c:pt>
                <c:pt idx="1">
                  <c:v>Bay of Plenty</c:v>
                </c:pt>
                <c:pt idx="2">
                  <c:v>Canterbury</c:v>
                </c:pt>
                <c:pt idx="3">
                  <c:v>Capital &amp; Coast </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bars'!$C$289:$C$308</c:f>
              <c:numCache>
                <c:formatCode>0.0</c:formatCode>
                <c:ptCount val="20"/>
                <c:pt idx="0">
                  <c:v>6.8624759813340646</c:v>
                </c:pt>
                <c:pt idx="1">
                  <c:v>129.76981306967403</c:v>
                </c:pt>
                <c:pt idx="2">
                  <c:v>41.59660146915656</c:v>
                </c:pt>
                <c:pt idx="3">
                  <c:v>40.544599058964863</c:v>
                </c:pt>
                <c:pt idx="4">
                  <c:v>45.003427413346046</c:v>
                </c:pt>
                <c:pt idx="5">
                  <c:v>78.326060199171991</c:v>
                </c:pt>
                <c:pt idx="6">
                  <c:v>54.249547920433997</c:v>
                </c:pt>
                <c:pt idx="7">
                  <c:v>56.864337936636879</c:v>
                </c:pt>
                <c:pt idx="8">
                  <c:v>107.14285714285715</c:v>
                </c:pt>
                <c:pt idx="9">
                  <c:v>116.1805639598209</c:v>
                </c:pt>
                <c:pt idx="10">
                  <c:v>112.91165708311553</c:v>
                </c:pt>
                <c:pt idx="11">
                  <c:v>80.420661923909691</c:v>
                </c:pt>
                <c:pt idx="12">
                  <c:v>151.30389878647043</c:v>
                </c:pt>
                <c:pt idx="13">
                  <c:v>166.47748770336739</c:v>
                </c:pt>
                <c:pt idx="14">
                  <c:v>37.427951193951642</c:v>
                </c:pt>
                <c:pt idx="15">
                  <c:v>68.087252553271966</c:v>
                </c:pt>
                <c:pt idx="16">
                  <c:v>0</c:v>
                </c:pt>
                <c:pt idx="17">
                  <c:v>9.4819185081781558</c:v>
                </c:pt>
                <c:pt idx="18">
                  <c:v>80.884335400377466</c:v>
                </c:pt>
                <c:pt idx="19">
                  <c:v>113.6040897472309</c:v>
                </c:pt>
              </c:numCache>
            </c:numRef>
          </c:val>
          <c:smooth val="0"/>
          <c:extLst>
            <c:ext xmlns:c16="http://schemas.microsoft.com/office/drawing/2014/chart" uri="{C3380CC4-5D6E-409C-BE32-E72D297353CC}">
              <c16:uniqueId val="{00000000-1CD1-4DDE-9019-267A1334EA49}"/>
            </c:ext>
          </c:extLst>
        </c:ser>
        <c:ser>
          <c:idx val="1"/>
          <c:order val="1"/>
          <c:tx>
            <c:v>National average</c:v>
          </c:tx>
          <c:marker>
            <c:symbol val="none"/>
          </c:marker>
          <c:cat>
            <c:strRef>
              <c:f>'Error bars'!$B$289:$B$308</c:f>
              <c:strCache>
                <c:ptCount val="20"/>
                <c:pt idx="0">
                  <c:v>Auckland </c:v>
                </c:pt>
                <c:pt idx="1">
                  <c:v>Bay of Plenty</c:v>
                </c:pt>
                <c:pt idx="2">
                  <c:v>Canterbury</c:v>
                </c:pt>
                <c:pt idx="3">
                  <c:v>Capital &amp; Coast </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strCache>
            </c:strRef>
          </c:cat>
          <c:val>
            <c:numRef>
              <c:f>'Error bars'!$D$289:$D$308</c:f>
              <c:numCache>
                <c:formatCode>0</c:formatCode>
                <c:ptCount val="20"/>
                <c:pt idx="0">
                  <c:v>57.62109648948983</c:v>
                </c:pt>
                <c:pt idx="1">
                  <c:v>57.62109648948983</c:v>
                </c:pt>
                <c:pt idx="2">
                  <c:v>57.62109648948983</c:v>
                </c:pt>
                <c:pt idx="3">
                  <c:v>57.62109648948983</c:v>
                </c:pt>
                <c:pt idx="4">
                  <c:v>57.62109648948983</c:v>
                </c:pt>
                <c:pt idx="5">
                  <c:v>57.62109648948983</c:v>
                </c:pt>
                <c:pt idx="6">
                  <c:v>57.62109648948983</c:v>
                </c:pt>
                <c:pt idx="7">
                  <c:v>57.62109648948983</c:v>
                </c:pt>
                <c:pt idx="8">
                  <c:v>57.62109648948983</c:v>
                </c:pt>
                <c:pt idx="9">
                  <c:v>57.62109648948983</c:v>
                </c:pt>
                <c:pt idx="10">
                  <c:v>57.62109648948983</c:v>
                </c:pt>
                <c:pt idx="11">
                  <c:v>57.62109648948983</c:v>
                </c:pt>
                <c:pt idx="12">
                  <c:v>57.62109648948983</c:v>
                </c:pt>
                <c:pt idx="13">
                  <c:v>57.62109648948983</c:v>
                </c:pt>
                <c:pt idx="14">
                  <c:v>57.62109648948983</c:v>
                </c:pt>
                <c:pt idx="15">
                  <c:v>57.62109648948983</c:v>
                </c:pt>
                <c:pt idx="16">
                  <c:v>57.62109648948983</c:v>
                </c:pt>
                <c:pt idx="17">
                  <c:v>57.62109648948983</c:v>
                </c:pt>
                <c:pt idx="18">
                  <c:v>57.62109648948983</c:v>
                </c:pt>
                <c:pt idx="19">
                  <c:v>57.62109648948983</c:v>
                </c:pt>
              </c:numCache>
            </c:numRef>
          </c:val>
          <c:smooth val="0"/>
          <c:extLst>
            <c:ext xmlns:c16="http://schemas.microsoft.com/office/drawing/2014/chart" uri="{C3380CC4-5D6E-409C-BE32-E72D297353CC}">
              <c16:uniqueId val="{00000001-1CD1-4DDE-9019-267A1334EA49}"/>
            </c:ext>
          </c:extLst>
        </c:ser>
        <c:dLbls>
          <c:showLegendKey val="0"/>
          <c:showVal val="0"/>
          <c:showCatName val="0"/>
          <c:showSerName val="0"/>
          <c:showPercent val="0"/>
          <c:showBubbleSize val="0"/>
        </c:dLbls>
        <c:marker val="1"/>
        <c:smooth val="0"/>
        <c:axId val="555319040"/>
        <c:axId val="555319824"/>
      </c:lineChart>
      <c:catAx>
        <c:axId val="555319040"/>
        <c:scaling>
          <c:orientation val="minMax"/>
        </c:scaling>
        <c:delete val="0"/>
        <c:axPos val="b"/>
        <c:title>
          <c:tx>
            <c:rich>
              <a:bodyPr/>
              <a:lstStyle/>
              <a:p>
                <a:pPr>
                  <a:defRPr/>
                </a:pPr>
                <a:r>
                  <a:rPr lang="en-NZ"/>
                  <a:t>DHB</a:t>
                </a:r>
              </a:p>
            </c:rich>
          </c:tx>
          <c:layout>
            <c:manualLayout>
              <c:xMode val="edge"/>
              <c:yMode val="edge"/>
              <c:x val="0.4709018560534286"/>
              <c:y val="0.95544225721784781"/>
            </c:manualLayout>
          </c:layout>
          <c:overlay val="0"/>
        </c:title>
        <c:numFmt formatCode="General" sourceLinked="0"/>
        <c:majorTickMark val="out"/>
        <c:minorTickMark val="none"/>
        <c:tickLblPos val="nextTo"/>
        <c:txPr>
          <a:bodyPr rot="-5400000" vert="horz"/>
          <a:lstStyle/>
          <a:p>
            <a:pPr>
              <a:defRPr/>
            </a:pPr>
            <a:endParaRPr lang="en-US"/>
          </a:p>
        </c:txPr>
        <c:crossAx val="555319824"/>
        <c:crosses val="autoZero"/>
        <c:auto val="1"/>
        <c:lblAlgn val="ctr"/>
        <c:lblOffset val="100"/>
        <c:noMultiLvlLbl val="0"/>
      </c:catAx>
      <c:valAx>
        <c:axId val="555319824"/>
        <c:scaling>
          <c:orientation val="minMax"/>
        </c:scaling>
        <c:delete val="0"/>
        <c:axPos val="l"/>
        <c:title>
          <c:tx>
            <c:rich>
              <a:bodyPr rot="0" vert="horz"/>
              <a:lstStyle/>
              <a:p>
                <a:pPr>
                  <a:defRPr/>
                </a:pPr>
                <a:r>
                  <a:rPr lang="en-NZ"/>
                  <a:t>Number per 100,000 population</a:t>
                </a:r>
              </a:p>
            </c:rich>
          </c:tx>
          <c:layout>
            <c:manualLayout>
              <c:xMode val="edge"/>
              <c:yMode val="edge"/>
              <c:x val="0"/>
              <c:y val="2.9437387979779597E-3"/>
            </c:manualLayout>
          </c:layout>
          <c:overlay val="0"/>
        </c:title>
        <c:numFmt formatCode="0" sourceLinked="0"/>
        <c:majorTickMark val="out"/>
        <c:minorTickMark val="none"/>
        <c:tickLblPos val="nextTo"/>
        <c:crossAx val="555319040"/>
        <c:crosses val="autoZero"/>
        <c:crossBetween val="between"/>
      </c:valAx>
    </c:plotArea>
    <c:plotVisOnly val="1"/>
    <c:dispBlanksAs val="gap"/>
    <c:showDLblsOverMax val="0"/>
  </c:chart>
  <c:spPr>
    <a:ln>
      <a:noFill/>
    </a:ln>
  </c:spPr>
  <c:txPr>
    <a:bodyPr/>
    <a:lstStyle/>
    <a:p>
      <a:pPr>
        <a:defRPr sz="900" b="0"/>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56928188469571E-2"/>
          <c:y val="0.11562629671291089"/>
          <c:w val="0.88211197885448134"/>
          <c:h val="0.50903112110986126"/>
        </c:manualLayout>
      </c:layout>
      <c:lineChart>
        <c:grouping val="standard"/>
        <c:varyColors val="0"/>
        <c:ser>
          <c:idx val="0"/>
          <c:order val="0"/>
          <c:tx>
            <c:strRef>
              <c:f>'Error bars'!$B$184</c:f>
              <c:strCache>
                <c:ptCount val="1"/>
                <c:pt idx="0">
                  <c:v>Section 30</c:v>
                </c:pt>
              </c:strCache>
            </c:strRef>
          </c:tx>
          <c:spPr>
            <a:ln>
              <a:noFill/>
            </a:ln>
          </c:spPr>
          <c:errBars>
            <c:errDir val="y"/>
            <c:errBarType val="both"/>
            <c:errValType val="cust"/>
            <c:noEndCap val="0"/>
            <c:plus>
              <c:numRef>
                <c:f>'Error bars'!$F$186:$F$205</c:f>
                <c:numCache>
                  <c:formatCode>General</c:formatCode>
                  <c:ptCount val="20"/>
                  <c:pt idx="0">
                    <c:v>4.3353618417982229</c:v>
                  </c:pt>
                  <c:pt idx="1">
                    <c:v>6.141303562406156</c:v>
                  </c:pt>
                  <c:pt idx="2">
                    <c:v>5.1651625346773073</c:v>
                  </c:pt>
                  <c:pt idx="3">
                    <c:v>8.6895608110584774</c:v>
                  </c:pt>
                  <c:pt idx="4">
                    <c:v>4.0081228356903278</c:v>
                  </c:pt>
                  <c:pt idx="5">
                    <c:v>10.339910272640847</c:v>
                  </c:pt>
                  <c:pt idx="6">
                    <c:v>7.7720012015589397</c:v>
                  </c:pt>
                  <c:pt idx="7">
                    <c:v>8.9246999271920835</c:v>
                  </c:pt>
                  <c:pt idx="8">
                    <c:v>5.893594583423976</c:v>
                  </c:pt>
                  <c:pt idx="9">
                    <c:v>7.9769748729928196</c:v>
                  </c:pt>
                  <c:pt idx="10">
                    <c:v>8.0213833564560257</c:v>
                  </c:pt>
                  <c:pt idx="11">
                    <c:v>11.896330571809116</c:v>
                  </c:pt>
                  <c:pt idx="12">
                    <c:v>5.6487456779712701</c:v>
                  </c:pt>
                  <c:pt idx="13">
                    <c:v>12.187003840501461</c:v>
                  </c:pt>
                  <c:pt idx="14">
                    <c:v>7.4888142152399775</c:v>
                  </c:pt>
                  <c:pt idx="15">
                    <c:v>5.5357790021141398</c:v>
                  </c:pt>
                  <c:pt idx="16">
                    <c:v>7.7020136843385245</c:v>
                  </c:pt>
                  <c:pt idx="17">
                    <c:v>4.0317004421402967</c:v>
                  </c:pt>
                  <c:pt idx="18">
                    <c:v>26.962265864198297</c:v>
                  </c:pt>
                  <c:pt idx="19">
                    <c:v>20.550807380410649</c:v>
                  </c:pt>
                </c:numCache>
              </c:numRef>
            </c:plus>
            <c:minus>
              <c:numRef>
                <c:f>'Error bars'!$E$186:$E$205</c:f>
                <c:numCache>
                  <c:formatCode>General</c:formatCode>
                  <c:ptCount val="20"/>
                  <c:pt idx="0">
                    <c:v>3.3258839057266636</c:v>
                  </c:pt>
                  <c:pt idx="1">
                    <c:v>4.4443412254112662</c:v>
                  </c:pt>
                  <c:pt idx="2">
                    <c:v>4.4566788963487465</c:v>
                  </c:pt>
                  <c:pt idx="3">
                    <c:v>7.3086927862713225</c:v>
                  </c:pt>
                  <c:pt idx="4">
                    <c:v>3.291416954320785</c:v>
                  </c:pt>
                  <c:pt idx="5">
                    <c:v>7.6878442538450447</c:v>
                  </c:pt>
                  <c:pt idx="6">
                    <c:v>5.0418503272113462</c:v>
                  </c:pt>
                  <c:pt idx="7">
                    <c:v>4.5882191657718119</c:v>
                  </c:pt>
                  <c:pt idx="8">
                    <c:v>3.4770581976201838</c:v>
                  </c:pt>
                  <c:pt idx="9">
                    <c:v>4.8678623590582299</c:v>
                  </c:pt>
                  <c:pt idx="10">
                    <c:v>5.4782381144887626</c:v>
                  </c:pt>
                  <c:pt idx="11">
                    <c:v>4.2785578593341214</c:v>
                  </c:pt>
                  <c:pt idx="12">
                    <c:v>4.2475659629400626</c:v>
                  </c:pt>
                  <c:pt idx="13">
                    <c:v>2.8192955904940491</c:v>
                  </c:pt>
                  <c:pt idx="14">
                    <c:v>3.53660581033754</c:v>
                  </c:pt>
                  <c:pt idx="15">
                    <c:v>4.5872748448547505</c:v>
                  </c:pt>
                  <c:pt idx="16">
                    <c:v>0</c:v>
                  </c:pt>
                  <c:pt idx="17">
                    <c:v>3.239791643868859</c:v>
                  </c:pt>
                  <c:pt idx="18">
                    <c:v>11.391376090849185</c:v>
                  </c:pt>
                  <c:pt idx="19">
                    <c:v>13.125132412703477</c:v>
                  </c:pt>
                </c:numCache>
              </c:numRef>
            </c:minus>
          </c:errBars>
          <c:cat>
            <c:strRef>
              <c:f>'Error bars'!$B$47:$B$67</c:f>
              <c:strCache>
                <c:ptCount val="21"/>
                <c:pt idx="0">
                  <c:v>Auckland </c:v>
                </c:pt>
                <c:pt idx="1">
                  <c:v>Bay of Plenty</c:v>
                </c:pt>
                <c:pt idx="2">
                  <c:v>Canterbury</c:v>
                </c:pt>
                <c:pt idx="3">
                  <c:v>Capital &amp; Coast </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pt idx="20">
                  <c:v>National average</c:v>
                </c:pt>
              </c:strCache>
            </c:strRef>
          </c:cat>
          <c:val>
            <c:numRef>
              <c:f>'Error bars'!$C$186:$C$205</c:f>
              <c:numCache>
                <c:formatCode>0</c:formatCode>
                <c:ptCount val="20"/>
                <c:pt idx="0">
                  <c:v>10.134305134714602</c:v>
                </c:pt>
                <c:pt idx="1">
                  <c:v>9.9303568395332729</c:v>
                </c:pt>
                <c:pt idx="2">
                  <c:v>19.175385406261135</c:v>
                </c:pt>
                <c:pt idx="3">
                  <c:v>29.361755722787244</c:v>
                </c:pt>
                <c:pt idx="4">
                  <c:v>10.87554743670812</c:v>
                </c:pt>
                <c:pt idx="5">
                  <c:v>19.85945615643141</c:v>
                </c:pt>
                <c:pt idx="6">
                  <c:v>8.6319672306933448</c:v>
                </c:pt>
                <c:pt idx="7">
                  <c:v>6.586184934282902</c:v>
                </c:pt>
                <c:pt idx="8">
                  <c:v>5.3328994703255788</c:v>
                </c:pt>
                <c:pt idx="9">
                  <c:v>8.6101250845165644</c:v>
                </c:pt>
                <c:pt idx="10">
                  <c:v>11.864109972857017</c:v>
                </c:pt>
                <c:pt idx="11">
                  <c:v>4.6137979699288936</c:v>
                </c:pt>
                <c:pt idx="12">
                  <c:v>11.743966872735442</c:v>
                </c:pt>
                <c:pt idx="13">
                  <c:v>2.8294260307194823</c:v>
                </c:pt>
                <c:pt idx="14">
                  <c:v>4.5911822294240769</c:v>
                </c:pt>
                <c:pt idx="15">
                  <c:v>15.814065398436835</c:v>
                </c:pt>
                <c:pt idx="16">
                  <c:v>0</c:v>
                </c:pt>
                <c:pt idx="17">
                  <c:v>11.712628636973133</c:v>
                </c:pt>
                <c:pt idx="18">
                  <c:v>14.050684651543019</c:v>
                </c:pt>
                <c:pt idx="19">
                  <c:v>25.795990566037734</c:v>
                </c:pt>
              </c:numCache>
            </c:numRef>
          </c:val>
          <c:smooth val="0"/>
          <c:extLst>
            <c:ext xmlns:c16="http://schemas.microsoft.com/office/drawing/2014/chart" uri="{C3380CC4-5D6E-409C-BE32-E72D297353CC}">
              <c16:uniqueId val="{00000000-1BAE-4F6B-BB26-17115F61451C}"/>
            </c:ext>
          </c:extLst>
        </c:ser>
        <c:ser>
          <c:idx val="1"/>
          <c:order val="1"/>
          <c:tx>
            <c:v>National average</c:v>
          </c:tx>
          <c:marker>
            <c:symbol val="none"/>
          </c:marker>
          <c:val>
            <c:numRef>
              <c:f>'Error bars'!$D$186:$D$205</c:f>
              <c:numCache>
                <c:formatCode>0</c:formatCode>
                <c:ptCount val="20"/>
                <c:pt idx="0">
                  <c:v>12.796716177149774</c:v>
                </c:pt>
                <c:pt idx="1">
                  <c:v>12.796716177149774</c:v>
                </c:pt>
                <c:pt idx="2">
                  <c:v>12.796716177149774</c:v>
                </c:pt>
                <c:pt idx="3">
                  <c:v>12.796716177149774</c:v>
                </c:pt>
                <c:pt idx="4">
                  <c:v>12.796716177149774</c:v>
                </c:pt>
                <c:pt idx="5">
                  <c:v>12.796716177149774</c:v>
                </c:pt>
                <c:pt idx="6">
                  <c:v>12.796716177149774</c:v>
                </c:pt>
                <c:pt idx="7">
                  <c:v>12.796716177149774</c:v>
                </c:pt>
                <c:pt idx="8">
                  <c:v>12.796716177149774</c:v>
                </c:pt>
                <c:pt idx="9">
                  <c:v>12.796716177149774</c:v>
                </c:pt>
                <c:pt idx="10">
                  <c:v>12.796716177149774</c:v>
                </c:pt>
                <c:pt idx="11">
                  <c:v>12.796716177149774</c:v>
                </c:pt>
                <c:pt idx="12">
                  <c:v>12.796716177149774</c:v>
                </c:pt>
                <c:pt idx="13">
                  <c:v>12.796716177149774</c:v>
                </c:pt>
                <c:pt idx="14">
                  <c:v>12.796716177149774</c:v>
                </c:pt>
                <c:pt idx="15">
                  <c:v>12.796716177149774</c:v>
                </c:pt>
                <c:pt idx="16">
                  <c:v>12.796716177149774</c:v>
                </c:pt>
                <c:pt idx="17">
                  <c:v>12.796716177149774</c:v>
                </c:pt>
                <c:pt idx="18">
                  <c:v>12.796716177149774</c:v>
                </c:pt>
                <c:pt idx="19">
                  <c:v>12.796716177149774</c:v>
                </c:pt>
              </c:numCache>
            </c:numRef>
          </c:val>
          <c:smooth val="0"/>
          <c:extLst>
            <c:ext xmlns:c16="http://schemas.microsoft.com/office/drawing/2014/chart" uri="{C3380CC4-5D6E-409C-BE32-E72D297353CC}">
              <c16:uniqueId val="{00000001-1BAE-4F6B-BB26-17115F61451C}"/>
            </c:ext>
          </c:extLst>
        </c:ser>
        <c:dLbls>
          <c:showLegendKey val="0"/>
          <c:showVal val="0"/>
          <c:showCatName val="0"/>
          <c:showSerName val="0"/>
          <c:showPercent val="0"/>
          <c:showBubbleSize val="0"/>
        </c:dLbls>
        <c:marker val="1"/>
        <c:smooth val="0"/>
        <c:axId val="555311592"/>
        <c:axId val="555318256"/>
      </c:lineChart>
      <c:catAx>
        <c:axId val="555311592"/>
        <c:scaling>
          <c:orientation val="minMax"/>
        </c:scaling>
        <c:delete val="0"/>
        <c:axPos val="b"/>
        <c:title>
          <c:tx>
            <c:rich>
              <a:bodyPr/>
              <a:lstStyle/>
              <a:p>
                <a:pPr>
                  <a:defRPr b="0"/>
                </a:pPr>
                <a:r>
                  <a:rPr lang="en-NZ" b="0"/>
                  <a:t>DHB</a:t>
                </a:r>
              </a:p>
            </c:rich>
          </c:tx>
          <c:overlay val="0"/>
        </c:title>
        <c:numFmt formatCode="General" sourceLinked="0"/>
        <c:majorTickMark val="out"/>
        <c:minorTickMark val="none"/>
        <c:tickLblPos val="nextTo"/>
        <c:txPr>
          <a:bodyPr rot="-5400000" vert="horz"/>
          <a:lstStyle/>
          <a:p>
            <a:pPr>
              <a:defRPr/>
            </a:pPr>
            <a:endParaRPr lang="en-US"/>
          </a:p>
        </c:txPr>
        <c:crossAx val="555318256"/>
        <c:crosses val="autoZero"/>
        <c:auto val="1"/>
        <c:lblAlgn val="ctr"/>
        <c:lblOffset val="100"/>
        <c:noMultiLvlLbl val="0"/>
      </c:catAx>
      <c:valAx>
        <c:axId val="555318256"/>
        <c:scaling>
          <c:orientation val="minMax"/>
        </c:scaling>
        <c:delete val="0"/>
        <c:axPos val="l"/>
        <c:title>
          <c:tx>
            <c:rich>
              <a:bodyPr rot="0" vert="horz"/>
              <a:lstStyle/>
              <a:p>
                <a:pPr>
                  <a:defRPr b="0"/>
                </a:pPr>
                <a:r>
                  <a:rPr lang="en-NZ" b="0"/>
                  <a:t>Average</a:t>
                </a:r>
                <a:r>
                  <a:rPr lang="en-NZ" b="0" baseline="0"/>
                  <a:t> number per 100,000</a:t>
                </a:r>
                <a:endParaRPr lang="en-NZ" b="0"/>
              </a:p>
            </c:rich>
          </c:tx>
          <c:layout>
            <c:manualLayout>
              <c:xMode val="edge"/>
              <c:yMode val="edge"/>
              <c:x val="0"/>
              <c:y val="2.8450481490500949E-3"/>
            </c:manualLayout>
          </c:layout>
          <c:overlay val="0"/>
        </c:title>
        <c:numFmt formatCode="0" sourceLinked="1"/>
        <c:majorTickMark val="out"/>
        <c:minorTickMark val="none"/>
        <c:tickLblPos val="nextTo"/>
        <c:crossAx val="555311592"/>
        <c:crosses val="autoZero"/>
        <c:crossBetween val="between"/>
      </c:valAx>
    </c:plotArea>
    <c:legend>
      <c:legendPos val="tr"/>
      <c:overlay val="1"/>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46143136700898E-2"/>
          <c:y val="0.14344806685336819"/>
          <c:w val="0.80778492505308008"/>
          <c:h val="0.54384968094241248"/>
        </c:manualLayout>
      </c:layout>
      <c:lineChart>
        <c:grouping val="standard"/>
        <c:varyColors val="0"/>
        <c:ser>
          <c:idx val="0"/>
          <c:order val="0"/>
          <c:tx>
            <c:strRef>
              <c:f>'Error bars'!$B$287</c:f>
              <c:strCache>
                <c:ptCount val="1"/>
                <c:pt idx="0">
                  <c:v>Number of events</c:v>
                </c:pt>
              </c:strCache>
            </c:strRef>
          </c:tx>
          <c:spPr>
            <a:ln w="19050" cap="rnd" cmpd="sng" algn="ctr">
              <a:noFill/>
              <a:prstDash val="solid"/>
              <a:round/>
            </a:ln>
            <a:effectLst/>
          </c:spPr>
          <c:marker>
            <c:spPr>
              <a:solidFill>
                <a:schemeClr val="accent1"/>
              </a:solidFill>
              <a:ln w="6350" cap="flat" cmpd="sng" algn="ctr">
                <a:solidFill>
                  <a:schemeClr val="accent1"/>
                </a:solidFill>
                <a:prstDash val="solid"/>
                <a:round/>
              </a:ln>
              <a:effectLst/>
            </c:spPr>
          </c:marker>
          <c:errBars>
            <c:errDir val="y"/>
            <c:errBarType val="both"/>
            <c:errValType val="cust"/>
            <c:noEndCap val="0"/>
            <c:plus>
              <c:numRef>
                <c:f>'Error bars'!$F$289:$F$308</c:f>
                <c:numCache>
                  <c:formatCode>General</c:formatCode>
                  <c:ptCount val="19"/>
                  <c:pt idx="0">
                    <c:v>4.5747430772074358</c:v>
                  </c:pt>
                  <c:pt idx="1">
                    <c:v>31.039390362808149</c:v>
                  </c:pt>
                  <c:pt idx="2">
                    <c:v>11.384466135713758</c:v>
                  </c:pt>
                  <c:pt idx="3">
                    <c:v>14.11985406137341</c:v>
                  </c:pt>
                  <c:pt idx="4">
                    <c:v>10.96460637238809</c:v>
                  </c:pt>
                  <c:pt idx="5">
                    <c:v>21.200752273928266</c:v>
                  </c:pt>
                  <c:pt idx="6">
                    <c:v>24.704071765633486</c:v>
                  </c:pt>
                  <c:pt idx="7">
                    <c:v>33.860806442398768</c:v>
                  </c:pt>
                  <c:pt idx="8">
                    <c:v>29.528802069759266</c:v>
                  </c:pt>
                  <c:pt idx="9">
                    <c:v>32.338115191753701</c:v>
                  </c:pt>
                  <c:pt idx="10">
                    <c:v>26.479851298518156</c:v>
                  </c:pt>
                  <c:pt idx="11">
                    <c:v>30.172973854141294</c:v>
                  </c:pt>
                  <c:pt idx="12">
                    <c:v>20.987362791913839</c:v>
                  </c:pt>
                  <c:pt idx="13">
                    <c:v>54.336913171144559</c:v>
                  </c:pt>
                  <c:pt idx="14">
                    <c:v>27.570134408906497</c:v>
                  </c:pt>
                  <c:pt idx="15">
                    <c:v>16.899376071700473</c:v>
                  </c:pt>
                  <c:pt idx="16">
                    <c:v>5.1422474580619397</c:v>
                  </c:pt>
                  <c:pt idx="17">
                    <c:v>73.471187671714986</c:v>
                  </c:pt>
                  <c:pt idx="18">
                    <c:v>44.848771260903064</c:v>
                  </c:pt>
                </c:numCache>
              </c:numRef>
            </c:plus>
            <c:minus>
              <c:numRef>
                <c:f>'Error bars'!$E$289:$E$308</c:f>
                <c:numCache>
                  <c:formatCode>General</c:formatCode>
                  <c:ptCount val="19"/>
                  <c:pt idx="0">
                    <c:v>3.0086805169556681</c:v>
                  </c:pt>
                  <c:pt idx="1">
                    <c:v>27.508044661967318</c:v>
                  </c:pt>
                  <c:pt idx="2">
                    <c:v>9.9639672752250092</c:v>
                  </c:pt>
                  <c:pt idx="3">
                    <c:v>11.642671848655851</c:v>
                  </c:pt>
                  <c:pt idx="4">
                    <c:v>9.5131212135562677</c:v>
                  </c:pt>
                  <c:pt idx="5">
                    <c:v>15.949907964384956</c:v>
                  </c:pt>
                  <c:pt idx="6">
                    <c:v>19.382271958890961</c:v>
                  </c:pt>
                  <c:pt idx="7">
                    <c:v>26.145978287269962</c:v>
                  </c:pt>
                  <c:pt idx="8">
                    <c:v>24.751762573612965</c:v>
                  </c:pt>
                  <c:pt idx="9">
                    <c:v>26.719586783268923</c:v>
                  </c:pt>
                  <c:pt idx="10">
                    <c:v>21.639965862545459</c:v>
                  </c:pt>
                  <c:pt idx="11">
                    <c:v>14.776425550990997</c:v>
                  </c:pt>
                  <c:pt idx="12">
                    <c:v>18.560424050103578</c:v>
                  </c:pt>
                  <c:pt idx="13">
                    <c:v>35.343952476594275</c:v>
                  </c:pt>
                  <c:pt idx="14">
                    <c:v>20.2816469989097</c:v>
                  </c:pt>
                  <c:pt idx="15">
                    <c:v>14.885877311386636</c:v>
                  </c:pt>
                  <c:pt idx="16">
                    <c:v>3.8134249671742282</c:v>
                  </c:pt>
                  <c:pt idx="17">
                    <c:v>45.95631578905801</c:v>
                  </c:pt>
                  <c:pt idx="18">
                    <c:v>31.07332158996369</c:v>
                  </c:pt>
                </c:numCache>
              </c:numRef>
            </c:minus>
            <c:spPr>
              <a:solidFill>
                <a:schemeClr val="tx1"/>
              </a:solidFill>
              <a:ln w="6350" cap="flat" cmpd="sng" algn="ctr">
                <a:solidFill>
                  <a:schemeClr val="tx1"/>
                </a:solidFill>
                <a:prstDash val="solid"/>
                <a:round/>
              </a:ln>
              <a:effectLst/>
            </c:spPr>
          </c:errBars>
          <c:cat>
            <c:strRef>
              <c:f>'Error bars'!$B$289:$B$308</c:f>
              <c:strCache>
                <c:ptCount val="19"/>
                <c:pt idx="0">
                  <c:v>Auckland </c:v>
                </c:pt>
                <c:pt idx="1">
                  <c:v>Bay of Plenty</c:v>
                </c:pt>
                <c:pt idx="2">
                  <c:v>Canterbury</c:v>
                </c:pt>
                <c:pt idx="3">
                  <c:v>Capital &amp; Coast </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Waitematā</c:v>
                </c:pt>
                <c:pt idx="17">
                  <c:v>West Coast</c:v>
                </c:pt>
                <c:pt idx="18">
                  <c:v>Whanganui</c:v>
                </c:pt>
              </c:strCache>
            </c:strRef>
          </c:cat>
          <c:val>
            <c:numRef>
              <c:f>'Error bars'!$C$289:$C$308</c:f>
              <c:numCache>
                <c:formatCode>0.0</c:formatCode>
                <c:ptCount val="19"/>
                <c:pt idx="0">
                  <c:v>6.2377194897545456</c:v>
                </c:pt>
                <c:pt idx="1">
                  <c:v>172.23762954313239</c:v>
                </c:pt>
                <c:pt idx="2">
                  <c:v>56.856481345798777</c:v>
                </c:pt>
                <c:pt idx="3">
                  <c:v>47.15546090660176</c:v>
                </c:pt>
                <c:pt idx="4">
                  <c:v>51.148600143575017</c:v>
                </c:pt>
                <c:pt idx="5">
                  <c:v>45.681504302560292</c:v>
                </c:pt>
                <c:pt idx="6">
                  <c:v>63.859725078471698</c:v>
                </c:pt>
                <c:pt idx="7">
                  <c:v>81.428124021296583</c:v>
                </c:pt>
                <c:pt idx="8">
                  <c:v>108.77021068103871</c:v>
                </c:pt>
                <c:pt idx="9">
                  <c:v>109.28333141608189</c:v>
                </c:pt>
                <c:pt idx="10">
                  <c:v>84.108450425489806</c:v>
                </c:pt>
                <c:pt idx="11">
                  <c:v>20.842638082477297</c:v>
                </c:pt>
                <c:pt idx="12">
                  <c:v>114.32582861154289</c:v>
                </c:pt>
                <c:pt idx="13">
                  <c:v>71.77937287495277</c:v>
                </c:pt>
                <c:pt idx="14">
                  <c:v>54.411764705882348</c:v>
                </c:pt>
                <c:pt idx="15">
                  <c:v>88.977589289426632</c:v>
                </c:pt>
                <c:pt idx="16">
                  <c:v>10.466707817825608</c:v>
                </c:pt>
                <c:pt idx="17">
                  <c:v>87.19346049046321</c:v>
                </c:pt>
                <c:pt idx="18">
                  <c:v>71.753829170691318</c:v>
                </c:pt>
              </c:numCache>
            </c:numRef>
          </c:val>
          <c:smooth val="0"/>
          <c:extLst>
            <c:ext xmlns:c16="http://schemas.microsoft.com/office/drawing/2014/chart" uri="{C3380CC4-5D6E-409C-BE32-E72D297353CC}">
              <c16:uniqueId val="{00000000-4DC4-440F-A545-917FB753600C}"/>
            </c:ext>
          </c:extLst>
        </c:ser>
        <c:ser>
          <c:idx val="1"/>
          <c:order val="1"/>
          <c:tx>
            <c:v>National Average</c:v>
          </c:tx>
          <c:spPr>
            <a:ln w="19050" cap="rnd" cmpd="sng" algn="ctr">
              <a:solidFill>
                <a:schemeClr val="accent2"/>
              </a:solidFill>
              <a:prstDash val="solid"/>
              <a:round/>
            </a:ln>
            <a:effectLst/>
          </c:spPr>
          <c:marker>
            <c:symbol val="none"/>
          </c:marker>
          <c:cat>
            <c:strRef>
              <c:f>'Error bars'!$B$289:$B$308</c:f>
              <c:strCache>
                <c:ptCount val="19"/>
                <c:pt idx="0">
                  <c:v>Auckland </c:v>
                </c:pt>
                <c:pt idx="1">
                  <c:v>Bay of Plenty</c:v>
                </c:pt>
                <c:pt idx="2">
                  <c:v>Canterbury</c:v>
                </c:pt>
                <c:pt idx="3">
                  <c:v>Capital &amp; Coast </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Waitematā</c:v>
                </c:pt>
                <c:pt idx="17">
                  <c:v>West Coast</c:v>
                </c:pt>
                <c:pt idx="18">
                  <c:v>Whanganui</c:v>
                </c:pt>
              </c:strCache>
            </c:strRef>
          </c:cat>
          <c:val>
            <c:numRef>
              <c:f>'Error bars'!$D$289:$D$308</c:f>
              <c:numCache>
                <c:formatCode>0</c:formatCode>
                <c:ptCount val="19"/>
                <c:pt idx="0">
                  <c:v>60.350656335003208</c:v>
                </c:pt>
                <c:pt idx="1">
                  <c:v>60.350656335003208</c:v>
                </c:pt>
                <c:pt idx="2">
                  <c:v>60.350656335003208</c:v>
                </c:pt>
                <c:pt idx="3">
                  <c:v>60.350656335003208</c:v>
                </c:pt>
                <c:pt idx="4">
                  <c:v>60.350656335003208</c:v>
                </c:pt>
                <c:pt idx="5">
                  <c:v>60.350656335003208</c:v>
                </c:pt>
                <c:pt idx="6">
                  <c:v>60.350656335003208</c:v>
                </c:pt>
                <c:pt idx="7">
                  <c:v>60.350656335003208</c:v>
                </c:pt>
                <c:pt idx="8">
                  <c:v>60.350656335003208</c:v>
                </c:pt>
                <c:pt idx="9">
                  <c:v>60.350656335003208</c:v>
                </c:pt>
                <c:pt idx="10">
                  <c:v>60.350656335003208</c:v>
                </c:pt>
                <c:pt idx="11">
                  <c:v>60.350656335003208</c:v>
                </c:pt>
                <c:pt idx="12">
                  <c:v>60.350656335003208</c:v>
                </c:pt>
                <c:pt idx="13">
                  <c:v>60.350656335003208</c:v>
                </c:pt>
                <c:pt idx="14">
                  <c:v>60.350656335003208</c:v>
                </c:pt>
                <c:pt idx="15">
                  <c:v>60.350656335003208</c:v>
                </c:pt>
                <c:pt idx="16">
                  <c:v>60.350656335003208</c:v>
                </c:pt>
                <c:pt idx="17">
                  <c:v>60.350656335003208</c:v>
                </c:pt>
                <c:pt idx="18">
                  <c:v>60.350656335003208</c:v>
                </c:pt>
              </c:numCache>
            </c:numRef>
          </c:val>
          <c:smooth val="0"/>
          <c:extLst>
            <c:ext xmlns:c16="http://schemas.microsoft.com/office/drawing/2014/chart" uri="{C3380CC4-5D6E-409C-BE32-E72D297353CC}">
              <c16:uniqueId val="{00000001-4DC4-440F-A545-917FB753600C}"/>
            </c:ext>
          </c:extLst>
        </c:ser>
        <c:dLbls>
          <c:showLegendKey val="0"/>
          <c:showVal val="0"/>
          <c:showCatName val="0"/>
          <c:showSerName val="0"/>
          <c:showPercent val="0"/>
          <c:showBubbleSize val="0"/>
        </c:dLbls>
        <c:marker val="1"/>
        <c:smooth val="0"/>
        <c:axId val="555319040"/>
        <c:axId val="555319824"/>
      </c:lineChart>
      <c:catAx>
        <c:axId val="55531904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NZ"/>
                  <a:t>DHB</a:t>
                </a:r>
              </a:p>
            </c:rich>
          </c:tx>
          <c:layout>
            <c:manualLayout>
              <c:xMode val="edge"/>
              <c:yMode val="edge"/>
              <c:x val="0.45294171918821347"/>
              <c:y val="0.956649923392505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555319824"/>
        <c:crosses val="autoZero"/>
        <c:auto val="1"/>
        <c:lblAlgn val="ctr"/>
        <c:lblOffset val="100"/>
        <c:noMultiLvlLbl val="0"/>
      </c:catAx>
      <c:valAx>
        <c:axId val="555319824"/>
        <c:scaling>
          <c:orientation val="minMax"/>
        </c:scaling>
        <c:delete val="0"/>
        <c:axPos val="l"/>
        <c:title>
          <c:tx>
            <c:rich>
              <a:bodyPr rot="0" spcFirstLastPara="1" vertOverflow="ellipsis" wrap="square" anchor="ctr" anchorCtr="1"/>
              <a:lstStyle/>
              <a:p>
                <a:pPr>
                  <a:defRPr sz="900" b="0" i="0" u="none" strike="noStrike" kern="1200" baseline="0">
                    <a:solidFill>
                      <a:schemeClr val="tx1"/>
                    </a:solidFill>
                    <a:latin typeface="+mn-lt"/>
                    <a:ea typeface="+mn-ea"/>
                    <a:cs typeface="+mn-cs"/>
                  </a:defRPr>
                </a:pPr>
                <a:r>
                  <a:rPr lang="en-NZ"/>
                  <a:t>Number per 100,000 population</a:t>
                </a:r>
              </a:p>
            </c:rich>
          </c:tx>
          <c:layout>
            <c:manualLayout>
              <c:xMode val="edge"/>
              <c:yMode val="edge"/>
              <c:x val="0"/>
              <c:y val="5.300712474210355E-4"/>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title>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55319040"/>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900" b="0"/>
      </a:pPr>
      <a:endParaRPr lang="en-US"/>
    </a:p>
  </c:txPr>
  <c:externalData r:id="rId3">
    <c:autoUpdate val="0"/>
  </c:externalData>
  <c:userShapes r:id="rId4"/>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96818034731982E-2"/>
          <c:y val="9.6024582293067026E-2"/>
          <c:w val="0.87979359292417214"/>
          <c:h val="0.70771855562552577"/>
        </c:manualLayout>
      </c:layout>
      <c:barChart>
        <c:barDir val="col"/>
        <c:grouping val="clustered"/>
        <c:varyColors val="0"/>
        <c:ser>
          <c:idx val="0"/>
          <c:order val="0"/>
          <c:tx>
            <c:strRef>
              <c:f>Seclusion!$D$194</c:f>
              <c:strCache>
                <c:ptCount val="1"/>
                <c:pt idx="0">
                  <c:v>Māori</c:v>
                </c:pt>
              </c:strCache>
            </c:strRef>
          </c:tx>
          <c:spPr>
            <a:solidFill>
              <a:schemeClr val="accent1"/>
            </a:solidFill>
            <a:ln>
              <a:noFill/>
            </a:ln>
            <a:effectLst/>
          </c:spPr>
          <c:invertIfNegative val="0"/>
          <c:cat>
            <c:strRef>
              <c:f>Seclusion!$E$193:$G$193</c:f>
              <c:strCache>
                <c:ptCount val="3"/>
                <c:pt idx="0">
                  <c:v>People secluded per 100,000 population</c:v>
                </c:pt>
                <c:pt idx="1">
                  <c:v>Seclusion events per 100,000 population</c:v>
                </c:pt>
                <c:pt idx="2">
                  <c:v>Average duration per event (hours)</c:v>
                </c:pt>
              </c:strCache>
            </c:strRef>
          </c:cat>
          <c:val>
            <c:numRef>
              <c:f>Seclusion!$E$194:$G$194</c:f>
              <c:numCache>
                <c:formatCode>_-* #,##0.0_-;\-* #,##0.0_-;_-* "-"??_-;_-@_-</c:formatCode>
                <c:ptCount val="3"/>
                <c:pt idx="0">
                  <c:v>94.500854529003718</c:v>
                </c:pt>
                <c:pt idx="1">
                  <c:v>181.71307932039809</c:v>
                </c:pt>
                <c:pt idx="2">
                  <c:v>28.814522821576766</c:v>
                </c:pt>
              </c:numCache>
            </c:numRef>
          </c:val>
          <c:extLst>
            <c:ext xmlns:c16="http://schemas.microsoft.com/office/drawing/2014/chart" uri="{C3380CC4-5D6E-409C-BE32-E72D297353CC}">
              <c16:uniqueId val="{00000000-86A8-4AF1-BD40-872BB493835C}"/>
            </c:ext>
          </c:extLst>
        </c:ser>
        <c:ser>
          <c:idx val="1"/>
          <c:order val="1"/>
          <c:tx>
            <c:strRef>
              <c:f>Seclusion!$D$195</c:f>
              <c:strCache>
                <c:ptCount val="1"/>
                <c:pt idx="0">
                  <c:v>Non-Maori</c:v>
                </c:pt>
              </c:strCache>
            </c:strRef>
          </c:tx>
          <c:spPr>
            <a:solidFill>
              <a:schemeClr val="accent3"/>
            </a:solidFill>
            <a:ln>
              <a:noFill/>
            </a:ln>
            <a:effectLst/>
          </c:spPr>
          <c:invertIfNegative val="0"/>
          <c:cat>
            <c:strRef>
              <c:f>Seclusion!$E$193:$G$193</c:f>
              <c:strCache>
                <c:ptCount val="3"/>
                <c:pt idx="0">
                  <c:v>People secluded per 100,000 population</c:v>
                </c:pt>
                <c:pt idx="1">
                  <c:v>Seclusion events per 100,000 population</c:v>
                </c:pt>
                <c:pt idx="2">
                  <c:v>Average duration per event (hours)</c:v>
                </c:pt>
              </c:strCache>
            </c:strRef>
          </c:cat>
          <c:val>
            <c:numRef>
              <c:f>Seclusion!$E$195:$G$195</c:f>
              <c:numCache>
                <c:formatCode>_-* #,##0.0_-;\-* #,##0.0_-;_-* "-"??_-;_-@_-</c:formatCode>
                <c:ptCount val="3"/>
                <c:pt idx="0">
                  <c:v>19.010837375466036</c:v>
                </c:pt>
                <c:pt idx="1">
                  <c:v>38.141490952878286</c:v>
                </c:pt>
                <c:pt idx="2">
                  <c:v>20.749633507853368</c:v>
                </c:pt>
              </c:numCache>
            </c:numRef>
          </c:val>
          <c:extLst>
            <c:ext xmlns:c16="http://schemas.microsoft.com/office/drawing/2014/chart" uri="{C3380CC4-5D6E-409C-BE32-E72D297353CC}">
              <c16:uniqueId val="{00000001-86A8-4AF1-BD40-872BB493835C}"/>
            </c:ext>
          </c:extLst>
        </c:ser>
        <c:ser>
          <c:idx val="2"/>
          <c:order val="2"/>
          <c:tx>
            <c:strRef>
              <c:f>Seclusion!$D$196</c:f>
              <c:strCache>
                <c:ptCount val="1"/>
                <c:pt idx="0">
                  <c:v>Total</c:v>
                </c:pt>
              </c:strCache>
            </c:strRef>
          </c:tx>
          <c:spPr>
            <a:solidFill>
              <a:schemeClr val="accent5"/>
            </a:solidFill>
            <a:ln>
              <a:noFill/>
            </a:ln>
            <a:effectLst/>
          </c:spPr>
          <c:invertIfNegative val="0"/>
          <c:cat>
            <c:strRef>
              <c:f>Seclusion!$E$193:$G$193</c:f>
              <c:strCache>
                <c:ptCount val="3"/>
                <c:pt idx="0">
                  <c:v>People secluded per 100,000 population</c:v>
                </c:pt>
                <c:pt idx="1">
                  <c:v>Seclusion events per 100,000 population</c:v>
                </c:pt>
                <c:pt idx="2">
                  <c:v>Average duration per event (hours)</c:v>
                </c:pt>
              </c:strCache>
            </c:strRef>
          </c:cat>
          <c:val>
            <c:numRef>
              <c:f>Seclusion!$E$196:$G$196</c:f>
              <c:numCache>
                <c:formatCode>_-* #,##0.0_-;\-* #,##0.0_-;_-* "-"??_-;_-@_-</c:formatCode>
                <c:ptCount val="3"/>
                <c:pt idx="0">
                  <c:v>29.361946297275924</c:v>
                </c:pt>
                <c:pt idx="1">
                  <c:v>57.827870759188968</c:v>
                </c:pt>
                <c:pt idx="2">
                  <c:v>24.22455303933252</c:v>
                </c:pt>
              </c:numCache>
            </c:numRef>
          </c:val>
          <c:extLst>
            <c:ext xmlns:c16="http://schemas.microsoft.com/office/drawing/2014/chart" uri="{C3380CC4-5D6E-409C-BE32-E72D297353CC}">
              <c16:uniqueId val="{00000002-86A8-4AF1-BD40-872BB493835C}"/>
            </c:ext>
          </c:extLst>
        </c:ser>
        <c:dLbls>
          <c:showLegendKey val="0"/>
          <c:showVal val="0"/>
          <c:showCatName val="0"/>
          <c:showSerName val="0"/>
          <c:showPercent val="0"/>
          <c:showBubbleSize val="0"/>
        </c:dLbls>
        <c:gapWidth val="219"/>
        <c:overlap val="-27"/>
        <c:axId val="739527632"/>
        <c:axId val="739528616"/>
      </c:barChart>
      <c:catAx>
        <c:axId val="73952763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Seclusion indicators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39528616"/>
        <c:crosses val="autoZero"/>
        <c:auto val="1"/>
        <c:lblAlgn val="ctr"/>
        <c:lblOffset val="100"/>
        <c:tickMarkSkip val="1"/>
        <c:noMultiLvlLbl val="0"/>
      </c:catAx>
      <c:valAx>
        <c:axId val="739528616"/>
        <c:scaling>
          <c:orientation val="minMax"/>
        </c:scaling>
        <c:delete val="0"/>
        <c:axPos val="l"/>
        <c:majorGridlines>
          <c:spPr>
            <a:ln w="9525" cap="flat" cmpd="sng" algn="ctr">
              <a:no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NZ"/>
                  <a:t>Number</a:t>
                </a:r>
              </a:p>
            </c:rich>
          </c:tx>
          <c:layout>
            <c:manualLayout>
              <c:xMode val="edge"/>
              <c:yMode val="edge"/>
              <c:x val="0"/>
              <c:y val="3.6132462508827274E-3"/>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_-* #,##0.0_-;\-* #,##0.0_-;_-* &quot;-&quot;??_-;_-@_-"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39527632"/>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77509630232182E-2"/>
          <c:y val="8.3246618106139439E-2"/>
          <c:w val="0.88088889895288913"/>
          <c:h val="0.68620875564331774"/>
        </c:manualLayout>
      </c:layout>
      <c:barChart>
        <c:barDir val="col"/>
        <c:grouping val="clustered"/>
        <c:varyColors val="0"/>
        <c:ser>
          <c:idx val="0"/>
          <c:order val="0"/>
          <c:tx>
            <c:strRef>
              <c:f>Seclusion!$D$198</c:f>
              <c:strCache>
                <c:ptCount val="1"/>
                <c:pt idx="0">
                  <c:v>Māori</c:v>
                </c:pt>
              </c:strCache>
            </c:strRef>
          </c:tx>
          <c:spPr>
            <a:solidFill>
              <a:schemeClr val="accent1"/>
            </a:solidFill>
            <a:ln>
              <a:noFill/>
            </a:ln>
            <a:effectLst/>
          </c:spPr>
          <c:invertIfNegative val="0"/>
          <c:cat>
            <c:strRef>
              <c:f>Seclusion!$E$197:$G$197</c:f>
              <c:strCache>
                <c:ptCount val="3"/>
                <c:pt idx="0">
                  <c:v>People secluded per 100,000 population</c:v>
                </c:pt>
                <c:pt idx="1">
                  <c:v>Seclusion events per 100,000 population</c:v>
                </c:pt>
                <c:pt idx="2">
                  <c:v>Average duration per event (hours)</c:v>
                </c:pt>
              </c:strCache>
            </c:strRef>
          </c:cat>
          <c:val>
            <c:numRef>
              <c:f>Seclusion!$E$198:$G$198</c:f>
              <c:numCache>
                <c:formatCode>_-* #,##0.0_-;\-* #,##0.0_-;_-* "-"??_-;_-@_-</c:formatCode>
                <c:ptCount val="3"/>
                <c:pt idx="0">
                  <c:v>100.71007564858218</c:v>
                </c:pt>
                <c:pt idx="1">
                  <c:v>192.13811667517521</c:v>
                </c:pt>
                <c:pt idx="2">
                  <c:v>28.719202898550726</c:v>
                </c:pt>
              </c:numCache>
            </c:numRef>
          </c:val>
          <c:extLst>
            <c:ext xmlns:c16="http://schemas.microsoft.com/office/drawing/2014/chart" uri="{C3380CC4-5D6E-409C-BE32-E72D297353CC}">
              <c16:uniqueId val="{00000000-39DB-40CE-8A23-D869942598A4}"/>
            </c:ext>
          </c:extLst>
        </c:ser>
        <c:ser>
          <c:idx val="1"/>
          <c:order val="1"/>
          <c:tx>
            <c:strRef>
              <c:f>Seclusion!$D$199</c:f>
              <c:strCache>
                <c:ptCount val="1"/>
                <c:pt idx="0">
                  <c:v>Non-Maori</c:v>
                </c:pt>
              </c:strCache>
            </c:strRef>
          </c:tx>
          <c:spPr>
            <a:solidFill>
              <a:schemeClr val="accent3"/>
            </a:solidFill>
            <a:ln>
              <a:noFill/>
            </a:ln>
            <a:effectLst/>
          </c:spPr>
          <c:invertIfNegative val="0"/>
          <c:cat>
            <c:strRef>
              <c:f>Seclusion!$E$197:$G$197</c:f>
              <c:strCache>
                <c:ptCount val="3"/>
                <c:pt idx="0">
                  <c:v>People secluded per 100,000 population</c:v>
                </c:pt>
                <c:pt idx="1">
                  <c:v>Seclusion events per 100,000 population</c:v>
                </c:pt>
                <c:pt idx="2">
                  <c:v>Average duration per event (hours)</c:v>
                </c:pt>
              </c:strCache>
            </c:strRef>
          </c:cat>
          <c:val>
            <c:numRef>
              <c:f>Seclusion!$E$199:$G$199</c:f>
              <c:numCache>
                <c:formatCode>_-* #,##0.0_-;\-* #,##0.0_-;_-* "-"??_-;_-@_-</c:formatCode>
                <c:ptCount val="3"/>
                <c:pt idx="0">
                  <c:v>20.117903104863046</c:v>
                </c:pt>
                <c:pt idx="1">
                  <c:v>37.268923529614973</c:v>
                </c:pt>
                <c:pt idx="2">
                  <c:v>26.868157033805886</c:v>
                </c:pt>
              </c:numCache>
            </c:numRef>
          </c:val>
          <c:extLst>
            <c:ext xmlns:c16="http://schemas.microsoft.com/office/drawing/2014/chart" uri="{C3380CC4-5D6E-409C-BE32-E72D297353CC}">
              <c16:uniqueId val="{00000001-39DB-40CE-8A23-D869942598A4}"/>
            </c:ext>
          </c:extLst>
        </c:ser>
        <c:ser>
          <c:idx val="2"/>
          <c:order val="2"/>
          <c:tx>
            <c:strRef>
              <c:f>Seclusion!$D$200</c:f>
              <c:strCache>
                <c:ptCount val="1"/>
                <c:pt idx="0">
                  <c:v>Total</c:v>
                </c:pt>
              </c:strCache>
            </c:strRef>
          </c:tx>
          <c:spPr>
            <a:solidFill>
              <a:schemeClr val="accent5"/>
            </a:solidFill>
            <a:ln>
              <a:noFill/>
            </a:ln>
            <a:effectLst/>
          </c:spPr>
          <c:invertIfNegative val="0"/>
          <c:cat>
            <c:strRef>
              <c:f>Seclusion!$E$197:$G$197</c:f>
              <c:strCache>
                <c:ptCount val="3"/>
                <c:pt idx="0">
                  <c:v>People secluded per 100,000 population</c:v>
                </c:pt>
                <c:pt idx="1">
                  <c:v>Seclusion events per 100,000 population</c:v>
                </c:pt>
                <c:pt idx="2">
                  <c:v>Average duration per event (hours)</c:v>
                </c:pt>
              </c:strCache>
            </c:strRef>
          </c:cat>
          <c:val>
            <c:numRef>
              <c:f>Seclusion!$E$200:$G$200</c:f>
              <c:numCache>
                <c:formatCode>_-* #,##0.0_-;\-* #,##0.0_-;_-* "-"??_-;_-@_-</c:formatCode>
                <c:ptCount val="3"/>
                <c:pt idx="0">
                  <c:v>32.129375206428641</c:v>
                </c:pt>
                <c:pt idx="1">
                  <c:v>60.350656335003208</c:v>
                </c:pt>
                <c:pt idx="2">
                  <c:v>27.746475644699139</c:v>
                </c:pt>
              </c:numCache>
            </c:numRef>
          </c:val>
          <c:extLst>
            <c:ext xmlns:c16="http://schemas.microsoft.com/office/drawing/2014/chart" uri="{C3380CC4-5D6E-409C-BE32-E72D297353CC}">
              <c16:uniqueId val="{00000002-39DB-40CE-8A23-D869942598A4}"/>
            </c:ext>
          </c:extLst>
        </c:ser>
        <c:dLbls>
          <c:showLegendKey val="0"/>
          <c:showVal val="0"/>
          <c:showCatName val="0"/>
          <c:showSerName val="0"/>
          <c:showPercent val="0"/>
          <c:showBubbleSize val="0"/>
        </c:dLbls>
        <c:gapWidth val="219"/>
        <c:overlap val="-27"/>
        <c:axId val="453213448"/>
        <c:axId val="453209840"/>
      </c:barChart>
      <c:catAx>
        <c:axId val="45321344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Seclusion indicators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3209840"/>
        <c:crosses val="autoZero"/>
        <c:auto val="1"/>
        <c:lblAlgn val="ctr"/>
        <c:lblOffset val="100"/>
        <c:noMultiLvlLbl val="0"/>
      </c:catAx>
      <c:valAx>
        <c:axId val="453209840"/>
        <c:scaling>
          <c:orientation val="minMax"/>
          <c:max val="200"/>
        </c:scaling>
        <c:delete val="0"/>
        <c:axPos val="l"/>
        <c:majorGridlines>
          <c:spPr>
            <a:ln w="9525" cap="flat" cmpd="sng" algn="ctr">
              <a:no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NZ"/>
                  <a:t>Number</a:t>
                </a:r>
              </a:p>
            </c:rich>
          </c:tx>
          <c:layout>
            <c:manualLayout>
              <c:xMode val="edge"/>
              <c:yMode val="edge"/>
              <c:x val="0"/>
              <c:y val="1.3663588617499926E-3"/>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_-* #,##0.0_-;\-* #,##0.0_-;_-* &quot;-&quot;??_-;_-@_-"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3213448"/>
        <c:crosses val="autoZero"/>
        <c:crossBetween val="between"/>
        <c:majorUnit val="20"/>
      </c:valAx>
      <c:spPr>
        <a:noFill/>
        <a:ln>
          <a:noFill/>
        </a:ln>
        <a:effectLst/>
      </c:spPr>
    </c:plotArea>
    <c:legend>
      <c:legendPos val="tr"/>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76617027149682"/>
          <c:y val="0.10695610965296004"/>
          <c:w val="0.83737590171462561"/>
          <c:h val="0.77706401283172932"/>
        </c:manualLayout>
      </c:layout>
      <c:barChart>
        <c:barDir val="col"/>
        <c:grouping val="clustered"/>
        <c:varyColors val="0"/>
        <c:ser>
          <c:idx val="0"/>
          <c:order val="0"/>
          <c:tx>
            <c:strRef>
              <c:f>Seclusion!$C$254</c:f>
              <c:strCache>
                <c:ptCount val="1"/>
                <c:pt idx="0">
                  <c:v>Māori</c:v>
                </c:pt>
              </c:strCache>
            </c:strRef>
          </c:tx>
          <c:spPr>
            <a:solidFill>
              <a:schemeClr val="accent1"/>
            </a:solidFill>
            <a:ln>
              <a:noFill/>
            </a:ln>
            <a:effectLst/>
          </c:spPr>
          <c:invertIfNegative val="0"/>
          <c:cat>
            <c:strRef>
              <c:f>Seclusion!$D$253:$E$253</c:f>
              <c:strCache>
                <c:ptCount val="2"/>
                <c:pt idx="0">
                  <c:v>Males</c:v>
                </c:pt>
                <c:pt idx="1">
                  <c:v>Females</c:v>
                </c:pt>
              </c:strCache>
            </c:strRef>
          </c:cat>
          <c:val>
            <c:numRef>
              <c:f>Seclusion!$D$254:$E$254</c:f>
              <c:numCache>
                <c:formatCode>0%</c:formatCode>
                <c:ptCount val="2"/>
                <c:pt idx="0">
                  <c:v>0.15767918088737201</c:v>
                </c:pt>
                <c:pt idx="1">
                  <c:v>0.12521739130434784</c:v>
                </c:pt>
              </c:numCache>
            </c:numRef>
          </c:val>
          <c:extLst>
            <c:ext xmlns:c16="http://schemas.microsoft.com/office/drawing/2014/chart" uri="{C3380CC4-5D6E-409C-BE32-E72D297353CC}">
              <c16:uniqueId val="{00000000-7E58-46B9-9380-36195A32BA08}"/>
            </c:ext>
          </c:extLst>
        </c:ser>
        <c:ser>
          <c:idx val="1"/>
          <c:order val="1"/>
          <c:tx>
            <c:strRef>
              <c:f>Seclusion!$C$255</c:f>
              <c:strCache>
                <c:ptCount val="1"/>
                <c:pt idx="0">
                  <c:v>Non-Māori</c:v>
                </c:pt>
              </c:strCache>
            </c:strRef>
          </c:tx>
          <c:spPr>
            <a:solidFill>
              <a:schemeClr val="accent3"/>
            </a:solidFill>
            <a:ln>
              <a:noFill/>
            </a:ln>
            <a:effectLst/>
          </c:spPr>
          <c:invertIfNegative val="0"/>
          <c:cat>
            <c:strRef>
              <c:f>Seclusion!$D$253:$E$253</c:f>
              <c:strCache>
                <c:ptCount val="2"/>
                <c:pt idx="0">
                  <c:v>Males</c:v>
                </c:pt>
                <c:pt idx="1">
                  <c:v>Females</c:v>
                </c:pt>
              </c:strCache>
            </c:strRef>
          </c:cat>
          <c:val>
            <c:numRef>
              <c:f>Seclusion!$D$255:$E$255</c:f>
              <c:numCache>
                <c:formatCode>0%</c:formatCode>
                <c:ptCount val="2"/>
                <c:pt idx="0">
                  <c:v>0.1014405762304922</c:v>
                </c:pt>
                <c:pt idx="1">
                  <c:v>4.7751829905890553E-2</c:v>
                </c:pt>
              </c:numCache>
            </c:numRef>
          </c:val>
          <c:extLst>
            <c:ext xmlns:c16="http://schemas.microsoft.com/office/drawing/2014/chart" uri="{C3380CC4-5D6E-409C-BE32-E72D297353CC}">
              <c16:uniqueId val="{00000001-7E58-46B9-9380-36195A32BA08}"/>
            </c:ext>
          </c:extLst>
        </c:ser>
        <c:ser>
          <c:idx val="2"/>
          <c:order val="2"/>
          <c:tx>
            <c:strRef>
              <c:f>Seclusion!$C$256</c:f>
              <c:strCache>
                <c:ptCount val="1"/>
                <c:pt idx="0">
                  <c:v>Total</c:v>
                </c:pt>
              </c:strCache>
            </c:strRef>
          </c:tx>
          <c:spPr>
            <a:solidFill>
              <a:schemeClr val="accent5"/>
            </a:solidFill>
            <a:ln>
              <a:noFill/>
            </a:ln>
            <a:effectLst/>
          </c:spPr>
          <c:invertIfNegative val="0"/>
          <c:cat>
            <c:strRef>
              <c:f>Seclusion!$D$253:$E$253</c:f>
              <c:strCache>
                <c:ptCount val="2"/>
                <c:pt idx="0">
                  <c:v>Males</c:v>
                </c:pt>
                <c:pt idx="1">
                  <c:v>Females</c:v>
                </c:pt>
              </c:strCache>
            </c:strRef>
          </c:cat>
          <c:val>
            <c:numRef>
              <c:f>Seclusion!$D$256:$E$256</c:f>
              <c:numCache>
                <c:formatCode>0%</c:formatCode>
                <c:ptCount val="2"/>
                <c:pt idx="0">
                  <c:v>0.11918726434855467</c:v>
                </c:pt>
                <c:pt idx="1">
                  <c:v>7.0373153017781118E-2</c:v>
                </c:pt>
              </c:numCache>
            </c:numRef>
          </c:val>
          <c:extLst>
            <c:ext xmlns:c16="http://schemas.microsoft.com/office/drawing/2014/chart" uri="{C3380CC4-5D6E-409C-BE32-E72D297353CC}">
              <c16:uniqueId val="{00000002-7E58-46B9-9380-36195A32BA08}"/>
            </c:ext>
          </c:extLst>
        </c:ser>
        <c:dLbls>
          <c:showLegendKey val="0"/>
          <c:showVal val="0"/>
          <c:showCatName val="0"/>
          <c:showSerName val="0"/>
          <c:showPercent val="0"/>
          <c:showBubbleSize val="0"/>
        </c:dLbls>
        <c:gapWidth val="150"/>
        <c:axId val="245920576"/>
        <c:axId val="245921752"/>
      </c:barChart>
      <c:catAx>
        <c:axId val="245920576"/>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45921752"/>
        <c:crosses val="autoZero"/>
        <c:auto val="1"/>
        <c:lblAlgn val="ctr"/>
        <c:lblOffset val="100"/>
        <c:noMultiLvlLbl val="0"/>
      </c:catAx>
      <c:valAx>
        <c:axId val="245921752"/>
        <c:scaling>
          <c:orientation val="minMax"/>
          <c:max val="0.18000000000000002"/>
        </c:scaling>
        <c:delete val="0"/>
        <c:axPos val="l"/>
        <c:majorGridlines>
          <c:spPr>
            <a:ln w="6350" cap="flat" cmpd="sng" algn="ctr">
              <a:noFill/>
              <a:prstDash val="solid"/>
              <a:round/>
            </a:ln>
            <a:effectLst/>
          </c:spPr>
        </c:majorGridlines>
        <c:title>
          <c:tx>
            <c:rich>
              <a:bodyPr rot="0" spcFirstLastPara="1" vertOverflow="ellipsis" wrap="square" anchor="ctr" anchorCtr="1"/>
              <a:lstStyle/>
              <a:p>
                <a:pPr>
                  <a:defRPr sz="900" b="0" i="0" u="none" strike="noStrike" kern="1200" baseline="0">
                    <a:solidFill>
                      <a:schemeClr val="tx1"/>
                    </a:solidFill>
                    <a:latin typeface="+mn-lt"/>
                    <a:ea typeface="+mn-ea"/>
                    <a:cs typeface="+mn-cs"/>
                  </a:defRPr>
                </a:pPr>
                <a:r>
                  <a:rPr lang="en-NZ" b="0"/>
                  <a:t>Percentage</a:t>
                </a:r>
              </a:p>
            </c:rich>
          </c:tx>
          <c:layout>
            <c:manualLayout>
              <c:xMode val="edge"/>
              <c:yMode val="edge"/>
              <c:x val="9.5068330362448016E-3"/>
              <c:y val="1.5846821230679511E-2"/>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title>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45920576"/>
        <c:crosses val="autoZero"/>
        <c:crossBetween val="between"/>
        <c:majorUnit val="2.0000000000000004E-2"/>
      </c:valAx>
      <c:spPr>
        <a:solidFill>
          <a:schemeClr val="bg1"/>
        </a:solid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76617027149682"/>
          <c:y val="0.10695610965296004"/>
          <c:w val="0.82312242743026875"/>
          <c:h val="0.77706401283172932"/>
        </c:manualLayout>
      </c:layout>
      <c:barChart>
        <c:barDir val="col"/>
        <c:grouping val="clustered"/>
        <c:varyColors val="0"/>
        <c:ser>
          <c:idx val="0"/>
          <c:order val="0"/>
          <c:tx>
            <c:strRef>
              <c:f>Seclusion!$C$260</c:f>
              <c:strCache>
                <c:ptCount val="1"/>
                <c:pt idx="0">
                  <c:v>Māori</c:v>
                </c:pt>
              </c:strCache>
            </c:strRef>
          </c:tx>
          <c:spPr>
            <a:solidFill>
              <a:schemeClr val="accent1"/>
            </a:solidFill>
            <a:ln>
              <a:noFill/>
            </a:ln>
            <a:effectLst/>
          </c:spPr>
          <c:invertIfNegative val="0"/>
          <c:cat>
            <c:strRef>
              <c:f>Seclusion!$D$259:$E$259</c:f>
              <c:strCache>
                <c:ptCount val="2"/>
                <c:pt idx="0">
                  <c:v>Males</c:v>
                </c:pt>
                <c:pt idx="1">
                  <c:v>Females</c:v>
                </c:pt>
              </c:strCache>
            </c:strRef>
          </c:cat>
          <c:val>
            <c:numRef>
              <c:f>Seclusion!$D$260:$E$260</c:f>
              <c:numCache>
                <c:formatCode>0%</c:formatCode>
                <c:ptCount val="2"/>
                <c:pt idx="0">
                  <c:v>0.18998048145738453</c:v>
                </c:pt>
                <c:pt idx="1">
                  <c:v>0.10939907550077041</c:v>
                </c:pt>
              </c:numCache>
            </c:numRef>
          </c:val>
          <c:extLst>
            <c:ext xmlns:c16="http://schemas.microsoft.com/office/drawing/2014/chart" uri="{C3380CC4-5D6E-409C-BE32-E72D297353CC}">
              <c16:uniqueId val="{00000000-C2E2-4A18-8E96-4F4E0A6032C5}"/>
            </c:ext>
          </c:extLst>
        </c:ser>
        <c:ser>
          <c:idx val="1"/>
          <c:order val="1"/>
          <c:tx>
            <c:strRef>
              <c:f>Seclusion!$C$261</c:f>
              <c:strCache>
                <c:ptCount val="1"/>
                <c:pt idx="0">
                  <c:v>Non-Māori</c:v>
                </c:pt>
              </c:strCache>
            </c:strRef>
          </c:tx>
          <c:spPr>
            <a:solidFill>
              <a:schemeClr val="accent3"/>
            </a:solidFill>
            <a:ln>
              <a:noFill/>
            </a:ln>
            <a:effectLst/>
          </c:spPr>
          <c:invertIfNegative val="0"/>
          <c:cat>
            <c:strRef>
              <c:f>Seclusion!$D$259:$E$259</c:f>
              <c:strCache>
                <c:ptCount val="2"/>
                <c:pt idx="0">
                  <c:v>Males</c:v>
                </c:pt>
                <c:pt idx="1">
                  <c:v>Females</c:v>
                </c:pt>
              </c:strCache>
            </c:strRef>
          </c:cat>
          <c:val>
            <c:numRef>
              <c:f>Seclusion!$D$261:$E$261</c:f>
              <c:numCache>
                <c:formatCode>0%</c:formatCode>
                <c:ptCount val="2"/>
                <c:pt idx="0">
                  <c:v>0.10273355361970561</c:v>
                </c:pt>
                <c:pt idx="1">
                  <c:v>5.4006353688669261E-2</c:v>
                </c:pt>
              </c:numCache>
            </c:numRef>
          </c:val>
          <c:extLst>
            <c:ext xmlns:c16="http://schemas.microsoft.com/office/drawing/2014/chart" uri="{C3380CC4-5D6E-409C-BE32-E72D297353CC}">
              <c16:uniqueId val="{00000001-C2E2-4A18-8E96-4F4E0A6032C5}"/>
            </c:ext>
          </c:extLst>
        </c:ser>
        <c:ser>
          <c:idx val="2"/>
          <c:order val="2"/>
          <c:tx>
            <c:strRef>
              <c:f>Seclusion!$C$262</c:f>
              <c:strCache>
                <c:ptCount val="1"/>
                <c:pt idx="0">
                  <c:v>Total</c:v>
                </c:pt>
              </c:strCache>
            </c:strRef>
          </c:tx>
          <c:spPr>
            <a:solidFill>
              <a:schemeClr val="accent5"/>
            </a:solidFill>
            <a:ln>
              <a:noFill/>
            </a:ln>
            <a:effectLst/>
          </c:spPr>
          <c:invertIfNegative val="0"/>
          <c:cat>
            <c:strRef>
              <c:f>Seclusion!$D$259:$E$259</c:f>
              <c:strCache>
                <c:ptCount val="2"/>
                <c:pt idx="0">
                  <c:v>Males</c:v>
                </c:pt>
                <c:pt idx="1">
                  <c:v>Females</c:v>
                </c:pt>
              </c:strCache>
            </c:strRef>
          </c:cat>
          <c:val>
            <c:numRef>
              <c:f>Seclusion!$D$262:$E$262</c:f>
              <c:numCache>
                <c:formatCode>0%</c:formatCode>
                <c:ptCount val="2"/>
                <c:pt idx="0">
                  <c:v>0.13161718912186007</c:v>
                </c:pt>
                <c:pt idx="1">
                  <c:v>7.186358099878197E-2</c:v>
                </c:pt>
              </c:numCache>
            </c:numRef>
          </c:val>
          <c:extLst>
            <c:ext xmlns:c16="http://schemas.microsoft.com/office/drawing/2014/chart" uri="{C3380CC4-5D6E-409C-BE32-E72D297353CC}">
              <c16:uniqueId val="{00000002-C2E2-4A18-8E96-4F4E0A6032C5}"/>
            </c:ext>
          </c:extLst>
        </c:ser>
        <c:dLbls>
          <c:showLegendKey val="0"/>
          <c:showVal val="0"/>
          <c:showCatName val="0"/>
          <c:showSerName val="0"/>
          <c:showPercent val="0"/>
          <c:showBubbleSize val="0"/>
        </c:dLbls>
        <c:gapWidth val="150"/>
        <c:axId val="245920576"/>
        <c:axId val="245921752"/>
      </c:barChart>
      <c:catAx>
        <c:axId val="245920576"/>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45921752"/>
        <c:crosses val="autoZero"/>
        <c:auto val="1"/>
        <c:lblAlgn val="ctr"/>
        <c:lblOffset val="100"/>
        <c:noMultiLvlLbl val="0"/>
      </c:catAx>
      <c:valAx>
        <c:axId val="245921752"/>
        <c:scaling>
          <c:orientation val="minMax"/>
        </c:scaling>
        <c:delete val="0"/>
        <c:axPos val="l"/>
        <c:majorGridlines>
          <c:spPr>
            <a:ln w="6350" cap="flat" cmpd="sng" algn="ctr">
              <a:noFill/>
              <a:prstDash val="solid"/>
              <a:round/>
            </a:ln>
            <a:effectLst/>
          </c:spPr>
        </c:majorGridlines>
        <c:title>
          <c:tx>
            <c:rich>
              <a:bodyPr rot="0" spcFirstLastPara="1" vertOverflow="ellipsis" wrap="square" anchor="ctr" anchorCtr="1"/>
              <a:lstStyle/>
              <a:p>
                <a:pPr>
                  <a:defRPr sz="900" b="0" i="0" u="none" strike="noStrike" kern="1200" baseline="0">
                    <a:solidFill>
                      <a:schemeClr val="tx1"/>
                    </a:solidFill>
                    <a:latin typeface="+mn-lt"/>
                    <a:ea typeface="+mn-ea"/>
                    <a:cs typeface="+mn-cs"/>
                  </a:defRPr>
                </a:pPr>
                <a:r>
                  <a:rPr lang="en-NZ" b="0"/>
                  <a:t>Percentage</a:t>
                </a:r>
              </a:p>
            </c:rich>
          </c:tx>
          <c:layout>
            <c:manualLayout>
              <c:xMode val="edge"/>
              <c:yMode val="edge"/>
              <c:x val="9.5068330362448016E-3"/>
              <c:y val="1.5846821230679511E-2"/>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title>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45920576"/>
        <c:crosses val="autoZero"/>
        <c:crossBetween val="between"/>
      </c:valAx>
      <c:spPr>
        <a:solidFill>
          <a:schemeClr val="bg1"/>
        </a:solid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02642526827003"/>
          <c:y val="0.18565981335666376"/>
          <c:w val="0.85939289995132173"/>
          <c:h val="0.59637720922278481"/>
        </c:manualLayout>
      </c:layout>
      <c:barChart>
        <c:barDir val="col"/>
        <c:grouping val="stacked"/>
        <c:varyColors val="0"/>
        <c:ser>
          <c:idx val="0"/>
          <c:order val="0"/>
          <c:tx>
            <c:strRef>
              <c:f>Seclusion!$C$309</c:f>
              <c:strCache>
                <c:ptCount val="1"/>
                <c:pt idx="0">
                  <c:v>Māori</c:v>
                </c:pt>
              </c:strCache>
            </c:strRef>
          </c:tx>
          <c:spPr>
            <a:solidFill>
              <a:schemeClr val="accent1"/>
            </a:solidFill>
            <a:ln>
              <a:noFill/>
            </a:ln>
            <a:effectLst/>
          </c:spPr>
          <c:invertIfNegative val="0"/>
          <c:cat>
            <c:numRef>
              <c:f>Seclusion!$D$308:$P$308</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Seclusion!$D$309:$P$309</c:f>
              <c:numCache>
                <c:formatCode>General</c:formatCode>
                <c:ptCount val="13"/>
                <c:pt idx="0">
                  <c:v>387</c:v>
                </c:pt>
                <c:pt idx="1">
                  <c:v>387</c:v>
                </c:pt>
                <c:pt idx="2">
                  <c:v>270</c:v>
                </c:pt>
                <c:pt idx="3">
                  <c:v>400</c:v>
                </c:pt>
                <c:pt idx="4" formatCode="0">
                  <c:v>367.46</c:v>
                </c:pt>
                <c:pt idx="5" formatCode="0">
                  <c:v>286</c:v>
                </c:pt>
                <c:pt idx="6" formatCode="0">
                  <c:v>277</c:v>
                </c:pt>
                <c:pt idx="7" formatCode="0">
                  <c:v>264</c:v>
                </c:pt>
                <c:pt idx="8" formatCode="0">
                  <c:v>329</c:v>
                </c:pt>
                <c:pt idx="9" formatCode="0">
                  <c:v>352</c:v>
                </c:pt>
                <c:pt idx="10" formatCode="0">
                  <c:v>321</c:v>
                </c:pt>
                <c:pt idx="11" formatCode="0">
                  <c:v>376</c:v>
                </c:pt>
                <c:pt idx="12" formatCode="0">
                  <c:v>434</c:v>
                </c:pt>
              </c:numCache>
            </c:numRef>
          </c:val>
          <c:extLst>
            <c:ext xmlns:c16="http://schemas.microsoft.com/office/drawing/2014/chart" uri="{C3380CC4-5D6E-409C-BE32-E72D297353CC}">
              <c16:uniqueId val="{00000000-F8CA-48E1-BFD8-F79EF1892FA4}"/>
            </c:ext>
          </c:extLst>
        </c:ser>
        <c:ser>
          <c:idx val="1"/>
          <c:order val="1"/>
          <c:tx>
            <c:strRef>
              <c:f>Seclusion!$C$310</c:f>
              <c:strCache>
                <c:ptCount val="1"/>
                <c:pt idx="0">
                  <c:v>Non-Māori</c:v>
                </c:pt>
              </c:strCache>
            </c:strRef>
          </c:tx>
          <c:spPr>
            <a:solidFill>
              <a:schemeClr val="accent3"/>
            </a:solidFill>
            <a:ln>
              <a:noFill/>
            </a:ln>
            <a:effectLst/>
          </c:spPr>
          <c:invertIfNegative val="0"/>
          <c:cat>
            <c:numRef>
              <c:f>Seclusion!$D$308:$P$308</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Seclusion!$D$310:$P$310</c:f>
              <c:numCache>
                <c:formatCode>General</c:formatCode>
                <c:ptCount val="13"/>
                <c:pt idx="0">
                  <c:v>756</c:v>
                </c:pt>
                <c:pt idx="1">
                  <c:v>636</c:v>
                </c:pt>
                <c:pt idx="2">
                  <c:v>805</c:v>
                </c:pt>
                <c:pt idx="3">
                  <c:v>665</c:v>
                </c:pt>
                <c:pt idx="4" formatCode="0">
                  <c:v>599.54</c:v>
                </c:pt>
                <c:pt idx="5">
                  <c:v>555</c:v>
                </c:pt>
                <c:pt idx="6">
                  <c:v>491</c:v>
                </c:pt>
                <c:pt idx="7" formatCode="0">
                  <c:v>427</c:v>
                </c:pt>
                <c:pt idx="8" formatCode="0">
                  <c:v>425</c:v>
                </c:pt>
                <c:pt idx="9" formatCode="0">
                  <c:v>450</c:v>
                </c:pt>
                <c:pt idx="10" formatCode="0">
                  <c:v>454</c:v>
                </c:pt>
                <c:pt idx="11" formatCode="0">
                  <c:v>476</c:v>
                </c:pt>
                <c:pt idx="12" formatCode="0">
                  <c:v>495</c:v>
                </c:pt>
              </c:numCache>
            </c:numRef>
          </c:val>
          <c:extLst>
            <c:ext xmlns:c16="http://schemas.microsoft.com/office/drawing/2014/chart" uri="{C3380CC4-5D6E-409C-BE32-E72D297353CC}">
              <c16:uniqueId val="{00000001-F8CA-48E1-BFD8-F79EF1892FA4}"/>
            </c:ext>
          </c:extLst>
        </c:ser>
        <c:dLbls>
          <c:showLegendKey val="0"/>
          <c:showVal val="0"/>
          <c:showCatName val="0"/>
          <c:showSerName val="0"/>
          <c:showPercent val="0"/>
          <c:showBubbleSize val="0"/>
        </c:dLbls>
        <c:gapWidth val="150"/>
        <c:overlap val="100"/>
        <c:axId val="245919400"/>
        <c:axId val="207478792"/>
      </c:barChart>
      <c:catAx>
        <c:axId val="245919400"/>
        <c:scaling>
          <c:orientation val="minMax"/>
        </c:scaling>
        <c:delete val="0"/>
        <c:axPos val="b"/>
        <c:title>
          <c:tx>
            <c:rich>
              <a:bodyPr rot="0" spcFirstLastPara="1" vertOverflow="ellipsis" vert="horz" wrap="square" anchor="ctr" anchorCtr="1"/>
              <a:lstStyle/>
              <a:p>
                <a:pPr algn="ctr">
                  <a:defRPr sz="900" b="0" i="0" u="none" strike="noStrike" kern="1200" baseline="0">
                    <a:solidFill>
                      <a:schemeClr val="tx1"/>
                    </a:solidFill>
                    <a:latin typeface="+mn-lt"/>
                    <a:ea typeface="+mn-ea"/>
                    <a:cs typeface="+mn-cs"/>
                  </a:defRPr>
                </a:pPr>
                <a:r>
                  <a:rPr lang="en-NZ"/>
                  <a:t>Year</a:t>
                </a:r>
              </a:p>
            </c:rich>
          </c:tx>
          <c:layout>
            <c:manualLayout>
              <c:xMode val="edge"/>
              <c:yMode val="edge"/>
              <c:x val="0.47303162007105165"/>
              <c:y val="0.8637807868978391"/>
            </c:manualLayout>
          </c:layout>
          <c:overlay val="0"/>
          <c:spPr>
            <a:noFill/>
            <a:ln>
              <a:noFill/>
            </a:ln>
            <a:effectLst/>
          </c:spPr>
          <c:txPr>
            <a:bodyPr rot="0" spcFirstLastPara="1" vertOverflow="ellipsis" vert="horz" wrap="square" anchor="ctr" anchorCtr="1"/>
            <a:lstStyle/>
            <a:p>
              <a:pPr algn="ctr">
                <a:defRPr sz="9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7478792"/>
        <c:crosses val="autoZero"/>
        <c:auto val="1"/>
        <c:lblAlgn val="ctr"/>
        <c:lblOffset val="100"/>
        <c:noMultiLvlLbl val="0"/>
      </c:catAx>
      <c:valAx>
        <c:axId val="207478792"/>
        <c:scaling>
          <c:orientation val="minMax"/>
          <c:max val="1200"/>
        </c:scaling>
        <c:delete val="0"/>
        <c:axPos val="l"/>
        <c:title>
          <c:tx>
            <c:rich>
              <a:bodyPr rot="0" spcFirstLastPara="1" vertOverflow="ellipsis" wrap="square" anchor="ctr" anchorCtr="1"/>
              <a:lstStyle/>
              <a:p>
                <a:pPr>
                  <a:defRPr sz="900" b="0" i="0" u="none" strike="noStrike" kern="1200" baseline="0">
                    <a:solidFill>
                      <a:schemeClr val="tx1"/>
                    </a:solidFill>
                    <a:latin typeface="+mn-lt"/>
                    <a:ea typeface="+mn-ea"/>
                    <a:cs typeface="+mn-cs"/>
                  </a:defRPr>
                </a:pPr>
                <a:r>
                  <a:rPr lang="en-NZ"/>
                  <a:t>Number</a:t>
                </a:r>
              </a:p>
            </c:rich>
          </c:tx>
          <c:layout>
            <c:manualLayout>
              <c:xMode val="edge"/>
              <c:yMode val="edge"/>
              <c:x val="1.1621370284619586E-2"/>
              <c:y val="6.3107280784767711E-2"/>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45919400"/>
        <c:crosses val="autoZero"/>
        <c:crossBetween val="between"/>
      </c:valAx>
      <c:spPr>
        <a:solidFill>
          <a:schemeClr val="bg1"/>
        </a:solidFill>
        <a:ln>
          <a:noFill/>
        </a:ln>
        <a:effectLst/>
      </c:spPr>
    </c:plotArea>
    <c:legend>
      <c:legendPos val="tr"/>
      <c:layout>
        <c:manualLayout>
          <c:xMode val="edge"/>
          <c:yMode val="edge"/>
          <c:x val="0.73980783423565499"/>
          <c:y val="2.3990403838464614E-2"/>
          <c:w val="0.24689723999434704"/>
          <c:h val="0.14460546490065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b="0"/>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23075717337022"/>
          <c:y val="3.2456023173724251E-2"/>
          <c:w val="0.73407361097030266"/>
          <c:h val="0.80455658042744649"/>
        </c:manualLayout>
      </c:layout>
      <c:barChart>
        <c:barDir val="bar"/>
        <c:grouping val="clustered"/>
        <c:varyColors val="0"/>
        <c:ser>
          <c:idx val="0"/>
          <c:order val="0"/>
          <c:tx>
            <c:strRef>
              <c:f>'Special patient data'!$H$85</c:f>
              <c:strCache>
                <c:ptCount val="1"/>
                <c:pt idx="0">
                  <c:v>Number of EFC special patients</c:v>
                </c:pt>
              </c:strCache>
            </c:strRef>
          </c:tx>
          <c:spPr>
            <a:solidFill>
              <a:schemeClr val="accent1"/>
            </a:solidFill>
            <a:ln>
              <a:noFill/>
            </a:ln>
            <a:effectLst/>
          </c:spPr>
          <c:invertIfNegative val="0"/>
          <c:cat>
            <c:strRef>
              <c:f>'Special patient data'!$G$86:$G$90</c:f>
              <c:strCache>
                <c:ptCount val="5"/>
                <c:pt idx="0">
                  <c:v>Canterbury DHB</c:v>
                </c:pt>
                <c:pt idx="1">
                  <c:v>Capital &amp; Coast DHB</c:v>
                </c:pt>
                <c:pt idx="2">
                  <c:v>Southern DHB</c:v>
                </c:pt>
                <c:pt idx="3">
                  <c:v>Waikato DHB</c:v>
                </c:pt>
                <c:pt idx="4">
                  <c:v>Waitematā DHB</c:v>
                </c:pt>
              </c:strCache>
            </c:strRef>
          </c:cat>
          <c:val>
            <c:numRef>
              <c:f>'Special patient data'!$H$86:$H$90</c:f>
              <c:numCache>
                <c:formatCode>General</c:formatCode>
                <c:ptCount val="5"/>
                <c:pt idx="0">
                  <c:v>16</c:v>
                </c:pt>
                <c:pt idx="1">
                  <c:v>50</c:v>
                </c:pt>
                <c:pt idx="2">
                  <c:v>10</c:v>
                </c:pt>
                <c:pt idx="3">
                  <c:v>32</c:v>
                </c:pt>
                <c:pt idx="4">
                  <c:v>52</c:v>
                </c:pt>
              </c:numCache>
            </c:numRef>
          </c:val>
          <c:extLst>
            <c:ext xmlns:c16="http://schemas.microsoft.com/office/drawing/2014/chart" uri="{C3380CC4-5D6E-409C-BE32-E72D297353CC}">
              <c16:uniqueId val="{00000000-043C-4E2E-9DAF-48CD343D1AC8}"/>
            </c:ext>
          </c:extLst>
        </c:ser>
        <c:dLbls>
          <c:showLegendKey val="0"/>
          <c:showVal val="0"/>
          <c:showCatName val="0"/>
          <c:showSerName val="0"/>
          <c:showPercent val="0"/>
          <c:showBubbleSize val="0"/>
        </c:dLbls>
        <c:gapWidth val="182"/>
        <c:axId val="526512880"/>
        <c:axId val="526511312"/>
      </c:barChart>
      <c:catAx>
        <c:axId val="526512880"/>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6511312"/>
        <c:crosses val="autoZero"/>
        <c:auto val="1"/>
        <c:lblAlgn val="ctr"/>
        <c:lblOffset val="100"/>
        <c:noMultiLvlLbl val="0"/>
      </c:catAx>
      <c:valAx>
        <c:axId val="52651131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Number of special patients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6512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73292235408964"/>
          <c:y val="3.8318080422502974E-2"/>
          <c:w val="0.77367537070969317"/>
          <c:h val="0.79666754155730535"/>
        </c:manualLayout>
      </c:layout>
      <c:barChart>
        <c:barDir val="bar"/>
        <c:grouping val="clustered"/>
        <c:varyColors val="0"/>
        <c:ser>
          <c:idx val="0"/>
          <c:order val="0"/>
          <c:tx>
            <c:strRef>
              <c:f>'Special patient data'!$H$85</c:f>
              <c:strCache>
                <c:ptCount val="1"/>
                <c:pt idx="0">
                  <c:v>Number of special patients</c:v>
                </c:pt>
              </c:strCache>
            </c:strRef>
          </c:tx>
          <c:spPr>
            <a:solidFill>
              <a:schemeClr val="accent1"/>
            </a:solidFill>
            <a:ln>
              <a:noFill/>
            </a:ln>
            <a:effectLst/>
          </c:spPr>
          <c:invertIfNegative val="0"/>
          <c:cat>
            <c:strRef>
              <c:f>'Special patient data'!$G$86:$G$90</c:f>
              <c:strCache>
                <c:ptCount val="5"/>
                <c:pt idx="0">
                  <c:v>Canterbury DHB</c:v>
                </c:pt>
                <c:pt idx="1">
                  <c:v>Capital &amp; Coast DHB</c:v>
                </c:pt>
                <c:pt idx="2">
                  <c:v>Southern DHB</c:v>
                </c:pt>
                <c:pt idx="3">
                  <c:v>Waikato DHB</c:v>
                </c:pt>
                <c:pt idx="4">
                  <c:v>Waitematā DHB</c:v>
                </c:pt>
              </c:strCache>
            </c:strRef>
          </c:cat>
          <c:val>
            <c:numRef>
              <c:f>'Special patient data'!$H$86:$H$90</c:f>
              <c:numCache>
                <c:formatCode>General</c:formatCode>
                <c:ptCount val="5"/>
                <c:pt idx="0">
                  <c:v>51</c:v>
                </c:pt>
                <c:pt idx="1">
                  <c:v>112</c:v>
                </c:pt>
                <c:pt idx="2">
                  <c:v>20</c:v>
                </c:pt>
                <c:pt idx="3">
                  <c:v>81</c:v>
                </c:pt>
                <c:pt idx="4">
                  <c:v>146</c:v>
                </c:pt>
              </c:numCache>
            </c:numRef>
          </c:val>
          <c:extLst>
            <c:ext xmlns:c16="http://schemas.microsoft.com/office/drawing/2014/chart" uri="{C3380CC4-5D6E-409C-BE32-E72D297353CC}">
              <c16:uniqueId val="{00000000-A25D-4F7E-B0D2-369A881D0A02}"/>
            </c:ext>
          </c:extLst>
        </c:ser>
        <c:dLbls>
          <c:showLegendKey val="0"/>
          <c:showVal val="0"/>
          <c:showCatName val="0"/>
          <c:showSerName val="0"/>
          <c:showPercent val="0"/>
          <c:showBubbleSize val="0"/>
        </c:dLbls>
        <c:gapWidth val="182"/>
        <c:axId val="526512880"/>
        <c:axId val="526511312"/>
      </c:barChart>
      <c:catAx>
        <c:axId val="526512880"/>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6511312"/>
        <c:crosses val="autoZero"/>
        <c:auto val="1"/>
        <c:lblAlgn val="ctr"/>
        <c:lblOffset val="100"/>
        <c:noMultiLvlLbl val="0"/>
      </c:catAx>
      <c:valAx>
        <c:axId val="52651131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Number of special patients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6512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73123677829257"/>
          <c:y val="9.1249912003343106E-2"/>
          <c:w val="0.75498577160845803"/>
          <c:h val="0.76171942297659634"/>
        </c:manualLayout>
      </c:layout>
      <c:barChart>
        <c:barDir val="bar"/>
        <c:grouping val="percentStacked"/>
        <c:varyColors val="0"/>
        <c:ser>
          <c:idx val="0"/>
          <c:order val="0"/>
          <c:tx>
            <c:strRef>
              <c:f>'Special patient data'!$N$101</c:f>
              <c:strCache>
                <c:ptCount val="1"/>
                <c:pt idx="0">
                  <c:v>% EFC special patients</c:v>
                </c:pt>
              </c:strCache>
            </c:strRef>
          </c:tx>
          <c:spPr>
            <a:solidFill>
              <a:schemeClr val="accent1"/>
            </a:solidFill>
            <a:ln>
              <a:noFill/>
            </a:ln>
            <a:effectLst/>
          </c:spPr>
          <c:invertIfNegative val="0"/>
          <c:cat>
            <c:strRef>
              <c:f>'Special patient data'!$J$102:$J$106</c:f>
              <c:strCache>
                <c:ptCount val="5"/>
                <c:pt idx="0">
                  <c:v>Canterbury DHB</c:v>
                </c:pt>
                <c:pt idx="1">
                  <c:v>Capital &amp; Coast DHB</c:v>
                </c:pt>
                <c:pt idx="2">
                  <c:v>Southern DHB</c:v>
                </c:pt>
                <c:pt idx="3">
                  <c:v>Waikato DHB</c:v>
                </c:pt>
                <c:pt idx="4">
                  <c:v>Waitematā DHB</c:v>
                </c:pt>
              </c:strCache>
            </c:strRef>
          </c:cat>
          <c:val>
            <c:numRef>
              <c:f>'Special patient data'!$N$102:$N$106</c:f>
              <c:numCache>
                <c:formatCode>0.0%</c:formatCode>
                <c:ptCount val="5"/>
                <c:pt idx="0">
                  <c:v>0.14166666666666666</c:v>
                </c:pt>
                <c:pt idx="1">
                  <c:v>0.30416666666666664</c:v>
                </c:pt>
                <c:pt idx="2">
                  <c:v>0.2857142857142857</c:v>
                </c:pt>
                <c:pt idx="3">
                  <c:v>0.14732142857142858</c:v>
                </c:pt>
                <c:pt idx="4">
                  <c:v>0.17785234899328858</c:v>
                </c:pt>
              </c:numCache>
            </c:numRef>
          </c:val>
          <c:extLst>
            <c:ext xmlns:c16="http://schemas.microsoft.com/office/drawing/2014/chart" uri="{C3380CC4-5D6E-409C-BE32-E72D297353CC}">
              <c16:uniqueId val="{00000000-4C53-4CC3-9055-61287823F82A}"/>
            </c:ext>
          </c:extLst>
        </c:ser>
        <c:ser>
          <c:idx val="1"/>
          <c:order val="1"/>
          <c:tx>
            <c:strRef>
              <c:f>'Special patient data'!$O$101</c:f>
              <c:strCache>
                <c:ptCount val="1"/>
                <c:pt idx="0">
                  <c:v>% SFC special patients</c:v>
                </c:pt>
              </c:strCache>
            </c:strRef>
          </c:tx>
          <c:spPr>
            <a:solidFill>
              <a:schemeClr val="accent2"/>
            </a:solidFill>
            <a:ln>
              <a:noFill/>
            </a:ln>
            <a:effectLst/>
          </c:spPr>
          <c:invertIfNegative val="0"/>
          <c:cat>
            <c:strRef>
              <c:f>'Special patient data'!$J$102:$J$106</c:f>
              <c:strCache>
                <c:ptCount val="5"/>
                <c:pt idx="0">
                  <c:v>Canterbury DHB</c:v>
                </c:pt>
                <c:pt idx="1">
                  <c:v>Capital &amp; Coast DHB</c:v>
                </c:pt>
                <c:pt idx="2">
                  <c:v>Southern DHB</c:v>
                </c:pt>
                <c:pt idx="3">
                  <c:v>Waikato DHB</c:v>
                </c:pt>
                <c:pt idx="4">
                  <c:v>Waitematā DHB</c:v>
                </c:pt>
              </c:strCache>
            </c:strRef>
          </c:cat>
          <c:val>
            <c:numRef>
              <c:f>'Special patient data'!$O$102:$O$106</c:f>
              <c:numCache>
                <c:formatCode>0.0%</c:formatCode>
                <c:ptCount val="5"/>
                <c:pt idx="0">
                  <c:v>0.85833333333333328</c:v>
                </c:pt>
                <c:pt idx="1">
                  <c:v>0.6958333333333333</c:v>
                </c:pt>
                <c:pt idx="2">
                  <c:v>0.7142857142857143</c:v>
                </c:pt>
                <c:pt idx="3">
                  <c:v>0.8526785714285714</c:v>
                </c:pt>
                <c:pt idx="4">
                  <c:v>0.82214765100671139</c:v>
                </c:pt>
              </c:numCache>
            </c:numRef>
          </c:val>
          <c:extLst>
            <c:ext xmlns:c16="http://schemas.microsoft.com/office/drawing/2014/chart" uri="{C3380CC4-5D6E-409C-BE32-E72D297353CC}">
              <c16:uniqueId val="{00000001-4C53-4CC3-9055-61287823F82A}"/>
            </c:ext>
          </c:extLst>
        </c:ser>
        <c:dLbls>
          <c:showLegendKey val="0"/>
          <c:showVal val="0"/>
          <c:showCatName val="0"/>
          <c:showSerName val="0"/>
          <c:showPercent val="0"/>
          <c:showBubbleSize val="0"/>
        </c:dLbls>
        <c:gapWidth val="150"/>
        <c:overlap val="100"/>
        <c:axId val="526514056"/>
        <c:axId val="526514448"/>
      </c:barChart>
      <c:catAx>
        <c:axId val="526514056"/>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6514448"/>
        <c:crosses val="autoZero"/>
        <c:auto val="1"/>
        <c:lblAlgn val="ctr"/>
        <c:lblOffset val="100"/>
        <c:noMultiLvlLbl val="0"/>
      </c:catAx>
      <c:valAx>
        <c:axId val="52651444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Percentage</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65140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59752255317238"/>
          <c:y val="7.9787646007102267E-2"/>
          <c:w val="0.76933492042438034"/>
          <c:h val="0.76533510569637109"/>
        </c:manualLayout>
      </c:layout>
      <c:barChart>
        <c:barDir val="bar"/>
        <c:grouping val="percentStacked"/>
        <c:varyColors val="0"/>
        <c:ser>
          <c:idx val="0"/>
          <c:order val="0"/>
          <c:tx>
            <c:strRef>
              <c:f>'Special patient data'!$N$103</c:f>
              <c:strCache>
                <c:ptCount val="1"/>
                <c:pt idx="0">
                  <c:v>% EFC special patients</c:v>
                </c:pt>
              </c:strCache>
            </c:strRef>
          </c:tx>
          <c:spPr>
            <a:solidFill>
              <a:schemeClr val="accent1"/>
            </a:solidFill>
            <a:ln>
              <a:noFill/>
            </a:ln>
            <a:effectLst/>
          </c:spPr>
          <c:invertIfNegative val="0"/>
          <c:cat>
            <c:strRef>
              <c:f>'Special patient data'!$J$104:$J$108</c:f>
              <c:strCache>
                <c:ptCount val="5"/>
                <c:pt idx="0">
                  <c:v>Canterbury DHB</c:v>
                </c:pt>
                <c:pt idx="1">
                  <c:v>Capital &amp; Coast DHB</c:v>
                </c:pt>
                <c:pt idx="2">
                  <c:v>Southern DHB</c:v>
                </c:pt>
                <c:pt idx="3">
                  <c:v>Waikato DHB</c:v>
                </c:pt>
                <c:pt idx="4">
                  <c:v>Waitematā DHB</c:v>
                </c:pt>
              </c:strCache>
            </c:strRef>
          </c:cat>
          <c:val>
            <c:numRef>
              <c:f>'Special patient data'!$N$104:$N$108</c:f>
              <c:numCache>
                <c:formatCode>0.0%</c:formatCode>
                <c:ptCount val="5"/>
                <c:pt idx="0">
                  <c:v>0.125</c:v>
                </c:pt>
                <c:pt idx="1">
                  <c:v>0.2983425414364641</c:v>
                </c:pt>
                <c:pt idx="2">
                  <c:v>0.28947368421052633</c:v>
                </c:pt>
                <c:pt idx="3">
                  <c:v>0.23076923076923078</c:v>
                </c:pt>
                <c:pt idx="4">
                  <c:v>0.14619883040935672</c:v>
                </c:pt>
              </c:numCache>
            </c:numRef>
          </c:val>
          <c:extLst>
            <c:ext xmlns:c16="http://schemas.microsoft.com/office/drawing/2014/chart" uri="{C3380CC4-5D6E-409C-BE32-E72D297353CC}">
              <c16:uniqueId val="{00000000-67A1-4219-B336-0CC0FCD88601}"/>
            </c:ext>
          </c:extLst>
        </c:ser>
        <c:ser>
          <c:idx val="1"/>
          <c:order val="1"/>
          <c:tx>
            <c:strRef>
              <c:f>'Special patient data'!$O$103</c:f>
              <c:strCache>
                <c:ptCount val="1"/>
                <c:pt idx="0">
                  <c:v>% SFC special patients</c:v>
                </c:pt>
              </c:strCache>
            </c:strRef>
          </c:tx>
          <c:spPr>
            <a:solidFill>
              <a:schemeClr val="accent2"/>
            </a:solidFill>
            <a:ln>
              <a:noFill/>
            </a:ln>
            <a:effectLst/>
          </c:spPr>
          <c:invertIfNegative val="0"/>
          <c:cat>
            <c:strRef>
              <c:f>'Special patient data'!$J$104:$J$108</c:f>
              <c:strCache>
                <c:ptCount val="5"/>
                <c:pt idx="0">
                  <c:v>Canterbury DHB</c:v>
                </c:pt>
                <c:pt idx="1">
                  <c:v>Capital &amp; Coast DHB</c:v>
                </c:pt>
                <c:pt idx="2">
                  <c:v>Southern DHB</c:v>
                </c:pt>
                <c:pt idx="3">
                  <c:v>Waikato DHB</c:v>
                </c:pt>
                <c:pt idx="4">
                  <c:v>Waitematā DHB</c:v>
                </c:pt>
              </c:strCache>
            </c:strRef>
          </c:cat>
          <c:val>
            <c:numRef>
              <c:f>'Special patient data'!$O$104:$O$108</c:f>
              <c:numCache>
                <c:formatCode>0.0%</c:formatCode>
                <c:ptCount val="5"/>
                <c:pt idx="0">
                  <c:v>0.875</c:v>
                </c:pt>
                <c:pt idx="1">
                  <c:v>0.7016574585635359</c:v>
                </c:pt>
                <c:pt idx="2">
                  <c:v>0.71052631578947367</c:v>
                </c:pt>
                <c:pt idx="3">
                  <c:v>0.76923076923076927</c:v>
                </c:pt>
                <c:pt idx="4">
                  <c:v>0.85380116959064323</c:v>
                </c:pt>
              </c:numCache>
            </c:numRef>
          </c:val>
          <c:extLst>
            <c:ext xmlns:c16="http://schemas.microsoft.com/office/drawing/2014/chart" uri="{C3380CC4-5D6E-409C-BE32-E72D297353CC}">
              <c16:uniqueId val="{00000001-67A1-4219-B336-0CC0FCD88601}"/>
            </c:ext>
          </c:extLst>
        </c:ser>
        <c:dLbls>
          <c:showLegendKey val="0"/>
          <c:showVal val="0"/>
          <c:showCatName val="0"/>
          <c:showSerName val="0"/>
          <c:showPercent val="0"/>
          <c:showBubbleSize val="0"/>
        </c:dLbls>
        <c:gapWidth val="150"/>
        <c:overlap val="100"/>
        <c:axId val="526514056"/>
        <c:axId val="526514448"/>
      </c:barChart>
      <c:catAx>
        <c:axId val="526514056"/>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6514448"/>
        <c:crosses val="autoZero"/>
        <c:auto val="1"/>
        <c:lblAlgn val="ctr"/>
        <c:lblOffset val="100"/>
        <c:noMultiLvlLbl val="0"/>
      </c:catAx>
      <c:valAx>
        <c:axId val="52651444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Percent</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65140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892251780071928E-2"/>
          <c:y val="9.9190811798486031E-2"/>
          <c:w val="0.7967811476003448"/>
          <c:h val="0.74167840861997514"/>
        </c:manualLayout>
      </c:layout>
      <c:lineChart>
        <c:grouping val="standard"/>
        <c:varyColors val="0"/>
        <c:ser>
          <c:idx val="0"/>
          <c:order val="0"/>
          <c:tx>
            <c:strRef>
              <c:f>Justice!$B$89</c:f>
              <c:strCache>
                <c:ptCount val="1"/>
                <c:pt idx="0">
                  <c:v>0–14</c:v>
                </c:pt>
              </c:strCache>
            </c:strRef>
          </c:tx>
          <c:spPr>
            <a:ln w="28575" cap="rnd">
              <a:solidFill>
                <a:schemeClr val="accent1"/>
              </a:solidFill>
              <a:round/>
            </a:ln>
            <a:effectLst/>
          </c:spPr>
          <c:marker>
            <c:symbol val="none"/>
          </c:marker>
          <c:cat>
            <c:numRef>
              <c:f>Justice!$C$87:$R$87</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Justice!$C$89:$R$89</c:f>
              <c:numCache>
                <c:formatCode>_-* #,##0.0_-;\-* #,##0.0_-;_-* "-"??_-;_-@_-</c:formatCode>
                <c:ptCount val="16"/>
                <c:pt idx="0">
                  <c:v>3.4087471291957772</c:v>
                </c:pt>
                <c:pt idx="1">
                  <c:v>1.8159634537354936</c:v>
                </c:pt>
                <c:pt idx="2">
                  <c:v>2.1390855971989238</c:v>
                </c:pt>
                <c:pt idx="3">
                  <c:v>2.5910383867969697</c:v>
                </c:pt>
                <c:pt idx="4">
                  <c:v>2.7020332800432323</c:v>
                </c:pt>
                <c:pt idx="5">
                  <c:v>2.0219720967850643</c:v>
                </c:pt>
                <c:pt idx="6">
                  <c:v>1.7900595754202444</c:v>
                </c:pt>
                <c:pt idx="7">
                  <c:v>1.3415615776764154</c:v>
                </c:pt>
                <c:pt idx="8">
                  <c:v>1.4553759347991582</c:v>
                </c:pt>
                <c:pt idx="9">
                  <c:v>1.4306702690210362</c:v>
                </c:pt>
                <c:pt idx="10">
                  <c:v>0.76972559282615749</c:v>
                </c:pt>
                <c:pt idx="11">
                  <c:v>1.9628369536770478</c:v>
                </c:pt>
                <c:pt idx="12">
                  <c:v>2.2626628309144392</c:v>
                </c:pt>
                <c:pt idx="13">
                  <c:v>2.1</c:v>
                </c:pt>
                <c:pt idx="14">
                  <c:v>1.7691655262486927</c:v>
                </c:pt>
                <c:pt idx="15">
                  <c:v>1.352891284778412</c:v>
                </c:pt>
              </c:numCache>
            </c:numRef>
          </c:val>
          <c:smooth val="0"/>
          <c:extLst>
            <c:ext xmlns:c16="http://schemas.microsoft.com/office/drawing/2014/chart" uri="{C3380CC4-5D6E-409C-BE32-E72D297353CC}">
              <c16:uniqueId val="{00000000-CD1F-46E5-8EB0-4E5A4FA83804}"/>
            </c:ext>
          </c:extLst>
        </c:ser>
        <c:ser>
          <c:idx val="1"/>
          <c:order val="1"/>
          <c:tx>
            <c:strRef>
              <c:f>Justice!$B$90</c:f>
              <c:strCache>
                <c:ptCount val="1"/>
                <c:pt idx="0">
                  <c:v>15–24</c:v>
                </c:pt>
              </c:strCache>
            </c:strRef>
          </c:tx>
          <c:spPr>
            <a:ln w="28575" cap="rnd">
              <a:solidFill>
                <a:schemeClr val="accent2"/>
              </a:solidFill>
              <a:round/>
            </a:ln>
            <a:effectLst/>
          </c:spPr>
          <c:marker>
            <c:symbol val="none"/>
          </c:marker>
          <c:cat>
            <c:numRef>
              <c:f>Justice!$C$87:$R$87</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Justice!$C$90:$R$90</c:f>
              <c:numCache>
                <c:formatCode>_-* #,##0.0_-;\-* #,##0.0_-;_-* "-"??_-;_-@_-</c:formatCode>
                <c:ptCount val="16"/>
                <c:pt idx="0">
                  <c:v>117.21370725140783</c:v>
                </c:pt>
                <c:pt idx="1">
                  <c:v>112.08926627109059</c:v>
                </c:pt>
                <c:pt idx="2">
                  <c:v>97.570656038631356</c:v>
                </c:pt>
                <c:pt idx="3">
                  <c:v>105.16990547712514</c:v>
                </c:pt>
                <c:pt idx="4">
                  <c:v>110.16806250351301</c:v>
                </c:pt>
                <c:pt idx="5">
                  <c:v>107.94079130124211</c:v>
                </c:pt>
                <c:pt idx="6">
                  <c:v>118.81343312825737</c:v>
                </c:pt>
                <c:pt idx="7">
                  <c:v>120.34125229629169</c:v>
                </c:pt>
                <c:pt idx="8">
                  <c:v>115.36249008846531</c:v>
                </c:pt>
                <c:pt idx="9">
                  <c:v>113.96510914350837</c:v>
                </c:pt>
                <c:pt idx="10">
                  <c:v>126.91168540906357</c:v>
                </c:pt>
                <c:pt idx="11">
                  <c:v>131.4034100110274</c:v>
                </c:pt>
                <c:pt idx="12">
                  <c:v>132.76267332266536</c:v>
                </c:pt>
                <c:pt idx="13">
                  <c:v>128.6</c:v>
                </c:pt>
                <c:pt idx="14">
                  <c:v>139.34300993124521</c:v>
                </c:pt>
                <c:pt idx="15">
                  <c:v>137.66233766233765</c:v>
                </c:pt>
              </c:numCache>
            </c:numRef>
          </c:val>
          <c:smooth val="0"/>
          <c:extLst>
            <c:ext xmlns:c16="http://schemas.microsoft.com/office/drawing/2014/chart" uri="{C3380CC4-5D6E-409C-BE32-E72D297353CC}">
              <c16:uniqueId val="{00000001-CD1F-46E5-8EB0-4E5A4FA83804}"/>
            </c:ext>
          </c:extLst>
        </c:ser>
        <c:ser>
          <c:idx val="2"/>
          <c:order val="2"/>
          <c:tx>
            <c:strRef>
              <c:f>Justice!$B$91</c:f>
              <c:strCache>
                <c:ptCount val="1"/>
                <c:pt idx="0">
                  <c:v>25–34</c:v>
                </c:pt>
              </c:strCache>
            </c:strRef>
          </c:tx>
          <c:spPr>
            <a:ln w="28575" cap="rnd">
              <a:solidFill>
                <a:schemeClr val="accent3"/>
              </a:solidFill>
              <a:round/>
            </a:ln>
            <a:effectLst/>
          </c:spPr>
          <c:marker>
            <c:symbol val="none"/>
          </c:marker>
          <c:cat>
            <c:numRef>
              <c:f>Justice!$C$87:$R$87</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Justice!$C$91:$R$91</c:f>
              <c:numCache>
                <c:formatCode>_-* #,##0.0_-;\-* #,##0.0_-;_-* "-"??_-;_-@_-</c:formatCode>
                <c:ptCount val="16"/>
                <c:pt idx="0">
                  <c:v>182.48149981010692</c:v>
                </c:pt>
                <c:pt idx="1">
                  <c:v>177.95271225434487</c:v>
                </c:pt>
                <c:pt idx="2">
                  <c:v>160.51981330648852</c:v>
                </c:pt>
                <c:pt idx="3">
                  <c:v>167.43484300683537</c:v>
                </c:pt>
                <c:pt idx="4">
                  <c:v>167.22807081952769</c:v>
                </c:pt>
                <c:pt idx="5">
                  <c:v>160.82669286467998</c:v>
                </c:pt>
                <c:pt idx="6">
                  <c:v>168.3266038582324</c:v>
                </c:pt>
                <c:pt idx="7">
                  <c:v>166.57540054053098</c:v>
                </c:pt>
                <c:pt idx="8">
                  <c:v>168.27341384470816</c:v>
                </c:pt>
                <c:pt idx="9">
                  <c:v>191.23491450030994</c:v>
                </c:pt>
                <c:pt idx="10">
                  <c:v>197.14283208657446</c:v>
                </c:pt>
                <c:pt idx="11">
                  <c:v>180.68849706129302</c:v>
                </c:pt>
                <c:pt idx="12">
                  <c:v>180.22294480177848</c:v>
                </c:pt>
                <c:pt idx="13">
                  <c:v>156.69999999999999</c:v>
                </c:pt>
                <c:pt idx="14">
                  <c:v>156.19569149577592</c:v>
                </c:pt>
                <c:pt idx="15">
                  <c:v>163.57278137568539</c:v>
                </c:pt>
              </c:numCache>
            </c:numRef>
          </c:val>
          <c:smooth val="0"/>
          <c:extLst>
            <c:ext xmlns:c16="http://schemas.microsoft.com/office/drawing/2014/chart" uri="{C3380CC4-5D6E-409C-BE32-E72D297353CC}">
              <c16:uniqueId val="{00000002-CD1F-46E5-8EB0-4E5A4FA83804}"/>
            </c:ext>
          </c:extLst>
        </c:ser>
        <c:ser>
          <c:idx val="3"/>
          <c:order val="3"/>
          <c:tx>
            <c:strRef>
              <c:f>Justice!$B$92</c:f>
              <c:strCache>
                <c:ptCount val="1"/>
                <c:pt idx="0">
                  <c:v>35–44</c:v>
                </c:pt>
              </c:strCache>
            </c:strRef>
          </c:tx>
          <c:spPr>
            <a:ln w="28575" cap="rnd">
              <a:solidFill>
                <a:schemeClr val="accent4"/>
              </a:solidFill>
              <a:round/>
            </a:ln>
            <a:effectLst/>
          </c:spPr>
          <c:marker>
            <c:symbol val="none"/>
          </c:marker>
          <c:cat>
            <c:numRef>
              <c:f>Justice!$C$87:$R$87</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Justice!$C$92:$R$92</c:f>
              <c:numCache>
                <c:formatCode>_-* #,##0.0_-;\-* #,##0.0_-;_-* "-"??_-;_-@_-</c:formatCode>
                <c:ptCount val="16"/>
                <c:pt idx="0">
                  <c:v>136.77565555195855</c:v>
                </c:pt>
                <c:pt idx="1">
                  <c:v>128.66023097804265</c:v>
                </c:pt>
                <c:pt idx="2">
                  <c:v>121.72844949765361</c:v>
                </c:pt>
                <c:pt idx="3">
                  <c:v>134.35670200981167</c:v>
                </c:pt>
                <c:pt idx="4">
                  <c:v>144.31538190777894</c:v>
                </c:pt>
                <c:pt idx="5">
                  <c:v>140.90773051194319</c:v>
                </c:pt>
                <c:pt idx="6">
                  <c:v>154.19923390422986</c:v>
                </c:pt>
                <c:pt idx="7">
                  <c:v>156.54149427479334</c:v>
                </c:pt>
                <c:pt idx="8">
                  <c:v>150.86769998398611</c:v>
                </c:pt>
                <c:pt idx="9">
                  <c:v>146.73143088443635</c:v>
                </c:pt>
                <c:pt idx="10">
                  <c:v>146.91203194184945</c:v>
                </c:pt>
                <c:pt idx="11">
                  <c:v>150.23843300801613</c:v>
                </c:pt>
                <c:pt idx="12">
                  <c:v>151.51906916612799</c:v>
                </c:pt>
                <c:pt idx="13">
                  <c:v>142.9</c:v>
                </c:pt>
                <c:pt idx="14">
                  <c:v>142.5427792557559</c:v>
                </c:pt>
                <c:pt idx="15">
                  <c:v>141.88590008867868</c:v>
                </c:pt>
              </c:numCache>
            </c:numRef>
          </c:val>
          <c:smooth val="0"/>
          <c:extLst>
            <c:ext xmlns:c16="http://schemas.microsoft.com/office/drawing/2014/chart" uri="{C3380CC4-5D6E-409C-BE32-E72D297353CC}">
              <c16:uniqueId val="{00000003-CD1F-46E5-8EB0-4E5A4FA83804}"/>
            </c:ext>
          </c:extLst>
        </c:ser>
        <c:ser>
          <c:idx val="4"/>
          <c:order val="4"/>
          <c:tx>
            <c:strRef>
              <c:f>Justice!$B$93</c:f>
              <c:strCache>
                <c:ptCount val="1"/>
                <c:pt idx="0">
                  <c:v>45–54</c:v>
                </c:pt>
              </c:strCache>
            </c:strRef>
          </c:tx>
          <c:spPr>
            <a:ln w="28575" cap="rnd">
              <a:solidFill>
                <a:schemeClr val="accent5"/>
              </a:solidFill>
              <a:round/>
            </a:ln>
            <a:effectLst/>
          </c:spPr>
          <c:marker>
            <c:symbol val="none"/>
          </c:marker>
          <c:cat>
            <c:numRef>
              <c:f>Justice!$C$87:$R$87</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Justice!$C$93:$R$93</c:f>
              <c:numCache>
                <c:formatCode>_-* #,##0.0_-;\-* #,##0.0_-;_-* "-"??_-;_-@_-</c:formatCode>
                <c:ptCount val="16"/>
                <c:pt idx="0">
                  <c:v>88.180099481662864</c:v>
                </c:pt>
                <c:pt idx="1">
                  <c:v>94.195821429549383</c:v>
                </c:pt>
                <c:pt idx="2">
                  <c:v>95.307595593342526</c:v>
                </c:pt>
                <c:pt idx="3">
                  <c:v>106.04617641759543</c:v>
                </c:pt>
                <c:pt idx="4">
                  <c:v>112.51616370262145</c:v>
                </c:pt>
                <c:pt idx="5">
                  <c:v>109.01654214701566</c:v>
                </c:pt>
                <c:pt idx="6">
                  <c:v>106.3362047908287</c:v>
                </c:pt>
                <c:pt idx="7">
                  <c:v>99.957878365680585</c:v>
                </c:pt>
                <c:pt idx="8">
                  <c:v>108.8459579010359</c:v>
                </c:pt>
                <c:pt idx="9">
                  <c:v>116.69544088496707</c:v>
                </c:pt>
                <c:pt idx="10">
                  <c:v>121.37505368817905</c:v>
                </c:pt>
                <c:pt idx="11">
                  <c:v>120.10732323232322</c:v>
                </c:pt>
                <c:pt idx="12">
                  <c:v>127.40348872698247</c:v>
                </c:pt>
                <c:pt idx="13">
                  <c:v>131.30000000000001</c:v>
                </c:pt>
                <c:pt idx="14">
                  <c:v>127.44644662690169</c:v>
                </c:pt>
                <c:pt idx="15">
                  <c:v>120.86249735466323</c:v>
                </c:pt>
              </c:numCache>
            </c:numRef>
          </c:val>
          <c:smooth val="0"/>
          <c:extLst>
            <c:ext xmlns:c16="http://schemas.microsoft.com/office/drawing/2014/chart" uri="{C3380CC4-5D6E-409C-BE32-E72D297353CC}">
              <c16:uniqueId val="{00000004-CD1F-46E5-8EB0-4E5A4FA83804}"/>
            </c:ext>
          </c:extLst>
        </c:ser>
        <c:ser>
          <c:idx val="5"/>
          <c:order val="5"/>
          <c:tx>
            <c:strRef>
              <c:f>Justice!$B$94</c:f>
              <c:strCache>
                <c:ptCount val="1"/>
                <c:pt idx="0">
                  <c:v>55–64</c:v>
                </c:pt>
              </c:strCache>
            </c:strRef>
          </c:tx>
          <c:spPr>
            <a:ln w="28575" cap="rnd">
              <a:solidFill>
                <a:schemeClr val="accent6"/>
              </a:solidFill>
              <a:round/>
            </a:ln>
            <a:effectLst/>
          </c:spPr>
          <c:marker>
            <c:symbol val="none"/>
          </c:marker>
          <c:cat>
            <c:numRef>
              <c:f>Justice!$C$87:$R$87</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Justice!$C$94:$R$94</c:f>
              <c:numCache>
                <c:formatCode>_-* #,##0.0_-;\-* #,##0.0_-;_-* "-"??_-;_-@_-</c:formatCode>
                <c:ptCount val="16"/>
                <c:pt idx="0">
                  <c:v>72.551542347883384</c:v>
                </c:pt>
                <c:pt idx="1">
                  <c:v>61.054333530412542</c:v>
                </c:pt>
                <c:pt idx="2">
                  <c:v>64.006330807992654</c:v>
                </c:pt>
                <c:pt idx="3">
                  <c:v>67.990858754107308</c:v>
                </c:pt>
                <c:pt idx="4">
                  <c:v>64.065871163753243</c:v>
                </c:pt>
                <c:pt idx="5">
                  <c:v>69.042911345054236</c:v>
                </c:pt>
                <c:pt idx="6">
                  <c:v>75.77172987897282</c:v>
                </c:pt>
                <c:pt idx="7">
                  <c:v>74.438173837409224</c:v>
                </c:pt>
                <c:pt idx="8">
                  <c:v>78.577212608343572</c:v>
                </c:pt>
                <c:pt idx="9">
                  <c:v>85.822678642831377</c:v>
                </c:pt>
                <c:pt idx="10">
                  <c:v>83.642945603505765</c:v>
                </c:pt>
                <c:pt idx="11">
                  <c:v>88.672052535408525</c:v>
                </c:pt>
                <c:pt idx="12">
                  <c:v>91.272408262368302</c:v>
                </c:pt>
                <c:pt idx="13">
                  <c:v>89.1</c:v>
                </c:pt>
                <c:pt idx="14">
                  <c:v>89.080555463052377</c:v>
                </c:pt>
                <c:pt idx="15">
                  <c:v>90.912118285657201</c:v>
                </c:pt>
              </c:numCache>
            </c:numRef>
          </c:val>
          <c:smooth val="0"/>
          <c:extLst>
            <c:ext xmlns:c16="http://schemas.microsoft.com/office/drawing/2014/chart" uri="{C3380CC4-5D6E-409C-BE32-E72D297353CC}">
              <c16:uniqueId val="{00000005-CD1F-46E5-8EB0-4E5A4FA83804}"/>
            </c:ext>
          </c:extLst>
        </c:ser>
        <c:ser>
          <c:idx val="6"/>
          <c:order val="6"/>
          <c:tx>
            <c:strRef>
              <c:f>Justice!$B$95</c:f>
              <c:strCache>
                <c:ptCount val="1"/>
                <c:pt idx="0">
                  <c:v>65+</c:v>
                </c:pt>
              </c:strCache>
            </c:strRef>
          </c:tx>
          <c:spPr>
            <a:ln w="28575" cap="rnd">
              <a:solidFill>
                <a:schemeClr val="accent1">
                  <a:lumMod val="60000"/>
                </a:schemeClr>
              </a:solidFill>
              <a:round/>
            </a:ln>
            <a:effectLst/>
          </c:spPr>
          <c:marker>
            <c:symbol val="none"/>
          </c:marker>
          <c:cat>
            <c:numRef>
              <c:f>Justice!$C$87:$R$87</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Justice!$C$95:$R$95</c:f>
              <c:numCache>
                <c:formatCode>_-* #,##0.0_-;\-* #,##0.0_-;_-* "-"??_-;_-@_-</c:formatCode>
                <c:ptCount val="16"/>
                <c:pt idx="0">
                  <c:v>45.802736406785556</c:v>
                </c:pt>
                <c:pt idx="1">
                  <c:v>40.713590918663066</c:v>
                </c:pt>
                <c:pt idx="2">
                  <c:v>43.401759530791786</c:v>
                </c:pt>
                <c:pt idx="3">
                  <c:v>54.640143430376511</c:v>
                </c:pt>
                <c:pt idx="4">
                  <c:v>51.869341315138783</c:v>
                </c:pt>
                <c:pt idx="5">
                  <c:v>51.514247756418946</c:v>
                </c:pt>
                <c:pt idx="6">
                  <c:v>49.110744729364718</c:v>
                </c:pt>
                <c:pt idx="7">
                  <c:v>51.28685710391126</c:v>
                </c:pt>
                <c:pt idx="8">
                  <c:v>49.013179463641727</c:v>
                </c:pt>
                <c:pt idx="9">
                  <c:v>51.124744376278116</c:v>
                </c:pt>
                <c:pt idx="10">
                  <c:v>52.790753153208613</c:v>
                </c:pt>
                <c:pt idx="11">
                  <c:v>54.605292285895601</c:v>
                </c:pt>
                <c:pt idx="12">
                  <c:v>52.147068639448214</c:v>
                </c:pt>
                <c:pt idx="13">
                  <c:v>54.9</c:v>
                </c:pt>
                <c:pt idx="14">
                  <c:v>54.122017066305851</c:v>
                </c:pt>
                <c:pt idx="15">
                  <c:v>54.377309599637478</c:v>
                </c:pt>
              </c:numCache>
            </c:numRef>
          </c:val>
          <c:smooth val="0"/>
          <c:extLst>
            <c:ext xmlns:c16="http://schemas.microsoft.com/office/drawing/2014/chart" uri="{C3380CC4-5D6E-409C-BE32-E72D297353CC}">
              <c16:uniqueId val="{00000006-CD1F-46E5-8EB0-4E5A4FA83804}"/>
            </c:ext>
          </c:extLst>
        </c:ser>
        <c:ser>
          <c:idx val="7"/>
          <c:order val="7"/>
          <c:tx>
            <c:strRef>
              <c:f>Justice!$B$96</c:f>
              <c:strCache>
                <c:ptCount val="1"/>
                <c:pt idx="0">
                  <c:v>Total</c:v>
                </c:pt>
              </c:strCache>
            </c:strRef>
          </c:tx>
          <c:spPr>
            <a:ln w="28575" cap="rnd">
              <a:solidFill>
                <a:schemeClr val="accent2">
                  <a:lumMod val="60000"/>
                </a:schemeClr>
              </a:solidFill>
              <a:round/>
            </a:ln>
            <a:effectLst/>
          </c:spPr>
          <c:marker>
            <c:symbol val="none"/>
          </c:marker>
          <c:cat>
            <c:numRef>
              <c:f>Justice!$C$87:$R$87</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Justice!$C$96:$R$96</c:f>
              <c:numCache>
                <c:formatCode>_-* #,##0.0_-;\-* #,##0.0_-;_-* "-"??_-;_-@_-</c:formatCode>
                <c:ptCount val="16"/>
                <c:pt idx="0">
                  <c:v>92.247671395493342</c:v>
                </c:pt>
                <c:pt idx="1">
                  <c:v>88.75125977008129</c:v>
                </c:pt>
                <c:pt idx="2">
                  <c:v>83.673508407980648</c:v>
                </c:pt>
                <c:pt idx="3">
                  <c:v>89.784951323121746</c:v>
                </c:pt>
                <c:pt idx="4">
                  <c:v>91.184484580403776</c:v>
                </c:pt>
                <c:pt idx="5">
                  <c:v>88.93750043449144</c:v>
                </c:pt>
                <c:pt idx="6">
                  <c:v>92.920267861334011</c:v>
                </c:pt>
                <c:pt idx="7">
                  <c:v>92.155959032714335</c:v>
                </c:pt>
                <c:pt idx="8">
                  <c:v>91.905482182315296</c:v>
                </c:pt>
                <c:pt idx="9">
                  <c:v>95.25685692897386</c:v>
                </c:pt>
                <c:pt idx="10">
                  <c:v>98.055850358920793</c:v>
                </c:pt>
                <c:pt idx="11">
                  <c:v>98.123470220288283</c:v>
                </c:pt>
                <c:pt idx="12">
                  <c:v>99.733753503034109</c:v>
                </c:pt>
                <c:pt idx="13">
                  <c:v>96.3</c:v>
                </c:pt>
                <c:pt idx="14">
                  <c:v>95.876909156275119</c:v>
                </c:pt>
                <c:pt idx="15">
                  <c:v>95.917303893648736</c:v>
                </c:pt>
              </c:numCache>
            </c:numRef>
          </c:val>
          <c:smooth val="0"/>
          <c:extLst>
            <c:ext xmlns:c16="http://schemas.microsoft.com/office/drawing/2014/chart" uri="{C3380CC4-5D6E-409C-BE32-E72D297353CC}">
              <c16:uniqueId val="{00000007-CD1F-46E5-8EB0-4E5A4FA83804}"/>
            </c:ext>
          </c:extLst>
        </c:ser>
        <c:dLbls>
          <c:showLegendKey val="0"/>
          <c:showVal val="0"/>
          <c:showCatName val="0"/>
          <c:showSerName val="0"/>
          <c:showPercent val="0"/>
          <c:showBubbleSize val="0"/>
        </c:dLbls>
        <c:smooth val="0"/>
        <c:axId val="245132752"/>
        <c:axId val="245133144"/>
      </c:lineChart>
      <c:catAx>
        <c:axId val="24513275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Year</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5133144"/>
        <c:crosses val="autoZero"/>
        <c:auto val="1"/>
        <c:lblAlgn val="ctr"/>
        <c:lblOffset val="100"/>
        <c:noMultiLvlLbl val="0"/>
      </c:catAx>
      <c:valAx>
        <c:axId val="245133144"/>
        <c:scaling>
          <c:orientation val="minMax"/>
          <c:max val="250"/>
        </c:scaling>
        <c:delete val="0"/>
        <c:axPos val="l"/>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NZ"/>
                  <a:t>Rate per 100,000</a:t>
                </a:r>
              </a:p>
            </c:rich>
          </c:tx>
          <c:layout>
            <c:manualLayout>
              <c:xMode val="edge"/>
              <c:yMode val="edge"/>
              <c:x val="0"/>
              <c:y val="3.2926581123326332E-3"/>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5132752"/>
        <c:crosses val="autoZero"/>
        <c:crossBetween val="between"/>
      </c:valAx>
      <c:spPr>
        <a:noFill/>
        <a:ln>
          <a:noFill/>
        </a:ln>
        <a:effectLst/>
      </c:spPr>
    </c:plotArea>
    <c:legend>
      <c:legendPos val="r"/>
      <c:layout>
        <c:manualLayout>
          <c:xMode val="edge"/>
          <c:yMode val="edge"/>
          <c:x val="0.83856591127570568"/>
          <c:y val="0.20394529631164526"/>
          <c:w val="0.14631502610617669"/>
          <c:h val="0.5921094073767094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75663771642278E-2"/>
          <c:y val="0.11023622047244094"/>
          <c:w val="0.92601541760069694"/>
          <c:h val="0.73548107917451833"/>
        </c:manualLayout>
      </c:layout>
      <c:barChart>
        <c:barDir val="col"/>
        <c:grouping val="clustered"/>
        <c:varyColors val="0"/>
        <c:ser>
          <c:idx val="0"/>
          <c:order val="0"/>
          <c:spPr>
            <a:solidFill>
              <a:schemeClr val="accent1"/>
            </a:solidFill>
            <a:ln>
              <a:noFill/>
            </a:ln>
            <a:effectLst/>
          </c:spPr>
          <c:invertIfNegative val="0"/>
          <c:cat>
            <c:strRef>
              <c:f>'Special patient data'!$B$131:$B$141</c:f>
              <c:strCache>
                <c:ptCount val="11"/>
                <c:pt idx="0">
                  <c:v>0-19</c:v>
                </c:pt>
                <c:pt idx="1">
                  <c:v>20-24</c:v>
                </c:pt>
                <c:pt idx="2">
                  <c:v>25-29</c:v>
                </c:pt>
                <c:pt idx="3">
                  <c:v>30-34</c:v>
                </c:pt>
                <c:pt idx="4">
                  <c:v>35-39</c:v>
                </c:pt>
                <c:pt idx="5">
                  <c:v>40-44</c:v>
                </c:pt>
                <c:pt idx="6">
                  <c:v>45-49</c:v>
                </c:pt>
                <c:pt idx="7">
                  <c:v>50-54</c:v>
                </c:pt>
                <c:pt idx="8">
                  <c:v>55-59</c:v>
                </c:pt>
                <c:pt idx="9">
                  <c:v>60-64</c:v>
                </c:pt>
                <c:pt idx="10">
                  <c:v>65+</c:v>
                </c:pt>
              </c:strCache>
            </c:strRef>
          </c:cat>
          <c:val>
            <c:numRef>
              <c:f>'Special patient data'!$C$131:$C$141</c:f>
              <c:numCache>
                <c:formatCode>General</c:formatCode>
                <c:ptCount val="11"/>
                <c:pt idx="0">
                  <c:v>21</c:v>
                </c:pt>
                <c:pt idx="1">
                  <c:v>46</c:v>
                </c:pt>
                <c:pt idx="2">
                  <c:v>64</c:v>
                </c:pt>
                <c:pt idx="3">
                  <c:v>54</c:v>
                </c:pt>
                <c:pt idx="4">
                  <c:v>50</c:v>
                </c:pt>
                <c:pt idx="5">
                  <c:v>48</c:v>
                </c:pt>
                <c:pt idx="6">
                  <c:v>41</c:v>
                </c:pt>
                <c:pt idx="7">
                  <c:v>23</c:v>
                </c:pt>
                <c:pt idx="8">
                  <c:v>19</c:v>
                </c:pt>
                <c:pt idx="9">
                  <c:v>14</c:v>
                </c:pt>
                <c:pt idx="10">
                  <c:v>9</c:v>
                </c:pt>
              </c:numCache>
            </c:numRef>
          </c:val>
          <c:extLst>
            <c:ext xmlns:c16="http://schemas.microsoft.com/office/drawing/2014/chart" uri="{C3380CC4-5D6E-409C-BE32-E72D297353CC}">
              <c16:uniqueId val="{00000000-AA7C-44BC-9A05-79C33C6CA9A3}"/>
            </c:ext>
          </c:extLst>
        </c:ser>
        <c:dLbls>
          <c:showLegendKey val="0"/>
          <c:showVal val="0"/>
          <c:showCatName val="0"/>
          <c:showSerName val="0"/>
          <c:showPercent val="0"/>
          <c:showBubbleSize val="0"/>
        </c:dLbls>
        <c:gapWidth val="219"/>
        <c:overlap val="-27"/>
        <c:axId val="208339712"/>
        <c:axId val="208341672"/>
      </c:barChart>
      <c:catAx>
        <c:axId val="20833971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Age group (years)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8341672"/>
        <c:crosses val="autoZero"/>
        <c:auto val="1"/>
        <c:lblAlgn val="ctr"/>
        <c:lblOffset val="100"/>
        <c:noMultiLvlLbl val="0"/>
      </c:catAx>
      <c:valAx>
        <c:axId val="208341672"/>
        <c:scaling>
          <c:orientation val="minMax"/>
        </c:scaling>
        <c:delete val="0"/>
        <c:axPos val="l"/>
        <c:majorGridlines>
          <c:spPr>
            <a:ln w="9525" cap="flat" cmpd="sng" algn="ctr">
              <a:no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NZ"/>
                  <a:t>Total number</a:t>
                </a:r>
              </a:p>
            </c:rich>
          </c:tx>
          <c:layout>
            <c:manualLayout>
              <c:xMode val="edge"/>
              <c:yMode val="edge"/>
              <c:x val="0"/>
              <c:y val="4.9649699299398591E-3"/>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8339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525354931491935E-2"/>
          <c:y val="8.8331008833100882E-2"/>
          <c:w val="0.92124670038562773"/>
          <c:h val="0.7670403287912364"/>
        </c:manualLayout>
      </c:layout>
      <c:barChart>
        <c:barDir val="col"/>
        <c:grouping val="clustered"/>
        <c:varyColors val="0"/>
        <c:ser>
          <c:idx val="0"/>
          <c:order val="0"/>
          <c:spPr>
            <a:solidFill>
              <a:schemeClr val="accent1"/>
            </a:solidFill>
            <a:ln>
              <a:noFill/>
            </a:ln>
            <a:effectLst/>
          </c:spPr>
          <c:invertIfNegative val="0"/>
          <c:cat>
            <c:strRef>
              <c:f>'Special patient data'!$B$135:$B$145</c:f>
              <c:strCache>
                <c:ptCount val="11"/>
                <c:pt idx="0">
                  <c:v>0-19</c:v>
                </c:pt>
                <c:pt idx="1">
                  <c:v>20-24</c:v>
                </c:pt>
                <c:pt idx="2">
                  <c:v>25-29</c:v>
                </c:pt>
                <c:pt idx="3">
                  <c:v>30-34</c:v>
                </c:pt>
                <c:pt idx="4">
                  <c:v>35-39</c:v>
                </c:pt>
                <c:pt idx="5">
                  <c:v>40-44</c:v>
                </c:pt>
                <c:pt idx="6">
                  <c:v>45-49</c:v>
                </c:pt>
                <c:pt idx="7">
                  <c:v>50-54</c:v>
                </c:pt>
                <c:pt idx="8">
                  <c:v>55-59</c:v>
                </c:pt>
                <c:pt idx="9">
                  <c:v>60-64</c:v>
                </c:pt>
                <c:pt idx="10">
                  <c:v>65+</c:v>
                </c:pt>
              </c:strCache>
            </c:strRef>
          </c:cat>
          <c:val>
            <c:numRef>
              <c:f>'Special patient data'!$C$135:$C$145</c:f>
              <c:numCache>
                <c:formatCode>General</c:formatCode>
                <c:ptCount val="11"/>
                <c:pt idx="0">
                  <c:v>29</c:v>
                </c:pt>
                <c:pt idx="1">
                  <c:v>47</c:v>
                </c:pt>
                <c:pt idx="2">
                  <c:v>63</c:v>
                </c:pt>
                <c:pt idx="3">
                  <c:v>61</c:v>
                </c:pt>
                <c:pt idx="4">
                  <c:v>40</c:v>
                </c:pt>
                <c:pt idx="5">
                  <c:v>52</c:v>
                </c:pt>
                <c:pt idx="6">
                  <c:v>39</c:v>
                </c:pt>
                <c:pt idx="7">
                  <c:v>34</c:v>
                </c:pt>
                <c:pt idx="8">
                  <c:v>18</c:v>
                </c:pt>
                <c:pt idx="9">
                  <c:v>10</c:v>
                </c:pt>
                <c:pt idx="10">
                  <c:v>10</c:v>
                </c:pt>
              </c:numCache>
            </c:numRef>
          </c:val>
          <c:extLst>
            <c:ext xmlns:c16="http://schemas.microsoft.com/office/drawing/2014/chart" uri="{C3380CC4-5D6E-409C-BE32-E72D297353CC}">
              <c16:uniqueId val="{00000000-8320-4091-81BE-73C5FA34BD32}"/>
            </c:ext>
          </c:extLst>
        </c:ser>
        <c:dLbls>
          <c:showLegendKey val="0"/>
          <c:showVal val="0"/>
          <c:showCatName val="0"/>
          <c:showSerName val="0"/>
          <c:showPercent val="0"/>
          <c:showBubbleSize val="0"/>
        </c:dLbls>
        <c:gapWidth val="219"/>
        <c:overlap val="-27"/>
        <c:axId val="208339712"/>
        <c:axId val="208341672"/>
      </c:barChart>
      <c:catAx>
        <c:axId val="20833971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Age group (years)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8341672"/>
        <c:crosses val="autoZero"/>
        <c:auto val="1"/>
        <c:lblAlgn val="ctr"/>
        <c:lblOffset val="100"/>
        <c:noMultiLvlLbl val="0"/>
      </c:catAx>
      <c:valAx>
        <c:axId val="208341672"/>
        <c:scaling>
          <c:orientation val="minMax"/>
        </c:scaling>
        <c:delete val="0"/>
        <c:axPos val="l"/>
        <c:majorGridlines>
          <c:spPr>
            <a:ln w="9525" cap="flat" cmpd="sng" algn="ctr">
              <a:no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NZ"/>
                  <a:t>Total number</a:t>
                </a:r>
              </a:p>
            </c:rich>
          </c:tx>
          <c:layout>
            <c:manualLayout>
              <c:xMode val="edge"/>
              <c:yMode val="edge"/>
              <c:x val="0"/>
              <c:y val="1.1428487757021862E-3"/>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8339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92785762568541"/>
          <c:y val="4.7412536930337021E-2"/>
          <c:w val="0.55536030733977282"/>
          <c:h val="0.830494199377494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F86-43F6-855A-AD1134BCB50D}"/>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F86-43F6-855A-AD1134BCB50D}"/>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CF86-43F6-855A-AD1134BCB50D}"/>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CF86-43F6-855A-AD1134BCB50D}"/>
              </c:ext>
            </c:extLst>
          </c:dPt>
          <c:dLbls>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CF86-43F6-855A-AD1134BCB50D}"/>
                </c:ext>
              </c:extLst>
            </c:dLbl>
            <c:dLbl>
              <c:idx val="3"/>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CF86-43F6-855A-AD1134BCB50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'Special patient data'!$B$118:$B$121</c:f>
              <c:strCache>
                <c:ptCount val="4"/>
                <c:pt idx="0">
                  <c:v>Asian</c:v>
                </c:pt>
                <c:pt idx="1">
                  <c:v>Māori</c:v>
                </c:pt>
                <c:pt idx="2">
                  <c:v>Other</c:v>
                </c:pt>
                <c:pt idx="3">
                  <c:v>Pacific</c:v>
                </c:pt>
              </c:strCache>
            </c:strRef>
          </c:cat>
          <c:val>
            <c:numRef>
              <c:f>'Special patient data'!$C$118:$C$121</c:f>
              <c:numCache>
                <c:formatCode>General</c:formatCode>
                <c:ptCount val="4"/>
                <c:pt idx="0">
                  <c:v>14</c:v>
                </c:pt>
                <c:pt idx="1">
                  <c:v>189</c:v>
                </c:pt>
                <c:pt idx="2">
                  <c:v>136</c:v>
                </c:pt>
                <c:pt idx="3">
                  <c:v>50</c:v>
                </c:pt>
              </c:numCache>
            </c:numRef>
          </c:val>
          <c:extLst>
            <c:ext xmlns:c16="http://schemas.microsoft.com/office/drawing/2014/chart" uri="{C3380CC4-5D6E-409C-BE32-E72D297353CC}">
              <c16:uniqueId val="{00000008-CF86-43F6-855A-AD1134BCB50D}"/>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22238157162974703"/>
          <c:y val="0.91436287166136776"/>
          <c:w val="0.49805377187303856"/>
          <c:h val="7.411406110915531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83647258709829"/>
          <c:y val="1.8382429158812486E-2"/>
          <c:w val="0.57152461510756636"/>
          <c:h val="0.8407068570353620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7D9-428C-A3B7-7FB53240F859}"/>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E7D9-428C-A3B7-7FB53240F859}"/>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E7D9-428C-A3B7-7FB53240F859}"/>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E7D9-428C-A3B7-7FB53240F859}"/>
              </c:ext>
            </c:extLst>
          </c:dPt>
          <c:dLbls>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E7D9-428C-A3B7-7FB53240F859}"/>
                </c:ext>
              </c:extLst>
            </c:dLbl>
            <c:dLbl>
              <c:idx val="3"/>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E7D9-428C-A3B7-7FB53240F85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'Special patient data'!$B$122:$B$125</c:f>
              <c:strCache>
                <c:ptCount val="4"/>
                <c:pt idx="0">
                  <c:v>Asian</c:v>
                </c:pt>
                <c:pt idx="1">
                  <c:v>Māori</c:v>
                </c:pt>
                <c:pt idx="2">
                  <c:v>Other</c:v>
                </c:pt>
                <c:pt idx="3">
                  <c:v>Pacific</c:v>
                </c:pt>
              </c:strCache>
            </c:strRef>
          </c:cat>
          <c:val>
            <c:numRef>
              <c:f>'Special patient data'!$C$122:$C$125</c:f>
              <c:numCache>
                <c:formatCode>General</c:formatCode>
                <c:ptCount val="4"/>
                <c:pt idx="0">
                  <c:v>15</c:v>
                </c:pt>
                <c:pt idx="1">
                  <c:v>197</c:v>
                </c:pt>
                <c:pt idx="2">
                  <c:v>133</c:v>
                </c:pt>
                <c:pt idx="3">
                  <c:v>58</c:v>
                </c:pt>
              </c:numCache>
            </c:numRef>
          </c:val>
          <c:extLst>
            <c:ext xmlns:c16="http://schemas.microsoft.com/office/drawing/2014/chart" uri="{C3380CC4-5D6E-409C-BE32-E72D297353CC}">
              <c16:uniqueId val="{00000008-E7D9-428C-A3B7-7FB53240F859}"/>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22238157162974703"/>
          <c:y val="0.91436287166136776"/>
          <c:w val="0.49805377187303856"/>
          <c:h val="7.411406110915531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0.12962962962962962"/>
          <c:w val="0.92075244407085277"/>
          <c:h val="0.73232779400111936"/>
        </c:manualLayout>
      </c:layout>
      <c:barChart>
        <c:barDir val="col"/>
        <c:grouping val="clustered"/>
        <c:varyColors val="0"/>
        <c:ser>
          <c:idx val="0"/>
          <c:order val="0"/>
          <c:tx>
            <c:v>Total special patients</c:v>
          </c:tx>
          <c:spPr>
            <a:solidFill>
              <a:schemeClr val="accent1"/>
            </a:solidFill>
            <a:ln>
              <a:noFill/>
            </a:ln>
            <a:effectLst/>
          </c:spPr>
          <c:invertIfNegative val="0"/>
          <c:cat>
            <c:strRef>
              <c:f>'Special patient data'!$B$118:$B$121</c:f>
              <c:strCache>
                <c:ptCount val="4"/>
                <c:pt idx="0">
                  <c:v>Asian</c:v>
                </c:pt>
                <c:pt idx="1">
                  <c:v>Māori</c:v>
                </c:pt>
                <c:pt idx="2">
                  <c:v>Other</c:v>
                </c:pt>
                <c:pt idx="3">
                  <c:v>Pacific</c:v>
                </c:pt>
              </c:strCache>
            </c:strRef>
          </c:cat>
          <c:val>
            <c:numRef>
              <c:f>'Special patient data'!$C$118:$C$121</c:f>
              <c:numCache>
                <c:formatCode>General</c:formatCode>
                <c:ptCount val="4"/>
                <c:pt idx="0">
                  <c:v>14</c:v>
                </c:pt>
                <c:pt idx="1">
                  <c:v>189</c:v>
                </c:pt>
                <c:pt idx="2">
                  <c:v>136</c:v>
                </c:pt>
                <c:pt idx="3">
                  <c:v>50</c:v>
                </c:pt>
              </c:numCache>
            </c:numRef>
          </c:val>
          <c:extLst>
            <c:ext xmlns:c16="http://schemas.microsoft.com/office/drawing/2014/chart" uri="{C3380CC4-5D6E-409C-BE32-E72D297353CC}">
              <c16:uniqueId val="{00000000-9211-4131-BB12-5501476748A2}"/>
            </c:ext>
          </c:extLst>
        </c:ser>
        <c:ser>
          <c:idx val="1"/>
          <c:order val="1"/>
          <c:tx>
            <c:v>EFC special patients</c:v>
          </c:tx>
          <c:spPr>
            <a:solidFill>
              <a:schemeClr val="accent3"/>
            </a:solidFill>
            <a:ln>
              <a:noFill/>
            </a:ln>
            <a:effectLst/>
          </c:spPr>
          <c:invertIfNegative val="0"/>
          <c:cat>
            <c:strRef>
              <c:f>'Special patient data'!$B$118:$B$121</c:f>
              <c:strCache>
                <c:ptCount val="4"/>
                <c:pt idx="0">
                  <c:v>Asian</c:v>
                </c:pt>
                <c:pt idx="1">
                  <c:v>Māori</c:v>
                </c:pt>
                <c:pt idx="2">
                  <c:v>Other</c:v>
                </c:pt>
                <c:pt idx="3">
                  <c:v>Pacific</c:v>
                </c:pt>
              </c:strCache>
            </c:strRef>
          </c:cat>
          <c:val>
            <c:numRef>
              <c:f>'Special patient data'!$D$118:$D$121</c:f>
              <c:numCache>
                <c:formatCode>General</c:formatCode>
                <c:ptCount val="4"/>
                <c:pt idx="0">
                  <c:v>6</c:v>
                </c:pt>
                <c:pt idx="1">
                  <c:v>65</c:v>
                </c:pt>
                <c:pt idx="2">
                  <c:v>63</c:v>
                </c:pt>
                <c:pt idx="3">
                  <c:v>22</c:v>
                </c:pt>
              </c:numCache>
            </c:numRef>
          </c:val>
          <c:extLst>
            <c:ext xmlns:c16="http://schemas.microsoft.com/office/drawing/2014/chart" uri="{C3380CC4-5D6E-409C-BE32-E72D297353CC}">
              <c16:uniqueId val="{00000001-9211-4131-BB12-5501476748A2}"/>
            </c:ext>
          </c:extLst>
        </c:ser>
        <c:ser>
          <c:idx val="2"/>
          <c:order val="2"/>
          <c:tx>
            <c:v>SFC special patients</c:v>
          </c:tx>
          <c:spPr>
            <a:solidFill>
              <a:schemeClr val="accent5"/>
            </a:solidFill>
            <a:ln>
              <a:noFill/>
            </a:ln>
            <a:effectLst/>
          </c:spPr>
          <c:invertIfNegative val="0"/>
          <c:cat>
            <c:strRef>
              <c:f>'Special patient data'!$B$118:$B$121</c:f>
              <c:strCache>
                <c:ptCount val="4"/>
                <c:pt idx="0">
                  <c:v>Asian</c:v>
                </c:pt>
                <c:pt idx="1">
                  <c:v>Māori</c:v>
                </c:pt>
                <c:pt idx="2">
                  <c:v>Other</c:v>
                </c:pt>
                <c:pt idx="3">
                  <c:v>Pacific</c:v>
                </c:pt>
              </c:strCache>
            </c:strRef>
          </c:cat>
          <c:val>
            <c:numRef>
              <c:f>'Special patient data'!$E$118:$E$121</c:f>
              <c:numCache>
                <c:formatCode>General</c:formatCode>
                <c:ptCount val="4"/>
                <c:pt idx="0">
                  <c:v>9</c:v>
                </c:pt>
                <c:pt idx="1">
                  <c:v>135</c:v>
                </c:pt>
                <c:pt idx="2">
                  <c:v>77</c:v>
                </c:pt>
                <c:pt idx="3">
                  <c:v>30</c:v>
                </c:pt>
              </c:numCache>
            </c:numRef>
          </c:val>
          <c:extLst>
            <c:ext xmlns:c16="http://schemas.microsoft.com/office/drawing/2014/chart" uri="{C3380CC4-5D6E-409C-BE32-E72D297353CC}">
              <c16:uniqueId val="{00000002-9211-4131-BB12-5501476748A2}"/>
            </c:ext>
          </c:extLst>
        </c:ser>
        <c:dLbls>
          <c:showLegendKey val="0"/>
          <c:showVal val="0"/>
          <c:showCatName val="0"/>
          <c:showSerName val="0"/>
          <c:showPercent val="0"/>
          <c:showBubbleSize val="0"/>
        </c:dLbls>
        <c:gapWidth val="219"/>
        <c:overlap val="-27"/>
        <c:axId val="526512488"/>
        <c:axId val="526513272"/>
      </c:barChart>
      <c:catAx>
        <c:axId val="52651248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Ethnicity</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6513272"/>
        <c:crosses val="autoZero"/>
        <c:auto val="1"/>
        <c:lblAlgn val="ctr"/>
        <c:lblOffset val="100"/>
        <c:noMultiLvlLbl val="0"/>
      </c:catAx>
      <c:valAx>
        <c:axId val="526513272"/>
        <c:scaling>
          <c:orientation val="minMax"/>
          <c:max val="200"/>
        </c:scaling>
        <c:delete val="0"/>
        <c:axPos val="l"/>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NZ"/>
                  <a:t>Number</a:t>
                </a:r>
              </a:p>
            </c:rich>
          </c:tx>
          <c:layout>
            <c:manualLayout>
              <c:xMode val="edge"/>
              <c:yMode val="edge"/>
              <c:x val="0"/>
              <c:y val="1.9768657236429576E-3"/>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6512488"/>
        <c:crosses val="autoZero"/>
        <c:crossBetween val="between"/>
      </c:valAx>
      <c:spPr>
        <a:noFill/>
        <a:ln>
          <a:noFill/>
        </a:ln>
        <a:effectLst/>
      </c:spPr>
    </c:plotArea>
    <c:legend>
      <c:legendPos val="r"/>
      <c:layout>
        <c:manualLayout>
          <c:xMode val="edge"/>
          <c:yMode val="edge"/>
          <c:x val="0.57195155947575338"/>
          <c:y val="3.1774789213295375E-3"/>
          <c:w val="0.42489685009608147"/>
          <c:h val="0.2162497386941676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0.12962962962962962"/>
          <c:w val="0.92075244407085277"/>
          <c:h val="0.71773158568037398"/>
        </c:manualLayout>
      </c:layout>
      <c:barChart>
        <c:barDir val="col"/>
        <c:grouping val="clustered"/>
        <c:varyColors val="0"/>
        <c:ser>
          <c:idx val="0"/>
          <c:order val="0"/>
          <c:tx>
            <c:v>Total special patients</c:v>
          </c:tx>
          <c:spPr>
            <a:solidFill>
              <a:schemeClr val="accent1"/>
            </a:solidFill>
            <a:ln>
              <a:noFill/>
            </a:ln>
            <a:effectLst/>
          </c:spPr>
          <c:invertIfNegative val="0"/>
          <c:cat>
            <c:strRef>
              <c:f>'Special patient data'!$B$122:$B$125</c:f>
              <c:strCache>
                <c:ptCount val="4"/>
                <c:pt idx="0">
                  <c:v>Asian</c:v>
                </c:pt>
                <c:pt idx="1">
                  <c:v>Māori</c:v>
                </c:pt>
                <c:pt idx="2">
                  <c:v>Other</c:v>
                </c:pt>
                <c:pt idx="3">
                  <c:v>Pacific</c:v>
                </c:pt>
              </c:strCache>
            </c:strRef>
          </c:cat>
          <c:val>
            <c:numRef>
              <c:f>'Special patient data'!$C$122:$C$125</c:f>
              <c:numCache>
                <c:formatCode>General</c:formatCode>
                <c:ptCount val="4"/>
                <c:pt idx="0">
                  <c:v>15</c:v>
                </c:pt>
                <c:pt idx="1">
                  <c:v>197</c:v>
                </c:pt>
                <c:pt idx="2">
                  <c:v>133</c:v>
                </c:pt>
                <c:pt idx="3">
                  <c:v>58</c:v>
                </c:pt>
              </c:numCache>
            </c:numRef>
          </c:val>
          <c:extLst>
            <c:ext xmlns:c16="http://schemas.microsoft.com/office/drawing/2014/chart" uri="{C3380CC4-5D6E-409C-BE32-E72D297353CC}">
              <c16:uniqueId val="{00000000-4A46-4E5D-AED3-F6C7E5D8141A}"/>
            </c:ext>
          </c:extLst>
        </c:ser>
        <c:ser>
          <c:idx val="1"/>
          <c:order val="1"/>
          <c:tx>
            <c:v>EFC special patients</c:v>
          </c:tx>
          <c:spPr>
            <a:solidFill>
              <a:schemeClr val="accent3"/>
            </a:solidFill>
            <a:ln>
              <a:noFill/>
            </a:ln>
            <a:effectLst/>
          </c:spPr>
          <c:invertIfNegative val="0"/>
          <c:cat>
            <c:strRef>
              <c:f>'Special patient data'!$B$122:$B$125</c:f>
              <c:strCache>
                <c:ptCount val="4"/>
                <c:pt idx="0">
                  <c:v>Asian</c:v>
                </c:pt>
                <c:pt idx="1">
                  <c:v>Māori</c:v>
                </c:pt>
                <c:pt idx="2">
                  <c:v>Other</c:v>
                </c:pt>
                <c:pt idx="3">
                  <c:v>Pacific</c:v>
                </c:pt>
              </c:strCache>
            </c:strRef>
          </c:cat>
          <c:val>
            <c:numRef>
              <c:f>'Special patient data'!$D$122:$D$125</c:f>
              <c:numCache>
                <c:formatCode>General</c:formatCode>
                <c:ptCount val="4"/>
                <c:pt idx="0">
                  <c:v>7</c:v>
                </c:pt>
                <c:pt idx="1">
                  <c:v>71</c:v>
                </c:pt>
                <c:pt idx="2">
                  <c:v>62</c:v>
                </c:pt>
                <c:pt idx="3">
                  <c:v>25</c:v>
                </c:pt>
              </c:numCache>
            </c:numRef>
          </c:val>
          <c:extLst>
            <c:ext xmlns:c16="http://schemas.microsoft.com/office/drawing/2014/chart" uri="{C3380CC4-5D6E-409C-BE32-E72D297353CC}">
              <c16:uniqueId val="{00000001-4A46-4E5D-AED3-F6C7E5D8141A}"/>
            </c:ext>
          </c:extLst>
        </c:ser>
        <c:ser>
          <c:idx val="2"/>
          <c:order val="2"/>
          <c:tx>
            <c:v>SFC special patients</c:v>
          </c:tx>
          <c:spPr>
            <a:solidFill>
              <a:schemeClr val="accent5"/>
            </a:solidFill>
            <a:ln>
              <a:noFill/>
            </a:ln>
            <a:effectLst/>
          </c:spPr>
          <c:invertIfNegative val="0"/>
          <c:cat>
            <c:strRef>
              <c:f>'Special patient data'!$B$122:$B$125</c:f>
              <c:strCache>
                <c:ptCount val="4"/>
                <c:pt idx="0">
                  <c:v>Asian</c:v>
                </c:pt>
                <c:pt idx="1">
                  <c:v>Māori</c:v>
                </c:pt>
                <c:pt idx="2">
                  <c:v>Other</c:v>
                </c:pt>
                <c:pt idx="3">
                  <c:v>Pacific</c:v>
                </c:pt>
              </c:strCache>
            </c:strRef>
          </c:cat>
          <c:val>
            <c:numRef>
              <c:f>'Special patient data'!$E$122:$E$125</c:f>
              <c:numCache>
                <c:formatCode>General</c:formatCode>
                <c:ptCount val="4"/>
                <c:pt idx="0">
                  <c:v>9</c:v>
                </c:pt>
                <c:pt idx="1">
                  <c:v>136</c:v>
                </c:pt>
                <c:pt idx="2">
                  <c:v>75</c:v>
                </c:pt>
                <c:pt idx="3">
                  <c:v>36</c:v>
                </c:pt>
              </c:numCache>
            </c:numRef>
          </c:val>
          <c:extLst>
            <c:ext xmlns:c16="http://schemas.microsoft.com/office/drawing/2014/chart" uri="{C3380CC4-5D6E-409C-BE32-E72D297353CC}">
              <c16:uniqueId val="{00000002-4A46-4E5D-AED3-F6C7E5D8141A}"/>
            </c:ext>
          </c:extLst>
        </c:ser>
        <c:dLbls>
          <c:showLegendKey val="0"/>
          <c:showVal val="0"/>
          <c:showCatName val="0"/>
          <c:showSerName val="0"/>
          <c:showPercent val="0"/>
          <c:showBubbleSize val="0"/>
        </c:dLbls>
        <c:gapWidth val="219"/>
        <c:overlap val="-27"/>
        <c:axId val="526512488"/>
        <c:axId val="526513272"/>
      </c:barChart>
      <c:catAx>
        <c:axId val="52651248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Ethnicity</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6513272"/>
        <c:crosses val="autoZero"/>
        <c:auto val="1"/>
        <c:lblAlgn val="ctr"/>
        <c:lblOffset val="100"/>
        <c:noMultiLvlLbl val="0"/>
      </c:catAx>
      <c:valAx>
        <c:axId val="526513272"/>
        <c:scaling>
          <c:orientation val="minMax"/>
          <c:max val="200"/>
        </c:scaling>
        <c:delete val="0"/>
        <c:axPos val="l"/>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NZ"/>
                  <a:t>Number</a:t>
                </a:r>
              </a:p>
            </c:rich>
          </c:tx>
          <c:layout>
            <c:manualLayout>
              <c:xMode val="edge"/>
              <c:yMode val="edge"/>
              <c:x val="0"/>
              <c:y val="4.1648347256085161E-3"/>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6512488"/>
        <c:crosses val="autoZero"/>
        <c:crossBetween val="between"/>
      </c:valAx>
      <c:spPr>
        <a:noFill/>
        <a:ln>
          <a:noFill/>
        </a:ln>
        <a:effectLst/>
      </c:spPr>
    </c:plotArea>
    <c:legend>
      <c:legendPos val="r"/>
      <c:layout>
        <c:manualLayout>
          <c:xMode val="edge"/>
          <c:yMode val="edge"/>
          <c:x val="0.63998734125728285"/>
          <c:y val="4.0514663401269545E-3"/>
          <c:w val="0.35686106831455183"/>
          <c:h val="0.2206745768878302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845095845043473E-2"/>
          <c:y val="0.15587040165694158"/>
          <c:w val="0.90836058430823052"/>
          <c:h val="0.62186879432052988"/>
        </c:manualLayout>
      </c:layout>
      <c:lineChart>
        <c:grouping val="standard"/>
        <c:varyColors val="0"/>
        <c:ser>
          <c:idx val="2"/>
          <c:order val="0"/>
          <c:tx>
            <c:strRef>
              <c:f>ECT!$F$7</c:f>
              <c:strCache>
                <c:ptCount val="1"/>
                <c:pt idx="0">
                  <c:v>Rate per 100,000 population</c:v>
                </c:pt>
              </c:strCache>
            </c:strRef>
          </c:tx>
          <c:spPr>
            <a:ln w="19050" cap="rnd" cmpd="sng" algn="ctr">
              <a:solidFill>
                <a:schemeClr val="accent5"/>
              </a:solidFill>
              <a:prstDash val="solid"/>
              <a:round/>
            </a:ln>
            <a:effectLst/>
          </c:spPr>
          <c:marker>
            <c:symbol val="none"/>
          </c:marker>
          <c:cat>
            <c:numRef>
              <c:f>ECT!$C$8:$C$22</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ECT!$F$8:$F$22</c:f>
              <c:numCache>
                <c:formatCode>_-* #,##0.0_-;\-* #,##0.0_-;_-* "-"??_-;_-@_-</c:formatCode>
                <c:ptCount val="15"/>
                <c:pt idx="0">
                  <c:v>7.4915140911231664</c:v>
                </c:pt>
                <c:pt idx="1">
                  <c:v>5.3535749452692567</c:v>
                </c:pt>
                <c:pt idx="2">
                  <c:v>5.2745173402714132</c:v>
                </c:pt>
                <c:pt idx="3">
                  <c:v>4.7558080012369786</c:v>
                </c:pt>
                <c:pt idx="4">
                  <c:v>5.0443062103080516</c:v>
                </c:pt>
                <c:pt idx="5">
                  <c:v>5.4023236888445458</c:v>
                </c:pt>
                <c:pt idx="6">
                  <c:v>6.5065657163137347</c:v>
                </c:pt>
                <c:pt idx="7">
                  <c:v>5.9892013569496205</c:v>
                </c:pt>
                <c:pt idx="8">
                  <c:v>5.6529617721253125</c:v>
                </c:pt>
                <c:pt idx="9">
                  <c:v>5.4250779168579353</c:v>
                </c:pt>
                <c:pt idx="10">
                  <c:v>4.8504446240905414</c:v>
                </c:pt>
                <c:pt idx="11">
                  <c:v>5.3228092981632074</c:v>
                </c:pt>
                <c:pt idx="12">
                  <c:v>5.4774700289375771</c:v>
                </c:pt>
                <c:pt idx="13">
                  <c:v>5.3804976249671332</c:v>
                </c:pt>
                <c:pt idx="14">
                  <c:v>4.9483553282678336</c:v>
                </c:pt>
              </c:numCache>
            </c:numRef>
          </c:val>
          <c:smooth val="0"/>
          <c:extLst>
            <c:ext xmlns:c16="http://schemas.microsoft.com/office/drawing/2014/chart" uri="{C3380CC4-5D6E-409C-BE32-E72D297353CC}">
              <c16:uniqueId val="{00000000-30D6-4095-8E28-B6FB6069950B}"/>
            </c:ext>
          </c:extLst>
        </c:ser>
        <c:dLbls>
          <c:showLegendKey val="0"/>
          <c:showVal val="0"/>
          <c:showCatName val="0"/>
          <c:showSerName val="0"/>
          <c:showPercent val="0"/>
          <c:showBubbleSize val="0"/>
        </c:dLbls>
        <c:smooth val="0"/>
        <c:axId val="208336576"/>
        <c:axId val="208340888"/>
      </c:lineChart>
      <c:catAx>
        <c:axId val="20833657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NZ"/>
                  <a:t>Year</a:t>
                </a:r>
              </a:p>
            </c:rich>
          </c:tx>
          <c:layout>
            <c:manualLayout>
              <c:xMode val="edge"/>
              <c:yMode val="edge"/>
              <c:x val="0.52145933296712754"/>
              <c:y val="0.921435715401600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208340888"/>
        <c:crosses val="autoZero"/>
        <c:auto val="1"/>
        <c:lblAlgn val="ctr"/>
        <c:lblOffset val="100"/>
        <c:noMultiLvlLbl val="0"/>
      </c:catAx>
      <c:valAx>
        <c:axId val="208340888"/>
        <c:scaling>
          <c:orientation val="minMax"/>
        </c:scaling>
        <c:delete val="0"/>
        <c:axPos val="l"/>
        <c:majorGridlines>
          <c:spPr>
            <a:ln w="6350" cap="flat" cmpd="sng" algn="ctr">
              <a:noFill/>
              <a:prstDash val="solid"/>
              <a:round/>
            </a:ln>
            <a:effectLst/>
          </c:spPr>
        </c:majorGridlines>
        <c:title>
          <c:tx>
            <c:rich>
              <a:bodyPr rot="0" spcFirstLastPara="1" vertOverflow="ellipsis" wrap="square" anchor="ctr" anchorCtr="1"/>
              <a:lstStyle/>
              <a:p>
                <a:pPr>
                  <a:defRPr sz="900" b="0" i="0" u="none" strike="noStrike" kern="1200" baseline="0">
                    <a:solidFill>
                      <a:schemeClr val="tx1"/>
                    </a:solidFill>
                    <a:latin typeface="+mn-lt"/>
                    <a:ea typeface="+mn-ea"/>
                    <a:cs typeface="+mn-cs"/>
                  </a:defRPr>
                </a:pPr>
                <a:r>
                  <a:rPr lang="en-NZ"/>
                  <a:t>Rate per 100,000 population</a:t>
                </a:r>
              </a:p>
            </c:rich>
          </c:tx>
          <c:layout>
            <c:manualLayout>
              <c:xMode val="edge"/>
              <c:yMode val="edge"/>
              <c:x val="0"/>
              <c:y val="3.7039601999023859E-3"/>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title>
        <c:numFmt formatCode="_-* #,##0.0_-;\-* #,##0.0_-;_-* &quot;-&quot;??_-;_-@_-"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8336576"/>
        <c:crosses val="autoZero"/>
        <c:crossBetween val="midCat"/>
      </c:valAx>
      <c:spPr>
        <a:solidFill>
          <a:schemeClr val="bg1"/>
        </a:solidFill>
        <a:ln>
          <a:noFill/>
        </a:ln>
        <a:effectLst/>
      </c:spPr>
    </c:plotArea>
    <c:plotVisOnly val="1"/>
    <c:dispBlanksAs val="gap"/>
    <c:showDLblsOverMax val="0"/>
  </c:chart>
  <c:spPr>
    <a:noFill/>
    <a:ln w="6350" cap="flat" cmpd="sng" algn="ctr">
      <a:noFill/>
      <a:prstDash val="solid"/>
      <a:round/>
    </a:ln>
    <a:effectLst/>
  </c:spPr>
  <c:txPr>
    <a:bodyPr/>
    <a:lstStyle/>
    <a:p>
      <a:pPr>
        <a:defRPr sz="900" b="0"/>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714883163424664E-2"/>
          <c:y val="0.10070680849609358"/>
          <c:w val="0.79434860970320198"/>
          <c:h val="0.67772015132789698"/>
        </c:manualLayout>
      </c:layout>
      <c:barChart>
        <c:barDir val="col"/>
        <c:grouping val="stacked"/>
        <c:varyColors val="0"/>
        <c:ser>
          <c:idx val="0"/>
          <c:order val="0"/>
          <c:tx>
            <c:strRef>
              <c:f>ECT!$C$196</c:f>
              <c:strCache>
                <c:ptCount val="1"/>
                <c:pt idx="0">
                  <c:v>Female</c:v>
                </c:pt>
              </c:strCache>
            </c:strRef>
          </c:tx>
          <c:spPr>
            <a:solidFill>
              <a:schemeClr val="accent1"/>
            </a:solidFill>
            <a:ln>
              <a:noFill/>
            </a:ln>
            <a:effectLst/>
          </c:spPr>
          <c:invertIfNegative val="0"/>
          <c:cat>
            <c:strRef>
              <c:f>ECT!$B$197:$B$214</c:f>
              <c:strCache>
                <c:ptCount val="18"/>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70–74</c:v>
                </c:pt>
                <c:pt idx="13">
                  <c:v>75–79</c:v>
                </c:pt>
                <c:pt idx="14">
                  <c:v>80–84</c:v>
                </c:pt>
                <c:pt idx="15">
                  <c:v>85–89</c:v>
                </c:pt>
                <c:pt idx="16">
                  <c:v>90–95</c:v>
                </c:pt>
                <c:pt idx="17">
                  <c:v>95+</c:v>
                </c:pt>
              </c:strCache>
            </c:strRef>
          </c:cat>
          <c:val>
            <c:numRef>
              <c:f>ECT!$C$197:$C$214</c:f>
              <c:numCache>
                <c:formatCode>General</c:formatCode>
                <c:ptCount val="18"/>
                <c:pt idx="0">
                  <c:v>0</c:v>
                </c:pt>
                <c:pt idx="1">
                  <c:v>5</c:v>
                </c:pt>
                <c:pt idx="2">
                  <c:v>10</c:v>
                </c:pt>
                <c:pt idx="3">
                  <c:v>8</c:v>
                </c:pt>
                <c:pt idx="4">
                  <c:v>10</c:v>
                </c:pt>
                <c:pt idx="5">
                  <c:v>12</c:v>
                </c:pt>
                <c:pt idx="6">
                  <c:v>16</c:v>
                </c:pt>
                <c:pt idx="7">
                  <c:v>8</c:v>
                </c:pt>
                <c:pt idx="8">
                  <c:v>12</c:v>
                </c:pt>
                <c:pt idx="9">
                  <c:v>12</c:v>
                </c:pt>
                <c:pt idx="10">
                  <c:v>6</c:v>
                </c:pt>
                <c:pt idx="11">
                  <c:v>30</c:v>
                </c:pt>
                <c:pt idx="12">
                  <c:v>16</c:v>
                </c:pt>
                <c:pt idx="13">
                  <c:v>7</c:v>
                </c:pt>
                <c:pt idx="14">
                  <c:v>6</c:v>
                </c:pt>
                <c:pt idx="15">
                  <c:v>4</c:v>
                </c:pt>
                <c:pt idx="16">
                  <c:v>0</c:v>
                </c:pt>
                <c:pt idx="17">
                  <c:v>0</c:v>
                </c:pt>
              </c:numCache>
            </c:numRef>
          </c:val>
          <c:extLst>
            <c:ext xmlns:c16="http://schemas.microsoft.com/office/drawing/2014/chart" uri="{C3380CC4-5D6E-409C-BE32-E72D297353CC}">
              <c16:uniqueId val="{00000000-81EF-43A4-9770-600900BA8B3D}"/>
            </c:ext>
          </c:extLst>
        </c:ser>
        <c:ser>
          <c:idx val="1"/>
          <c:order val="1"/>
          <c:tx>
            <c:strRef>
              <c:f>ECT!$D$196</c:f>
              <c:strCache>
                <c:ptCount val="1"/>
                <c:pt idx="0">
                  <c:v>Male</c:v>
                </c:pt>
              </c:strCache>
            </c:strRef>
          </c:tx>
          <c:spPr>
            <a:solidFill>
              <a:schemeClr val="accent3"/>
            </a:solidFill>
            <a:ln>
              <a:noFill/>
            </a:ln>
            <a:effectLst/>
          </c:spPr>
          <c:invertIfNegative val="0"/>
          <c:cat>
            <c:strRef>
              <c:f>ECT!$B$197:$B$214</c:f>
              <c:strCache>
                <c:ptCount val="18"/>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70–74</c:v>
                </c:pt>
                <c:pt idx="13">
                  <c:v>75–79</c:v>
                </c:pt>
                <c:pt idx="14">
                  <c:v>80–84</c:v>
                </c:pt>
                <c:pt idx="15">
                  <c:v>85–89</c:v>
                </c:pt>
                <c:pt idx="16">
                  <c:v>90–95</c:v>
                </c:pt>
                <c:pt idx="17">
                  <c:v>95+</c:v>
                </c:pt>
              </c:strCache>
            </c:strRef>
          </c:cat>
          <c:val>
            <c:numRef>
              <c:f>ECT!$D$197:$D$214</c:f>
              <c:numCache>
                <c:formatCode>General</c:formatCode>
                <c:ptCount val="18"/>
                <c:pt idx="0">
                  <c:v>0</c:v>
                </c:pt>
                <c:pt idx="1">
                  <c:v>2</c:v>
                </c:pt>
                <c:pt idx="2">
                  <c:v>4</c:v>
                </c:pt>
                <c:pt idx="3">
                  <c:v>10</c:v>
                </c:pt>
                <c:pt idx="4">
                  <c:v>4</c:v>
                </c:pt>
                <c:pt idx="5">
                  <c:v>2</c:v>
                </c:pt>
                <c:pt idx="6">
                  <c:v>6</c:v>
                </c:pt>
                <c:pt idx="7">
                  <c:v>6</c:v>
                </c:pt>
                <c:pt idx="8">
                  <c:v>11</c:v>
                </c:pt>
                <c:pt idx="9">
                  <c:v>11</c:v>
                </c:pt>
                <c:pt idx="10">
                  <c:v>16</c:v>
                </c:pt>
                <c:pt idx="11">
                  <c:v>10</c:v>
                </c:pt>
                <c:pt idx="12">
                  <c:v>8</c:v>
                </c:pt>
                <c:pt idx="13">
                  <c:v>7</c:v>
                </c:pt>
                <c:pt idx="14">
                  <c:v>4</c:v>
                </c:pt>
                <c:pt idx="15">
                  <c:v>2</c:v>
                </c:pt>
                <c:pt idx="16">
                  <c:v>0</c:v>
                </c:pt>
                <c:pt idx="17">
                  <c:v>0</c:v>
                </c:pt>
              </c:numCache>
            </c:numRef>
          </c:val>
          <c:extLst>
            <c:ext xmlns:c16="http://schemas.microsoft.com/office/drawing/2014/chart" uri="{C3380CC4-5D6E-409C-BE32-E72D297353CC}">
              <c16:uniqueId val="{00000001-81EF-43A4-9770-600900BA8B3D}"/>
            </c:ext>
          </c:extLst>
        </c:ser>
        <c:dLbls>
          <c:showLegendKey val="0"/>
          <c:showVal val="0"/>
          <c:showCatName val="0"/>
          <c:showSerName val="0"/>
          <c:showPercent val="0"/>
          <c:showBubbleSize val="0"/>
        </c:dLbls>
        <c:gapWidth val="150"/>
        <c:overlap val="100"/>
        <c:axId val="207479184"/>
        <c:axId val="207479576"/>
      </c:barChart>
      <c:catAx>
        <c:axId val="2074791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NZ"/>
                  <a:t>Age group (years)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207479576"/>
        <c:crosses val="autoZero"/>
        <c:auto val="1"/>
        <c:lblAlgn val="ctr"/>
        <c:lblOffset val="100"/>
        <c:noMultiLvlLbl val="0"/>
      </c:catAx>
      <c:valAx>
        <c:axId val="207479576"/>
        <c:scaling>
          <c:orientation val="minMax"/>
        </c:scaling>
        <c:delete val="0"/>
        <c:axPos val="l"/>
        <c:majorGridlines>
          <c:spPr>
            <a:ln w="6350" cap="flat" cmpd="sng" algn="ctr">
              <a:noFill/>
              <a:prstDash val="solid"/>
              <a:round/>
            </a:ln>
            <a:effectLst/>
          </c:spPr>
        </c:majorGridlines>
        <c:title>
          <c:tx>
            <c:rich>
              <a:bodyPr rot="0" spcFirstLastPara="1" vertOverflow="ellipsis" wrap="square" anchor="ctr" anchorCtr="1"/>
              <a:lstStyle/>
              <a:p>
                <a:pPr>
                  <a:defRPr sz="900" b="0" i="0" u="none" strike="noStrike" kern="1200" baseline="0">
                    <a:solidFill>
                      <a:schemeClr val="tx1"/>
                    </a:solidFill>
                    <a:latin typeface="+mn-lt"/>
                    <a:ea typeface="+mn-ea"/>
                    <a:cs typeface="+mn-cs"/>
                  </a:defRPr>
                </a:pPr>
                <a:r>
                  <a:rPr lang="en-NZ"/>
                  <a:t>Number of people</a:t>
                </a:r>
              </a:p>
            </c:rich>
          </c:tx>
          <c:layout>
            <c:manualLayout>
              <c:xMode val="edge"/>
              <c:yMode val="edge"/>
              <c:x val="0"/>
              <c:y val="3.2355962358714741E-3"/>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7479184"/>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b="0"/>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219647178492228E-2"/>
          <c:y val="0.10164315791461319"/>
          <c:w val="0.79984384568813449"/>
          <c:h val="0.66528333238920678"/>
        </c:manualLayout>
      </c:layout>
      <c:barChart>
        <c:barDir val="col"/>
        <c:grouping val="stacked"/>
        <c:varyColors val="0"/>
        <c:ser>
          <c:idx val="0"/>
          <c:order val="0"/>
          <c:tx>
            <c:strRef>
              <c:f>ECT!$C$199</c:f>
              <c:strCache>
                <c:ptCount val="1"/>
                <c:pt idx="0">
                  <c:v>Female</c:v>
                </c:pt>
              </c:strCache>
            </c:strRef>
          </c:tx>
          <c:spPr>
            <a:solidFill>
              <a:schemeClr val="accent1"/>
            </a:solidFill>
            <a:ln>
              <a:noFill/>
            </a:ln>
            <a:effectLst/>
          </c:spPr>
          <c:invertIfNegative val="0"/>
          <c:cat>
            <c:strRef>
              <c:f>ECT!$B$200:$B$217</c:f>
              <c:strCache>
                <c:ptCount val="18"/>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70–74</c:v>
                </c:pt>
                <c:pt idx="13">
                  <c:v>75–79</c:v>
                </c:pt>
                <c:pt idx="14">
                  <c:v>80–84</c:v>
                </c:pt>
                <c:pt idx="15">
                  <c:v>85–89</c:v>
                </c:pt>
                <c:pt idx="16">
                  <c:v>90–95</c:v>
                </c:pt>
                <c:pt idx="17">
                  <c:v>95+</c:v>
                </c:pt>
              </c:strCache>
            </c:strRef>
          </c:cat>
          <c:val>
            <c:numRef>
              <c:f>ECT!$C$200:$C$217</c:f>
              <c:numCache>
                <c:formatCode>_-* #,##0_-;\-* #,##0_-;_-* "-"??_-;_-@_-</c:formatCode>
                <c:ptCount val="18"/>
                <c:pt idx="0">
                  <c:v>0</c:v>
                </c:pt>
                <c:pt idx="1">
                  <c:v>6</c:v>
                </c:pt>
                <c:pt idx="2">
                  <c:v>2</c:v>
                </c:pt>
                <c:pt idx="3">
                  <c:v>8</c:v>
                </c:pt>
                <c:pt idx="4">
                  <c:v>10</c:v>
                </c:pt>
                <c:pt idx="5">
                  <c:v>10</c:v>
                </c:pt>
                <c:pt idx="6">
                  <c:v>11</c:v>
                </c:pt>
                <c:pt idx="7">
                  <c:v>7</c:v>
                </c:pt>
                <c:pt idx="8">
                  <c:v>17</c:v>
                </c:pt>
                <c:pt idx="9">
                  <c:v>20</c:v>
                </c:pt>
                <c:pt idx="10">
                  <c:v>14</c:v>
                </c:pt>
                <c:pt idx="11">
                  <c:v>22</c:v>
                </c:pt>
                <c:pt idx="12">
                  <c:v>13</c:v>
                </c:pt>
                <c:pt idx="13">
                  <c:v>9</c:v>
                </c:pt>
                <c:pt idx="14">
                  <c:v>3</c:v>
                </c:pt>
                <c:pt idx="15">
                  <c:v>5</c:v>
                </c:pt>
                <c:pt idx="16">
                  <c:v>1</c:v>
                </c:pt>
                <c:pt idx="17">
                  <c:v>0</c:v>
                </c:pt>
              </c:numCache>
            </c:numRef>
          </c:val>
          <c:extLst>
            <c:ext xmlns:c16="http://schemas.microsoft.com/office/drawing/2014/chart" uri="{C3380CC4-5D6E-409C-BE32-E72D297353CC}">
              <c16:uniqueId val="{00000000-8027-4152-8E73-0652F6578259}"/>
            </c:ext>
          </c:extLst>
        </c:ser>
        <c:ser>
          <c:idx val="1"/>
          <c:order val="1"/>
          <c:tx>
            <c:strRef>
              <c:f>ECT!$D$199</c:f>
              <c:strCache>
                <c:ptCount val="1"/>
                <c:pt idx="0">
                  <c:v>Male</c:v>
                </c:pt>
              </c:strCache>
            </c:strRef>
          </c:tx>
          <c:spPr>
            <a:solidFill>
              <a:schemeClr val="accent3"/>
            </a:solidFill>
            <a:ln>
              <a:noFill/>
            </a:ln>
            <a:effectLst/>
          </c:spPr>
          <c:invertIfNegative val="0"/>
          <c:cat>
            <c:strRef>
              <c:f>ECT!$B$200:$B$217</c:f>
              <c:strCache>
                <c:ptCount val="18"/>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70–74</c:v>
                </c:pt>
                <c:pt idx="13">
                  <c:v>75–79</c:v>
                </c:pt>
                <c:pt idx="14">
                  <c:v>80–84</c:v>
                </c:pt>
                <c:pt idx="15">
                  <c:v>85–89</c:v>
                </c:pt>
                <c:pt idx="16">
                  <c:v>90–95</c:v>
                </c:pt>
                <c:pt idx="17">
                  <c:v>95+</c:v>
                </c:pt>
              </c:strCache>
            </c:strRef>
          </c:cat>
          <c:val>
            <c:numRef>
              <c:f>ECT!$D$200:$D$217</c:f>
              <c:numCache>
                <c:formatCode>_-* #,##0_-;\-* #,##0_-;_-* "-"??_-;_-@_-</c:formatCode>
                <c:ptCount val="18"/>
                <c:pt idx="0">
                  <c:v>0</c:v>
                </c:pt>
                <c:pt idx="1">
                  <c:v>1</c:v>
                </c:pt>
                <c:pt idx="2">
                  <c:v>3</c:v>
                </c:pt>
                <c:pt idx="3">
                  <c:v>5</c:v>
                </c:pt>
                <c:pt idx="4">
                  <c:v>4</c:v>
                </c:pt>
                <c:pt idx="5">
                  <c:v>3</c:v>
                </c:pt>
                <c:pt idx="6">
                  <c:v>8</c:v>
                </c:pt>
                <c:pt idx="7">
                  <c:v>7</c:v>
                </c:pt>
                <c:pt idx="8">
                  <c:v>6</c:v>
                </c:pt>
                <c:pt idx="9">
                  <c:v>9</c:v>
                </c:pt>
                <c:pt idx="10">
                  <c:v>13</c:v>
                </c:pt>
                <c:pt idx="11">
                  <c:v>6</c:v>
                </c:pt>
                <c:pt idx="12">
                  <c:v>10</c:v>
                </c:pt>
                <c:pt idx="13">
                  <c:v>5</c:v>
                </c:pt>
                <c:pt idx="14">
                  <c:v>7</c:v>
                </c:pt>
                <c:pt idx="15">
                  <c:v>1</c:v>
                </c:pt>
                <c:pt idx="16">
                  <c:v>0</c:v>
                </c:pt>
                <c:pt idx="17">
                  <c:v>0</c:v>
                </c:pt>
              </c:numCache>
            </c:numRef>
          </c:val>
          <c:extLst>
            <c:ext xmlns:c16="http://schemas.microsoft.com/office/drawing/2014/chart" uri="{C3380CC4-5D6E-409C-BE32-E72D297353CC}">
              <c16:uniqueId val="{00000001-8027-4152-8E73-0652F6578259}"/>
            </c:ext>
          </c:extLst>
        </c:ser>
        <c:dLbls>
          <c:showLegendKey val="0"/>
          <c:showVal val="0"/>
          <c:showCatName val="0"/>
          <c:showSerName val="0"/>
          <c:showPercent val="0"/>
          <c:showBubbleSize val="0"/>
        </c:dLbls>
        <c:gapWidth val="150"/>
        <c:overlap val="100"/>
        <c:axId val="207479184"/>
        <c:axId val="207479576"/>
      </c:barChart>
      <c:catAx>
        <c:axId val="2074791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NZ"/>
                  <a:t>Age group (years)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207479576"/>
        <c:crosses val="autoZero"/>
        <c:auto val="1"/>
        <c:lblAlgn val="ctr"/>
        <c:lblOffset val="100"/>
        <c:noMultiLvlLbl val="0"/>
      </c:catAx>
      <c:valAx>
        <c:axId val="207479576"/>
        <c:scaling>
          <c:orientation val="minMax"/>
        </c:scaling>
        <c:delete val="0"/>
        <c:axPos val="l"/>
        <c:majorGridlines>
          <c:spPr>
            <a:ln w="6350" cap="flat" cmpd="sng" algn="ctr">
              <a:noFill/>
              <a:prstDash val="solid"/>
              <a:round/>
            </a:ln>
            <a:effectLst/>
          </c:spPr>
        </c:majorGridlines>
        <c:title>
          <c:tx>
            <c:rich>
              <a:bodyPr rot="0" spcFirstLastPara="1" vertOverflow="ellipsis" wrap="square" anchor="ctr" anchorCtr="1"/>
              <a:lstStyle/>
              <a:p>
                <a:pPr>
                  <a:defRPr sz="900" b="0" i="0" u="none" strike="noStrike" kern="1200" baseline="0">
                    <a:solidFill>
                      <a:schemeClr val="tx1"/>
                    </a:solidFill>
                    <a:latin typeface="+mn-lt"/>
                    <a:ea typeface="+mn-ea"/>
                    <a:cs typeface="+mn-cs"/>
                  </a:defRPr>
                </a:pPr>
                <a:r>
                  <a:rPr lang="en-NZ"/>
                  <a:t>Number of people</a:t>
                </a:r>
              </a:p>
            </c:rich>
          </c:tx>
          <c:layout>
            <c:manualLayout>
              <c:xMode val="edge"/>
              <c:yMode val="edge"/>
              <c:x val="0"/>
              <c:y val="3.2355983182021809E-3"/>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title>
        <c:numFmt formatCode="_-* #,##0_-;\-* #,##0_-;_-* &quot;-&quot;??_-;_-@_-"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7479184"/>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b="0"/>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Ethnicity!$F$3</c:f>
              <c:strCache>
                <c:ptCount val="1"/>
                <c:pt idx="0">
                  <c:v>Number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8B-4C7E-BB98-7938274813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8B-4C7E-BB98-79382748134A}"/>
              </c:ext>
            </c:extLst>
          </c:dPt>
          <c:dLbls>
            <c:dLbl>
              <c:idx val="0"/>
              <c:layout>
                <c:manualLayout>
                  <c:x val="7.433217189314742E-2"/>
                  <c:y val="-2.7676813930478244E-1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B8B-4C7E-BB98-79382748134A}"/>
                </c:ext>
              </c:extLst>
            </c:dLbl>
            <c:dLbl>
              <c:idx val="1"/>
              <c:layout>
                <c:manualLayout>
                  <c:x val="-8.3623693379790948E-2"/>
                  <c:y val="-5.314009661835748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405552964416034"/>
                      <c:h val="0.17539198904484768"/>
                    </c:manualLayout>
                  </c15:layout>
                </c:ext>
                <c:ext xmlns:c16="http://schemas.microsoft.com/office/drawing/2014/chart" uri="{C3380CC4-5D6E-409C-BE32-E72D297353CC}">
                  <c16:uniqueId val="{00000003-4B8B-4C7E-BB98-79382748134A}"/>
                </c:ext>
              </c:extLst>
            </c:dLbl>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Ethnicity!$E$4:$E$5</c:f>
              <c:strCache>
                <c:ptCount val="2"/>
                <c:pt idx="0">
                  <c:v>Māori</c:v>
                </c:pt>
                <c:pt idx="1">
                  <c:v>Non-Māori</c:v>
                </c:pt>
              </c:strCache>
            </c:strRef>
          </c:cat>
          <c:val>
            <c:numRef>
              <c:f>Ethnicity!$F$4:$F$5</c:f>
              <c:numCache>
                <c:formatCode>General</c:formatCode>
                <c:ptCount val="2"/>
                <c:pt idx="0">
                  <c:v>4</c:v>
                </c:pt>
                <c:pt idx="1">
                  <c:v>21</c:v>
                </c:pt>
              </c:numCache>
            </c:numRef>
          </c:val>
          <c:extLst>
            <c:ext xmlns:c16="http://schemas.microsoft.com/office/drawing/2014/chart" uri="{C3380CC4-5D6E-409C-BE32-E72D297353CC}">
              <c16:uniqueId val="{00000004-4B8B-4C7E-BB98-79382748134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442257217847762E-2"/>
          <c:y val="0.1388888888888889"/>
          <c:w val="0.75359725614887385"/>
          <c:h val="0.62716025080198312"/>
        </c:manualLayout>
      </c:layout>
      <c:lineChart>
        <c:grouping val="standard"/>
        <c:varyColors val="0"/>
        <c:ser>
          <c:idx val="0"/>
          <c:order val="0"/>
          <c:tx>
            <c:strRef>
              <c:f>Sheet1!$A$18</c:f>
              <c:strCache>
                <c:ptCount val="1"/>
                <c:pt idx="0">
                  <c:v>Female</c:v>
                </c:pt>
              </c:strCache>
            </c:strRef>
          </c:tx>
          <c:spPr>
            <a:ln w="28575" cap="rnd">
              <a:solidFill>
                <a:schemeClr val="accent1"/>
              </a:solidFill>
              <a:round/>
            </a:ln>
            <a:effectLst/>
          </c:spPr>
          <c:marker>
            <c:symbol val="none"/>
          </c:marker>
          <c:cat>
            <c:numRef>
              <c:f>Sheet1!$B$17:$Q$17</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Sheet1!$B$18:$Q$18</c:f>
              <c:numCache>
                <c:formatCode>_-* #,##0_-;\-* #,##0_-;_-* "-"??_-;_-@_-</c:formatCode>
                <c:ptCount val="16"/>
                <c:pt idx="0">
                  <c:v>68.338944138993142</c:v>
                </c:pt>
                <c:pt idx="1">
                  <c:v>68.485913801880727</c:v>
                </c:pt>
                <c:pt idx="2">
                  <c:v>65.258353326701382</c:v>
                </c:pt>
                <c:pt idx="3">
                  <c:v>69.003415390822269</c:v>
                </c:pt>
                <c:pt idx="4">
                  <c:v>69.556662475490825</c:v>
                </c:pt>
                <c:pt idx="5">
                  <c:v>67.84257428670881</c:v>
                </c:pt>
                <c:pt idx="6">
                  <c:v>68.659718207198466</c:v>
                </c:pt>
                <c:pt idx="7">
                  <c:v>70.833035778047559</c:v>
                </c:pt>
                <c:pt idx="8">
                  <c:v>67.981327322103695</c:v>
                </c:pt>
                <c:pt idx="9">
                  <c:v>68.904597531505999</c:v>
                </c:pt>
                <c:pt idx="10">
                  <c:v>72.360848698069361</c:v>
                </c:pt>
                <c:pt idx="11">
                  <c:v>73.701155903992074</c:v>
                </c:pt>
                <c:pt idx="12">
                  <c:v>73.152127247187494</c:v>
                </c:pt>
                <c:pt idx="13">
                  <c:v>73.985769722938926</c:v>
                </c:pt>
                <c:pt idx="14">
                  <c:v>74.618790951169174</c:v>
                </c:pt>
                <c:pt idx="15">
                  <c:v>75.630218703675013</c:v>
                </c:pt>
              </c:numCache>
            </c:numRef>
          </c:val>
          <c:smooth val="0"/>
          <c:extLst>
            <c:ext xmlns:c16="http://schemas.microsoft.com/office/drawing/2014/chart" uri="{C3380CC4-5D6E-409C-BE32-E72D297353CC}">
              <c16:uniqueId val="{00000000-C493-456F-B7D2-8FE4D920285D}"/>
            </c:ext>
          </c:extLst>
        </c:ser>
        <c:ser>
          <c:idx val="1"/>
          <c:order val="1"/>
          <c:tx>
            <c:strRef>
              <c:f>Sheet1!$A$19</c:f>
              <c:strCache>
                <c:ptCount val="1"/>
                <c:pt idx="0">
                  <c:v>Male</c:v>
                </c:pt>
              </c:strCache>
            </c:strRef>
          </c:tx>
          <c:spPr>
            <a:ln w="28575" cap="rnd">
              <a:solidFill>
                <a:schemeClr val="accent2"/>
              </a:solidFill>
              <a:round/>
            </a:ln>
            <a:effectLst/>
          </c:spPr>
          <c:marker>
            <c:symbol val="none"/>
          </c:marker>
          <c:cat>
            <c:numRef>
              <c:f>Sheet1!$B$17:$Q$17</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Sheet1!$B$19:$Q$19</c:f>
              <c:numCache>
                <c:formatCode>_-* #,##0_-;\-* #,##0_-;_-* "-"??_-;_-@_-</c:formatCode>
                <c:ptCount val="16"/>
                <c:pt idx="0">
                  <c:v>102.38819843939757</c:v>
                </c:pt>
                <c:pt idx="1">
                  <c:v>97.778042355602523</c:v>
                </c:pt>
                <c:pt idx="2">
                  <c:v>91.992412090849825</c:v>
                </c:pt>
                <c:pt idx="3">
                  <c:v>101.03960240699216</c:v>
                </c:pt>
                <c:pt idx="4">
                  <c:v>103.24571859927904</c:v>
                </c:pt>
                <c:pt idx="5">
                  <c:v>100.86628841808509</c:v>
                </c:pt>
                <c:pt idx="6">
                  <c:v>106.77832539878673</c:v>
                </c:pt>
                <c:pt idx="7">
                  <c:v>104.15848355599095</c:v>
                </c:pt>
                <c:pt idx="8">
                  <c:v>101.50257771577901</c:v>
                </c:pt>
                <c:pt idx="9">
                  <c:v>106.68225998793667</c:v>
                </c:pt>
                <c:pt idx="10">
                  <c:v>112.17850659813578</c:v>
                </c:pt>
                <c:pt idx="11">
                  <c:v>113.6908035983605</c:v>
                </c:pt>
                <c:pt idx="12">
                  <c:v>115.34916650298194</c:v>
                </c:pt>
                <c:pt idx="13">
                  <c:v>110.45745857306382</c:v>
                </c:pt>
                <c:pt idx="14">
                  <c:v>108.64890558862808</c:v>
                </c:pt>
                <c:pt idx="15">
                  <c:v>107.80508840017248</c:v>
                </c:pt>
              </c:numCache>
            </c:numRef>
          </c:val>
          <c:smooth val="0"/>
          <c:extLst>
            <c:ext xmlns:c16="http://schemas.microsoft.com/office/drawing/2014/chart" uri="{C3380CC4-5D6E-409C-BE32-E72D297353CC}">
              <c16:uniqueId val="{00000001-C493-456F-B7D2-8FE4D920285D}"/>
            </c:ext>
          </c:extLst>
        </c:ser>
        <c:ser>
          <c:idx val="3"/>
          <c:order val="3"/>
          <c:tx>
            <c:strRef>
              <c:f>Sheet1!$A$21</c:f>
              <c:strCache>
                <c:ptCount val="1"/>
                <c:pt idx="0">
                  <c:v>Total</c:v>
                </c:pt>
              </c:strCache>
            </c:strRef>
          </c:tx>
          <c:spPr>
            <a:ln w="28575" cap="rnd">
              <a:solidFill>
                <a:schemeClr val="accent4"/>
              </a:solidFill>
              <a:round/>
            </a:ln>
            <a:effectLst/>
          </c:spPr>
          <c:marker>
            <c:symbol val="none"/>
          </c:marker>
          <c:cat>
            <c:numRef>
              <c:f>Sheet1!$B$17:$Q$17</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Sheet1!$B$21:$Q$21</c:f>
              <c:numCache>
                <c:formatCode>_-* #,##0_-;\-* #,##0_-;_-* "-"??_-;_-@_-</c:formatCode>
                <c:ptCount val="16"/>
                <c:pt idx="0">
                  <c:v>92.247671395493342</c:v>
                </c:pt>
                <c:pt idx="1">
                  <c:v>88.775662096110992</c:v>
                </c:pt>
                <c:pt idx="2">
                  <c:v>83.673508407980648</c:v>
                </c:pt>
                <c:pt idx="3">
                  <c:v>89.761298806967091</c:v>
                </c:pt>
                <c:pt idx="4">
                  <c:v>91.278199364145181</c:v>
                </c:pt>
                <c:pt idx="5">
                  <c:v>88.983846187714207</c:v>
                </c:pt>
                <c:pt idx="6">
                  <c:v>92.920267861334011</c:v>
                </c:pt>
                <c:pt idx="7">
                  <c:v>92.15595903271435</c:v>
                </c:pt>
                <c:pt idx="8">
                  <c:v>91.9280412108333</c:v>
                </c:pt>
                <c:pt idx="9">
                  <c:v>95.301884987082573</c:v>
                </c:pt>
                <c:pt idx="10">
                  <c:v>98.055850358920793</c:v>
                </c:pt>
                <c:pt idx="11">
                  <c:v>98.123470220288269</c:v>
                </c:pt>
                <c:pt idx="12">
                  <c:v>99.733753503034109</c:v>
                </c:pt>
                <c:pt idx="13">
                  <c:v>96.279454319966931</c:v>
                </c:pt>
                <c:pt idx="14">
                  <c:v>96.361666898467973</c:v>
                </c:pt>
                <c:pt idx="15">
                  <c:v>95.917303893648736</c:v>
                </c:pt>
              </c:numCache>
            </c:numRef>
          </c:val>
          <c:smooth val="0"/>
          <c:extLst>
            <c:ext xmlns:c16="http://schemas.microsoft.com/office/drawing/2014/chart" uri="{C3380CC4-5D6E-409C-BE32-E72D297353CC}">
              <c16:uniqueId val="{00000002-C493-456F-B7D2-8FE4D920285D}"/>
            </c:ext>
          </c:extLst>
        </c:ser>
        <c:dLbls>
          <c:showLegendKey val="0"/>
          <c:showVal val="0"/>
          <c:showCatName val="0"/>
          <c:showSerName val="0"/>
          <c:showPercent val="0"/>
          <c:showBubbleSize val="0"/>
        </c:dLbls>
        <c:smooth val="0"/>
        <c:axId val="655488520"/>
        <c:axId val="655489504"/>
        <c:extLst>
          <c:ext xmlns:c15="http://schemas.microsoft.com/office/drawing/2012/chart" uri="{02D57815-91ED-43cb-92C2-25804820EDAC}">
            <c15:filteredLineSeries>
              <c15:ser>
                <c:idx val="2"/>
                <c:order val="2"/>
                <c:tx>
                  <c:strRef>
                    <c:extLst>
                      <c:ext uri="{02D57815-91ED-43cb-92C2-25804820EDAC}">
                        <c15:formulaRef>
                          <c15:sqref>Sheet1!$A$20</c15:sqref>
                        </c15:formulaRef>
                      </c:ext>
                    </c:extLst>
                    <c:strCache>
                      <c:ptCount val="1"/>
                      <c:pt idx="0">
                        <c:v>Unknown</c:v>
                      </c:pt>
                    </c:strCache>
                  </c:strRef>
                </c:tx>
                <c:spPr>
                  <a:ln w="28575" cap="rnd">
                    <a:solidFill>
                      <a:schemeClr val="accent3"/>
                    </a:solidFill>
                    <a:round/>
                  </a:ln>
                  <a:effectLst/>
                </c:spPr>
                <c:marker>
                  <c:symbol val="none"/>
                </c:marker>
                <c:cat>
                  <c:numRef>
                    <c:extLst>
                      <c:ext uri="{02D57815-91ED-43cb-92C2-25804820EDAC}">
                        <c15:formulaRef>
                          <c15:sqref>Sheet1!$B$17:$Q$17</c15:sqref>
                        </c15:formulaRef>
                      </c:ext>
                    </c:extLst>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extLst>
                      <c:ext uri="{02D57815-91ED-43cb-92C2-25804820EDAC}">
                        <c15:formulaRef>
                          <c15:sqref>Sheet1!$B$20:$Q$20</c15:sqref>
                        </c15:formulaRef>
                      </c:ext>
                    </c:extLst>
                    <c:numCache>
                      <c:formatCode>General</c:formatCode>
                      <c:ptCount val="16"/>
                    </c:numCache>
                  </c:numRef>
                </c:val>
                <c:smooth val="0"/>
                <c:extLst>
                  <c:ext xmlns:c16="http://schemas.microsoft.com/office/drawing/2014/chart" uri="{C3380CC4-5D6E-409C-BE32-E72D297353CC}">
                    <c16:uniqueId val="{00000003-C493-456F-B7D2-8FE4D920285D}"/>
                  </c:ext>
                </c:extLst>
              </c15:ser>
            </c15:filteredLineSeries>
          </c:ext>
        </c:extLst>
      </c:lineChart>
      <c:catAx>
        <c:axId val="65548852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Year</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out"/>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5489504"/>
        <c:crosses val="autoZero"/>
        <c:auto val="1"/>
        <c:lblAlgn val="ctr"/>
        <c:lblOffset val="100"/>
        <c:noMultiLvlLbl val="0"/>
      </c:catAx>
      <c:valAx>
        <c:axId val="655489504"/>
        <c:scaling>
          <c:orientation val="minMax"/>
        </c:scaling>
        <c:delete val="0"/>
        <c:axPos val="l"/>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NZ"/>
                  <a:t>Rate per 100,000</a:t>
                </a:r>
              </a:p>
            </c:rich>
          </c:tx>
          <c:layout>
            <c:manualLayout>
              <c:xMode val="edge"/>
              <c:yMode val="edge"/>
              <c:x val="0"/>
              <c:y val="2.4456838728492197E-3"/>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_-* #,##0_-;\-* #,##0_-;_-* &quot;-&quot;??_-;_-@_-"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54885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84683350224786"/>
          <c:y val="0.14501868048252928"/>
          <c:w val="0.56590395259998438"/>
          <c:h val="0.7447074815973736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68-41B3-B71F-E0B18EFE5D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A68-41B3-B71F-E0B18EFE5D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A68-41B3-B71F-E0B18EFE5DFB}"/>
              </c:ext>
            </c:extLst>
          </c:dPt>
          <c:dLbls>
            <c:dLbl>
              <c:idx val="0"/>
              <c:layout>
                <c:manualLayout>
                  <c:x val="1.9801980198019802E-2"/>
                  <c:y val="0.26532680157651306"/>
                </c:manualLayout>
              </c:layout>
              <c:tx>
                <c:rich>
                  <a:bodyPr/>
                  <a:lstStyle/>
                  <a:p>
                    <a:fld id="{8FA462AB-7322-4E4E-8291-08189D081E68}" type="CATEGORYNAME">
                      <a:rPr lang="en-US"/>
                      <a:pPr/>
                      <a:t>[CATEGORY NAME]</a:t>
                    </a:fld>
                    <a:r>
                      <a:rPr lang="en-US" baseline="0"/>
                      <a:t>
(</a:t>
                    </a:r>
                    <a:fld id="{932EBE8F-B9EF-4F39-8561-971324154B79}" type="PERCENTAGE">
                      <a:rPr lang="en-US" baseline="0"/>
                      <a:pPr/>
                      <a:t>[PERCENTAGE]</a:t>
                    </a:fld>
                    <a:r>
                      <a:rPr lang="en-US" baseline="0"/>
                      <a:t>)</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A68-41B3-B71F-E0B18EFE5DFB}"/>
                </c:ext>
              </c:extLst>
            </c:dLbl>
            <c:dLbl>
              <c:idx val="1"/>
              <c:layout>
                <c:manualLayout>
                  <c:x val="-9.900990099009908E-3"/>
                  <c:y val="4.7774158523344108E-2"/>
                </c:manualLayout>
              </c:layout>
              <c:tx>
                <c:rich>
                  <a:bodyPr/>
                  <a:lstStyle/>
                  <a:p>
                    <a:fld id="{416FFE2E-23C4-4B92-9C1B-34431E824EFB}" type="CATEGORYNAME">
                      <a:rPr lang="en-US"/>
                      <a:pPr/>
                      <a:t>[CATEGORY NAME]</a:t>
                    </a:fld>
                    <a:r>
                      <a:rPr lang="en-US" baseline="0"/>
                      <a:t>
(</a:t>
                    </a:r>
                    <a:fld id="{7C854DF0-F9A4-421C-A1A5-DF1C7E8DC18A}" type="PERCENTAGE">
                      <a:rPr lang="en-US" baseline="0"/>
                      <a:pPr/>
                      <a:t>[PERCENTAGE]</a:t>
                    </a:fld>
                    <a:r>
                      <a:rPr lang="en-US" baseline="0"/>
                      <a:t>)</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A68-41B3-B71F-E0B18EFE5DFB}"/>
                </c:ext>
              </c:extLst>
            </c:dLbl>
            <c:dLbl>
              <c:idx val="2"/>
              <c:layout>
                <c:manualLayout>
                  <c:x val="-4.2904290429042938E-2"/>
                  <c:y val="0"/>
                </c:manualLayout>
              </c:layout>
              <c:tx>
                <c:rich>
                  <a:bodyPr/>
                  <a:lstStyle/>
                  <a:p>
                    <a:fld id="{D5A71F64-6CF1-4C3C-8228-B391C41FD439}" type="CATEGORYNAME">
                      <a:rPr lang="en-US"/>
                      <a:pPr/>
                      <a:t>[CATEGORY NAME]</a:t>
                    </a:fld>
                    <a:r>
                      <a:rPr lang="en-US" baseline="0"/>
                      <a:t>
(</a:t>
                    </a:r>
                    <a:fld id="{3D469BD3-B5F5-4B93-B3A1-C6D89A475A91}" type="PERCENTAGE">
                      <a:rPr lang="en-US" baseline="0"/>
                      <a:pPr/>
                      <a:t>[PERCENTAGE]</a:t>
                    </a:fld>
                    <a:r>
                      <a:rPr lang="en-US" baseline="0"/>
                      <a:t>)</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A68-41B3-B71F-E0B18EFE5DFB}"/>
                </c:ext>
              </c:extLst>
            </c:dLbl>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Detention!$B$3:$B$5</c:f>
              <c:strCache>
                <c:ptCount val="3"/>
                <c:pt idx="0">
                  <c:v>0-8 weeks</c:v>
                </c:pt>
                <c:pt idx="1">
                  <c:v>8-16 weeks</c:v>
                </c:pt>
                <c:pt idx="2">
                  <c:v>16+ weeks</c:v>
                </c:pt>
              </c:strCache>
            </c:strRef>
          </c:cat>
          <c:val>
            <c:numRef>
              <c:f>Detention!$C$3:$C$5</c:f>
              <c:numCache>
                <c:formatCode>General</c:formatCode>
                <c:ptCount val="3"/>
                <c:pt idx="0">
                  <c:v>14</c:v>
                </c:pt>
                <c:pt idx="1">
                  <c:v>14</c:v>
                </c:pt>
                <c:pt idx="2">
                  <c:v>2</c:v>
                </c:pt>
              </c:numCache>
            </c:numRef>
          </c:val>
          <c:extLst>
            <c:ext xmlns:c16="http://schemas.microsoft.com/office/drawing/2014/chart" uri="{C3380CC4-5D6E-409C-BE32-E72D297353CC}">
              <c16:uniqueId val="{00000006-FA68-41B3-B71F-E0B18EFE5DF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E0-45C3-8B26-0004A974B7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E0-45C3-8B26-0004A974B794}"/>
              </c:ext>
            </c:extLst>
          </c:dPt>
          <c:dLbls>
            <c:dLbl>
              <c:idx val="0"/>
              <c:layout>
                <c:manualLayout>
                  <c:x val="7.0175438596491224E-2"/>
                  <c:y val="1.8518518518518514E-2"/>
                </c:manualLayout>
              </c:layout>
              <c:tx>
                <c:rich>
                  <a:bodyPr/>
                  <a:lstStyle/>
                  <a:p>
                    <a:fld id="{3B4EAB5A-EC45-45EA-AFB4-01A2B86B7B69}" type="CATEGORYNAME">
                      <a:rPr lang="en-US"/>
                      <a:pPr/>
                      <a:t>[CATEGORY NAME]</a:t>
                    </a:fld>
                    <a:r>
                      <a:rPr lang="en-US" baseline="0"/>
                      <a:t>
(15.4%)</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0E0-45C3-8B26-0004A974B794}"/>
                </c:ext>
              </c:extLst>
            </c:dLbl>
            <c:dLbl>
              <c:idx val="1"/>
              <c:layout>
                <c:manualLayout>
                  <c:x val="-7.0175438596491224E-2"/>
                  <c:y val="4.6296296296296294E-2"/>
                </c:manualLayout>
              </c:layout>
              <c:tx>
                <c:rich>
                  <a:bodyPr/>
                  <a:lstStyle/>
                  <a:p>
                    <a:fld id="{06CCF66F-82E3-4B7B-8EB6-2FB29D37C924}" type="CATEGORYNAME">
                      <a:rPr lang="en-US"/>
                      <a:pPr/>
                      <a:t>[CATEGORY NAME]</a:t>
                    </a:fld>
                    <a:r>
                      <a:rPr lang="en-US" baseline="0"/>
                      <a:t>
(84.6%)</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0E0-45C3-8B26-0004A974B794}"/>
                </c:ext>
              </c:extLst>
            </c:dLbl>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'Nova STAR SACAT CTO and CTO Ext'!$H$84:$H$85</c:f>
              <c:strCache>
                <c:ptCount val="2"/>
                <c:pt idx="0">
                  <c:v>Māori</c:v>
                </c:pt>
                <c:pt idx="1">
                  <c:v>Non-Māori</c:v>
                </c:pt>
              </c:strCache>
            </c:strRef>
          </c:cat>
          <c:val>
            <c:numRef>
              <c:f>'Nova STAR SACAT CTO and CTO Ext'!$I$84:$I$85</c:f>
              <c:numCache>
                <c:formatCode>General</c:formatCode>
                <c:ptCount val="2"/>
                <c:pt idx="0">
                  <c:v>15.4</c:v>
                </c:pt>
                <c:pt idx="1">
                  <c:v>84.6</c:v>
                </c:pt>
              </c:numCache>
            </c:numRef>
          </c:val>
          <c:extLst>
            <c:ext xmlns:c16="http://schemas.microsoft.com/office/drawing/2014/chart" uri="{C3380CC4-5D6E-409C-BE32-E72D297353CC}">
              <c16:uniqueId val="{00000004-E0E0-45C3-8B26-0004A974B79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44-4246-B1CF-DA148164977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44-4246-B1CF-DA1481649775}"/>
              </c:ext>
            </c:extLst>
          </c:dPt>
          <c:dLbls>
            <c:dLbl>
              <c:idx val="0"/>
              <c:layout>
                <c:manualLayout>
                  <c:x val="1.5414258188824663E-2"/>
                  <c:y val="-0.16806700633009108"/>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r>
                      <a:rPr lang="en-US"/>
                      <a:t>0-8 weeks
(37.5%)</a:t>
                    </a:r>
                  </a:p>
                </c:rich>
              </c:tx>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2590115107084968"/>
                      <c:h val="0.25118463133284807"/>
                    </c:manualLayout>
                  </c15:layout>
                </c:ext>
                <c:ext xmlns:c16="http://schemas.microsoft.com/office/drawing/2014/chart" uri="{C3380CC4-5D6E-409C-BE32-E72D297353CC}">
                  <c16:uniqueId val="{00000001-C244-4246-B1CF-DA1481649775}"/>
                </c:ext>
              </c:extLst>
            </c:dLbl>
            <c:dLbl>
              <c:idx val="1"/>
              <c:layout>
                <c:manualLayout>
                  <c:x val="-4.6242774566473986E-2"/>
                  <c:y val="0.13445378151260495"/>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r>
                      <a:rPr lang="en-US"/>
                      <a:t>8-16 weeks
(62.5%)</a:t>
                    </a:r>
                  </a:p>
                </c:rich>
              </c:tx>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C244-4246-B1CF-DA148164977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val>
            <c:numRef>
              <c:f>'Nova STAR SACAT CTO and CTO Ext'!$T$83:$T$84</c:f>
              <c:numCache>
                <c:formatCode>0.00%</c:formatCode>
                <c:ptCount val="2"/>
                <c:pt idx="0">
                  <c:v>0.375</c:v>
                </c:pt>
                <c:pt idx="1">
                  <c:v>0.625</c:v>
                </c:pt>
              </c:numCache>
            </c:numRef>
          </c:val>
          <c:extLst>
            <c:ext xmlns:c16="http://schemas.microsoft.com/office/drawing/2014/chart" uri="{C3380CC4-5D6E-409C-BE32-E72D297353CC}">
              <c16:uniqueId val="{00000004-C244-4246-B1CF-DA148164977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25371828521437E-2"/>
          <c:y val="9.1168091168091173E-2"/>
          <c:w val="0.88091907261592306"/>
          <c:h val="0.49143908293514593"/>
        </c:manualLayout>
      </c:layout>
      <c:barChart>
        <c:barDir val="col"/>
        <c:grouping val="percentStacked"/>
        <c:varyColors val="0"/>
        <c:ser>
          <c:idx val="0"/>
          <c:order val="0"/>
          <c:tx>
            <c:strRef>
              <c:f>OST!$C$46</c:f>
              <c:strCache>
                <c:ptCount val="1"/>
                <c:pt idx="0">
                  <c:v>Specialist service</c:v>
                </c:pt>
              </c:strCache>
            </c:strRef>
          </c:tx>
          <c:spPr>
            <a:solidFill>
              <a:schemeClr val="accent1"/>
            </a:solidFill>
            <a:ln>
              <a:noFill/>
            </a:ln>
            <a:effectLst/>
          </c:spPr>
          <c:invertIfNegative val="0"/>
          <c:cat>
            <c:strRef>
              <c:f>OST!$B$47:$B$63</c:f>
              <c:strCache>
                <c:ptCount val="17"/>
                <c:pt idx="0">
                  <c:v>Auckland</c:v>
                </c:pt>
                <c:pt idx="1">
                  <c:v>Bay of Plenty</c:v>
                </c:pt>
                <c:pt idx="2">
                  <c:v>Canterbury</c:v>
                </c:pt>
                <c:pt idx="3">
                  <c:v>Capital&amp;Coast</c:v>
                </c:pt>
                <c:pt idx="4">
                  <c:v>Hawke's Bay</c:v>
                </c:pt>
                <c:pt idx="5">
                  <c:v>Lakes</c:v>
                </c:pt>
                <c:pt idx="6">
                  <c:v>MidCentral</c:v>
                </c:pt>
                <c:pt idx="7">
                  <c:v>Nelson Marborough</c:v>
                </c:pt>
                <c:pt idx="8">
                  <c:v>Northland</c:v>
                </c:pt>
                <c:pt idx="9">
                  <c:v>Southern</c:v>
                </c:pt>
                <c:pt idx="10">
                  <c:v>South Canterbury</c:v>
                </c:pt>
                <c:pt idx="11">
                  <c:v>Tairāwhiti</c:v>
                </c:pt>
                <c:pt idx="12">
                  <c:v>Taranaki</c:v>
                </c:pt>
                <c:pt idx="13">
                  <c:v>Waikato</c:v>
                </c:pt>
                <c:pt idx="14">
                  <c:v>Wairarapa</c:v>
                </c:pt>
                <c:pt idx="15">
                  <c:v>West Coast</c:v>
                </c:pt>
                <c:pt idx="16">
                  <c:v>Whanganui </c:v>
                </c:pt>
              </c:strCache>
            </c:strRef>
          </c:cat>
          <c:val>
            <c:numRef>
              <c:f>OST!$C$47:$C$63</c:f>
              <c:numCache>
                <c:formatCode>General</c:formatCode>
                <c:ptCount val="17"/>
                <c:pt idx="0">
                  <c:v>656</c:v>
                </c:pt>
                <c:pt idx="1">
                  <c:v>135</c:v>
                </c:pt>
                <c:pt idx="2">
                  <c:v>550</c:v>
                </c:pt>
                <c:pt idx="3">
                  <c:v>328</c:v>
                </c:pt>
                <c:pt idx="4">
                  <c:v>147</c:v>
                </c:pt>
                <c:pt idx="5">
                  <c:v>84</c:v>
                </c:pt>
                <c:pt idx="6">
                  <c:v>299</c:v>
                </c:pt>
                <c:pt idx="7">
                  <c:v>249</c:v>
                </c:pt>
                <c:pt idx="8">
                  <c:v>157</c:v>
                </c:pt>
                <c:pt idx="9">
                  <c:v>451</c:v>
                </c:pt>
                <c:pt idx="10">
                  <c:v>74</c:v>
                </c:pt>
                <c:pt idx="11">
                  <c:v>32</c:v>
                </c:pt>
                <c:pt idx="12">
                  <c:v>213</c:v>
                </c:pt>
                <c:pt idx="13">
                  <c:v>293</c:v>
                </c:pt>
                <c:pt idx="14">
                  <c:v>97</c:v>
                </c:pt>
                <c:pt idx="15">
                  <c:v>94</c:v>
                </c:pt>
                <c:pt idx="16">
                  <c:v>122</c:v>
                </c:pt>
              </c:numCache>
            </c:numRef>
          </c:val>
          <c:extLst>
            <c:ext xmlns:c16="http://schemas.microsoft.com/office/drawing/2014/chart" uri="{C3380CC4-5D6E-409C-BE32-E72D297353CC}">
              <c16:uniqueId val="{00000000-7488-42B4-93AC-AAAA7FCDE9B1}"/>
            </c:ext>
          </c:extLst>
        </c:ser>
        <c:ser>
          <c:idx val="1"/>
          <c:order val="1"/>
          <c:tx>
            <c:strRef>
              <c:f>OST!$D$46</c:f>
              <c:strCache>
                <c:ptCount val="1"/>
                <c:pt idx="0">
                  <c:v>GP</c:v>
                </c:pt>
              </c:strCache>
            </c:strRef>
          </c:tx>
          <c:spPr>
            <a:solidFill>
              <a:schemeClr val="accent2"/>
            </a:solidFill>
            <a:ln>
              <a:noFill/>
            </a:ln>
            <a:effectLst/>
          </c:spPr>
          <c:invertIfNegative val="0"/>
          <c:cat>
            <c:strRef>
              <c:f>OST!$B$47:$B$63</c:f>
              <c:strCache>
                <c:ptCount val="17"/>
                <c:pt idx="0">
                  <c:v>Auckland</c:v>
                </c:pt>
                <c:pt idx="1">
                  <c:v>Bay of Plenty</c:v>
                </c:pt>
                <c:pt idx="2">
                  <c:v>Canterbury</c:v>
                </c:pt>
                <c:pt idx="3">
                  <c:v>Capital&amp;Coast</c:v>
                </c:pt>
                <c:pt idx="4">
                  <c:v>Hawke's Bay</c:v>
                </c:pt>
                <c:pt idx="5">
                  <c:v>Lakes</c:v>
                </c:pt>
                <c:pt idx="6">
                  <c:v>MidCentral</c:v>
                </c:pt>
                <c:pt idx="7">
                  <c:v>Nelson Marborough</c:v>
                </c:pt>
                <c:pt idx="8">
                  <c:v>Northland</c:v>
                </c:pt>
                <c:pt idx="9">
                  <c:v>Southern</c:v>
                </c:pt>
                <c:pt idx="10">
                  <c:v>South Canterbury</c:v>
                </c:pt>
                <c:pt idx="11">
                  <c:v>Tairāwhiti</c:v>
                </c:pt>
                <c:pt idx="12">
                  <c:v>Taranaki</c:v>
                </c:pt>
                <c:pt idx="13">
                  <c:v>Waikato</c:v>
                </c:pt>
                <c:pt idx="14">
                  <c:v>Wairarapa</c:v>
                </c:pt>
                <c:pt idx="15">
                  <c:v>West Coast</c:v>
                </c:pt>
                <c:pt idx="16">
                  <c:v>Whanganui </c:v>
                </c:pt>
              </c:strCache>
            </c:strRef>
          </c:cat>
          <c:val>
            <c:numRef>
              <c:f>OST!$D$47:$D$63</c:f>
              <c:numCache>
                <c:formatCode>General</c:formatCode>
                <c:ptCount val="17"/>
                <c:pt idx="0">
                  <c:v>462</c:v>
                </c:pt>
                <c:pt idx="1">
                  <c:v>52</c:v>
                </c:pt>
                <c:pt idx="2">
                  <c:v>216</c:v>
                </c:pt>
                <c:pt idx="3">
                  <c:v>161</c:v>
                </c:pt>
                <c:pt idx="4">
                  <c:v>20</c:v>
                </c:pt>
                <c:pt idx="5">
                  <c:v>14</c:v>
                </c:pt>
                <c:pt idx="6">
                  <c:v>89</c:v>
                </c:pt>
                <c:pt idx="7">
                  <c:v>104</c:v>
                </c:pt>
                <c:pt idx="8">
                  <c:v>54</c:v>
                </c:pt>
                <c:pt idx="9">
                  <c:v>59</c:v>
                </c:pt>
                <c:pt idx="10">
                  <c:v>16</c:v>
                </c:pt>
                <c:pt idx="11">
                  <c:v>0</c:v>
                </c:pt>
                <c:pt idx="12">
                  <c:v>42</c:v>
                </c:pt>
                <c:pt idx="13">
                  <c:v>70</c:v>
                </c:pt>
                <c:pt idx="14">
                  <c:v>7</c:v>
                </c:pt>
                <c:pt idx="15">
                  <c:v>6</c:v>
                </c:pt>
                <c:pt idx="16">
                  <c:v>31</c:v>
                </c:pt>
              </c:numCache>
            </c:numRef>
          </c:val>
          <c:extLst>
            <c:ext xmlns:c16="http://schemas.microsoft.com/office/drawing/2014/chart" uri="{C3380CC4-5D6E-409C-BE32-E72D297353CC}">
              <c16:uniqueId val="{00000001-7488-42B4-93AC-AAAA7FCDE9B1}"/>
            </c:ext>
          </c:extLst>
        </c:ser>
        <c:dLbls>
          <c:showLegendKey val="0"/>
          <c:showVal val="0"/>
          <c:showCatName val="0"/>
          <c:showSerName val="0"/>
          <c:showPercent val="0"/>
          <c:showBubbleSize val="0"/>
        </c:dLbls>
        <c:gapWidth val="150"/>
        <c:overlap val="100"/>
        <c:axId val="830083456"/>
        <c:axId val="830083784"/>
      </c:barChart>
      <c:catAx>
        <c:axId val="830083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DHB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083784"/>
        <c:crosses val="autoZero"/>
        <c:auto val="1"/>
        <c:lblAlgn val="ctr"/>
        <c:lblOffset val="100"/>
        <c:noMultiLvlLbl val="0"/>
      </c:catAx>
      <c:valAx>
        <c:axId val="830083784"/>
        <c:scaling>
          <c:orientation val="minMax"/>
        </c:scaling>
        <c:delete val="0"/>
        <c:axPos val="l"/>
        <c:majorGridlines>
          <c:spPr>
            <a:ln w="9525" cap="flat" cmpd="sng" algn="ctr">
              <a:no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layout>
            <c:manualLayout>
              <c:xMode val="edge"/>
              <c:yMode val="edge"/>
              <c:x val="0"/>
              <c:y val="2.2151931863218077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083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556734842408609E-2"/>
          <c:y val="0.12868041067516134"/>
          <c:w val="0.88848012845828639"/>
          <c:h val="0.51721321159641365"/>
        </c:manualLayout>
      </c:layout>
      <c:barChart>
        <c:barDir val="col"/>
        <c:grouping val="percentStacked"/>
        <c:varyColors val="0"/>
        <c:ser>
          <c:idx val="0"/>
          <c:order val="0"/>
          <c:tx>
            <c:strRef>
              <c:f>OST!$C$48</c:f>
              <c:strCache>
                <c:ptCount val="1"/>
                <c:pt idx="0">
                  <c:v>Specialist service</c:v>
                </c:pt>
              </c:strCache>
            </c:strRef>
          </c:tx>
          <c:spPr>
            <a:solidFill>
              <a:schemeClr val="accent1"/>
            </a:solidFill>
            <a:ln>
              <a:noFill/>
            </a:ln>
            <a:effectLst/>
          </c:spPr>
          <c:invertIfNegative val="0"/>
          <c:cat>
            <c:strRef>
              <c:f>OST!$B$49:$B$65</c:f>
              <c:strCache>
                <c:ptCount val="17"/>
                <c:pt idx="0">
                  <c:v>Auckland</c:v>
                </c:pt>
                <c:pt idx="1">
                  <c:v>Bay of Plenty</c:v>
                </c:pt>
                <c:pt idx="2">
                  <c:v>Canterbury</c:v>
                </c:pt>
                <c:pt idx="3">
                  <c:v>Capital &amp; Coast</c:v>
                </c:pt>
                <c:pt idx="4">
                  <c:v>Hawke's Bay</c:v>
                </c:pt>
                <c:pt idx="5">
                  <c:v>Lakes</c:v>
                </c:pt>
                <c:pt idx="6">
                  <c:v>MidCentral</c:v>
                </c:pt>
                <c:pt idx="7">
                  <c:v>Nelson Marborough</c:v>
                </c:pt>
                <c:pt idx="8">
                  <c:v>Northland</c:v>
                </c:pt>
                <c:pt idx="9">
                  <c:v>Southern</c:v>
                </c:pt>
                <c:pt idx="10">
                  <c:v>South Canterbury</c:v>
                </c:pt>
                <c:pt idx="11">
                  <c:v>Tairāwhiti</c:v>
                </c:pt>
                <c:pt idx="12">
                  <c:v>Taranaki</c:v>
                </c:pt>
                <c:pt idx="13">
                  <c:v>Waikato</c:v>
                </c:pt>
                <c:pt idx="14">
                  <c:v>Wairarapa</c:v>
                </c:pt>
                <c:pt idx="15">
                  <c:v>West Coast</c:v>
                </c:pt>
                <c:pt idx="16">
                  <c:v>Whanganui </c:v>
                </c:pt>
              </c:strCache>
            </c:strRef>
          </c:cat>
          <c:val>
            <c:numRef>
              <c:f>OST!$C$49:$C$65</c:f>
              <c:numCache>
                <c:formatCode>General</c:formatCode>
                <c:ptCount val="17"/>
                <c:pt idx="0">
                  <c:v>637</c:v>
                </c:pt>
                <c:pt idx="1">
                  <c:v>136</c:v>
                </c:pt>
                <c:pt idx="2">
                  <c:v>534</c:v>
                </c:pt>
                <c:pt idx="3">
                  <c:v>317</c:v>
                </c:pt>
                <c:pt idx="4">
                  <c:v>148</c:v>
                </c:pt>
                <c:pt idx="5">
                  <c:v>84</c:v>
                </c:pt>
                <c:pt idx="6">
                  <c:v>295</c:v>
                </c:pt>
                <c:pt idx="7">
                  <c:v>256</c:v>
                </c:pt>
                <c:pt idx="8">
                  <c:v>160</c:v>
                </c:pt>
                <c:pt idx="9">
                  <c:v>453</c:v>
                </c:pt>
                <c:pt idx="10">
                  <c:v>77</c:v>
                </c:pt>
                <c:pt idx="11">
                  <c:v>34</c:v>
                </c:pt>
                <c:pt idx="12">
                  <c:v>215</c:v>
                </c:pt>
                <c:pt idx="13">
                  <c:v>210</c:v>
                </c:pt>
                <c:pt idx="14">
                  <c:v>94</c:v>
                </c:pt>
                <c:pt idx="15">
                  <c:v>100</c:v>
                </c:pt>
                <c:pt idx="16">
                  <c:v>132</c:v>
                </c:pt>
              </c:numCache>
            </c:numRef>
          </c:val>
          <c:extLst>
            <c:ext xmlns:c16="http://schemas.microsoft.com/office/drawing/2014/chart" uri="{C3380CC4-5D6E-409C-BE32-E72D297353CC}">
              <c16:uniqueId val="{00000000-0159-41B8-9FCE-FF166F71EBEA}"/>
            </c:ext>
          </c:extLst>
        </c:ser>
        <c:ser>
          <c:idx val="1"/>
          <c:order val="1"/>
          <c:tx>
            <c:strRef>
              <c:f>OST!$D$48</c:f>
              <c:strCache>
                <c:ptCount val="1"/>
                <c:pt idx="0">
                  <c:v>GP</c:v>
                </c:pt>
              </c:strCache>
            </c:strRef>
          </c:tx>
          <c:spPr>
            <a:solidFill>
              <a:schemeClr val="accent2"/>
            </a:solidFill>
            <a:ln>
              <a:noFill/>
            </a:ln>
            <a:effectLst/>
          </c:spPr>
          <c:invertIfNegative val="0"/>
          <c:cat>
            <c:strRef>
              <c:f>OST!$B$49:$B$65</c:f>
              <c:strCache>
                <c:ptCount val="17"/>
                <c:pt idx="0">
                  <c:v>Auckland</c:v>
                </c:pt>
                <c:pt idx="1">
                  <c:v>Bay of Plenty</c:v>
                </c:pt>
                <c:pt idx="2">
                  <c:v>Canterbury</c:v>
                </c:pt>
                <c:pt idx="3">
                  <c:v>Capital &amp; Coast</c:v>
                </c:pt>
                <c:pt idx="4">
                  <c:v>Hawke's Bay</c:v>
                </c:pt>
                <c:pt idx="5">
                  <c:v>Lakes</c:v>
                </c:pt>
                <c:pt idx="6">
                  <c:v>MidCentral</c:v>
                </c:pt>
                <c:pt idx="7">
                  <c:v>Nelson Marborough</c:v>
                </c:pt>
                <c:pt idx="8">
                  <c:v>Northland</c:v>
                </c:pt>
                <c:pt idx="9">
                  <c:v>Southern</c:v>
                </c:pt>
                <c:pt idx="10">
                  <c:v>South Canterbury</c:v>
                </c:pt>
                <c:pt idx="11">
                  <c:v>Tairāwhiti</c:v>
                </c:pt>
                <c:pt idx="12">
                  <c:v>Taranaki</c:v>
                </c:pt>
                <c:pt idx="13">
                  <c:v>Waikato</c:v>
                </c:pt>
                <c:pt idx="14">
                  <c:v>Wairarapa</c:v>
                </c:pt>
                <c:pt idx="15">
                  <c:v>West Coast</c:v>
                </c:pt>
                <c:pt idx="16">
                  <c:v>Whanganui </c:v>
                </c:pt>
              </c:strCache>
            </c:strRef>
          </c:cat>
          <c:val>
            <c:numRef>
              <c:f>OST!$D$49:$D$65</c:f>
              <c:numCache>
                <c:formatCode>General</c:formatCode>
                <c:ptCount val="17"/>
                <c:pt idx="0">
                  <c:v>477</c:v>
                </c:pt>
                <c:pt idx="1">
                  <c:v>48</c:v>
                </c:pt>
                <c:pt idx="2">
                  <c:v>213</c:v>
                </c:pt>
                <c:pt idx="3">
                  <c:v>159</c:v>
                </c:pt>
                <c:pt idx="4">
                  <c:v>23</c:v>
                </c:pt>
                <c:pt idx="5">
                  <c:v>16</c:v>
                </c:pt>
                <c:pt idx="6">
                  <c:v>91</c:v>
                </c:pt>
                <c:pt idx="7">
                  <c:v>99</c:v>
                </c:pt>
                <c:pt idx="8">
                  <c:v>54</c:v>
                </c:pt>
                <c:pt idx="9">
                  <c:v>57</c:v>
                </c:pt>
                <c:pt idx="10">
                  <c:v>16</c:v>
                </c:pt>
                <c:pt idx="11">
                  <c:v>1</c:v>
                </c:pt>
                <c:pt idx="12">
                  <c:v>37</c:v>
                </c:pt>
                <c:pt idx="13">
                  <c:v>77</c:v>
                </c:pt>
                <c:pt idx="14">
                  <c:v>10</c:v>
                </c:pt>
                <c:pt idx="15">
                  <c:v>4</c:v>
                </c:pt>
                <c:pt idx="16">
                  <c:v>30</c:v>
                </c:pt>
              </c:numCache>
            </c:numRef>
          </c:val>
          <c:extLst>
            <c:ext xmlns:c16="http://schemas.microsoft.com/office/drawing/2014/chart" uri="{C3380CC4-5D6E-409C-BE32-E72D297353CC}">
              <c16:uniqueId val="{00000001-0159-41B8-9FCE-FF166F71EBEA}"/>
            </c:ext>
          </c:extLst>
        </c:ser>
        <c:dLbls>
          <c:showLegendKey val="0"/>
          <c:showVal val="0"/>
          <c:showCatName val="0"/>
          <c:showSerName val="0"/>
          <c:showPercent val="0"/>
          <c:showBubbleSize val="0"/>
        </c:dLbls>
        <c:gapWidth val="150"/>
        <c:overlap val="100"/>
        <c:axId val="757884544"/>
        <c:axId val="813671456"/>
      </c:barChart>
      <c:catAx>
        <c:axId val="757884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DHB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3671456"/>
        <c:crosses val="autoZero"/>
        <c:auto val="1"/>
        <c:lblAlgn val="ctr"/>
        <c:lblOffset val="100"/>
        <c:noMultiLvlLbl val="0"/>
      </c:catAx>
      <c:valAx>
        <c:axId val="813671456"/>
        <c:scaling>
          <c:orientation val="minMax"/>
        </c:scaling>
        <c:delete val="0"/>
        <c:axPos val="l"/>
        <c:majorGridlines>
          <c:spPr>
            <a:ln w="9525" cap="flat" cmpd="sng" algn="ctr">
              <a:no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Percentage</a:t>
                </a:r>
              </a:p>
            </c:rich>
          </c:tx>
          <c:layout>
            <c:manualLayout>
              <c:xMode val="edge"/>
              <c:yMode val="edge"/>
              <c:x val="0"/>
              <c:y val="1.332525741974571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8845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792145627128597E-2"/>
          <c:y val="0.14026964020801747"/>
          <c:w val="0.87115364201750201"/>
          <c:h val="0.67586573417453255"/>
        </c:manualLayout>
      </c:layout>
      <c:barChart>
        <c:barDir val="bar"/>
        <c:grouping val="stacked"/>
        <c:varyColors val="0"/>
        <c:ser>
          <c:idx val="1"/>
          <c:order val="0"/>
          <c:tx>
            <c:strRef>
              <c:f>OST!$C$26</c:f>
              <c:strCache>
                <c:ptCount val="1"/>
                <c:pt idx="0">
                  <c:v>Specialist service</c:v>
                </c:pt>
              </c:strCache>
            </c:strRef>
          </c:tx>
          <c:spPr>
            <a:solidFill>
              <a:schemeClr val="accent2"/>
            </a:solidFill>
            <a:ln>
              <a:noFill/>
            </a:ln>
            <a:effectLst/>
          </c:spPr>
          <c:invertIfNegative val="0"/>
          <c:cat>
            <c:numRef>
              <c:f>OST!$B$27:$B$38</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OST!$C$27:$C$38</c:f>
              <c:numCache>
                <c:formatCode>General</c:formatCode>
                <c:ptCount val="12"/>
                <c:pt idx="0">
                  <c:v>3422</c:v>
                </c:pt>
                <c:pt idx="1">
                  <c:v>3487</c:v>
                </c:pt>
                <c:pt idx="2">
                  <c:v>3628</c:v>
                </c:pt>
                <c:pt idx="3">
                  <c:v>3544</c:v>
                </c:pt>
                <c:pt idx="4">
                  <c:v>3520</c:v>
                </c:pt>
                <c:pt idx="5">
                  <c:v>3745</c:v>
                </c:pt>
                <c:pt idx="6">
                  <c:v>3696</c:v>
                </c:pt>
                <c:pt idx="7">
                  <c:v>3785</c:v>
                </c:pt>
                <c:pt idx="8">
                  <c:v>3760</c:v>
                </c:pt>
                <c:pt idx="9">
                  <c:v>3909</c:v>
                </c:pt>
                <c:pt idx="10">
                  <c:v>3981</c:v>
                </c:pt>
                <c:pt idx="11">
                  <c:v>4098</c:v>
                </c:pt>
              </c:numCache>
            </c:numRef>
          </c:val>
          <c:extLst>
            <c:ext xmlns:c16="http://schemas.microsoft.com/office/drawing/2014/chart" uri="{C3380CC4-5D6E-409C-BE32-E72D297353CC}">
              <c16:uniqueId val="{00000000-4A72-4BFB-B687-54AA6958073F}"/>
            </c:ext>
          </c:extLst>
        </c:ser>
        <c:ser>
          <c:idx val="2"/>
          <c:order val="1"/>
          <c:tx>
            <c:strRef>
              <c:f>OST!$D$26</c:f>
              <c:strCache>
                <c:ptCount val="1"/>
                <c:pt idx="0">
                  <c:v>General practice</c:v>
                </c:pt>
              </c:strCache>
            </c:strRef>
          </c:tx>
          <c:spPr>
            <a:solidFill>
              <a:schemeClr val="accent3"/>
            </a:solidFill>
            <a:ln>
              <a:noFill/>
            </a:ln>
            <a:effectLst/>
          </c:spPr>
          <c:invertIfNegative val="0"/>
          <c:cat>
            <c:numRef>
              <c:f>OST!$B$27:$B$38</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OST!$D$27:$D$38</c:f>
              <c:numCache>
                <c:formatCode>General</c:formatCode>
                <c:ptCount val="12"/>
                <c:pt idx="0">
                  <c:v>1137</c:v>
                </c:pt>
                <c:pt idx="1">
                  <c:v>1058</c:v>
                </c:pt>
                <c:pt idx="2">
                  <c:v>1385</c:v>
                </c:pt>
                <c:pt idx="3">
                  <c:v>1474</c:v>
                </c:pt>
                <c:pt idx="4">
                  <c:v>1476</c:v>
                </c:pt>
                <c:pt idx="5">
                  <c:v>1362</c:v>
                </c:pt>
                <c:pt idx="6">
                  <c:v>1458</c:v>
                </c:pt>
                <c:pt idx="7">
                  <c:v>1532</c:v>
                </c:pt>
                <c:pt idx="8">
                  <c:v>1490</c:v>
                </c:pt>
                <c:pt idx="9">
                  <c:v>1552</c:v>
                </c:pt>
                <c:pt idx="10">
                  <c:v>1521</c:v>
                </c:pt>
                <c:pt idx="11">
                  <c:v>1614</c:v>
                </c:pt>
              </c:numCache>
            </c:numRef>
          </c:val>
          <c:extLst>
            <c:ext xmlns:c16="http://schemas.microsoft.com/office/drawing/2014/chart" uri="{C3380CC4-5D6E-409C-BE32-E72D297353CC}">
              <c16:uniqueId val="{00000001-4A72-4BFB-B687-54AA6958073F}"/>
            </c:ext>
          </c:extLst>
        </c:ser>
        <c:ser>
          <c:idx val="3"/>
          <c:order val="2"/>
          <c:tx>
            <c:strRef>
              <c:f>OST!$E$26</c:f>
              <c:strCache>
                <c:ptCount val="1"/>
                <c:pt idx="0">
                  <c:v>Prison service</c:v>
                </c:pt>
              </c:strCache>
            </c:strRef>
          </c:tx>
          <c:spPr>
            <a:solidFill>
              <a:schemeClr val="accent4"/>
            </a:solidFill>
            <a:ln>
              <a:noFill/>
            </a:ln>
            <a:effectLst/>
          </c:spPr>
          <c:invertIfNegative val="0"/>
          <c:cat>
            <c:numRef>
              <c:f>OST!$B$27:$B$38</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OST!$E$27:$E$38</c:f>
              <c:numCache>
                <c:formatCode>General</c:formatCode>
                <c:ptCount val="12"/>
                <c:pt idx="0">
                  <c:v>0</c:v>
                </c:pt>
                <c:pt idx="1">
                  <c:v>0</c:v>
                </c:pt>
                <c:pt idx="2">
                  <c:v>0</c:v>
                </c:pt>
                <c:pt idx="3">
                  <c:v>0</c:v>
                </c:pt>
                <c:pt idx="4">
                  <c:v>0</c:v>
                </c:pt>
                <c:pt idx="5">
                  <c:v>51</c:v>
                </c:pt>
                <c:pt idx="6">
                  <c:v>60</c:v>
                </c:pt>
                <c:pt idx="7">
                  <c:v>59</c:v>
                </c:pt>
                <c:pt idx="8">
                  <c:v>67</c:v>
                </c:pt>
                <c:pt idx="9">
                  <c:v>78</c:v>
                </c:pt>
                <c:pt idx="10">
                  <c:v>71</c:v>
                </c:pt>
                <c:pt idx="11">
                  <c:v>83</c:v>
                </c:pt>
              </c:numCache>
            </c:numRef>
          </c:val>
          <c:extLst>
            <c:ext xmlns:c16="http://schemas.microsoft.com/office/drawing/2014/chart" uri="{C3380CC4-5D6E-409C-BE32-E72D297353CC}">
              <c16:uniqueId val="{00000002-4A72-4BFB-B687-54AA6958073F}"/>
            </c:ext>
          </c:extLst>
        </c:ser>
        <c:dLbls>
          <c:showLegendKey val="0"/>
          <c:showVal val="0"/>
          <c:showCatName val="0"/>
          <c:showSerName val="0"/>
          <c:showPercent val="0"/>
          <c:showBubbleSize val="0"/>
        </c:dLbls>
        <c:gapWidth val="75"/>
        <c:overlap val="100"/>
        <c:axId val="245073520"/>
        <c:axId val="245068032"/>
      </c:barChart>
      <c:catAx>
        <c:axId val="245073520"/>
        <c:scaling>
          <c:orientation val="minMax"/>
        </c:scaling>
        <c:delete val="0"/>
        <c:axPos val="l"/>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NZ"/>
                  <a:t>Year</a:t>
                </a:r>
              </a:p>
            </c:rich>
          </c:tx>
          <c:layout>
            <c:manualLayout>
              <c:xMode val="edge"/>
              <c:yMode val="edge"/>
              <c:x val="0"/>
              <c:y val="5.7488140069447857E-2"/>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5068032"/>
        <c:crosses val="autoZero"/>
        <c:auto val="1"/>
        <c:lblAlgn val="ctr"/>
        <c:lblOffset val="100"/>
        <c:noMultiLvlLbl val="0"/>
      </c:catAx>
      <c:valAx>
        <c:axId val="245068032"/>
        <c:scaling>
          <c:orientation val="minMax"/>
          <c:max val="600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Number of people</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50735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24759405074365"/>
          <c:y val="8.8428113152522622E-2"/>
          <c:w val="0.86919685039370087"/>
          <c:h val="0.74713068273873173"/>
        </c:manualLayout>
      </c:layout>
      <c:lineChart>
        <c:grouping val="standard"/>
        <c:varyColors val="0"/>
        <c:ser>
          <c:idx val="1"/>
          <c:order val="0"/>
          <c:tx>
            <c:strRef>
              <c:f>OST!$C$100</c:f>
              <c:strCache>
                <c:ptCount val="1"/>
                <c:pt idx="0">
                  <c:v>Number of people</c:v>
                </c:pt>
              </c:strCache>
            </c:strRef>
          </c:tx>
          <c:spPr>
            <a:ln w="28575" cap="rnd">
              <a:solidFill>
                <a:schemeClr val="accent2"/>
              </a:solidFill>
              <a:round/>
            </a:ln>
            <a:effectLst/>
          </c:spPr>
          <c:marker>
            <c:symbol val="none"/>
          </c:marker>
          <c:cat>
            <c:numRef>
              <c:f>OST!$B$101:$B$112</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OST!$C$101:$C$112</c:f>
              <c:numCache>
                <c:formatCode>General</c:formatCode>
                <c:ptCount val="12"/>
                <c:pt idx="0">
                  <c:v>27</c:v>
                </c:pt>
                <c:pt idx="1">
                  <c:v>56</c:v>
                </c:pt>
                <c:pt idx="2">
                  <c:v>60</c:v>
                </c:pt>
                <c:pt idx="3">
                  <c:v>74</c:v>
                </c:pt>
                <c:pt idx="4">
                  <c:v>201</c:v>
                </c:pt>
                <c:pt idx="5">
                  <c:v>360</c:v>
                </c:pt>
                <c:pt idx="6">
                  <c:v>400</c:v>
                </c:pt>
                <c:pt idx="7">
                  <c:v>599</c:v>
                </c:pt>
                <c:pt idx="8">
                  <c:v>744</c:v>
                </c:pt>
                <c:pt idx="9">
                  <c:v>888</c:v>
                </c:pt>
                <c:pt idx="10">
                  <c:v>984</c:v>
                </c:pt>
                <c:pt idx="11">
                  <c:v>1112</c:v>
                </c:pt>
              </c:numCache>
            </c:numRef>
          </c:val>
          <c:smooth val="0"/>
          <c:extLst>
            <c:ext xmlns:c16="http://schemas.microsoft.com/office/drawing/2014/chart" uri="{C3380CC4-5D6E-409C-BE32-E72D297353CC}">
              <c16:uniqueId val="{00000000-6436-4B48-B0D9-0DBF5EC160ED}"/>
            </c:ext>
          </c:extLst>
        </c:ser>
        <c:dLbls>
          <c:showLegendKey val="0"/>
          <c:showVal val="0"/>
          <c:showCatName val="0"/>
          <c:showSerName val="0"/>
          <c:showPercent val="0"/>
          <c:showBubbleSize val="0"/>
        </c:dLbls>
        <c:smooth val="0"/>
        <c:axId val="245071560"/>
        <c:axId val="245068424"/>
      </c:lineChart>
      <c:catAx>
        <c:axId val="24507156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Year</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5068424"/>
        <c:crosses val="autoZero"/>
        <c:auto val="1"/>
        <c:lblAlgn val="ctr"/>
        <c:lblOffset val="100"/>
        <c:noMultiLvlLbl val="0"/>
      </c:catAx>
      <c:valAx>
        <c:axId val="245068424"/>
        <c:scaling>
          <c:orientation val="minMax"/>
        </c:scaling>
        <c:delete val="0"/>
        <c:axPos val="l"/>
        <c:majorGridlines>
          <c:spPr>
            <a:ln w="9525" cap="flat" cmpd="sng" algn="ctr">
              <a:no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NZ"/>
                  <a:t>Number of people</a:t>
                </a:r>
              </a:p>
            </c:rich>
          </c:tx>
          <c:layout>
            <c:manualLayout>
              <c:xMode val="edge"/>
              <c:yMode val="edge"/>
              <c:x val="0"/>
              <c:y val="3.8606688359538437E-3"/>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5071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77861334748889E-2"/>
          <c:y val="0.12808961161577734"/>
          <c:w val="0.89369710551425907"/>
          <c:h val="0.67072759892355216"/>
        </c:manualLayout>
      </c:layout>
      <c:lineChart>
        <c:grouping val="standard"/>
        <c:varyColors val="0"/>
        <c:ser>
          <c:idx val="4"/>
          <c:order val="0"/>
          <c:tx>
            <c:strRef>
              <c:f>OST!$C$7</c:f>
              <c:strCache>
                <c:ptCount val="1"/>
                <c:pt idx="0">
                  <c:v>19–29 years</c:v>
                </c:pt>
              </c:strCache>
            </c:strRef>
          </c:tx>
          <c:spPr>
            <a:ln w="28575" cap="rnd">
              <a:solidFill>
                <a:schemeClr val="accent5"/>
              </a:solidFill>
              <a:round/>
            </a:ln>
            <a:effectLst/>
          </c:spPr>
          <c:marker>
            <c:symbol val="none"/>
          </c:marker>
          <c:cat>
            <c:numRef>
              <c:f>OST!$B$8:$B$19</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OST!$C$8:$C$19</c:f>
              <c:numCache>
                <c:formatCode>General</c:formatCode>
                <c:ptCount val="12"/>
                <c:pt idx="0">
                  <c:v>396</c:v>
                </c:pt>
                <c:pt idx="1">
                  <c:v>413</c:v>
                </c:pt>
                <c:pt idx="2">
                  <c:v>406</c:v>
                </c:pt>
                <c:pt idx="3">
                  <c:v>378</c:v>
                </c:pt>
                <c:pt idx="4">
                  <c:v>352</c:v>
                </c:pt>
                <c:pt idx="5">
                  <c:v>364</c:v>
                </c:pt>
                <c:pt idx="6">
                  <c:v>349</c:v>
                </c:pt>
                <c:pt idx="7">
                  <c:v>342</c:v>
                </c:pt>
                <c:pt idx="8">
                  <c:v>363</c:v>
                </c:pt>
                <c:pt idx="9">
                  <c:v>346</c:v>
                </c:pt>
                <c:pt idx="10">
                  <c:v>339</c:v>
                </c:pt>
                <c:pt idx="11">
                  <c:v>312</c:v>
                </c:pt>
              </c:numCache>
            </c:numRef>
          </c:val>
          <c:smooth val="0"/>
          <c:extLst>
            <c:ext xmlns:c16="http://schemas.microsoft.com/office/drawing/2014/chart" uri="{C3380CC4-5D6E-409C-BE32-E72D297353CC}">
              <c16:uniqueId val="{00000000-4FED-402F-834B-181FC4D39865}"/>
            </c:ext>
          </c:extLst>
        </c:ser>
        <c:ser>
          <c:idx val="5"/>
          <c:order val="1"/>
          <c:tx>
            <c:strRef>
              <c:f>OST!$D$7</c:f>
              <c:strCache>
                <c:ptCount val="1"/>
                <c:pt idx="0">
                  <c:v>30–44 years</c:v>
                </c:pt>
              </c:strCache>
            </c:strRef>
          </c:tx>
          <c:spPr>
            <a:ln w="28575" cap="rnd">
              <a:solidFill>
                <a:schemeClr val="accent6"/>
              </a:solidFill>
              <a:round/>
            </a:ln>
            <a:effectLst/>
          </c:spPr>
          <c:marker>
            <c:symbol val="none"/>
          </c:marker>
          <c:cat>
            <c:numRef>
              <c:f>OST!$B$8:$B$19</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OST!$D$8:$D$19</c:f>
              <c:numCache>
                <c:formatCode>General</c:formatCode>
                <c:ptCount val="12"/>
                <c:pt idx="0">
                  <c:v>2510</c:v>
                </c:pt>
                <c:pt idx="1">
                  <c:v>2544</c:v>
                </c:pt>
                <c:pt idx="2">
                  <c:v>2615</c:v>
                </c:pt>
                <c:pt idx="3">
                  <c:v>2517</c:v>
                </c:pt>
                <c:pt idx="4">
                  <c:v>2297</c:v>
                </c:pt>
                <c:pt idx="5">
                  <c:v>2185</c:v>
                </c:pt>
                <c:pt idx="6">
                  <c:v>2151</c:v>
                </c:pt>
                <c:pt idx="7">
                  <c:v>2049</c:v>
                </c:pt>
                <c:pt idx="8">
                  <c:v>1855</c:v>
                </c:pt>
                <c:pt idx="9">
                  <c:v>1811</c:v>
                </c:pt>
                <c:pt idx="10">
                  <c:v>1794</c:v>
                </c:pt>
                <c:pt idx="11">
                  <c:v>1627</c:v>
                </c:pt>
              </c:numCache>
            </c:numRef>
          </c:val>
          <c:smooth val="0"/>
          <c:extLst>
            <c:ext xmlns:c16="http://schemas.microsoft.com/office/drawing/2014/chart" uri="{C3380CC4-5D6E-409C-BE32-E72D297353CC}">
              <c16:uniqueId val="{00000001-4FED-402F-834B-181FC4D39865}"/>
            </c:ext>
          </c:extLst>
        </c:ser>
        <c:ser>
          <c:idx val="6"/>
          <c:order val="2"/>
          <c:tx>
            <c:strRef>
              <c:f>OST!$E$7</c:f>
              <c:strCache>
                <c:ptCount val="1"/>
                <c:pt idx="0">
                  <c:v>45–59 years</c:v>
                </c:pt>
              </c:strCache>
            </c:strRef>
          </c:tx>
          <c:spPr>
            <a:ln w="28575" cap="rnd">
              <a:solidFill>
                <a:schemeClr val="accent1">
                  <a:lumMod val="60000"/>
                </a:schemeClr>
              </a:solidFill>
              <a:round/>
            </a:ln>
            <a:effectLst/>
          </c:spPr>
          <c:marker>
            <c:symbol val="none"/>
          </c:marker>
          <c:cat>
            <c:numRef>
              <c:f>OST!$B$8:$B$19</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OST!$E$8:$E$19</c:f>
              <c:numCache>
                <c:formatCode>General</c:formatCode>
                <c:ptCount val="12"/>
                <c:pt idx="0">
                  <c:v>1573</c:v>
                </c:pt>
                <c:pt idx="1">
                  <c:v>1753</c:v>
                </c:pt>
                <c:pt idx="2">
                  <c:v>1893</c:v>
                </c:pt>
                <c:pt idx="3">
                  <c:v>2022</c:v>
                </c:pt>
                <c:pt idx="4">
                  <c:v>2053</c:v>
                </c:pt>
                <c:pt idx="5">
                  <c:v>2269</c:v>
                </c:pt>
                <c:pt idx="6">
                  <c:v>2472</c:v>
                </c:pt>
                <c:pt idx="7">
                  <c:v>2668</c:v>
                </c:pt>
                <c:pt idx="8">
                  <c:v>2671</c:v>
                </c:pt>
                <c:pt idx="9">
                  <c:v>2851</c:v>
                </c:pt>
                <c:pt idx="10">
                  <c:v>2826</c:v>
                </c:pt>
                <c:pt idx="11">
                  <c:v>2888</c:v>
                </c:pt>
              </c:numCache>
            </c:numRef>
          </c:val>
          <c:smooth val="0"/>
          <c:extLst>
            <c:ext xmlns:c16="http://schemas.microsoft.com/office/drawing/2014/chart" uri="{C3380CC4-5D6E-409C-BE32-E72D297353CC}">
              <c16:uniqueId val="{00000002-4FED-402F-834B-181FC4D39865}"/>
            </c:ext>
          </c:extLst>
        </c:ser>
        <c:ser>
          <c:idx val="7"/>
          <c:order val="3"/>
          <c:tx>
            <c:strRef>
              <c:f>OST!$F$7</c:f>
              <c:strCache>
                <c:ptCount val="1"/>
                <c:pt idx="0">
                  <c:v>60+ years</c:v>
                </c:pt>
              </c:strCache>
            </c:strRef>
          </c:tx>
          <c:spPr>
            <a:ln w="28575" cap="rnd">
              <a:solidFill>
                <a:schemeClr val="accent2">
                  <a:lumMod val="60000"/>
                </a:schemeClr>
              </a:solidFill>
              <a:round/>
            </a:ln>
            <a:effectLst/>
          </c:spPr>
          <c:marker>
            <c:symbol val="none"/>
          </c:marker>
          <c:cat>
            <c:numRef>
              <c:f>OST!$B$8:$B$19</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OST!$F$8:$F$19</c:f>
              <c:numCache>
                <c:formatCode>General</c:formatCode>
                <c:ptCount val="12"/>
                <c:pt idx="0">
                  <c:v>42</c:v>
                </c:pt>
                <c:pt idx="1">
                  <c:v>64</c:v>
                </c:pt>
                <c:pt idx="2">
                  <c:v>84</c:v>
                </c:pt>
                <c:pt idx="3">
                  <c:v>122</c:v>
                </c:pt>
                <c:pt idx="4">
                  <c:v>151</c:v>
                </c:pt>
                <c:pt idx="5">
                  <c:v>192</c:v>
                </c:pt>
                <c:pt idx="6">
                  <c:v>257</c:v>
                </c:pt>
                <c:pt idx="7">
                  <c:v>326</c:v>
                </c:pt>
                <c:pt idx="8">
                  <c:v>425</c:v>
                </c:pt>
                <c:pt idx="9">
                  <c:v>530</c:v>
                </c:pt>
                <c:pt idx="10">
                  <c:v>613</c:v>
                </c:pt>
                <c:pt idx="11">
                  <c:v>717</c:v>
                </c:pt>
              </c:numCache>
            </c:numRef>
          </c:val>
          <c:smooth val="0"/>
          <c:extLst>
            <c:ext xmlns:c16="http://schemas.microsoft.com/office/drawing/2014/chart" uri="{C3380CC4-5D6E-409C-BE32-E72D297353CC}">
              <c16:uniqueId val="{00000003-4FED-402F-834B-181FC4D39865}"/>
            </c:ext>
          </c:extLst>
        </c:ser>
        <c:dLbls>
          <c:showLegendKey val="0"/>
          <c:showVal val="0"/>
          <c:showCatName val="0"/>
          <c:showSerName val="0"/>
          <c:showPercent val="0"/>
          <c:showBubbleSize val="0"/>
        </c:dLbls>
        <c:smooth val="0"/>
        <c:axId val="245067640"/>
        <c:axId val="245068816"/>
      </c:lineChart>
      <c:catAx>
        <c:axId val="24506764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Year</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5068816"/>
        <c:crosses val="autoZero"/>
        <c:auto val="1"/>
        <c:lblAlgn val="ctr"/>
        <c:lblOffset val="100"/>
        <c:noMultiLvlLbl val="0"/>
      </c:catAx>
      <c:valAx>
        <c:axId val="245068816"/>
        <c:scaling>
          <c:orientation val="minMax"/>
        </c:scaling>
        <c:delete val="0"/>
        <c:axPos val="l"/>
        <c:majorGridlines>
          <c:spPr>
            <a:ln w="9525" cap="flat" cmpd="sng" algn="ctr">
              <a:no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NZ"/>
                  <a:t>Number of clients</a:t>
                </a:r>
              </a:p>
            </c:rich>
          </c:tx>
          <c:layout>
            <c:manualLayout>
              <c:xMode val="edge"/>
              <c:yMode val="edge"/>
              <c:x val="0"/>
              <c:y val="3.2640951526628804E-2"/>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5067640"/>
        <c:crosses val="autoZero"/>
        <c:crossBetween val="between"/>
      </c:valAx>
      <c:spPr>
        <a:noFill/>
        <a:ln>
          <a:noFill/>
        </a:ln>
        <a:effectLst/>
      </c:spPr>
    </c:plotArea>
    <c:legend>
      <c:legendPos val="t"/>
      <c:layout>
        <c:manualLayout>
          <c:xMode val="edge"/>
          <c:yMode val="edge"/>
          <c:x val="0.29564119950735507"/>
          <c:y val="3.1963470319634701E-2"/>
          <c:w val="0.68991268007140572"/>
          <c:h val="7.154028691619027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267355549037739E-2"/>
          <c:y val="0.11792904477018702"/>
          <c:w val="0.90051774473749524"/>
          <c:h val="0.72749025170809267"/>
        </c:manualLayout>
      </c:layout>
      <c:barChart>
        <c:barDir val="col"/>
        <c:grouping val="percentStacked"/>
        <c:varyColors val="0"/>
        <c:ser>
          <c:idx val="1"/>
          <c:order val="0"/>
          <c:tx>
            <c:strRef>
              <c:f>OST!$C$73</c:f>
              <c:strCache>
                <c:ptCount val="1"/>
                <c:pt idx="0">
                  <c:v>Voluntary</c:v>
                </c:pt>
              </c:strCache>
            </c:strRef>
          </c:tx>
          <c:spPr>
            <a:solidFill>
              <a:schemeClr val="accent2"/>
            </a:solidFill>
            <a:ln>
              <a:noFill/>
            </a:ln>
            <a:effectLst/>
          </c:spPr>
          <c:invertIfNegative val="0"/>
          <c:cat>
            <c:numRef>
              <c:f>OST!$B$75:$B$86</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OST!$D$75:$D$86</c:f>
              <c:numCache>
                <c:formatCode>0%</c:formatCode>
                <c:ptCount val="12"/>
                <c:pt idx="0">
                  <c:v>0.73</c:v>
                </c:pt>
                <c:pt idx="1">
                  <c:v>0.68939393939393945</c:v>
                </c:pt>
                <c:pt idx="2">
                  <c:v>0.66666666666666663</c:v>
                </c:pt>
                <c:pt idx="3">
                  <c:v>0.68852459016393441</c:v>
                </c:pt>
                <c:pt idx="4">
                  <c:v>0.73493975903614461</c:v>
                </c:pt>
                <c:pt idx="5">
                  <c:v>0.83762886597938147</c:v>
                </c:pt>
                <c:pt idx="6">
                  <c:v>0.82579185520361986</c:v>
                </c:pt>
                <c:pt idx="7">
                  <c:v>0.8571428571428571</c:v>
                </c:pt>
                <c:pt idx="8">
                  <c:v>0.783561643835616</c:v>
                </c:pt>
                <c:pt idx="9">
                  <c:v>0.81</c:v>
                </c:pt>
                <c:pt idx="10">
                  <c:v>0.89</c:v>
                </c:pt>
                <c:pt idx="11">
                  <c:v>0.89</c:v>
                </c:pt>
              </c:numCache>
            </c:numRef>
          </c:val>
          <c:extLst>
            <c:ext xmlns:c16="http://schemas.microsoft.com/office/drawing/2014/chart" uri="{C3380CC4-5D6E-409C-BE32-E72D297353CC}">
              <c16:uniqueId val="{00000000-DB15-4006-82DE-5E0A3DE42D5F}"/>
            </c:ext>
          </c:extLst>
        </c:ser>
        <c:ser>
          <c:idx val="2"/>
          <c:order val="1"/>
          <c:tx>
            <c:strRef>
              <c:f>OST!$E$73</c:f>
              <c:strCache>
                <c:ptCount val="1"/>
                <c:pt idx="0">
                  <c:v>Involuntary</c:v>
                </c:pt>
              </c:strCache>
            </c:strRef>
          </c:tx>
          <c:spPr>
            <a:solidFill>
              <a:schemeClr val="accent3"/>
            </a:solidFill>
            <a:ln>
              <a:noFill/>
            </a:ln>
            <a:effectLst/>
          </c:spPr>
          <c:invertIfNegative val="0"/>
          <c:cat>
            <c:numRef>
              <c:f>OST!$B$75:$B$86</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OST!$F$75:$F$86</c:f>
              <c:numCache>
                <c:formatCode>0%</c:formatCode>
                <c:ptCount val="12"/>
                <c:pt idx="0">
                  <c:v>0.13</c:v>
                </c:pt>
                <c:pt idx="1">
                  <c:v>0.11363636363636363</c:v>
                </c:pt>
                <c:pt idx="2">
                  <c:v>0.18604651162790697</c:v>
                </c:pt>
                <c:pt idx="3">
                  <c:v>0.20655737704918034</c:v>
                </c:pt>
                <c:pt idx="4">
                  <c:v>0.16566265060240964</c:v>
                </c:pt>
                <c:pt idx="5">
                  <c:v>6.7010309278350513E-2</c:v>
                </c:pt>
                <c:pt idx="6">
                  <c:v>3.1674208144796379E-2</c:v>
                </c:pt>
                <c:pt idx="7">
                  <c:v>2.8011204481792718E-2</c:v>
                </c:pt>
                <c:pt idx="8">
                  <c:v>4.9315068493150697E-2</c:v>
                </c:pt>
                <c:pt idx="9">
                  <c:v>7.0000000000000007E-2</c:v>
                </c:pt>
                <c:pt idx="10">
                  <c:v>1.4999999999999999E-2</c:v>
                </c:pt>
                <c:pt idx="11">
                  <c:v>0.02</c:v>
                </c:pt>
              </c:numCache>
            </c:numRef>
          </c:val>
          <c:extLst>
            <c:ext xmlns:c16="http://schemas.microsoft.com/office/drawing/2014/chart" uri="{C3380CC4-5D6E-409C-BE32-E72D297353CC}">
              <c16:uniqueId val="{00000001-DB15-4006-82DE-5E0A3DE42D5F}"/>
            </c:ext>
          </c:extLst>
        </c:ser>
        <c:ser>
          <c:idx val="3"/>
          <c:order val="2"/>
          <c:tx>
            <c:strRef>
              <c:f>OST!$G$73</c:f>
              <c:strCache>
                <c:ptCount val="1"/>
                <c:pt idx="0">
                  <c:v>Client deaths</c:v>
                </c:pt>
              </c:strCache>
            </c:strRef>
          </c:tx>
          <c:spPr>
            <a:solidFill>
              <a:schemeClr val="accent4"/>
            </a:solidFill>
            <a:ln>
              <a:noFill/>
            </a:ln>
            <a:effectLst/>
          </c:spPr>
          <c:invertIfNegative val="0"/>
          <c:cat>
            <c:numRef>
              <c:f>OST!$B$75:$B$86</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OST!$H$75:$H$86</c:f>
              <c:numCache>
                <c:formatCode>0%</c:formatCode>
                <c:ptCount val="12"/>
                <c:pt idx="0">
                  <c:v>0.14000000000000001</c:v>
                </c:pt>
                <c:pt idx="1">
                  <c:v>0.19696969696969696</c:v>
                </c:pt>
                <c:pt idx="2">
                  <c:v>0.14728682170542637</c:v>
                </c:pt>
                <c:pt idx="3">
                  <c:v>0.10491803278688525</c:v>
                </c:pt>
                <c:pt idx="4">
                  <c:v>9.9397590361445784E-2</c:v>
                </c:pt>
                <c:pt idx="5">
                  <c:v>9.5360824742268036E-2</c:v>
                </c:pt>
                <c:pt idx="6">
                  <c:v>0.1425339366515837</c:v>
                </c:pt>
                <c:pt idx="7">
                  <c:v>0.11484593837535013</c:v>
                </c:pt>
                <c:pt idx="8">
                  <c:v>0.16712328767123288</c:v>
                </c:pt>
                <c:pt idx="9">
                  <c:v>0.12</c:v>
                </c:pt>
                <c:pt idx="10">
                  <c:v>0.09</c:v>
                </c:pt>
                <c:pt idx="11">
                  <c:v>0.09</c:v>
                </c:pt>
              </c:numCache>
            </c:numRef>
          </c:val>
          <c:extLst>
            <c:ext xmlns:c16="http://schemas.microsoft.com/office/drawing/2014/chart" uri="{C3380CC4-5D6E-409C-BE32-E72D297353CC}">
              <c16:uniqueId val="{00000002-DB15-4006-82DE-5E0A3DE42D5F}"/>
            </c:ext>
          </c:extLst>
        </c:ser>
        <c:dLbls>
          <c:showLegendKey val="0"/>
          <c:showVal val="0"/>
          <c:showCatName val="0"/>
          <c:showSerName val="0"/>
          <c:showPercent val="0"/>
          <c:showBubbleSize val="0"/>
        </c:dLbls>
        <c:gapWidth val="150"/>
        <c:overlap val="100"/>
        <c:axId val="245066072"/>
        <c:axId val="245066464"/>
      </c:barChart>
      <c:catAx>
        <c:axId val="24506607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Year</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5066464"/>
        <c:crosses val="autoZero"/>
        <c:auto val="1"/>
        <c:lblAlgn val="ctr"/>
        <c:lblOffset val="100"/>
        <c:noMultiLvlLbl val="0"/>
      </c:catAx>
      <c:valAx>
        <c:axId val="245066464"/>
        <c:scaling>
          <c:orientation val="minMax"/>
        </c:scaling>
        <c:delete val="0"/>
        <c:axPos val="l"/>
        <c:majorGridlines>
          <c:spPr>
            <a:ln w="9525" cap="flat" cmpd="sng" algn="ctr">
              <a:no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NZ"/>
                  <a:t>Percentage</a:t>
                </a:r>
              </a:p>
            </c:rich>
          </c:tx>
          <c:layout>
            <c:manualLayout>
              <c:xMode val="edge"/>
              <c:yMode val="edge"/>
              <c:x val="0"/>
              <c:y val="2.6400224776080743E-3"/>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5066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570484835621959E-2"/>
          <c:y val="0.12154696132596685"/>
          <c:w val="0.90692521626411671"/>
          <c:h val="0.47672713562738361"/>
        </c:manualLayout>
      </c:layout>
      <c:barChart>
        <c:barDir val="col"/>
        <c:grouping val="clustered"/>
        <c:varyColors val="0"/>
        <c:ser>
          <c:idx val="0"/>
          <c:order val="0"/>
          <c:tx>
            <c:strRef>
              <c:f>'Indefinite orders'!$D$75</c:f>
              <c:strCache>
                <c:ptCount val="1"/>
                <c:pt idx="0">
                  <c:v>Rate per 100,000 population</c:v>
                </c:pt>
              </c:strCache>
            </c:strRef>
          </c:tx>
          <c:spPr>
            <a:solidFill>
              <a:schemeClr val="accent1"/>
            </a:solidFill>
            <a:ln>
              <a:noFill/>
            </a:ln>
            <a:effectLst/>
          </c:spPr>
          <c:invertIfNegative val="0"/>
          <c:dPt>
            <c:idx val="20"/>
            <c:invertIfNegative val="0"/>
            <c:bubble3D val="0"/>
            <c:spPr>
              <a:solidFill>
                <a:schemeClr val="accent6"/>
              </a:solidFill>
              <a:ln>
                <a:noFill/>
              </a:ln>
              <a:effectLst/>
            </c:spPr>
            <c:extLst>
              <c:ext xmlns:c16="http://schemas.microsoft.com/office/drawing/2014/chart" uri="{C3380CC4-5D6E-409C-BE32-E72D297353CC}">
                <c16:uniqueId val="{00000001-C214-4557-BD7F-2D067F524048}"/>
              </c:ext>
            </c:extLst>
          </c:dPt>
          <c:cat>
            <c:strRef>
              <c:f>'Indefinite orders'!$A$76:$A$96</c:f>
              <c:strCache>
                <c:ptCount val="21"/>
                <c:pt idx="0">
                  <c:v>Auckland</c:v>
                </c:pt>
                <c:pt idx="1">
                  <c:v>Bay of Plenty</c:v>
                </c:pt>
                <c:pt idx="2">
                  <c:v>Canterbury</c:v>
                </c:pt>
                <c:pt idx="3">
                  <c:v>Capital &amp; Coast </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pt idx="20">
                  <c:v>NZ</c:v>
                </c:pt>
              </c:strCache>
            </c:strRef>
          </c:cat>
          <c:val>
            <c:numRef>
              <c:f>'Indefinite orders'!$D$76:$D$96</c:f>
              <c:numCache>
                <c:formatCode>_-* #,##0.0_-;\-* #,##0.0_-;_-* "-"??_-;_-@_-</c:formatCode>
                <c:ptCount val="21"/>
                <c:pt idx="0">
                  <c:v>59.567719091177338</c:v>
                </c:pt>
                <c:pt idx="1">
                  <c:v>34.675802139037437</c:v>
                </c:pt>
                <c:pt idx="2">
                  <c:v>43.975373790677224</c:v>
                </c:pt>
                <c:pt idx="3">
                  <c:v>89.41132335011099</c:v>
                </c:pt>
                <c:pt idx="4">
                  <c:v>50.378727404963371</c:v>
                </c:pt>
                <c:pt idx="5">
                  <c:v>10.216346153846153</c:v>
                </c:pt>
                <c:pt idx="6">
                  <c:v>41.910590739755193</c:v>
                </c:pt>
                <c:pt idx="7">
                  <c:v>60.809584316572881</c:v>
                </c:pt>
                <c:pt idx="8">
                  <c:v>56.537885926500749</c:v>
                </c:pt>
                <c:pt idx="9">
                  <c:v>52.207242928892413</c:v>
                </c:pt>
                <c:pt idx="10">
                  <c:v>117.88145442470528</c:v>
                </c:pt>
                <c:pt idx="11">
                  <c:v>58.245964386753201</c:v>
                </c:pt>
                <c:pt idx="12">
                  <c:v>51.502921510752365</c:v>
                </c:pt>
                <c:pt idx="13">
                  <c:v>95.36370092320179</c:v>
                </c:pt>
                <c:pt idx="14">
                  <c:v>58.112988252874516</c:v>
                </c:pt>
                <c:pt idx="15">
                  <c:v>75.74133619149697</c:v>
                </c:pt>
                <c:pt idx="16">
                  <c:v>50.130775937227554</c:v>
                </c:pt>
                <c:pt idx="17">
                  <c:v>24.880779597760732</c:v>
                </c:pt>
                <c:pt idx="18">
                  <c:v>61.585835257890686</c:v>
                </c:pt>
                <c:pt idx="19">
                  <c:v>75.234147090434519</c:v>
                </c:pt>
                <c:pt idx="20">
                  <c:v>47.348379099710769</c:v>
                </c:pt>
              </c:numCache>
            </c:numRef>
          </c:val>
          <c:extLst>
            <c:ext xmlns:c16="http://schemas.microsoft.com/office/drawing/2014/chart" uri="{C3380CC4-5D6E-409C-BE32-E72D297353CC}">
              <c16:uniqueId val="{00000000-C214-4557-BD7F-2D067F524048}"/>
            </c:ext>
          </c:extLst>
        </c:ser>
        <c:dLbls>
          <c:showLegendKey val="0"/>
          <c:showVal val="0"/>
          <c:showCatName val="0"/>
          <c:showSerName val="0"/>
          <c:showPercent val="0"/>
          <c:showBubbleSize val="0"/>
        </c:dLbls>
        <c:gapWidth val="219"/>
        <c:overlap val="-27"/>
        <c:axId val="703984328"/>
        <c:axId val="703990560"/>
      </c:barChart>
      <c:catAx>
        <c:axId val="703984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DHB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990560"/>
        <c:crosses val="autoZero"/>
        <c:auto val="1"/>
        <c:lblAlgn val="ctr"/>
        <c:lblOffset val="100"/>
        <c:noMultiLvlLbl val="0"/>
      </c:catAx>
      <c:valAx>
        <c:axId val="703990560"/>
        <c:scaling>
          <c:orientation val="minMax"/>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 per 100,000 population</a:t>
                </a:r>
              </a:p>
            </c:rich>
          </c:tx>
          <c:layout>
            <c:manualLayout>
              <c:xMode val="edge"/>
              <c:yMode val="edge"/>
              <c:x val="0"/>
              <c:y val="3.9442583489228416E-5"/>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984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186543984317145E-2"/>
          <c:y val="0.13259668508287292"/>
          <c:w val="0.92120770721800926"/>
          <c:h val="0.42663572725419185"/>
        </c:manualLayout>
      </c:layout>
      <c:barChart>
        <c:barDir val="col"/>
        <c:grouping val="clustered"/>
        <c:varyColors val="0"/>
        <c:ser>
          <c:idx val="0"/>
          <c:order val="0"/>
          <c:tx>
            <c:strRef>
              <c:f>'Indefinite orders'!$D$75</c:f>
              <c:strCache>
                <c:ptCount val="1"/>
                <c:pt idx="0">
                  <c:v>Rate per 100,000 population</c:v>
                </c:pt>
              </c:strCache>
            </c:strRef>
          </c:tx>
          <c:spPr>
            <a:solidFill>
              <a:schemeClr val="accent1"/>
            </a:solidFill>
            <a:ln>
              <a:noFill/>
            </a:ln>
            <a:effectLst/>
          </c:spPr>
          <c:invertIfNegative val="0"/>
          <c:dPt>
            <c:idx val="20"/>
            <c:invertIfNegative val="0"/>
            <c:bubble3D val="0"/>
            <c:spPr>
              <a:solidFill>
                <a:schemeClr val="accent6"/>
              </a:solidFill>
              <a:ln>
                <a:noFill/>
              </a:ln>
              <a:effectLst/>
            </c:spPr>
            <c:extLst>
              <c:ext xmlns:c16="http://schemas.microsoft.com/office/drawing/2014/chart" uri="{C3380CC4-5D6E-409C-BE32-E72D297353CC}">
                <c16:uniqueId val="{00000001-87E2-4602-AF37-AAFD1925AE04}"/>
              </c:ext>
            </c:extLst>
          </c:dPt>
          <c:cat>
            <c:strRef>
              <c:f>'Indefinite orders'!$A$76:$A$96</c:f>
              <c:strCache>
                <c:ptCount val="21"/>
                <c:pt idx="0">
                  <c:v>Auckland</c:v>
                </c:pt>
                <c:pt idx="1">
                  <c:v>Bay of Plenty</c:v>
                </c:pt>
                <c:pt idx="2">
                  <c:v>Canterbury</c:v>
                </c:pt>
                <c:pt idx="3">
                  <c:v>Capital &amp; Coast </c:v>
                </c:pt>
                <c:pt idx="4">
                  <c:v>Counties Manukau</c:v>
                </c:pt>
                <c:pt idx="5">
                  <c:v>Hawke's Bay</c:v>
                </c:pt>
                <c:pt idx="6">
                  <c:v>Hutt Valley</c:v>
                </c:pt>
                <c:pt idx="7">
                  <c:v>Lakes</c:v>
                </c:pt>
                <c:pt idx="8">
                  <c:v>MidCentral</c:v>
                </c:pt>
                <c:pt idx="9">
                  <c:v>Nelson Marlborough</c:v>
                </c:pt>
                <c:pt idx="10">
                  <c:v>Northland</c:v>
                </c:pt>
                <c:pt idx="11">
                  <c:v>South Canterbury</c:v>
                </c:pt>
                <c:pt idx="12">
                  <c:v>Southern</c:v>
                </c:pt>
                <c:pt idx="13">
                  <c:v>Tairāwhiti</c:v>
                </c:pt>
                <c:pt idx="14">
                  <c:v>Taranaki</c:v>
                </c:pt>
                <c:pt idx="15">
                  <c:v>Waikato</c:v>
                </c:pt>
                <c:pt idx="16">
                  <c:v>Wairarapa</c:v>
                </c:pt>
                <c:pt idx="17">
                  <c:v>Waitematā</c:v>
                </c:pt>
                <c:pt idx="18">
                  <c:v>West Coast</c:v>
                </c:pt>
                <c:pt idx="19">
                  <c:v>Whanganui</c:v>
                </c:pt>
                <c:pt idx="20">
                  <c:v>NZ</c:v>
                </c:pt>
              </c:strCache>
            </c:strRef>
          </c:cat>
          <c:val>
            <c:numRef>
              <c:f>'Indefinite orders'!$D$76:$D$96</c:f>
              <c:numCache>
                <c:formatCode>_-* #,##0.0_-;\-* #,##0.0_-;_-* "-"??_-;_-@_-</c:formatCode>
                <c:ptCount val="21"/>
                <c:pt idx="0">
                  <c:v>70.428302350339862</c:v>
                </c:pt>
                <c:pt idx="1">
                  <c:v>32.142997138489278</c:v>
                </c:pt>
                <c:pt idx="2">
                  <c:v>43.111757592751616</c:v>
                </c:pt>
                <c:pt idx="3">
                  <c:v>94.14654113794515</c:v>
                </c:pt>
                <c:pt idx="4">
                  <c:v>43.912035410665361</c:v>
                </c:pt>
                <c:pt idx="5">
                  <c:v>10.884509624197984</c:v>
                </c:pt>
                <c:pt idx="6">
                  <c:v>48.896609406163549</c:v>
                </c:pt>
                <c:pt idx="7">
                  <c:v>46.899426784783742</c:v>
                </c:pt>
                <c:pt idx="8">
                  <c:v>63.452464884212802</c:v>
                </c:pt>
                <c:pt idx="9">
                  <c:v>55.147058823529413</c:v>
                </c:pt>
                <c:pt idx="10">
                  <c:v>116.10191752035725</c:v>
                </c:pt>
                <c:pt idx="11">
                  <c:v>60.250773489659665</c:v>
                </c:pt>
                <c:pt idx="12">
                  <c:v>49.222114793003435</c:v>
                </c:pt>
                <c:pt idx="13">
                  <c:v>58.609539207760719</c:v>
                </c:pt>
                <c:pt idx="14">
                  <c:v>62.386064411585984</c:v>
                </c:pt>
                <c:pt idx="15">
                  <c:v>72.181991757282233</c:v>
                </c:pt>
                <c:pt idx="16">
                  <c:v>20.879006159306819</c:v>
                </c:pt>
                <c:pt idx="17">
                  <c:v>43.134784083749338</c:v>
                </c:pt>
                <c:pt idx="18">
                  <c:v>61.312078479460453</c:v>
                </c:pt>
                <c:pt idx="19">
                  <c:v>84.021226415094347</c:v>
                </c:pt>
                <c:pt idx="20">
                  <c:v>54.512698085693394</c:v>
                </c:pt>
              </c:numCache>
            </c:numRef>
          </c:val>
          <c:extLst>
            <c:ext xmlns:c16="http://schemas.microsoft.com/office/drawing/2014/chart" uri="{C3380CC4-5D6E-409C-BE32-E72D297353CC}">
              <c16:uniqueId val="{00000002-87E2-4602-AF37-AAFD1925AE04}"/>
            </c:ext>
          </c:extLst>
        </c:ser>
        <c:dLbls>
          <c:showLegendKey val="0"/>
          <c:showVal val="0"/>
          <c:showCatName val="0"/>
          <c:showSerName val="0"/>
          <c:showPercent val="0"/>
          <c:showBubbleSize val="0"/>
        </c:dLbls>
        <c:gapWidth val="219"/>
        <c:overlap val="-27"/>
        <c:axId val="703984328"/>
        <c:axId val="703990560"/>
      </c:barChart>
      <c:catAx>
        <c:axId val="70398432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NZ"/>
                  <a:t>DHB</a:t>
                </a:r>
              </a:p>
            </c:rich>
          </c:tx>
          <c:layout>
            <c:manualLayout>
              <c:xMode val="edge"/>
              <c:yMode val="edge"/>
              <c:x val="0.47224332563821986"/>
              <c:y val="0.9377562922512878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3990560"/>
        <c:crosses val="autoZero"/>
        <c:auto val="1"/>
        <c:lblAlgn val="ctr"/>
        <c:lblOffset val="100"/>
        <c:noMultiLvlLbl val="0"/>
      </c:catAx>
      <c:valAx>
        <c:axId val="703990560"/>
        <c:scaling>
          <c:orientation val="minMax"/>
        </c:scaling>
        <c:delete val="0"/>
        <c:axPos val="l"/>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NZ"/>
                  <a:t>Rate per 100,000 population</a:t>
                </a:r>
              </a:p>
            </c:rich>
          </c:tx>
          <c:layout>
            <c:manualLayout>
              <c:xMode val="edge"/>
              <c:yMode val="edge"/>
              <c:x val="1.1184431271669836E-2"/>
              <c:y val="3.9357702104275641E-5"/>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3984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97-4BE5-9485-CD56E968D2C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4C97-4BE5-9485-CD56E968D2C1}"/>
              </c:ext>
            </c:extLst>
          </c:dPt>
          <c:dLbls>
            <c:dLbl>
              <c:idx val="0"/>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fld id="{9493E466-8D11-4134-AB88-444D6684544C}" type="CATEGORYNAME">
                      <a:rPr lang="en-US"/>
                      <a:pPr>
                        <a:defRPr/>
                      </a:pPr>
                      <a:t>[CATEGORY NAME]</a:t>
                    </a:fld>
                    <a:endParaRPr lang="en-US"/>
                  </a:p>
                  <a:p>
                    <a:pPr>
                      <a:defRPr/>
                    </a:pPr>
                    <a:r>
                      <a:rPr lang="en-US"/>
                      <a:t>(</a:t>
                    </a:r>
                    <a:fld id="{65C5329B-A643-480C-9AFF-5B2DA8F9C9D7}" type="PERCENTAGE">
                      <a:rPr lang="en-US"/>
                      <a:pPr>
                        <a:defRPr/>
                      </a:pPr>
                      <a:t>[PERCENTAGE]</a:t>
                    </a:fld>
                    <a:r>
                      <a:rPr lang="en-US"/>
                      <a:t>)</a:t>
                    </a:r>
                  </a:p>
                </c:rich>
              </c:tx>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1-4C97-4BE5-9485-CD56E968D2C1}"/>
                </c:ext>
              </c:extLst>
            </c:dLbl>
            <c:dLbl>
              <c:idx val="1"/>
              <c:tx>
                <c:rich>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fld id="{8F4DF5C4-EE8B-422D-AE42-BF3B8D04C1B4}" type="CATEGORYNAME">
                      <a:rPr lang="en-US"/>
                      <a:pPr>
                        <a:defRPr/>
                      </a:pPr>
                      <a:t>[CATEGORY NAME]</a:t>
                    </a:fld>
                    <a:r>
                      <a:rPr lang="en-US"/>
                      <a:t>
(</a:t>
                    </a:r>
                    <a:fld id="{BFFFA481-24EF-4B31-BAD1-D1CF364AD050}" type="PERCENTAGE">
                      <a:rPr lang="en-US"/>
                      <a:pPr>
                        <a:defRPr/>
                      </a:pPr>
                      <a:t>[PERCENTAGE]</a:t>
                    </a:fld>
                    <a:r>
                      <a:rPr lang="en-US"/>
                      <a:t>)</a:t>
                    </a:r>
                  </a:p>
                </c:rich>
              </c:tx>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4C97-4BE5-9485-CD56E968D2C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Lit>
              <c:ptCount val="2"/>
              <c:pt idx="0">
                <c:v>Female</c:v>
              </c:pt>
              <c:pt idx="1">
                <c:v> Male</c:v>
              </c:pt>
            </c:strLit>
          </c:cat>
          <c:val>
            <c:numRef>
              <c:f>'Indefinite orders'!$E$178:$E$179</c:f>
              <c:numCache>
                <c:formatCode>_-* #,##0_-;\-* #,##0_-;_-* "-"??_-;_-@_-</c:formatCode>
                <c:ptCount val="2"/>
                <c:pt idx="0">
                  <c:v>707</c:v>
                </c:pt>
                <c:pt idx="1">
                  <c:v>1625</c:v>
                </c:pt>
              </c:numCache>
            </c:numRef>
          </c:val>
          <c:extLst>
            <c:ext xmlns:c16="http://schemas.microsoft.com/office/drawing/2014/chart" uri="{C3380CC4-5D6E-409C-BE32-E72D297353CC}">
              <c16:uniqueId val="{00000004-4C97-4BE5-9485-CD56E968D2C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0.28422</cdr:x>
      <cdr:y>0.09546</cdr:y>
    </cdr:from>
    <cdr:to>
      <cdr:x>0.28422</cdr:x>
      <cdr:y>0.81421</cdr:y>
    </cdr:to>
    <cdr:cxnSp macro="">
      <cdr:nvCxnSpPr>
        <cdr:cNvPr id="3" name="Straight Connector 2">
          <a:extLst xmlns:a="http://schemas.openxmlformats.org/drawingml/2006/main">
            <a:ext uri="{FF2B5EF4-FFF2-40B4-BE49-F238E27FC236}">
              <a16:creationId xmlns:a16="http://schemas.microsoft.com/office/drawing/2014/main" id="{3513DE9E-2F27-4885-9FFE-D2618CC63EF8}"/>
            </a:ext>
          </a:extLst>
        </cdr:cNvPr>
        <cdr:cNvCxnSpPr/>
      </cdr:nvCxnSpPr>
      <cdr:spPr>
        <a:xfrm xmlns:a="http://schemas.openxmlformats.org/drawingml/2006/main">
          <a:off x="1421325" y="312805"/>
          <a:ext cx="0" cy="2355216"/>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0.1875</cdr:x>
      <cdr:y>0.00521</cdr:y>
    </cdr:from>
    <cdr:to>
      <cdr:x>0.54583</cdr:x>
      <cdr:y>0.09549</cdr:y>
    </cdr:to>
    <cdr:sp macro="" textlink="">
      <cdr:nvSpPr>
        <cdr:cNvPr id="4" name="TextBox 3"/>
        <cdr:cNvSpPr txBox="1"/>
      </cdr:nvSpPr>
      <cdr:spPr>
        <a:xfrm xmlns:a="http://schemas.openxmlformats.org/drawingml/2006/main">
          <a:off x="857251" y="14289"/>
          <a:ext cx="1638300" cy="2476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t>Seclusion reduction</a:t>
          </a:r>
          <a:r>
            <a:rPr lang="en-NZ" sz="1000" baseline="0"/>
            <a:t> policy introduced</a:t>
          </a:r>
          <a:endParaRPr lang="en-NZ" sz="1000"/>
        </a:p>
      </cdr:txBody>
    </cdr:sp>
  </cdr:relSizeAnchor>
  <cdr:relSizeAnchor xmlns:cdr="http://schemas.openxmlformats.org/drawingml/2006/chartDrawing">
    <cdr:from>
      <cdr:x>0.24698</cdr:x>
      <cdr:y>0.04684</cdr:y>
    </cdr:from>
    <cdr:to>
      <cdr:x>0.33035</cdr:x>
      <cdr:y>0.14005</cdr:y>
    </cdr:to>
    <cdr:sp macro="" textlink="">
      <cdr:nvSpPr>
        <cdr:cNvPr id="5" name="TextBox 1"/>
        <cdr:cNvSpPr txBox="1"/>
      </cdr:nvSpPr>
      <cdr:spPr>
        <a:xfrm xmlns:a="http://schemas.openxmlformats.org/drawingml/2006/main">
          <a:off x="1235093" y="153486"/>
          <a:ext cx="416921" cy="3054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sym typeface="Wingdings"/>
            </a:rPr>
            <a:t> </a:t>
          </a:r>
          <a:endParaRPr lang="en-NZ" sz="1100"/>
        </a:p>
      </cdr:txBody>
    </cdr:sp>
  </cdr:relSizeAnchor>
</c:userShapes>
</file>

<file path=word/drawings/drawing2.xml><?xml version="1.0" encoding="utf-8"?>
<c:userShapes xmlns:c="http://schemas.openxmlformats.org/drawingml/2006/chart">
  <cdr:relSizeAnchor xmlns:cdr="http://schemas.openxmlformats.org/drawingml/2006/chartDrawing">
    <cdr:from>
      <cdr:x>0.31182</cdr:x>
      <cdr:y>0.08854</cdr:y>
    </cdr:from>
    <cdr:to>
      <cdr:x>0.31182</cdr:x>
      <cdr:y>0.80729</cdr:y>
    </cdr:to>
    <cdr:cxnSp macro="">
      <cdr:nvCxnSpPr>
        <cdr:cNvPr id="3" name="Straight Connector 2">
          <a:extLst xmlns:a="http://schemas.openxmlformats.org/drawingml/2006/main">
            <a:ext uri="{FF2B5EF4-FFF2-40B4-BE49-F238E27FC236}">
              <a16:creationId xmlns:a16="http://schemas.microsoft.com/office/drawing/2014/main" id="{FF07865E-FDC3-4A1B-9461-9BFFBF8BA7C4}"/>
            </a:ext>
          </a:extLst>
        </cdr:cNvPr>
        <cdr:cNvCxnSpPr/>
      </cdr:nvCxnSpPr>
      <cdr:spPr>
        <a:xfrm xmlns:a="http://schemas.openxmlformats.org/drawingml/2006/main">
          <a:off x="1559367" y="261691"/>
          <a:ext cx="0" cy="212436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0.1875</cdr:x>
      <cdr:y>0.00521</cdr:y>
    </cdr:from>
    <cdr:to>
      <cdr:x>0.65175</cdr:x>
      <cdr:y>0.08879</cdr:y>
    </cdr:to>
    <cdr:sp macro="" textlink="">
      <cdr:nvSpPr>
        <cdr:cNvPr id="4" name="TextBox 3"/>
        <cdr:cNvSpPr txBox="1"/>
      </cdr:nvSpPr>
      <cdr:spPr>
        <a:xfrm xmlns:a="http://schemas.openxmlformats.org/drawingml/2006/main">
          <a:off x="937659" y="14650"/>
          <a:ext cx="2321662" cy="2349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t>Seclusion reduction</a:t>
          </a:r>
          <a:r>
            <a:rPr lang="en-NZ" sz="1000" baseline="0"/>
            <a:t> policy introduced</a:t>
          </a:r>
          <a:endParaRPr lang="en-NZ" sz="1000"/>
        </a:p>
      </cdr:txBody>
    </cdr:sp>
  </cdr:relSizeAnchor>
</c:userShapes>
</file>

<file path=word/drawings/drawing3.xml><?xml version="1.0" encoding="utf-8"?>
<c:userShapes xmlns:c="http://schemas.openxmlformats.org/drawingml/2006/chart">
  <cdr:relSizeAnchor xmlns:cdr="http://schemas.openxmlformats.org/drawingml/2006/chartDrawing">
    <cdr:from>
      <cdr:x>0.89277</cdr:x>
      <cdr:y>0.56422</cdr:y>
    </cdr:from>
    <cdr:to>
      <cdr:x>1</cdr:x>
      <cdr:y>0.62324</cdr:y>
    </cdr:to>
    <cdr:sp macro="" textlink="">
      <cdr:nvSpPr>
        <cdr:cNvPr id="2" name="TextBox 1"/>
        <cdr:cNvSpPr txBox="1"/>
      </cdr:nvSpPr>
      <cdr:spPr>
        <a:xfrm xmlns:a="http://schemas.openxmlformats.org/drawingml/2006/main">
          <a:off x="4499556" y="2693553"/>
          <a:ext cx="540439" cy="281757"/>
        </a:xfrm>
        <a:prstGeom xmlns:a="http://schemas.openxmlformats.org/drawingml/2006/main" prst="rect">
          <a:avLst/>
        </a:prstGeom>
      </cdr:spPr>
      <cdr:txBody>
        <a:bodyPr xmlns:a="http://schemas.openxmlformats.org/drawingml/2006/main" vertOverflow="clip" wrap="square" lIns="0" tIns="0" rIns="0" bIns="0" rtlCol="0">
          <a:spAutoFit/>
        </a:bodyPr>
        <a:lstStyle xmlns:a="http://schemas.openxmlformats.org/drawingml/2006/main"/>
        <a:p xmlns:a="http://schemas.openxmlformats.org/drawingml/2006/main">
          <a:r>
            <a:rPr lang="en-NZ" sz="900">
              <a:latin typeface="+mn-lt"/>
              <a:ea typeface="+mn-ea"/>
              <a:cs typeface="+mn-cs"/>
            </a:rPr>
            <a:t>National average</a:t>
          </a:r>
          <a:endParaRPr lang="en-NZ" sz="900"/>
        </a:p>
      </cdr:txBody>
    </cdr:sp>
  </cdr:relSizeAnchor>
</c:userShapes>
</file>

<file path=word/drawings/drawing4.xml><?xml version="1.0" encoding="utf-8"?>
<c:userShapes xmlns:c="http://schemas.openxmlformats.org/drawingml/2006/chart">
  <cdr:relSizeAnchor xmlns:cdr="http://schemas.openxmlformats.org/drawingml/2006/chartDrawing">
    <cdr:from>
      <cdr:x>0.86216</cdr:x>
      <cdr:y>0.53644</cdr:y>
    </cdr:from>
    <cdr:to>
      <cdr:x>0.99068</cdr:x>
      <cdr:y>0.62205</cdr:y>
    </cdr:to>
    <cdr:sp macro="" textlink="">
      <cdr:nvSpPr>
        <cdr:cNvPr id="2" name="TextBox 1"/>
        <cdr:cNvSpPr txBox="1"/>
      </cdr:nvSpPr>
      <cdr:spPr>
        <a:xfrm xmlns:a="http://schemas.openxmlformats.org/drawingml/2006/main">
          <a:off x="4345282" y="2480868"/>
          <a:ext cx="647740" cy="395921"/>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r>
            <a:rPr lang="en-NZ" sz="900"/>
            <a:t>National</a:t>
          </a:r>
          <a:r>
            <a:rPr lang="en-NZ" sz="900" baseline="0"/>
            <a:t> average</a:t>
          </a:r>
          <a:endParaRPr lang="en-NZ" sz="900"/>
        </a:p>
      </cdr:txBody>
    </cdr:sp>
  </cdr:relSizeAnchor>
</c:userShapes>
</file>

<file path=word/drawings/drawing5.xml><?xml version="1.0" encoding="utf-8"?>
<c:userShapes xmlns:c="http://schemas.openxmlformats.org/drawingml/2006/chart">
  <cdr:relSizeAnchor xmlns:cdr="http://schemas.openxmlformats.org/drawingml/2006/chartDrawing">
    <cdr:from>
      <cdr:x>0.85574</cdr:x>
      <cdr:y>0.52505</cdr:y>
    </cdr:from>
    <cdr:to>
      <cdr:x>0.97676</cdr:x>
      <cdr:y>0.69022</cdr:y>
    </cdr:to>
    <cdr:sp macro="" textlink="">
      <cdr:nvSpPr>
        <cdr:cNvPr id="2" name="TextBox 1"/>
        <cdr:cNvSpPr txBox="1"/>
      </cdr:nvSpPr>
      <cdr:spPr>
        <a:xfrm xmlns:a="http://schemas.openxmlformats.org/drawingml/2006/main">
          <a:off x="4312925" y="2216155"/>
          <a:ext cx="609949" cy="697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a:t>National average</a:t>
          </a:r>
        </a:p>
      </cdr:txBody>
    </cdr:sp>
  </cdr:relSizeAnchor>
</c:userShapes>
</file>

<file path=word/drawings/drawing6.xml><?xml version="1.0" encoding="utf-8"?>
<c:userShapes xmlns:c="http://schemas.openxmlformats.org/drawingml/2006/chart">
  <cdr:relSizeAnchor xmlns:cdr="http://schemas.openxmlformats.org/drawingml/2006/chartDrawing">
    <cdr:from>
      <cdr:x>0.85759</cdr:x>
      <cdr:y>0.50438</cdr:y>
    </cdr:from>
    <cdr:to>
      <cdr:x>0.99151</cdr:x>
      <cdr:y>0.62846</cdr:y>
    </cdr:to>
    <cdr:sp macro="" textlink="">
      <cdr:nvSpPr>
        <cdr:cNvPr id="2" name="TextBox 1"/>
        <cdr:cNvSpPr txBox="1"/>
      </cdr:nvSpPr>
      <cdr:spPr>
        <a:xfrm xmlns:a="http://schemas.openxmlformats.org/drawingml/2006/main">
          <a:off x="4915314" y="2155823"/>
          <a:ext cx="767564" cy="5303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a:latin typeface="+mn-lt"/>
              <a:ea typeface="+mn-ea"/>
              <a:cs typeface="+mn-cs"/>
            </a:rPr>
            <a:t>National average</a:t>
          </a:r>
          <a:endParaRPr lang="en-NZ"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25400">
          <a:solidFill>
            <a:schemeClr val="accent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4F869651CBED4AB058FE7F9F3ED0A7" ma:contentTypeVersion="12" ma:contentTypeDescription="Create a new document." ma:contentTypeScope="" ma:versionID="78fb08c3f9ed1acfc8b60216ee3b6090">
  <xsd:schema xmlns:xsd="http://www.w3.org/2001/XMLSchema" xmlns:xs="http://www.w3.org/2001/XMLSchema" xmlns:p="http://schemas.microsoft.com/office/2006/metadata/properties" xmlns:ns3="4aea5d07-0eb0-44bf-96eb-22637babf967" xmlns:ns4="2ffa5dc2-4451-4ee2-b115-33f870a805e6" targetNamespace="http://schemas.microsoft.com/office/2006/metadata/properties" ma:root="true" ma:fieldsID="ff2e8f7da96e48ed77233c9bd7f181d7" ns3:_="" ns4:_="">
    <xsd:import namespace="4aea5d07-0eb0-44bf-96eb-22637babf967"/>
    <xsd:import namespace="2ffa5dc2-4451-4ee2-b115-33f870a805e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a5d07-0eb0-44bf-96eb-22637babf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fa5dc2-4451-4ee2-b115-33f870a805e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1CA28-8CB8-4555-849C-D37AE4676257}">
  <ds:schemaRefs>
    <ds:schemaRef ds:uri="http://schemas.microsoft.com/sharepoint/v3/contenttype/forms"/>
  </ds:schemaRefs>
</ds:datastoreItem>
</file>

<file path=customXml/itemProps2.xml><?xml version="1.0" encoding="utf-8"?>
<ds:datastoreItem xmlns:ds="http://schemas.openxmlformats.org/officeDocument/2006/customXml" ds:itemID="{B3F14921-E60C-48CA-B07B-57AA69FA8BC3}">
  <ds:schemaRefs>
    <ds:schemaRef ds:uri="4aea5d07-0eb0-44bf-96eb-22637babf96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ffa5dc2-4451-4ee2-b115-33f870a805e6"/>
    <ds:schemaRef ds:uri="http://www.w3.org/XML/1998/namespace"/>
    <ds:schemaRef ds:uri="http://purl.org/dc/dcmitype/"/>
  </ds:schemaRefs>
</ds:datastoreItem>
</file>

<file path=customXml/itemProps3.xml><?xml version="1.0" encoding="utf-8"?>
<ds:datastoreItem xmlns:ds="http://schemas.openxmlformats.org/officeDocument/2006/customXml" ds:itemID="{B4F1C9B6-C37A-40BE-A6B5-A7F7A5C8E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ea5d07-0eb0-44bf-96eb-22637babf967"/>
    <ds:schemaRef ds:uri="2ffa5dc2-4451-4ee2-b115-33f870a80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016092-AEA9-4C8D-9734-E1BCFBC18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952</TotalTime>
  <Pages>99</Pages>
  <Words>21481</Words>
  <Characters>123599</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Office of the Director of Mental Health and Addiction Services Annual Report 2018 and 2019</vt:lpstr>
    </vt:vector>
  </TitlesOfParts>
  <Company>Microsoft</Company>
  <LinksUpToDate>false</LinksUpToDate>
  <CharactersWithSpaces>144791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Director of Mental Health and Addiction Services Annual Report 2018 and 2019</dc:title>
  <dc:creator>Ministry of Health</dc:creator>
  <cp:lastModifiedBy>Kirsty Jones1</cp:lastModifiedBy>
  <cp:revision>6</cp:revision>
  <cp:lastPrinted>2021-04-14T03:57:00Z</cp:lastPrinted>
  <dcterms:created xsi:type="dcterms:W3CDTF">2021-04-14T03:28:00Z</dcterms:created>
  <dcterms:modified xsi:type="dcterms:W3CDTF">2021-04-14T19:33:00Z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0x010100FA4F869651CBED4AB058FE7F9F3ED0A7</vt:lpwstr>
  </property>
</Properties>
</file>