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248" w:rsidRPr="00D54D50" w:rsidRDefault="0089511D" w:rsidP="00D54D50">
      <w:pPr>
        <w:pStyle w:val="Title"/>
      </w:pPr>
      <w:r>
        <w:t>Methodology Report 2014/15</w:t>
      </w:r>
    </w:p>
    <w:p w:rsidR="00C86248" w:rsidRDefault="0089511D" w:rsidP="00343365">
      <w:pPr>
        <w:pStyle w:val="Subhead"/>
      </w:pPr>
      <w:r>
        <w:t>New Zealand Health Survey</w:t>
      </w:r>
    </w:p>
    <w:p w:rsidR="00142954" w:rsidRPr="00142954" w:rsidRDefault="00142954" w:rsidP="00142954">
      <w:pPr>
        <w:sectPr w:rsidR="00142954" w:rsidRPr="00142954" w:rsidSect="000F2AE2">
          <w:headerReference w:type="even" r:id="rId9"/>
          <w:headerReference w:type="default" r:id="rId10"/>
          <w:footerReference w:type="even" r:id="rId11"/>
          <w:footerReference w:type="default" r:id="rId12"/>
          <w:headerReference w:type="first" r:id="rId13"/>
          <w:footerReference w:type="first" r:id="rId14"/>
          <w:pgSz w:w="11907" w:h="16834" w:code="9"/>
          <w:pgMar w:top="3969" w:right="851" w:bottom="851" w:left="2552" w:header="851" w:footer="851" w:gutter="0"/>
          <w:cols w:space="720"/>
        </w:sectPr>
      </w:pPr>
    </w:p>
    <w:p w:rsidR="00C84BFB" w:rsidRDefault="00C84BFB" w:rsidP="00C84BFB">
      <w:pPr>
        <w:pStyle w:val="Heading3"/>
      </w:pPr>
      <w:r>
        <w:lastRenderedPageBreak/>
        <w:t>Authors</w:t>
      </w:r>
    </w:p>
    <w:p w:rsidR="00C84BFB" w:rsidRDefault="00C84BFB" w:rsidP="00C84BFB">
      <w:r>
        <w:t xml:space="preserve">This report was written by </w:t>
      </w:r>
      <w:proofErr w:type="spellStart"/>
      <w:r>
        <w:t>Deepa</w:t>
      </w:r>
      <w:proofErr w:type="spellEnd"/>
      <w:r>
        <w:t xml:space="preserve"> </w:t>
      </w:r>
      <w:proofErr w:type="spellStart"/>
      <w:r>
        <w:t>Weerasekera</w:t>
      </w:r>
      <w:proofErr w:type="spellEnd"/>
      <w:r>
        <w:t xml:space="preserve">, Steven Johnston, Bridget Murphy </w:t>
      </w:r>
      <w:r w:rsidRPr="003846AC">
        <w:t>(Health and Disability Intelligenc</w:t>
      </w:r>
      <w:r>
        <w:t xml:space="preserve">e Group, Ministry of Health), </w:t>
      </w:r>
      <w:r w:rsidRPr="003846AC">
        <w:t>Robert Clark (</w:t>
      </w:r>
      <w:r>
        <w:t>National Institute for Applied Statistics Research Australia</w:t>
      </w:r>
      <w:r w:rsidRPr="003846AC">
        <w:t>, Unive</w:t>
      </w:r>
      <w:r>
        <w:t xml:space="preserve">rsity of Wollongong, Australia) and </w:t>
      </w:r>
      <w:r w:rsidRPr="003846AC">
        <w:t xml:space="preserve">Barry </w:t>
      </w:r>
      <w:proofErr w:type="spellStart"/>
      <w:r w:rsidRPr="003846AC">
        <w:t>Gribben</w:t>
      </w:r>
      <w:proofErr w:type="spellEnd"/>
      <w:r w:rsidRPr="003846AC">
        <w:t>, Carol Boustead and Neil Tee (C</w:t>
      </w:r>
      <w:r>
        <w:t>BG Health Research Ltd).</w:t>
      </w:r>
    </w:p>
    <w:p w:rsidR="00C84BFB" w:rsidRDefault="00C84BFB" w:rsidP="00C84BFB"/>
    <w:p w:rsidR="00C84BFB" w:rsidRDefault="00C84BFB" w:rsidP="00C84BFB">
      <w:pPr>
        <w:pStyle w:val="Heading3"/>
        <w:spacing w:before="480"/>
      </w:pPr>
      <w:r>
        <w:t>Acknowledgements</w:t>
      </w:r>
    </w:p>
    <w:p w:rsidR="00C84BFB" w:rsidRDefault="00C84BFB" w:rsidP="00C84BFB">
      <w:r w:rsidRPr="00CC7E24">
        <w:t>Thank you to the many thousands of New Zealanders who gave their time to participate in the New Zealand Health Survey</w:t>
      </w:r>
      <w:r>
        <w:t>,</w:t>
      </w:r>
      <w:r w:rsidRPr="00CC7E24">
        <w:t xml:space="preserve"> and to the interviewers who worked so diligently to collect the data.</w:t>
      </w:r>
    </w:p>
    <w:p w:rsidR="00C84BFB" w:rsidRPr="00BD09CB" w:rsidRDefault="00C84BFB" w:rsidP="00C84BFB">
      <w:pPr>
        <w:spacing w:before="360"/>
        <w:rPr>
          <w:rFonts w:eastAsia="Calibri"/>
          <w:lang w:eastAsia="en-US"/>
        </w:rPr>
      </w:pPr>
      <w:r w:rsidRPr="00BD09CB">
        <w:rPr>
          <w:rFonts w:eastAsia="Calibri"/>
          <w:lang w:eastAsia="en-US"/>
        </w:rPr>
        <w:t>Please refer to the Ministry of Health</w:t>
      </w:r>
      <w:r>
        <w:rPr>
          <w:rFonts w:eastAsia="Calibri"/>
          <w:lang w:eastAsia="en-US"/>
        </w:rPr>
        <w:t>’</w:t>
      </w:r>
      <w:r w:rsidRPr="00BD09CB">
        <w:rPr>
          <w:rFonts w:eastAsia="Calibri"/>
          <w:lang w:eastAsia="en-US"/>
        </w:rPr>
        <w:t>s publication</w:t>
      </w:r>
      <w:r>
        <w:rPr>
          <w:rFonts w:eastAsia="Calibri"/>
          <w:lang w:eastAsia="en-US"/>
        </w:rPr>
        <w:t xml:space="preserve"> </w:t>
      </w:r>
      <w:r w:rsidRPr="00963A2D">
        <w:rPr>
          <w:rFonts w:cs="Arial Mäori"/>
          <w:i/>
          <w:color w:val="000000"/>
          <w:lang w:eastAsia="en-NZ"/>
        </w:rPr>
        <w:t xml:space="preserve">Annual </w:t>
      </w:r>
      <w:r>
        <w:rPr>
          <w:rFonts w:cs="Arial Mäori"/>
          <w:i/>
          <w:color w:val="000000"/>
          <w:lang w:eastAsia="en-NZ"/>
        </w:rPr>
        <w:t>U</w:t>
      </w:r>
      <w:r w:rsidRPr="00963A2D">
        <w:rPr>
          <w:rFonts w:cs="Arial Mäori"/>
          <w:i/>
          <w:color w:val="000000"/>
          <w:lang w:eastAsia="en-NZ"/>
        </w:rPr>
        <w:t xml:space="preserve">pdate of </w:t>
      </w:r>
      <w:r>
        <w:rPr>
          <w:rFonts w:cs="Arial Mäori"/>
          <w:i/>
          <w:color w:val="000000"/>
          <w:lang w:eastAsia="en-NZ"/>
        </w:rPr>
        <w:t>K</w:t>
      </w:r>
      <w:r w:rsidRPr="00963A2D">
        <w:rPr>
          <w:rFonts w:cs="Arial Mäori"/>
          <w:i/>
          <w:color w:val="000000"/>
          <w:lang w:eastAsia="en-NZ"/>
        </w:rPr>
        <w:t xml:space="preserve">ey </w:t>
      </w:r>
      <w:r>
        <w:rPr>
          <w:rFonts w:cs="Arial Mäori"/>
          <w:i/>
          <w:color w:val="000000"/>
          <w:lang w:eastAsia="en-NZ"/>
        </w:rPr>
        <w:t xml:space="preserve">Results 2014/15 </w:t>
      </w:r>
      <w:r w:rsidRPr="00BD09CB">
        <w:rPr>
          <w:rFonts w:eastAsia="Calibri"/>
          <w:lang w:eastAsia="en-US"/>
        </w:rPr>
        <w:t>for further acknowledg</w:t>
      </w:r>
      <w:r>
        <w:rPr>
          <w:rFonts w:eastAsia="Calibri"/>
          <w:lang w:eastAsia="en-US"/>
        </w:rPr>
        <w:t>ements (Ministry of Health 2015a</w:t>
      </w:r>
      <w:r w:rsidRPr="00BD09CB">
        <w:rPr>
          <w:rFonts w:eastAsia="Calibri"/>
          <w:lang w:eastAsia="en-US"/>
        </w:rPr>
        <w:t>).</w:t>
      </w:r>
    </w:p>
    <w:p w:rsidR="00C84BFB" w:rsidRPr="00E33238" w:rsidRDefault="00C84BFB" w:rsidP="00C84BFB"/>
    <w:p w:rsidR="00A80363" w:rsidRPr="00442C1C" w:rsidRDefault="00A80363" w:rsidP="00C84BFB">
      <w:pPr>
        <w:pStyle w:val="Imprint"/>
        <w:spacing w:before="4000"/>
      </w:pPr>
      <w:r>
        <w:t xml:space="preserve">Citation: </w:t>
      </w:r>
      <w:r w:rsidR="00442C1C">
        <w:t xml:space="preserve">Ministry of Health. </w:t>
      </w:r>
      <w:r w:rsidR="0089511D">
        <w:t>2015</w:t>
      </w:r>
      <w:r w:rsidR="00442C1C">
        <w:t xml:space="preserve">. </w:t>
      </w:r>
      <w:r w:rsidR="0089511D">
        <w:rPr>
          <w:i/>
        </w:rPr>
        <w:t>Methodology Report 2014/15</w:t>
      </w:r>
      <w:proofErr w:type="gramStart"/>
      <w:r w:rsidR="0089511D">
        <w:rPr>
          <w:i/>
        </w:rPr>
        <w:t>:</w:t>
      </w:r>
      <w:proofErr w:type="gramEnd"/>
      <w:r w:rsidR="0089511D">
        <w:rPr>
          <w:i/>
        </w:rPr>
        <w:br/>
        <w:t>New Zealand Health Survey</w:t>
      </w:r>
      <w:r w:rsidR="00442C1C">
        <w:t>. Wellington: Ministry of Health.</w:t>
      </w:r>
    </w:p>
    <w:p w:rsidR="00C86248" w:rsidRDefault="00C86248">
      <w:pPr>
        <w:pStyle w:val="Imprint"/>
      </w:pPr>
      <w:r>
        <w:t xml:space="preserve">Published in </w:t>
      </w:r>
      <w:r w:rsidR="0089511D">
        <w:t>December 2015</w:t>
      </w:r>
      <w:r w:rsidR="005019AE">
        <w:br/>
      </w:r>
      <w:r>
        <w:t>by the</w:t>
      </w:r>
      <w:r w:rsidR="00442C1C">
        <w:t xml:space="preserve"> </w:t>
      </w:r>
      <w:r>
        <w:t>Ministry of Health</w:t>
      </w:r>
      <w:r>
        <w:br/>
        <w:t>PO Box 5013, Wellington</w:t>
      </w:r>
      <w:r w:rsidR="00A80363">
        <w:t xml:space="preserve"> 6145</w:t>
      </w:r>
      <w:r>
        <w:t>, New Zealand</w:t>
      </w:r>
    </w:p>
    <w:p w:rsidR="00082CD6" w:rsidRPr="009C0F2D" w:rsidRDefault="00D863D0" w:rsidP="00082CD6">
      <w:pPr>
        <w:pStyle w:val="Imprint"/>
      </w:pPr>
      <w:r>
        <w:t>ISBN</w:t>
      </w:r>
      <w:r w:rsidR="00622CFA">
        <w:t>978-0-947491-45-1</w:t>
      </w:r>
      <w:r w:rsidR="00442C1C">
        <w:t xml:space="preserve"> </w:t>
      </w:r>
      <w:r>
        <w:t>(</w:t>
      </w:r>
      <w:r w:rsidR="00442C1C">
        <w:t>online</w:t>
      </w:r>
      <w:proofErr w:type="gramStart"/>
      <w:r>
        <w:t>)</w:t>
      </w:r>
      <w:proofErr w:type="gramEnd"/>
      <w:r w:rsidR="00082CD6">
        <w:br/>
      </w:r>
      <w:r w:rsidR="00082CD6" w:rsidRPr="009C0F2D">
        <w:t xml:space="preserve">HP </w:t>
      </w:r>
      <w:r w:rsidR="00622CFA">
        <w:t>6309</w:t>
      </w:r>
    </w:p>
    <w:p w:rsidR="00C86248" w:rsidRDefault="00C86248">
      <w:pPr>
        <w:pStyle w:val="Imprint"/>
      </w:pPr>
      <w:r>
        <w:t xml:space="preserve">This document is available </w:t>
      </w:r>
      <w:r w:rsidR="0071741C">
        <w:t xml:space="preserve">at </w:t>
      </w:r>
      <w:r>
        <w:t>h</w:t>
      </w:r>
      <w:r w:rsidR="00A80363">
        <w:t>ealth</w:t>
      </w:r>
      <w:r>
        <w:t>.govt.nz</w:t>
      </w:r>
    </w:p>
    <w:p w:rsidR="00C86248" w:rsidRDefault="008C64C4">
      <w:pPr>
        <w:jc w:val="center"/>
      </w:pPr>
      <w:r>
        <w:rPr>
          <w:noProof/>
          <w:lang w:eastAsia="en-NZ"/>
        </w:rPr>
        <w:drawing>
          <wp:inline distT="0" distB="0" distL="0" distR="0" wp14:anchorId="2463126C" wp14:editId="07C677E1">
            <wp:extent cx="1670685" cy="681355"/>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p>
    <w:p w:rsidR="007E74F1" w:rsidRPr="007E74F1" w:rsidRDefault="007E74F1" w:rsidP="007E74F1">
      <w:pPr>
        <w:pStyle w:val="Heading3"/>
        <w:keepNext w:val="0"/>
        <w:shd w:val="clear" w:color="auto" w:fill="FFFFFF"/>
        <w:ind w:right="-851"/>
        <w:rPr>
          <w:sz w:val="18"/>
          <w:szCs w:val="18"/>
        </w:rPr>
      </w:pPr>
      <w:r>
        <w:rPr>
          <w:b w:val="0"/>
          <w:noProof/>
          <w:sz w:val="22"/>
          <w:szCs w:val="22"/>
          <w:lang w:eastAsia="en-NZ"/>
        </w:rPr>
        <w:drawing>
          <wp:inline distT="0" distB="0" distL="0" distR="0" wp14:anchorId="63F1A085" wp14:editId="47A7E77B">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Pr>
          <w:b w:val="0"/>
          <w:sz w:val="22"/>
          <w:szCs w:val="22"/>
        </w:rPr>
        <w:t xml:space="preserve"> </w:t>
      </w:r>
      <w:r w:rsidRPr="00D535D0">
        <w:rPr>
          <w:b w:val="0"/>
          <w:sz w:val="18"/>
          <w:szCs w:val="18"/>
        </w:rPr>
        <w:t>This work is licensed under the Creative Commons Attribution 4.0 Interna</w:t>
      </w:r>
      <w:r>
        <w:rPr>
          <w:b w:val="0"/>
          <w:sz w:val="18"/>
          <w:szCs w:val="18"/>
        </w:rPr>
        <w:t>tional</w:t>
      </w:r>
      <w:r w:rsidRPr="00D535D0">
        <w:rPr>
          <w:b w:val="0"/>
          <w:sz w:val="18"/>
          <w:szCs w:val="18"/>
        </w:rPr>
        <w:t xml:space="preserve"> licence. In essence, </w:t>
      </w:r>
      <w:r w:rsidRPr="00D535D0">
        <w:rPr>
          <w:rFonts w:cs="Arial"/>
          <w:b w:val="0"/>
          <w:bCs/>
          <w:sz w:val="18"/>
          <w:szCs w:val="18"/>
        </w:rPr>
        <w:t xml:space="preserve">you are free to: </w:t>
      </w:r>
      <w:r w:rsidRPr="00D535D0">
        <w:rPr>
          <w:rFonts w:cs="Arial"/>
          <w:b w:val="0"/>
          <w:sz w:val="18"/>
          <w:szCs w:val="18"/>
        </w:rPr>
        <w:t xml:space="preserve">share </w:t>
      </w:r>
      <w:proofErr w:type="spellStart"/>
      <w:r w:rsidRPr="00D535D0">
        <w:rPr>
          <w:rFonts w:cs="Arial"/>
          <w:b w:val="0"/>
          <w:sz w:val="18"/>
          <w:szCs w:val="18"/>
        </w:rPr>
        <w:t>ie</w:t>
      </w:r>
      <w:proofErr w:type="spellEnd"/>
      <w:r w:rsidRPr="00D535D0">
        <w:rPr>
          <w:rFonts w:cs="Arial"/>
          <w:b w:val="0"/>
          <w:sz w:val="18"/>
          <w:szCs w:val="18"/>
        </w:rPr>
        <w:t xml:space="preserve">, copy and redistribute the material in any medium or format; adapt </w:t>
      </w:r>
      <w:proofErr w:type="spellStart"/>
      <w:r w:rsidRPr="00D535D0">
        <w:rPr>
          <w:rFonts w:cs="Arial"/>
          <w:b w:val="0"/>
          <w:sz w:val="18"/>
          <w:szCs w:val="18"/>
        </w:rPr>
        <w:t>ie</w:t>
      </w:r>
      <w:proofErr w:type="spellEnd"/>
      <w:r w:rsidRPr="00D535D0">
        <w:rPr>
          <w:rFonts w:cs="Arial"/>
          <w:b w:val="0"/>
          <w:sz w:val="18"/>
          <w:szCs w:val="18"/>
        </w:rPr>
        <w:t xml:space="preserve">, remix, transform and build upon the material. </w:t>
      </w:r>
      <w:r w:rsidRPr="00D535D0">
        <w:rPr>
          <w:rFonts w:cs="Arial"/>
          <w:b w:val="0"/>
          <w:bCs/>
          <w:sz w:val="18"/>
          <w:szCs w:val="18"/>
        </w:rPr>
        <w:t>You must give appropriate credit, provide a link to the licence and indicate if changes were made.</w:t>
      </w:r>
    </w:p>
    <w:p w:rsidR="00C86248" w:rsidRDefault="00C86248">
      <w:pPr>
        <w:jc w:val="center"/>
        <w:sectPr w:rsidR="00C86248" w:rsidSect="00C84BFB">
          <w:footerReference w:type="even" r:id="rId17"/>
          <w:footerReference w:type="default" r:id="rId18"/>
          <w:pgSz w:w="11907" w:h="16834" w:code="9"/>
          <w:pgMar w:top="1134" w:right="1134" w:bottom="1134" w:left="1985" w:header="0" w:footer="0" w:gutter="0"/>
          <w:cols w:space="720"/>
        </w:sectPr>
      </w:pPr>
    </w:p>
    <w:p w:rsidR="00C86248" w:rsidRDefault="00C86248">
      <w:pPr>
        <w:pStyle w:val="IntroHead"/>
      </w:pPr>
      <w:bookmarkStart w:id="0" w:name="_Toc405792991"/>
      <w:bookmarkStart w:id="1" w:name="_Toc405793224"/>
      <w:r>
        <w:lastRenderedPageBreak/>
        <w:t>Contents</w:t>
      </w:r>
      <w:bookmarkEnd w:id="0"/>
      <w:bookmarkEnd w:id="1"/>
    </w:p>
    <w:p w:rsidR="002C40AD" w:rsidRDefault="00C86248">
      <w:pPr>
        <w:pStyle w:val="TOC1"/>
        <w:rPr>
          <w:rFonts w:asciiTheme="minorHAnsi" w:eastAsiaTheme="minorEastAsia" w:hAnsiTheme="minorHAnsi" w:cstheme="minorBidi"/>
          <w:b w:val="0"/>
          <w:noProof/>
          <w:szCs w:val="22"/>
          <w:lang w:eastAsia="en-NZ"/>
        </w:rPr>
      </w:pPr>
      <w:r>
        <w:rPr>
          <w:b w:val="0"/>
        </w:rPr>
        <w:fldChar w:fldCharType="begin"/>
      </w:r>
      <w:r>
        <w:instrText xml:space="preserve"> TOC \o "1-2" </w:instrText>
      </w:r>
      <w:r>
        <w:rPr>
          <w:b w:val="0"/>
        </w:rPr>
        <w:fldChar w:fldCharType="separate"/>
      </w:r>
      <w:r w:rsidR="002C40AD">
        <w:rPr>
          <w:noProof/>
        </w:rPr>
        <w:t>Section 1: Introduction</w:t>
      </w:r>
      <w:r w:rsidR="002C40AD">
        <w:rPr>
          <w:noProof/>
        </w:rPr>
        <w:tab/>
      </w:r>
      <w:r w:rsidR="002C40AD">
        <w:rPr>
          <w:noProof/>
        </w:rPr>
        <w:fldChar w:fldCharType="begin"/>
      </w:r>
      <w:r w:rsidR="002C40AD">
        <w:rPr>
          <w:noProof/>
        </w:rPr>
        <w:instrText xml:space="preserve"> PAGEREF _Toc435642994 \h </w:instrText>
      </w:r>
      <w:r w:rsidR="002C40AD">
        <w:rPr>
          <w:noProof/>
        </w:rPr>
      </w:r>
      <w:r w:rsidR="002C40AD">
        <w:rPr>
          <w:noProof/>
        </w:rPr>
        <w:fldChar w:fldCharType="separate"/>
      </w:r>
      <w:r w:rsidR="002C40AD">
        <w:rPr>
          <w:noProof/>
        </w:rPr>
        <w:t>1</w:t>
      </w:r>
      <w:r w:rsidR="002C40AD">
        <w:rPr>
          <w:noProof/>
        </w:rPr>
        <w:fldChar w:fldCharType="end"/>
      </w:r>
    </w:p>
    <w:p w:rsidR="002C40AD" w:rsidRDefault="002C40AD">
      <w:pPr>
        <w:pStyle w:val="TOC2"/>
        <w:rPr>
          <w:rFonts w:asciiTheme="minorHAnsi" w:eastAsiaTheme="minorEastAsia" w:hAnsiTheme="minorHAnsi" w:cstheme="minorBidi"/>
          <w:noProof/>
          <w:szCs w:val="22"/>
          <w:lang w:eastAsia="en-NZ"/>
        </w:rPr>
      </w:pPr>
      <w:r>
        <w:rPr>
          <w:noProof/>
        </w:rPr>
        <w:t>Overview</w:t>
      </w:r>
      <w:r>
        <w:rPr>
          <w:noProof/>
        </w:rPr>
        <w:tab/>
      </w:r>
      <w:r>
        <w:rPr>
          <w:noProof/>
        </w:rPr>
        <w:fldChar w:fldCharType="begin"/>
      </w:r>
      <w:r>
        <w:rPr>
          <w:noProof/>
        </w:rPr>
        <w:instrText xml:space="preserve"> PAGEREF _Toc435642995 \h </w:instrText>
      </w:r>
      <w:r>
        <w:rPr>
          <w:noProof/>
        </w:rPr>
      </w:r>
      <w:r>
        <w:rPr>
          <w:noProof/>
        </w:rPr>
        <w:fldChar w:fldCharType="separate"/>
      </w:r>
      <w:r>
        <w:rPr>
          <w:noProof/>
        </w:rPr>
        <w:t>1</w:t>
      </w:r>
      <w:r>
        <w:rPr>
          <w:noProof/>
        </w:rPr>
        <w:fldChar w:fldCharType="end"/>
      </w:r>
    </w:p>
    <w:p w:rsidR="002C40AD" w:rsidRDefault="002C40AD">
      <w:pPr>
        <w:pStyle w:val="TOC2"/>
        <w:rPr>
          <w:rFonts w:asciiTheme="minorHAnsi" w:eastAsiaTheme="minorEastAsia" w:hAnsiTheme="minorHAnsi" w:cstheme="minorBidi"/>
          <w:noProof/>
          <w:szCs w:val="22"/>
          <w:lang w:eastAsia="en-NZ"/>
        </w:rPr>
      </w:pPr>
      <w:r>
        <w:rPr>
          <w:noProof/>
        </w:rPr>
        <w:t>Background</w:t>
      </w:r>
      <w:r>
        <w:rPr>
          <w:noProof/>
        </w:rPr>
        <w:tab/>
      </w:r>
      <w:r>
        <w:rPr>
          <w:noProof/>
        </w:rPr>
        <w:fldChar w:fldCharType="begin"/>
      </w:r>
      <w:r>
        <w:rPr>
          <w:noProof/>
        </w:rPr>
        <w:instrText xml:space="preserve"> PAGEREF _Toc435642996 \h </w:instrText>
      </w:r>
      <w:r>
        <w:rPr>
          <w:noProof/>
        </w:rPr>
      </w:r>
      <w:r>
        <w:rPr>
          <w:noProof/>
        </w:rPr>
        <w:fldChar w:fldCharType="separate"/>
      </w:r>
      <w:r>
        <w:rPr>
          <w:noProof/>
        </w:rPr>
        <w:t>2</w:t>
      </w:r>
      <w:r>
        <w:rPr>
          <w:noProof/>
        </w:rPr>
        <w:fldChar w:fldCharType="end"/>
      </w:r>
    </w:p>
    <w:p w:rsidR="002C40AD" w:rsidRDefault="002C40AD">
      <w:pPr>
        <w:pStyle w:val="TOC1"/>
        <w:rPr>
          <w:rFonts w:asciiTheme="minorHAnsi" w:eastAsiaTheme="minorEastAsia" w:hAnsiTheme="minorHAnsi" w:cstheme="minorBidi"/>
          <w:b w:val="0"/>
          <w:noProof/>
          <w:szCs w:val="22"/>
          <w:lang w:eastAsia="en-NZ"/>
        </w:rPr>
      </w:pPr>
      <w:r>
        <w:rPr>
          <w:noProof/>
        </w:rPr>
        <w:t>Section 2: Survey content</w:t>
      </w:r>
      <w:r>
        <w:rPr>
          <w:noProof/>
        </w:rPr>
        <w:tab/>
      </w:r>
      <w:r>
        <w:rPr>
          <w:noProof/>
        </w:rPr>
        <w:fldChar w:fldCharType="begin"/>
      </w:r>
      <w:r>
        <w:rPr>
          <w:noProof/>
        </w:rPr>
        <w:instrText xml:space="preserve"> PAGEREF _Toc435642997 \h </w:instrText>
      </w:r>
      <w:r>
        <w:rPr>
          <w:noProof/>
        </w:rPr>
      </w:r>
      <w:r>
        <w:rPr>
          <w:noProof/>
        </w:rPr>
        <w:fldChar w:fldCharType="separate"/>
      </w:r>
      <w:r>
        <w:rPr>
          <w:noProof/>
        </w:rPr>
        <w:t>3</w:t>
      </w:r>
      <w:r>
        <w:rPr>
          <w:noProof/>
        </w:rPr>
        <w:fldChar w:fldCharType="end"/>
      </w:r>
    </w:p>
    <w:p w:rsidR="002C40AD" w:rsidRDefault="002C40AD">
      <w:pPr>
        <w:pStyle w:val="TOC2"/>
        <w:rPr>
          <w:rFonts w:asciiTheme="minorHAnsi" w:eastAsiaTheme="minorEastAsia" w:hAnsiTheme="minorHAnsi" w:cstheme="minorBidi"/>
          <w:noProof/>
          <w:szCs w:val="22"/>
          <w:lang w:eastAsia="en-NZ"/>
        </w:rPr>
      </w:pPr>
      <w:r>
        <w:rPr>
          <w:noProof/>
        </w:rPr>
        <w:t>Core component</w:t>
      </w:r>
      <w:r>
        <w:rPr>
          <w:noProof/>
        </w:rPr>
        <w:tab/>
      </w:r>
      <w:r>
        <w:rPr>
          <w:noProof/>
        </w:rPr>
        <w:fldChar w:fldCharType="begin"/>
      </w:r>
      <w:r>
        <w:rPr>
          <w:noProof/>
        </w:rPr>
        <w:instrText xml:space="preserve"> PAGEREF _Toc435642998 \h </w:instrText>
      </w:r>
      <w:r>
        <w:rPr>
          <w:noProof/>
        </w:rPr>
      </w:r>
      <w:r>
        <w:rPr>
          <w:noProof/>
        </w:rPr>
        <w:fldChar w:fldCharType="separate"/>
      </w:r>
      <w:r>
        <w:rPr>
          <w:noProof/>
        </w:rPr>
        <w:t>3</w:t>
      </w:r>
      <w:r>
        <w:rPr>
          <w:noProof/>
        </w:rPr>
        <w:fldChar w:fldCharType="end"/>
      </w:r>
    </w:p>
    <w:p w:rsidR="002C40AD" w:rsidRDefault="002C40AD">
      <w:pPr>
        <w:pStyle w:val="TOC2"/>
        <w:rPr>
          <w:rFonts w:asciiTheme="minorHAnsi" w:eastAsiaTheme="minorEastAsia" w:hAnsiTheme="minorHAnsi" w:cstheme="minorBidi"/>
          <w:noProof/>
          <w:szCs w:val="22"/>
          <w:lang w:eastAsia="en-NZ"/>
        </w:rPr>
      </w:pPr>
      <w:r>
        <w:rPr>
          <w:noProof/>
        </w:rPr>
        <w:t>Module component</w:t>
      </w:r>
      <w:r>
        <w:rPr>
          <w:noProof/>
        </w:rPr>
        <w:tab/>
      </w:r>
      <w:r>
        <w:rPr>
          <w:noProof/>
        </w:rPr>
        <w:fldChar w:fldCharType="begin"/>
      </w:r>
      <w:r>
        <w:rPr>
          <w:noProof/>
        </w:rPr>
        <w:instrText xml:space="preserve"> PAGEREF _Toc435642999 \h </w:instrText>
      </w:r>
      <w:r>
        <w:rPr>
          <w:noProof/>
        </w:rPr>
      </w:r>
      <w:r>
        <w:rPr>
          <w:noProof/>
        </w:rPr>
        <w:fldChar w:fldCharType="separate"/>
      </w:r>
      <w:r>
        <w:rPr>
          <w:noProof/>
        </w:rPr>
        <w:t>4</w:t>
      </w:r>
      <w:r>
        <w:rPr>
          <w:noProof/>
        </w:rPr>
        <w:fldChar w:fldCharType="end"/>
      </w:r>
    </w:p>
    <w:p w:rsidR="002C40AD" w:rsidRDefault="002C40AD">
      <w:pPr>
        <w:pStyle w:val="TOC1"/>
        <w:rPr>
          <w:rFonts w:asciiTheme="minorHAnsi" w:eastAsiaTheme="minorEastAsia" w:hAnsiTheme="minorHAnsi" w:cstheme="minorBidi"/>
          <w:b w:val="0"/>
          <w:noProof/>
          <w:szCs w:val="22"/>
          <w:lang w:eastAsia="en-NZ"/>
        </w:rPr>
      </w:pPr>
      <w:r>
        <w:rPr>
          <w:noProof/>
        </w:rPr>
        <w:t>Section 3: Survey population and sample design</w:t>
      </w:r>
      <w:r>
        <w:rPr>
          <w:noProof/>
        </w:rPr>
        <w:tab/>
      </w:r>
      <w:r>
        <w:rPr>
          <w:noProof/>
        </w:rPr>
        <w:fldChar w:fldCharType="begin"/>
      </w:r>
      <w:r>
        <w:rPr>
          <w:noProof/>
        </w:rPr>
        <w:instrText xml:space="preserve"> PAGEREF _Toc435643000 \h </w:instrText>
      </w:r>
      <w:r>
        <w:rPr>
          <w:noProof/>
        </w:rPr>
      </w:r>
      <w:r>
        <w:rPr>
          <w:noProof/>
        </w:rPr>
        <w:fldChar w:fldCharType="separate"/>
      </w:r>
      <w:r>
        <w:rPr>
          <w:noProof/>
        </w:rPr>
        <w:t>5</w:t>
      </w:r>
      <w:r>
        <w:rPr>
          <w:noProof/>
        </w:rPr>
        <w:fldChar w:fldCharType="end"/>
      </w:r>
    </w:p>
    <w:p w:rsidR="002C40AD" w:rsidRDefault="002C40AD">
      <w:pPr>
        <w:pStyle w:val="TOC2"/>
        <w:rPr>
          <w:rFonts w:asciiTheme="minorHAnsi" w:eastAsiaTheme="minorEastAsia" w:hAnsiTheme="minorHAnsi" w:cstheme="minorBidi"/>
          <w:noProof/>
          <w:szCs w:val="22"/>
          <w:lang w:eastAsia="en-NZ"/>
        </w:rPr>
      </w:pPr>
      <w:r>
        <w:rPr>
          <w:noProof/>
        </w:rPr>
        <w:t>Target and survey population</w:t>
      </w:r>
      <w:r>
        <w:rPr>
          <w:noProof/>
        </w:rPr>
        <w:tab/>
      </w:r>
      <w:r>
        <w:rPr>
          <w:noProof/>
        </w:rPr>
        <w:fldChar w:fldCharType="begin"/>
      </w:r>
      <w:r>
        <w:rPr>
          <w:noProof/>
        </w:rPr>
        <w:instrText xml:space="preserve"> PAGEREF _Toc435643001 \h </w:instrText>
      </w:r>
      <w:r>
        <w:rPr>
          <w:noProof/>
        </w:rPr>
      </w:r>
      <w:r>
        <w:rPr>
          <w:noProof/>
        </w:rPr>
        <w:fldChar w:fldCharType="separate"/>
      </w:r>
      <w:r>
        <w:rPr>
          <w:noProof/>
        </w:rPr>
        <w:t>5</w:t>
      </w:r>
      <w:r>
        <w:rPr>
          <w:noProof/>
        </w:rPr>
        <w:fldChar w:fldCharType="end"/>
      </w:r>
    </w:p>
    <w:p w:rsidR="002C40AD" w:rsidRDefault="002C40AD">
      <w:pPr>
        <w:pStyle w:val="TOC2"/>
        <w:rPr>
          <w:rFonts w:asciiTheme="minorHAnsi" w:eastAsiaTheme="minorEastAsia" w:hAnsiTheme="minorHAnsi" w:cstheme="minorBidi"/>
          <w:noProof/>
          <w:szCs w:val="22"/>
          <w:lang w:eastAsia="en-NZ"/>
        </w:rPr>
      </w:pPr>
      <w:r>
        <w:rPr>
          <w:noProof/>
        </w:rPr>
        <w:t>Sample design</w:t>
      </w:r>
      <w:r>
        <w:rPr>
          <w:noProof/>
        </w:rPr>
        <w:tab/>
      </w:r>
      <w:r>
        <w:rPr>
          <w:noProof/>
        </w:rPr>
        <w:fldChar w:fldCharType="begin"/>
      </w:r>
      <w:r>
        <w:rPr>
          <w:noProof/>
        </w:rPr>
        <w:instrText xml:space="preserve"> PAGEREF _Toc435643002 \h </w:instrText>
      </w:r>
      <w:r>
        <w:rPr>
          <w:noProof/>
        </w:rPr>
      </w:r>
      <w:r>
        <w:rPr>
          <w:noProof/>
        </w:rPr>
        <w:fldChar w:fldCharType="separate"/>
      </w:r>
      <w:r>
        <w:rPr>
          <w:noProof/>
        </w:rPr>
        <w:t>6</w:t>
      </w:r>
      <w:r>
        <w:rPr>
          <w:noProof/>
        </w:rPr>
        <w:fldChar w:fldCharType="end"/>
      </w:r>
    </w:p>
    <w:p w:rsidR="002C40AD" w:rsidRDefault="002C40AD">
      <w:pPr>
        <w:pStyle w:val="TOC1"/>
        <w:rPr>
          <w:rFonts w:asciiTheme="minorHAnsi" w:eastAsiaTheme="minorEastAsia" w:hAnsiTheme="minorHAnsi" w:cstheme="minorBidi"/>
          <w:b w:val="0"/>
          <w:noProof/>
          <w:szCs w:val="22"/>
          <w:lang w:eastAsia="en-NZ"/>
        </w:rPr>
      </w:pPr>
      <w:r>
        <w:rPr>
          <w:noProof/>
        </w:rPr>
        <w:t>Section 4: Data collection</w:t>
      </w:r>
      <w:r>
        <w:rPr>
          <w:noProof/>
        </w:rPr>
        <w:tab/>
      </w:r>
      <w:r>
        <w:rPr>
          <w:noProof/>
        </w:rPr>
        <w:fldChar w:fldCharType="begin"/>
      </w:r>
      <w:r>
        <w:rPr>
          <w:noProof/>
        </w:rPr>
        <w:instrText xml:space="preserve"> PAGEREF _Toc435643003 \h </w:instrText>
      </w:r>
      <w:r>
        <w:rPr>
          <w:noProof/>
        </w:rPr>
      </w:r>
      <w:r>
        <w:rPr>
          <w:noProof/>
        </w:rPr>
        <w:fldChar w:fldCharType="separate"/>
      </w:r>
      <w:r>
        <w:rPr>
          <w:noProof/>
        </w:rPr>
        <w:t>8</w:t>
      </w:r>
      <w:r>
        <w:rPr>
          <w:noProof/>
        </w:rPr>
        <w:fldChar w:fldCharType="end"/>
      </w:r>
    </w:p>
    <w:p w:rsidR="002C40AD" w:rsidRDefault="002C40AD">
      <w:pPr>
        <w:pStyle w:val="TOC2"/>
        <w:rPr>
          <w:rFonts w:asciiTheme="minorHAnsi" w:eastAsiaTheme="minorEastAsia" w:hAnsiTheme="minorHAnsi" w:cstheme="minorBidi"/>
          <w:noProof/>
          <w:szCs w:val="22"/>
          <w:lang w:eastAsia="en-NZ"/>
        </w:rPr>
      </w:pPr>
      <w:r>
        <w:rPr>
          <w:noProof/>
        </w:rPr>
        <w:t>Pilot study</w:t>
      </w:r>
      <w:r>
        <w:rPr>
          <w:noProof/>
        </w:rPr>
        <w:tab/>
      </w:r>
      <w:r>
        <w:rPr>
          <w:noProof/>
        </w:rPr>
        <w:fldChar w:fldCharType="begin"/>
      </w:r>
      <w:r>
        <w:rPr>
          <w:noProof/>
        </w:rPr>
        <w:instrText xml:space="preserve"> PAGEREF _Toc435643004 \h </w:instrText>
      </w:r>
      <w:r>
        <w:rPr>
          <w:noProof/>
        </w:rPr>
      </w:r>
      <w:r>
        <w:rPr>
          <w:noProof/>
        </w:rPr>
        <w:fldChar w:fldCharType="separate"/>
      </w:r>
      <w:r>
        <w:rPr>
          <w:noProof/>
        </w:rPr>
        <w:t>8</w:t>
      </w:r>
      <w:r>
        <w:rPr>
          <w:noProof/>
        </w:rPr>
        <w:fldChar w:fldCharType="end"/>
      </w:r>
    </w:p>
    <w:p w:rsidR="002C40AD" w:rsidRDefault="002C40AD">
      <w:pPr>
        <w:pStyle w:val="TOC2"/>
        <w:rPr>
          <w:rFonts w:asciiTheme="minorHAnsi" w:eastAsiaTheme="minorEastAsia" w:hAnsiTheme="minorHAnsi" w:cstheme="minorBidi"/>
          <w:noProof/>
          <w:szCs w:val="22"/>
          <w:lang w:eastAsia="en-NZ"/>
        </w:rPr>
      </w:pPr>
      <w:r>
        <w:rPr>
          <w:noProof/>
        </w:rPr>
        <w:t>Enumeration</w:t>
      </w:r>
      <w:r>
        <w:rPr>
          <w:noProof/>
        </w:rPr>
        <w:tab/>
      </w:r>
      <w:r>
        <w:rPr>
          <w:noProof/>
        </w:rPr>
        <w:fldChar w:fldCharType="begin"/>
      </w:r>
      <w:r>
        <w:rPr>
          <w:noProof/>
        </w:rPr>
        <w:instrText xml:space="preserve"> PAGEREF _Toc435643005 \h </w:instrText>
      </w:r>
      <w:r>
        <w:rPr>
          <w:noProof/>
        </w:rPr>
      </w:r>
      <w:r>
        <w:rPr>
          <w:noProof/>
        </w:rPr>
        <w:fldChar w:fldCharType="separate"/>
      </w:r>
      <w:r>
        <w:rPr>
          <w:noProof/>
        </w:rPr>
        <w:t>8</w:t>
      </w:r>
      <w:r>
        <w:rPr>
          <w:noProof/>
        </w:rPr>
        <w:fldChar w:fldCharType="end"/>
      </w:r>
    </w:p>
    <w:p w:rsidR="002C40AD" w:rsidRDefault="002C40AD">
      <w:pPr>
        <w:pStyle w:val="TOC2"/>
        <w:rPr>
          <w:rFonts w:asciiTheme="minorHAnsi" w:eastAsiaTheme="minorEastAsia" w:hAnsiTheme="minorHAnsi" w:cstheme="minorBidi"/>
          <w:noProof/>
          <w:szCs w:val="22"/>
          <w:lang w:eastAsia="en-NZ"/>
        </w:rPr>
      </w:pPr>
      <w:r>
        <w:rPr>
          <w:noProof/>
        </w:rPr>
        <w:t>Invitation to participate</w:t>
      </w:r>
      <w:r>
        <w:rPr>
          <w:noProof/>
        </w:rPr>
        <w:tab/>
      </w:r>
      <w:r>
        <w:rPr>
          <w:noProof/>
        </w:rPr>
        <w:fldChar w:fldCharType="begin"/>
      </w:r>
      <w:r>
        <w:rPr>
          <w:noProof/>
        </w:rPr>
        <w:instrText xml:space="preserve"> PAGEREF _Toc435643006 \h </w:instrText>
      </w:r>
      <w:r>
        <w:rPr>
          <w:noProof/>
        </w:rPr>
      </w:r>
      <w:r>
        <w:rPr>
          <w:noProof/>
        </w:rPr>
        <w:fldChar w:fldCharType="separate"/>
      </w:r>
      <w:r>
        <w:rPr>
          <w:noProof/>
        </w:rPr>
        <w:t>8</w:t>
      </w:r>
      <w:r>
        <w:rPr>
          <w:noProof/>
        </w:rPr>
        <w:fldChar w:fldCharType="end"/>
      </w:r>
    </w:p>
    <w:p w:rsidR="002C40AD" w:rsidRDefault="002C40AD">
      <w:pPr>
        <w:pStyle w:val="TOC2"/>
        <w:rPr>
          <w:rFonts w:asciiTheme="minorHAnsi" w:eastAsiaTheme="minorEastAsia" w:hAnsiTheme="minorHAnsi" w:cstheme="minorBidi"/>
          <w:noProof/>
          <w:szCs w:val="22"/>
          <w:lang w:eastAsia="en-NZ"/>
        </w:rPr>
      </w:pPr>
      <w:r>
        <w:rPr>
          <w:noProof/>
        </w:rPr>
        <w:t>Call pattern</w:t>
      </w:r>
      <w:r>
        <w:rPr>
          <w:noProof/>
        </w:rPr>
        <w:tab/>
      </w:r>
      <w:r>
        <w:rPr>
          <w:noProof/>
        </w:rPr>
        <w:fldChar w:fldCharType="begin"/>
      </w:r>
      <w:r>
        <w:rPr>
          <w:noProof/>
        </w:rPr>
        <w:instrText xml:space="preserve"> PAGEREF _Toc435643007 \h </w:instrText>
      </w:r>
      <w:r>
        <w:rPr>
          <w:noProof/>
        </w:rPr>
      </w:r>
      <w:r>
        <w:rPr>
          <w:noProof/>
        </w:rPr>
        <w:fldChar w:fldCharType="separate"/>
      </w:r>
      <w:r>
        <w:rPr>
          <w:noProof/>
        </w:rPr>
        <w:t>9</w:t>
      </w:r>
      <w:r>
        <w:rPr>
          <w:noProof/>
        </w:rPr>
        <w:fldChar w:fldCharType="end"/>
      </w:r>
    </w:p>
    <w:p w:rsidR="002C40AD" w:rsidRDefault="002C40AD">
      <w:pPr>
        <w:pStyle w:val="TOC2"/>
        <w:rPr>
          <w:rFonts w:asciiTheme="minorHAnsi" w:eastAsiaTheme="minorEastAsia" w:hAnsiTheme="minorHAnsi" w:cstheme="minorBidi"/>
          <w:noProof/>
          <w:szCs w:val="22"/>
          <w:lang w:eastAsia="en-NZ"/>
        </w:rPr>
      </w:pPr>
      <w:r>
        <w:rPr>
          <w:noProof/>
        </w:rPr>
        <w:t>Auditing of interviewers</w:t>
      </w:r>
      <w:r>
        <w:rPr>
          <w:noProof/>
        </w:rPr>
        <w:tab/>
      </w:r>
      <w:r>
        <w:rPr>
          <w:noProof/>
        </w:rPr>
        <w:fldChar w:fldCharType="begin"/>
      </w:r>
      <w:r>
        <w:rPr>
          <w:noProof/>
        </w:rPr>
        <w:instrText xml:space="preserve"> PAGEREF _Toc435643008 \h </w:instrText>
      </w:r>
      <w:r>
        <w:rPr>
          <w:noProof/>
        </w:rPr>
      </w:r>
      <w:r>
        <w:rPr>
          <w:noProof/>
        </w:rPr>
        <w:fldChar w:fldCharType="separate"/>
      </w:r>
      <w:r>
        <w:rPr>
          <w:noProof/>
        </w:rPr>
        <w:t>9</w:t>
      </w:r>
      <w:r>
        <w:rPr>
          <w:noProof/>
        </w:rPr>
        <w:fldChar w:fldCharType="end"/>
      </w:r>
    </w:p>
    <w:p w:rsidR="002C40AD" w:rsidRDefault="002C40AD">
      <w:pPr>
        <w:pStyle w:val="TOC2"/>
        <w:rPr>
          <w:rFonts w:asciiTheme="minorHAnsi" w:eastAsiaTheme="minorEastAsia" w:hAnsiTheme="minorHAnsi" w:cstheme="minorBidi"/>
          <w:noProof/>
          <w:szCs w:val="22"/>
          <w:lang w:eastAsia="en-NZ"/>
        </w:rPr>
      </w:pPr>
      <w:r>
        <w:rPr>
          <w:noProof/>
        </w:rPr>
        <w:t>Interviewer training</w:t>
      </w:r>
      <w:r>
        <w:rPr>
          <w:noProof/>
        </w:rPr>
        <w:tab/>
      </w:r>
      <w:r>
        <w:rPr>
          <w:noProof/>
        </w:rPr>
        <w:fldChar w:fldCharType="begin"/>
      </w:r>
      <w:r>
        <w:rPr>
          <w:noProof/>
        </w:rPr>
        <w:instrText xml:space="preserve"> PAGEREF _Toc435643009 \h </w:instrText>
      </w:r>
      <w:r>
        <w:rPr>
          <w:noProof/>
        </w:rPr>
      </w:r>
      <w:r>
        <w:rPr>
          <w:noProof/>
        </w:rPr>
        <w:fldChar w:fldCharType="separate"/>
      </w:r>
      <w:r>
        <w:rPr>
          <w:noProof/>
        </w:rPr>
        <w:t>10</w:t>
      </w:r>
      <w:r>
        <w:rPr>
          <w:noProof/>
        </w:rPr>
        <w:fldChar w:fldCharType="end"/>
      </w:r>
    </w:p>
    <w:p w:rsidR="002C40AD" w:rsidRDefault="002C40AD">
      <w:pPr>
        <w:pStyle w:val="TOC2"/>
        <w:rPr>
          <w:rFonts w:asciiTheme="minorHAnsi" w:eastAsiaTheme="minorEastAsia" w:hAnsiTheme="minorHAnsi" w:cstheme="minorBidi"/>
          <w:noProof/>
          <w:szCs w:val="22"/>
          <w:lang w:eastAsia="en-NZ"/>
        </w:rPr>
      </w:pPr>
      <w:r>
        <w:rPr>
          <w:noProof/>
          <w:lang w:eastAsia="en-NZ"/>
        </w:rPr>
        <w:t>Objective measurements</w:t>
      </w:r>
      <w:r>
        <w:rPr>
          <w:noProof/>
        </w:rPr>
        <w:tab/>
      </w:r>
      <w:r>
        <w:rPr>
          <w:noProof/>
        </w:rPr>
        <w:fldChar w:fldCharType="begin"/>
      </w:r>
      <w:r>
        <w:rPr>
          <w:noProof/>
        </w:rPr>
        <w:instrText xml:space="preserve"> PAGEREF _Toc435643010 \h </w:instrText>
      </w:r>
      <w:r>
        <w:rPr>
          <w:noProof/>
        </w:rPr>
      </w:r>
      <w:r>
        <w:rPr>
          <w:noProof/>
        </w:rPr>
        <w:fldChar w:fldCharType="separate"/>
      </w:r>
      <w:r>
        <w:rPr>
          <w:noProof/>
        </w:rPr>
        <w:t>10</w:t>
      </w:r>
      <w:r>
        <w:rPr>
          <w:noProof/>
        </w:rPr>
        <w:fldChar w:fldCharType="end"/>
      </w:r>
    </w:p>
    <w:p w:rsidR="002C40AD" w:rsidRDefault="002C40AD">
      <w:pPr>
        <w:pStyle w:val="TOC1"/>
        <w:rPr>
          <w:rFonts w:asciiTheme="minorHAnsi" w:eastAsiaTheme="minorEastAsia" w:hAnsiTheme="minorHAnsi" w:cstheme="minorBidi"/>
          <w:b w:val="0"/>
          <w:noProof/>
          <w:szCs w:val="22"/>
          <w:lang w:eastAsia="en-NZ"/>
        </w:rPr>
      </w:pPr>
      <w:r>
        <w:rPr>
          <w:noProof/>
        </w:rPr>
        <w:t>Section 5: Response and coverage rates</w:t>
      </w:r>
      <w:r>
        <w:rPr>
          <w:noProof/>
        </w:rPr>
        <w:tab/>
      </w:r>
      <w:r>
        <w:rPr>
          <w:noProof/>
        </w:rPr>
        <w:fldChar w:fldCharType="begin"/>
      </w:r>
      <w:r>
        <w:rPr>
          <w:noProof/>
        </w:rPr>
        <w:instrText xml:space="preserve"> PAGEREF _Toc435643011 \h </w:instrText>
      </w:r>
      <w:r>
        <w:rPr>
          <w:noProof/>
        </w:rPr>
      </w:r>
      <w:r>
        <w:rPr>
          <w:noProof/>
        </w:rPr>
        <w:fldChar w:fldCharType="separate"/>
      </w:r>
      <w:r>
        <w:rPr>
          <w:noProof/>
        </w:rPr>
        <w:t>12</w:t>
      </w:r>
      <w:r>
        <w:rPr>
          <w:noProof/>
        </w:rPr>
        <w:fldChar w:fldCharType="end"/>
      </w:r>
    </w:p>
    <w:p w:rsidR="002C40AD" w:rsidRDefault="002C40AD">
      <w:pPr>
        <w:pStyle w:val="TOC2"/>
        <w:rPr>
          <w:rFonts w:asciiTheme="minorHAnsi" w:eastAsiaTheme="minorEastAsia" w:hAnsiTheme="minorHAnsi" w:cstheme="minorBidi"/>
          <w:noProof/>
          <w:szCs w:val="22"/>
          <w:lang w:eastAsia="en-NZ"/>
        </w:rPr>
      </w:pPr>
      <w:r>
        <w:rPr>
          <w:noProof/>
        </w:rPr>
        <w:t>Calculation of response rate</w:t>
      </w:r>
      <w:r>
        <w:rPr>
          <w:noProof/>
        </w:rPr>
        <w:tab/>
      </w:r>
      <w:r>
        <w:rPr>
          <w:noProof/>
        </w:rPr>
        <w:fldChar w:fldCharType="begin"/>
      </w:r>
      <w:r>
        <w:rPr>
          <w:noProof/>
        </w:rPr>
        <w:instrText xml:space="preserve"> PAGEREF _Toc435643012 \h </w:instrText>
      </w:r>
      <w:r>
        <w:rPr>
          <w:noProof/>
        </w:rPr>
      </w:r>
      <w:r>
        <w:rPr>
          <w:noProof/>
        </w:rPr>
        <w:fldChar w:fldCharType="separate"/>
      </w:r>
      <w:r>
        <w:rPr>
          <w:noProof/>
        </w:rPr>
        <w:t>12</w:t>
      </w:r>
      <w:r>
        <w:rPr>
          <w:noProof/>
        </w:rPr>
        <w:fldChar w:fldCharType="end"/>
      </w:r>
    </w:p>
    <w:p w:rsidR="002C40AD" w:rsidRDefault="002C40AD">
      <w:pPr>
        <w:pStyle w:val="TOC2"/>
        <w:rPr>
          <w:rFonts w:asciiTheme="minorHAnsi" w:eastAsiaTheme="minorEastAsia" w:hAnsiTheme="minorHAnsi" w:cstheme="minorBidi"/>
          <w:noProof/>
          <w:szCs w:val="22"/>
          <w:lang w:eastAsia="en-NZ"/>
        </w:rPr>
      </w:pPr>
      <w:r>
        <w:rPr>
          <w:noProof/>
          <w:lang w:eastAsia="en-US"/>
        </w:rPr>
        <w:t>Coverage rate</w:t>
      </w:r>
      <w:r>
        <w:rPr>
          <w:noProof/>
        </w:rPr>
        <w:tab/>
      </w:r>
      <w:r>
        <w:rPr>
          <w:noProof/>
        </w:rPr>
        <w:fldChar w:fldCharType="begin"/>
      </w:r>
      <w:r>
        <w:rPr>
          <w:noProof/>
        </w:rPr>
        <w:instrText xml:space="preserve"> PAGEREF _Toc435643013 \h </w:instrText>
      </w:r>
      <w:r>
        <w:rPr>
          <w:noProof/>
        </w:rPr>
      </w:r>
      <w:r>
        <w:rPr>
          <w:noProof/>
        </w:rPr>
        <w:fldChar w:fldCharType="separate"/>
      </w:r>
      <w:r>
        <w:rPr>
          <w:noProof/>
        </w:rPr>
        <w:t>13</w:t>
      </w:r>
      <w:r>
        <w:rPr>
          <w:noProof/>
        </w:rPr>
        <w:fldChar w:fldCharType="end"/>
      </w:r>
    </w:p>
    <w:p w:rsidR="002C40AD" w:rsidRDefault="002C40AD">
      <w:pPr>
        <w:pStyle w:val="TOC1"/>
        <w:rPr>
          <w:rFonts w:asciiTheme="minorHAnsi" w:eastAsiaTheme="minorEastAsia" w:hAnsiTheme="minorHAnsi" w:cstheme="minorBidi"/>
          <w:b w:val="0"/>
          <w:noProof/>
          <w:szCs w:val="22"/>
          <w:lang w:eastAsia="en-NZ"/>
        </w:rPr>
      </w:pPr>
      <w:r>
        <w:rPr>
          <w:noProof/>
        </w:rPr>
        <w:t>Section 6: Data processing</w:t>
      </w:r>
      <w:r>
        <w:rPr>
          <w:noProof/>
        </w:rPr>
        <w:tab/>
      </w:r>
      <w:r>
        <w:rPr>
          <w:noProof/>
        </w:rPr>
        <w:fldChar w:fldCharType="begin"/>
      </w:r>
      <w:r>
        <w:rPr>
          <w:noProof/>
        </w:rPr>
        <w:instrText xml:space="preserve"> PAGEREF _Toc435643014 \h </w:instrText>
      </w:r>
      <w:r>
        <w:rPr>
          <w:noProof/>
        </w:rPr>
      </w:r>
      <w:r>
        <w:rPr>
          <w:noProof/>
        </w:rPr>
        <w:fldChar w:fldCharType="separate"/>
      </w:r>
      <w:r>
        <w:rPr>
          <w:noProof/>
        </w:rPr>
        <w:t>14</w:t>
      </w:r>
      <w:r>
        <w:rPr>
          <w:noProof/>
        </w:rPr>
        <w:fldChar w:fldCharType="end"/>
      </w:r>
    </w:p>
    <w:p w:rsidR="002C40AD" w:rsidRDefault="002C40AD">
      <w:pPr>
        <w:pStyle w:val="TOC2"/>
        <w:rPr>
          <w:rFonts w:asciiTheme="minorHAnsi" w:eastAsiaTheme="minorEastAsia" w:hAnsiTheme="minorHAnsi" w:cstheme="minorBidi"/>
          <w:noProof/>
          <w:szCs w:val="22"/>
          <w:lang w:eastAsia="en-NZ"/>
        </w:rPr>
      </w:pPr>
      <w:r>
        <w:rPr>
          <w:noProof/>
        </w:rPr>
        <w:t>Capture and coding</w:t>
      </w:r>
      <w:r>
        <w:rPr>
          <w:noProof/>
        </w:rPr>
        <w:tab/>
      </w:r>
      <w:r>
        <w:rPr>
          <w:noProof/>
        </w:rPr>
        <w:fldChar w:fldCharType="begin"/>
      </w:r>
      <w:r>
        <w:rPr>
          <w:noProof/>
        </w:rPr>
        <w:instrText xml:space="preserve"> PAGEREF _Toc435643015 \h </w:instrText>
      </w:r>
      <w:r>
        <w:rPr>
          <w:noProof/>
        </w:rPr>
      </w:r>
      <w:r>
        <w:rPr>
          <w:noProof/>
        </w:rPr>
        <w:fldChar w:fldCharType="separate"/>
      </w:r>
      <w:r>
        <w:rPr>
          <w:noProof/>
        </w:rPr>
        <w:t>14</w:t>
      </w:r>
      <w:r>
        <w:rPr>
          <w:noProof/>
        </w:rPr>
        <w:fldChar w:fldCharType="end"/>
      </w:r>
    </w:p>
    <w:p w:rsidR="002C40AD" w:rsidRDefault="002C40AD">
      <w:pPr>
        <w:pStyle w:val="TOC2"/>
        <w:rPr>
          <w:rFonts w:asciiTheme="minorHAnsi" w:eastAsiaTheme="minorEastAsia" w:hAnsiTheme="minorHAnsi" w:cstheme="minorBidi"/>
          <w:noProof/>
          <w:szCs w:val="22"/>
          <w:lang w:eastAsia="en-NZ"/>
        </w:rPr>
      </w:pPr>
      <w:r>
        <w:rPr>
          <w:noProof/>
        </w:rPr>
        <w:t>Security of information</w:t>
      </w:r>
      <w:r>
        <w:rPr>
          <w:noProof/>
        </w:rPr>
        <w:tab/>
      </w:r>
      <w:r>
        <w:rPr>
          <w:noProof/>
        </w:rPr>
        <w:fldChar w:fldCharType="begin"/>
      </w:r>
      <w:r>
        <w:rPr>
          <w:noProof/>
        </w:rPr>
        <w:instrText xml:space="preserve"> PAGEREF _Toc435643016 \h </w:instrText>
      </w:r>
      <w:r>
        <w:rPr>
          <w:noProof/>
        </w:rPr>
      </w:r>
      <w:r>
        <w:rPr>
          <w:noProof/>
        </w:rPr>
        <w:fldChar w:fldCharType="separate"/>
      </w:r>
      <w:r>
        <w:rPr>
          <w:noProof/>
        </w:rPr>
        <w:t>14</w:t>
      </w:r>
      <w:r>
        <w:rPr>
          <w:noProof/>
        </w:rPr>
        <w:fldChar w:fldCharType="end"/>
      </w:r>
    </w:p>
    <w:p w:rsidR="002C40AD" w:rsidRDefault="002C40AD">
      <w:pPr>
        <w:pStyle w:val="TOC2"/>
        <w:rPr>
          <w:rFonts w:asciiTheme="minorHAnsi" w:eastAsiaTheme="minorEastAsia" w:hAnsiTheme="minorHAnsi" w:cstheme="minorBidi"/>
          <w:noProof/>
          <w:szCs w:val="22"/>
          <w:lang w:eastAsia="en-NZ"/>
        </w:rPr>
      </w:pPr>
      <w:r>
        <w:rPr>
          <w:noProof/>
        </w:rPr>
        <w:t>Checking and editing</w:t>
      </w:r>
      <w:r>
        <w:rPr>
          <w:noProof/>
        </w:rPr>
        <w:tab/>
      </w:r>
      <w:r>
        <w:rPr>
          <w:noProof/>
        </w:rPr>
        <w:fldChar w:fldCharType="begin"/>
      </w:r>
      <w:r>
        <w:rPr>
          <w:noProof/>
        </w:rPr>
        <w:instrText xml:space="preserve"> PAGEREF _Toc435643017 \h </w:instrText>
      </w:r>
      <w:r>
        <w:rPr>
          <w:noProof/>
        </w:rPr>
      </w:r>
      <w:r>
        <w:rPr>
          <w:noProof/>
        </w:rPr>
        <w:fldChar w:fldCharType="separate"/>
      </w:r>
      <w:r>
        <w:rPr>
          <w:noProof/>
        </w:rPr>
        <w:t>14</w:t>
      </w:r>
      <w:r>
        <w:rPr>
          <w:noProof/>
        </w:rPr>
        <w:fldChar w:fldCharType="end"/>
      </w:r>
    </w:p>
    <w:p w:rsidR="002C40AD" w:rsidRDefault="002C40AD">
      <w:pPr>
        <w:pStyle w:val="TOC2"/>
        <w:rPr>
          <w:rFonts w:asciiTheme="minorHAnsi" w:eastAsiaTheme="minorEastAsia" w:hAnsiTheme="minorHAnsi" w:cstheme="minorBidi"/>
          <w:noProof/>
          <w:szCs w:val="22"/>
          <w:lang w:eastAsia="en-NZ"/>
        </w:rPr>
      </w:pPr>
      <w:r>
        <w:rPr>
          <w:noProof/>
        </w:rPr>
        <w:t>Missing data due to non-response</w:t>
      </w:r>
      <w:r>
        <w:rPr>
          <w:noProof/>
        </w:rPr>
        <w:tab/>
      </w:r>
      <w:r>
        <w:rPr>
          <w:noProof/>
        </w:rPr>
        <w:fldChar w:fldCharType="begin"/>
      </w:r>
      <w:r>
        <w:rPr>
          <w:noProof/>
        </w:rPr>
        <w:instrText xml:space="preserve"> PAGEREF _Toc435643018 \h </w:instrText>
      </w:r>
      <w:r>
        <w:rPr>
          <w:noProof/>
        </w:rPr>
      </w:r>
      <w:r>
        <w:rPr>
          <w:noProof/>
        </w:rPr>
        <w:fldChar w:fldCharType="separate"/>
      </w:r>
      <w:r>
        <w:rPr>
          <w:noProof/>
        </w:rPr>
        <w:t>15</w:t>
      </w:r>
      <w:r>
        <w:rPr>
          <w:noProof/>
        </w:rPr>
        <w:fldChar w:fldCharType="end"/>
      </w:r>
    </w:p>
    <w:p w:rsidR="002C40AD" w:rsidRDefault="002C40AD">
      <w:pPr>
        <w:pStyle w:val="TOC2"/>
        <w:rPr>
          <w:rFonts w:asciiTheme="minorHAnsi" w:eastAsiaTheme="minorEastAsia" w:hAnsiTheme="minorHAnsi" w:cstheme="minorBidi"/>
          <w:noProof/>
          <w:szCs w:val="22"/>
          <w:lang w:eastAsia="en-NZ"/>
        </w:rPr>
      </w:pPr>
      <w:r>
        <w:rPr>
          <w:noProof/>
        </w:rPr>
        <w:t>Creation of derived variables</w:t>
      </w:r>
      <w:r>
        <w:rPr>
          <w:noProof/>
        </w:rPr>
        <w:tab/>
      </w:r>
      <w:r>
        <w:rPr>
          <w:noProof/>
        </w:rPr>
        <w:fldChar w:fldCharType="begin"/>
      </w:r>
      <w:r>
        <w:rPr>
          <w:noProof/>
        </w:rPr>
        <w:instrText xml:space="preserve"> PAGEREF _Toc435643019 \h </w:instrText>
      </w:r>
      <w:r>
        <w:rPr>
          <w:noProof/>
        </w:rPr>
      </w:r>
      <w:r>
        <w:rPr>
          <w:noProof/>
        </w:rPr>
        <w:fldChar w:fldCharType="separate"/>
      </w:r>
      <w:r>
        <w:rPr>
          <w:noProof/>
        </w:rPr>
        <w:t>15</w:t>
      </w:r>
      <w:r>
        <w:rPr>
          <w:noProof/>
        </w:rPr>
        <w:fldChar w:fldCharType="end"/>
      </w:r>
    </w:p>
    <w:p w:rsidR="002C40AD" w:rsidRDefault="002C40AD">
      <w:pPr>
        <w:pStyle w:val="TOC1"/>
        <w:rPr>
          <w:rFonts w:asciiTheme="minorHAnsi" w:eastAsiaTheme="minorEastAsia" w:hAnsiTheme="minorHAnsi" w:cstheme="minorBidi"/>
          <w:b w:val="0"/>
          <w:noProof/>
          <w:szCs w:val="22"/>
          <w:lang w:eastAsia="en-NZ"/>
        </w:rPr>
      </w:pPr>
      <w:r>
        <w:rPr>
          <w:noProof/>
        </w:rPr>
        <w:t>Section 7: Weighting</w:t>
      </w:r>
      <w:r>
        <w:rPr>
          <w:noProof/>
        </w:rPr>
        <w:tab/>
      </w:r>
      <w:r>
        <w:rPr>
          <w:noProof/>
        </w:rPr>
        <w:fldChar w:fldCharType="begin"/>
      </w:r>
      <w:r>
        <w:rPr>
          <w:noProof/>
        </w:rPr>
        <w:instrText xml:space="preserve"> PAGEREF _Toc435643020 \h </w:instrText>
      </w:r>
      <w:r>
        <w:rPr>
          <w:noProof/>
        </w:rPr>
      </w:r>
      <w:r>
        <w:rPr>
          <w:noProof/>
        </w:rPr>
        <w:fldChar w:fldCharType="separate"/>
      </w:r>
      <w:r>
        <w:rPr>
          <w:noProof/>
        </w:rPr>
        <w:t>17</w:t>
      </w:r>
      <w:r>
        <w:rPr>
          <w:noProof/>
        </w:rPr>
        <w:fldChar w:fldCharType="end"/>
      </w:r>
    </w:p>
    <w:p w:rsidR="002C40AD" w:rsidRDefault="002C40AD">
      <w:pPr>
        <w:pStyle w:val="TOC2"/>
        <w:rPr>
          <w:rFonts w:asciiTheme="minorHAnsi" w:eastAsiaTheme="minorEastAsia" w:hAnsiTheme="minorHAnsi" w:cstheme="minorBidi"/>
          <w:noProof/>
          <w:szCs w:val="22"/>
          <w:lang w:eastAsia="en-NZ"/>
        </w:rPr>
      </w:pPr>
      <w:r>
        <w:rPr>
          <w:noProof/>
          <w:lang w:eastAsia="en-US"/>
        </w:rPr>
        <w:t>Calculation of selection weights</w:t>
      </w:r>
      <w:r>
        <w:rPr>
          <w:noProof/>
        </w:rPr>
        <w:tab/>
      </w:r>
      <w:r>
        <w:rPr>
          <w:noProof/>
        </w:rPr>
        <w:fldChar w:fldCharType="begin"/>
      </w:r>
      <w:r>
        <w:rPr>
          <w:noProof/>
        </w:rPr>
        <w:instrText xml:space="preserve"> PAGEREF _Toc435643021 \h </w:instrText>
      </w:r>
      <w:r>
        <w:rPr>
          <w:noProof/>
        </w:rPr>
      </w:r>
      <w:r>
        <w:rPr>
          <w:noProof/>
        </w:rPr>
        <w:fldChar w:fldCharType="separate"/>
      </w:r>
      <w:r>
        <w:rPr>
          <w:noProof/>
        </w:rPr>
        <w:t>17</w:t>
      </w:r>
      <w:r>
        <w:rPr>
          <w:noProof/>
        </w:rPr>
        <w:fldChar w:fldCharType="end"/>
      </w:r>
    </w:p>
    <w:p w:rsidR="002C40AD" w:rsidRDefault="002C40AD">
      <w:pPr>
        <w:pStyle w:val="TOC2"/>
        <w:rPr>
          <w:rFonts w:asciiTheme="minorHAnsi" w:eastAsiaTheme="minorEastAsia" w:hAnsiTheme="minorHAnsi" w:cstheme="minorBidi"/>
          <w:noProof/>
          <w:szCs w:val="22"/>
          <w:lang w:eastAsia="en-NZ"/>
        </w:rPr>
      </w:pPr>
      <w:r w:rsidRPr="009F7489">
        <w:rPr>
          <w:rFonts w:eastAsia="Cambria"/>
          <w:noProof/>
          <w:lang w:eastAsia="en-US"/>
        </w:rPr>
        <w:t>Calibration of selection weights</w:t>
      </w:r>
      <w:r>
        <w:rPr>
          <w:noProof/>
        </w:rPr>
        <w:tab/>
      </w:r>
      <w:r>
        <w:rPr>
          <w:noProof/>
        </w:rPr>
        <w:fldChar w:fldCharType="begin"/>
      </w:r>
      <w:r>
        <w:rPr>
          <w:noProof/>
        </w:rPr>
        <w:instrText xml:space="preserve"> PAGEREF _Toc435643022 \h </w:instrText>
      </w:r>
      <w:r>
        <w:rPr>
          <w:noProof/>
        </w:rPr>
      </w:r>
      <w:r>
        <w:rPr>
          <w:noProof/>
        </w:rPr>
        <w:fldChar w:fldCharType="separate"/>
      </w:r>
      <w:r>
        <w:rPr>
          <w:noProof/>
        </w:rPr>
        <w:t>19</w:t>
      </w:r>
      <w:r>
        <w:rPr>
          <w:noProof/>
        </w:rPr>
        <w:fldChar w:fldCharType="end"/>
      </w:r>
    </w:p>
    <w:p w:rsidR="002C40AD" w:rsidRDefault="002C40AD">
      <w:pPr>
        <w:pStyle w:val="TOC2"/>
        <w:rPr>
          <w:rFonts w:asciiTheme="minorHAnsi" w:eastAsiaTheme="minorEastAsia" w:hAnsiTheme="minorHAnsi" w:cstheme="minorBidi"/>
          <w:noProof/>
          <w:szCs w:val="22"/>
          <w:lang w:eastAsia="en-NZ"/>
        </w:rPr>
      </w:pPr>
      <w:r w:rsidRPr="009F7489">
        <w:rPr>
          <w:rFonts w:eastAsia="Cambria"/>
          <w:noProof/>
          <w:lang w:eastAsia="en-US"/>
        </w:rPr>
        <w:t>Jackknife replicate weights</w:t>
      </w:r>
      <w:r>
        <w:rPr>
          <w:noProof/>
        </w:rPr>
        <w:tab/>
      </w:r>
      <w:r>
        <w:rPr>
          <w:noProof/>
        </w:rPr>
        <w:fldChar w:fldCharType="begin"/>
      </w:r>
      <w:r>
        <w:rPr>
          <w:noProof/>
        </w:rPr>
        <w:instrText xml:space="preserve"> PAGEREF _Toc435643023 \h </w:instrText>
      </w:r>
      <w:r>
        <w:rPr>
          <w:noProof/>
        </w:rPr>
      </w:r>
      <w:r>
        <w:rPr>
          <w:noProof/>
        </w:rPr>
        <w:fldChar w:fldCharType="separate"/>
      </w:r>
      <w:r>
        <w:rPr>
          <w:noProof/>
        </w:rPr>
        <w:t>21</w:t>
      </w:r>
      <w:r>
        <w:rPr>
          <w:noProof/>
        </w:rPr>
        <w:fldChar w:fldCharType="end"/>
      </w:r>
    </w:p>
    <w:p w:rsidR="002C40AD" w:rsidRDefault="002C40AD">
      <w:pPr>
        <w:pStyle w:val="TOC2"/>
        <w:rPr>
          <w:rFonts w:asciiTheme="minorHAnsi" w:eastAsiaTheme="minorEastAsia" w:hAnsiTheme="minorHAnsi" w:cstheme="minorBidi"/>
          <w:noProof/>
          <w:szCs w:val="22"/>
          <w:lang w:eastAsia="en-NZ"/>
        </w:rPr>
      </w:pPr>
      <w:r>
        <w:rPr>
          <w:noProof/>
          <w:lang w:eastAsia="en-NZ"/>
        </w:rPr>
        <w:t>Weights for measurement data</w:t>
      </w:r>
      <w:r>
        <w:rPr>
          <w:noProof/>
        </w:rPr>
        <w:tab/>
      </w:r>
      <w:r>
        <w:rPr>
          <w:noProof/>
        </w:rPr>
        <w:fldChar w:fldCharType="begin"/>
      </w:r>
      <w:r>
        <w:rPr>
          <w:noProof/>
        </w:rPr>
        <w:instrText xml:space="preserve"> PAGEREF _Toc435643024 \h </w:instrText>
      </w:r>
      <w:r>
        <w:rPr>
          <w:noProof/>
        </w:rPr>
      </w:r>
      <w:r>
        <w:rPr>
          <w:noProof/>
        </w:rPr>
        <w:fldChar w:fldCharType="separate"/>
      </w:r>
      <w:r>
        <w:rPr>
          <w:noProof/>
        </w:rPr>
        <w:t>21</w:t>
      </w:r>
      <w:r>
        <w:rPr>
          <w:noProof/>
        </w:rPr>
        <w:fldChar w:fldCharType="end"/>
      </w:r>
    </w:p>
    <w:p w:rsidR="002C40AD" w:rsidRDefault="002C40AD" w:rsidP="002C40AD">
      <w:pPr>
        <w:pStyle w:val="TOC1"/>
        <w:keepNext/>
        <w:rPr>
          <w:rFonts w:asciiTheme="minorHAnsi" w:eastAsiaTheme="minorEastAsia" w:hAnsiTheme="minorHAnsi" w:cstheme="minorBidi"/>
          <w:b w:val="0"/>
          <w:noProof/>
          <w:szCs w:val="22"/>
          <w:lang w:eastAsia="en-NZ"/>
        </w:rPr>
      </w:pPr>
      <w:r>
        <w:rPr>
          <w:noProof/>
        </w:rPr>
        <w:lastRenderedPageBreak/>
        <w:t>Section 8: Analysis methods</w:t>
      </w:r>
      <w:r>
        <w:rPr>
          <w:noProof/>
        </w:rPr>
        <w:tab/>
      </w:r>
      <w:r>
        <w:rPr>
          <w:noProof/>
        </w:rPr>
        <w:fldChar w:fldCharType="begin"/>
      </w:r>
      <w:r>
        <w:rPr>
          <w:noProof/>
        </w:rPr>
        <w:instrText xml:space="preserve"> PAGEREF _Toc435643025 \h </w:instrText>
      </w:r>
      <w:r>
        <w:rPr>
          <w:noProof/>
        </w:rPr>
      </w:r>
      <w:r>
        <w:rPr>
          <w:noProof/>
        </w:rPr>
        <w:fldChar w:fldCharType="separate"/>
      </w:r>
      <w:r>
        <w:rPr>
          <w:noProof/>
        </w:rPr>
        <w:t>22</w:t>
      </w:r>
      <w:r>
        <w:rPr>
          <w:noProof/>
        </w:rPr>
        <w:fldChar w:fldCharType="end"/>
      </w:r>
    </w:p>
    <w:p w:rsidR="002C40AD" w:rsidRDefault="002C40AD" w:rsidP="002C40AD">
      <w:pPr>
        <w:pStyle w:val="TOC2"/>
        <w:keepNext/>
        <w:rPr>
          <w:rFonts w:asciiTheme="minorHAnsi" w:eastAsiaTheme="minorEastAsia" w:hAnsiTheme="minorHAnsi" w:cstheme="minorBidi"/>
          <w:noProof/>
          <w:szCs w:val="22"/>
          <w:lang w:eastAsia="en-NZ"/>
        </w:rPr>
      </w:pPr>
      <w:r>
        <w:rPr>
          <w:noProof/>
        </w:rPr>
        <w:t>Estimation of prevalences, totals and means</w:t>
      </w:r>
      <w:r>
        <w:rPr>
          <w:noProof/>
        </w:rPr>
        <w:tab/>
      </w:r>
      <w:r>
        <w:rPr>
          <w:noProof/>
        </w:rPr>
        <w:fldChar w:fldCharType="begin"/>
      </w:r>
      <w:r>
        <w:rPr>
          <w:noProof/>
        </w:rPr>
        <w:instrText xml:space="preserve"> PAGEREF _Toc435643026 \h </w:instrText>
      </w:r>
      <w:r>
        <w:rPr>
          <w:noProof/>
        </w:rPr>
      </w:r>
      <w:r>
        <w:rPr>
          <w:noProof/>
        </w:rPr>
        <w:fldChar w:fldCharType="separate"/>
      </w:r>
      <w:r>
        <w:rPr>
          <w:noProof/>
        </w:rPr>
        <w:t>22</w:t>
      </w:r>
      <w:r>
        <w:rPr>
          <w:noProof/>
        </w:rPr>
        <w:fldChar w:fldCharType="end"/>
      </w:r>
    </w:p>
    <w:p w:rsidR="002C40AD" w:rsidRDefault="002C40AD" w:rsidP="002C40AD">
      <w:pPr>
        <w:pStyle w:val="TOC2"/>
        <w:keepNext/>
        <w:rPr>
          <w:rFonts w:asciiTheme="minorHAnsi" w:eastAsiaTheme="minorEastAsia" w:hAnsiTheme="minorHAnsi" w:cstheme="minorBidi"/>
          <w:noProof/>
          <w:szCs w:val="22"/>
          <w:lang w:eastAsia="en-NZ"/>
        </w:rPr>
      </w:pPr>
      <w:r>
        <w:rPr>
          <w:noProof/>
        </w:rPr>
        <w:t>Comparisons between population groups</w:t>
      </w:r>
      <w:r>
        <w:rPr>
          <w:noProof/>
        </w:rPr>
        <w:tab/>
      </w:r>
      <w:r>
        <w:rPr>
          <w:noProof/>
        </w:rPr>
        <w:fldChar w:fldCharType="begin"/>
      </w:r>
      <w:r>
        <w:rPr>
          <w:noProof/>
        </w:rPr>
        <w:instrText xml:space="preserve"> PAGEREF _Toc435643027 \h </w:instrText>
      </w:r>
      <w:r>
        <w:rPr>
          <w:noProof/>
        </w:rPr>
      </w:r>
      <w:r>
        <w:rPr>
          <w:noProof/>
        </w:rPr>
        <w:fldChar w:fldCharType="separate"/>
      </w:r>
      <w:r>
        <w:rPr>
          <w:noProof/>
        </w:rPr>
        <w:t>23</w:t>
      </w:r>
      <w:r>
        <w:rPr>
          <w:noProof/>
        </w:rPr>
        <w:fldChar w:fldCharType="end"/>
      </w:r>
    </w:p>
    <w:p w:rsidR="002C40AD" w:rsidRDefault="002C40AD">
      <w:pPr>
        <w:pStyle w:val="TOC2"/>
        <w:rPr>
          <w:rFonts w:asciiTheme="minorHAnsi" w:eastAsiaTheme="minorEastAsia" w:hAnsiTheme="minorHAnsi" w:cstheme="minorBidi"/>
          <w:noProof/>
          <w:szCs w:val="22"/>
          <w:lang w:eastAsia="en-NZ"/>
        </w:rPr>
      </w:pPr>
      <w:r>
        <w:rPr>
          <w:noProof/>
        </w:rPr>
        <w:t>Confidence intervals and statistical tests</w:t>
      </w:r>
      <w:r>
        <w:rPr>
          <w:noProof/>
        </w:rPr>
        <w:tab/>
      </w:r>
      <w:r>
        <w:rPr>
          <w:noProof/>
        </w:rPr>
        <w:fldChar w:fldCharType="begin"/>
      </w:r>
      <w:r>
        <w:rPr>
          <w:noProof/>
        </w:rPr>
        <w:instrText xml:space="preserve"> PAGEREF _Toc435643028 \h </w:instrText>
      </w:r>
      <w:r>
        <w:rPr>
          <w:noProof/>
        </w:rPr>
      </w:r>
      <w:r>
        <w:rPr>
          <w:noProof/>
        </w:rPr>
        <w:fldChar w:fldCharType="separate"/>
      </w:r>
      <w:r>
        <w:rPr>
          <w:noProof/>
        </w:rPr>
        <w:t>26</w:t>
      </w:r>
      <w:r>
        <w:rPr>
          <w:noProof/>
        </w:rPr>
        <w:fldChar w:fldCharType="end"/>
      </w:r>
    </w:p>
    <w:p w:rsidR="002C40AD" w:rsidRDefault="002C40AD">
      <w:pPr>
        <w:pStyle w:val="TOC2"/>
        <w:rPr>
          <w:rFonts w:asciiTheme="minorHAnsi" w:eastAsiaTheme="minorEastAsia" w:hAnsiTheme="minorHAnsi" w:cstheme="minorBidi"/>
          <w:noProof/>
          <w:szCs w:val="22"/>
          <w:lang w:eastAsia="en-NZ"/>
        </w:rPr>
      </w:pPr>
      <w:r>
        <w:rPr>
          <w:noProof/>
          <w:lang w:eastAsia="en-US"/>
        </w:rPr>
        <w:t>Time trends</w:t>
      </w:r>
      <w:r>
        <w:rPr>
          <w:noProof/>
        </w:rPr>
        <w:tab/>
      </w:r>
      <w:r>
        <w:rPr>
          <w:noProof/>
        </w:rPr>
        <w:fldChar w:fldCharType="begin"/>
      </w:r>
      <w:r>
        <w:rPr>
          <w:noProof/>
        </w:rPr>
        <w:instrText xml:space="preserve"> PAGEREF _Toc435643029 \h </w:instrText>
      </w:r>
      <w:r>
        <w:rPr>
          <w:noProof/>
        </w:rPr>
      </w:r>
      <w:r>
        <w:rPr>
          <w:noProof/>
        </w:rPr>
        <w:fldChar w:fldCharType="separate"/>
      </w:r>
      <w:r>
        <w:rPr>
          <w:noProof/>
        </w:rPr>
        <w:t>27</w:t>
      </w:r>
      <w:r>
        <w:rPr>
          <w:noProof/>
        </w:rPr>
        <w:fldChar w:fldCharType="end"/>
      </w:r>
    </w:p>
    <w:p w:rsidR="002C40AD" w:rsidRDefault="002C40AD">
      <w:pPr>
        <w:pStyle w:val="TOC1"/>
        <w:rPr>
          <w:rFonts w:asciiTheme="minorHAnsi" w:eastAsiaTheme="minorEastAsia" w:hAnsiTheme="minorHAnsi" w:cstheme="minorBidi"/>
          <w:b w:val="0"/>
          <w:noProof/>
          <w:szCs w:val="22"/>
          <w:lang w:eastAsia="en-NZ"/>
        </w:rPr>
      </w:pPr>
      <w:r>
        <w:rPr>
          <w:noProof/>
        </w:rPr>
        <w:t>Section 9: New Zealand Health Survey 2014/15</w:t>
      </w:r>
      <w:r>
        <w:rPr>
          <w:noProof/>
        </w:rPr>
        <w:tab/>
      </w:r>
      <w:r>
        <w:rPr>
          <w:noProof/>
        </w:rPr>
        <w:fldChar w:fldCharType="begin"/>
      </w:r>
      <w:r>
        <w:rPr>
          <w:noProof/>
        </w:rPr>
        <w:instrText xml:space="preserve"> PAGEREF _Toc435643030 \h </w:instrText>
      </w:r>
      <w:r>
        <w:rPr>
          <w:noProof/>
        </w:rPr>
      </w:r>
      <w:r>
        <w:rPr>
          <w:noProof/>
        </w:rPr>
        <w:fldChar w:fldCharType="separate"/>
      </w:r>
      <w:r>
        <w:rPr>
          <w:noProof/>
        </w:rPr>
        <w:t>28</w:t>
      </w:r>
      <w:r>
        <w:rPr>
          <w:noProof/>
        </w:rPr>
        <w:fldChar w:fldCharType="end"/>
      </w:r>
    </w:p>
    <w:p w:rsidR="002C40AD" w:rsidRDefault="002C40AD">
      <w:pPr>
        <w:pStyle w:val="TOC2"/>
        <w:rPr>
          <w:rFonts w:asciiTheme="minorHAnsi" w:eastAsiaTheme="minorEastAsia" w:hAnsiTheme="minorHAnsi" w:cstheme="minorBidi"/>
          <w:noProof/>
          <w:szCs w:val="22"/>
          <w:lang w:eastAsia="en-NZ"/>
        </w:rPr>
      </w:pPr>
      <w:r>
        <w:rPr>
          <w:noProof/>
        </w:rPr>
        <w:t>2014/15 NZHS modules</w:t>
      </w:r>
      <w:r>
        <w:rPr>
          <w:noProof/>
        </w:rPr>
        <w:tab/>
      </w:r>
      <w:r>
        <w:rPr>
          <w:noProof/>
        </w:rPr>
        <w:fldChar w:fldCharType="begin"/>
      </w:r>
      <w:r>
        <w:rPr>
          <w:noProof/>
        </w:rPr>
        <w:instrText xml:space="preserve"> PAGEREF _Toc435643031 \h </w:instrText>
      </w:r>
      <w:r>
        <w:rPr>
          <w:noProof/>
        </w:rPr>
      </w:r>
      <w:r>
        <w:rPr>
          <w:noProof/>
        </w:rPr>
        <w:fldChar w:fldCharType="separate"/>
      </w:r>
      <w:r>
        <w:rPr>
          <w:noProof/>
        </w:rPr>
        <w:t>28</w:t>
      </w:r>
      <w:r>
        <w:rPr>
          <w:noProof/>
        </w:rPr>
        <w:fldChar w:fldCharType="end"/>
      </w:r>
    </w:p>
    <w:p w:rsidR="002C40AD" w:rsidRDefault="002C40AD">
      <w:pPr>
        <w:pStyle w:val="TOC2"/>
        <w:rPr>
          <w:rFonts w:asciiTheme="minorHAnsi" w:eastAsiaTheme="minorEastAsia" w:hAnsiTheme="minorHAnsi" w:cstheme="minorBidi"/>
          <w:noProof/>
          <w:szCs w:val="22"/>
          <w:lang w:eastAsia="en-NZ"/>
        </w:rPr>
      </w:pPr>
      <w:r>
        <w:rPr>
          <w:noProof/>
        </w:rPr>
        <w:t>Data collection</w:t>
      </w:r>
      <w:r>
        <w:rPr>
          <w:noProof/>
        </w:rPr>
        <w:tab/>
      </w:r>
      <w:r>
        <w:rPr>
          <w:noProof/>
        </w:rPr>
        <w:fldChar w:fldCharType="begin"/>
      </w:r>
      <w:r>
        <w:rPr>
          <w:noProof/>
        </w:rPr>
        <w:instrText xml:space="preserve"> PAGEREF _Toc435643032 \h </w:instrText>
      </w:r>
      <w:r>
        <w:rPr>
          <w:noProof/>
        </w:rPr>
      </w:r>
      <w:r>
        <w:rPr>
          <w:noProof/>
        </w:rPr>
        <w:fldChar w:fldCharType="separate"/>
      </w:r>
      <w:r>
        <w:rPr>
          <w:noProof/>
        </w:rPr>
        <w:t>28</w:t>
      </w:r>
      <w:r>
        <w:rPr>
          <w:noProof/>
        </w:rPr>
        <w:fldChar w:fldCharType="end"/>
      </w:r>
    </w:p>
    <w:p w:rsidR="002C40AD" w:rsidRDefault="002C40AD">
      <w:pPr>
        <w:pStyle w:val="TOC2"/>
        <w:rPr>
          <w:rFonts w:asciiTheme="minorHAnsi" w:eastAsiaTheme="minorEastAsia" w:hAnsiTheme="minorHAnsi" w:cstheme="minorBidi"/>
          <w:noProof/>
          <w:szCs w:val="22"/>
          <w:lang w:eastAsia="en-NZ"/>
        </w:rPr>
      </w:pPr>
      <w:r>
        <w:rPr>
          <w:noProof/>
        </w:rPr>
        <w:t>Response rates</w:t>
      </w:r>
      <w:r>
        <w:rPr>
          <w:noProof/>
        </w:rPr>
        <w:tab/>
      </w:r>
      <w:r>
        <w:rPr>
          <w:noProof/>
        </w:rPr>
        <w:fldChar w:fldCharType="begin"/>
      </w:r>
      <w:r>
        <w:rPr>
          <w:noProof/>
        </w:rPr>
        <w:instrText xml:space="preserve"> PAGEREF _Toc435643033 \h </w:instrText>
      </w:r>
      <w:r>
        <w:rPr>
          <w:noProof/>
        </w:rPr>
      </w:r>
      <w:r>
        <w:rPr>
          <w:noProof/>
        </w:rPr>
        <w:fldChar w:fldCharType="separate"/>
      </w:r>
      <w:r>
        <w:rPr>
          <w:noProof/>
        </w:rPr>
        <w:t>29</w:t>
      </w:r>
      <w:r>
        <w:rPr>
          <w:noProof/>
        </w:rPr>
        <w:fldChar w:fldCharType="end"/>
      </w:r>
    </w:p>
    <w:p w:rsidR="002C40AD" w:rsidRDefault="002C40AD">
      <w:pPr>
        <w:pStyle w:val="TOC2"/>
        <w:rPr>
          <w:rFonts w:asciiTheme="minorHAnsi" w:eastAsiaTheme="minorEastAsia" w:hAnsiTheme="minorHAnsi" w:cstheme="minorBidi"/>
          <w:noProof/>
          <w:szCs w:val="22"/>
          <w:lang w:eastAsia="en-NZ"/>
        </w:rPr>
      </w:pPr>
      <w:r>
        <w:rPr>
          <w:noProof/>
        </w:rPr>
        <w:t>Coverage rates</w:t>
      </w:r>
      <w:r>
        <w:rPr>
          <w:noProof/>
        </w:rPr>
        <w:tab/>
      </w:r>
      <w:r>
        <w:rPr>
          <w:noProof/>
        </w:rPr>
        <w:fldChar w:fldCharType="begin"/>
      </w:r>
      <w:r>
        <w:rPr>
          <w:noProof/>
        </w:rPr>
        <w:instrText xml:space="preserve"> PAGEREF _Toc435643034 \h </w:instrText>
      </w:r>
      <w:r>
        <w:rPr>
          <w:noProof/>
        </w:rPr>
      </w:r>
      <w:r>
        <w:rPr>
          <w:noProof/>
        </w:rPr>
        <w:fldChar w:fldCharType="separate"/>
      </w:r>
      <w:r>
        <w:rPr>
          <w:noProof/>
        </w:rPr>
        <w:t>30</w:t>
      </w:r>
      <w:r>
        <w:rPr>
          <w:noProof/>
        </w:rPr>
        <w:fldChar w:fldCharType="end"/>
      </w:r>
    </w:p>
    <w:p w:rsidR="002C40AD" w:rsidRDefault="002C40AD">
      <w:pPr>
        <w:pStyle w:val="TOC2"/>
        <w:rPr>
          <w:rFonts w:asciiTheme="minorHAnsi" w:eastAsiaTheme="minorEastAsia" w:hAnsiTheme="minorHAnsi" w:cstheme="minorBidi"/>
          <w:noProof/>
          <w:szCs w:val="22"/>
          <w:lang w:eastAsia="en-NZ"/>
        </w:rPr>
      </w:pPr>
      <w:r w:rsidRPr="009F7489">
        <w:rPr>
          <w:rFonts w:eastAsia="Cambria"/>
          <w:noProof/>
          <w:lang w:eastAsia="en-US"/>
        </w:rPr>
        <w:t>Final weights</w:t>
      </w:r>
      <w:r>
        <w:rPr>
          <w:noProof/>
        </w:rPr>
        <w:tab/>
      </w:r>
      <w:r>
        <w:rPr>
          <w:noProof/>
        </w:rPr>
        <w:fldChar w:fldCharType="begin"/>
      </w:r>
      <w:r>
        <w:rPr>
          <w:noProof/>
        </w:rPr>
        <w:instrText xml:space="preserve"> PAGEREF _Toc435643035 \h </w:instrText>
      </w:r>
      <w:r>
        <w:rPr>
          <w:noProof/>
        </w:rPr>
      </w:r>
      <w:r>
        <w:rPr>
          <w:noProof/>
        </w:rPr>
        <w:fldChar w:fldCharType="separate"/>
      </w:r>
      <w:r>
        <w:rPr>
          <w:noProof/>
        </w:rPr>
        <w:t>32</w:t>
      </w:r>
      <w:r>
        <w:rPr>
          <w:noProof/>
        </w:rPr>
        <w:fldChar w:fldCharType="end"/>
      </w:r>
    </w:p>
    <w:p w:rsidR="002C40AD" w:rsidRDefault="002C40AD">
      <w:pPr>
        <w:pStyle w:val="TOC2"/>
        <w:rPr>
          <w:rFonts w:asciiTheme="minorHAnsi" w:eastAsiaTheme="minorEastAsia" w:hAnsiTheme="minorHAnsi" w:cstheme="minorBidi"/>
          <w:noProof/>
          <w:szCs w:val="22"/>
          <w:lang w:eastAsia="en-NZ"/>
        </w:rPr>
      </w:pPr>
      <w:r>
        <w:rPr>
          <w:noProof/>
        </w:rPr>
        <w:t>Sample sizes</w:t>
      </w:r>
      <w:r>
        <w:rPr>
          <w:noProof/>
        </w:rPr>
        <w:tab/>
      </w:r>
      <w:r>
        <w:rPr>
          <w:noProof/>
        </w:rPr>
        <w:fldChar w:fldCharType="begin"/>
      </w:r>
      <w:r>
        <w:rPr>
          <w:noProof/>
        </w:rPr>
        <w:instrText xml:space="preserve"> PAGEREF _Toc435643036 \h </w:instrText>
      </w:r>
      <w:r>
        <w:rPr>
          <w:noProof/>
        </w:rPr>
      </w:r>
      <w:r>
        <w:rPr>
          <w:noProof/>
        </w:rPr>
        <w:fldChar w:fldCharType="separate"/>
      </w:r>
      <w:r>
        <w:rPr>
          <w:noProof/>
        </w:rPr>
        <w:t>33</w:t>
      </w:r>
      <w:r>
        <w:rPr>
          <w:noProof/>
        </w:rPr>
        <w:fldChar w:fldCharType="end"/>
      </w:r>
    </w:p>
    <w:p w:rsidR="002C40AD" w:rsidRDefault="002C40AD">
      <w:pPr>
        <w:pStyle w:val="TOC1"/>
        <w:rPr>
          <w:rFonts w:asciiTheme="minorHAnsi" w:eastAsiaTheme="minorEastAsia" w:hAnsiTheme="minorHAnsi" w:cstheme="minorBidi"/>
          <w:b w:val="0"/>
          <w:noProof/>
          <w:szCs w:val="22"/>
          <w:lang w:eastAsia="en-NZ"/>
        </w:rPr>
      </w:pPr>
      <w:r>
        <w:rPr>
          <w:noProof/>
        </w:rPr>
        <w:t>Section 10: Errors in previously published statistics</w:t>
      </w:r>
      <w:r>
        <w:rPr>
          <w:noProof/>
        </w:rPr>
        <w:tab/>
      </w:r>
      <w:r>
        <w:rPr>
          <w:noProof/>
        </w:rPr>
        <w:fldChar w:fldCharType="begin"/>
      </w:r>
      <w:r>
        <w:rPr>
          <w:noProof/>
        </w:rPr>
        <w:instrText xml:space="preserve"> PAGEREF _Toc435643037 \h </w:instrText>
      </w:r>
      <w:r>
        <w:rPr>
          <w:noProof/>
        </w:rPr>
      </w:r>
      <w:r>
        <w:rPr>
          <w:noProof/>
        </w:rPr>
        <w:fldChar w:fldCharType="separate"/>
      </w:r>
      <w:r>
        <w:rPr>
          <w:noProof/>
        </w:rPr>
        <w:t>35</w:t>
      </w:r>
      <w:r>
        <w:rPr>
          <w:noProof/>
        </w:rPr>
        <w:fldChar w:fldCharType="end"/>
      </w:r>
    </w:p>
    <w:p w:rsidR="002C40AD" w:rsidRDefault="002C40AD">
      <w:pPr>
        <w:pStyle w:val="TOC2"/>
        <w:rPr>
          <w:rFonts w:asciiTheme="minorHAnsi" w:eastAsiaTheme="minorEastAsia" w:hAnsiTheme="minorHAnsi" w:cstheme="minorBidi"/>
          <w:noProof/>
          <w:szCs w:val="22"/>
          <w:lang w:eastAsia="en-NZ"/>
        </w:rPr>
      </w:pPr>
      <w:r>
        <w:rPr>
          <w:noProof/>
        </w:rPr>
        <w:t>Year 1, 2 and 3 estimation weights</w:t>
      </w:r>
      <w:r>
        <w:rPr>
          <w:noProof/>
        </w:rPr>
        <w:tab/>
      </w:r>
      <w:r>
        <w:rPr>
          <w:noProof/>
        </w:rPr>
        <w:fldChar w:fldCharType="begin"/>
      </w:r>
      <w:r>
        <w:rPr>
          <w:noProof/>
        </w:rPr>
        <w:instrText xml:space="preserve"> PAGEREF _Toc435643038 \h </w:instrText>
      </w:r>
      <w:r>
        <w:rPr>
          <w:noProof/>
        </w:rPr>
      </w:r>
      <w:r>
        <w:rPr>
          <w:noProof/>
        </w:rPr>
        <w:fldChar w:fldCharType="separate"/>
      </w:r>
      <w:r>
        <w:rPr>
          <w:noProof/>
        </w:rPr>
        <w:t>35</w:t>
      </w:r>
      <w:r>
        <w:rPr>
          <w:noProof/>
        </w:rPr>
        <w:fldChar w:fldCharType="end"/>
      </w:r>
    </w:p>
    <w:p w:rsidR="002C40AD" w:rsidRDefault="002C40AD">
      <w:pPr>
        <w:pStyle w:val="TOC2"/>
        <w:rPr>
          <w:rFonts w:asciiTheme="minorHAnsi" w:eastAsiaTheme="minorEastAsia" w:hAnsiTheme="minorHAnsi" w:cstheme="minorBidi"/>
          <w:noProof/>
          <w:szCs w:val="22"/>
          <w:lang w:eastAsia="en-NZ"/>
        </w:rPr>
      </w:pPr>
      <w:r>
        <w:rPr>
          <w:noProof/>
        </w:rPr>
        <w:t>Year 1, 2 and 3 obesity cut-offs</w:t>
      </w:r>
      <w:r>
        <w:rPr>
          <w:noProof/>
        </w:rPr>
        <w:tab/>
      </w:r>
      <w:r>
        <w:rPr>
          <w:noProof/>
        </w:rPr>
        <w:fldChar w:fldCharType="begin"/>
      </w:r>
      <w:r>
        <w:rPr>
          <w:noProof/>
        </w:rPr>
        <w:instrText xml:space="preserve"> PAGEREF _Toc435643039 \h </w:instrText>
      </w:r>
      <w:r>
        <w:rPr>
          <w:noProof/>
        </w:rPr>
      </w:r>
      <w:r>
        <w:rPr>
          <w:noProof/>
        </w:rPr>
        <w:fldChar w:fldCharType="separate"/>
      </w:r>
      <w:r>
        <w:rPr>
          <w:noProof/>
        </w:rPr>
        <w:t>35</w:t>
      </w:r>
      <w:r>
        <w:rPr>
          <w:noProof/>
        </w:rPr>
        <w:fldChar w:fldCharType="end"/>
      </w:r>
    </w:p>
    <w:p w:rsidR="002C40AD" w:rsidRDefault="002C40AD">
      <w:pPr>
        <w:pStyle w:val="TOC2"/>
        <w:rPr>
          <w:rFonts w:asciiTheme="minorHAnsi" w:eastAsiaTheme="minorEastAsia" w:hAnsiTheme="minorHAnsi" w:cstheme="minorBidi"/>
          <w:noProof/>
          <w:szCs w:val="22"/>
          <w:lang w:eastAsia="en-NZ"/>
        </w:rPr>
      </w:pPr>
      <w:r>
        <w:rPr>
          <w:noProof/>
        </w:rPr>
        <w:t>Year 2 height measurements</w:t>
      </w:r>
      <w:r>
        <w:rPr>
          <w:noProof/>
        </w:rPr>
        <w:tab/>
      </w:r>
      <w:r>
        <w:rPr>
          <w:noProof/>
        </w:rPr>
        <w:fldChar w:fldCharType="begin"/>
      </w:r>
      <w:r>
        <w:rPr>
          <w:noProof/>
        </w:rPr>
        <w:instrText xml:space="preserve"> PAGEREF _Toc435643040 \h </w:instrText>
      </w:r>
      <w:r>
        <w:rPr>
          <w:noProof/>
        </w:rPr>
      </w:r>
      <w:r>
        <w:rPr>
          <w:noProof/>
        </w:rPr>
        <w:fldChar w:fldCharType="separate"/>
      </w:r>
      <w:r>
        <w:rPr>
          <w:noProof/>
        </w:rPr>
        <w:t>36</w:t>
      </w:r>
      <w:r>
        <w:rPr>
          <w:noProof/>
        </w:rPr>
        <w:fldChar w:fldCharType="end"/>
      </w:r>
    </w:p>
    <w:p w:rsidR="002C40AD" w:rsidRDefault="002C40AD">
      <w:pPr>
        <w:pStyle w:val="TOC2"/>
        <w:rPr>
          <w:rFonts w:asciiTheme="minorHAnsi" w:eastAsiaTheme="minorEastAsia" w:hAnsiTheme="minorHAnsi" w:cstheme="minorBidi"/>
          <w:noProof/>
          <w:szCs w:val="22"/>
          <w:lang w:eastAsia="en-NZ"/>
        </w:rPr>
      </w:pPr>
      <w:r>
        <w:rPr>
          <w:noProof/>
        </w:rPr>
        <w:t>Surveyor dishonesty in year 1</w:t>
      </w:r>
      <w:r>
        <w:rPr>
          <w:noProof/>
        </w:rPr>
        <w:tab/>
      </w:r>
      <w:r>
        <w:rPr>
          <w:noProof/>
        </w:rPr>
        <w:fldChar w:fldCharType="begin"/>
      </w:r>
      <w:r>
        <w:rPr>
          <w:noProof/>
        </w:rPr>
        <w:instrText xml:space="preserve"> PAGEREF _Toc435643041 \h </w:instrText>
      </w:r>
      <w:r>
        <w:rPr>
          <w:noProof/>
        </w:rPr>
      </w:r>
      <w:r>
        <w:rPr>
          <w:noProof/>
        </w:rPr>
        <w:fldChar w:fldCharType="separate"/>
      </w:r>
      <w:r>
        <w:rPr>
          <w:noProof/>
        </w:rPr>
        <w:t>36</w:t>
      </w:r>
      <w:r>
        <w:rPr>
          <w:noProof/>
        </w:rPr>
        <w:fldChar w:fldCharType="end"/>
      </w:r>
    </w:p>
    <w:p w:rsidR="002C40AD" w:rsidRDefault="002C40AD">
      <w:pPr>
        <w:pStyle w:val="TOC1"/>
        <w:rPr>
          <w:rFonts w:asciiTheme="minorHAnsi" w:eastAsiaTheme="minorEastAsia" w:hAnsiTheme="minorHAnsi" w:cstheme="minorBidi"/>
          <w:b w:val="0"/>
          <w:noProof/>
          <w:szCs w:val="22"/>
          <w:lang w:eastAsia="en-NZ"/>
        </w:rPr>
      </w:pPr>
      <w:r>
        <w:rPr>
          <w:noProof/>
        </w:rPr>
        <w:t>References</w:t>
      </w:r>
      <w:r>
        <w:rPr>
          <w:noProof/>
        </w:rPr>
        <w:tab/>
      </w:r>
      <w:r>
        <w:rPr>
          <w:noProof/>
        </w:rPr>
        <w:fldChar w:fldCharType="begin"/>
      </w:r>
      <w:r>
        <w:rPr>
          <w:noProof/>
        </w:rPr>
        <w:instrText xml:space="preserve"> PAGEREF _Toc435643042 \h </w:instrText>
      </w:r>
      <w:r>
        <w:rPr>
          <w:noProof/>
        </w:rPr>
      </w:r>
      <w:r>
        <w:rPr>
          <w:noProof/>
        </w:rPr>
        <w:fldChar w:fldCharType="separate"/>
      </w:r>
      <w:r>
        <w:rPr>
          <w:noProof/>
        </w:rPr>
        <w:t>37</w:t>
      </w:r>
      <w:r>
        <w:rPr>
          <w:noProof/>
        </w:rPr>
        <w:fldChar w:fldCharType="end"/>
      </w:r>
    </w:p>
    <w:p w:rsidR="002C40AD" w:rsidRDefault="002C40AD">
      <w:pPr>
        <w:pStyle w:val="TOC1"/>
        <w:rPr>
          <w:rFonts w:asciiTheme="minorHAnsi" w:eastAsiaTheme="minorEastAsia" w:hAnsiTheme="minorHAnsi" w:cstheme="minorBidi"/>
          <w:b w:val="0"/>
          <w:noProof/>
          <w:szCs w:val="22"/>
          <w:lang w:eastAsia="en-NZ"/>
        </w:rPr>
      </w:pPr>
      <w:r>
        <w:rPr>
          <w:noProof/>
        </w:rPr>
        <w:t>Appendix: 2006/07 New Zealand Health Survey</w:t>
      </w:r>
      <w:r>
        <w:rPr>
          <w:noProof/>
        </w:rPr>
        <w:tab/>
      </w:r>
      <w:r>
        <w:rPr>
          <w:noProof/>
        </w:rPr>
        <w:fldChar w:fldCharType="begin"/>
      </w:r>
      <w:r>
        <w:rPr>
          <w:noProof/>
        </w:rPr>
        <w:instrText xml:space="preserve"> PAGEREF _Toc435643043 \h </w:instrText>
      </w:r>
      <w:r>
        <w:rPr>
          <w:noProof/>
        </w:rPr>
      </w:r>
      <w:r>
        <w:rPr>
          <w:noProof/>
        </w:rPr>
        <w:fldChar w:fldCharType="separate"/>
      </w:r>
      <w:r>
        <w:rPr>
          <w:noProof/>
        </w:rPr>
        <w:t>38</w:t>
      </w:r>
      <w:r>
        <w:rPr>
          <w:noProof/>
        </w:rPr>
        <w:fldChar w:fldCharType="end"/>
      </w:r>
    </w:p>
    <w:p w:rsidR="00C86248" w:rsidRDefault="00C86248">
      <w:r>
        <w:rPr>
          <w:b/>
        </w:rPr>
        <w:fldChar w:fldCharType="end"/>
      </w:r>
    </w:p>
    <w:p w:rsidR="00C86248" w:rsidRDefault="00C86248"/>
    <w:p w:rsidR="00C86248" w:rsidRDefault="00C86248" w:rsidP="003B1D10">
      <w:pPr>
        <w:pStyle w:val="TOC1"/>
        <w:keepNext/>
      </w:pPr>
      <w:r>
        <w:t>List of Tables</w:t>
      </w:r>
    </w:p>
    <w:p w:rsidR="00966342" w:rsidRDefault="00C86248">
      <w:pPr>
        <w:pStyle w:val="TOC3"/>
        <w:rPr>
          <w:rFonts w:asciiTheme="minorHAnsi" w:eastAsiaTheme="minorEastAsia" w:hAnsiTheme="minorHAnsi" w:cstheme="minorBidi"/>
          <w:noProof/>
          <w:szCs w:val="22"/>
          <w:lang w:eastAsia="en-NZ"/>
        </w:rPr>
      </w:pPr>
      <w:r>
        <w:rPr>
          <w:sz w:val="20"/>
        </w:rPr>
        <w:fldChar w:fldCharType="begin"/>
      </w:r>
      <w:r>
        <w:instrText xml:space="preserve"> TOC \t "Table,3" </w:instrText>
      </w:r>
      <w:r>
        <w:rPr>
          <w:sz w:val="20"/>
        </w:rPr>
        <w:fldChar w:fldCharType="separate"/>
      </w:r>
      <w:r w:rsidR="00966342">
        <w:rPr>
          <w:noProof/>
        </w:rPr>
        <w:t>Table 1:</w:t>
      </w:r>
      <w:r w:rsidR="00966342">
        <w:rPr>
          <w:noProof/>
        </w:rPr>
        <w:tab/>
        <w:t>Core content of the NZHS</w:t>
      </w:r>
      <w:r w:rsidR="00966342">
        <w:rPr>
          <w:noProof/>
        </w:rPr>
        <w:tab/>
      </w:r>
      <w:r w:rsidR="00966342">
        <w:rPr>
          <w:noProof/>
        </w:rPr>
        <w:fldChar w:fldCharType="begin"/>
      </w:r>
      <w:r w:rsidR="00966342">
        <w:rPr>
          <w:noProof/>
        </w:rPr>
        <w:instrText xml:space="preserve"> PAGEREF _Toc435555076 \h </w:instrText>
      </w:r>
      <w:r w:rsidR="00966342">
        <w:rPr>
          <w:noProof/>
        </w:rPr>
      </w:r>
      <w:r w:rsidR="00966342">
        <w:rPr>
          <w:noProof/>
        </w:rPr>
        <w:fldChar w:fldCharType="separate"/>
      </w:r>
      <w:r w:rsidR="002C40AD">
        <w:rPr>
          <w:noProof/>
        </w:rPr>
        <w:t>3</w:t>
      </w:r>
      <w:r w:rsidR="00966342">
        <w:rPr>
          <w:noProof/>
        </w:rPr>
        <w:fldChar w:fldCharType="end"/>
      </w:r>
    </w:p>
    <w:p w:rsidR="00966342" w:rsidRDefault="00966342">
      <w:pPr>
        <w:pStyle w:val="TOC3"/>
        <w:rPr>
          <w:rFonts w:asciiTheme="minorHAnsi" w:eastAsiaTheme="minorEastAsia" w:hAnsiTheme="minorHAnsi" w:cstheme="minorBidi"/>
          <w:noProof/>
          <w:szCs w:val="22"/>
          <w:lang w:eastAsia="en-NZ"/>
        </w:rPr>
      </w:pPr>
      <w:r>
        <w:rPr>
          <w:noProof/>
        </w:rPr>
        <w:t>Table 2:</w:t>
      </w:r>
      <w:r>
        <w:rPr>
          <w:noProof/>
        </w:rPr>
        <w:tab/>
        <w:t>NZHS module topics, 2011/12–2015/16</w:t>
      </w:r>
      <w:r>
        <w:rPr>
          <w:noProof/>
        </w:rPr>
        <w:tab/>
      </w:r>
      <w:r>
        <w:rPr>
          <w:noProof/>
        </w:rPr>
        <w:fldChar w:fldCharType="begin"/>
      </w:r>
      <w:r>
        <w:rPr>
          <w:noProof/>
        </w:rPr>
        <w:instrText xml:space="preserve"> PAGEREF _Toc435555077 \h </w:instrText>
      </w:r>
      <w:r>
        <w:rPr>
          <w:noProof/>
        </w:rPr>
      </w:r>
      <w:r>
        <w:rPr>
          <w:noProof/>
        </w:rPr>
        <w:fldChar w:fldCharType="separate"/>
      </w:r>
      <w:r w:rsidR="002C40AD">
        <w:rPr>
          <w:noProof/>
        </w:rPr>
        <w:t>4</w:t>
      </w:r>
      <w:r>
        <w:rPr>
          <w:noProof/>
        </w:rPr>
        <w:fldChar w:fldCharType="end"/>
      </w:r>
    </w:p>
    <w:p w:rsidR="00966342" w:rsidRDefault="00966342">
      <w:pPr>
        <w:pStyle w:val="TOC3"/>
        <w:rPr>
          <w:rFonts w:asciiTheme="minorHAnsi" w:eastAsiaTheme="minorEastAsia" w:hAnsiTheme="minorHAnsi" w:cstheme="minorBidi"/>
          <w:noProof/>
          <w:szCs w:val="22"/>
          <w:lang w:eastAsia="en-NZ"/>
        </w:rPr>
      </w:pPr>
      <w:r>
        <w:rPr>
          <w:noProof/>
        </w:rPr>
        <w:t>Table 3:</w:t>
      </w:r>
      <w:r>
        <w:rPr>
          <w:noProof/>
        </w:rPr>
        <w:tab/>
        <w:t>NZHS module topics, 2014/15</w:t>
      </w:r>
      <w:r>
        <w:rPr>
          <w:noProof/>
        </w:rPr>
        <w:tab/>
      </w:r>
      <w:r>
        <w:rPr>
          <w:noProof/>
        </w:rPr>
        <w:fldChar w:fldCharType="begin"/>
      </w:r>
      <w:r>
        <w:rPr>
          <w:noProof/>
        </w:rPr>
        <w:instrText xml:space="preserve"> PAGEREF _Toc435555078 \h </w:instrText>
      </w:r>
      <w:r>
        <w:rPr>
          <w:noProof/>
        </w:rPr>
      </w:r>
      <w:r>
        <w:rPr>
          <w:noProof/>
        </w:rPr>
        <w:fldChar w:fldCharType="separate"/>
      </w:r>
      <w:r w:rsidR="002C40AD">
        <w:rPr>
          <w:noProof/>
        </w:rPr>
        <w:t>28</w:t>
      </w:r>
      <w:r>
        <w:rPr>
          <w:noProof/>
        </w:rPr>
        <w:fldChar w:fldCharType="end"/>
      </w:r>
    </w:p>
    <w:p w:rsidR="00966342" w:rsidRDefault="00966342">
      <w:pPr>
        <w:pStyle w:val="TOC3"/>
        <w:rPr>
          <w:rFonts w:asciiTheme="minorHAnsi" w:eastAsiaTheme="minorEastAsia" w:hAnsiTheme="minorHAnsi" w:cstheme="minorBidi"/>
          <w:noProof/>
          <w:szCs w:val="22"/>
          <w:lang w:eastAsia="en-NZ"/>
        </w:rPr>
      </w:pPr>
      <w:r>
        <w:rPr>
          <w:noProof/>
        </w:rPr>
        <w:t>Table 4:</w:t>
      </w:r>
      <w:r>
        <w:rPr>
          <w:noProof/>
        </w:rPr>
        <w:tab/>
        <w:t>Number of survey participants, by quarter, 2014/15</w:t>
      </w:r>
      <w:r>
        <w:rPr>
          <w:noProof/>
        </w:rPr>
        <w:tab/>
      </w:r>
      <w:r>
        <w:rPr>
          <w:noProof/>
        </w:rPr>
        <w:fldChar w:fldCharType="begin"/>
      </w:r>
      <w:r>
        <w:rPr>
          <w:noProof/>
        </w:rPr>
        <w:instrText xml:space="preserve"> PAGEREF _Toc435555079 \h </w:instrText>
      </w:r>
      <w:r>
        <w:rPr>
          <w:noProof/>
        </w:rPr>
      </w:r>
      <w:r>
        <w:rPr>
          <w:noProof/>
        </w:rPr>
        <w:fldChar w:fldCharType="separate"/>
      </w:r>
      <w:r w:rsidR="002C40AD">
        <w:rPr>
          <w:noProof/>
        </w:rPr>
        <w:t>28</w:t>
      </w:r>
      <w:r>
        <w:rPr>
          <w:noProof/>
        </w:rPr>
        <w:fldChar w:fldCharType="end"/>
      </w:r>
    </w:p>
    <w:p w:rsidR="00966342" w:rsidRDefault="00966342">
      <w:pPr>
        <w:pStyle w:val="TOC3"/>
        <w:rPr>
          <w:rFonts w:asciiTheme="minorHAnsi" w:eastAsiaTheme="minorEastAsia" w:hAnsiTheme="minorHAnsi" w:cstheme="minorBidi"/>
          <w:noProof/>
          <w:szCs w:val="22"/>
          <w:lang w:eastAsia="en-NZ"/>
        </w:rPr>
      </w:pPr>
      <w:r>
        <w:rPr>
          <w:noProof/>
        </w:rPr>
        <w:t>Table 5:</w:t>
      </w:r>
      <w:r>
        <w:rPr>
          <w:noProof/>
        </w:rPr>
        <w:tab/>
      </w:r>
      <w:r w:rsidRPr="003311E3">
        <w:rPr>
          <w:rFonts w:eastAsia="Cambria"/>
          <w:noProof/>
        </w:rPr>
        <w:t>Final weights, 2014/15</w:t>
      </w:r>
      <w:r>
        <w:rPr>
          <w:noProof/>
        </w:rPr>
        <w:tab/>
      </w:r>
      <w:r>
        <w:rPr>
          <w:noProof/>
        </w:rPr>
        <w:fldChar w:fldCharType="begin"/>
      </w:r>
      <w:r>
        <w:rPr>
          <w:noProof/>
        </w:rPr>
        <w:instrText xml:space="preserve"> PAGEREF _Toc435555080 \h </w:instrText>
      </w:r>
      <w:r>
        <w:rPr>
          <w:noProof/>
        </w:rPr>
      </w:r>
      <w:r>
        <w:rPr>
          <w:noProof/>
        </w:rPr>
        <w:fldChar w:fldCharType="separate"/>
      </w:r>
      <w:r w:rsidR="002C40AD">
        <w:rPr>
          <w:noProof/>
        </w:rPr>
        <w:t>32</w:t>
      </w:r>
      <w:r>
        <w:rPr>
          <w:noProof/>
        </w:rPr>
        <w:fldChar w:fldCharType="end"/>
      </w:r>
    </w:p>
    <w:p w:rsidR="00966342" w:rsidRDefault="00966342">
      <w:pPr>
        <w:pStyle w:val="TOC3"/>
        <w:rPr>
          <w:rFonts w:asciiTheme="minorHAnsi" w:eastAsiaTheme="minorEastAsia" w:hAnsiTheme="minorHAnsi" w:cstheme="minorBidi"/>
          <w:noProof/>
          <w:szCs w:val="22"/>
          <w:lang w:eastAsia="en-NZ"/>
        </w:rPr>
      </w:pPr>
      <w:r>
        <w:rPr>
          <w:noProof/>
        </w:rPr>
        <w:t>Table 6:</w:t>
      </w:r>
      <w:r>
        <w:rPr>
          <w:noProof/>
        </w:rPr>
        <w:tab/>
        <w:t xml:space="preserve">Sample sizes and population counts for children and adults, by sex, </w:t>
      </w:r>
      <w:r w:rsidRPr="003311E3">
        <w:rPr>
          <w:bCs/>
          <w:noProof/>
        </w:rPr>
        <w:t>2014/15</w:t>
      </w:r>
      <w:r>
        <w:rPr>
          <w:noProof/>
        </w:rPr>
        <w:tab/>
      </w:r>
      <w:r>
        <w:rPr>
          <w:noProof/>
        </w:rPr>
        <w:fldChar w:fldCharType="begin"/>
      </w:r>
      <w:r>
        <w:rPr>
          <w:noProof/>
        </w:rPr>
        <w:instrText xml:space="preserve"> PAGEREF _Toc435555081 \h </w:instrText>
      </w:r>
      <w:r>
        <w:rPr>
          <w:noProof/>
        </w:rPr>
      </w:r>
      <w:r>
        <w:rPr>
          <w:noProof/>
        </w:rPr>
        <w:fldChar w:fldCharType="separate"/>
      </w:r>
      <w:r w:rsidR="002C40AD">
        <w:rPr>
          <w:noProof/>
        </w:rPr>
        <w:t>33</w:t>
      </w:r>
      <w:r>
        <w:rPr>
          <w:noProof/>
        </w:rPr>
        <w:fldChar w:fldCharType="end"/>
      </w:r>
    </w:p>
    <w:p w:rsidR="00966342" w:rsidRDefault="00966342">
      <w:pPr>
        <w:pStyle w:val="TOC3"/>
        <w:rPr>
          <w:rFonts w:asciiTheme="minorHAnsi" w:eastAsiaTheme="minorEastAsia" w:hAnsiTheme="minorHAnsi" w:cstheme="minorBidi"/>
          <w:noProof/>
          <w:szCs w:val="22"/>
          <w:lang w:eastAsia="en-NZ"/>
        </w:rPr>
      </w:pPr>
      <w:r>
        <w:rPr>
          <w:noProof/>
        </w:rPr>
        <w:t>Table 7:</w:t>
      </w:r>
      <w:r>
        <w:rPr>
          <w:noProof/>
        </w:rPr>
        <w:tab/>
        <w:t xml:space="preserve">Sample sizes and population counts for children and adults, by ethnic group, </w:t>
      </w:r>
      <w:r w:rsidRPr="003311E3">
        <w:rPr>
          <w:bCs/>
          <w:noProof/>
        </w:rPr>
        <w:t>2014/15</w:t>
      </w:r>
      <w:r>
        <w:rPr>
          <w:noProof/>
        </w:rPr>
        <w:tab/>
      </w:r>
      <w:r>
        <w:rPr>
          <w:noProof/>
        </w:rPr>
        <w:fldChar w:fldCharType="begin"/>
      </w:r>
      <w:r>
        <w:rPr>
          <w:noProof/>
        </w:rPr>
        <w:instrText xml:space="preserve"> PAGEREF _Toc435555082 \h </w:instrText>
      </w:r>
      <w:r>
        <w:rPr>
          <w:noProof/>
        </w:rPr>
      </w:r>
      <w:r>
        <w:rPr>
          <w:noProof/>
        </w:rPr>
        <w:fldChar w:fldCharType="separate"/>
      </w:r>
      <w:r w:rsidR="002C40AD">
        <w:rPr>
          <w:noProof/>
        </w:rPr>
        <w:t>33</w:t>
      </w:r>
      <w:r>
        <w:rPr>
          <w:noProof/>
        </w:rPr>
        <w:fldChar w:fldCharType="end"/>
      </w:r>
    </w:p>
    <w:p w:rsidR="00966342" w:rsidRDefault="00966342">
      <w:pPr>
        <w:pStyle w:val="TOC3"/>
        <w:rPr>
          <w:rFonts w:asciiTheme="minorHAnsi" w:eastAsiaTheme="minorEastAsia" w:hAnsiTheme="minorHAnsi" w:cstheme="minorBidi"/>
          <w:noProof/>
          <w:szCs w:val="22"/>
          <w:lang w:eastAsia="en-NZ"/>
        </w:rPr>
      </w:pPr>
      <w:r>
        <w:rPr>
          <w:noProof/>
        </w:rPr>
        <w:t>Table 8:</w:t>
      </w:r>
      <w:r>
        <w:rPr>
          <w:noProof/>
        </w:rPr>
        <w:tab/>
        <w:t xml:space="preserve">Sample sizes and population counts, by age group, </w:t>
      </w:r>
      <w:r w:rsidRPr="003311E3">
        <w:rPr>
          <w:bCs/>
          <w:noProof/>
        </w:rPr>
        <w:t>2014/15</w:t>
      </w:r>
      <w:r>
        <w:rPr>
          <w:noProof/>
        </w:rPr>
        <w:tab/>
      </w:r>
      <w:r>
        <w:rPr>
          <w:noProof/>
        </w:rPr>
        <w:fldChar w:fldCharType="begin"/>
      </w:r>
      <w:r>
        <w:rPr>
          <w:noProof/>
        </w:rPr>
        <w:instrText xml:space="preserve"> PAGEREF _Toc435555083 \h </w:instrText>
      </w:r>
      <w:r>
        <w:rPr>
          <w:noProof/>
        </w:rPr>
      </w:r>
      <w:r>
        <w:rPr>
          <w:noProof/>
        </w:rPr>
        <w:fldChar w:fldCharType="separate"/>
      </w:r>
      <w:r w:rsidR="002C40AD">
        <w:rPr>
          <w:noProof/>
        </w:rPr>
        <w:t>33</w:t>
      </w:r>
      <w:r>
        <w:rPr>
          <w:noProof/>
        </w:rPr>
        <w:fldChar w:fldCharType="end"/>
      </w:r>
    </w:p>
    <w:p w:rsidR="00966342" w:rsidRDefault="00966342">
      <w:pPr>
        <w:pStyle w:val="TOC3"/>
        <w:rPr>
          <w:rFonts w:asciiTheme="minorHAnsi" w:eastAsiaTheme="minorEastAsia" w:hAnsiTheme="minorHAnsi" w:cstheme="minorBidi"/>
          <w:noProof/>
          <w:szCs w:val="22"/>
          <w:lang w:eastAsia="en-NZ"/>
        </w:rPr>
      </w:pPr>
      <w:r>
        <w:rPr>
          <w:noProof/>
        </w:rPr>
        <w:t>Table 9:</w:t>
      </w:r>
      <w:r>
        <w:rPr>
          <w:noProof/>
        </w:rPr>
        <w:tab/>
        <w:t xml:space="preserve">Sample sizes and population counts, by NZDep2013 quintile, </w:t>
      </w:r>
      <w:r w:rsidRPr="003311E3">
        <w:rPr>
          <w:bCs/>
          <w:noProof/>
        </w:rPr>
        <w:t>2014/15</w:t>
      </w:r>
      <w:r>
        <w:rPr>
          <w:noProof/>
        </w:rPr>
        <w:tab/>
      </w:r>
      <w:r>
        <w:rPr>
          <w:noProof/>
        </w:rPr>
        <w:fldChar w:fldCharType="begin"/>
      </w:r>
      <w:r>
        <w:rPr>
          <w:noProof/>
        </w:rPr>
        <w:instrText xml:space="preserve"> PAGEREF _Toc435555084 \h </w:instrText>
      </w:r>
      <w:r>
        <w:rPr>
          <w:noProof/>
        </w:rPr>
      </w:r>
      <w:r>
        <w:rPr>
          <w:noProof/>
        </w:rPr>
        <w:fldChar w:fldCharType="separate"/>
      </w:r>
      <w:r w:rsidR="002C40AD">
        <w:rPr>
          <w:noProof/>
        </w:rPr>
        <w:t>34</w:t>
      </w:r>
      <w:r>
        <w:rPr>
          <w:noProof/>
        </w:rPr>
        <w:fldChar w:fldCharType="end"/>
      </w:r>
    </w:p>
    <w:p w:rsidR="00C86248" w:rsidRDefault="00C86248" w:rsidP="0030382F">
      <w:r>
        <w:fldChar w:fldCharType="end"/>
      </w:r>
    </w:p>
    <w:p w:rsidR="003A5FEA" w:rsidRDefault="003A5FEA" w:rsidP="00966342">
      <w:pPr>
        <w:pStyle w:val="TOC1"/>
        <w:keepNext/>
      </w:pPr>
      <w:r>
        <w:lastRenderedPageBreak/>
        <w:t>List of Figures</w:t>
      </w:r>
    </w:p>
    <w:p w:rsidR="00966342" w:rsidRDefault="003A5FEA" w:rsidP="00966342">
      <w:pPr>
        <w:pStyle w:val="TOC3"/>
        <w:keepNext/>
        <w:rPr>
          <w:rFonts w:asciiTheme="minorHAnsi" w:eastAsiaTheme="minorEastAsia" w:hAnsiTheme="minorHAnsi" w:cstheme="minorBidi"/>
          <w:noProof/>
          <w:szCs w:val="22"/>
          <w:lang w:eastAsia="en-NZ"/>
        </w:rPr>
      </w:pPr>
      <w:r>
        <w:fldChar w:fldCharType="begin"/>
      </w:r>
      <w:r>
        <w:instrText xml:space="preserve"> TOC \t "Figure,3" </w:instrText>
      </w:r>
      <w:r>
        <w:fldChar w:fldCharType="separate"/>
      </w:r>
      <w:r w:rsidR="00966342">
        <w:rPr>
          <w:noProof/>
        </w:rPr>
        <w:t>Figure 1:</w:t>
      </w:r>
      <w:r w:rsidR="00966342">
        <w:rPr>
          <w:noProof/>
        </w:rPr>
        <w:tab/>
        <w:t>Proportion of households agreeing to first interview, by number of calls, 2014/15</w:t>
      </w:r>
      <w:r w:rsidR="00966342">
        <w:rPr>
          <w:noProof/>
        </w:rPr>
        <w:tab/>
      </w:r>
      <w:r w:rsidR="00966342">
        <w:rPr>
          <w:noProof/>
        </w:rPr>
        <w:fldChar w:fldCharType="begin"/>
      </w:r>
      <w:r w:rsidR="00966342">
        <w:rPr>
          <w:noProof/>
        </w:rPr>
        <w:instrText xml:space="preserve"> PAGEREF _Toc435555085 \h </w:instrText>
      </w:r>
      <w:r w:rsidR="00966342">
        <w:rPr>
          <w:noProof/>
        </w:rPr>
      </w:r>
      <w:r w:rsidR="00966342">
        <w:rPr>
          <w:noProof/>
        </w:rPr>
        <w:fldChar w:fldCharType="separate"/>
      </w:r>
      <w:r w:rsidR="002C40AD">
        <w:rPr>
          <w:noProof/>
        </w:rPr>
        <w:t>29</w:t>
      </w:r>
      <w:r w:rsidR="00966342">
        <w:rPr>
          <w:noProof/>
        </w:rPr>
        <w:fldChar w:fldCharType="end"/>
      </w:r>
    </w:p>
    <w:p w:rsidR="00966342" w:rsidRDefault="00966342" w:rsidP="00966342">
      <w:pPr>
        <w:pStyle w:val="TOC3"/>
        <w:keepNext/>
        <w:rPr>
          <w:rFonts w:asciiTheme="minorHAnsi" w:eastAsiaTheme="minorEastAsia" w:hAnsiTheme="minorHAnsi" w:cstheme="minorBidi"/>
          <w:noProof/>
          <w:szCs w:val="22"/>
          <w:lang w:eastAsia="en-NZ"/>
        </w:rPr>
      </w:pPr>
      <w:r>
        <w:rPr>
          <w:noProof/>
        </w:rPr>
        <w:t>Figure 2:</w:t>
      </w:r>
      <w:r>
        <w:rPr>
          <w:noProof/>
        </w:rPr>
        <w:tab/>
        <w:t>Response rates (%) for adults and children, 2011/12–2014/15</w:t>
      </w:r>
      <w:r>
        <w:rPr>
          <w:noProof/>
        </w:rPr>
        <w:tab/>
      </w:r>
      <w:r>
        <w:rPr>
          <w:noProof/>
        </w:rPr>
        <w:fldChar w:fldCharType="begin"/>
      </w:r>
      <w:r>
        <w:rPr>
          <w:noProof/>
        </w:rPr>
        <w:instrText xml:space="preserve"> PAGEREF _Toc435555086 \h </w:instrText>
      </w:r>
      <w:r>
        <w:rPr>
          <w:noProof/>
        </w:rPr>
      </w:r>
      <w:r>
        <w:rPr>
          <w:noProof/>
        </w:rPr>
        <w:fldChar w:fldCharType="separate"/>
      </w:r>
      <w:r w:rsidR="002C40AD">
        <w:rPr>
          <w:noProof/>
        </w:rPr>
        <w:t>29</w:t>
      </w:r>
      <w:r>
        <w:rPr>
          <w:noProof/>
        </w:rPr>
        <w:fldChar w:fldCharType="end"/>
      </w:r>
    </w:p>
    <w:p w:rsidR="00966342" w:rsidRDefault="00966342" w:rsidP="00966342">
      <w:pPr>
        <w:pStyle w:val="TOC3"/>
        <w:keepNext/>
        <w:rPr>
          <w:rFonts w:asciiTheme="minorHAnsi" w:eastAsiaTheme="minorEastAsia" w:hAnsiTheme="minorHAnsi" w:cstheme="minorBidi"/>
          <w:noProof/>
          <w:szCs w:val="22"/>
          <w:lang w:eastAsia="en-NZ"/>
        </w:rPr>
      </w:pPr>
      <w:r>
        <w:rPr>
          <w:noProof/>
          <w:lang w:eastAsia="en-US"/>
        </w:rPr>
        <w:t>Figure 3:</w:t>
      </w:r>
      <w:r>
        <w:rPr>
          <w:noProof/>
          <w:lang w:eastAsia="en-US"/>
        </w:rPr>
        <w:tab/>
        <w:t>Coverage rates (%) for adults and children, 2011/12–2014/15</w:t>
      </w:r>
      <w:r>
        <w:rPr>
          <w:noProof/>
        </w:rPr>
        <w:tab/>
      </w:r>
      <w:r>
        <w:rPr>
          <w:noProof/>
        </w:rPr>
        <w:fldChar w:fldCharType="begin"/>
      </w:r>
      <w:r>
        <w:rPr>
          <w:noProof/>
        </w:rPr>
        <w:instrText xml:space="preserve"> PAGEREF _Toc435555087 \h </w:instrText>
      </w:r>
      <w:r>
        <w:rPr>
          <w:noProof/>
        </w:rPr>
      </w:r>
      <w:r>
        <w:rPr>
          <w:noProof/>
        </w:rPr>
        <w:fldChar w:fldCharType="separate"/>
      </w:r>
      <w:r w:rsidR="002C40AD">
        <w:rPr>
          <w:noProof/>
        </w:rPr>
        <w:t>30</w:t>
      </w:r>
      <w:r>
        <w:rPr>
          <w:noProof/>
        </w:rPr>
        <w:fldChar w:fldCharType="end"/>
      </w:r>
    </w:p>
    <w:p w:rsidR="00966342" w:rsidRDefault="00966342">
      <w:pPr>
        <w:pStyle w:val="TOC3"/>
        <w:rPr>
          <w:rFonts w:asciiTheme="minorHAnsi" w:eastAsiaTheme="minorEastAsia" w:hAnsiTheme="minorHAnsi" w:cstheme="minorBidi"/>
          <w:noProof/>
          <w:szCs w:val="22"/>
          <w:lang w:eastAsia="en-NZ"/>
        </w:rPr>
      </w:pPr>
      <w:r>
        <w:rPr>
          <w:noProof/>
          <w:lang w:eastAsia="en-US"/>
        </w:rPr>
        <w:t>Figure 4:</w:t>
      </w:r>
      <w:r>
        <w:rPr>
          <w:noProof/>
          <w:lang w:eastAsia="en-US"/>
        </w:rPr>
        <w:tab/>
        <w:t>Coverage rates (%) for Māori, Pacific and Asian groups, 2011/12–2014/15</w:t>
      </w:r>
      <w:r>
        <w:rPr>
          <w:noProof/>
        </w:rPr>
        <w:tab/>
      </w:r>
      <w:r>
        <w:rPr>
          <w:noProof/>
        </w:rPr>
        <w:fldChar w:fldCharType="begin"/>
      </w:r>
      <w:r>
        <w:rPr>
          <w:noProof/>
        </w:rPr>
        <w:instrText xml:space="preserve"> PAGEREF _Toc435555088 \h </w:instrText>
      </w:r>
      <w:r>
        <w:rPr>
          <w:noProof/>
        </w:rPr>
      </w:r>
      <w:r>
        <w:rPr>
          <w:noProof/>
        </w:rPr>
        <w:fldChar w:fldCharType="separate"/>
      </w:r>
      <w:r w:rsidR="002C40AD">
        <w:rPr>
          <w:noProof/>
        </w:rPr>
        <w:t>30</w:t>
      </w:r>
      <w:r>
        <w:rPr>
          <w:noProof/>
        </w:rPr>
        <w:fldChar w:fldCharType="end"/>
      </w:r>
    </w:p>
    <w:p w:rsidR="00966342" w:rsidRDefault="00966342">
      <w:pPr>
        <w:pStyle w:val="TOC3"/>
        <w:rPr>
          <w:rFonts w:asciiTheme="minorHAnsi" w:eastAsiaTheme="minorEastAsia" w:hAnsiTheme="minorHAnsi" w:cstheme="minorBidi"/>
          <w:noProof/>
          <w:szCs w:val="22"/>
          <w:lang w:eastAsia="en-NZ"/>
        </w:rPr>
      </w:pPr>
      <w:r>
        <w:rPr>
          <w:noProof/>
          <w:lang w:eastAsia="en-US"/>
        </w:rPr>
        <w:t>Figure 5:</w:t>
      </w:r>
      <w:r>
        <w:rPr>
          <w:noProof/>
          <w:lang w:eastAsia="en-US"/>
        </w:rPr>
        <w:tab/>
        <w:t>Coverage rates (%) by NZDep2013 quintiles, 2011/12–2014/15</w:t>
      </w:r>
      <w:r>
        <w:rPr>
          <w:noProof/>
        </w:rPr>
        <w:tab/>
      </w:r>
      <w:r>
        <w:rPr>
          <w:noProof/>
        </w:rPr>
        <w:fldChar w:fldCharType="begin"/>
      </w:r>
      <w:r>
        <w:rPr>
          <w:noProof/>
        </w:rPr>
        <w:instrText xml:space="preserve"> PAGEREF _Toc435555089 \h </w:instrText>
      </w:r>
      <w:r>
        <w:rPr>
          <w:noProof/>
        </w:rPr>
      </w:r>
      <w:r>
        <w:rPr>
          <w:noProof/>
        </w:rPr>
        <w:fldChar w:fldCharType="separate"/>
      </w:r>
      <w:r w:rsidR="002C40AD">
        <w:rPr>
          <w:noProof/>
        </w:rPr>
        <w:t>31</w:t>
      </w:r>
      <w:r>
        <w:rPr>
          <w:noProof/>
        </w:rPr>
        <w:fldChar w:fldCharType="end"/>
      </w:r>
    </w:p>
    <w:p w:rsidR="00966342" w:rsidRDefault="00966342">
      <w:pPr>
        <w:pStyle w:val="TOC3"/>
        <w:rPr>
          <w:rFonts w:asciiTheme="minorHAnsi" w:eastAsiaTheme="minorEastAsia" w:hAnsiTheme="minorHAnsi" w:cstheme="minorBidi"/>
          <w:noProof/>
          <w:szCs w:val="22"/>
          <w:lang w:eastAsia="en-NZ"/>
        </w:rPr>
      </w:pPr>
      <w:r>
        <w:rPr>
          <w:noProof/>
        </w:rPr>
        <w:t>Figure 6:</w:t>
      </w:r>
      <w:r>
        <w:rPr>
          <w:noProof/>
        </w:rPr>
        <w:tab/>
        <w:t>Coverage rates (%) for total population, by age group and sex, 2014/15</w:t>
      </w:r>
      <w:r>
        <w:rPr>
          <w:noProof/>
        </w:rPr>
        <w:tab/>
      </w:r>
      <w:r>
        <w:rPr>
          <w:noProof/>
        </w:rPr>
        <w:fldChar w:fldCharType="begin"/>
      </w:r>
      <w:r>
        <w:rPr>
          <w:noProof/>
        </w:rPr>
        <w:instrText xml:space="preserve"> PAGEREF _Toc435555090 \h </w:instrText>
      </w:r>
      <w:r>
        <w:rPr>
          <w:noProof/>
        </w:rPr>
      </w:r>
      <w:r>
        <w:rPr>
          <w:noProof/>
        </w:rPr>
        <w:fldChar w:fldCharType="separate"/>
      </w:r>
      <w:r w:rsidR="002C40AD">
        <w:rPr>
          <w:noProof/>
        </w:rPr>
        <w:t>31</w:t>
      </w:r>
      <w:r>
        <w:rPr>
          <w:noProof/>
        </w:rPr>
        <w:fldChar w:fldCharType="end"/>
      </w:r>
    </w:p>
    <w:p w:rsidR="00966342" w:rsidRDefault="00966342">
      <w:pPr>
        <w:pStyle w:val="TOC3"/>
        <w:rPr>
          <w:rFonts w:asciiTheme="minorHAnsi" w:eastAsiaTheme="minorEastAsia" w:hAnsiTheme="minorHAnsi" w:cstheme="minorBidi"/>
          <w:noProof/>
          <w:szCs w:val="22"/>
          <w:lang w:eastAsia="en-NZ"/>
        </w:rPr>
      </w:pPr>
      <w:r>
        <w:rPr>
          <w:noProof/>
        </w:rPr>
        <w:t>Figure 7:</w:t>
      </w:r>
      <w:r>
        <w:rPr>
          <w:noProof/>
        </w:rPr>
        <w:tab/>
        <w:t>Coverage rates (%) for Māori, by age group and sex, 2014/15</w:t>
      </w:r>
      <w:r>
        <w:rPr>
          <w:noProof/>
        </w:rPr>
        <w:tab/>
      </w:r>
      <w:r>
        <w:rPr>
          <w:noProof/>
        </w:rPr>
        <w:fldChar w:fldCharType="begin"/>
      </w:r>
      <w:r>
        <w:rPr>
          <w:noProof/>
        </w:rPr>
        <w:instrText xml:space="preserve"> PAGEREF _Toc435555091 \h </w:instrText>
      </w:r>
      <w:r>
        <w:rPr>
          <w:noProof/>
        </w:rPr>
      </w:r>
      <w:r>
        <w:rPr>
          <w:noProof/>
        </w:rPr>
        <w:fldChar w:fldCharType="separate"/>
      </w:r>
      <w:r w:rsidR="002C40AD">
        <w:rPr>
          <w:noProof/>
        </w:rPr>
        <w:t>32</w:t>
      </w:r>
      <w:r>
        <w:rPr>
          <w:noProof/>
        </w:rPr>
        <w:fldChar w:fldCharType="end"/>
      </w:r>
    </w:p>
    <w:p w:rsidR="003A5FEA" w:rsidRDefault="003A5FEA" w:rsidP="003A5FEA">
      <w:r>
        <w:fldChar w:fldCharType="end"/>
      </w:r>
    </w:p>
    <w:p w:rsidR="00C86248" w:rsidRDefault="00C86248" w:rsidP="0086388B"/>
    <w:p w:rsidR="00C86248" w:rsidRDefault="00C86248">
      <w:pPr>
        <w:sectPr w:rsidR="00C86248" w:rsidSect="009D5125">
          <w:headerReference w:type="even" r:id="rId19"/>
          <w:headerReference w:type="default" r:id="rId20"/>
          <w:footerReference w:type="even" r:id="rId21"/>
          <w:footerReference w:type="default" r:id="rId22"/>
          <w:pgSz w:w="11907" w:h="16840" w:code="9"/>
          <w:pgMar w:top="851" w:right="1134" w:bottom="1134" w:left="1134" w:header="284" w:footer="567" w:gutter="284"/>
          <w:pgNumType w:fmt="lowerRoman"/>
          <w:cols w:space="720"/>
        </w:sectPr>
      </w:pPr>
    </w:p>
    <w:p w:rsidR="008C2973" w:rsidRDefault="0089511D" w:rsidP="0086388B">
      <w:pPr>
        <w:pStyle w:val="Heading1"/>
      </w:pPr>
      <w:bookmarkStart w:id="2" w:name="_Toc435642994"/>
      <w:r>
        <w:lastRenderedPageBreak/>
        <w:t xml:space="preserve">Section 1: </w:t>
      </w:r>
      <w:r w:rsidR="0086388B">
        <w:t>Introduction</w:t>
      </w:r>
      <w:bookmarkEnd w:id="2"/>
    </w:p>
    <w:p w:rsidR="0089511D" w:rsidRDefault="0089511D" w:rsidP="00095D83">
      <w:pPr>
        <w:pStyle w:val="Heading2"/>
      </w:pPr>
      <w:bookmarkStart w:id="3" w:name="_Toc372445542"/>
      <w:bookmarkStart w:id="4" w:name="_Toc403043996"/>
      <w:bookmarkStart w:id="5" w:name="_Toc434934501"/>
      <w:bookmarkStart w:id="6" w:name="_Toc435642995"/>
      <w:r>
        <w:t>Overview</w:t>
      </w:r>
      <w:bookmarkEnd w:id="3"/>
      <w:bookmarkEnd w:id="4"/>
      <w:bookmarkEnd w:id="5"/>
      <w:bookmarkEnd w:id="6"/>
    </w:p>
    <w:p w:rsidR="0089511D" w:rsidRPr="00CC7E24" w:rsidRDefault="0089511D" w:rsidP="00095D83">
      <w:r w:rsidRPr="001B6D3B">
        <w:t>The New Zealand Health Survey (NZHS) is an important data collection tool, which is used to</w:t>
      </w:r>
      <w:r w:rsidRPr="00CC7E24">
        <w:t xml:space="preserve"> monitor population health and provide supporting evidence for health policy and strategy development. The Health and</w:t>
      </w:r>
      <w:r>
        <w:t xml:space="preserve"> Disability Intelligence Group</w:t>
      </w:r>
      <w:r w:rsidRPr="00CC7E24">
        <w:t xml:space="preserve"> within the Ministry of Health</w:t>
      </w:r>
      <w:r w:rsidR="00095D83">
        <w:t>’</w:t>
      </w:r>
      <w:r w:rsidRPr="00CC7E24">
        <w:t xml:space="preserve">s Policy </w:t>
      </w:r>
      <w:r>
        <w:t>b</w:t>
      </w:r>
      <w:r w:rsidRPr="00CC7E24">
        <w:t xml:space="preserve">usiness </w:t>
      </w:r>
      <w:r>
        <w:t>u</w:t>
      </w:r>
      <w:r w:rsidRPr="00CC7E24">
        <w:t>nit is responsible for design</w:t>
      </w:r>
      <w:r>
        <w:t>ing</w:t>
      </w:r>
      <w:r w:rsidRPr="00CC7E24">
        <w:t>, analys</w:t>
      </w:r>
      <w:r>
        <w:t>ing</w:t>
      </w:r>
      <w:r w:rsidRPr="00CC7E24">
        <w:t xml:space="preserve"> and reporting </w:t>
      </w:r>
      <w:r>
        <w:t xml:space="preserve">on </w:t>
      </w:r>
      <w:r w:rsidRPr="00CC7E24">
        <w:t>the NZHS. The NZHS field work is contracted out to a specialist survey provider, CBG Health Research Ltd.</w:t>
      </w:r>
    </w:p>
    <w:p w:rsidR="0089511D" w:rsidRPr="00CC7E24" w:rsidRDefault="0089511D" w:rsidP="00095D83"/>
    <w:p w:rsidR="0089511D" w:rsidRPr="00CC7E24" w:rsidRDefault="0089511D" w:rsidP="00095D83">
      <w:r w:rsidRPr="009D18D7">
        <w:t>The NZHS collects information that cannot be obtained more effectively or efficiently through other means</w:t>
      </w:r>
      <w:r w:rsidRPr="00CC7E24">
        <w:t xml:space="preserve">, such as </w:t>
      </w:r>
      <w:r>
        <w:t xml:space="preserve">by </w:t>
      </w:r>
      <w:r w:rsidRPr="00CC7E24">
        <w:t>analyses of hospital administrative records, disease registries or epidemiological research. For most topics in the NZHS</w:t>
      </w:r>
      <w:r>
        <w:t>,</w:t>
      </w:r>
      <w:r w:rsidRPr="00CC7E24">
        <w:t xml:space="preserve"> the survey is the best source of information at a population level.</w:t>
      </w:r>
    </w:p>
    <w:p w:rsidR="0089511D" w:rsidRPr="00CC7E24" w:rsidRDefault="0089511D" w:rsidP="00095D83"/>
    <w:p w:rsidR="0089511D" w:rsidRPr="00CC7E24" w:rsidRDefault="0089511D" w:rsidP="00095D83">
      <w:r w:rsidRPr="00CC7E24">
        <w:t xml:space="preserve">Previous </w:t>
      </w:r>
      <w:r>
        <w:t>New Zealand Health Surveys</w:t>
      </w:r>
      <w:r w:rsidRPr="00CC7E24">
        <w:t xml:space="preserve"> were conducted in 1992/93, 1996/97, 2002/03 and 2006/07. In addition, separate stand-alone surveys</w:t>
      </w:r>
      <w:r>
        <w:t xml:space="preserve"> on specific subjects</w:t>
      </w:r>
      <w:r w:rsidRPr="00CC7E24">
        <w:t xml:space="preserve"> </w:t>
      </w:r>
      <w:r>
        <w:t>have been</w:t>
      </w:r>
      <w:r w:rsidRPr="00CC7E24">
        <w:t xml:space="preserve"> conducted once every three or four years as part of the wider health survey programme</w:t>
      </w:r>
      <w:r>
        <w:t>. These surveys</w:t>
      </w:r>
      <w:r w:rsidRPr="00CC7E24">
        <w:t xml:space="preserve"> </w:t>
      </w:r>
      <w:r>
        <w:t>covered</w:t>
      </w:r>
      <w:r w:rsidRPr="00CC7E24">
        <w:t xml:space="preserve"> adult and child nutrition</w:t>
      </w:r>
      <w:r>
        <w:t>;</w:t>
      </w:r>
      <w:r w:rsidRPr="00CC7E24">
        <w:t xml:space="preserve"> tobacco, alcohol and drug</w:t>
      </w:r>
      <w:r>
        <w:t xml:space="preserve"> </w:t>
      </w:r>
      <w:r w:rsidRPr="00CC7E24">
        <w:t>use</w:t>
      </w:r>
      <w:r>
        <w:t>;</w:t>
      </w:r>
      <w:r w:rsidRPr="00CC7E24">
        <w:t xml:space="preserve"> mental health</w:t>
      </w:r>
      <w:r>
        <w:t>;</w:t>
      </w:r>
      <w:r w:rsidRPr="00CC7E24">
        <w:t xml:space="preserve"> and oral health. From </w:t>
      </w:r>
      <w:r>
        <w:t xml:space="preserve">July </w:t>
      </w:r>
      <w:r w:rsidRPr="00CC7E24">
        <w:t>2011 all the above surveys have been integrated into the single NZHS, which is now in continuous operation.</w:t>
      </w:r>
    </w:p>
    <w:p w:rsidR="0089511D" w:rsidRPr="00CC7E24" w:rsidRDefault="0089511D" w:rsidP="00095D83"/>
    <w:p w:rsidR="00095D83" w:rsidRDefault="0089511D" w:rsidP="00095D83">
      <w:r w:rsidRPr="00CC7E24">
        <w:t xml:space="preserve">From 2013 onwards a number of key outputs from the NZHS </w:t>
      </w:r>
      <w:r w:rsidRPr="000A6B49">
        <w:t>became Tier 1 statistics</w:t>
      </w:r>
      <w:r>
        <w:t xml:space="preserve"> </w:t>
      </w:r>
      <w:r w:rsidRPr="000A6B49">
        <w:t>(</w:t>
      </w:r>
      <w:r>
        <w:t>a portfolio of the most important official statistics, essential to understanding how well New Zealand is performing</w:t>
      </w:r>
      <w:r w:rsidRPr="000A6B49">
        <w:t>)</w:t>
      </w:r>
      <w:r>
        <w:t xml:space="preserve">. This year the eight Tier 1 statistics from the NZHS are </w:t>
      </w:r>
      <w:r w:rsidRPr="007042F4">
        <w:t xml:space="preserve">smoking (current), past-year </w:t>
      </w:r>
      <w:r>
        <w:t xml:space="preserve">(alcohol) </w:t>
      </w:r>
      <w:r w:rsidRPr="007042F4">
        <w:t xml:space="preserve">drinking, hazardous </w:t>
      </w:r>
      <w:r>
        <w:t xml:space="preserve">(alcohol) </w:t>
      </w:r>
      <w:r w:rsidRPr="007042F4">
        <w:t>drinking, obesity, unmet need for GP due to cost, unfilled prescription due to cost, self-rated health and mental health status (psychological distress)</w:t>
      </w:r>
      <w:r w:rsidRPr="00CC7E24">
        <w:t>.</w:t>
      </w:r>
    </w:p>
    <w:p w:rsidR="0089511D" w:rsidRDefault="0089511D" w:rsidP="00095D83"/>
    <w:p w:rsidR="0089511D" w:rsidRDefault="0089511D" w:rsidP="00095D83">
      <w:r w:rsidRPr="00CC7E24">
        <w:t xml:space="preserve">This </w:t>
      </w:r>
      <w:r>
        <w:t>NZHS methodology</w:t>
      </w:r>
      <w:r w:rsidRPr="00CC7E24">
        <w:t xml:space="preserve"> </w:t>
      </w:r>
      <w:r>
        <w:t>r</w:t>
      </w:r>
      <w:r w:rsidRPr="00CC7E24">
        <w:t xml:space="preserve">eport outlines the procedures and protocols followed to ensure the NZHS produces the high-quality and robust data expected of official statistics (Statistics New Zealand 2007). </w:t>
      </w:r>
      <w:r w:rsidRPr="003D2ED1">
        <w:t xml:space="preserve">The information specific to </w:t>
      </w:r>
      <w:r w:rsidRPr="0020597E">
        <w:t xml:space="preserve">the current year </w:t>
      </w:r>
      <w:r>
        <w:t>4</w:t>
      </w:r>
      <w:r w:rsidRPr="0020597E">
        <w:t xml:space="preserve"> of the continuous NZHS </w:t>
      </w:r>
      <w:r>
        <w:t>(</w:t>
      </w:r>
      <w:r w:rsidRPr="0020597E">
        <w:t>data</w:t>
      </w:r>
      <w:r w:rsidRPr="0020597E">
        <w:rPr>
          <w:strike/>
          <w:highlight w:val="yellow"/>
        </w:rPr>
        <w:t xml:space="preserve"> </w:t>
      </w:r>
      <w:r w:rsidRPr="0020597E">
        <w:t>collect</w:t>
      </w:r>
      <w:r>
        <w:t xml:space="preserve">ed between July 2014 and June 2015) </w:t>
      </w:r>
      <w:r w:rsidRPr="003D2ED1">
        <w:t>is include</w:t>
      </w:r>
      <w:r>
        <w:t>d in S</w:t>
      </w:r>
      <w:r w:rsidRPr="003D2ED1">
        <w:t xml:space="preserve">ection </w:t>
      </w:r>
      <w:r>
        <w:t>9 of this report</w:t>
      </w:r>
      <w:r w:rsidRPr="003D2ED1">
        <w:t>.</w:t>
      </w:r>
      <w:bookmarkStart w:id="7" w:name="_Toc199225768"/>
      <w:bookmarkStart w:id="8" w:name="_Toc201042972"/>
      <w:bookmarkStart w:id="9" w:name="_Toc335133096"/>
      <w:r w:rsidRPr="003D2ED1">
        <w:t xml:space="preserve"> The corresponding information </w:t>
      </w:r>
      <w:r w:rsidRPr="0020597E">
        <w:t>for year</w:t>
      </w:r>
      <w:r>
        <w:t xml:space="preserve">s </w:t>
      </w:r>
      <w:r w:rsidRPr="0020597E">
        <w:t>1</w:t>
      </w:r>
      <w:r>
        <w:t>, 2</w:t>
      </w:r>
      <w:r w:rsidRPr="0020597E">
        <w:t xml:space="preserve"> and </w:t>
      </w:r>
      <w:r>
        <w:t>3</w:t>
      </w:r>
      <w:r w:rsidRPr="0020597E">
        <w:t xml:space="preserve"> of the NZHS can</w:t>
      </w:r>
      <w:r w:rsidRPr="003D2ED1">
        <w:t xml:space="preserve"> be found in the previous </w:t>
      </w:r>
      <w:r>
        <w:t xml:space="preserve">methodology </w:t>
      </w:r>
      <w:r w:rsidRPr="003D2ED1">
        <w:t>reports</w:t>
      </w:r>
      <w:r>
        <w:t>.</w:t>
      </w:r>
      <w:r w:rsidRPr="00095D83">
        <w:rPr>
          <w:rStyle w:val="FootnoteReference"/>
        </w:rPr>
        <w:footnoteReference w:id="1"/>
      </w:r>
    </w:p>
    <w:p w:rsidR="0089511D" w:rsidRPr="00CC7E24" w:rsidRDefault="0089511D" w:rsidP="0089511D"/>
    <w:p w:rsidR="0089511D" w:rsidRPr="00CC7E24" w:rsidRDefault="0089511D" w:rsidP="00095D83">
      <w:pPr>
        <w:pStyle w:val="Heading2"/>
      </w:pPr>
      <w:bookmarkStart w:id="10" w:name="_Toc339269997"/>
      <w:bookmarkStart w:id="11" w:name="_Toc340501923"/>
      <w:bookmarkStart w:id="12" w:name="_Toc372445543"/>
      <w:bookmarkStart w:id="13" w:name="_Toc403043997"/>
      <w:bookmarkStart w:id="14" w:name="_Toc434934502"/>
      <w:bookmarkStart w:id="15" w:name="_Toc435642996"/>
      <w:r w:rsidRPr="00BD09EF">
        <w:lastRenderedPageBreak/>
        <w:t>Background</w:t>
      </w:r>
      <w:bookmarkEnd w:id="7"/>
      <w:bookmarkEnd w:id="8"/>
      <w:bookmarkEnd w:id="9"/>
      <w:bookmarkEnd w:id="10"/>
      <w:bookmarkEnd w:id="11"/>
      <w:bookmarkEnd w:id="12"/>
      <w:bookmarkEnd w:id="13"/>
      <w:bookmarkEnd w:id="14"/>
      <w:bookmarkEnd w:id="15"/>
    </w:p>
    <w:p w:rsidR="0089511D" w:rsidRPr="00CC7E24" w:rsidRDefault="0089511D" w:rsidP="00095D83">
      <w:pPr>
        <w:keepNext/>
      </w:pPr>
      <w:r w:rsidRPr="00CC7E24">
        <w:t xml:space="preserve">The NZHS forms part of the Programme of Official Social Statistics. Statistics New Zealand established </w:t>
      </w:r>
      <w:r>
        <w:t>t</w:t>
      </w:r>
      <w:r w:rsidRPr="00CC7E24">
        <w:t xml:space="preserve">his programme to develop and coordinate official social statistics across </w:t>
      </w:r>
      <w:r>
        <w:t xml:space="preserve">the </w:t>
      </w:r>
      <w:r w:rsidRPr="001B6D3B">
        <w:t>government. As a signatory of the Protocols of Official Statistics (Statistics New Zealand 1998),</w:t>
      </w:r>
      <w:r w:rsidRPr="00CC7E24">
        <w:t xml:space="preserve"> the Ministry of Health employs best-practice survey techniques to produce high-quality information through the NZHS.</w:t>
      </w:r>
      <w:r>
        <w:t xml:space="preserve"> It uses</w:t>
      </w:r>
      <w:r w:rsidRPr="00CC7E24">
        <w:t xml:space="preserve"> </w:t>
      </w:r>
      <w:r>
        <w:t>s</w:t>
      </w:r>
      <w:r w:rsidRPr="00CC7E24">
        <w:t xml:space="preserve">tandard frameworks </w:t>
      </w:r>
      <w:r>
        <w:t xml:space="preserve">and </w:t>
      </w:r>
      <w:r w:rsidRPr="00CC7E24">
        <w:t>classifications</w:t>
      </w:r>
      <w:r>
        <w:t>,</w:t>
      </w:r>
      <w:r w:rsidRPr="00CC7E24">
        <w:t xml:space="preserve"> with validated questions where possible</w:t>
      </w:r>
      <w:r>
        <w:t>,</w:t>
      </w:r>
      <w:r w:rsidRPr="00CC7E24">
        <w:t xml:space="preserve"> </w:t>
      </w:r>
      <w:r>
        <w:t xml:space="preserve">so that </w:t>
      </w:r>
      <w:r w:rsidRPr="00CC7E24">
        <w:t xml:space="preserve">NZHS data </w:t>
      </w:r>
      <w:r>
        <w:t xml:space="preserve">can be integrated </w:t>
      </w:r>
      <w:r w:rsidRPr="00CC7E24">
        <w:t>with data from other sources.</w:t>
      </w:r>
    </w:p>
    <w:p w:rsidR="0089511D" w:rsidRPr="00CC7E24" w:rsidRDefault="0089511D" w:rsidP="00095D83">
      <w:pPr>
        <w:keepNext/>
      </w:pPr>
    </w:p>
    <w:p w:rsidR="0089511D" w:rsidRPr="00CC7E24" w:rsidRDefault="0089511D" w:rsidP="00095D83">
      <w:r w:rsidRPr="00CC7E24">
        <w:t xml:space="preserve">The goal of the continuous NZHS is to support the formulation and evaluation of policy </w:t>
      </w:r>
      <w:r>
        <w:t>by providing</w:t>
      </w:r>
      <w:r w:rsidRPr="00CC7E24">
        <w:t xml:space="preserve"> timely, reliable and relevant health information. </w:t>
      </w:r>
      <w:r w:rsidRPr="009D18D7">
        <w:t xml:space="preserve">This information </w:t>
      </w:r>
      <w:r w:rsidRPr="00CC7E24">
        <w:t>covers population health, health risk and protective factors</w:t>
      </w:r>
      <w:r>
        <w:t>,</w:t>
      </w:r>
      <w:r w:rsidRPr="00CC7E24">
        <w:t xml:space="preserve"> and health service utilisation.</w:t>
      </w:r>
    </w:p>
    <w:p w:rsidR="0089511D" w:rsidRPr="00CC7E24" w:rsidRDefault="0089511D" w:rsidP="00095D83"/>
    <w:p w:rsidR="0089511D" w:rsidRPr="00CC7E24" w:rsidRDefault="0089511D" w:rsidP="00095D83">
      <w:r w:rsidRPr="00CC7E24">
        <w:t>To achieve this goal</w:t>
      </w:r>
      <w:r>
        <w:t>,</w:t>
      </w:r>
      <w:r w:rsidRPr="00CC7E24">
        <w:t xml:space="preserve"> a number of specific objectives</w:t>
      </w:r>
      <w:r>
        <w:t xml:space="preserve"> have been identified. The </w:t>
      </w:r>
      <w:r w:rsidRPr="001700A2">
        <w:rPr>
          <w:i/>
        </w:rPr>
        <w:t xml:space="preserve">Content Guide </w:t>
      </w:r>
      <w:r>
        <w:rPr>
          <w:i/>
        </w:rPr>
        <w:t>2014/15</w:t>
      </w:r>
      <w:r w:rsidRPr="001700A2">
        <w:rPr>
          <w:i/>
        </w:rPr>
        <w:t xml:space="preserve"> </w:t>
      </w:r>
      <w:r w:rsidRPr="00CC7E24">
        <w:t xml:space="preserve">contains further information on these objectives </w:t>
      </w:r>
      <w:r w:rsidRPr="004975DE">
        <w:t>(Ministry of Health 201</w:t>
      </w:r>
      <w:r>
        <w:t>5b</w:t>
      </w:r>
      <w:r w:rsidRPr="004975DE">
        <w:t>).</w:t>
      </w:r>
    </w:p>
    <w:p w:rsidR="0089511D" w:rsidRPr="00CC7E24" w:rsidRDefault="0089511D" w:rsidP="00095D83"/>
    <w:p w:rsidR="0089511D" w:rsidRPr="00CC7E24" w:rsidRDefault="0089511D" w:rsidP="00095D83">
      <w:r w:rsidRPr="00CC7E24">
        <w:t xml:space="preserve">The NZHS has been carefully designed to </w:t>
      </w:r>
      <w:r>
        <w:t xml:space="preserve">minimise </w:t>
      </w:r>
      <w:r w:rsidRPr="00CC7E24">
        <w:t xml:space="preserve">the impact on respondents. </w:t>
      </w:r>
      <w:r>
        <w:t xml:space="preserve">Features for this purpose </w:t>
      </w:r>
      <w:r w:rsidRPr="00CC7E24">
        <w:t>include:</w:t>
      </w:r>
    </w:p>
    <w:p w:rsidR="0089511D" w:rsidRPr="00CC7E24" w:rsidRDefault="0089511D" w:rsidP="00095D83">
      <w:pPr>
        <w:pStyle w:val="Bullet"/>
      </w:pPr>
      <w:r>
        <w:t xml:space="preserve">selecting </w:t>
      </w:r>
      <w:r w:rsidRPr="00CC7E24">
        <w:t>only one eligible adult and one eligible child per dwelling</w:t>
      </w:r>
    </w:p>
    <w:p w:rsidR="0089511D" w:rsidRPr="00CC7E24" w:rsidRDefault="0089511D" w:rsidP="00095D83">
      <w:pPr>
        <w:pStyle w:val="Bullet"/>
      </w:pPr>
      <w:r>
        <w:t xml:space="preserve">using </w:t>
      </w:r>
      <w:r w:rsidRPr="00CC7E24">
        <w:t>well-tested and</w:t>
      </w:r>
      <w:r w:rsidRPr="00CD21B4">
        <w:t xml:space="preserve"> well-proven</w:t>
      </w:r>
      <w:r w:rsidRPr="00CC7E24">
        <w:t xml:space="preserve"> questionnaires</w:t>
      </w:r>
    </w:p>
    <w:p w:rsidR="0089511D" w:rsidRPr="00CC7E24" w:rsidRDefault="0089511D" w:rsidP="00095D83">
      <w:pPr>
        <w:pStyle w:val="Bullet"/>
      </w:pPr>
      <w:r>
        <w:t xml:space="preserve">using </w:t>
      </w:r>
      <w:r w:rsidRPr="00CC7E24">
        <w:t>professional</w:t>
      </w:r>
      <w:r>
        <w:t>,</w:t>
      </w:r>
      <w:r w:rsidRPr="00CC7E24">
        <w:t xml:space="preserve"> trained interviewers </w:t>
      </w:r>
      <w:r>
        <w:t xml:space="preserve">to </w:t>
      </w:r>
      <w:r w:rsidRPr="00CC7E24">
        <w:t>conduct the interview</w:t>
      </w:r>
      <w:r>
        <w:t>s</w:t>
      </w:r>
    </w:p>
    <w:p w:rsidR="0089511D" w:rsidRPr="00CC7E24" w:rsidRDefault="0089511D" w:rsidP="00095D83">
      <w:pPr>
        <w:pStyle w:val="Bullet"/>
      </w:pPr>
      <w:r>
        <w:t xml:space="preserve">making an </w:t>
      </w:r>
      <w:r w:rsidRPr="00CC7E24">
        <w:t xml:space="preserve">appointment </w:t>
      </w:r>
      <w:r>
        <w:t xml:space="preserve">to conduct each </w:t>
      </w:r>
      <w:r w:rsidRPr="00CC7E24">
        <w:t xml:space="preserve">interview at a time </w:t>
      </w:r>
      <w:r>
        <w:t>that</w:t>
      </w:r>
      <w:r w:rsidRPr="00CC7E24">
        <w:t xml:space="preserve"> suit</w:t>
      </w:r>
      <w:r>
        <w:t>s</w:t>
      </w:r>
      <w:r w:rsidRPr="00CC7E24">
        <w:t xml:space="preserve"> the respondent and their family</w:t>
      </w:r>
    </w:p>
    <w:p w:rsidR="0089511D" w:rsidRPr="00CC7E24" w:rsidRDefault="0089511D" w:rsidP="00095D83">
      <w:pPr>
        <w:pStyle w:val="Bullet"/>
      </w:pPr>
      <w:proofErr w:type="gramStart"/>
      <w:r>
        <w:t>having</w:t>
      </w:r>
      <w:proofErr w:type="gramEnd"/>
      <w:r>
        <w:t xml:space="preserve"> the option of using </w:t>
      </w:r>
      <w:r w:rsidRPr="00CC7E24">
        <w:t xml:space="preserve">a proxy respondent </w:t>
      </w:r>
      <w:r>
        <w:t xml:space="preserve">where </w:t>
      </w:r>
      <w:r w:rsidRPr="00CC7E24">
        <w:t>participants living in private dwellings</w:t>
      </w:r>
      <w:r>
        <w:t xml:space="preserve"> have </w:t>
      </w:r>
      <w:r w:rsidRPr="00CC7E24">
        <w:t>severe ill health or cognitive disability</w:t>
      </w:r>
      <w:r>
        <w:t>.</w:t>
      </w:r>
    </w:p>
    <w:p w:rsidR="0089511D" w:rsidRPr="00CC7E24" w:rsidRDefault="0089511D" w:rsidP="00095D83"/>
    <w:p w:rsidR="0089511D" w:rsidRPr="00CC7E24" w:rsidRDefault="0089511D" w:rsidP="00095D83">
      <w:r w:rsidRPr="009C49C4">
        <w:t>The New Zealand Health and Disability Multi-Region Ethics Committee granted approval for the NZHS (MEC/10/10/103) in 2011.</w:t>
      </w:r>
    </w:p>
    <w:p w:rsidR="0089511D" w:rsidRPr="00CC7E24" w:rsidRDefault="0089511D" w:rsidP="00095D83"/>
    <w:p w:rsidR="0089511D" w:rsidRPr="00CC7E24" w:rsidRDefault="0089511D" w:rsidP="00095D83">
      <w:pPr>
        <w:pStyle w:val="Heading1"/>
      </w:pPr>
      <w:bookmarkStart w:id="16" w:name="_Toc339269998"/>
      <w:bookmarkStart w:id="17" w:name="_Toc199225775"/>
      <w:bookmarkStart w:id="18" w:name="_Toc201042979"/>
      <w:r w:rsidRPr="00CC7E24">
        <w:br w:type="page"/>
      </w:r>
      <w:bookmarkStart w:id="19" w:name="_Toc340501924"/>
      <w:bookmarkStart w:id="20" w:name="_Toc372445544"/>
      <w:bookmarkStart w:id="21" w:name="_Toc403043998"/>
      <w:bookmarkStart w:id="22" w:name="_Toc434934503"/>
      <w:bookmarkStart w:id="23" w:name="_Toc435642997"/>
      <w:r w:rsidRPr="00CC7E24">
        <w:lastRenderedPageBreak/>
        <w:t>Section 2:</w:t>
      </w:r>
      <w:r>
        <w:t xml:space="preserve"> </w:t>
      </w:r>
      <w:bookmarkEnd w:id="16"/>
      <w:bookmarkEnd w:id="19"/>
      <w:bookmarkEnd w:id="20"/>
      <w:bookmarkEnd w:id="21"/>
      <w:r>
        <w:t>Survey content</w:t>
      </w:r>
      <w:bookmarkEnd w:id="22"/>
      <w:bookmarkEnd w:id="23"/>
    </w:p>
    <w:p w:rsidR="0089511D" w:rsidRPr="00CC7E24" w:rsidRDefault="0089511D" w:rsidP="00095D83">
      <w:r w:rsidRPr="00CC7E24">
        <w:t>The NZHS comprises a set of core questions combined with a flexible programme of rotating topic modules. The questionnaire is administered (face</w:t>
      </w:r>
      <w:r>
        <w:t xml:space="preserve"> </w:t>
      </w:r>
      <w:r w:rsidRPr="00CC7E24">
        <w:t>to</w:t>
      </w:r>
      <w:r>
        <w:t xml:space="preserve"> </w:t>
      </w:r>
      <w:r w:rsidRPr="00CC7E24">
        <w:t xml:space="preserve">face and computer </w:t>
      </w:r>
      <w:r w:rsidRPr="001B4E9C">
        <w:t>assisted) to adults aged 15 years and older</w:t>
      </w:r>
      <w:r>
        <w:t>,</w:t>
      </w:r>
      <w:r w:rsidRPr="001B4E9C">
        <w:t xml:space="preserve"> as well as to children aged 0</w:t>
      </w:r>
      <w:r>
        <w:t>–</w:t>
      </w:r>
      <w:r w:rsidRPr="001B4E9C">
        <w:t>14 years,</w:t>
      </w:r>
      <w:r w:rsidRPr="00CC7E24">
        <w:t xml:space="preserve"> generally through their primary caregiver</w:t>
      </w:r>
      <w:r>
        <w:t>,</w:t>
      </w:r>
      <w:r w:rsidRPr="00CC7E24">
        <w:t xml:space="preserve"> who acts as a proxy</w:t>
      </w:r>
      <w:r>
        <w:t xml:space="preserve"> </w:t>
      </w:r>
      <w:r w:rsidRPr="00CC7E24">
        <w:t>respondent.</w:t>
      </w:r>
    </w:p>
    <w:p w:rsidR="0089511D" w:rsidRPr="00CC7E24" w:rsidRDefault="0089511D" w:rsidP="00095D83"/>
    <w:p w:rsidR="0089511D" w:rsidRPr="00CC7E24" w:rsidRDefault="0089511D" w:rsidP="00095D83">
      <w:r w:rsidRPr="00CC7E24">
        <w:t xml:space="preserve">Over previous years the content of health surveys has remained similar </w:t>
      </w:r>
      <w:r>
        <w:t>so that data can be compared</w:t>
      </w:r>
      <w:r w:rsidRPr="00CC7E24">
        <w:t xml:space="preserve"> over time. The current NZHS maintains </w:t>
      </w:r>
      <w:r w:rsidRPr="00CC7E24">
        <w:rPr>
          <w:rFonts w:eastAsia="Calibri" w:cs="Arial"/>
          <w:color w:val="000000"/>
          <w:szCs w:val="24"/>
          <w:lang w:eastAsia="en-US"/>
        </w:rPr>
        <w:t xml:space="preserve">continuity with the previous surveys </w:t>
      </w:r>
      <w:r>
        <w:t>by including</w:t>
      </w:r>
      <w:r w:rsidRPr="00CC7E24">
        <w:t xml:space="preserve"> a set of core questions in both the adult and child questionnaires.</w:t>
      </w:r>
      <w:r>
        <w:t xml:space="preserve"> </w:t>
      </w:r>
      <w:r w:rsidRPr="00CC7E24">
        <w:t xml:space="preserve">The module </w:t>
      </w:r>
      <w:r>
        <w:t>topics change every 12</w:t>
      </w:r>
      <w:r w:rsidRPr="00CC7E24">
        <w:t xml:space="preserve"> months.</w:t>
      </w:r>
    </w:p>
    <w:p w:rsidR="0089511D" w:rsidRPr="00CC7E24" w:rsidRDefault="0089511D" w:rsidP="00095D83"/>
    <w:p w:rsidR="0089511D" w:rsidRDefault="0089511D" w:rsidP="00095D83">
      <w:r w:rsidRPr="00CC7E24">
        <w:t xml:space="preserve">Cognitive testing is undertaken to ensure </w:t>
      </w:r>
      <w:r>
        <w:t>the questions are understood as intended and response options are appropriate.</w:t>
      </w:r>
    </w:p>
    <w:p w:rsidR="0089511D" w:rsidRPr="00CC7E24" w:rsidRDefault="0089511D" w:rsidP="00095D83"/>
    <w:p w:rsidR="0089511D" w:rsidRPr="00CC7E24" w:rsidRDefault="0089511D" w:rsidP="00095D83">
      <w:r>
        <w:t>For m</w:t>
      </w:r>
      <w:r w:rsidRPr="00CC7E24">
        <w:t>ore detail on the rationale of topic inclusion, cognitive testing and the content of the questionnaires</w:t>
      </w:r>
      <w:r>
        <w:t xml:space="preserve">, see the </w:t>
      </w:r>
      <w:r>
        <w:rPr>
          <w:i/>
        </w:rPr>
        <w:t>Content Guide 2014/15</w:t>
      </w:r>
      <w:r>
        <w:t xml:space="preserve"> (Ministry of Health 2015b</w:t>
      </w:r>
      <w:r w:rsidRPr="004975DE">
        <w:t>).</w:t>
      </w:r>
    </w:p>
    <w:p w:rsidR="0089511D" w:rsidRPr="00CC7E24" w:rsidRDefault="0089511D" w:rsidP="00095D83"/>
    <w:p w:rsidR="0089511D" w:rsidRDefault="0089511D" w:rsidP="00095D83">
      <w:pPr>
        <w:pStyle w:val="Heading2"/>
      </w:pPr>
      <w:bookmarkStart w:id="24" w:name="_Toc339269999"/>
      <w:bookmarkStart w:id="25" w:name="_Toc340501925"/>
      <w:bookmarkStart w:id="26" w:name="_Toc372445545"/>
      <w:bookmarkStart w:id="27" w:name="_Toc403043999"/>
      <w:bookmarkStart w:id="28" w:name="_Toc434934504"/>
      <w:bookmarkStart w:id="29" w:name="_Toc435642998"/>
      <w:r w:rsidRPr="00CC7E24">
        <w:t>Core component</w:t>
      </w:r>
      <w:bookmarkEnd w:id="24"/>
      <w:bookmarkEnd w:id="25"/>
      <w:bookmarkEnd w:id="26"/>
      <w:bookmarkEnd w:id="27"/>
      <w:bookmarkEnd w:id="28"/>
      <w:bookmarkEnd w:id="29"/>
    </w:p>
    <w:p w:rsidR="0089511D" w:rsidRDefault="0089511D" w:rsidP="00095D83">
      <w:r>
        <w:t>Most of the</w:t>
      </w:r>
      <w:r w:rsidRPr="00CC7E24">
        <w:t xml:space="preserve"> core questions for both adults and children are drawn from the main topic areas included in the 2006/07 NZHS</w:t>
      </w:r>
      <w:r>
        <w:t xml:space="preserve"> and 2011/12 NZHS</w:t>
      </w:r>
      <w:r w:rsidRPr="00CC7E24">
        <w:t>. Topics include long</w:t>
      </w:r>
      <w:r>
        <w:t>-</w:t>
      </w:r>
      <w:r w:rsidRPr="00CC7E24">
        <w:t>term conditions, health service utilisation and patient experience, health risk and protective factors, health status</w:t>
      </w:r>
      <w:r>
        <w:t>,</w:t>
      </w:r>
      <w:r w:rsidRPr="00CC7E24">
        <w:t xml:space="preserve"> and </w:t>
      </w:r>
      <w:proofErr w:type="spellStart"/>
      <w:r w:rsidRPr="00CC7E24">
        <w:t>sociodemographics</w:t>
      </w:r>
      <w:proofErr w:type="spellEnd"/>
      <w:r w:rsidRPr="00CC7E24">
        <w:t>.</w:t>
      </w:r>
      <w:r>
        <w:t xml:space="preserve"> Table 1</w:t>
      </w:r>
      <w:r w:rsidRPr="00CC7E24">
        <w:t xml:space="preserve"> summar</w:t>
      </w:r>
      <w:r>
        <w:t>ises</w:t>
      </w:r>
      <w:r w:rsidRPr="00CC7E24">
        <w:t xml:space="preserve"> the topics included in the core component of the NZHS.</w:t>
      </w:r>
    </w:p>
    <w:p w:rsidR="0089511D" w:rsidRPr="00CC7E24" w:rsidRDefault="0089511D" w:rsidP="00095D83"/>
    <w:p w:rsidR="0089511D" w:rsidRPr="00CC7E24" w:rsidRDefault="0089511D" w:rsidP="0089511D">
      <w:pPr>
        <w:pStyle w:val="Table"/>
      </w:pPr>
      <w:bookmarkStart w:id="30" w:name="_Ref338859567"/>
      <w:bookmarkStart w:id="31" w:name="_Toc339878412"/>
      <w:bookmarkStart w:id="32" w:name="_Toc372445582"/>
      <w:bookmarkStart w:id="33" w:name="_Toc403044037"/>
      <w:bookmarkStart w:id="34" w:name="_Toc434933606"/>
      <w:bookmarkStart w:id="35" w:name="_Toc435555076"/>
      <w:r w:rsidRPr="004C5FC0">
        <w:t>Table 1</w:t>
      </w:r>
      <w:bookmarkEnd w:id="30"/>
      <w:r w:rsidRPr="004C5FC0">
        <w:t>: Core</w:t>
      </w:r>
      <w:r w:rsidRPr="00CC7E24">
        <w:t xml:space="preserve"> content of the NZHS</w:t>
      </w:r>
      <w:bookmarkEnd w:id="31"/>
      <w:bookmarkEnd w:id="32"/>
      <w:bookmarkEnd w:id="33"/>
      <w:bookmarkEnd w:id="34"/>
      <w:bookmarkEnd w:id="35"/>
    </w:p>
    <w:tbl>
      <w:tblPr>
        <w:tblW w:w="4934" w:type="pct"/>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3270"/>
        <w:gridCol w:w="6074"/>
      </w:tblGrid>
      <w:tr w:rsidR="0089511D" w:rsidRPr="004C5FC0" w:rsidTr="00095D83">
        <w:trPr>
          <w:cantSplit/>
          <w:tblHeader/>
        </w:trPr>
        <w:tc>
          <w:tcPr>
            <w:tcW w:w="1750" w:type="pct"/>
            <w:tcBorders>
              <w:top w:val="single" w:sz="4" w:space="0" w:color="auto"/>
              <w:bottom w:val="single" w:sz="4" w:space="0" w:color="auto"/>
            </w:tcBorders>
            <w:shd w:val="clear" w:color="auto" w:fill="auto"/>
          </w:tcPr>
          <w:p w:rsidR="0089511D" w:rsidRPr="004C5FC0" w:rsidRDefault="0089511D" w:rsidP="001E4900">
            <w:pPr>
              <w:pStyle w:val="TableText"/>
              <w:rPr>
                <w:b/>
              </w:rPr>
            </w:pPr>
            <w:r w:rsidRPr="004C5FC0">
              <w:rPr>
                <w:b/>
              </w:rPr>
              <w:t>Domain</w:t>
            </w:r>
          </w:p>
        </w:tc>
        <w:tc>
          <w:tcPr>
            <w:tcW w:w="3250" w:type="pct"/>
            <w:tcBorders>
              <w:top w:val="single" w:sz="4" w:space="0" w:color="auto"/>
              <w:bottom w:val="single" w:sz="4" w:space="0" w:color="auto"/>
            </w:tcBorders>
            <w:shd w:val="clear" w:color="auto" w:fill="auto"/>
          </w:tcPr>
          <w:p w:rsidR="0089511D" w:rsidRPr="004C5FC0" w:rsidRDefault="0089511D" w:rsidP="001E4900">
            <w:pPr>
              <w:pStyle w:val="TableText"/>
              <w:rPr>
                <w:b/>
              </w:rPr>
            </w:pPr>
            <w:r w:rsidRPr="004C5FC0">
              <w:rPr>
                <w:b/>
              </w:rPr>
              <w:t>Topics</w:t>
            </w:r>
          </w:p>
        </w:tc>
      </w:tr>
      <w:tr w:rsidR="0089511D" w:rsidRPr="004C5FC0" w:rsidTr="00095D83">
        <w:trPr>
          <w:cantSplit/>
        </w:trPr>
        <w:tc>
          <w:tcPr>
            <w:tcW w:w="5000" w:type="pct"/>
            <w:gridSpan w:val="2"/>
            <w:tcBorders>
              <w:top w:val="single" w:sz="4" w:space="0" w:color="auto"/>
              <w:bottom w:val="single" w:sz="4" w:space="0" w:color="A6A6A6" w:themeColor="background1" w:themeShade="A6"/>
            </w:tcBorders>
            <w:shd w:val="clear" w:color="auto" w:fill="auto"/>
          </w:tcPr>
          <w:p w:rsidR="0089511D" w:rsidRPr="004C5FC0" w:rsidRDefault="0089511D" w:rsidP="001E4900">
            <w:pPr>
              <w:pStyle w:val="TableText"/>
              <w:rPr>
                <w:b/>
              </w:rPr>
            </w:pPr>
            <w:r w:rsidRPr="004C5FC0">
              <w:rPr>
                <w:b/>
              </w:rPr>
              <w:t>Children</w:t>
            </w:r>
          </w:p>
        </w:tc>
      </w:tr>
      <w:tr w:rsidR="0089511D" w:rsidRPr="00CC7E24" w:rsidTr="00095D83">
        <w:trPr>
          <w:cantSplit/>
        </w:trPr>
        <w:tc>
          <w:tcPr>
            <w:tcW w:w="1750" w:type="pct"/>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1E4900">
            <w:pPr>
              <w:pStyle w:val="TableText"/>
            </w:pPr>
            <w:r w:rsidRPr="00CC7E24">
              <w:t>Long-term conditions</w:t>
            </w:r>
          </w:p>
        </w:tc>
        <w:tc>
          <w:tcPr>
            <w:tcW w:w="3250" w:type="pct"/>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1E4900">
            <w:pPr>
              <w:pStyle w:val="TableText"/>
            </w:pPr>
            <w:r w:rsidRPr="00CC7E24">
              <w:t>Asthma, eczema, diabetes, rheumatic heart di</w:t>
            </w:r>
            <w:r>
              <w:t>sease, mental health conditions</w:t>
            </w:r>
          </w:p>
        </w:tc>
      </w:tr>
      <w:tr w:rsidR="0089511D" w:rsidRPr="00CC7E24" w:rsidTr="00095D83">
        <w:trPr>
          <w:cantSplit/>
        </w:trPr>
        <w:tc>
          <w:tcPr>
            <w:tcW w:w="1750" w:type="pct"/>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1E4900">
            <w:pPr>
              <w:pStyle w:val="TableText"/>
            </w:pPr>
            <w:r w:rsidRPr="00CC7E24">
              <w:t>Health status and development</w:t>
            </w:r>
          </w:p>
        </w:tc>
        <w:tc>
          <w:tcPr>
            <w:tcW w:w="3250" w:type="pct"/>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1E4900">
            <w:pPr>
              <w:pStyle w:val="TableText"/>
            </w:pPr>
            <w:r w:rsidRPr="00CC7E24">
              <w:t>General health</w:t>
            </w:r>
          </w:p>
        </w:tc>
      </w:tr>
      <w:tr w:rsidR="0089511D" w:rsidRPr="00CC7E24" w:rsidTr="00095D83">
        <w:trPr>
          <w:cantSplit/>
        </w:trPr>
        <w:tc>
          <w:tcPr>
            <w:tcW w:w="1750" w:type="pct"/>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1E4900">
            <w:pPr>
              <w:pStyle w:val="TableText"/>
            </w:pPr>
            <w:r>
              <w:t>Health behaviours</w:t>
            </w:r>
          </w:p>
        </w:tc>
        <w:tc>
          <w:tcPr>
            <w:tcW w:w="3250" w:type="pct"/>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1E4900">
            <w:pPr>
              <w:pStyle w:val="TableText"/>
            </w:pPr>
            <w:r w:rsidRPr="00CC7E24">
              <w:t>Breastfeeding, nutrition, physical activity, family cohesion</w:t>
            </w:r>
          </w:p>
        </w:tc>
      </w:tr>
      <w:tr w:rsidR="0089511D" w:rsidRPr="00CC7E24" w:rsidTr="00095D83">
        <w:trPr>
          <w:cantSplit/>
        </w:trPr>
        <w:tc>
          <w:tcPr>
            <w:tcW w:w="1750" w:type="pct"/>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1E4900">
            <w:pPr>
              <w:pStyle w:val="TableText"/>
            </w:pPr>
            <w:r w:rsidRPr="00CC7E24">
              <w:t>Health service utilisation and patient experience</w:t>
            </w:r>
          </w:p>
        </w:tc>
        <w:tc>
          <w:tcPr>
            <w:tcW w:w="3250" w:type="pct"/>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1E4900">
            <w:pPr>
              <w:pStyle w:val="TableText"/>
            </w:pPr>
            <w:r w:rsidRPr="00CC7E24">
              <w:t>Primary health care provider use, general practitioners, nurses, medical specialists, oral health care professionals, other health care professionals, hospital use, prescriptions</w:t>
            </w:r>
          </w:p>
        </w:tc>
      </w:tr>
      <w:tr w:rsidR="0089511D" w:rsidRPr="00CC7E24" w:rsidTr="00095D83">
        <w:trPr>
          <w:cantSplit/>
        </w:trPr>
        <w:tc>
          <w:tcPr>
            <w:tcW w:w="1750" w:type="pct"/>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1E4900">
            <w:pPr>
              <w:pStyle w:val="TableText"/>
            </w:pPr>
            <w:proofErr w:type="spellStart"/>
            <w:r w:rsidRPr="00CC7E24">
              <w:t>Sociodemographics</w:t>
            </w:r>
            <w:proofErr w:type="spellEnd"/>
          </w:p>
        </w:tc>
        <w:tc>
          <w:tcPr>
            <w:tcW w:w="3250" w:type="pct"/>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1E4900">
            <w:pPr>
              <w:pStyle w:val="TableText"/>
            </w:pPr>
            <w:r w:rsidRPr="00CC7E24">
              <w:t>Child</w:t>
            </w:r>
            <w:r>
              <w:t>:</w:t>
            </w:r>
            <w:r w:rsidRPr="00CC7E24">
              <w:t xml:space="preserve"> </w:t>
            </w:r>
            <w:r>
              <w:t>sex</w:t>
            </w:r>
            <w:r w:rsidRPr="00CC7E24">
              <w:t>, age, ethnicity, language, country of birth</w:t>
            </w:r>
          </w:p>
          <w:p w:rsidR="0089511D" w:rsidRPr="00CC7E24" w:rsidRDefault="0089511D" w:rsidP="001E4900">
            <w:pPr>
              <w:pStyle w:val="TableText"/>
            </w:pPr>
            <w:r w:rsidRPr="00CC7E24">
              <w:t>Primary caregiver/proxy respondent</w:t>
            </w:r>
            <w:r>
              <w:t>:</w:t>
            </w:r>
            <w:r w:rsidRPr="00CC7E24">
              <w:t xml:space="preserve"> relationship to child, age, education, income </w:t>
            </w:r>
            <w:r>
              <w:t>and</w:t>
            </w:r>
            <w:r w:rsidRPr="00CC7E24">
              <w:t xml:space="preserve"> income sources, employment status, and household characteristics</w:t>
            </w:r>
          </w:p>
        </w:tc>
      </w:tr>
      <w:tr w:rsidR="0089511D" w:rsidRPr="00CC7E24" w:rsidTr="00095D83">
        <w:trPr>
          <w:cantSplit/>
        </w:trPr>
        <w:tc>
          <w:tcPr>
            <w:tcW w:w="1750" w:type="pct"/>
            <w:tcBorders>
              <w:top w:val="single" w:sz="4" w:space="0" w:color="A6A6A6" w:themeColor="background1" w:themeShade="A6"/>
              <w:bottom w:val="single" w:sz="4" w:space="0" w:color="auto"/>
            </w:tcBorders>
            <w:shd w:val="clear" w:color="auto" w:fill="auto"/>
          </w:tcPr>
          <w:p w:rsidR="0089511D" w:rsidRPr="00CC7E24" w:rsidRDefault="0089511D" w:rsidP="001E4900">
            <w:pPr>
              <w:pStyle w:val="TableText"/>
            </w:pPr>
            <w:r w:rsidRPr="00CC7E24">
              <w:t>Anthropometry</w:t>
            </w:r>
          </w:p>
        </w:tc>
        <w:tc>
          <w:tcPr>
            <w:tcW w:w="3250" w:type="pct"/>
            <w:tcBorders>
              <w:top w:val="single" w:sz="4" w:space="0" w:color="A6A6A6" w:themeColor="background1" w:themeShade="A6"/>
              <w:bottom w:val="single" w:sz="4" w:space="0" w:color="auto"/>
            </w:tcBorders>
            <w:shd w:val="clear" w:color="auto" w:fill="auto"/>
          </w:tcPr>
          <w:p w:rsidR="0089511D" w:rsidRPr="00CC7E24" w:rsidRDefault="0089511D" w:rsidP="001E4900">
            <w:pPr>
              <w:pStyle w:val="TableText"/>
            </w:pPr>
            <w:r w:rsidRPr="00CC7E24">
              <w:t>Height, weight and w</w:t>
            </w:r>
            <w:r>
              <w:t>aist circumference measurements</w:t>
            </w:r>
          </w:p>
        </w:tc>
      </w:tr>
    </w:tbl>
    <w:p w:rsidR="0089511D" w:rsidRDefault="0089511D" w:rsidP="0089511D"/>
    <w:tbl>
      <w:tblPr>
        <w:tblW w:w="4934" w:type="pct"/>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3270"/>
        <w:gridCol w:w="6074"/>
      </w:tblGrid>
      <w:tr w:rsidR="0089511D" w:rsidRPr="004C5FC0" w:rsidTr="00095D83">
        <w:trPr>
          <w:cantSplit/>
          <w:tblHeader/>
        </w:trPr>
        <w:tc>
          <w:tcPr>
            <w:tcW w:w="1750" w:type="pct"/>
            <w:tcBorders>
              <w:top w:val="single" w:sz="4" w:space="0" w:color="auto"/>
              <w:bottom w:val="single" w:sz="4" w:space="0" w:color="auto"/>
            </w:tcBorders>
            <w:shd w:val="clear" w:color="auto" w:fill="auto"/>
          </w:tcPr>
          <w:p w:rsidR="0089511D" w:rsidRPr="004C5FC0" w:rsidRDefault="0089511D" w:rsidP="001E4900">
            <w:pPr>
              <w:pStyle w:val="TableText"/>
              <w:keepNext/>
              <w:rPr>
                <w:b/>
              </w:rPr>
            </w:pPr>
            <w:r w:rsidRPr="004C5FC0">
              <w:rPr>
                <w:b/>
              </w:rPr>
              <w:lastRenderedPageBreak/>
              <w:t>Domain</w:t>
            </w:r>
          </w:p>
        </w:tc>
        <w:tc>
          <w:tcPr>
            <w:tcW w:w="3250" w:type="pct"/>
            <w:tcBorders>
              <w:top w:val="single" w:sz="4" w:space="0" w:color="auto"/>
              <w:bottom w:val="single" w:sz="4" w:space="0" w:color="auto"/>
            </w:tcBorders>
            <w:shd w:val="clear" w:color="auto" w:fill="auto"/>
          </w:tcPr>
          <w:p w:rsidR="0089511D" w:rsidRPr="004C5FC0" w:rsidRDefault="0089511D" w:rsidP="001E4900">
            <w:pPr>
              <w:pStyle w:val="TableText"/>
              <w:keepNext/>
              <w:rPr>
                <w:b/>
              </w:rPr>
            </w:pPr>
            <w:r w:rsidRPr="004C5FC0">
              <w:rPr>
                <w:b/>
              </w:rPr>
              <w:t>Topics</w:t>
            </w:r>
          </w:p>
        </w:tc>
      </w:tr>
      <w:tr w:rsidR="0089511D" w:rsidRPr="004C5FC0" w:rsidTr="00095D83">
        <w:trPr>
          <w:cantSplit/>
        </w:trPr>
        <w:tc>
          <w:tcPr>
            <w:tcW w:w="5000" w:type="pct"/>
            <w:gridSpan w:val="2"/>
            <w:tcBorders>
              <w:top w:val="single" w:sz="4" w:space="0" w:color="auto"/>
              <w:bottom w:val="single" w:sz="4" w:space="0" w:color="A6A6A6" w:themeColor="background1" w:themeShade="A6"/>
            </w:tcBorders>
            <w:shd w:val="clear" w:color="auto" w:fill="auto"/>
          </w:tcPr>
          <w:p w:rsidR="0089511D" w:rsidRPr="004C5FC0" w:rsidRDefault="0089511D" w:rsidP="001E4900">
            <w:pPr>
              <w:pStyle w:val="TableText"/>
              <w:keepNext/>
              <w:rPr>
                <w:b/>
              </w:rPr>
            </w:pPr>
            <w:r w:rsidRPr="004C5FC0">
              <w:rPr>
                <w:b/>
              </w:rPr>
              <w:t>Adults</w:t>
            </w:r>
          </w:p>
        </w:tc>
      </w:tr>
      <w:tr w:rsidR="0089511D" w:rsidRPr="00CC7E24" w:rsidTr="00095D83">
        <w:trPr>
          <w:cantSplit/>
        </w:trPr>
        <w:tc>
          <w:tcPr>
            <w:tcW w:w="1750" w:type="pct"/>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1E4900">
            <w:pPr>
              <w:pStyle w:val="TableText"/>
              <w:keepNext/>
            </w:pPr>
            <w:r w:rsidRPr="00CC7E24">
              <w:t>Long-term conditions (self</w:t>
            </w:r>
            <w:r>
              <w:noBreakHyphen/>
            </w:r>
            <w:r w:rsidRPr="00CC7E24">
              <w:t>reported)</w:t>
            </w:r>
          </w:p>
        </w:tc>
        <w:tc>
          <w:tcPr>
            <w:tcW w:w="3250" w:type="pct"/>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1E4900">
            <w:pPr>
              <w:pStyle w:val="TableText"/>
              <w:keepNext/>
            </w:pPr>
            <w:r w:rsidRPr="00CC7E24">
              <w:t>Heart disease, stroke, diabetes, asthma, arthritis, mental health conditions, chronic pain, high blood pressure, high blood cholesterol</w:t>
            </w:r>
          </w:p>
        </w:tc>
      </w:tr>
      <w:tr w:rsidR="0089511D" w:rsidRPr="00CC7E24" w:rsidTr="00095D83">
        <w:trPr>
          <w:cantSplit/>
        </w:trPr>
        <w:tc>
          <w:tcPr>
            <w:tcW w:w="1750" w:type="pct"/>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1E4900">
            <w:pPr>
              <w:pStyle w:val="TableText"/>
              <w:keepNext/>
            </w:pPr>
            <w:r w:rsidRPr="00CC7E24">
              <w:t>Health status</w:t>
            </w:r>
          </w:p>
        </w:tc>
        <w:tc>
          <w:tcPr>
            <w:tcW w:w="3250" w:type="pct"/>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1E4900">
            <w:pPr>
              <w:pStyle w:val="TableText"/>
              <w:keepNext/>
            </w:pPr>
            <w:r w:rsidRPr="00CC7E24">
              <w:t>General health (physical and mental health), psychological distress</w:t>
            </w:r>
          </w:p>
        </w:tc>
      </w:tr>
      <w:tr w:rsidR="0089511D" w:rsidRPr="00CC7E24" w:rsidTr="00095D83">
        <w:trPr>
          <w:cantSplit/>
        </w:trPr>
        <w:tc>
          <w:tcPr>
            <w:tcW w:w="1750" w:type="pct"/>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095D83">
            <w:pPr>
              <w:pStyle w:val="TableText"/>
              <w:keepNext/>
            </w:pPr>
            <w:r>
              <w:t>Health behaviours</w:t>
            </w:r>
          </w:p>
        </w:tc>
        <w:tc>
          <w:tcPr>
            <w:tcW w:w="3250" w:type="pct"/>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095D83">
            <w:pPr>
              <w:pStyle w:val="TableText"/>
              <w:keepNext/>
            </w:pPr>
            <w:r>
              <w:t>P</w:t>
            </w:r>
            <w:r w:rsidRPr="00CC7E24">
              <w:t>hysical activity, tobacco smoking, vegetable and fruit intake, alcohol use and hazardous drinking</w:t>
            </w:r>
          </w:p>
        </w:tc>
      </w:tr>
      <w:tr w:rsidR="0089511D" w:rsidRPr="00CC7E24" w:rsidTr="00095D83">
        <w:trPr>
          <w:cantSplit/>
        </w:trPr>
        <w:tc>
          <w:tcPr>
            <w:tcW w:w="1750" w:type="pct"/>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1E4900">
            <w:pPr>
              <w:pStyle w:val="TableText"/>
            </w:pPr>
            <w:r w:rsidRPr="00CC7E24">
              <w:t>Health service utilisation and patient experience</w:t>
            </w:r>
          </w:p>
        </w:tc>
        <w:tc>
          <w:tcPr>
            <w:tcW w:w="3250" w:type="pct"/>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1E4900">
            <w:pPr>
              <w:pStyle w:val="TableText"/>
            </w:pPr>
            <w:r w:rsidRPr="00CC7E24">
              <w:t>Primary health care provider use, general practitioners, nurses, medical specialists, oral health care professionals, other health care professionals, hospital use, prescriptions</w:t>
            </w:r>
          </w:p>
        </w:tc>
      </w:tr>
      <w:tr w:rsidR="0089511D" w:rsidRPr="00CC7E24" w:rsidTr="00095D83">
        <w:trPr>
          <w:cantSplit/>
        </w:trPr>
        <w:tc>
          <w:tcPr>
            <w:tcW w:w="1750" w:type="pct"/>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1E4900">
            <w:pPr>
              <w:pStyle w:val="TableText"/>
            </w:pPr>
            <w:proofErr w:type="spellStart"/>
            <w:r w:rsidRPr="00CC7E24">
              <w:t>Sociodemographics</w:t>
            </w:r>
            <w:proofErr w:type="spellEnd"/>
          </w:p>
        </w:tc>
        <w:tc>
          <w:tcPr>
            <w:tcW w:w="3250" w:type="pct"/>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1E4900">
            <w:pPr>
              <w:pStyle w:val="TableText"/>
            </w:pPr>
            <w:r>
              <w:t>Sex</w:t>
            </w:r>
            <w:r w:rsidRPr="00CC7E24">
              <w:t xml:space="preserve">, age, ethnicity, language, country of birth, education, income </w:t>
            </w:r>
            <w:r>
              <w:t>and</w:t>
            </w:r>
            <w:r w:rsidRPr="00CC7E24">
              <w:t xml:space="preserve"> income sources, employment status, medical insurance, household characteristics</w:t>
            </w:r>
          </w:p>
        </w:tc>
      </w:tr>
      <w:tr w:rsidR="0089511D" w:rsidRPr="00CC7E24" w:rsidTr="00095D83">
        <w:trPr>
          <w:cantSplit/>
        </w:trPr>
        <w:tc>
          <w:tcPr>
            <w:tcW w:w="1750" w:type="pct"/>
            <w:tcBorders>
              <w:top w:val="single" w:sz="4" w:space="0" w:color="A6A6A6" w:themeColor="background1" w:themeShade="A6"/>
              <w:bottom w:val="single" w:sz="4" w:space="0" w:color="auto"/>
            </w:tcBorders>
            <w:shd w:val="clear" w:color="auto" w:fill="auto"/>
          </w:tcPr>
          <w:p w:rsidR="0089511D" w:rsidRPr="00CC7E24" w:rsidRDefault="0089511D" w:rsidP="001E4900">
            <w:pPr>
              <w:pStyle w:val="TableText"/>
            </w:pPr>
            <w:r w:rsidRPr="00CC7E24">
              <w:t>Anthropometry</w:t>
            </w:r>
          </w:p>
        </w:tc>
        <w:tc>
          <w:tcPr>
            <w:tcW w:w="3250" w:type="pct"/>
            <w:tcBorders>
              <w:top w:val="single" w:sz="4" w:space="0" w:color="A6A6A6" w:themeColor="background1" w:themeShade="A6"/>
              <w:bottom w:val="single" w:sz="4" w:space="0" w:color="auto"/>
            </w:tcBorders>
            <w:shd w:val="clear" w:color="auto" w:fill="auto"/>
          </w:tcPr>
          <w:p w:rsidR="0089511D" w:rsidRPr="00CC7E24" w:rsidRDefault="0089511D" w:rsidP="001E4900">
            <w:pPr>
              <w:pStyle w:val="TableText"/>
            </w:pPr>
            <w:r w:rsidRPr="00CC7E24">
              <w:t>Height, weight and waist circumference measurements</w:t>
            </w:r>
            <w:r>
              <w:t>; blood pressure</w:t>
            </w:r>
          </w:p>
        </w:tc>
      </w:tr>
    </w:tbl>
    <w:p w:rsidR="0089511D" w:rsidRDefault="0089511D" w:rsidP="00095D83">
      <w:bookmarkStart w:id="36" w:name="_Toc339270000"/>
    </w:p>
    <w:p w:rsidR="0089511D" w:rsidRPr="00CC7E24" w:rsidRDefault="0089511D" w:rsidP="00095D83">
      <w:pPr>
        <w:pStyle w:val="Heading2"/>
      </w:pPr>
      <w:bookmarkStart w:id="37" w:name="_Toc340501926"/>
      <w:bookmarkStart w:id="38" w:name="_Toc372445546"/>
      <w:bookmarkStart w:id="39" w:name="_Toc403044000"/>
      <w:bookmarkStart w:id="40" w:name="_Toc434934505"/>
      <w:bookmarkStart w:id="41" w:name="_Toc435642999"/>
      <w:r w:rsidRPr="00CC7E24">
        <w:t>Module component</w:t>
      </w:r>
      <w:bookmarkEnd w:id="36"/>
      <w:bookmarkEnd w:id="37"/>
      <w:bookmarkEnd w:id="38"/>
      <w:bookmarkEnd w:id="39"/>
      <w:bookmarkEnd w:id="40"/>
      <w:bookmarkEnd w:id="41"/>
    </w:p>
    <w:p w:rsidR="0089511D" w:rsidRDefault="0089511D" w:rsidP="00095D83">
      <w:r>
        <w:t xml:space="preserve">All the </w:t>
      </w:r>
      <w:r w:rsidRPr="00CC7E24">
        <w:t xml:space="preserve">module topics for the </w:t>
      </w:r>
      <w:r>
        <w:t xml:space="preserve">continuous </w:t>
      </w:r>
      <w:r w:rsidRPr="00CC7E24">
        <w:t xml:space="preserve">NZHS </w:t>
      </w:r>
      <w:r>
        <w:t>until 2015/16</w:t>
      </w:r>
      <w:r w:rsidRPr="00CC7E24">
        <w:t xml:space="preserve"> are summarised in </w:t>
      </w:r>
      <w:r>
        <w:t>Table 2.</w:t>
      </w:r>
      <w:bookmarkStart w:id="42" w:name="_Ref338860026"/>
      <w:bookmarkStart w:id="43" w:name="_Toc339878413"/>
    </w:p>
    <w:p w:rsidR="0089511D" w:rsidRDefault="0089511D" w:rsidP="00095D83"/>
    <w:p w:rsidR="0089511D" w:rsidRPr="00CC7E24" w:rsidRDefault="0089511D" w:rsidP="00095D83">
      <w:pPr>
        <w:pStyle w:val="Table"/>
        <w:rPr>
          <w:sz w:val="24"/>
          <w:szCs w:val="24"/>
        </w:rPr>
      </w:pPr>
      <w:bookmarkStart w:id="44" w:name="_Toc372445583"/>
      <w:bookmarkStart w:id="45" w:name="_Toc403044038"/>
      <w:bookmarkStart w:id="46" w:name="_Toc434933607"/>
      <w:bookmarkStart w:id="47" w:name="_Toc435555077"/>
      <w:r w:rsidRPr="004074A3">
        <w:t>Table 2</w:t>
      </w:r>
      <w:bookmarkEnd w:id="42"/>
      <w:r w:rsidRPr="004074A3">
        <w:t>: NZHS</w:t>
      </w:r>
      <w:r w:rsidRPr="00CC7E24">
        <w:t xml:space="preserve"> module topics</w:t>
      </w:r>
      <w:r>
        <w:t>,</w:t>
      </w:r>
      <w:r w:rsidRPr="00CC7E24">
        <w:t xml:space="preserve"> 2011/12</w:t>
      </w:r>
      <w:r>
        <w:t>–</w:t>
      </w:r>
      <w:r w:rsidRPr="00CC7E24">
        <w:t>2015/16</w:t>
      </w:r>
      <w:bookmarkEnd w:id="43"/>
      <w:bookmarkEnd w:id="44"/>
      <w:bookmarkEnd w:id="45"/>
      <w:bookmarkEnd w:id="46"/>
      <w:bookmarkEnd w:id="47"/>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843"/>
        <w:gridCol w:w="3756"/>
        <w:gridCol w:w="3757"/>
      </w:tblGrid>
      <w:tr w:rsidR="0089511D" w:rsidRPr="004074A3" w:rsidTr="00095D83">
        <w:trPr>
          <w:cantSplit/>
        </w:trPr>
        <w:tc>
          <w:tcPr>
            <w:tcW w:w="1843" w:type="dxa"/>
            <w:tcBorders>
              <w:top w:val="single" w:sz="4" w:space="0" w:color="auto"/>
              <w:bottom w:val="single" w:sz="4" w:space="0" w:color="auto"/>
            </w:tcBorders>
            <w:shd w:val="clear" w:color="auto" w:fill="auto"/>
          </w:tcPr>
          <w:p w:rsidR="0089511D" w:rsidRPr="004074A3" w:rsidRDefault="0089511D" w:rsidP="001E4900">
            <w:pPr>
              <w:pStyle w:val="TableText"/>
              <w:rPr>
                <w:b/>
              </w:rPr>
            </w:pPr>
            <w:r w:rsidRPr="004074A3">
              <w:rPr>
                <w:b/>
              </w:rPr>
              <w:t>Year of NZHS</w:t>
            </w:r>
          </w:p>
        </w:tc>
        <w:tc>
          <w:tcPr>
            <w:tcW w:w="3756" w:type="dxa"/>
            <w:tcBorders>
              <w:top w:val="single" w:sz="4" w:space="0" w:color="auto"/>
              <w:bottom w:val="single" w:sz="4" w:space="0" w:color="auto"/>
            </w:tcBorders>
            <w:shd w:val="clear" w:color="auto" w:fill="auto"/>
          </w:tcPr>
          <w:p w:rsidR="0089511D" w:rsidRPr="004074A3" w:rsidRDefault="0089511D" w:rsidP="001E4900">
            <w:pPr>
              <w:pStyle w:val="TableText"/>
              <w:rPr>
                <w:b/>
              </w:rPr>
            </w:pPr>
            <w:r w:rsidRPr="004074A3">
              <w:rPr>
                <w:b/>
              </w:rPr>
              <w:t>Adult module topic(s)</w:t>
            </w:r>
          </w:p>
        </w:tc>
        <w:tc>
          <w:tcPr>
            <w:tcW w:w="3757" w:type="dxa"/>
            <w:tcBorders>
              <w:top w:val="single" w:sz="4" w:space="0" w:color="auto"/>
              <w:bottom w:val="single" w:sz="4" w:space="0" w:color="auto"/>
            </w:tcBorders>
            <w:shd w:val="clear" w:color="auto" w:fill="auto"/>
          </w:tcPr>
          <w:p w:rsidR="0089511D" w:rsidRPr="004074A3" w:rsidRDefault="0089511D" w:rsidP="001E4900">
            <w:pPr>
              <w:pStyle w:val="TableText"/>
              <w:rPr>
                <w:b/>
              </w:rPr>
            </w:pPr>
            <w:r w:rsidRPr="004074A3">
              <w:rPr>
                <w:b/>
              </w:rPr>
              <w:t>Child module topic(s)</w:t>
            </w:r>
          </w:p>
        </w:tc>
      </w:tr>
      <w:tr w:rsidR="0089511D" w:rsidRPr="00CC7E24" w:rsidTr="00095D83">
        <w:trPr>
          <w:cantSplit/>
        </w:trPr>
        <w:tc>
          <w:tcPr>
            <w:tcW w:w="1843" w:type="dxa"/>
            <w:tcBorders>
              <w:top w:val="single" w:sz="4" w:space="0" w:color="auto"/>
              <w:bottom w:val="single" w:sz="4" w:space="0" w:color="A6A6A6" w:themeColor="background1" w:themeShade="A6"/>
            </w:tcBorders>
            <w:shd w:val="clear" w:color="auto" w:fill="auto"/>
          </w:tcPr>
          <w:p w:rsidR="0089511D" w:rsidRPr="00CC7E24" w:rsidRDefault="0089511D" w:rsidP="001E4900">
            <w:pPr>
              <w:pStyle w:val="TableText"/>
            </w:pPr>
            <w:r w:rsidRPr="00CC7E24">
              <w:t>2011/12</w:t>
            </w:r>
          </w:p>
        </w:tc>
        <w:tc>
          <w:tcPr>
            <w:tcW w:w="3756" w:type="dxa"/>
            <w:tcBorders>
              <w:top w:val="single" w:sz="4" w:space="0" w:color="auto"/>
              <w:bottom w:val="single" w:sz="4" w:space="0" w:color="A6A6A6" w:themeColor="background1" w:themeShade="A6"/>
            </w:tcBorders>
            <w:shd w:val="clear" w:color="auto" w:fill="auto"/>
          </w:tcPr>
          <w:p w:rsidR="0089511D" w:rsidRPr="00CC7E24" w:rsidRDefault="0089511D" w:rsidP="001E4900">
            <w:pPr>
              <w:pStyle w:val="TableText"/>
            </w:pPr>
            <w:r w:rsidRPr="00CC7E24">
              <w:t>Health service utilisation</w:t>
            </w:r>
          </w:p>
          <w:p w:rsidR="0089511D" w:rsidRPr="00CC7E24" w:rsidRDefault="0089511D" w:rsidP="001E4900">
            <w:pPr>
              <w:pStyle w:val="TableText"/>
            </w:pPr>
            <w:r w:rsidRPr="00CC7E24">
              <w:t>Patient experience</w:t>
            </w:r>
          </w:p>
          <w:p w:rsidR="0089511D" w:rsidRDefault="0089511D" w:rsidP="001E4900">
            <w:pPr>
              <w:pStyle w:val="TableText"/>
            </w:pPr>
            <w:r w:rsidRPr="00CC7E24">
              <w:t>Problem gambling</w:t>
            </w:r>
          </w:p>
          <w:p w:rsidR="0089511D" w:rsidRPr="00CC7E24" w:rsidRDefault="0089511D" w:rsidP="001E4900">
            <w:pPr>
              <w:pStyle w:val="TableText"/>
            </w:pPr>
            <w:r w:rsidRPr="00CC7E24">
              <w:t>Discrimination</w:t>
            </w:r>
          </w:p>
        </w:tc>
        <w:tc>
          <w:tcPr>
            <w:tcW w:w="3757" w:type="dxa"/>
            <w:tcBorders>
              <w:top w:val="single" w:sz="4" w:space="0" w:color="auto"/>
              <w:bottom w:val="single" w:sz="4" w:space="0" w:color="A6A6A6" w:themeColor="background1" w:themeShade="A6"/>
            </w:tcBorders>
            <w:shd w:val="clear" w:color="auto" w:fill="auto"/>
          </w:tcPr>
          <w:p w:rsidR="0089511D" w:rsidRPr="00CC7E24" w:rsidRDefault="0089511D" w:rsidP="001E4900">
            <w:pPr>
              <w:pStyle w:val="TableText"/>
            </w:pPr>
            <w:r w:rsidRPr="00CC7E24">
              <w:t>Health service utilisation</w:t>
            </w:r>
          </w:p>
          <w:p w:rsidR="0089511D" w:rsidRPr="00CC7E24" w:rsidRDefault="0089511D" w:rsidP="001E4900">
            <w:pPr>
              <w:pStyle w:val="TableText"/>
            </w:pPr>
            <w:r w:rsidRPr="00CC7E24">
              <w:t>Patient experience</w:t>
            </w:r>
          </w:p>
        </w:tc>
      </w:tr>
      <w:tr w:rsidR="0089511D" w:rsidRPr="00CC7E24" w:rsidTr="00095D83">
        <w:trPr>
          <w:cantSplit/>
        </w:trPr>
        <w:tc>
          <w:tcPr>
            <w:tcW w:w="1843" w:type="dxa"/>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1E4900">
            <w:pPr>
              <w:pStyle w:val="TableText"/>
            </w:pPr>
            <w:r w:rsidRPr="00CC7E24">
              <w:t>2012/13</w:t>
            </w:r>
          </w:p>
        </w:tc>
        <w:tc>
          <w:tcPr>
            <w:tcW w:w="3756" w:type="dxa"/>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1E4900">
            <w:pPr>
              <w:pStyle w:val="TableText"/>
            </w:pPr>
            <w:r w:rsidRPr="00CC7E24">
              <w:t>Alcohol use</w:t>
            </w:r>
          </w:p>
          <w:p w:rsidR="0089511D" w:rsidRPr="00CC7E24" w:rsidRDefault="0089511D" w:rsidP="001E4900">
            <w:pPr>
              <w:pStyle w:val="TableText"/>
            </w:pPr>
            <w:r w:rsidRPr="00CC7E24">
              <w:t>Tobacco use</w:t>
            </w:r>
          </w:p>
          <w:p w:rsidR="0089511D" w:rsidRPr="00CC7E24" w:rsidRDefault="0089511D" w:rsidP="001E4900">
            <w:pPr>
              <w:pStyle w:val="TableText"/>
            </w:pPr>
            <w:r w:rsidRPr="00CC7E24">
              <w:t>Drug use</w:t>
            </w:r>
          </w:p>
        </w:tc>
        <w:tc>
          <w:tcPr>
            <w:tcW w:w="3757" w:type="dxa"/>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1E4900">
            <w:pPr>
              <w:pStyle w:val="TableText"/>
            </w:pPr>
            <w:r w:rsidRPr="00CC7E24">
              <w:t>Child development</w:t>
            </w:r>
          </w:p>
          <w:p w:rsidR="0089511D" w:rsidRPr="00CC7E24" w:rsidRDefault="0089511D" w:rsidP="001E4900">
            <w:pPr>
              <w:pStyle w:val="TableText"/>
            </w:pPr>
            <w:r w:rsidRPr="00CC7E24">
              <w:t>Food security</w:t>
            </w:r>
          </w:p>
          <w:p w:rsidR="0089511D" w:rsidRPr="00CC7E24" w:rsidRDefault="0089511D" w:rsidP="001E4900">
            <w:pPr>
              <w:pStyle w:val="TableText"/>
            </w:pPr>
            <w:r w:rsidRPr="00CC7E24">
              <w:t>Exposure to second-hand smoke</w:t>
            </w:r>
          </w:p>
        </w:tc>
      </w:tr>
      <w:tr w:rsidR="0089511D" w:rsidRPr="00CC7E24" w:rsidTr="00095D83">
        <w:trPr>
          <w:cantSplit/>
        </w:trPr>
        <w:tc>
          <w:tcPr>
            <w:tcW w:w="1843" w:type="dxa"/>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1E4900">
            <w:pPr>
              <w:pStyle w:val="TableText"/>
            </w:pPr>
            <w:r w:rsidRPr="00CC7E24">
              <w:t>2013/14</w:t>
            </w:r>
          </w:p>
        </w:tc>
        <w:tc>
          <w:tcPr>
            <w:tcW w:w="3756" w:type="dxa"/>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1E4900">
            <w:pPr>
              <w:pStyle w:val="TableText"/>
            </w:pPr>
            <w:r w:rsidRPr="00CC7E24">
              <w:t>Long-term conditions</w:t>
            </w:r>
          </w:p>
          <w:p w:rsidR="0089511D" w:rsidRPr="00CC7E24" w:rsidRDefault="0089511D" w:rsidP="001E4900">
            <w:pPr>
              <w:pStyle w:val="TableText"/>
            </w:pPr>
            <w:r w:rsidRPr="00CC7E24">
              <w:t>Health status</w:t>
            </w:r>
          </w:p>
          <w:p w:rsidR="0089511D" w:rsidRPr="00CC7E24" w:rsidRDefault="0089511D" w:rsidP="001E4900">
            <w:pPr>
              <w:pStyle w:val="TableText"/>
            </w:pPr>
            <w:r w:rsidRPr="00CC7E24">
              <w:t>Disability status</w:t>
            </w:r>
          </w:p>
          <w:p w:rsidR="0089511D" w:rsidRPr="00CC7E24" w:rsidRDefault="0089511D" w:rsidP="001E4900">
            <w:pPr>
              <w:pStyle w:val="TableText"/>
            </w:pPr>
            <w:r w:rsidRPr="00CC7E24">
              <w:t>Living standards</w:t>
            </w:r>
          </w:p>
          <w:p w:rsidR="0089511D" w:rsidRPr="00CC7E24" w:rsidRDefault="0089511D" w:rsidP="001E4900">
            <w:pPr>
              <w:pStyle w:val="TableText"/>
            </w:pPr>
            <w:r w:rsidRPr="00CC7E24">
              <w:t>Housing quality</w:t>
            </w:r>
          </w:p>
        </w:tc>
        <w:tc>
          <w:tcPr>
            <w:tcW w:w="3757" w:type="dxa"/>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1E4900">
            <w:pPr>
              <w:pStyle w:val="TableText"/>
            </w:pPr>
            <w:r w:rsidRPr="00CC7E24">
              <w:t>Long-term conditions</w:t>
            </w:r>
          </w:p>
          <w:p w:rsidR="0089511D" w:rsidRPr="00CC7E24" w:rsidRDefault="0089511D" w:rsidP="001E4900">
            <w:pPr>
              <w:pStyle w:val="TableText"/>
            </w:pPr>
            <w:r w:rsidRPr="00CC7E24">
              <w:t>Health status</w:t>
            </w:r>
          </w:p>
          <w:p w:rsidR="0089511D" w:rsidRPr="00CC7E24" w:rsidRDefault="0089511D" w:rsidP="001E4900">
            <w:pPr>
              <w:pStyle w:val="TableText"/>
            </w:pPr>
            <w:r w:rsidRPr="00CC7E24">
              <w:t>Disability status</w:t>
            </w:r>
          </w:p>
          <w:p w:rsidR="0089511D" w:rsidRPr="00CC7E24" w:rsidRDefault="0089511D" w:rsidP="001E4900">
            <w:pPr>
              <w:pStyle w:val="TableText"/>
            </w:pPr>
            <w:r w:rsidRPr="00CC7E24">
              <w:t>Living standards</w:t>
            </w:r>
          </w:p>
          <w:p w:rsidR="0089511D" w:rsidRPr="00CC7E24" w:rsidRDefault="0089511D" w:rsidP="001E4900">
            <w:pPr>
              <w:pStyle w:val="TableText"/>
            </w:pPr>
            <w:r w:rsidRPr="00CC7E24">
              <w:t>Housing quality</w:t>
            </w:r>
          </w:p>
        </w:tc>
      </w:tr>
      <w:tr w:rsidR="0089511D" w:rsidRPr="00CC7E24" w:rsidTr="00095D83">
        <w:trPr>
          <w:cantSplit/>
        </w:trPr>
        <w:tc>
          <w:tcPr>
            <w:tcW w:w="1843" w:type="dxa"/>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1E4900">
            <w:pPr>
              <w:pStyle w:val="TableText"/>
            </w:pPr>
            <w:r w:rsidRPr="00CC7E24">
              <w:t>2014/15</w:t>
            </w:r>
          </w:p>
        </w:tc>
        <w:tc>
          <w:tcPr>
            <w:tcW w:w="3756" w:type="dxa"/>
            <w:tcBorders>
              <w:top w:val="single" w:sz="4" w:space="0" w:color="A6A6A6" w:themeColor="background1" w:themeShade="A6"/>
              <w:bottom w:val="single" w:sz="4" w:space="0" w:color="A6A6A6" w:themeColor="background1" w:themeShade="A6"/>
            </w:tcBorders>
            <w:shd w:val="clear" w:color="auto" w:fill="auto"/>
          </w:tcPr>
          <w:p w:rsidR="0089511D" w:rsidRDefault="0089511D" w:rsidP="001E4900">
            <w:pPr>
              <w:pStyle w:val="TableText"/>
            </w:pPr>
            <w:r w:rsidRPr="00CC7E24">
              <w:t>Sexual and reproductive health</w:t>
            </w:r>
          </w:p>
          <w:p w:rsidR="0089511D" w:rsidRPr="00CC7E24" w:rsidRDefault="0089511D" w:rsidP="001E4900">
            <w:pPr>
              <w:pStyle w:val="TableText"/>
            </w:pPr>
            <w:r>
              <w:t>Biomedical tests</w:t>
            </w:r>
          </w:p>
        </w:tc>
        <w:tc>
          <w:tcPr>
            <w:tcW w:w="3757" w:type="dxa"/>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1E4900">
            <w:pPr>
              <w:pStyle w:val="TableText"/>
            </w:pPr>
            <w:r>
              <w:t>Child development</w:t>
            </w:r>
          </w:p>
        </w:tc>
      </w:tr>
      <w:tr w:rsidR="0089511D" w:rsidRPr="00CC7E24" w:rsidTr="00095D83">
        <w:trPr>
          <w:cantSplit/>
        </w:trPr>
        <w:tc>
          <w:tcPr>
            <w:tcW w:w="1843" w:type="dxa"/>
            <w:tcBorders>
              <w:top w:val="single" w:sz="4" w:space="0" w:color="A6A6A6" w:themeColor="background1" w:themeShade="A6"/>
              <w:bottom w:val="single" w:sz="4" w:space="0" w:color="auto"/>
            </w:tcBorders>
            <w:shd w:val="clear" w:color="auto" w:fill="auto"/>
          </w:tcPr>
          <w:p w:rsidR="0089511D" w:rsidRPr="00CC7E24" w:rsidRDefault="0089511D" w:rsidP="001E4900">
            <w:pPr>
              <w:pStyle w:val="TableText"/>
            </w:pPr>
            <w:r w:rsidRPr="00CC7E24">
              <w:t>2015/16</w:t>
            </w:r>
          </w:p>
        </w:tc>
        <w:tc>
          <w:tcPr>
            <w:tcW w:w="3756" w:type="dxa"/>
            <w:tcBorders>
              <w:top w:val="single" w:sz="4" w:space="0" w:color="A6A6A6" w:themeColor="background1" w:themeShade="A6"/>
              <w:bottom w:val="single" w:sz="4" w:space="0" w:color="auto"/>
            </w:tcBorders>
            <w:shd w:val="clear" w:color="auto" w:fill="auto"/>
          </w:tcPr>
          <w:p w:rsidR="0089511D" w:rsidRPr="00CC7E24" w:rsidRDefault="0089511D" w:rsidP="001E4900">
            <w:pPr>
              <w:pStyle w:val="TableText"/>
            </w:pPr>
            <w:r>
              <w:t>Tobacco use</w:t>
            </w:r>
          </w:p>
        </w:tc>
        <w:tc>
          <w:tcPr>
            <w:tcW w:w="3757" w:type="dxa"/>
            <w:tcBorders>
              <w:top w:val="single" w:sz="4" w:space="0" w:color="A6A6A6" w:themeColor="background1" w:themeShade="A6"/>
              <w:bottom w:val="single" w:sz="4" w:space="0" w:color="auto"/>
            </w:tcBorders>
            <w:shd w:val="clear" w:color="auto" w:fill="auto"/>
          </w:tcPr>
          <w:p w:rsidR="0089511D" w:rsidRPr="00CC7E24" w:rsidRDefault="0089511D" w:rsidP="001E4900">
            <w:pPr>
              <w:pStyle w:val="TableText"/>
            </w:pPr>
            <w:r>
              <w:t>Child development</w:t>
            </w:r>
          </w:p>
        </w:tc>
      </w:tr>
    </w:tbl>
    <w:p w:rsidR="00095D83" w:rsidRDefault="00095D83" w:rsidP="00095D83">
      <w:bookmarkStart w:id="48" w:name="_Toc339270001"/>
      <w:bookmarkStart w:id="49" w:name="_Toc199225779"/>
      <w:bookmarkEnd w:id="17"/>
      <w:bookmarkEnd w:id="18"/>
    </w:p>
    <w:p w:rsidR="0089511D" w:rsidRDefault="0089511D" w:rsidP="00095D83">
      <w:pPr>
        <w:pStyle w:val="Heading1"/>
      </w:pPr>
      <w:r w:rsidRPr="00CC7E24">
        <w:br w:type="page"/>
      </w:r>
      <w:bookmarkStart w:id="50" w:name="_Toc340501927"/>
      <w:bookmarkStart w:id="51" w:name="_Toc372445547"/>
      <w:bookmarkStart w:id="52" w:name="_Toc403044001"/>
      <w:bookmarkStart w:id="53" w:name="_Toc434934506"/>
      <w:bookmarkStart w:id="54" w:name="_Toc435643000"/>
      <w:r w:rsidRPr="00CC7E24">
        <w:lastRenderedPageBreak/>
        <w:t xml:space="preserve">Section 3: Survey </w:t>
      </w:r>
      <w:r>
        <w:t>p</w:t>
      </w:r>
      <w:r w:rsidRPr="00CC7E24">
        <w:t xml:space="preserve">opulation and </w:t>
      </w:r>
      <w:r>
        <w:t>s</w:t>
      </w:r>
      <w:r w:rsidRPr="00CC7E24">
        <w:t xml:space="preserve">ample </w:t>
      </w:r>
      <w:r>
        <w:t>d</w:t>
      </w:r>
      <w:r w:rsidRPr="00CC7E24">
        <w:t>esign</w:t>
      </w:r>
      <w:bookmarkEnd w:id="48"/>
      <w:bookmarkEnd w:id="50"/>
      <w:bookmarkEnd w:id="51"/>
      <w:bookmarkEnd w:id="52"/>
      <w:bookmarkEnd w:id="53"/>
      <w:bookmarkEnd w:id="54"/>
    </w:p>
    <w:p w:rsidR="0089511D" w:rsidRPr="00CC7E24" w:rsidRDefault="0089511D" w:rsidP="00095D83">
      <w:bookmarkStart w:id="55" w:name="_Toc335133100"/>
      <w:r w:rsidRPr="00CC7E24">
        <w:t>This section describes the target population, the survey population and the sample design for the NZHS.</w:t>
      </w:r>
    </w:p>
    <w:p w:rsidR="0089511D" w:rsidRPr="00CC7E24" w:rsidRDefault="0089511D" w:rsidP="00095D83"/>
    <w:p w:rsidR="0089511D" w:rsidRPr="00CC7E24" w:rsidRDefault="0089511D" w:rsidP="00095D83">
      <w:pPr>
        <w:pStyle w:val="Heading2"/>
      </w:pPr>
      <w:bookmarkStart w:id="56" w:name="_Toc339270002"/>
      <w:bookmarkStart w:id="57" w:name="_Toc340501928"/>
      <w:bookmarkStart w:id="58" w:name="_Toc372445548"/>
      <w:bookmarkStart w:id="59" w:name="_Toc403044002"/>
      <w:bookmarkStart w:id="60" w:name="_Toc434934507"/>
      <w:bookmarkStart w:id="61" w:name="_Toc435643001"/>
      <w:r w:rsidRPr="00CC7E24">
        <w:t>Target and survey population</w:t>
      </w:r>
      <w:bookmarkEnd w:id="55"/>
      <w:bookmarkEnd w:id="56"/>
      <w:bookmarkEnd w:id="57"/>
      <w:bookmarkEnd w:id="58"/>
      <w:bookmarkEnd w:id="59"/>
      <w:bookmarkEnd w:id="60"/>
      <w:bookmarkEnd w:id="61"/>
    </w:p>
    <w:p w:rsidR="0089511D" w:rsidRPr="00CC7E24" w:rsidRDefault="0089511D" w:rsidP="00095D83">
      <w:r w:rsidRPr="00CC7E24">
        <w:t xml:space="preserve">The </w:t>
      </w:r>
      <w:r w:rsidRPr="00AC5A07">
        <w:rPr>
          <w:b/>
        </w:rPr>
        <w:t>target population</w:t>
      </w:r>
      <w:r w:rsidRPr="00CC7E24">
        <w:t xml:space="preserve"> is the population the survey aims to represent. The </w:t>
      </w:r>
      <w:r w:rsidRPr="00AC5A07">
        <w:rPr>
          <w:b/>
        </w:rPr>
        <w:t>survey population</w:t>
      </w:r>
      <w:r w:rsidRPr="008A0055">
        <w:rPr>
          <w:b/>
        </w:rPr>
        <w:t xml:space="preserve"> </w:t>
      </w:r>
      <w:r w:rsidRPr="00CC7E24">
        <w:t>is the population that was covered in the survey.</w:t>
      </w:r>
    </w:p>
    <w:p w:rsidR="0089511D" w:rsidRPr="00CC7E24" w:rsidRDefault="0089511D" w:rsidP="00095D83"/>
    <w:p w:rsidR="0089511D" w:rsidRPr="00CC7E24" w:rsidRDefault="0089511D" w:rsidP="00095D83">
      <w:pPr>
        <w:pStyle w:val="Heading3"/>
      </w:pPr>
      <w:bookmarkStart w:id="62" w:name="_Toc199225772"/>
      <w:bookmarkStart w:id="63" w:name="_Toc201042976"/>
      <w:bookmarkStart w:id="64" w:name="_Toc335133101"/>
      <w:bookmarkStart w:id="65" w:name="_Toc339270003"/>
      <w:r w:rsidRPr="00CC7E24">
        <w:t>Target population</w:t>
      </w:r>
      <w:bookmarkEnd w:id="62"/>
      <w:bookmarkEnd w:id="63"/>
      <w:bookmarkEnd w:id="64"/>
      <w:bookmarkEnd w:id="65"/>
    </w:p>
    <w:p w:rsidR="0089511D" w:rsidRPr="00CC7E24" w:rsidRDefault="0089511D" w:rsidP="00095D83">
      <w:pPr>
        <w:rPr>
          <w:szCs w:val="24"/>
        </w:rPr>
      </w:pPr>
      <w:r w:rsidRPr="00CC7E24">
        <w:t xml:space="preserve">The target population for the NZHS </w:t>
      </w:r>
      <w:r>
        <w:t>is</w:t>
      </w:r>
      <w:r w:rsidRPr="00CC7E24">
        <w:t xml:space="preserve"> the New Zealand usually resident population of all ages</w:t>
      </w:r>
      <w:r>
        <w:t xml:space="preserve">, </w:t>
      </w:r>
      <w:r w:rsidRPr="00CC7E24">
        <w:t>including those living in non-private accommodation.</w:t>
      </w:r>
    </w:p>
    <w:p w:rsidR="0089511D" w:rsidRPr="00CC7E24" w:rsidRDefault="0089511D" w:rsidP="00095D83"/>
    <w:p w:rsidR="0089511D" w:rsidRPr="00CC7E24" w:rsidRDefault="0089511D" w:rsidP="00095D83">
      <w:r w:rsidRPr="00CC7E24">
        <w:t xml:space="preserve">The target population </w:t>
      </w:r>
      <w:r>
        <w:t xml:space="preserve">is approximately </w:t>
      </w:r>
      <w:r w:rsidRPr="007E5070">
        <w:t>3.6</w:t>
      </w:r>
      <w:r w:rsidRPr="00CC7E24">
        <w:t xml:space="preserve"> million adults (aged 15 years and over) and 0.9</w:t>
      </w:r>
      <w:r>
        <w:t> </w:t>
      </w:r>
      <w:r w:rsidRPr="00CC7E24">
        <w:t xml:space="preserve">million children (aged from birth to 14 years), according to the Statistics </w:t>
      </w:r>
      <w:r>
        <w:t>New Zealand Census population figures for 2013</w:t>
      </w:r>
      <w:r w:rsidRPr="007E5070">
        <w:t>.</w:t>
      </w:r>
    </w:p>
    <w:p w:rsidR="0089511D" w:rsidRPr="00CC7E24" w:rsidRDefault="0089511D" w:rsidP="00095D83"/>
    <w:p w:rsidR="0089511D" w:rsidRPr="00CC7E24" w:rsidRDefault="0089511D" w:rsidP="00095D83">
      <w:pPr>
        <w:rPr>
          <w:rFonts w:eastAsia="Cambria" w:cs="Arial"/>
          <w:szCs w:val="24"/>
          <w:lang w:eastAsia="en-US"/>
        </w:rPr>
      </w:pPr>
      <w:r w:rsidRPr="00CC7E24">
        <w:t xml:space="preserve">Previously </w:t>
      </w:r>
      <w:r w:rsidRPr="00094C02">
        <w:t>(2006/07 and before)</w:t>
      </w:r>
      <w:r>
        <w:t xml:space="preserve"> </w:t>
      </w:r>
      <w:r w:rsidRPr="00CC7E24">
        <w:t>the NZHS included only people living in private accommodation. The target population for the</w:t>
      </w:r>
      <w:r>
        <w:t xml:space="preserve"> current</w:t>
      </w:r>
      <w:r w:rsidRPr="00CC7E24">
        <w:t xml:space="preserve"> </w:t>
      </w:r>
      <w:r>
        <w:t xml:space="preserve">NZHS </w:t>
      </w:r>
      <w:r w:rsidRPr="00CC7E24">
        <w:t>include</w:t>
      </w:r>
      <w:r>
        <w:t>s</w:t>
      </w:r>
      <w:r w:rsidRPr="00CC7E24">
        <w:t xml:space="preserve"> </w:t>
      </w:r>
      <w:r>
        <w:t>people living in</w:t>
      </w:r>
      <w:r w:rsidRPr="00CC7E24">
        <w:t xml:space="preserve"> non-private accommodation t</w:t>
      </w:r>
      <w:r w:rsidRPr="00CC7E24">
        <w:rPr>
          <w:rFonts w:eastAsia="Cambria" w:cs="Arial"/>
          <w:szCs w:val="24"/>
          <w:lang w:eastAsia="en-US"/>
        </w:rPr>
        <w:t xml:space="preserve">o improve coverage of </w:t>
      </w:r>
      <w:r>
        <w:rPr>
          <w:rFonts w:eastAsia="Cambria" w:cs="Arial"/>
          <w:szCs w:val="24"/>
          <w:lang w:eastAsia="en-US"/>
        </w:rPr>
        <w:t xml:space="preserve">older people in </w:t>
      </w:r>
      <w:r w:rsidRPr="00CC7E24">
        <w:rPr>
          <w:rFonts w:eastAsia="Cambria" w:cs="Arial"/>
          <w:szCs w:val="24"/>
          <w:lang w:eastAsia="en-US"/>
        </w:rPr>
        <w:t>an age</w:t>
      </w:r>
      <w:r>
        <w:rPr>
          <w:rFonts w:eastAsia="Cambria" w:cs="Arial"/>
          <w:szCs w:val="24"/>
          <w:lang w:eastAsia="en-US"/>
        </w:rPr>
        <w:t>ing</w:t>
      </w:r>
      <w:r w:rsidRPr="00CC7E24">
        <w:rPr>
          <w:rFonts w:eastAsia="Cambria" w:cs="Arial"/>
          <w:szCs w:val="24"/>
          <w:lang w:eastAsia="en-US"/>
        </w:rPr>
        <w:t xml:space="preserve"> population.</w:t>
      </w:r>
    </w:p>
    <w:p w:rsidR="0089511D" w:rsidRPr="00CC7E24" w:rsidRDefault="0089511D" w:rsidP="00095D83"/>
    <w:p w:rsidR="0089511D" w:rsidRPr="00CC7E24" w:rsidRDefault="0089511D" w:rsidP="00095D83">
      <w:pPr>
        <w:pStyle w:val="Heading3"/>
      </w:pPr>
      <w:bookmarkStart w:id="66" w:name="_Toc199225773"/>
      <w:bookmarkStart w:id="67" w:name="_Toc201042977"/>
      <w:bookmarkStart w:id="68" w:name="_Toc335133102"/>
      <w:bookmarkStart w:id="69" w:name="_Toc339270004"/>
      <w:r w:rsidRPr="00CC7E24">
        <w:t>Survey population</w:t>
      </w:r>
      <w:bookmarkEnd w:id="66"/>
      <w:bookmarkEnd w:id="67"/>
      <w:bookmarkEnd w:id="68"/>
      <w:bookmarkEnd w:id="69"/>
    </w:p>
    <w:p w:rsidR="0089511D" w:rsidRPr="00CC7E24" w:rsidRDefault="0089511D" w:rsidP="00095D83">
      <w:r w:rsidRPr="00CC7E24">
        <w:t>Approximately 98</w:t>
      </w:r>
      <w:r>
        <w:t xml:space="preserve"> percent</w:t>
      </w:r>
      <w:r w:rsidRPr="00CC7E24">
        <w:t xml:space="preserve"> of the New Zealand resident population of all ages are eligible </w:t>
      </w:r>
      <w:r>
        <w:t>to</w:t>
      </w:r>
      <w:r w:rsidRPr="00CC7E24">
        <w:t xml:space="preserve"> participat</w:t>
      </w:r>
      <w:r>
        <w:t>e</w:t>
      </w:r>
      <w:r w:rsidRPr="00CC7E24">
        <w:t xml:space="preserve"> in the NZHS. For practical reasons</w:t>
      </w:r>
      <w:r>
        <w:t>,</w:t>
      </w:r>
      <w:r w:rsidRPr="00CC7E24">
        <w:t xml:space="preserve"> a small </w:t>
      </w:r>
      <w:r>
        <w:t>proportion of the</w:t>
      </w:r>
      <w:r w:rsidRPr="00CC7E24">
        <w:t xml:space="preserve"> target population </w:t>
      </w:r>
      <w:r>
        <w:t>is</w:t>
      </w:r>
      <w:r w:rsidRPr="00CC7E24">
        <w:t xml:space="preserve"> excluded from the survey population. Exclusions from the survey population are:</w:t>
      </w:r>
    </w:p>
    <w:p w:rsidR="0089511D" w:rsidRPr="00BD09EF" w:rsidRDefault="0089511D" w:rsidP="00095D83">
      <w:pPr>
        <w:pStyle w:val="Bullet"/>
      </w:pPr>
      <w:r>
        <w:t>s</w:t>
      </w:r>
      <w:r w:rsidRPr="00CC7E24">
        <w:t xml:space="preserve">pecific types of non-private dwellings (prisons, hospitals, hospices, dementia care </w:t>
      </w:r>
      <w:r w:rsidRPr="00BD09EF">
        <w:t xml:space="preserve">units and hospital-level care in aged-care </w:t>
      </w:r>
      <w:r>
        <w:t>facilities</w:t>
      </w:r>
      <w:r w:rsidRPr="00BD09EF">
        <w:t>)</w:t>
      </w:r>
    </w:p>
    <w:p w:rsidR="0089511D" w:rsidRPr="00750952" w:rsidRDefault="0089511D" w:rsidP="00095D83">
      <w:pPr>
        <w:pStyle w:val="Bullet"/>
      </w:pPr>
      <w:proofErr w:type="gramStart"/>
      <w:r w:rsidRPr="00BD09EF">
        <w:rPr>
          <w:szCs w:val="24"/>
        </w:rPr>
        <w:t>households</w:t>
      </w:r>
      <w:proofErr w:type="gramEnd"/>
      <w:r w:rsidRPr="00BD09EF">
        <w:rPr>
          <w:szCs w:val="24"/>
        </w:rPr>
        <w:t xml:space="preserve"> in remote areas, including </w:t>
      </w:r>
      <w:r w:rsidRPr="009D18D7">
        <w:t>areas (</w:t>
      </w:r>
      <w:proofErr w:type="spellStart"/>
      <w:r w:rsidRPr="009D18D7">
        <w:t>meshblocks</w:t>
      </w:r>
      <w:proofErr w:type="spellEnd"/>
      <w:r w:rsidRPr="009D18D7">
        <w:t xml:space="preserve">) with fewer than </w:t>
      </w:r>
      <w:r>
        <w:t>six</w:t>
      </w:r>
      <w:r w:rsidRPr="009D18D7">
        <w:t xml:space="preserve"> occupied dwellings</w:t>
      </w:r>
      <w:r>
        <w:t xml:space="preserve"> and</w:t>
      </w:r>
      <w:r w:rsidRPr="009D18D7">
        <w:t xml:space="preserve"> tho</w:t>
      </w:r>
      <w:r w:rsidRPr="00750952">
        <w:t>se located off the main islands of New Zealand.</w:t>
      </w:r>
    </w:p>
    <w:p w:rsidR="0089511D" w:rsidRDefault="0089511D" w:rsidP="00095D83"/>
    <w:p w:rsidR="0089511D" w:rsidRDefault="0089511D" w:rsidP="00095D83">
      <w:r>
        <w:t xml:space="preserve">Included in the survey population are people </w:t>
      </w:r>
      <w:r w:rsidRPr="00CC7E24">
        <w:t xml:space="preserve">living </w:t>
      </w:r>
      <w:r w:rsidRPr="00F31E3E">
        <w:t>in aged-care facilities (rest homes)</w:t>
      </w:r>
      <w:r>
        <w:t xml:space="preserve"> </w:t>
      </w:r>
      <w:r w:rsidRPr="00CC7E24">
        <w:t xml:space="preserve">and </w:t>
      </w:r>
      <w:r>
        <w:t xml:space="preserve">those temporarily living away from their household in </w:t>
      </w:r>
      <w:r w:rsidRPr="00CC7E24">
        <w:t>student accommodation</w:t>
      </w:r>
      <w:r>
        <w:t xml:space="preserve"> </w:t>
      </w:r>
      <w:r w:rsidRPr="00F31E3E">
        <w:t>(university hostels and boarding schools).</w:t>
      </w:r>
    </w:p>
    <w:p w:rsidR="0089511D" w:rsidRPr="00CC7E24" w:rsidRDefault="0089511D" w:rsidP="00095D83"/>
    <w:p w:rsidR="0089511D" w:rsidRPr="00CC7E24" w:rsidRDefault="0089511D" w:rsidP="00095D83">
      <w:pPr>
        <w:pStyle w:val="Heading2"/>
      </w:pPr>
      <w:bookmarkStart w:id="70" w:name="_Toc335133105"/>
      <w:bookmarkStart w:id="71" w:name="_Toc339270005"/>
      <w:bookmarkStart w:id="72" w:name="_Toc340501929"/>
      <w:bookmarkStart w:id="73" w:name="_Toc372445549"/>
      <w:bookmarkStart w:id="74" w:name="_Toc403044003"/>
      <w:bookmarkStart w:id="75" w:name="_Toc434934508"/>
      <w:bookmarkStart w:id="76" w:name="_Toc435643002"/>
      <w:r w:rsidRPr="00CC7E24">
        <w:lastRenderedPageBreak/>
        <w:t>Sample design</w:t>
      </w:r>
      <w:bookmarkEnd w:id="70"/>
      <w:bookmarkEnd w:id="71"/>
      <w:bookmarkEnd w:id="72"/>
      <w:bookmarkEnd w:id="73"/>
      <w:bookmarkEnd w:id="74"/>
      <w:bookmarkEnd w:id="75"/>
      <w:bookmarkEnd w:id="76"/>
    </w:p>
    <w:p w:rsidR="00095D83" w:rsidRDefault="0089511D" w:rsidP="00095D83">
      <w:pPr>
        <w:keepNext/>
      </w:pPr>
      <w:r w:rsidRPr="00CC7E24">
        <w:t xml:space="preserve">The sample design for the NZHS has been developed by the </w:t>
      </w:r>
      <w:r>
        <w:t>National Institute for Applied Statistics Research Australia (NIASRA)</w:t>
      </w:r>
      <w:r w:rsidRPr="00CC7E24">
        <w:t>, University of Wollongong, Australia.</w:t>
      </w:r>
      <w:r>
        <w:t xml:space="preserve"> For an overview of the sample design, see Clark et al (2013). For m</w:t>
      </w:r>
      <w:r w:rsidRPr="00CC7E24">
        <w:t xml:space="preserve">ore details on </w:t>
      </w:r>
      <w:r>
        <w:t xml:space="preserve">how </w:t>
      </w:r>
      <w:r w:rsidRPr="00CC7E24">
        <w:t xml:space="preserve">the sample size </w:t>
      </w:r>
      <w:r>
        <w:t xml:space="preserve">was </w:t>
      </w:r>
      <w:r w:rsidRPr="00CC7E24">
        <w:t>determin</w:t>
      </w:r>
      <w:r>
        <w:t>ed</w:t>
      </w:r>
      <w:r w:rsidRPr="00CC7E24">
        <w:t xml:space="preserve"> and the sample design for the first three years of the survey</w:t>
      </w:r>
      <w:r>
        <w:t>, see</w:t>
      </w:r>
      <w:r w:rsidRPr="00CC7E24">
        <w:t xml:space="preserve"> </w:t>
      </w:r>
      <w:r w:rsidRPr="00DB0C71">
        <w:rPr>
          <w:i/>
        </w:rPr>
        <w:t>The New Zealand Health Survey: Sample design, years 1–3 (2011–2013)</w:t>
      </w:r>
      <w:r>
        <w:t xml:space="preserve"> (Ministry of Health 2011)</w:t>
      </w:r>
      <w:r w:rsidRPr="00FC3529">
        <w:t>.</w:t>
      </w:r>
    </w:p>
    <w:p w:rsidR="0089511D" w:rsidRPr="00CC7E24" w:rsidRDefault="0089511D" w:rsidP="00095D83">
      <w:pPr>
        <w:keepNext/>
      </w:pPr>
    </w:p>
    <w:p w:rsidR="0089511D" w:rsidRPr="00CC7E24" w:rsidRDefault="0089511D" w:rsidP="00095D83">
      <w:pPr>
        <w:pStyle w:val="Heading3"/>
      </w:pPr>
      <w:bookmarkStart w:id="77" w:name="_Toc199225777"/>
      <w:bookmarkStart w:id="78" w:name="_Toc201042981"/>
      <w:bookmarkStart w:id="79" w:name="_Toc335133107"/>
      <w:bookmarkStart w:id="80" w:name="_Toc339270006"/>
      <w:r w:rsidRPr="00CC7E24">
        <w:t>Sample selection</w:t>
      </w:r>
      <w:bookmarkEnd w:id="77"/>
      <w:bookmarkEnd w:id="78"/>
      <w:bookmarkEnd w:id="79"/>
      <w:bookmarkEnd w:id="80"/>
    </w:p>
    <w:p w:rsidR="0089511D" w:rsidRPr="00CC7E24" w:rsidRDefault="0089511D" w:rsidP="00095D83">
      <w:r w:rsidRPr="00CC7E24">
        <w:t>The NZHS has a multi-stage, stratified, probability-proportional-to-size</w:t>
      </w:r>
      <w:r>
        <w:t xml:space="preserve"> </w:t>
      </w:r>
      <w:r w:rsidRPr="00CC7E24">
        <w:t>(PPS) sampling design. The survey is designed to yield an annual sample size of approximately 13,000 adults and 4500</w:t>
      </w:r>
      <w:r>
        <w:t> </w:t>
      </w:r>
      <w:r w:rsidRPr="00CC7E24">
        <w:t>children.</w:t>
      </w:r>
    </w:p>
    <w:p w:rsidR="0089511D" w:rsidRPr="00CC7E24" w:rsidRDefault="0089511D" w:rsidP="00095D83"/>
    <w:p w:rsidR="0089511D" w:rsidRPr="00CC7E24" w:rsidRDefault="0089511D" w:rsidP="00095D83">
      <w:r w:rsidRPr="00CC7E24">
        <w:t>A dual frame approach has been used</w:t>
      </w:r>
      <w:r>
        <w:t>,</w:t>
      </w:r>
      <w:r w:rsidRPr="00CC7E24">
        <w:t xml:space="preserve"> where</w:t>
      </w:r>
      <w:r>
        <w:t>by</w:t>
      </w:r>
      <w:r w:rsidRPr="00CC7E24">
        <w:t xml:space="preserve"> participants are selected from an area-based sample and a list-based electoral roll sample. The aim of this approach is to increase the sample sizes for Māori, Pacific and Asian ethnic groups.</w:t>
      </w:r>
    </w:p>
    <w:p w:rsidR="0089511D" w:rsidRPr="00CC7E24" w:rsidRDefault="0089511D" w:rsidP="00095D83"/>
    <w:p w:rsidR="0089511D" w:rsidRPr="00CC7E24" w:rsidRDefault="0089511D" w:rsidP="00095D83">
      <w:pPr>
        <w:pStyle w:val="Heading3"/>
      </w:pPr>
      <w:r w:rsidRPr="00CC7E24">
        <w:t>Area-based sample</w:t>
      </w:r>
    </w:p>
    <w:p w:rsidR="0089511D" w:rsidRPr="00CC7E24" w:rsidRDefault="0089511D" w:rsidP="00095D83">
      <w:proofErr w:type="spellStart"/>
      <w:r w:rsidRPr="00CC7E24">
        <w:t>Meshblocks</w:t>
      </w:r>
      <w:proofErr w:type="spellEnd"/>
      <w:r w:rsidRPr="00CC7E24">
        <w:t xml:space="preserve"> are the primary sampling units for the area-based sample. The geography and Census data for these </w:t>
      </w:r>
      <w:proofErr w:type="spellStart"/>
      <w:r w:rsidRPr="00CC7E24">
        <w:t>meshblocks</w:t>
      </w:r>
      <w:proofErr w:type="spellEnd"/>
      <w:r w:rsidRPr="00CC7E24">
        <w:t xml:space="preserve"> are readily ava</w:t>
      </w:r>
      <w:r>
        <w:t>ilable and have been used in</w:t>
      </w:r>
      <w:r w:rsidRPr="00CC7E24">
        <w:t xml:space="preserve"> previous </w:t>
      </w:r>
      <w:r>
        <w:t>New Zealand Health Surveys</w:t>
      </w:r>
      <w:r w:rsidRPr="00CC7E24">
        <w:t>.</w:t>
      </w:r>
      <w:r>
        <w:t xml:space="preserve"> </w:t>
      </w:r>
      <w:r w:rsidRPr="00CC7E24">
        <w:t>The area-based sample is targeted at the ethnic groups of interest by assigning higher probabilities of selection to areas (</w:t>
      </w:r>
      <w:proofErr w:type="spellStart"/>
      <w:r w:rsidRPr="00CC7E24">
        <w:t>meshblocks</w:t>
      </w:r>
      <w:proofErr w:type="spellEnd"/>
      <w:r w:rsidRPr="00CC7E24">
        <w:t xml:space="preserve">) </w:t>
      </w:r>
      <w:r>
        <w:t>in which</w:t>
      </w:r>
      <w:r w:rsidRPr="00CC7E24">
        <w:t xml:space="preserve"> these groups</w:t>
      </w:r>
      <w:r>
        <w:t xml:space="preserve"> are more concentrated</w:t>
      </w:r>
      <w:r w:rsidRPr="00CC7E24">
        <w:t>.</w:t>
      </w:r>
    </w:p>
    <w:p w:rsidR="0089511D" w:rsidRPr="00CC7E24" w:rsidRDefault="0089511D" w:rsidP="00095D83"/>
    <w:p w:rsidR="0089511D" w:rsidRPr="00CC7E24" w:rsidRDefault="0089511D" w:rsidP="00095D83">
      <w:proofErr w:type="spellStart"/>
      <w:r w:rsidRPr="00CC7E24">
        <w:t>Meshblocks</w:t>
      </w:r>
      <w:proofErr w:type="spellEnd"/>
      <w:r w:rsidRPr="00CC7E24">
        <w:t xml:space="preserve"> vary considerably in size and are therefore selected by PPS design. </w:t>
      </w:r>
      <w:r>
        <w:t>Through the</w:t>
      </w:r>
      <w:r w:rsidRPr="00CC7E24">
        <w:t xml:space="preserve"> PPS</w:t>
      </w:r>
      <w:r>
        <w:t xml:space="preserve"> approach,</w:t>
      </w:r>
      <w:r w:rsidRPr="00CC7E24">
        <w:t xml:space="preserve"> larger </w:t>
      </w:r>
      <w:proofErr w:type="spellStart"/>
      <w:r w:rsidRPr="00CC7E24">
        <w:t>meshblocks</w:t>
      </w:r>
      <w:proofErr w:type="spellEnd"/>
      <w:r w:rsidRPr="00CC7E24">
        <w:t xml:space="preserve"> have </w:t>
      </w:r>
      <w:r>
        <w:t>a higher</w:t>
      </w:r>
      <w:r w:rsidRPr="00CC7E24">
        <w:t xml:space="preserve"> chance </w:t>
      </w:r>
      <w:r>
        <w:t xml:space="preserve">of being selected for </w:t>
      </w:r>
      <w:r w:rsidRPr="00CC7E24">
        <w:t>the sample. This approach is then modified to give higher probabilities for households in areas where Māori, Pacific or Asian people</w:t>
      </w:r>
      <w:r>
        <w:t>s</w:t>
      </w:r>
      <w:r w:rsidRPr="00CC7E24">
        <w:t xml:space="preserve"> are more prevalent.</w:t>
      </w:r>
    </w:p>
    <w:p w:rsidR="0089511D" w:rsidRPr="00CC7E24" w:rsidRDefault="0089511D" w:rsidP="00095D83"/>
    <w:p w:rsidR="00095D83" w:rsidRDefault="0089511D" w:rsidP="00095D83">
      <w:r w:rsidRPr="00CC7E24">
        <w:t>A three-stage selection process is used to achieve the area-based sample.</w:t>
      </w:r>
      <w:r>
        <w:t xml:space="preserve"> </w:t>
      </w:r>
      <w:r w:rsidRPr="00CC7E24">
        <w:t xml:space="preserve">First, a sample of area </w:t>
      </w:r>
      <w:proofErr w:type="spellStart"/>
      <w:r w:rsidRPr="00CC7E24">
        <w:t>meshblocks</w:t>
      </w:r>
      <w:proofErr w:type="spellEnd"/>
      <w:r w:rsidRPr="00CC7E24">
        <w:t xml:space="preserve"> is selected within each </w:t>
      </w:r>
      <w:r>
        <w:t>d</w:t>
      </w:r>
      <w:r w:rsidRPr="00CC7E24">
        <w:t xml:space="preserve">istrict </w:t>
      </w:r>
      <w:r>
        <w:t>h</w:t>
      </w:r>
      <w:r w:rsidRPr="00CC7E24">
        <w:t xml:space="preserve">ealth </w:t>
      </w:r>
      <w:r>
        <w:t>b</w:t>
      </w:r>
      <w:r w:rsidRPr="00CC7E24">
        <w:t xml:space="preserve">oard (DHB) area. Each </w:t>
      </w:r>
      <w:proofErr w:type="spellStart"/>
      <w:r w:rsidRPr="00CC7E24">
        <w:t>meshblock</w:t>
      </w:r>
      <w:proofErr w:type="spellEnd"/>
      <w:r w:rsidRPr="00CC7E24">
        <w:t xml:space="preserve"> is assigned a quarter (of the year) in which it will be surveyed.</w:t>
      </w:r>
    </w:p>
    <w:p w:rsidR="0089511D" w:rsidRDefault="0089511D" w:rsidP="00095D83"/>
    <w:p w:rsidR="0089511D" w:rsidRPr="00095D83" w:rsidRDefault="0089511D" w:rsidP="00095D83">
      <w:pPr>
        <w:rPr>
          <w:spacing w:val="-2"/>
        </w:rPr>
      </w:pPr>
      <w:r w:rsidRPr="00095D83">
        <w:rPr>
          <w:spacing w:val="-2"/>
        </w:rPr>
        <w:t xml:space="preserve">Second, a list of households is compiled for each selected </w:t>
      </w:r>
      <w:proofErr w:type="spellStart"/>
      <w:r w:rsidRPr="00095D83">
        <w:rPr>
          <w:spacing w:val="-2"/>
        </w:rPr>
        <w:t>meshblock</w:t>
      </w:r>
      <w:proofErr w:type="spellEnd"/>
      <w:r w:rsidRPr="00095D83">
        <w:rPr>
          <w:spacing w:val="-2"/>
        </w:rPr>
        <w:t xml:space="preserve">. A systematic sample of approximately 20 households is selected from this list by choosing a random start and selecting every </w:t>
      </w:r>
      <w:proofErr w:type="spellStart"/>
      <w:r w:rsidRPr="00095D83">
        <w:rPr>
          <w:i/>
          <w:spacing w:val="-2"/>
        </w:rPr>
        <w:t>k</w:t>
      </w:r>
      <w:r w:rsidRPr="00095D83">
        <w:rPr>
          <w:spacing w:val="-2"/>
          <w:vertAlign w:val="superscript"/>
        </w:rPr>
        <w:t>th</w:t>
      </w:r>
      <w:proofErr w:type="spellEnd"/>
      <w:r w:rsidRPr="00095D83">
        <w:rPr>
          <w:spacing w:val="-2"/>
        </w:rPr>
        <w:t xml:space="preserve"> household. The skip </w:t>
      </w:r>
      <w:r w:rsidRPr="00095D83">
        <w:rPr>
          <w:i/>
          <w:spacing w:val="-2"/>
        </w:rPr>
        <w:t>k</w:t>
      </w:r>
      <w:r w:rsidRPr="00095D83">
        <w:rPr>
          <w:spacing w:val="-2"/>
        </w:rPr>
        <w:t xml:space="preserve"> is calculated by the frame occupied dwellings count divided by 20.</w:t>
      </w:r>
    </w:p>
    <w:p w:rsidR="0089511D" w:rsidRDefault="0089511D" w:rsidP="00095D83"/>
    <w:p w:rsidR="0089511D" w:rsidRPr="00CC7E24" w:rsidRDefault="0089511D" w:rsidP="00095D83">
      <w:r w:rsidRPr="00CC7E24">
        <w:t xml:space="preserve">Finally, one adult (aged 15 years </w:t>
      </w:r>
      <w:r>
        <w:t>or</w:t>
      </w:r>
      <w:r w:rsidRPr="00CC7E24">
        <w:t xml:space="preserve"> over) and one child (aged from birth to 14</w:t>
      </w:r>
      <w:r>
        <w:t> </w:t>
      </w:r>
      <w:r w:rsidRPr="00CC7E24">
        <w:t>years, if any</w:t>
      </w:r>
      <w:r>
        <w:t xml:space="preserve"> in the household</w:t>
      </w:r>
      <w:r w:rsidRPr="00CC7E24">
        <w:t>) are selected at random from each selected household.</w:t>
      </w:r>
    </w:p>
    <w:p w:rsidR="0089511D" w:rsidRDefault="0089511D" w:rsidP="00095D83"/>
    <w:p w:rsidR="0089511D" w:rsidRPr="00F31E3E" w:rsidRDefault="0089511D" w:rsidP="00095D83">
      <w:r w:rsidRPr="00F31E3E">
        <w:t>Any aged</w:t>
      </w:r>
      <w:r>
        <w:t>-</w:t>
      </w:r>
      <w:r w:rsidRPr="00F31E3E">
        <w:t xml:space="preserve">care facilities in the selected </w:t>
      </w:r>
      <w:proofErr w:type="spellStart"/>
      <w:r w:rsidRPr="00F31E3E">
        <w:t>meshblocks</w:t>
      </w:r>
      <w:proofErr w:type="spellEnd"/>
      <w:r w:rsidRPr="00F31E3E">
        <w:t xml:space="preserve"> are included in the area-based sample by first dividing them into </w:t>
      </w:r>
      <w:r w:rsidR="00095D83">
        <w:t>‘</w:t>
      </w:r>
      <w:r w:rsidRPr="00F31E3E">
        <w:t>accommodation units</w:t>
      </w:r>
      <w:r w:rsidR="00095D83">
        <w:t>’</w:t>
      </w:r>
      <w:r w:rsidRPr="00F31E3E">
        <w:t>, typically consisting of an individual or couple living together in the institution. Accommodation units are then treated as households in the sampling process, although at most five accommodation units are selected from a single facility.</w:t>
      </w:r>
    </w:p>
    <w:p w:rsidR="0089511D" w:rsidRPr="00F31E3E" w:rsidRDefault="0089511D" w:rsidP="00095D83"/>
    <w:p w:rsidR="0089511D" w:rsidRDefault="0089511D" w:rsidP="00095D83">
      <w:r w:rsidRPr="00F31E3E">
        <w:t>Students living away from home in university hostels and boarding schools are eligible to be selected via their family</w:t>
      </w:r>
      <w:r w:rsidR="00095D83">
        <w:t>’</w:t>
      </w:r>
      <w:r w:rsidRPr="00F31E3E">
        <w:t xml:space="preserve">s house, if they still consider this to be their home. </w:t>
      </w:r>
      <w:r>
        <w:t>If selected, a</w:t>
      </w:r>
      <w:r w:rsidRPr="00F31E3E">
        <w:t>rrangements are made to survey them either when they are next at home or at their student accommodation.</w:t>
      </w:r>
    </w:p>
    <w:p w:rsidR="0089511D" w:rsidRPr="00CC7E24" w:rsidRDefault="0089511D" w:rsidP="00095D83"/>
    <w:p w:rsidR="0089511D" w:rsidRPr="00CC7E24" w:rsidRDefault="0089511D" w:rsidP="00095D83">
      <w:pPr>
        <w:pStyle w:val="Heading4"/>
      </w:pPr>
      <w:r w:rsidRPr="00CC7E24">
        <w:lastRenderedPageBreak/>
        <w:t>Electoral roll sample</w:t>
      </w:r>
    </w:p>
    <w:p w:rsidR="0089511D" w:rsidRPr="00CC7E24" w:rsidRDefault="0089511D" w:rsidP="00095D83">
      <w:r w:rsidRPr="00CC7E24">
        <w:t>The electoral roll is another sampl</w:t>
      </w:r>
      <w:r>
        <w:t>ing</w:t>
      </w:r>
      <w:r w:rsidRPr="00CC7E24">
        <w:t xml:space="preserve"> frame used to increase the sample size of the Māori ethnic group. The electoral roll is used to select a sample of addresses where a person has self-identified as having Māori ancestry. A copy of the electoral roll is obtained quarterly for this purpose.</w:t>
      </w:r>
    </w:p>
    <w:p w:rsidR="0089511D" w:rsidRPr="00CC7E24" w:rsidRDefault="0089511D" w:rsidP="00095D83"/>
    <w:p w:rsidR="0089511D" w:rsidRPr="00CC7E24" w:rsidRDefault="0089511D" w:rsidP="00095D83">
      <w:r w:rsidRPr="00CC7E24">
        <w:t xml:space="preserve">Stratified three-stage sampling is used to select the sample from the electoral roll. The first stage involves selecting a sample of </w:t>
      </w:r>
      <w:proofErr w:type="spellStart"/>
      <w:r w:rsidRPr="00CC7E24">
        <w:t>meshblocks</w:t>
      </w:r>
      <w:proofErr w:type="spellEnd"/>
      <w:r w:rsidRPr="00CC7E24">
        <w:t xml:space="preserve"> within each stratum (DHB), with probability proportional to the number of addresses on the electoral roll </w:t>
      </w:r>
      <w:r>
        <w:t>containing at least one person who has self-identified as having Māori ancestry</w:t>
      </w:r>
      <w:r w:rsidRPr="00CC7E24">
        <w:t xml:space="preserve">. The sample of </w:t>
      </w:r>
      <w:proofErr w:type="spellStart"/>
      <w:r w:rsidRPr="00CC7E24">
        <w:t>meshblocks</w:t>
      </w:r>
      <w:proofErr w:type="spellEnd"/>
      <w:r w:rsidRPr="00CC7E24">
        <w:t xml:space="preserve"> is selected so that it does not overlap with the sample from the area-based sample.</w:t>
      </w:r>
      <w:r>
        <w:t xml:space="preserve"> </w:t>
      </w:r>
      <w:r w:rsidRPr="00CC7E24">
        <w:t>The second stage involves selecting a random sample of 10 addresses</w:t>
      </w:r>
      <w:r>
        <w:t xml:space="preserve"> (from the list of households where any person has self-identified as having Māori ancestry) </w:t>
      </w:r>
      <w:r w:rsidRPr="00CC7E24">
        <w:t xml:space="preserve">from each selected </w:t>
      </w:r>
      <w:proofErr w:type="spellStart"/>
      <w:r w:rsidRPr="00CC7E24">
        <w:t>meshblock</w:t>
      </w:r>
      <w:proofErr w:type="spellEnd"/>
      <w:r w:rsidRPr="00CC7E24">
        <w:t xml:space="preserve"> (or all addresses, if </w:t>
      </w:r>
      <w:r>
        <w:t>fewer</w:t>
      </w:r>
      <w:r w:rsidRPr="00CC7E24">
        <w:t xml:space="preserve"> than 10). Finally, one adult (aged 15 years </w:t>
      </w:r>
      <w:r>
        <w:t>or</w:t>
      </w:r>
      <w:r w:rsidRPr="00CC7E24">
        <w:t xml:space="preserve"> over) and one child (aged from birth to 14 years, if any</w:t>
      </w:r>
      <w:r>
        <w:t xml:space="preserve"> in the household</w:t>
      </w:r>
      <w:r w:rsidRPr="00CC7E24">
        <w:t xml:space="preserve">) </w:t>
      </w:r>
      <w:r>
        <w:t>are</w:t>
      </w:r>
      <w:r w:rsidRPr="00CC7E24">
        <w:t xml:space="preserve"> selected at random </w:t>
      </w:r>
      <w:r w:rsidRPr="00BD09EF">
        <w:t>from each selected address</w:t>
      </w:r>
      <w:r w:rsidRPr="00CC7E24">
        <w:t>.</w:t>
      </w:r>
    </w:p>
    <w:p w:rsidR="0089511D" w:rsidRPr="00CC7E24" w:rsidRDefault="0089511D" w:rsidP="00095D83"/>
    <w:p w:rsidR="0089511D" w:rsidRDefault="0089511D" w:rsidP="00095D83">
      <w:r w:rsidRPr="00CC7E24">
        <w:t xml:space="preserve">The electoral roll is used in order to increase the recruitment rate of Māori into the sample. However, the process </w:t>
      </w:r>
      <w:r>
        <w:t xml:space="preserve">of contacting </w:t>
      </w:r>
      <w:r w:rsidRPr="00CC7E24">
        <w:t>household</w:t>
      </w:r>
      <w:r>
        <w:t>s</w:t>
      </w:r>
      <w:r w:rsidRPr="00CC7E24">
        <w:t xml:space="preserve"> and selecti</w:t>
      </w:r>
      <w:r>
        <w:t>ng</w:t>
      </w:r>
      <w:r w:rsidRPr="00CC7E24">
        <w:t xml:space="preserve"> an adult and child is exactly </w:t>
      </w:r>
      <w:r>
        <w:t xml:space="preserve">the same as </w:t>
      </w:r>
      <w:r w:rsidRPr="00CC7E24">
        <w:t>for the area-based sample. In particular, the adult and child (if any</w:t>
      </w:r>
      <w:r>
        <w:t xml:space="preserve"> in the household</w:t>
      </w:r>
      <w:r w:rsidRPr="00CC7E24">
        <w:t>) randomly selected into the survey can be Māori or non-Māori. This</w:t>
      </w:r>
      <w:r>
        <w:t xml:space="preserve"> approach</w:t>
      </w:r>
      <w:r w:rsidRPr="00CC7E24">
        <w:t xml:space="preserve"> ensures that probabilities of selection can be correctly calculated for all respondents.</w:t>
      </w:r>
    </w:p>
    <w:p w:rsidR="0089511D" w:rsidRPr="00CC7E24" w:rsidRDefault="0089511D" w:rsidP="00095D83"/>
    <w:p w:rsidR="0089511D" w:rsidRPr="00CC7E24" w:rsidRDefault="0089511D" w:rsidP="00095D83">
      <w:pPr>
        <w:pStyle w:val="Heading1"/>
      </w:pPr>
      <w:r w:rsidRPr="00CC7E24">
        <w:br w:type="page"/>
      </w:r>
      <w:bookmarkStart w:id="81" w:name="_Toc340501930"/>
      <w:bookmarkStart w:id="82" w:name="_Toc372445550"/>
      <w:bookmarkStart w:id="83" w:name="_Toc403044004"/>
      <w:bookmarkStart w:id="84" w:name="_Toc434934509"/>
      <w:bookmarkStart w:id="85" w:name="_Toc435643003"/>
      <w:bookmarkStart w:id="86" w:name="_Toc199225799"/>
      <w:bookmarkStart w:id="87" w:name="_Toc201043003"/>
      <w:bookmarkEnd w:id="49"/>
      <w:r w:rsidRPr="00CC7E24">
        <w:lastRenderedPageBreak/>
        <w:t xml:space="preserve">Section 4: Data </w:t>
      </w:r>
      <w:r>
        <w:t>c</w:t>
      </w:r>
      <w:r w:rsidRPr="00CC7E24">
        <w:t>ollection</w:t>
      </w:r>
      <w:bookmarkEnd w:id="81"/>
      <w:bookmarkEnd w:id="82"/>
      <w:bookmarkEnd w:id="83"/>
      <w:bookmarkEnd w:id="84"/>
      <w:bookmarkEnd w:id="85"/>
    </w:p>
    <w:p w:rsidR="00095D83" w:rsidRDefault="0089511D" w:rsidP="00095D83">
      <w:r w:rsidRPr="00CC7E24">
        <w:t xml:space="preserve">Data for the NZHS </w:t>
      </w:r>
      <w:r>
        <w:t xml:space="preserve">are collected </w:t>
      </w:r>
      <w:r w:rsidRPr="00CC7E24">
        <w:t>by CBG Health Research Ltd (CBG). The CBG interview team consists of approximately 35 professional social research interviewers.</w:t>
      </w:r>
    </w:p>
    <w:p w:rsidR="0089511D" w:rsidRDefault="0089511D" w:rsidP="00095D83"/>
    <w:p w:rsidR="00095D83" w:rsidRDefault="0089511D" w:rsidP="00095D83">
      <w:r w:rsidRPr="00CC7E24">
        <w:t xml:space="preserve">Interviews are conducted in </w:t>
      </w:r>
      <w:r>
        <w:t>participant</w:t>
      </w:r>
      <w:r w:rsidRPr="00CC7E24">
        <w:t>s</w:t>
      </w:r>
      <w:r w:rsidR="00095D83">
        <w:t>’</w:t>
      </w:r>
      <w:r w:rsidRPr="00CC7E24">
        <w:t xml:space="preserve"> ho</w:t>
      </w:r>
      <w:r>
        <w:t>mes, with the interviewer entering</w:t>
      </w:r>
      <w:r w:rsidRPr="00CC7E24">
        <w:t xml:space="preserve"> responses directly into a laptop computer using </w:t>
      </w:r>
      <w:r>
        <w:t xml:space="preserve">The </w:t>
      </w:r>
      <w:r w:rsidRPr="00CC7E24">
        <w:t xml:space="preserve">Survey System </w:t>
      </w:r>
      <w:r>
        <w:t>c</w:t>
      </w:r>
      <w:r w:rsidRPr="00CC7E24">
        <w:t>omputer</w:t>
      </w:r>
      <w:r>
        <w:t>-a</w:t>
      </w:r>
      <w:r w:rsidRPr="00CC7E24">
        <w:t xml:space="preserve">ssisted </w:t>
      </w:r>
      <w:r>
        <w:t>p</w:t>
      </w:r>
      <w:r w:rsidRPr="00CC7E24">
        <w:t xml:space="preserve">ersonal </w:t>
      </w:r>
      <w:r>
        <w:t>i</w:t>
      </w:r>
      <w:r w:rsidRPr="00CC7E24">
        <w:t xml:space="preserve">nterview (CAPI) software. </w:t>
      </w:r>
      <w:r w:rsidR="00095D83">
        <w:t>‘</w:t>
      </w:r>
      <w:r w:rsidRPr="00CC7E24">
        <w:t>Show cards</w:t>
      </w:r>
      <w:r w:rsidR="00095D83">
        <w:t>’</w:t>
      </w:r>
      <w:r w:rsidRPr="00CC7E24">
        <w:t xml:space="preserve"> with predetermined response categories are used to assist respondents, where appropriate.</w:t>
      </w:r>
    </w:p>
    <w:p w:rsidR="0089511D" w:rsidRDefault="0089511D" w:rsidP="00095D83"/>
    <w:p w:rsidR="00095D83" w:rsidRDefault="0089511D" w:rsidP="00095D83">
      <w:r>
        <w:t>The 2014/15 adult module on Sexual and Reproductive Health was self-completed by the respondent. If the respondent was unable to use the laptop due to IT literacy or language issues, the module was skipped.</w:t>
      </w:r>
    </w:p>
    <w:p w:rsidR="0089511D" w:rsidRPr="00CC7E24" w:rsidRDefault="0089511D" w:rsidP="00095D83"/>
    <w:p w:rsidR="0089511D" w:rsidRDefault="0089511D" w:rsidP="00095D83">
      <w:pPr>
        <w:pStyle w:val="Heading2"/>
      </w:pPr>
      <w:bookmarkStart w:id="88" w:name="_Toc434934510"/>
      <w:bookmarkStart w:id="89" w:name="_Toc435643004"/>
      <w:r>
        <w:t>Pilot study</w:t>
      </w:r>
      <w:bookmarkEnd w:id="88"/>
      <w:bookmarkEnd w:id="89"/>
    </w:p>
    <w:p w:rsidR="0089511D" w:rsidRDefault="0089511D" w:rsidP="00095D83">
      <w:r w:rsidRPr="00CC7E24">
        <w:t xml:space="preserve">A </w:t>
      </w:r>
      <w:r>
        <w:t xml:space="preserve">pilot study </w:t>
      </w:r>
      <w:r w:rsidRPr="00CC7E24">
        <w:t xml:space="preserve">was carried out </w:t>
      </w:r>
      <w:r>
        <w:t>with 100 respondents from</w:t>
      </w:r>
      <w:r w:rsidRPr="00CC7E24">
        <w:t xml:space="preserve"> </w:t>
      </w:r>
      <w:r>
        <w:t>11</w:t>
      </w:r>
      <w:r w:rsidRPr="00CC7E24">
        <w:t xml:space="preserve"> </w:t>
      </w:r>
      <w:proofErr w:type="spellStart"/>
      <w:r w:rsidRPr="00CC7E24">
        <w:t>meshblocks</w:t>
      </w:r>
      <w:proofErr w:type="spellEnd"/>
      <w:r w:rsidRPr="00CC7E24">
        <w:t xml:space="preserve"> in</w:t>
      </w:r>
      <w:r>
        <w:t xml:space="preserve"> </w:t>
      </w:r>
      <w:r w:rsidRPr="00CC7E24">
        <w:t>Auckland</w:t>
      </w:r>
      <w:r>
        <w:t>,</w:t>
      </w:r>
      <w:r w:rsidRPr="00CC7E24">
        <w:t xml:space="preserve"> </w:t>
      </w:r>
      <w:r>
        <w:t xml:space="preserve">Tauranga and </w:t>
      </w:r>
      <w:proofErr w:type="spellStart"/>
      <w:r>
        <w:t>Taranaki</w:t>
      </w:r>
      <w:proofErr w:type="spellEnd"/>
      <w:r>
        <w:t xml:space="preserve"> prior to the main data collection for the 2014/15 NZHS</w:t>
      </w:r>
      <w:r w:rsidRPr="00CC7E24">
        <w:t xml:space="preserve">. </w:t>
      </w:r>
      <w:r>
        <w:t>The p</w:t>
      </w:r>
      <w:r w:rsidRPr="00CC7E24">
        <w:t>urpose</w:t>
      </w:r>
      <w:r>
        <w:t xml:space="preserve"> of the pilot</w:t>
      </w:r>
      <w:r w:rsidRPr="00CC7E24">
        <w:t xml:space="preserve"> was to </w:t>
      </w:r>
      <w:r>
        <w:t xml:space="preserve">determine average survey timings for different groups and </w:t>
      </w:r>
      <w:r w:rsidRPr="00CC7E24">
        <w:t xml:space="preserve">refine the </w:t>
      </w:r>
      <w:r>
        <w:t xml:space="preserve">survey </w:t>
      </w:r>
      <w:r w:rsidRPr="00CC7E24">
        <w:t xml:space="preserve">instruments, </w:t>
      </w:r>
      <w:r>
        <w:t xml:space="preserve">materials, </w:t>
      </w:r>
      <w:r w:rsidRPr="00CC7E24">
        <w:t xml:space="preserve">operations and processes. No substantive changes were made </w:t>
      </w:r>
      <w:r>
        <w:t>following the pilot study.</w:t>
      </w:r>
    </w:p>
    <w:p w:rsidR="0089511D" w:rsidDel="009250D1" w:rsidRDefault="0089511D" w:rsidP="00095D83"/>
    <w:p w:rsidR="0089511D" w:rsidRPr="006E2538" w:rsidDel="009250D1" w:rsidRDefault="0089511D" w:rsidP="00095D83">
      <w:pPr>
        <w:pStyle w:val="Heading2"/>
      </w:pPr>
      <w:bookmarkStart w:id="90" w:name="_Toc404606731"/>
      <w:bookmarkStart w:id="91" w:name="_Toc434934511"/>
      <w:bookmarkStart w:id="92" w:name="_Toc435643005"/>
      <w:r w:rsidRPr="00CC7E24" w:rsidDel="009250D1">
        <w:t>Enumeration</w:t>
      </w:r>
      <w:bookmarkEnd w:id="90"/>
      <w:bookmarkEnd w:id="91"/>
      <w:bookmarkEnd w:id="92"/>
    </w:p>
    <w:p w:rsidR="0089511D" w:rsidRPr="00CC7E24" w:rsidDel="009250D1" w:rsidRDefault="0089511D" w:rsidP="00095D83">
      <w:r w:rsidRPr="00CC7E24" w:rsidDel="009250D1">
        <w:t>CBG identif</w:t>
      </w:r>
      <w:r w:rsidDel="009250D1">
        <w:t>ies</w:t>
      </w:r>
      <w:r w:rsidRPr="00CC7E24" w:rsidDel="009250D1">
        <w:t xml:space="preserve"> households from </w:t>
      </w:r>
      <w:proofErr w:type="spellStart"/>
      <w:r w:rsidRPr="00CC7E24" w:rsidDel="009250D1">
        <w:t>meshblocks</w:t>
      </w:r>
      <w:proofErr w:type="spellEnd"/>
      <w:r w:rsidRPr="00CC7E24" w:rsidDel="009250D1">
        <w:t xml:space="preserve"> selected for the survey using the NZ Post address database, which is obtained quarterly. Each area </w:t>
      </w:r>
      <w:proofErr w:type="spellStart"/>
      <w:r w:rsidRPr="00CC7E24" w:rsidDel="009250D1">
        <w:t>meshblock</w:t>
      </w:r>
      <w:proofErr w:type="spellEnd"/>
      <w:r w:rsidRPr="00CC7E24" w:rsidDel="009250D1">
        <w:t xml:space="preserve"> visited by an interviewer is re</w:t>
      </w:r>
      <w:r w:rsidRPr="00CC7E24" w:rsidDel="009250D1">
        <w:noBreakHyphen/>
        <w:t xml:space="preserve">enumerated in order to record new dwellings built and those removed since the last </w:t>
      </w:r>
      <w:r w:rsidDel="009250D1">
        <w:t>C</w:t>
      </w:r>
      <w:r w:rsidRPr="00CC7E24" w:rsidDel="009250D1">
        <w:t>ensus enumeration and release of the NZ Post address list. The details of new dwellings are entered into CBG</w:t>
      </w:r>
      <w:r w:rsidR="00095D83">
        <w:t>’</w:t>
      </w:r>
      <w:r w:rsidRPr="00CC7E24" w:rsidDel="009250D1">
        <w:t xml:space="preserve">s Sample Manager </w:t>
      </w:r>
      <w:proofErr w:type="gramStart"/>
      <w:r w:rsidRPr="00CC7E24" w:rsidDel="009250D1">
        <w:t>software</w:t>
      </w:r>
      <w:proofErr w:type="gramEnd"/>
      <w:r w:rsidRPr="00CC7E24" w:rsidDel="009250D1">
        <w:t xml:space="preserve"> while the interviewer is in the field, allowing these households to be included in the </w:t>
      </w:r>
      <w:r w:rsidDel="009250D1">
        <w:t xml:space="preserve">random selection process </w:t>
      </w:r>
      <w:r>
        <w:t>for</w:t>
      </w:r>
      <w:r w:rsidDel="009250D1">
        <w:t xml:space="preserve"> the</w:t>
      </w:r>
      <w:r w:rsidRPr="00CC7E24" w:rsidDel="009250D1">
        <w:t xml:space="preserve"> </w:t>
      </w:r>
      <w:proofErr w:type="spellStart"/>
      <w:r w:rsidRPr="00CC7E24" w:rsidDel="009250D1">
        <w:t>meshblock</w:t>
      </w:r>
      <w:proofErr w:type="spellEnd"/>
      <w:r w:rsidRPr="00CC7E24" w:rsidDel="009250D1">
        <w:t>.</w:t>
      </w:r>
    </w:p>
    <w:p w:rsidR="0089511D" w:rsidRPr="00CC7E24" w:rsidRDefault="0089511D" w:rsidP="00095D83"/>
    <w:p w:rsidR="0089511D" w:rsidRPr="00CC7E24" w:rsidRDefault="0089511D" w:rsidP="00095D83">
      <w:pPr>
        <w:pStyle w:val="Heading2"/>
      </w:pPr>
      <w:bookmarkStart w:id="93" w:name="_Toc404606732"/>
      <w:bookmarkStart w:id="94" w:name="_Toc434934512"/>
      <w:bookmarkStart w:id="95" w:name="_Toc435643006"/>
      <w:r w:rsidRPr="00CC7E24">
        <w:t>Invitation to participate</w:t>
      </w:r>
      <w:bookmarkEnd w:id="93"/>
      <w:bookmarkEnd w:id="94"/>
      <w:bookmarkEnd w:id="95"/>
    </w:p>
    <w:p w:rsidR="0089511D" w:rsidRPr="00CC7E24" w:rsidRDefault="0089511D" w:rsidP="00095D83">
      <w:r w:rsidRPr="00CC7E24">
        <w:t>The NZHS is voluntary, relying on the goodwill of participants, and consent is obtained without coercion or inducement.</w:t>
      </w:r>
      <w:r>
        <w:t xml:space="preserve"> </w:t>
      </w:r>
      <w:r w:rsidRPr="00CC7E24">
        <w:t>CBG</w:t>
      </w:r>
      <w:r>
        <w:t xml:space="preserve"> uses the NZ Post address database to </w:t>
      </w:r>
      <w:r w:rsidRPr="00CC7E24">
        <w:t xml:space="preserve">post each </w:t>
      </w:r>
      <w:r>
        <w:t xml:space="preserve">selected </w:t>
      </w:r>
      <w:r w:rsidRPr="00CC7E24">
        <w:t>household an invitation letter from the Ministry of Health</w:t>
      </w:r>
      <w:r>
        <w:t>,</w:t>
      </w:r>
      <w:r w:rsidRPr="00CC7E24">
        <w:t xml:space="preserve"> along with an information pamphlet about the NZHS. </w:t>
      </w:r>
      <w:r>
        <w:t>Interviewers take c</w:t>
      </w:r>
      <w:r w:rsidRPr="00CC7E24">
        <w:t xml:space="preserve">opies of the information pamphlet in </w:t>
      </w:r>
      <w:r w:rsidRPr="00A15D26">
        <w:t xml:space="preserve">11 languages </w:t>
      </w:r>
      <w:r w:rsidRPr="00CC7E24">
        <w:t xml:space="preserve">when </w:t>
      </w:r>
      <w:r>
        <w:t xml:space="preserve">they </w:t>
      </w:r>
      <w:r w:rsidRPr="00CC7E24">
        <w:t xml:space="preserve">subsequently visit households to seek </w:t>
      </w:r>
      <w:r>
        <w:t>people</w:t>
      </w:r>
      <w:r w:rsidR="00095D83">
        <w:t>’</w:t>
      </w:r>
      <w:r>
        <w:t xml:space="preserve">s </w:t>
      </w:r>
      <w:r w:rsidRPr="00CC7E24">
        <w:t>agreement to participat</w:t>
      </w:r>
      <w:r>
        <w:t>e in the survey</w:t>
      </w:r>
      <w:r w:rsidRPr="00CC7E24">
        <w:t>.</w:t>
      </w:r>
    </w:p>
    <w:p w:rsidR="0089511D" w:rsidRPr="00CC7E24" w:rsidRDefault="0089511D" w:rsidP="00095D83"/>
    <w:p w:rsidR="0089511D" w:rsidRDefault="0089511D" w:rsidP="00095D83">
      <w:r w:rsidRPr="00CC7E24">
        <w:t>One adult and one child (if any</w:t>
      </w:r>
      <w:r>
        <w:t xml:space="preserve"> in the household</w:t>
      </w:r>
      <w:r w:rsidRPr="00CC7E24">
        <w:t xml:space="preserve">) are randomly selected </w:t>
      </w:r>
      <w:r>
        <w:t xml:space="preserve">from each selected household </w:t>
      </w:r>
      <w:r w:rsidRPr="00CC7E24">
        <w:t>to take part in the survey using CBG</w:t>
      </w:r>
      <w:r w:rsidR="00095D83">
        <w:t>’</w:t>
      </w:r>
      <w:r w:rsidRPr="00CC7E24">
        <w:t xml:space="preserve">s Sample Manager </w:t>
      </w:r>
      <w:proofErr w:type="gramStart"/>
      <w:r w:rsidRPr="00CC7E24">
        <w:t>software</w:t>
      </w:r>
      <w:proofErr w:type="gramEnd"/>
      <w:r w:rsidRPr="00CC7E24">
        <w:t xml:space="preserve">. Participants are asked to sign an electronic consent form and are given a copy of the consent form to keep. </w:t>
      </w:r>
      <w:r>
        <w:t>The consent form requires the respondent to confirm that they have read and understood the information pamphlet and that they know they can ask questions at any time and can contact CBG or the Ministry of Health for further information. The consent form also states that:</w:t>
      </w:r>
    </w:p>
    <w:p w:rsidR="0089511D" w:rsidRDefault="0089511D" w:rsidP="00095D83">
      <w:pPr>
        <w:pStyle w:val="Bullet"/>
        <w:keepNext/>
      </w:pPr>
      <w:r>
        <w:lastRenderedPageBreak/>
        <w:t>the respondent can stop the interview at any time and they don</w:t>
      </w:r>
      <w:r w:rsidR="00095D83">
        <w:t>’</w:t>
      </w:r>
      <w:r>
        <w:t>t have to answer every question</w:t>
      </w:r>
    </w:p>
    <w:p w:rsidR="0089511D" w:rsidRDefault="0089511D" w:rsidP="00095D83">
      <w:pPr>
        <w:pStyle w:val="Bullet"/>
      </w:pPr>
      <w:r>
        <w:t>their participation is confidential and no identifiable information will be used in any reports</w:t>
      </w:r>
    </w:p>
    <w:p w:rsidR="0089511D" w:rsidRDefault="0089511D" w:rsidP="00095D83">
      <w:pPr>
        <w:pStyle w:val="Bullet"/>
      </w:pPr>
      <w:proofErr w:type="gramStart"/>
      <w:r>
        <w:t>their</w:t>
      </w:r>
      <w:proofErr w:type="gramEnd"/>
      <w:r>
        <w:t xml:space="preserve"> answers are protected by the Privacy Act 1993.</w:t>
      </w:r>
    </w:p>
    <w:p w:rsidR="0089511D" w:rsidRDefault="0089511D" w:rsidP="00095D83"/>
    <w:p w:rsidR="0089511D" w:rsidRDefault="0089511D" w:rsidP="00095D83">
      <w:r>
        <w:t>In 2014/15, adults aged 16–74 years were also provided with a separate information sheet relating to the Sexual and Reproductive Health module. This was presented before the consent form was signed and contained additional information relevant to the module.</w:t>
      </w:r>
    </w:p>
    <w:p w:rsidR="0089511D" w:rsidRDefault="0089511D" w:rsidP="00095D83"/>
    <w:p w:rsidR="0089511D" w:rsidRPr="00CC7E24" w:rsidRDefault="0089511D" w:rsidP="00095D83">
      <w:r w:rsidRPr="00CC7E24">
        <w:t xml:space="preserve">The consent form </w:t>
      </w:r>
      <w:r>
        <w:t xml:space="preserve">also </w:t>
      </w:r>
      <w:r w:rsidRPr="00CC7E24">
        <w:t>includes a request for an interpreter</w:t>
      </w:r>
      <w:r>
        <w:t>,</w:t>
      </w:r>
      <w:r w:rsidRPr="00CC7E24">
        <w:t xml:space="preserve"> if required (in </w:t>
      </w:r>
      <w:r>
        <w:t>any of a range of different</w:t>
      </w:r>
      <w:r w:rsidRPr="00CC7E24">
        <w:t xml:space="preserve"> languages)</w:t>
      </w:r>
      <w:r>
        <w:t>. The respondent may elect for a friend or family member (aged 15 years or over) to act as the interpreter during the survey, or else CBG arranges for a professional interpreter to be provided. A</w:t>
      </w:r>
      <w:r w:rsidRPr="00CC7E24">
        <w:t xml:space="preserve">ttempts are </w:t>
      </w:r>
      <w:r>
        <w:t xml:space="preserve">also </w:t>
      </w:r>
      <w:r w:rsidRPr="00CC7E24">
        <w:t xml:space="preserve">made to match respondents and </w:t>
      </w:r>
      <w:r>
        <w:t>interviewers</w:t>
      </w:r>
      <w:r w:rsidRPr="00CC7E24">
        <w:t xml:space="preserve"> by ethnicity and </w:t>
      </w:r>
      <w:r>
        <w:t>sex</w:t>
      </w:r>
      <w:r w:rsidRPr="00CC7E24">
        <w:t xml:space="preserve"> when requested.</w:t>
      </w:r>
    </w:p>
    <w:p w:rsidR="0089511D" w:rsidRDefault="0089511D" w:rsidP="00095D83"/>
    <w:p w:rsidR="00095D83" w:rsidRDefault="0089511D" w:rsidP="00095D83">
      <w:r>
        <w:t>Where a selected adult respondent is unable to provide consent themselves, a legal guardian is permitted to consent and complete the survey on their behalf if the legal guardian agrees to participate.</w:t>
      </w:r>
    </w:p>
    <w:p w:rsidR="0089511D" w:rsidRDefault="0089511D" w:rsidP="00095D83"/>
    <w:p w:rsidR="0089511D" w:rsidRPr="00CC7E24" w:rsidRDefault="0089511D" w:rsidP="00095D83">
      <w:r w:rsidRPr="00CC7E24">
        <w:t>Child interviews are conducted with a guardian/primary caregiver of the child; that is, a person who has day-to-day responsibility for the care of the child.</w:t>
      </w:r>
    </w:p>
    <w:p w:rsidR="0089511D" w:rsidRDefault="0089511D" w:rsidP="00095D83"/>
    <w:p w:rsidR="0089511D" w:rsidRPr="00CC7E24" w:rsidRDefault="0089511D" w:rsidP="00095D83">
      <w:r w:rsidRPr="00CC7E24">
        <w:t xml:space="preserve">All participants </w:t>
      </w:r>
      <w:r>
        <w:t>in</w:t>
      </w:r>
      <w:r w:rsidRPr="00CC7E24">
        <w:t xml:space="preserve"> the NZHS are given a thank you card and </w:t>
      </w:r>
      <w:r>
        <w:t xml:space="preserve">a </w:t>
      </w:r>
      <w:r w:rsidRPr="00CC7E24">
        <w:t xml:space="preserve">small token </w:t>
      </w:r>
      <w:r>
        <w:t xml:space="preserve">of appreciation, </w:t>
      </w:r>
      <w:r w:rsidRPr="00CC7E24">
        <w:t>such as a pen or fridge magnet</w:t>
      </w:r>
      <w:r>
        <w:t>,</w:t>
      </w:r>
      <w:r w:rsidRPr="00CC7E24">
        <w:t xml:space="preserve"> at the conclusion of the interview. The </w:t>
      </w:r>
      <w:r>
        <w:t xml:space="preserve">thank you </w:t>
      </w:r>
      <w:r w:rsidRPr="00CC7E24">
        <w:t xml:space="preserve">card contains a list of health and community organisations with </w:t>
      </w:r>
      <w:proofErr w:type="spellStart"/>
      <w:r w:rsidRPr="00CC7E24">
        <w:t>freephone</w:t>
      </w:r>
      <w:proofErr w:type="spellEnd"/>
      <w:r w:rsidRPr="00CC7E24">
        <w:t xml:space="preserve"> numbers </w:t>
      </w:r>
      <w:r>
        <w:t>that</w:t>
      </w:r>
      <w:r w:rsidRPr="00CC7E24">
        <w:t xml:space="preserve"> participant</w:t>
      </w:r>
      <w:r>
        <w:t>s can use</w:t>
      </w:r>
      <w:r w:rsidRPr="00CC7E24">
        <w:t xml:space="preserve"> if they </w:t>
      </w:r>
      <w:r>
        <w:t>would like</w:t>
      </w:r>
      <w:r w:rsidRPr="00CC7E24">
        <w:t xml:space="preserve"> to discuss any issues raised by their participation in the </w:t>
      </w:r>
      <w:r>
        <w:t>NZ</w:t>
      </w:r>
      <w:r w:rsidRPr="00CC7E24">
        <w:t>H</w:t>
      </w:r>
      <w:r>
        <w:t>S,</w:t>
      </w:r>
      <w:r w:rsidRPr="00CC7E24">
        <w:t xml:space="preserve"> or </w:t>
      </w:r>
      <w:r>
        <w:t xml:space="preserve">if they </w:t>
      </w:r>
      <w:r w:rsidRPr="00CC7E24">
        <w:t>need advice on a health issue.</w:t>
      </w:r>
      <w:r>
        <w:t xml:space="preserve"> Adult respondents who completed the Sexual and Reproductive Health module were also given a separate thank you card at the conclusion of the interview, listing support organisations relevant to the module content.</w:t>
      </w:r>
    </w:p>
    <w:p w:rsidR="0089511D" w:rsidRPr="00CC7E24" w:rsidRDefault="0089511D" w:rsidP="00095D83"/>
    <w:p w:rsidR="0089511D" w:rsidRPr="00CC7E24" w:rsidRDefault="0089511D" w:rsidP="00095D83">
      <w:pPr>
        <w:pStyle w:val="Heading2"/>
      </w:pPr>
      <w:bookmarkStart w:id="96" w:name="_Toc404606733"/>
      <w:bookmarkStart w:id="97" w:name="_Toc434934513"/>
      <w:bookmarkStart w:id="98" w:name="_Toc435643007"/>
      <w:r>
        <w:t>Call pattern</w:t>
      </w:r>
      <w:bookmarkEnd w:id="96"/>
      <w:bookmarkEnd w:id="97"/>
      <w:bookmarkEnd w:id="98"/>
    </w:p>
    <w:p w:rsidR="0089511D" w:rsidRPr="00CC7E24" w:rsidRDefault="0089511D" w:rsidP="00095D83">
      <w:r>
        <w:t>U</w:t>
      </w:r>
      <w:r w:rsidRPr="00CC7E24">
        <w:t xml:space="preserve">p to 10 calls </w:t>
      </w:r>
      <w:r>
        <w:t>to</w:t>
      </w:r>
      <w:r w:rsidRPr="00CC7E24">
        <w:t xml:space="preserve"> each sampled dwelling </w:t>
      </w:r>
      <w:r>
        <w:t>are</w:t>
      </w:r>
      <w:r w:rsidRPr="00CC7E24">
        <w:t xml:space="preserve"> </w:t>
      </w:r>
      <w:r>
        <w:t>made</w:t>
      </w:r>
      <w:r w:rsidRPr="00CC7E24">
        <w:t xml:space="preserve"> at different times of the day and on different days of the week before accepting that </w:t>
      </w:r>
      <w:r>
        <w:t xml:space="preserve">a </w:t>
      </w:r>
      <w:r w:rsidRPr="00CC7E24">
        <w:t xml:space="preserve">dwelling </w:t>
      </w:r>
      <w:r>
        <w:t>i</w:t>
      </w:r>
      <w:r w:rsidRPr="00CC7E24">
        <w:t xml:space="preserve">s a non-contact. Calls are recorded as unique events only if they </w:t>
      </w:r>
      <w:r>
        <w:t>are made</w:t>
      </w:r>
      <w:r w:rsidRPr="00CC7E24">
        <w:t xml:space="preserve"> at least </w:t>
      </w:r>
      <w:r>
        <w:t>two</w:t>
      </w:r>
      <w:r w:rsidRPr="00CC7E24">
        <w:t xml:space="preserve"> hours apart.</w:t>
      </w:r>
    </w:p>
    <w:p w:rsidR="0089511D" w:rsidRPr="00CC7E24" w:rsidRDefault="0089511D" w:rsidP="00095D83"/>
    <w:p w:rsidR="0089511D" w:rsidRPr="00CC7E24" w:rsidRDefault="0089511D" w:rsidP="00095D83">
      <w:r w:rsidRPr="00CC7E24">
        <w:t xml:space="preserve">The number of calls made by an interviewer is spaced over two to three months. </w:t>
      </w:r>
      <w:r>
        <w:t>Up to s</w:t>
      </w:r>
      <w:r w:rsidRPr="00CC7E24">
        <w:t xml:space="preserve">ix calls are made </w:t>
      </w:r>
      <w:r>
        <w:t xml:space="preserve">by the interviewer during the month </w:t>
      </w:r>
      <w:r w:rsidRPr="00CC7E24">
        <w:t xml:space="preserve">in which </w:t>
      </w:r>
      <w:r w:rsidRPr="00CF3C7F">
        <w:t xml:space="preserve">the </w:t>
      </w:r>
      <w:proofErr w:type="spellStart"/>
      <w:r w:rsidRPr="00CF3C7F">
        <w:t>meshblock</w:t>
      </w:r>
      <w:proofErr w:type="spellEnd"/>
      <w:r w:rsidRPr="00CF3C7F">
        <w:t xml:space="preserve"> is </w:t>
      </w:r>
      <w:r>
        <w:t>first being surveyed</w:t>
      </w:r>
      <w:r w:rsidRPr="00CC7E24">
        <w:t>.</w:t>
      </w:r>
      <w:r>
        <w:t xml:space="preserve"> If contact with the household is not established during this first month, t</w:t>
      </w:r>
      <w:r w:rsidRPr="00CC7E24">
        <w:t xml:space="preserve">here is a pause for three to four weeks before attempting two more calls. Finally, there is a pause for a further three to four weeks before attempting the final two calls. This </w:t>
      </w:r>
      <w:r>
        <w:t xml:space="preserve">procedure </w:t>
      </w:r>
      <w:r w:rsidRPr="00CC7E24">
        <w:t xml:space="preserve">helps to contact not only people who are temporarily away, but also </w:t>
      </w:r>
      <w:r>
        <w:t xml:space="preserve">those </w:t>
      </w:r>
      <w:r w:rsidRPr="00CC7E24">
        <w:t>who are busy</w:t>
      </w:r>
      <w:r>
        <w:t xml:space="preserve"> with</w:t>
      </w:r>
      <w:r w:rsidRPr="00CC7E24">
        <w:t xml:space="preserve"> work</w:t>
      </w:r>
      <w:r>
        <w:t xml:space="preserve"> or</w:t>
      </w:r>
      <w:r w:rsidRPr="00CC7E24">
        <w:t xml:space="preserve"> family or socially when their dwelling is first approached.</w:t>
      </w:r>
    </w:p>
    <w:p w:rsidR="0089511D" w:rsidRDefault="0089511D" w:rsidP="00095D83"/>
    <w:p w:rsidR="0089511D" w:rsidRPr="00CC7E24" w:rsidRDefault="0089511D" w:rsidP="00095D83">
      <w:pPr>
        <w:pStyle w:val="Heading2"/>
      </w:pPr>
      <w:bookmarkStart w:id="99" w:name="_Toc404606734"/>
      <w:bookmarkStart w:id="100" w:name="_Toc434934514"/>
      <w:bookmarkStart w:id="101" w:name="_Toc435643008"/>
      <w:r w:rsidRPr="00CC7E24">
        <w:t>Auditing of interviewers</w:t>
      </w:r>
      <w:bookmarkEnd w:id="99"/>
      <w:bookmarkEnd w:id="100"/>
      <w:bookmarkEnd w:id="101"/>
    </w:p>
    <w:p w:rsidR="0089511D" w:rsidRPr="00CC7E24" w:rsidRDefault="0089511D" w:rsidP="00095D83">
      <w:r w:rsidRPr="00CC7E24">
        <w:t xml:space="preserve">CBG conducts audit calls with </w:t>
      </w:r>
      <w:r>
        <w:t>around 10 percent</w:t>
      </w:r>
      <w:r w:rsidRPr="00CC7E24">
        <w:t xml:space="preserve"> of all </w:t>
      </w:r>
      <w:r>
        <w:t>participant</w:t>
      </w:r>
      <w:r w:rsidRPr="00CC7E24">
        <w:t xml:space="preserve">s </w:t>
      </w:r>
      <w:r>
        <w:t>and</w:t>
      </w:r>
      <w:r w:rsidRPr="00CC7E24">
        <w:t xml:space="preserve"> at least one household per </w:t>
      </w:r>
      <w:proofErr w:type="spellStart"/>
      <w:r w:rsidRPr="00CC7E24">
        <w:t>meshblock</w:t>
      </w:r>
      <w:proofErr w:type="spellEnd"/>
      <w:r w:rsidRPr="00CC7E24">
        <w:t xml:space="preserve">. </w:t>
      </w:r>
      <w:r>
        <w:t>Participants</w:t>
      </w:r>
      <w:r w:rsidRPr="00CC7E24">
        <w:t xml:space="preserve"> are also left with feedback postcards</w:t>
      </w:r>
      <w:r>
        <w:t>,</w:t>
      </w:r>
      <w:r w:rsidRPr="00CC7E24">
        <w:t xml:space="preserve"> which they can use to send feedback directly to CBG, anonymously if they choose.</w:t>
      </w:r>
    </w:p>
    <w:p w:rsidR="0089511D" w:rsidRPr="00CC7E24" w:rsidRDefault="0089511D" w:rsidP="00095D83"/>
    <w:p w:rsidR="0089511D" w:rsidRPr="00CC7E24" w:rsidRDefault="0089511D" w:rsidP="00095D83">
      <w:pPr>
        <w:pStyle w:val="Heading2"/>
      </w:pPr>
      <w:bookmarkStart w:id="102" w:name="_Toc404606735"/>
      <w:bookmarkStart w:id="103" w:name="_Toc434934515"/>
      <w:bookmarkStart w:id="104" w:name="_Toc435643009"/>
      <w:r w:rsidRPr="00CC7E24">
        <w:lastRenderedPageBreak/>
        <w:t>Interviewer training</w:t>
      </w:r>
      <w:bookmarkEnd w:id="102"/>
      <w:bookmarkEnd w:id="103"/>
      <w:bookmarkEnd w:id="104"/>
    </w:p>
    <w:p w:rsidR="0089511D" w:rsidRDefault="0089511D" w:rsidP="00095D83">
      <w:r w:rsidRPr="00CC7E24">
        <w:t xml:space="preserve">Interviewers </w:t>
      </w:r>
      <w:r>
        <w:t>take</w:t>
      </w:r>
      <w:r w:rsidRPr="00CC7E24">
        <w:t xml:space="preserve"> part in </w:t>
      </w:r>
      <w:r>
        <w:t xml:space="preserve">ongoing </w:t>
      </w:r>
      <w:r w:rsidRPr="00CC7E24">
        <w:t>training courses run by CBG on how to conduct interviews.</w:t>
      </w:r>
    </w:p>
    <w:p w:rsidR="0089511D" w:rsidRDefault="0089511D" w:rsidP="00095D83"/>
    <w:p w:rsidR="0089511D" w:rsidRPr="005F160B" w:rsidRDefault="0089511D" w:rsidP="00095D83">
      <w:pPr>
        <w:pStyle w:val="Heading2"/>
        <w:rPr>
          <w:lang w:eastAsia="en-NZ"/>
        </w:rPr>
      </w:pPr>
      <w:bookmarkStart w:id="105" w:name="_Toc404606736"/>
      <w:bookmarkStart w:id="106" w:name="_Toc434934516"/>
      <w:bookmarkStart w:id="107" w:name="_Toc435643010"/>
      <w:r>
        <w:rPr>
          <w:lang w:eastAsia="en-NZ"/>
        </w:rPr>
        <w:t>Objective</w:t>
      </w:r>
      <w:r w:rsidRPr="005F160B">
        <w:rPr>
          <w:lang w:eastAsia="en-NZ"/>
        </w:rPr>
        <w:t xml:space="preserve"> measurement</w:t>
      </w:r>
      <w:r>
        <w:rPr>
          <w:lang w:eastAsia="en-NZ"/>
        </w:rPr>
        <w:t>s</w:t>
      </w:r>
      <w:bookmarkEnd w:id="105"/>
      <w:bookmarkEnd w:id="106"/>
      <w:bookmarkEnd w:id="107"/>
    </w:p>
    <w:p w:rsidR="0089511D" w:rsidRDefault="0089511D" w:rsidP="00095D83">
      <w:pPr>
        <w:rPr>
          <w:lang w:eastAsia="en-NZ"/>
        </w:rPr>
      </w:pPr>
      <w:r>
        <w:rPr>
          <w:lang w:eastAsia="en-NZ"/>
        </w:rPr>
        <w:t>All participants aged two years and over have their height and weight measurements taken by the interviewer at the end of the survey. Those aged five years and over also have their waist circumference measured. In addition, adults aged 15 years and over are asked to provide a blood pressure reading. Pregnant women are excluded from having any measurements taken.</w:t>
      </w:r>
    </w:p>
    <w:p w:rsidR="0089511D" w:rsidRDefault="0089511D" w:rsidP="00095D83">
      <w:pPr>
        <w:rPr>
          <w:lang w:eastAsia="en-NZ"/>
        </w:rPr>
      </w:pPr>
    </w:p>
    <w:p w:rsidR="0089511D" w:rsidRDefault="0089511D" w:rsidP="00095D83">
      <w:pPr>
        <w:rPr>
          <w:lang w:eastAsia="en-NZ"/>
        </w:rPr>
      </w:pPr>
      <w:r>
        <w:rPr>
          <w:lang w:eastAsia="en-NZ"/>
        </w:rPr>
        <w:t>In the 2012/13</w:t>
      </w:r>
      <w:r w:rsidRPr="001B6D3B">
        <w:rPr>
          <w:lang w:eastAsia="en-NZ"/>
        </w:rPr>
        <w:t xml:space="preserve"> </w:t>
      </w:r>
      <w:r>
        <w:rPr>
          <w:lang w:eastAsia="en-NZ"/>
        </w:rPr>
        <w:t xml:space="preserve">NZHS, </w:t>
      </w:r>
      <w:r w:rsidRPr="001B6D3B">
        <w:rPr>
          <w:lang w:eastAsia="en-NZ"/>
        </w:rPr>
        <w:t xml:space="preserve">laser height measurement </w:t>
      </w:r>
      <w:r>
        <w:rPr>
          <w:lang w:eastAsia="en-NZ"/>
        </w:rPr>
        <w:t>was introduced</w:t>
      </w:r>
      <w:r w:rsidRPr="001B6D3B">
        <w:rPr>
          <w:lang w:eastAsia="en-NZ"/>
        </w:rPr>
        <w:t>. The measuring device</w:t>
      </w:r>
      <w:r w:rsidRPr="00167EB7">
        <w:rPr>
          <w:lang w:eastAsia="en-NZ"/>
        </w:rPr>
        <w:t xml:space="preserve"> consists of a professional laser meter </w:t>
      </w:r>
      <w:r>
        <w:rPr>
          <w:lang w:eastAsia="en-NZ"/>
        </w:rPr>
        <w:t>(</w:t>
      </w:r>
      <w:proofErr w:type="spellStart"/>
      <w:r>
        <w:rPr>
          <w:lang w:eastAsia="en-NZ"/>
        </w:rPr>
        <w:t>Precaster</w:t>
      </w:r>
      <w:proofErr w:type="spellEnd"/>
      <w:r>
        <w:rPr>
          <w:lang w:eastAsia="en-NZ"/>
        </w:rPr>
        <w:t xml:space="preserve"> CA770) </w:t>
      </w:r>
      <w:r w:rsidRPr="00167EB7">
        <w:rPr>
          <w:lang w:eastAsia="en-NZ"/>
        </w:rPr>
        <w:t>mounted to a rigid headboard</w:t>
      </w:r>
      <w:r>
        <w:rPr>
          <w:lang w:eastAsia="en-NZ"/>
        </w:rPr>
        <w:t>,</w:t>
      </w:r>
      <w:r w:rsidRPr="00167EB7">
        <w:rPr>
          <w:lang w:eastAsia="en-NZ"/>
        </w:rPr>
        <w:t xml:space="preserve"> which the interviewer </w:t>
      </w:r>
      <w:r>
        <w:rPr>
          <w:lang w:eastAsia="en-NZ"/>
        </w:rPr>
        <w:t>holds</w:t>
      </w:r>
      <w:r w:rsidRPr="00167EB7">
        <w:rPr>
          <w:lang w:eastAsia="en-NZ"/>
        </w:rPr>
        <w:t xml:space="preserve"> against the corner of a wall or door. The headboard is lowered until it reaches the participant</w:t>
      </w:r>
      <w:r w:rsidR="00095D83">
        <w:rPr>
          <w:lang w:eastAsia="en-NZ"/>
        </w:rPr>
        <w:t>’</w:t>
      </w:r>
      <w:r w:rsidRPr="00167EB7">
        <w:rPr>
          <w:lang w:eastAsia="en-NZ"/>
        </w:rPr>
        <w:t>s head</w:t>
      </w:r>
      <w:r>
        <w:rPr>
          <w:lang w:eastAsia="en-NZ"/>
        </w:rPr>
        <w:t>,</w:t>
      </w:r>
      <w:r w:rsidRPr="00167EB7">
        <w:rPr>
          <w:lang w:eastAsia="en-NZ"/>
        </w:rPr>
        <w:t xml:space="preserve"> </w:t>
      </w:r>
      <w:r>
        <w:rPr>
          <w:lang w:eastAsia="en-NZ"/>
        </w:rPr>
        <w:t>at which point</w:t>
      </w:r>
      <w:r w:rsidRPr="00167EB7">
        <w:rPr>
          <w:lang w:eastAsia="en-NZ"/>
        </w:rPr>
        <w:t xml:space="preserve"> the laser is activated to take a measurement. The laser design was trialled and refined in early 2012 </w:t>
      </w:r>
      <w:r>
        <w:rPr>
          <w:lang w:eastAsia="en-NZ"/>
        </w:rPr>
        <w:t>before it was</w:t>
      </w:r>
      <w:r w:rsidRPr="00167EB7">
        <w:rPr>
          <w:lang w:eastAsia="en-NZ"/>
        </w:rPr>
        <w:t xml:space="preserve"> </w:t>
      </w:r>
      <w:r>
        <w:rPr>
          <w:lang w:eastAsia="en-NZ"/>
        </w:rPr>
        <w:t>used for the entire survey from July 2012. The laser meter</w:t>
      </w:r>
      <w:r w:rsidRPr="00167EB7">
        <w:rPr>
          <w:lang w:eastAsia="en-NZ"/>
        </w:rPr>
        <w:t xml:space="preserve"> replaced traditional </w:t>
      </w:r>
      <w:proofErr w:type="spellStart"/>
      <w:r w:rsidRPr="00167EB7">
        <w:rPr>
          <w:lang w:eastAsia="en-NZ"/>
        </w:rPr>
        <w:t>stadiometers</w:t>
      </w:r>
      <w:proofErr w:type="spellEnd"/>
      <w:r>
        <w:rPr>
          <w:lang w:eastAsia="en-NZ"/>
        </w:rPr>
        <w:t>,</w:t>
      </w:r>
      <w:r w:rsidRPr="00167EB7">
        <w:rPr>
          <w:lang w:eastAsia="en-NZ"/>
        </w:rPr>
        <w:t xml:space="preserve"> which were used in the 2011/12 NZHS.</w:t>
      </w:r>
    </w:p>
    <w:p w:rsidR="0089511D" w:rsidRDefault="0089511D" w:rsidP="00095D83">
      <w:pPr>
        <w:rPr>
          <w:lang w:eastAsia="en-NZ"/>
        </w:rPr>
      </w:pPr>
    </w:p>
    <w:p w:rsidR="0089511D" w:rsidRDefault="0089511D" w:rsidP="00095D83">
      <w:r>
        <w:t>Weight is measured with electronic weighing scales (</w:t>
      </w:r>
      <w:proofErr w:type="spellStart"/>
      <w:r w:rsidRPr="00AD7D79">
        <w:t>Tanita</w:t>
      </w:r>
      <w:proofErr w:type="spellEnd"/>
      <w:r w:rsidRPr="00AD7D79">
        <w:t xml:space="preserve"> HD-351</w:t>
      </w:r>
      <w:r>
        <w:t>). Participants are required to empty their pockets as well as remove their shoes and any bulky clothing that could produce an inaccurate reading.</w:t>
      </w:r>
    </w:p>
    <w:p w:rsidR="0089511D" w:rsidRDefault="0089511D" w:rsidP="00095D83"/>
    <w:p w:rsidR="0089511D" w:rsidRDefault="0089511D" w:rsidP="00095D83">
      <w:r>
        <w:t xml:space="preserve">Waist circumference is measured using an </w:t>
      </w:r>
      <w:r w:rsidRPr="002B5A44">
        <w:t xml:space="preserve">anthropometric measuring tape </w:t>
      </w:r>
      <w:r>
        <w:t>(</w:t>
      </w:r>
      <w:r w:rsidRPr="002B5A44">
        <w:t>Lufkin W606PM</w:t>
      </w:r>
      <w:r>
        <w:t>). The measurement is taken over one layer of clothing at the midpoint between the lowest palpable rib and the top of the hip bone.</w:t>
      </w:r>
    </w:p>
    <w:p w:rsidR="0089511D" w:rsidRDefault="0089511D" w:rsidP="00095D83"/>
    <w:p w:rsidR="0089511D" w:rsidRDefault="0089511D" w:rsidP="00095D83">
      <w:r>
        <w:t xml:space="preserve">Height, weight and waist circumference measurements are taken a minimum of twice each. If there is more than a 1 percent variation between the first and second measurements, then a third measurement is taken for accuracy. </w:t>
      </w:r>
      <w:r w:rsidRPr="003F6337">
        <w:t xml:space="preserve">To align with international standards, the final height, weight and waist measurements </w:t>
      </w:r>
      <w:r>
        <w:t xml:space="preserve">used for analysis are </w:t>
      </w:r>
      <w:r w:rsidRPr="003F6337">
        <w:t>calculated for each respondent by taking the mean of the two closest measurements.</w:t>
      </w:r>
    </w:p>
    <w:p w:rsidR="0089511D" w:rsidRDefault="0089511D" w:rsidP="00095D83"/>
    <w:p w:rsidR="0089511D" w:rsidRDefault="0089511D" w:rsidP="00095D83">
      <w:r>
        <w:t xml:space="preserve">Blood pressure measurement was introduced to the NZHS in July 2012 and is obtained using a portable electronic </w:t>
      </w:r>
      <w:r w:rsidRPr="002B5A44">
        <w:t xml:space="preserve">sphygmomanometer </w:t>
      </w:r>
      <w:r>
        <w:t>(Omron HEM 907). A fabric cuff is wrapped around the participant</w:t>
      </w:r>
      <w:r w:rsidR="00095D83">
        <w:t>’</w:t>
      </w:r>
      <w:r>
        <w:t>s upper left arm, just above the elbow. Within the cuff is a plastic bladder connected by a tube to the main device. As the bladder inflates, the device is able to detect the blood pressure of the participant. The device is programmed to take three readings, with a one-minute pause between each.</w:t>
      </w:r>
    </w:p>
    <w:p w:rsidR="0089511D" w:rsidRDefault="0089511D" w:rsidP="00095D83"/>
    <w:p w:rsidR="0089511D" w:rsidRDefault="0089511D" w:rsidP="00095D83">
      <w:r>
        <w:t>Participants are left with a measurement card, which details the readings taken on the day of the survey. The card also provides information on interpreting the blood pressure measurement and where the participant can go for further information or advice.</w:t>
      </w:r>
    </w:p>
    <w:p w:rsidR="0089511D" w:rsidRDefault="0089511D" w:rsidP="00095D83"/>
    <w:p w:rsidR="00095D83" w:rsidRDefault="0089511D" w:rsidP="00095D83">
      <w:r>
        <w:t>Several techniques are used to ensure the quality of the objective measurement equipment. Surveyors immediately report faulty equipment to CBG management and replacements are sent immediately. Equipment is also checked by CBG management at least twice every year in the field.</w:t>
      </w:r>
    </w:p>
    <w:p w:rsidR="0089511D" w:rsidRDefault="0089511D" w:rsidP="00095D83"/>
    <w:p w:rsidR="0089511D" w:rsidRDefault="0089511D" w:rsidP="00095D83">
      <w:pPr>
        <w:keepNext/>
      </w:pPr>
      <w:r>
        <w:lastRenderedPageBreak/>
        <w:t>Additionally the equipment is checked and re-calibrated at the time of the annual module change training, where:</w:t>
      </w:r>
    </w:p>
    <w:p w:rsidR="00095D83" w:rsidRDefault="0089511D" w:rsidP="00095D83">
      <w:pPr>
        <w:pStyle w:val="Bullet"/>
        <w:keepNext/>
      </w:pPr>
      <w:r>
        <w:t>the electronic weighting scales and automatic blood pressure machines are re-calibrated by a manufacturer-approved agent</w:t>
      </w:r>
    </w:p>
    <w:p w:rsidR="00095D83" w:rsidRDefault="0089511D" w:rsidP="00095D83">
      <w:pPr>
        <w:pStyle w:val="Bullet"/>
      </w:pPr>
      <w:proofErr w:type="gramStart"/>
      <w:r>
        <w:t>the</w:t>
      </w:r>
      <w:proofErr w:type="gramEnd"/>
      <w:r>
        <w:t xml:space="preserve"> lasers are checked against a known fixed height to ensure that they are measuring correctly, and that they are still programmed to the correct settings.</w:t>
      </w:r>
    </w:p>
    <w:p w:rsidR="0089511D" w:rsidRDefault="0089511D" w:rsidP="00095D83"/>
    <w:p w:rsidR="0089511D" w:rsidRDefault="0089511D" w:rsidP="00095D83">
      <w:r w:rsidDel="000E101B">
        <w:t>Surveyors are retrained annually and must pass a re-certification assessment to ensure that the required skill levels are maintained.</w:t>
      </w:r>
    </w:p>
    <w:p w:rsidR="0089511D" w:rsidRDefault="0089511D" w:rsidP="00095D83">
      <w:bookmarkStart w:id="108" w:name="_Toc339270015"/>
      <w:bookmarkStart w:id="109" w:name="_Toc340501937"/>
      <w:bookmarkStart w:id="110" w:name="_Toc372445557"/>
      <w:bookmarkStart w:id="111" w:name="_Toc373486719"/>
    </w:p>
    <w:p w:rsidR="0089511D" w:rsidRDefault="0089511D" w:rsidP="00095D83">
      <w:bookmarkStart w:id="112" w:name="_Toc403044012"/>
      <w:r>
        <w:br w:type="page"/>
      </w:r>
    </w:p>
    <w:p w:rsidR="0089511D" w:rsidRPr="00CC7E24" w:rsidRDefault="0089511D" w:rsidP="001E4900">
      <w:pPr>
        <w:pStyle w:val="Heading1"/>
      </w:pPr>
      <w:bookmarkStart w:id="113" w:name="_Toc434934517"/>
      <w:bookmarkStart w:id="114" w:name="_Toc435643011"/>
      <w:r w:rsidRPr="00CC7E24">
        <w:lastRenderedPageBreak/>
        <w:t xml:space="preserve">Section 5: Response and </w:t>
      </w:r>
      <w:r>
        <w:t>c</w:t>
      </w:r>
      <w:r w:rsidRPr="00CC7E24">
        <w:t xml:space="preserve">overage </w:t>
      </w:r>
      <w:r>
        <w:t>r</w:t>
      </w:r>
      <w:r w:rsidRPr="00CC7E24">
        <w:t>ates</w:t>
      </w:r>
      <w:bookmarkEnd w:id="108"/>
      <w:bookmarkEnd w:id="109"/>
      <w:bookmarkEnd w:id="110"/>
      <w:bookmarkEnd w:id="111"/>
      <w:bookmarkEnd w:id="112"/>
      <w:bookmarkEnd w:id="113"/>
      <w:bookmarkEnd w:id="114"/>
    </w:p>
    <w:p w:rsidR="0089511D" w:rsidRPr="00CC7E24" w:rsidRDefault="0089511D" w:rsidP="001E4900">
      <w:pPr>
        <w:rPr>
          <w:lang w:eastAsia="en-US"/>
        </w:rPr>
      </w:pPr>
      <w:r w:rsidRPr="00CC7E24">
        <w:rPr>
          <w:lang w:eastAsia="en-US"/>
        </w:rPr>
        <w:t>The response rate is a measure of how many people who were selected to take part in the survey actually participated. A high response rate means that the survey results are more representative of the New Zealand population.</w:t>
      </w:r>
    </w:p>
    <w:p w:rsidR="0089511D" w:rsidRPr="00CC7E24" w:rsidRDefault="0089511D" w:rsidP="001E4900">
      <w:pPr>
        <w:rPr>
          <w:lang w:eastAsia="en-US"/>
        </w:rPr>
      </w:pPr>
    </w:p>
    <w:p w:rsidR="0089511D" w:rsidRPr="00CC7E24" w:rsidRDefault="0089511D" w:rsidP="001E4900">
      <w:pPr>
        <w:pStyle w:val="Box"/>
        <w:rPr>
          <w:lang w:eastAsia="en-US"/>
        </w:rPr>
      </w:pPr>
      <w:r>
        <w:rPr>
          <w:lang w:eastAsia="en-US"/>
        </w:rPr>
        <w:t>In 2014/15</w:t>
      </w:r>
      <w:r w:rsidRPr="00CC7E24">
        <w:rPr>
          <w:lang w:eastAsia="en-US"/>
        </w:rPr>
        <w:t xml:space="preserve"> the final</w:t>
      </w:r>
      <w:r>
        <w:rPr>
          <w:lang w:eastAsia="en-US"/>
        </w:rPr>
        <w:t xml:space="preserve"> weighted response rates were 79 percent for adults and 83 percent</w:t>
      </w:r>
      <w:r w:rsidRPr="00CC7E24">
        <w:rPr>
          <w:lang w:eastAsia="en-US"/>
        </w:rPr>
        <w:t xml:space="preserve"> </w:t>
      </w:r>
      <w:r>
        <w:rPr>
          <w:lang w:eastAsia="en-US"/>
        </w:rPr>
        <w:t xml:space="preserve">for </w:t>
      </w:r>
      <w:r w:rsidRPr="00CC7E24">
        <w:rPr>
          <w:lang w:eastAsia="en-US"/>
        </w:rPr>
        <w:t>children.</w:t>
      </w:r>
    </w:p>
    <w:p w:rsidR="0089511D" w:rsidRPr="00CC7E24" w:rsidRDefault="0089511D" w:rsidP="001E4900">
      <w:pPr>
        <w:pStyle w:val="Box"/>
        <w:rPr>
          <w:lang w:eastAsia="en-US"/>
        </w:rPr>
      </w:pPr>
      <w:r>
        <w:rPr>
          <w:lang w:eastAsia="en-US"/>
        </w:rPr>
        <w:t>For m</w:t>
      </w:r>
      <w:r w:rsidRPr="00CC7E24">
        <w:rPr>
          <w:lang w:eastAsia="en-US"/>
        </w:rPr>
        <w:t>ore detai</w:t>
      </w:r>
      <w:r>
        <w:rPr>
          <w:lang w:eastAsia="en-US"/>
        </w:rPr>
        <w:t>ls on the response rates for 2014/15, see</w:t>
      </w:r>
      <w:r w:rsidRPr="00CC7E24">
        <w:rPr>
          <w:lang w:eastAsia="en-US"/>
        </w:rPr>
        <w:t xml:space="preserve"> </w:t>
      </w:r>
      <w:r>
        <w:rPr>
          <w:lang w:eastAsia="en-US"/>
        </w:rPr>
        <w:t>S</w:t>
      </w:r>
      <w:r w:rsidRPr="00CC7E24">
        <w:rPr>
          <w:lang w:eastAsia="en-US"/>
        </w:rPr>
        <w:t xml:space="preserve">ection </w:t>
      </w:r>
      <w:r>
        <w:rPr>
          <w:lang w:eastAsia="en-US"/>
        </w:rPr>
        <w:t>9</w:t>
      </w:r>
      <w:r w:rsidRPr="00CC7E24">
        <w:rPr>
          <w:lang w:eastAsia="en-US"/>
        </w:rPr>
        <w:t>.</w:t>
      </w:r>
    </w:p>
    <w:p w:rsidR="0089511D" w:rsidRPr="00CC7E24" w:rsidRDefault="0089511D" w:rsidP="001E4900"/>
    <w:p w:rsidR="0089511D" w:rsidRPr="00CC7E24" w:rsidRDefault="0089511D" w:rsidP="001E4900">
      <w:r w:rsidRPr="00CC7E24">
        <w:rPr>
          <w:lang w:eastAsia="en-US"/>
        </w:rPr>
        <w:t xml:space="preserve">The response rate is an important measure of the quality of a survey. </w:t>
      </w:r>
      <w:r>
        <w:t>M</w:t>
      </w:r>
      <w:r w:rsidRPr="00CC7E24">
        <w:t xml:space="preserve">ethods used to </w:t>
      </w:r>
      <w:r w:rsidRPr="001B4E9C">
        <w:t>maximise response rates are to:</w:t>
      </w:r>
    </w:p>
    <w:p w:rsidR="0089511D" w:rsidRDefault="0089511D" w:rsidP="001E4900">
      <w:pPr>
        <w:pStyle w:val="Bullet"/>
      </w:pPr>
      <w:r>
        <w:t>give</w:t>
      </w:r>
      <w:r w:rsidRPr="00383800">
        <w:t xml:space="preserve"> </w:t>
      </w:r>
      <w:r w:rsidRPr="00CC7E24">
        <w:t>interviewers</w:t>
      </w:r>
      <w:r>
        <w:t xml:space="preserve"> </w:t>
      </w:r>
      <w:r w:rsidRPr="00CC7E24">
        <w:t>initial and ongoing training and development</w:t>
      </w:r>
    </w:p>
    <w:p w:rsidR="0089511D" w:rsidRPr="00CC7E24" w:rsidRDefault="0089511D" w:rsidP="001E4900">
      <w:pPr>
        <w:pStyle w:val="Bullet"/>
      </w:pPr>
      <w:r w:rsidRPr="00CC7E24">
        <w:t>support and assess interviewers</w:t>
      </w:r>
      <w:r>
        <w:t xml:space="preserve"> in the field</w:t>
      </w:r>
    </w:p>
    <w:p w:rsidR="0089511D" w:rsidRPr="00CC7E24" w:rsidRDefault="0089511D" w:rsidP="001E4900">
      <w:pPr>
        <w:pStyle w:val="Bullet"/>
      </w:pPr>
      <w:r w:rsidRPr="00CC7E24">
        <w:t xml:space="preserve">use well-designed call pattern processes, allowing for up to </w:t>
      </w:r>
      <w:r>
        <w:t>10</w:t>
      </w:r>
      <w:r w:rsidRPr="00CC7E24">
        <w:t xml:space="preserve"> calls</w:t>
      </w:r>
      <w:r>
        <w:t xml:space="preserve"> to potential participants</w:t>
      </w:r>
      <w:r w:rsidRPr="00CC7E24">
        <w:t xml:space="preserve"> at differing times of the week and day</w:t>
      </w:r>
    </w:p>
    <w:p w:rsidR="0089511D" w:rsidRPr="00CC7E24" w:rsidRDefault="0089511D" w:rsidP="001E4900">
      <w:pPr>
        <w:pStyle w:val="Bullet"/>
      </w:pPr>
      <w:r w:rsidRPr="00CC7E24">
        <w:t xml:space="preserve">revisit </w:t>
      </w:r>
      <w:r w:rsidR="00095D83">
        <w:t>‘</w:t>
      </w:r>
      <w:r w:rsidRPr="00CC7E24">
        <w:t>closed</w:t>
      </w:r>
      <w:r w:rsidR="00095D83">
        <w:t>’</w:t>
      </w:r>
      <w:r w:rsidRPr="00CC7E24">
        <w:t xml:space="preserve"> </w:t>
      </w:r>
      <w:proofErr w:type="spellStart"/>
      <w:r w:rsidRPr="00CC7E24">
        <w:t>meshblocks</w:t>
      </w:r>
      <w:proofErr w:type="spellEnd"/>
      <w:r w:rsidRPr="00CC7E24">
        <w:t xml:space="preserve"> during a mop-up phase (</w:t>
      </w:r>
      <w:proofErr w:type="spellStart"/>
      <w:r w:rsidRPr="00CC7E24">
        <w:t>ie</w:t>
      </w:r>
      <w:proofErr w:type="spellEnd"/>
      <w:r w:rsidRPr="00CC7E24">
        <w:t>, when visiting households where no contact ha</w:t>
      </w:r>
      <w:r>
        <w:t>s</w:t>
      </w:r>
      <w:r w:rsidRPr="00CC7E24">
        <w:t xml:space="preserve"> been established or the selected respondent was unable to take part at that time but did not refuse to participate).</w:t>
      </w:r>
    </w:p>
    <w:p w:rsidR="0089511D" w:rsidRPr="00CC7E24" w:rsidRDefault="0089511D" w:rsidP="001E4900">
      <w:pPr>
        <w:rPr>
          <w:lang w:eastAsia="en-US"/>
        </w:rPr>
      </w:pPr>
    </w:p>
    <w:p w:rsidR="0089511D" w:rsidRPr="00CC7E24" w:rsidRDefault="0089511D" w:rsidP="001E4900">
      <w:pPr>
        <w:pStyle w:val="Heading2"/>
      </w:pPr>
      <w:bookmarkStart w:id="115" w:name="_Toc335133112"/>
      <w:bookmarkStart w:id="116" w:name="_Toc339270016"/>
      <w:bookmarkStart w:id="117" w:name="_Toc340501938"/>
      <w:bookmarkStart w:id="118" w:name="_Toc372445558"/>
      <w:bookmarkStart w:id="119" w:name="_Toc373486720"/>
      <w:bookmarkStart w:id="120" w:name="_Toc403044013"/>
      <w:bookmarkStart w:id="121" w:name="_Toc434934518"/>
      <w:bookmarkStart w:id="122" w:name="_Toc435643012"/>
      <w:r w:rsidRPr="00CC7E24">
        <w:t>Calculation of response rate</w:t>
      </w:r>
      <w:bookmarkEnd w:id="115"/>
      <w:bookmarkEnd w:id="116"/>
      <w:bookmarkEnd w:id="117"/>
      <w:bookmarkEnd w:id="118"/>
      <w:bookmarkEnd w:id="119"/>
      <w:bookmarkEnd w:id="120"/>
      <w:bookmarkEnd w:id="121"/>
      <w:bookmarkEnd w:id="122"/>
    </w:p>
    <w:p w:rsidR="0089511D" w:rsidRPr="00CC7E24" w:rsidRDefault="0089511D" w:rsidP="001E4900">
      <w:pPr>
        <w:rPr>
          <w:lang w:eastAsia="en-US"/>
        </w:rPr>
      </w:pPr>
      <w:r w:rsidRPr="00CC7E24">
        <w:rPr>
          <w:lang w:eastAsia="en-US"/>
        </w:rPr>
        <w:t xml:space="preserve">The </w:t>
      </w:r>
      <w:r>
        <w:rPr>
          <w:lang w:eastAsia="en-US"/>
        </w:rPr>
        <w:t xml:space="preserve">NZHS calculates a </w:t>
      </w:r>
      <w:r w:rsidRPr="00CC7E24">
        <w:rPr>
          <w:lang w:eastAsia="en-US"/>
        </w:rPr>
        <w:t>weighted response rate</w:t>
      </w:r>
      <w:r>
        <w:rPr>
          <w:lang w:eastAsia="en-US"/>
        </w:rPr>
        <w:t>. The weight of each household</w:t>
      </w:r>
      <w:r w:rsidRPr="00CC7E24">
        <w:rPr>
          <w:lang w:eastAsia="en-US"/>
        </w:rPr>
        <w:t xml:space="preserve"> reflects the probability of the household being selected into the sample</w:t>
      </w:r>
      <w:r>
        <w:rPr>
          <w:lang w:eastAsia="en-US"/>
        </w:rPr>
        <w:t>, so that the weighted response rate</w:t>
      </w:r>
      <w:r w:rsidRPr="00CC7E24">
        <w:rPr>
          <w:lang w:eastAsia="en-US"/>
        </w:rPr>
        <w:t xml:space="preserve"> describes the success of the survey in terms of achieving cooperation from the </w:t>
      </w:r>
      <w:r w:rsidRPr="001B6D3B">
        <w:rPr>
          <w:lang w:eastAsia="en-US"/>
        </w:rPr>
        <w:t>population being measured.</w:t>
      </w:r>
    </w:p>
    <w:p w:rsidR="0089511D" w:rsidRPr="00CC7E24" w:rsidRDefault="0089511D" w:rsidP="001E4900">
      <w:pPr>
        <w:rPr>
          <w:lang w:eastAsia="en-US"/>
        </w:rPr>
      </w:pPr>
    </w:p>
    <w:p w:rsidR="0089511D" w:rsidRPr="00CC7E24" w:rsidRDefault="0089511D" w:rsidP="001E4900">
      <w:pPr>
        <w:rPr>
          <w:lang w:eastAsia="en-US"/>
        </w:rPr>
      </w:pPr>
      <w:r>
        <w:rPr>
          <w:lang w:eastAsia="en-US"/>
        </w:rPr>
        <w:t xml:space="preserve">For adults, the </w:t>
      </w:r>
      <w:r w:rsidRPr="00CC7E24">
        <w:rPr>
          <w:lang w:eastAsia="en-US"/>
        </w:rPr>
        <w:t>response rate calculation</w:t>
      </w:r>
      <w:r>
        <w:rPr>
          <w:lang w:eastAsia="en-US"/>
        </w:rPr>
        <w:t xml:space="preserve"> classifies all selected households into the following four groups</w:t>
      </w:r>
      <w:r w:rsidRPr="00CC7E24">
        <w:rPr>
          <w:lang w:eastAsia="en-US"/>
        </w:rPr>
        <w:t>:</w:t>
      </w:r>
    </w:p>
    <w:p w:rsidR="0089511D" w:rsidRPr="00CC7E24" w:rsidRDefault="0089511D" w:rsidP="001E4900">
      <w:pPr>
        <w:spacing w:before="120"/>
        <w:ind w:left="567" w:hanging="567"/>
        <w:rPr>
          <w:lang w:eastAsia="en-US"/>
        </w:rPr>
      </w:pPr>
      <w:r w:rsidRPr="00CC7E24">
        <w:rPr>
          <w:lang w:eastAsia="en-US"/>
        </w:rPr>
        <w:t>1.</w:t>
      </w:r>
      <w:r w:rsidRPr="00CC7E24">
        <w:rPr>
          <w:lang w:eastAsia="en-US"/>
        </w:rPr>
        <w:tab/>
      </w:r>
      <w:proofErr w:type="gramStart"/>
      <w:r>
        <w:rPr>
          <w:lang w:eastAsia="en-US"/>
        </w:rPr>
        <w:t>i</w:t>
      </w:r>
      <w:r w:rsidRPr="00CC7E24">
        <w:rPr>
          <w:lang w:eastAsia="en-US"/>
        </w:rPr>
        <w:t>neligibles</w:t>
      </w:r>
      <w:proofErr w:type="gramEnd"/>
      <w:r w:rsidRPr="00CC7E24">
        <w:rPr>
          <w:lang w:eastAsia="en-US"/>
        </w:rPr>
        <w:t xml:space="preserve"> (</w:t>
      </w:r>
      <w:proofErr w:type="spellStart"/>
      <w:r w:rsidRPr="00CC7E24">
        <w:rPr>
          <w:lang w:eastAsia="en-US"/>
        </w:rPr>
        <w:t>eg</w:t>
      </w:r>
      <w:proofErr w:type="spellEnd"/>
      <w:r w:rsidRPr="00CC7E24">
        <w:rPr>
          <w:lang w:eastAsia="en-US"/>
        </w:rPr>
        <w:t>, vacant sections, vacant dwellings and non-residential dwellings)</w:t>
      </w:r>
    </w:p>
    <w:p w:rsidR="0089511D" w:rsidRPr="00CC7E24" w:rsidRDefault="0089511D" w:rsidP="001E4900">
      <w:pPr>
        <w:spacing w:before="120"/>
        <w:ind w:left="567" w:hanging="567"/>
        <w:rPr>
          <w:lang w:eastAsia="en-US"/>
        </w:rPr>
      </w:pPr>
      <w:r w:rsidRPr="00CC7E24">
        <w:rPr>
          <w:lang w:eastAsia="en-US"/>
        </w:rPr>
        <w:t>2.</w:t>
      </w:r>
      <w:r w:rsidRPr="00CC7E24">
        <w:rPr>
          <w:lang w:eastAsia="en-US"/>
        </w:rPr>
        <w:tab/>
      </w:r>
      <w:proofErr w:type="gramStart"/>
      <w:r>
        <w:rPr>
          <w:lang w:eastAsia="en-US"/>
        </w:rPr>
        <w:t>e</w:t>
      </w:r>
      <w:r w:rsidRPr="00CC7E24">
        <w:rPr>
          <w:lang w:eastAsia="en-US"/>
        </w:rPr>
        <w:t>ligible</w:t>
      </w:r>
      <w:proofErr w:type="gramEnd"/>
      <w:r w:rsidRPr="00CC7E24">
        <w:rPr>
          <w:lang w:eastAsia="en-US"/>
        </w:rPr>
        <w:t xml:space="preserve"> responding (interview conducted, respondent confirmed to be eligible for the survey)</w:t>
      </w:r>
    </w:p>
    <w:p w:rsidR="0089511D" w:rsidRPr="00CC7E24" w:rsidRDefault="0089511D" w:rsidP="001E4900">
      <w:pPr>
        <w:spacing w:before="120"/>
        <w:ind w:left="567" w:hanging="567"/>
        <w:rPr>
          <w:lang w:eastAsia="en-US"/>
        </w:rPr>
      </w:pPr>
      <w:r w:rsidRPr="00CC7E24">
        <w:rPr>
          <w:lang w:eastAsia="en-US"/>
        </w:rPr>
        <w:t>3.</w:t>
      </w:r>
      <w:r w:rsidRPr="00CC7E24">
        <w:rPr>
          <w:lang w:eastAsia="en-US"/>
        </w:rPr>
        <w:tab/>
      </w:r>
      <w:proofErr w:type="gramStart"/>
      <w:r>
        <w:rPr>
          <w:lang w:eastAsia="en-US"/>
        </w:rPr>
        <w:t>e</w:t>
      </w:r>
      <w:r w:rsidRPr="00CC7E24">
        <w:rPr>
          <w:lang w:eastAsia="en-US"/>
        </w:rPr>
        <w:t>ligible</w:t>
      </w:r>
      <w:proofErr w:type="gramEnd"/>
      <w:r w:rsidRPr="00CC7E24">
        <w:rPr>
          <w:lang w:eastAsia="en-US"/>
        </w:rPr>
        <w:t xml:space="preserve"> non-responding (interview not conducted, but enough information collected to indicate that the household did contain an eligible adult</w:t>
      </w:r>
      <w:r>
        <w:rPr>
          <w:lang w:eastAsia="en-US"/>
        </w:rPr>
        <w:t>; a</w:t>
      </w:r>
      <w:r w:rsidRPr="00CC7E24">
        <w:rPr>
          <w:lang w:eastAsia="en-US"/>
        </w:rPr>
        <w:t>lmost all refusals were in this category)</w:t>
      </w:r>
    </w:p>
    <w:p w:rsidR="0089511D" w:rsidRPr="00CC7E24" w:rsidRDefault="0089511D" w:rsidP="001E4900">
      <w:pPr>
        <w:spacing w:before="120"/>
        <w:ind w:left="567" w:hanging="567"/>
        <w:rPr>
          <w:lang w:eastAsia="en-US"/>
        </w:rPr>
      </w:pPr>
      <w:r w:rsidRPr="00CC7E24">
        <w:rPr>
          <w:lang w:eastAsia="en-US"/>
        </w:rPr>
        <w:t>4.</w:t>
      </w:r>
      <w:r w:rsidRPr="00CC7E24">
        <w:rPr>
          <w:lang w:eastAsia="en-US"/>
        </w:rPr>
        <w:tab/>
      </w:r>
      <w:proofErr w:type="gramStart"/>
      <w:r>
        <w:rPr>
          <w:lang w:eastAsia="en-US"/>
        </w:rPr>
        <w:t>u</w:t>
      </w:r>
      <w:r w:rsidRPr="00CC7E24">
        <w:rPr>
          <w:lang w:eastAsia="en-US"/>
        </w:rPr>
        <w:t>nknown</w:t>
      </w:r>
      <w:proofErr w:type="gramEnd"/>
      <w:r w:rsidRPr="00CC7E24">
        <w:rPr>
          <w:lang w:eastAsia="en-US"/>
        </w:rPr>
        <w:t xml:space="preserve"> eligibility (</w:t>
      </w:r>
      <w:proofErr w:type="spellStart"/>
      <w:r w:rsidRPr="00CC7E24">
        <w:rPr>
          <w:lang w:eastAsia="en-US"/>
        </w:rPr>
        <w:t>eg</w:t>
      </w:r>
      <w:proofErr w:type="spellEnd"/>
      <w:r w:rsidRPr="00CC7E24">
        <w:rPr>
          <w:lang w:eastAsia="en-US"/>
        </w:rPr>
        <w:t>, non-contacts and refusals who provide</w:t>
      </w:r>
      <w:r>
        <w:rPr>
          <w:lang w:eastAsia="en-US"/>
        </w:rPr>
        <w:t>d</w:t>
      </w:r>
      <w:r w:rsidRPr="00CC7E24">
        <w:rPr>
          <w:lang w:eastAsia="en-US"/>
        </w:rPr>
        <w:t xml:space="preserve"> insufficient information to determine eligibility).</w:t>
      </w:r>
    </w:p>
    <w:p w:rsidR="0089511D" w:rsidRPr="00CC7E24" w:rsidRDefault="0089511D" w:rsidP="001E4900">
      <w:pPr>
        <w:rPr>
          <w:lang w:eastAsia="en-US"/>
        </w:rPr>
      </w:pPr>
    </w:p>
    <w:p w:rsidR="0089511D" w:rsidRPr="00CC7E24" w:rsidRDefault="0089511D" w:rsidP="001E4900">
      <w:pPr>
        <w:keepNext/>
        <w:rPr>
          <w:lang w:eastAsia="en-US"/>
        </w:rPr>
      </w:pPr>
      <w:r w:rsidRPr="00CC7E24">
        <w:rPr>
          <w:lang w:eastAsia="en-US"/>
        </w:rPr>
        <w:lastRenderedPageBreak/>
        <w:t>The response rate is calculated as follows:</w:t>
      </w:r>
    </w:p>
    <w:p w:rsidR="0089511D" w:rsidRPr="00CC7E24" w:rsidRDefault="0089511D" w:rsidP="001E4900">
      <w:r>
        <w:rPr>
          <w:noProof/>
          <w:lang w:eastAsia="en-NZ"/>
        </w:rPr>
        <w:drawing>
          <wp:inline distT="0" distB="0" distL="0" distR="0" wp14:anchorId="12B50749" wp14:editId="45E524A8">
            <wp:extent cx="5949950" cy="730250"/>
            <wp:effectExtent l="0" t="0" r="0" b="0"/>
            <wp:docPr id="95" name="Picture 1" descr="Calculation of response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culation of response ra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9950" cy="730250"/>
                    </a:xfrm>
                    <a:prstGeom prst="rect">
                      <a:avLst/>
                    </a:prstGeom>
                    <a:noFill/>
                    <a:ln>
                      <a:noFill/>
                    </a:ln>
                  </pic:spPr>
                </pic:pic>
              </a:graphicData>
            </a:graphic>
          </wp:inline>
        </w:drawing>
      </w:r>
    </w:p>
    <w:p w:rsidR="0089511D" w:rsidRPr="00CC7E24" w:rsidRDefault="0089511D" w:rsidP="001E4900"/>
    <w:p w:rsidR="0089511D" w:rsidRPr="00CC7E24" w:rsidRDefault="0089511D" w:rsidP="001E4900">
      <w:pPr>
        <w:rPr>
          <w:lang w:eastAsia="en-US"/>
        </w:rPr>
      </w:pPr>
      <w:r w:rsidRPr="00CC7E24">
        <w:rPr>
          <w:lang w:eastAsia="en-US"/>
        </w:rPr>
        <w:t xml:space="preserve">The justification for </w:t>
      </w:r>
      <w:r>
        <w:rPr>
          <w:lang w:eastAsia="en-US"/>
        </w:rPr>
        <w:t>using</w:t>
      </w:r>
      <w:r w:rsidRPr="00CC7E24">
        <w:rPr>
          <w:lang w:eastAsia="en-US"/>
        </w:rPr>
        <w:t xml:space="preserve"> this calculation method is that a proportion of the unknowns </w:t>
      </w:r>
      <w:proofErr w:type="gramStart"/>
      <w:r>
        <w:rPr>
          <w:lang w:eastAsia="en-US"/>
        </w:rPr>
        <w:t>is</w:t>
      </w:r>
      <w:proofErr w:type="gramEnd"/>
      <w:r w:rsidRPr="00CC7E24">
        <w:rPr>
          <w:lang w:eastAsia="en-US"/>
        </w:rPr>
        <w:t xml:space="preserve"> likely to have been eligible if contact could have been made. This proportion of the unknowns is therefore treated as eligible non-respond</w:t>
      </w:r>
      <w:r>
        <w:rPr>
          <w:lang w:eastAsia="en-US"/>
        </w:rPr>
        <w:t>ing</w:t>
      </w:r>
      <w:r w:rsidRPr="00CC7E24">
        <w:rPr>
          <w:lang w:eastAsia="en-US"/>
        </w:rPr>
        <w:t>.</w:t>
      </w:r>
    </w:p>
    <w:p w:rsidR="0089511D" w:rsidRDefault="0089511D" w:rsidP="001E4900">
      <w:pPr>
        <w:rPr>
          <w:lang w:eastAsia="en-US"/>
        </w:rPr>
      </w:pPr>
    </w:p>
    <w:p w:rsidR="0089511D" w:rsidRDefault="0089511D" w:rsidP="001E4900">
      <w:pPr>
        <w:rPr>
          <w:lang w:eastAsia="en-US"/>
        </w:rPr>
      </w:pPr>
      <w:r w:rsidRPr="00CC7E24">
        <w:rPr>
          <w:lang w:eastAsia="en-US"/>
        </w:rPr>
        <w:t xml:space="preserve">The estimated number of unknown </w:t>
      </w:r>
      <w:proofErr w:type="spellStart"/>
      <w:r w:rsidRPr="00CC7E24">
        <w:rPr>
          <w:lang w:eastAsia="en-US"/>
        </w:rPr>
        <w:t>eligibles</w:t>
      </w:r>
      <w:proofErr w:type="spellEnd"/>
      <w:r w:rsidRPr="00CC7E24">
        <w:rPr>
          <w:lang w:eastAsia="en-US"/>
        </w:rPr>
        <w:t xml:space="preserve"> is calculated as follows:</w:t>
      </w:r>
    </w:p>
    <w:p w:rsidR="0089511D" w:rsidRPr="00CC7E24" w:rsidRDefault="0089511D" w:rsidP="001E4900">
      <w:r>
        <w:rPr>
          <w:noProof/>
          <w:lang w:eastAsia="en-NZ"/>
        </w:rPr>
        <w:drawing>
          <wp:inline distT="0" distB="0" distL="0" distR="0" wp14:anchorId="02BC1029" wp14:editId="03C4A12E">
            <wp:extent cx="5962650" cy="920750"/>
            <wp:effectExtent l="0" t="0" r="0" b="0"/>
            <wp:docPr id="96" name="Picture 2" descr="estimated number of unknown eligibles cal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timated number of unknown eligibles calculati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62650" cy="920750"/>
                    </a:xfrm>
                    <a:prstGeom prst="rect">
                      <a:avLst/>
                    </a:prstGeom>
                    <a:noFill/>
                    <a:ln>
                      <a:noFill/>
                    </a:ln>
                  </pic:spPr>
                </pic:pic>
              </a:graphicData>
            </a:graphic>
          </wp:inline>
        </w:drawing>
      </w:r>
    </w:p>
    <w:p w:rsidR="0089511D" w:rsidRDefault="0089511D" w:rsidP="001E4900"/>
    <w:p w:rsidR="0089511D" w:rsidRDefault="0089511D" w:rsidP="001E4900">
      <w:r>
        <w:t xml:space="preserve">The response rate for children is calculated using the same approach as for adults, but </w:t>
      </w:r>
      <w:r w:rsidR="00095D83">
        <w:t>‘</w:t>
      </w:r>
      <w:r>
        <w:t>eligible</w:t>
      </w:r>
      <w:r w:rsidR="00095D83">
        <w:t>’</w:t>
      </w:r>
      <w:r>
        <w:t xml:space="preserve"> means the household contained at least one child and the definition of </w:t>
      </w:r>
      <w:r w:rsidR="00095D83">
        <w:t>‘</w:t>
      </w:r>
      <w:r>
        <w:t>responding</w:t>
      </w:r>
      <w:r w:rsidR="00095D83">
        <w:t>’</w:t>
      </w:r>
      <w:r>
        <w:t xml:space="preserve"> is that a child interview was conducted.</w:t>
      </w:r>
    </w:p>
    <w:p w:rsidR="0089511D" w:rsidRPr="00CC7E24" w:rsidRDefault="0089511D" w:rsidP="001E4900"/>
    <w:p w:rsidR="0089511D" w:rsidRPr="00CC7E24" w:rsidRDefault="0089511D" w:rsidP="001E4900">
      <w:pPr>
        <w:pStyle w:val="Heading2"/>
        <w:rPr>
          <w:lang w:eastAsia="en-US"/>
        </w:rPr>
      </w:pPr>
      <w:bookmarkStart w:id="123" w:name="_Toc339270017"/>
      <w:bookmarkStart w:id="124" w:name="_Toc340501939"/>
      <w:bookmarkStart w:id="125" w:name="_Toc372445559"/>
      <w:bookmarkStart w:id="126" w:name="_Toc403044014"/>
      <w:bookmarkStart w:id="127" w:name="_Toc434934519"/>
      <w:bookmarkStart w:id="128" w:name="_Toc435643013"/>
      <w:r w:rsidRPr="00CC7E24">
        <w:rPr>
          <w:lang w:eastAsia="en-US"/>
        </w:rPr>
        <w:t>Coverage rate</w:t>
      </w:r>
      <w:bookmarkEnd w:id="123"/>
      <w:bookmarkEnd w:id="124"/>
      <w:bookmarkEnd w:id="125"/>
      <w:bookmarkEnd w:id="126"/>
      <w:bookmarkEnd w:id="127"/>
      <w:bookmarkEnd w:id="128"/>
    </w:p>
    <w:p w:rsidR="0089511D" w:rsidRDefault="0089511D" w:rsidP="001E4900">
      <w:pPr>
        <w:rPr>
          <w:sz w:val="20"/>
        </w:rPr>
      </w:pPr>
      <w:r w:rsidRPr="00CC7E24">
        <w:rPr>
          <w:lang w:eastAsia="en-US"/>
        </w:rPr>
        <w:t xml:space="preserve">The coverage rate is an alternative measure related to survey </w:t>
      </w:r>
      <w:r w:rsidRPr="00CC7E24">
        <w:rPr>
          <w:rFonts w:cs="Arial"/>
          <w:lang w:eastAsia="en-US"/>
        </w:rPr>
        <w:t>response and</w:t>
      </w:r>
      <w:r w:rsidRPr="00CC7E24">
        <w:rPr>
          <w:rFonts w:cs="Arial"/>
          <w:color w:val="000000"/>
          <w:lang w:eastAsia="en-NZ"/>
        </w:rPr>
        <w:t xml:space="preserve"> shows the extent to which a population has been involved in a survey. It </w:t>
      </w:r>
      <w:r w:rsidRPr="00CC7E24">
        <w:rPr>
          <w:rFonts w:cs="Arial"/>
          <w:lang w:eastAsia="en-US"/>
        </w:rPr>
        <w:t xml:space="preserve">provides information </w:t>
      </w:r>
      <w:r>
        <w:rPr>
          <w:rFonts w:cs="Arial"/>
          <w:lang w:eastAsia="en-US"/>
        </w:rPr>
        <w:t>on</w:t>
      </w:r>
      <w:r w:rsidRPr="00CC7E24">
        <w:rPr>
          <w:lang w:eastAsia="en-US"/>
        </w:rPr>
        <w:t xml:space="preserve"> the discrepancy between the </w:t>
      </w:r>
      <w:r>
        <w:rPr>
          <w:lang w:eastAsia="en-US"/>
        </w:rPr>
        <w:t xml:space="preserve">responding </w:t>
      </w:r>
      <w:r w:rsidRPr="00CC7E24">
        <w:rPr>
          <w:lang w:eastAsia="en-US"/>
        </w:rPr>
        <w:t xml:space="preserve">sample (weighted by selection weight) and the population. </w:t>
      </w:r>
      <w:r w:rsidRPr="00CC7E24">
        <w:rPr>
          <w:rFonts w:cs="Arial"/>
          <w:color w:val="000000"/>
          <w:lang w:eastAsia="en-NZ"/>
        </w:rPr>
        <w:t>It encompasses the impact of non-response rates</w:t>
      </w:r>
      <w:r>
        <w:rPr>
          <w:rFonts w:cs="Arial"/>
          <w:color w:val="000000"/>
          <w:lang w:eastAsia="en-NZ"/>
        </w:rPr>
        <w:t>,</w:t>
      </w:r>
      <w:r w:rsidRPr="00CC7E24">
        <w:rPr>
          <w:rFonts w:cs="Arial"/>
          <w:color w:val="000000"/>
          <w:lang w:eastAsia="en-NZ"/>
        </w:rPr>
        <w:t xml:space="preserve"> but also </w:t>
      </w:r>
      <w:r>
        <w:rPr>
          <w:rFonts w:cs="Arial"/>
          <w:color w:val="000000"/>
          <w:lang w:eastAsia="en-NZ"/>
        </w:rPr>
        <w:t xml:space="preserve">incorporates </w:t>
      </w:r>
      <w:r w:rsidRPr="00CC7E24">
        <w:rPr>
          <w:rFonts w:cs="Arial"/>
          <w:color w:val="000000"/>
          <w:lang w:eastAsia="en-NZ"/>
        </w:rPr>
        <w:t xml:space="preserve">other factors such as being excluded or missed from the sample frame. </w:t>
      </w:r>
      <w:r w:rsidRPr="00CC7E24">
        <w:rPr>
          <w:lang w:eastAsia="en-US"/>
        </w:rPr>
        <w:t xml:space="preserve">For example, </w:t>
      </w:r>
      <w:r w:rsidRPr="00CC7E24">
        <w:rPr>
          <w:color w:val="000000"/>
        </w:rPr>
        <w:t>dwellings that have just been built</w:t>
      </w:r>
      <w:r w:rsidRPr="00CC7E24">
        <w:rPr>
          <w:lang w:eastAsia="en-US"/>
        </w:rPr>
        <w:t xml:space="preserve"> </w:t>
      </w:r>
      <w:r w:rsidRPr="00CC7E24">
        <w:rPr>
          <w:color w:val="000000"/>
        </w:rPr>
        <w:t>may not be included in the sample frame</w:t>
      </w:r>
      <w:r>
        <w:rPr>
          <w:color w:val="000000"/>
        </w:rPr>
        <w:t>,</w:t>
      </w:r>
      <w:r w:rsidRPr="00CC7E24">
        <w:rPr>
          <w:color w:val="000000"/>
        </w:rPr>
        <w:t xml:space="preserve"> </w:t>
      </w:r>
      <w:r>
        <w:rPr>
          <w:color w:val="000000"/>
        </w:rPr>
        <w:t>in this way</w:t>
      </w:r>
      <w:r w:rsidRPr="00CC7E24">
        <w:rPr>
          <w:color w:val="000000"/>
        </w:rPr>
        <w:t xml:space="preserve"> contributing to under-coverage</w:t>
      </w:r>
      <w:r w:rsidRPr="00CC7E24">
        <w:t>.</w:t>
      </w:r>
    </w:p>
    <w:p w:rsidR="0089511D" w:rsidRDefault="0089511D" w:rsidP="001E4900"/>
    <w:p w:rsidR="0089511D" w:rsidRPr="00CC7E24" w:rsidRDefault="0089511D" w:rsidP="001E4900">
      <w:pPr>
        <w:rPr>
          <w:lang w:eastAsia="en-US"/>
        </w:rPr>
      </w:pPr>
      <w:r w:rsidRPr="00CC7E24">
        <w:rPr>
          <w:lang w:eastAsia="en-US"/>
        </w:rPr>
        <w:t xml:space="preserve">The coverage rate is defined as the ratio of the sum of the selection weights for the survey </w:t>
      </w:r>
      <w:r>
        <w:rPr>
          <w:lang w:eastAsia="en-US"/>
        </w:rPr>
        <w:t xml:space="preserve">respondents </w:t>
      </w:r>
      <w:r w:rsidRPr="00CC7E24">
        <w:rPr>
          <w:lang w:eastAsia="en-US"/>
        </w:rPr>
        <w:t>to the known external population size.</w:t>
      </w:r>
    </w:p>
    <w:p w:rsidR="0089511D" w:rsidRPr="00CC7E24" w:rsidRDefault="0089511D" w:rsidP="001E4900">
      <w:pPr>
        <w:rPr>
          <w:lang w:eastAsia="en-US"/>
        </w:rPr>
      </w:pPr>
    </w:p>
    <w:p w:rsidR="0089511D" w:rsidRPr="00CC7E24" w:rsidRDefault="0089511D" w:rsidP="001E4900">
      <w:pPr>
        <w:rPr>
          <w:lang w:eastAsia="en-US"/>
        </w:rPr>
      </w:pPr>
      <w:r w:rsidRPr="00CC7E24">
        <w:rPr>
          <w:lang w:eastAsia="en-US"/>
        </w:rPr>
        <w:t xml:space="preserve">Unlike the response rate, the coverage rate can be calculated without making any assumption </w:t>
      </w:r>
      <w:r>
        <w:rPr>
          <w:lang w:eastAsia="en-US"/>
        </w:rPr>
        <w:t>about</w:t>
      </w:r>
      <w:r w:rsidRPr="00CC7E24">
        <w:rPr>
          <w:lang w:eastAsia="en-US"/>
        </w:rPr>
        <w:t xml:space="preserve"> how many households with unknown eligibility were in fact eligible. Moreover, the coverage rate can usually be broken down in more detail than the response rate</w:t>
      </w:r>
      <w:r>
        <w:rPr>
          <w:lang w:eastAsia="en-US"/>
        </w:rPr>
        <w:t>, including by individual characteristics</w:t>
      </w:r>
      <w:r w:rsidRPr="00CC7E24">
        <w:rPr>
          <w:lang w:eastAsia="en-US"/>
        </w:rPr>
        <w:t>. However, definitional or operational differences between the survey scope and the external population size (</w:t>
      </w:r>
      <w:proofErr w:type="spellStart"/>
      <w:r>
        <w:rPr>
          <w:lang w:eastAsia="en-US"/>
        </w:rPr>
        <w:t>eg</w:t>
      </w:r>
      <w:proofErr w:type="spellEnd"/>
      <w:r w:rsidRPr="00CC7E24">
        <w:rPr>
          <w:lang w:eastAsia="en-US"/>
        </w:rPr>
        <w:t>, differing definitions of usual residence)</w:t>
      </w:r>
      <w:r w:rsidRPr="005C5599">
        <w:rPr>
          <w:lang w:eastAsia="en-US"/>
        </w:rPr>
        <w:t xml:space="preserve"> </w:t>
      </w:r>
      <w:r w:rsidRPr="00CC7E24">
        <w:rPr>
          <w:lang w:eastAsia="en-US"/>
        </w:rPr>
        <w:t>will affect the coverage rate. As a result, the response rate is generally used as the primary measure of the survey</w:t>
      </w:r>
      <w:r w:rsidR="00095D83">
        <w:rPr>
          <w:lang w:eastAsia="en-US"/>
        </w:rPr>
        <w:t>’</w:t>
      </w:r>
      <w:r w:rsidRPr="00CC7E24">
        <w:rPr>
          <w:lang w:eastAsia="en-US"/>
        </w:rPr>
        <w:t xml:space="preserve">s quality. Some information on the coverage rate is included here to provide more detail on response, particularly response by </w:t>
      </w:r>
      <w:r>
        <w:rPr>
          <w:lang w:eastAsia="en-US"/>
        </w:rPr>
        <w:t xml:space="preserve">ethnicity and </w:t>
      </w:r>
      <w:r w:rsidRPr="00CC7E24">
        <w:rPr>
          <w:lang w:eastAsia="en-US"/>
        </w:rPr>
        <w:t>age group.</w:t>
      </w:r>
    </w:p>
    <w:p w:rsidR="0089511D" w:rsidRPr="00CC7E24" w:rsidRDefault="0089511D" w:rsidP="001E4900">
      <w:pPr>
        <w:rPr>
          <w:lang w:eastAsia="en-US"/>
        </w:rPr>
      </w:pPr>
    </w:p>
    <w:p w:rsidR="0089511D" w:rsidRPr="00CC7E24" w:rsidRDefault="0089511D" w:rsidP="001E4900">
      <w:pPr>
        <w:rPr>
          <w:lang w:eastAsia="en-US"/>
        </w:rPr>
      </w:pPr>
      <w:r w:rsidRPr="00CC7E24">
        <w:rPr>
          <w:lang w:eastAsia="en-US"/>
        </w:rPr>
        <w:t xml:space="preserve">Coverage rates also represent the factor by which the calibrated weighting process </w:t>
      </w:r>
      <w:r>
        <w:rPr>
          <w:lang w:eastAsia="en-US"/>
        </w:rPr>
        <w:t>adjusts</w:t>
      </w:r>
      <w:r w:rsidRPr="00CC7E24">
        <w:rPr>
          <w:lang w:eastAsia="en-US"/>
        </w:rPr>
        <w:t xml:space="preserve"> the selection weights in order to force agreement with </w:t>
      </w:r>
      <w:r>
        <w:rPr>
          <w:lang w:eastAsia="en-US"/>
        </w:rPr>
        <w:t xml:space="preserve">the calibration </w:t>
      </w:r>
      <w:r w:rsidRPr="00CC7E24">
        <w:rPr>
          <w:lang w:eastAsia="en-US"/>
        </w:rPr>
        <w:t>benchmark</w:t>
      </w:r>
      <w:r>
        <w:rPr>
          <w:lang w:eastAsia="en-US"/>
        </w:rPr>
        <w:t>s (see Section 7 for more on calibration)</w:t>
      </w:r>
      <w:r w:rsidRPr="00CC7E24">
        <w:rPr>
          <w:lang w:eastAsia="en-US"/>
        </w:rPr>
        <w:t>.</w:t>
      </w:r>
    </w:p>
    <w:p w:rsidR="0089511D" w:rsidRPr="00CC7E24" w:rsidRDefault="0089511D" w:rsidP="001E4900">
      <w:pPr>
        <w:rPr>
          <w:lang w:eastAsia="en-US"/>
        </w:rPr>
      </w:pPr>
    </w:p>
    <w:p w:rsidR="0089511D" w:rsidRDefault="0089511D" w:rsidP="001E4900">
      <w:r>
        <w:t>For d</w:t>
      </w:r>
      <w:r w:rsidRPr="00CC7E24">
        <w:t>eta</w:t>
      </w:r>
      <w:r>
        <w:t>ils of the coverage rates in 2014/15, see</w:t>
      </w:r>
      <w:r w:rsidRPr="00CC7E24">
        <w:t xml:space="preserve"> </w:t>
      </w:r>
      <w:r>
        <w:t>S</w:t>
      </w:r>
      <w:r w:rsidRPr="00CC7E24">
        <w:t xml:space="preserve">ection </w:t>
      </w:r>
      <w:r>
        <w:t>9</w:t>
      </w:r>
      <w:r w:rsidRPr="00CC7E24">
        <w:t>.</w:t>
      </w:r>
    </w:p>
    <w:p w:rsidR="0089511D" w:rsidRDefault="0089511D" w:rsidP="001E4900"/>
    <w:p w:rsidR="0089511D" w:rsidRDefault="0089511D" w:rsidP="0089511D">
      <w:pPr>
        <w:spacing w:line="240" w:lineRule="auto"/>
      </w:pPr>
      <w:r>
        <w:br w:type="page"/>
      </w:r>
    </w:p>
    <w:p w:rsidR="0089511D" w:rsidRPr="00CC7E24" w:rsidRDefault="0089511D" w:rsidP="001E4900">
      <w:pPr>
        <w:pStyle w:val="Heading1"/>
      </w:pPr>
      <w:bookmarkStart w:id="129" w:name="_Toc434934520"/>
      <w:bookmarkStart w:id="130" w:name="_Toc435643014"/>
      <w:r>
        <w:lastRenderedPageBreak/>
        <w:t>Section 6: Data processing</w:t>
      </w:r>
      <w:bookmarkEnd w:id="129"/>
      <w:bookmarkEnd w:id="130"/>
    </w:p>
    <w:p w:rsidR="0089511D" w:rsidRPr="00CC7E24" w:rsidRDefault="0089511D" w:rsidP="001E4900">
      <w:pPr>
        <w:pStyle w:val="Heading2"/>
      </w:pPr>
      <w:bookmarkStart w:id="131" w:name="_Toc434934521"/>
      <w:bookmarkStart w:id="132" w:name="_Toc435643015"/>
      <w:r w:rsidRPr="00CC7E24">
        <w:t>Capture and coding</w:t>
      </w:r>
      <w:bookmarkEnd w:id="131"/>
      <w:bookmarkEnd w:id="132"/>
    </w:p>
    <w:p w:rsidR="0089511D" w:rsidRDefault="0089511D" w:rsidP="001E4900">
      <w:r w:rsidRPr="00CC7E24">
        <w:t>Questionnaire responses are entered directly on interviewers</w:t>
      </w:r>
      <w:r w:rsidR="00095D83">
        <w:t>’</w:t>
      </w:r>
      <w:r w:rsidRPr="00CC7E24">
        <w:t xml:space="preserve"> laptops using </w:t>
      </w:r>
      <w:r>
        <w:t xml:space="preserve">The </w:t>
      </w:r>
      <w:r w:rsidRPr="00CC7E24">
        <w:t xml:space="preserve">Survey System </w:t>
      </w:r>
      <w:r>
        <w:t>c</w:t>
      </w:r>
      <w:r w:rsidRPr="00CC7E24">
        <w:t>omputer</w:t>
      </w:r>
      <w:r>
        <w:t>-a</w:t>
      </w:r>
      <w:r w:rsidRPr="00CC7E24">
        <w:t xml:space="preserve">ssisted </w:t>
      </w:r>
      <w:r>
        <w:t>p</w:t>
      </w:r>
      <w:r w:rsidRPr="00CC7E24">
        <w:t xml:space="preserve">ersonal </w:t>
      </w:r>
      <w:r>
        <w:t>i</w:t>
      </w:r>
      <w:r w:rsidRPr="00CC7E24">
        <w:t>nterview (CAPI) software.</w:t>
      </w:r>
    </w:p>
    <w:p w:rsidR="0089511D" w:rsidRDefault="0089511D" w:rsidP="001E4900"/>
    <w:p w:rsidR="0089511D" w:rsidRPr="00CC7E24" w:rsidRDefault="0089511D" w:rsidP="001E4900">
      <w:r w:rsidRPr="00CC7E24">
        <w:t>Most questions have single-response options or require discrete numerical responses, such as age at the time of a specific event or the number of visits to a specific medical professional. However, a number of questions allow for multiple responses. For these questions all responses are retained, with each response shown as a separate variable on the data file.</w:t>
      </w:r>
    </w:p>
    <w:p w:rsidR="0089511D" w:rsidRPr="00CC7E24" w:rsidRDefault="0089511D" w:rsidP="001E4900"/>
    <w:p w:rsidR="0089511D" w:rsidRPr="00CC7E24" w:rsidRDefault="0089511D" w:rsidP="001E4900">
      <w:r w:rsidRPr="00CC7E24">
        <w:t xml:space="preserve">In addition, a number of questions in the questionnaire offer an </w:t>
      </w:r>
      <w:r w:rsidR="00095D83">
        <w:t>‘</w:t>
      </w:r>
      <w:r w:rsidRPr="00CC7E24">
        <w:t>other</w:t>
      </w:r>
      <w:r w:rsidR="00095D83">
        <w:t>’</w:t>
      </w:r>
      <w:r w:rsidRPr="00CC7E24">
        <w:t xml:space="preserve"> category, where respondents c</w:t>
      </w:r>
      <w:r>
        <w:t>an</w:t>
      </w:r>
      <w:r w:rsidRPr="00CC7E24">
        <w:t xml:space="preserve"> specify non-standard responses. Each </w:t>
      </w:r>
      <w:r w:rsidR="00095D83">
        <w:t>‘</w:t>
      </w:r>
      <w:r w:rsidRPr="00CC7E24">
        <w:t>other</w:t>
      </w:r>
      <w:r w:rsidR="00095D83">
        <w:t>’</w:t>
      </w:r>
      <w:r w:rsidRPr="00CC7E24">
        <w:t xml:space="preserve"> category response is recorded (in free text). </w:t>
      </w:r>
      <w:r>
        <w:t>For each of these</w:t>
      </w:r>
      <w:r w:rsidRPr="00CC7E24">
        <w:t xml:space="preserve"> response</w:t>
      </w:r>
      <w:r>
        <w:t>s, the coders</w:t>
      </w:r>
      <w:r w:rsidRPr="00CC7E24">
        <w:t xml:space="preserve"> then</w:t>
      </w:r>
      <w:r>
        <w:t xml:space="preserve"> choose one of the following options:</w:t>
      </w:r>
      <w:r w:rsidRPr="00CC7E24">
        <w:t xml:space="preserve"> re</w:t>
      </w:r>
      <w:r>
        <w:noBreakHyphen/>
      </w:r>
      <w:r w:rsidRPr="00CC7E24">
        <w:t>categorise</w:t>
      </w:r>
      <w:r>
        <w:t xml:space="preserve"> it</w:t>
      </w:r>
      <w:r w:rsidRPr="00CC7E24">
        <w:t xml:space="preserve"> to an existing code</w:t>
      </w:r>
      <w:r>
        <w:t>;</w:t>
      </w:r>
      <w:r w:rsidRPr="00CC7E24">
        <w:t xml:space="preserve"> code</w:t>
      </w:r>
      <w:r>
        <w:t xml:space="preserve"> it</w:t>
      </w:r>
      <w:r w:rsidRPr="00CC7E24">
        <w:t xml:space="preserve"> to a newly set-up </w:t>
      </w:r>
      <w:r w:rsidR="00095D83">
        <w:t>‘</w:t>
      </w:r>
      <w:r w:rsidRPr="00CC7E24">
        <w:t>standard</w:t>
      </w:r>
      <w:r w:rsidR="00095D83">
        <w:t>’</w:t>
      </w:r>
      <w:r w:rsidRPr="00CC7E24">
        <w:t xml:space="preserve"> code</w:t>
      </w:r>
      <w:r>
        <w:t>;</w:t>
      </w:r>
      <w:r w:rsidRPr="00CC7E24">
        <w:t xml:space="preserve"> or code</w:t>
      </w:r>
      <w:r>
        <w:t xml:space="preserve"> it</w:t>
      </w:r>
      <w:r w:rsidRPr="00CC7E24">
        <w:t xml:space="preserve"> as </w:t>
      </w:r>
      <w:r w:rsidR="00095D83">
        <w:t>‘</w:t>
      </w:r>
      <w:r w:rsidRPr="00CC7E24">
        <w:t>other</w:t>
      </w:r>
      <w:r w:rsidR="00095D83">
        <w:t>’</w:t>
      </w:r>
      <w:r w:rsidRPr="00CC7E24">
        <w:t>. This coding is checked by both CBG and the Ministry of Health.</w:t>
      </w:r>
    </w:p>
    <w:p w:rsidR="0089511D" w:rsidRDefault="0089511D" w:rsidP="001E4900"/>
    <w:p w:rsidR="0089511D" w:rsidRDefault="0089511D" w:rsidP="001E4900">
      <w:r w:rsidRPr="00E747E0">
        <w:t xml:space="preserve">Ethnicity is self-defined, and respondents are able to report affiliation with more than one ethnic group using the Statistics New Zealand standard ethnicity question. </w:t>
      </w:r>
      <w:r>
        <w:t>Responses to the ethnicity question are coded to level 3 of the 2005 standard ethnicity classification.</w:t>
      </w:r>
    </w:p>
    <w:p w:rsidR="0089511D" w:rsidRPr="00CC7E24" w:rsidRDefault="0089511D" w:rsidP="001E4900"/>
    <w:p w:rsidR="0089511D" w:rsidRPr="00CC7E24" w:rsidRDefault="0089511D" w:rsidP="001E4900">
      <w:pPr>
        <w:pStyle w:val="Heading2"/>
      </w:pPr>
      <w:bookmarkStart w:id="133" w:name="_Toc434934522"/>
      <w:bookmarkStart w:id="134" w:name="_Toc435643016"/>
      <w:r w:rsidRPr="00CC7E24">
        <w:t>Security of information</w:t>
      </w:r>
      <w:bookmarkEnd w:id="133"/>
      <w:bookmarkEnd w:id="134"/>
    </w:p>
    <w:p w:rsidR="0089511D" w:rsidRPr="00CC7E24" w:rsidRDefault="0089511D" w:rsidP="001E4900">
      <w:r w:rsidRPr="00CC7E24">
        <w:t>Any information collect</w:t>
      </w:r>
      <w:r>
        <w:t>ed</w:t>
      </w:r>
      <w:r w:rsidRPr="00CC7E24">
        <w:t xml:space="preserve"> in the survey that could be used to identify individuals is treated as strictly confidential. Data are transferred daily from interviewers</w:t>
      </w:r>
      <w:r w:rsidR="00095D83">
        <w:t>’</w:t>
      </w:r>
      <w:r w:rsidRPr="00CC7E24">
        <w:t xml:space="preserve"> laptops to CBG by a secure internet upload facility. The Ministry access</w:t>
      </w:r>
      <w:r>
        <w:t>es</w:t>
      </w:r>
      <w:r w:rsidRPr="00CC7E24">
        <w:t xml:space="preserve"> the data through the CBG website </w:t>
      </w:r>
      <w:r>
        <w:t>using</w:t>
      </w:r>
      <w:r w:rsidRPr="00CC7E24">
        <w:t xml:space="preserve"> a secur</w:t>
      </w:r>
      <w:r>
        <w:t xml:space="preserve">e </w:t>
      </w:r>
      <w:r w:rsidRPr="00CC7E24">
        <w:t>log</w:t>
      </w:r>
      <w:r>
        <w:t>-</w:t>
      </w:r>
      <w:r w:rsidRPr="00CC7E24">
        <w:t>in username</w:t>
      </w:r>
      <w:r>
        <w:t xml:space="preserve"> and </w:t>
      </w:r>
      <w:r w:rsidRPr="00CC7E24">
        <w:t>password.</w:t>
      </w:r>
    </w:p>
    <w:p w:rsidR="0089511D" w:rsidRPr="00CC7E24" w:rsidRDefault="0089511D" w:rsidP="001E4900"/>
    <w:p w:rsidR="0089511D" w:rsidRPr="00CC7E24" w:rsidRDefault="0089511D" w:rsidP="001E4900">
      <w:r>
        <w:t>The n</w:t>
      </w:r>
      <w:r w:rsidRPr="00CC7E24">
        <w:t xml:space="preserve">ames and addresses of people and households </w:t>
      </w:r>
      <w:r>
        <w:t>that</w:t>
      </w:r>
      <w:r w:rsidRPr="00CC7E24">
        <w:t xml:space="preserve"> participate in the survey are not stored with response data. Unit record data are stored in a secure area and are only accessible on a restricted basis.</w:t>
      </w:r>
    </w:p>
    <w:p w:rsidR="0089511D" w:rsidRPr="00CC7E24" w:rsidRDefault="0089511D" w:rsidP="001E4900"/>
    <w:p w:rsidR="0089511D" w:rsidRPr="00CC7E24" w:rsidRDefault="0089511D" w:rsidP="001E4900">
      <w:pPr>
        <w:pStyle w:val="Heading2"/>
      </w:pPr>
      <w:bookmarkStart w:id="135" w:name="_Toc434934523"/>
      <w:bookmarkStart w:id="136" w:name="_Toc435643017"/>
      <w:r w:rsidRPr="00CC7E24">
        <w:t>Checking and editing</w:t>
      </w:r>
      <w:bookmarkEnd w:id="135"/>
      <w:bookmarkEnd w:id="136"/>
    </w:p>
    <w:p w:rsidR="0089511D" w:rsidRPr="00CC7E24" w:rsidRDefault="0089511D" w:rsidP="001E4900">
      <w:r w:rsidRPr="00CC7E24">
        <w:t>CBG and the Ministry both undertake routine checking and editing of the data throughout the field period of the NZHS. In addition, the final unit record data sets provided to the Ministry are edited for range and logic. Any inconsistencies found are remedied by returning to the interviewer and, if necessary, to the respondent for clarification and correction.</w:t>
      </w:r>
    </w:p>
    <w:p w:rsidR="0089511D" w:rsidRPr="00CC7E24" w:rsidRDefault="0089511D" w:rsidP="001E4900"/>
    <w:p w:rsidR="0089511D" w:rsidRPr="00CC7E24" w:rsidRDefault="0089511D" w:rsidP="001E4900">
      <w:pPr>
        <w:pStyle w:val="Heading2"/>
      </w:pPr>
      <w:bookmarkStart w:id="137" w:name="_Toc434934524"/>
      <w:bookmarkStart w:id="138" w:name="_Toc435643018"/>
      <w:r>
        <w:lastRenderedPageBreak/>
        <w:t>Missing data due to non-response</w:t>
      </w:r>
      <w:bookmarkEnd w:id="137"/>
      <w:bookmarkEnd w:id="138"/>
    </w:p>
    <w:p w:rsidR="0089511D" w:rsidRDefault="0089511D" w:rsidP="001E4900">
      <w:pPr>
        <w:keepNext/>
      </w:pPr>
      <w:r>
        <w:t>Unit n</w:t>
      </w:r>
      <w:r w:rsidRPr="00CC7E24">
        <w:t xml:space="preserve">on-response is adjusted for in the calculation of weights, </w:t>
      </w:r>
      <w:r>
        <w:t>as described in Section 7</w:t>
      </w:r>
      <w:r w:rsidRPr="00CC7E24">
        <w:t>.</w:t>
      </w:r>
      <w:r>
        <w:t xml:space="preserve"> Weighting is also used to adjust for non-response to the measurement phase of the interview.</w:t>
      </w:r>
    </w:p>
    <w:p w:rsidR="0089511D" w:rsidRDefault="0089511D" w:rsidP="001E4900">
      <w:pPr>
        <w:keepNext/>
      </w:pPr>
    </w:p>
    <w:p w:rsidR="0089511D" w:rsidRDefault="0089511D" w:rsidP="001E4900">
      <w:pPr>
        <w:keepNext/>
      </w:pPr>
      <w:r>
        <w:t>A</w:t>
      </w:r>
      <w:r w:rsidRPr="00CC7E24">
        <w:t>lmost all questions have less than 1</w:t>
      </w:r>
      <w:r>
        <w:t> percent of</w:t>
      </w:r>
      <w:r w:rsidRPr="00CC7E24">
        <w:t xml:space="preserve"> missing data due to </w:t>
      </w:r>
      <w:r w:rsidR="00095D83">
        <w:t>‘</w:t>
      </w:r>
      <w:r w:rsidRPr="00CC7E24">
        <w:t>don</w:t>
      </w:r>
      <w:r w:rsidR="00095D83">
        <w:t>’</w:t>
      </w:r>
      <w:r w:rsidRPr="00CC7E24">
        <w:t>t know</w:t>
      </w:r>
      <w:r w:rsidR="00095D83">
        <w:t>’</w:t>
      </w:r>
      <w:r w:rsidRPr="00CC7E24">
        <w:t xml:space="preserve"> responses and refusals</w:t>
      </w:r>
      <w:r>
        <w:t>.</w:t>
      </w:r>
      <w:r w:rsidRPr="00CC7E24">
        <w:t xml:space="preserve"> </w:t>
      </w:r>
      <w:r>
        <w:t>The exceptions are:</w:t>
      </w:r>
    </w:p>
    <w:p w:rsidR="0089511D" w:rsidRDefault="0089511D" w:rsidP="001E4900">
      <w:pPr>
        <w:pStyle w:val="Bullet"/>
      </w:pPr>
      <w:r>
        <w:t>personal income and household income (between 10% and 20% non-response)</w:t>
      </w:r>
    </w:p>
    <w:p w:rsidR="0089511D" w:rsidRDefault="0089511D" w:rsidP="001E4900">
      <w:pPr>
        <w:pStyle w:val="Bullet"/>
      </w:pPr>
      <w:proofErr w:type="gramStart"/>
      <w:r>
        <w:t>questions</w:t>
      </w:r>
      <w:proofErr w:type="gramEnd"/>
      <w:r>
        <w:t xml:space="preserve"> that ask for the cost of the respondent</w:t>
      </w:r>
      <w:r w:rsidR="00095D83">
        <w:t>’</w:t>
      </w:r>
      <w:r>
        <w:t>s last GP or nurse visit (around 3–4% non-response).</w:t>
      </w:r>
    </w:p>
    <w:p w:rsidR="0089511D" w:rsidRDefault="0089511D" w:rsidP="001E4900"/>
    <w:p w:rsidR="0089511D" w:rsidRPr="00CC7E24" w:rsidRDefault="0089511D" w:rsidP="001E4900">
      <w:r>
        <w:t>Where a respondent does not provide their date of birth or their age in years, age is imputed as the midpoint of the age group they have provided. No other imputation is used to deal with item non-response.</w:t>
      </w:r>
    </w:p>
    <w:p w:rsidR="0089511D" w:rsidRPr="00CC7E24" w:rsidRDefault="0089511D" w:rsidP="001E4900"/>
    <w:p w:rsidR="0089511D" w:rsidRPr="00CC7E24" w:rsidRDefault="0089511D" w:rsidP="001E4900">
      <w:pPr>
        <w:pStyle w:val="Heading2"/>
      </w:pPr>
      <w:bookmarkStart w:id="139" w:name="_Toc434934525"/>
      <w:bookmarkStart w:id="140" w:name="_Toc435643019"/>
      <w:r w:rsidRPr="00CC7E24">
        <w:t>Creation of derived variables</w:t>
      </w:r>
      <w:bookmarkEnd w:id="139"/>
      <w:bookmarkEnd w:id="140"/>
    </w:p>
    <w:p w:rsidR="0089511D" w:rsidRPr="00CC7E24" w:rsidRDefault="0089511D" w:rsidP="001E4900">
      <w:r w:rsidRPr="00CC7E24">
        <w:t xml:space="preserve">A number of derived variables are created on the NZHS data set. </w:t>
      </w:r>
      <w:r>
        <w:t>S</w:t>
      </w:r>
      <w:r w:rsidRPr="00CC7E24">
        <w:t>tandard definitions are used</w:t>
      </w:r>
      <w:r>
        <w:t xml:space="preserve"> where possible. A</w:t>
      </w:r>
      <w:r w:rsidRPr="00CC7E24">
        <w:t>ll derivations are thoroughly checked.</w:t>
      </w:r>
    </w:p>
    <w:p w:rsidR="0089511D" w:rsidRPr="00CC7E24" w:rsidRDefault="0089511D" w:rsidP="001E4900"/>
    <w:p w:rsidR="0089511D" w:rsidRDefault="0089511D" w:rsidP="001E4900">
      <w:r w:rsidRPr="00CC7E24">
        <w:t xml:space="preserve">Derived variables such as </w:t>
      </w:r>
      <w:r>
        <w:t xml:space="preserve">Body Mass Index (BMI), Alcohol Use Disorders Identification Test (AUDIT) and level of psychological distress (K10) </w:t>
      </w:r>
      <w:r w:rsidRPr="00CC7E24">
        <w:t xml:space="preserve">are based on commonly used or standard definitions. Other derived variables – such as a summary indicator of physical activity level that incorporates information on the intensity, duration and frequency of physical activity </w:t>
      </w:r>
      <w:r>
        <w:t xml:space="preserve">– </w:t>
      </w:r>
      <w:r w:rsidRPr="00CC7E24">
        <w:t>are developed specifically for the analysis of the survey.</w:t>
      </w:r>
    </w:p>
    <w:p w:rsidR="0089511D" w:rsidRDefault="0089511D" w:rsidP="001E4900"/>
    <w:p w:rsidR="0089511D" w:rsidRDefault="0089511D" w:rsidP="001E4900">
      <w:pPr>
        <w:pStyle w:val="Heading3"/>
      </w:pPr>
      <w:r>
        <w:t>Outliers</w:t>
      </w:r>
    </w:p>
    <w:p w:rsidR="0089511D" w:rsidRDefault="0089511D" w:rsidP="001E4900">
      <w:r>
        <w:t>Respondents with height and weight measurements that lead to a calculated BMI of less than 10</w:t>
      </w:r>
      <w:r w:rsidR="001E4900">
        <w:t> </w:t>
      </w:r>
      <w:r>
        <w:t>or greater than 80 are treated as non-respondents to the measurement phase of the interview.</w:t>
      </w:r>
    </w:p>
    <w:p w:rsidR="0089511D" w:rsidRDefault="0089511D" w:rsidP="001E4900"/>
    <w:p w:rsidR="0089511D" w:rsidRPr="00CC7E24" w:rsidRDefault="0089511D" w:rsidP="001E4900">
      <w:r>
        <w:t>Respondents who report more than 112 hours of physical activity per week (an average of 16</w:t>
      </w:r>
      <w:r w:rsidR="001E4900">
        <w:t> </w:t>
      </w:r>
      <w:r>
        <w:t>hours per day) are excluded from the derived summary measure of physical activity.</w:t>
      </w:r>
    </w:p>
    <w:p w:rsidR="0089511D" w:rsidRPr="00CC7E24" w:rsidRDefault="0089511D" w:rsidP="001E4900">
      <w:pPr>
        <w:rPr>
          <w:highlight w:val="yellow"/>
        </w:rPr>
      </w:pPr>
    </w:p>
    <w:p w:rsidR="0089511D" w:rsidRDefault="0089511D" w:rsidP="001E4900">
      <w:pPr>
        <w:pStyle w:val="Heading3"/>
        <w:rPr>
          <w:rFonts w:eastAsia="Cambria"/>
          <w:lang w:eastAsia="en-US"/>
        </w:rPr>
      </w:pPr>
      <w:r>
        <w:rPr>
          <w:rFonts w:eastAsia="Cambria"/>
          <w:lang w:eastAsia="en-US"/>
        </w:rPr>
        <w:t>Ethnicity</w:t>
      </w:r>
    </w:p>
    <w:p w:rsidR="0089511D" w:rsidRDefault="0089511D" w:rsidP="001E4900">
      <w:r>
        <w:t xml:space="preserve">Ethnic group variables are derived using the concept of </w:t>
      </w:r>
      <w:r w:rsidRPr="008D080D">
        <w:rPr>
          <w:b/>
        </w:rPr>
        <w:t>total response ethnicity</w:t>
      </w:r>
      <w:r w:rsidRPr="001E4900">
        <w:t xml:space="preserve"> </w:t>
      </w:r>
      <w:r w:rsidRPr="00E747E0">
        <w:t xml:space="preserve">(Statistics New Zealand 2005). This means that </w:t>
      </w:r>
      <w:r>
        <w:t xml:space="preserve">respondents can </w:t>
      </w:r>
      <w:r w:rsidRPr="00E747E0">
        <w:t>appear in</w:t>
      </w:r>
      <w:r>
        <w:t>, and contribute to the published statistics for,</w:t>
      </w:r>
      <w:r w:rsidRPr="00E747E0">
        <w:t xml:space="preserve"> more than one ethnic group.</w:t>
      </w:r>
    </w:p>
    <w:p w:rsidR="0089511D" w:rsidRDefault="0089511D" w:rsidP="001E4900"/>
    <w:p w:rsidR="0089511D" w:rsidRDefault="0089511D" w:rsidP="001E4900">
      <w:r>
        <w:t xml:space="preserve">NZHS reports generally provide statistics for the </w:t>
      </w:r>
      <w:r w:rsidRPr="00E747E0">
        <w:t>following four ethnic groups: M</w:t>
      </w:r>
      <w:r>
        <w:t>ā</w:t>
      </w:r>
      <w:r w:rsidRPr="00E747E0">
        <w:t>ori, Pacific, Asian, and European/</w:t>
      </w:r>
      <w:proofErr w:type="gramStart"/>
      <w:r w:rsidRPr="00E747E0">
        <w:t>Other</w:t>
      </w:r>
      <w:proofErr w:type="gramEnd"/>
      <w:r w:rsidRPr="00E747E0">
        <w:t xml:space="preserve">. The </w:t>
      </w:r>
      <w:r w:rsidR="00095D83">
        <w:t>‘</w:t>
      </w:r>
      <w:r w:rsidRPr="00E747E0">
        <w:t>Other</w:t>
      </w:r>
      <w:r w:rsidR="00095D83">
        <w:t>’</w:t>
      </w:r>
      <w:r w:rsidRPr="00E747E0">
        <w:t xml:space="preserve"> ethnic group (comprising mainly Middle-Eastern, Latin-American and African ethnicities</w:t>
      </w:r>
      <w:r w:rsidR="00B02BF4">
        <w:t>, and those who answer ‘New Zealander’</w:t>
      </w:r>
      <w:r w:rsidRPr="00E747E0">
        <w:t xml:space="preserve">) has been combined with European to avoid </w:t>
      </w:r>
      <w:r>
        <w:t>problems with small sample sizes</w:t>
      </w:r>
      <w:r w:rsidRPr="00E747E0">
        <w:t>.</w:t>
      </w:r>
    </w:p>
    <w:p w:rsidR="0089511D" w:rsidRDefault="0089511D" w:rsidP="001E4900"/>
    <w:p w:rsidR="00B02BF4" w:rsidRDefault="00B02BF4" w:rsidP="001E4900"/>
    <w:p w:rsidR="00095D83" w:rsidRDefault="00095D83" w:rsidP="001E4900"/>
    <w:p w:rsidR="0089511D" w:rsidRDefault="0089511D" w:rsidP="001E4900"/>
    <w:p w:rsidR="0089511D" w:rsidRPr="00CC7E24" w:rsidRDefault="0089511D" w:rsidP="001E4900">
      <w:pPr>
        <w:pStyle w:val="Heading3"/>
      </w:pPr>
      <w:r w:rsidRPr="00CC7E24">
        <w:lastRenderedPageBreak/>
        <w:t>Neighbourhood deprivation</w:t>
      </w:r>
    </w:p>
    <w:p w:rsidR="0089511D" w:rsidRPr="00CC7E24" w:rsidRDefault="0089511D" w:rsidP="001E4900">
      <w:r w:rsidRPr="00CC7E24">
        <w:t>Neighbourhood deprivation refers to the New Z</w:t>
      </w:r>
      <w:r>
        <w:t>ealand Index of Deprivation 2013 (NZDep2013</w:t>
      </w:r>
      <w:r w:rsidRPr="00CC7E24">
        <w:t xml:space="preserve">), </w:t>
      </w:r>
      <w:r>
        <w:t xml:space="preserve">developed by researchers at the University of </w:t>
      </w:r>
      <w:proofErr w:type="spellStart"/>
      <w:r>
        <w:t>Otago</w:t>
      </w:r>
      <w:proofErr w:type="spellEnd"/>
      <w:r>
        <w:t xml:space="preserve"> (Atkinson et al 2014). NZDep2013 </w:t>
      </w:r>
      <w:r w:rsidRPr="00CC7E24">
        <w:t>measures the level of socioeconomic deprivation for each neighbourhood (</w:t>
      </w:r>
      <w:proofErr w:type="spellStart"/>
      <w:r w:rsidRPr="00CC7E24">
        <w:t>meshblock</w:t>
      </w:r>
      <w:proofErr w:type="spellEnd"/>
      <w:r w:rsidRPr="00CC7E24">
        <w:t>) according to a c</w:t>
      </w:r>
      <w:r>
        <w:t>ombination of the following 2013</w:t>
      </w:r>
      <w:r w:rsidRPr="00CC7E24">
        <w:t xml:space="preserve"> Census variables: income, benefit receipt, transport (access to car), household crowding, home ownership, employment status, qualifications, support (sole-parent families) and access to a telephone.</w:t>
      </w:r>
    </w:p>
    <w:p w:rsidR="0089511D" w:rsidRPr="00CC7E24" w:rsidRDefault="0089511D" w:rsidP="001E4900"/>
    <w:p w:rsidR="0089511D" w:rsidRDefault="0089511D" w:rsidP="001E4900">
      <w:r>
        <w:t>NZHS reports generally use NZDep2013</w:t>
      </w:r>
      <w:r w:rsidRPr="00CC7E24">
        <w:t xml:space="preserve"> quintiles</w:t>
      </w:r>
      <w:r>
        <w:t>, where q</w:t>
      </w:r>
      <w:r w:rsidRPr="00CC7E24">
        <w:t>uintile 1 represents the 20</w:t>
      </w:r>
      <w:r>
        <w:t> percent</w:t>
      </w:r>
      <w:r w:rsidRPr="00CC7E24">
        <w:t xml:space="preserve"> of </w:t>
      </w:r>
      <w:r>
        <w:t xml:space="preserve">small </w:t>
      </w:r>
      <w:r w:rsidRPr="00CC7E24">
        <w:t>areas with the lowest levels of deprivation (</w:t>
      </w:r>
      <w:r>
        <w:t xml:space="preserve">the </w:t>
      </w:r>
      <w:r w:rsidRPr="00CC7E24">
        <w:t>least deprived areas) and quintile 5 represents the 20</w:t>
      </w:r>
      <w:r>
        <w:t xml:space="preserve"> percent</w:t>
      </w:r>
      <w:r w:rsidRPr="00CC7E24">
        <w:t xml:space="preserve"> of</w:t>
      </w:r>
      <w:r>
        <w:t xml:space="preserve"> small</w:t>
      </w:r>
      <w:r w:rsidRPr="00CC7E24">
        <w:t xml:space="preserve"> areas with the highest level of deprivation (</w:t>
      </w:r>
      <w:r>
        <w:t xml:space="preserve">the </w:t>
      </w:r>
      <w:r w:rsidRPr="00CC7E24">
        <w:t>most deprived areas).</w:t>
      </w:r>
    </w:p>
    <w:p w:rsidR="0089511D" w:rsidRDefault="0089511D" w:rsidP="001E4900"/>
    <w:p w:rsidR="00095D83" w:rsidRDefault="0089511D" w:rsidP="001E4900">
      <w:r>
        <w:t xml:space="preserve">A small number of </w:t>
      </w:r>
      <w:proofErr w:type="spellStart"/>
      <w:r>
        <w:t>meshblocks</w:t>
      </w:r>
      <w:proofErr w:type="spellEnd"/>
      <w:r>
        <w:t xml:space="preserve"> do not have a value for NZDep2013. If any of these </w:t>
      </w:r>
      <w:proofErr w:type="spellStart"/>
      <w:r>
        <w:t>meshblocks</w:t>
      </w:r>
      <w:proofErr w:type="spellEnd"/>
      <w:r>
        <w:t xml:space="preserve"> are selected in the NZHS, the respondents are assigned to quintile 3 (</w:t>
      </w:r>
      <w:proofErr w:type="spellStart"/>
      <w:r>
        <w:t>ie</w:t>
      </w:r>
      <w:proofErr w:type="spellEnd"/>
      <w:r>
        <w:t>, the middle quintile) for weighting and analysis purposes.</w:t>
      </w:r>
    </w:p>
    <w:p w:rsidR="001E4900" w:rsidRDefault="001E4900" w:rsidP="001E4900"/>
    <w:p w:rsidR="0089511D" w:rsidRPr="00CC7E24" w:rsidRDefault="0089511D" w:rsidP="001E4900">
      <w:pPr>
        <w:pStyle w:val="Heading1"/>
      </w:pPr>
      <w:r w:rsidRPr="00CC7E24">
        <w:br w:type="page"/>
      </w:r>
      <w:bookmarkStart w:id="141" w:name="_Toc339270018"/>
      <w:bookmarkStart w:id="142" w:name="_Toc340501940"/>
      <w:bookmarkStart w:id="143" w:name="_Toc372445560"/>
      <w:bookmarkStart w:id="144" w:name="_Toc434934526"/>
      <w:bookmarkStart w:id="145" w:name="_Toc435643020"/>
      <w:r w:rsidRPr="00CC7E24">
        <w:lastRenderedPageBreak/>
        <w:t xml:space="preserve">Section </w:t>
      </w:r>
      <w:r>
        <w:t>7</w:t>
      </w:r>
      <w:r w:rsidRPr="00CC7E24">
        <w:t>: Weighting</w:t>
      </w:r>
      <w:bookmarkEnd w:id="141"/>
      <w:bookmarkEnd w:id="142"/>
      <w:bookmarkEnd w:id="143"/>
      <w:bookmarkEnd w:id="144"/>
      <w:bookmarkEnd w:id="145"/>
    </w:p>
    <w:p w:rsidR="0089511D" w:rsidRDefault="0089511D" w:rsidP="001E4900">
      <w:pPr>
        <w:rPr>
          <w:rFonts w:eastAsia="Cambria"/>
          <w:lang w:eastAsia="en-US"/>
        </w:rPr>
      </w:pPr>
      <w:r w:rsidRPr="00CC7E24">
        <w:t>Weighting of survey data ensures the estimates calculated from th</w:t>
      </w:r>
      <w:r>
        <w:t>ese</w:t>
      </w:r>
      <w:r w:rsidRPr="00CC7E24">
        <w:t xml:space="preserve"> data are representative of the target population.</w:t>
      </w:r>
    </w:p>
    <w:p w:rsidR="0089511D" w:rsidRDefault="0089511D" w:rsidP="001E4900">
      <w:pPr>
        <w:rPr>
          <w:rFonts w:eastAsia="Cambria"/>
          <w:lang w:eastAsia="en-US"/>
        </w:rPr>
      </w:pPr>
    </w:p>
    <w:p w:rsidR="0089511D" w:rsidRPr="00CC7E24" w:rsidRDefault="0089511D" w:rsidP="001E4900">
      <w:pPr>
        <w:rPr>
          <w:rFonts w:eastAsia="Cambria"/>
          <w:lang w:eastAsia="en-US"/>
        </w:rPr>
      </w:pPr>
      <w:r w:rsidRPr="00CC7E24">
        <w:rPr>
          <w:rFonts w:eastAsia="Cambria"/>
          <w:lang w:eastAsia="en-US"/>
        </w:rPr>
        <w:t>Most national surveys have complex sample designs where</w:t>
      </w:r>
      <w:r>
        <w:rPr>
          <w:rFonts w:eastAsia="Cambria"/>
          <w:lang w:eastAsia="en-US"/>
        </w:rPr>
        <w:t>by</w:t>
      </w:r>
      <w:r w:rsidRPr="00CC7E24">
        <w:rPr>
          <w:rFonts w:eastAsia="Cambria"/>
          <w:lang w:eastAsia="en-US"/>
        </w:rPr>
        <w:t xml:space="preserve"> different </w:t>
      </w:r>
      <w:r w:rsidRPr="001B6D3B">
        <w:rPr>
          <w:rFonts w:eastAsia="Cambria"/>
          <w:lang w:eastAsia="en-US"/>
        </w:rPr>
        <w:t>groups have different chances of being selected in the survey. These complex designs are used</w:t>
      </w:r>
      <w:r w:rsidRPr="00CC7E24">
        <w:rPr>
          <w:rFonts w:eastAsia="Cambria"/>
          <w:lang w:eastAsia="en-US"/>
        </w:rPr>
        <w:t xml:space="preserve"> for a variety of purposes</w:t>
      </w:r>
      <w:r>
        <w:rPr>
          <w:rFonts w:eastAsia="Cambria"/>
          <w:lang w:eastAsia="en-US"/>
        </w:rPr>
        <w:t>, in particular to</w:t>
      </w:r>
      <w:r w:rsidRPr="00CC7E24">
        <w:rPr>
          <w:rFonts w:eastAsia="Cambria"/>
          <w:lang w:eastAsia="en-US"/>
        </w:rPr>
        <w:t>:</w:t>
      </w:r>
    </w:p>
    <w:p w:rsidR="0089511D" w:rsidRPr="00CC7E24" w:rsidRDefault="0089511D" w:rsidP="001E4900">
      <w:pPr>
        <w:pStyle w:val="Bullet"/>
        <w:rPr>
          <w:rFonts w:eastAsia="Cambria"/>
          <w:lang w:eastAsia="en-US"/>
        </w:rPr>
      </w:pPr>
      <w:r w:rsidRPr="00CC7E24">
        <w:rPr>
          <w:rFonts w:eastAsia="Cambria"/>
          <w:lang w:eastAsia="en-US"/>
        </w:rPr>
        <w:t>reduc</w:t>
      </w:r>
      <w:r>
        <w:rPr>
          <w:rFonts w:eastAsia="Cambria"/>
          <w:lang w:eastAsia="en-US"/>
        </w:rPr>
        <w:t>e</w:t>
      </w:r>
      <w:r w:rsidRPr="00CC7E24">
        <w:rPr>
          <w:rFonts w:eastAsia="Cambria"/>
          <w:lang w:eastAsia="en-US"/>
        </w:rPr>
        <w:t xml:space="preserve"> interviewer travel costs by ensuring the sample is geographically clustered</w:t>
      </w:r>
    </w:p>
    <w:p w:rsidR="0089511D" w:rsidRPr="00CC7E24" w:rsidRDefault="0089511D" w:rsidP="001E4900">
      <w:pPr>
        <w:pStyle w:val="Bullet"/>
        <w:rPr>
          <w:rFonts w:eastAsia="Cambria"/>
          <w:lang w:eastAsia="en-US"/>
        </w:rPr>
      </w:pPr>
      <w:r w:rsidRPr="00CC7E24">
        <w:rPr>
          <w:rFonts w:eastAsia="Cambria"/>
          <w:lang w:eastAsia="en-US"/>
        </w:rPr>
        <w:t>ensur</w:t>
      </w:r>
      <w:r>
        <w:rPr>
          <w:rFonts w:eastAsia="Cambria"/>
          <w:lang w:eastAsia="en-US"/>
        </w:rPr>
        <w:t>e</w:t>
      </w:r>
      <w:r w:rsidRPr="00CC7E24">
        <w:rPr>
          <w:rFonts w:eastAsia="Cambria"/>
          <w:lang w:eastAsia="en-US"/>
        </w:rPr>
        <w:t xml:space="preserve"> all regions of interest, including small regions, have </w:t>
      </w:r>
      <w:r>
        <w:rPr>
          <w:rFonts w:eastAsia="Cambria"/>
          <w:lang w:eastAsia="en-US"/>
        </w:rPr>
        <w:t xml:space="preserve">a </w:t>
      </w:r>
      <w:r w:rsidRPr="00CC7E24">
        <w:rPr>
          <w:rFonts w:eastAsia="Cambria"/>
          <w:lang w:eastAsia="en-US"/>
        </w:rPr>
        <w:t>sufficient sample</w:t>
      </w:r>
      <w:r>
        <w:rPr>
          <w:rFonts w:eastAsia="Cambria"/>
          <w:lang w:eastAsia="en-US"/>
        </w:rPr>
        <w:t xml:space="preserve"> size</w:t>
      </w:r>
      <w:r w:rsidRPr="00CC7E24">
        <w:rPr>
          <w:rFonts w:eastAsia="Cambria"/>
          <w:lang w:eastAsia="en-US"/>
        </w:rPr>
        <w:t xml:space="preserve"> </w:t>
      </w:r>
      <w:r>
        <w:rPr>
          <w:rFonts w:eastAsia="Cambria"/>
          <w:lang w:eastAsia="en-US"/>
        </w:rPr>
        <w:t>for</w:t>
      </w:r>
      <w:r w:rsidRPr="00CC7E24">
        <w:rPr>
          <w:rFonts w:eastAsia="Cambria"/>
          <w:lang w:eastAsia="en-US"/>
        </w:rPr>
        <w:t xml:space="preserve"> adequate estimates</w:t>
      </w:r>
      <w:r>
        <w:rPr>
          <w:rFonts w:eastAsia="Cambria"/>
          <w:lang w:eastAsia="en-US"/>
        </w:rPr>
        <w:t xml:space="preserve"> to be made</w:t>
      </w:r>
    </w:p>
    <w:p w:rsidR="0089511D" w:rsidRPr="00CC7E24" w:rsidRDefault="0089511D" w:rsidP="001E4900">
      <w:pPr>
        <w:pStyle w:val="Bullet"/>
        <w:rPr>
          <w:rFonts w:eastAsia="Cambria"/>
          <w:lang w:eastAsia="en-US"/>
        </w:rPr>
      </w:pPr>
      <w:proofErr w:type="gramStart"/>
      <w:r w:rsidRPr="00CC7E24">
        <w:rPr>
          <w:rFonts w:eastAsia="Cambria"/>
          <w:lang w:eastAsia="en-US"/>
        </w:rPr>
        <w:t>ensur</w:t>
      </w:r>
      <w:r>
        <w:rPr>
          <w:rFonts w:eastAsia="Cambria"/>
          <w:lang w:eastAsia="en-US"/>
        </w:rPr>
        <w:t>e</w:t>
      </w:r>
      <w:proofErr w:type="gramEnd"/>
      <w:r w:rsidRPr="00CC7E24">
        <w:rPr>
          <w:rFonts w:eastAsia="Cambria"/>
          <w:lang w:eastAsia="en-US"/>
        </w:rPr>
        <w:t xml:space="preserve"> </w:t>
      </w:r>
      <w:r>
        <w:rPr>
          <w:rFonts w:eastAsia="Cambria"/>
          <w:lang w:eastAsia="en-US"/>
        </w:rPr>
        <w:t>important</w:t>
      </w:r>
      <w:r w:rsidRPr="00CC7E24">
        <w:rPr>
          <w:rFonts w:eastAsia="Cambria"/>
          <w:lang w:eastAsia="en-US"/>
        </w:rPr>
        <w:t xml:space="preserve"> sub</w:t>
      </w:r>
      <w:r>
        <w:rPr>
          <w:rFonts w:eastAsia="Cambria"/>
          <w:lang w:eastAsia="en-US"/>
        </w:rPr>
        <w:t>-</w:t>
      </w:r>
      <w:r w:rsidRPr="00CC7E24">
        <w:rPr>
          <w:rFonts w:eastAsia="Cambria"/>
          <w:lang w:eastAsia="en-US"/>
        </w:rPr>
        <w:t xml:space="preserve">populations, in particular the Māori, Pacific and Asian </w:t>
      </w:r>
      <w:r>
        <w:rPr>
          <w:rFonts w:eastAsia="Cambria"/>
          <w:lang w:eastAsia="en-US"/>
        </w:rPr>
        <w:t>ethnic groups</w:t>
      </w:r>
      <w:r w:rsidRPr="00CC7E24">
        <w:rPr>
          <w:rFonts w:eastAsia="Cambria"/>
          <w:lang w:eastAsia="en-US"/>
        </w:rPr>
        <w:t xml:space="preserve">, have </w:t>
      </w:r>
      <w:r>
        <w:rPr>
          <w:rFonts w:eastAsia="Cambria"/>
          <w:lang w:eastAsia="en-US"/>
        </w:rPr>
        <w:t xml:space="preserve">a </w:t>
      </w:r>
      <w:r w:rsidRPr="00CC7E24">
        <w:rPr>
          <w:rFonts w:eastAsia="Cambria"/>
          <w:lang w:eastAsia="en-US"/>
        </w:rPr>
        <w:t xml:space="preserve">sufficient sample </w:t>
      </w:r>
      <w:r>
        <w:rPr>
          <w:rFonts w:eastAsia="Cambria"/>
          <w:lang w:eastAsia="en-US"/>
        </w:rPr>
        <w:t>size for</w:t>
      </w:r>
      <w:r w:rsidRPr="00CC7E24">
        <w:rPr>
          <w:rFonts w:eastAsia="Cambria"/>
          <w:lang w:eastAsia="en-US"/>
        </w:rPr>
        <w:t xml:space="preserve"> adequate estimates</w:t>
      </w:r>
      <w:r>
        <w:rPr>
          <w:rFonts w:eastAsia="Cambria"/>
          <w:lang w:eastAsia="en-US"/>
        </w:rPr>
        <w:t xml:space="preserve"> to be made</w:t>
      </w:r>
      <w:r w:rsidRPr="00CC7E24">
        <w:rPr>
          <w:rFonts w:eastAsia="Cambria"/>
          <w:lang w:eastAsia="en-US"/>
        </w:rPr>
        <w:t>.</w:t>
      </w:r>
    </w:p>
    <w:p w:rsidR="0089511D" w:rsidRPr="00CC7E24" w:rsidRDefault="0089511D" w:rsidP="001E4900">
      <w:pPr>
        <w:rPr>
          <w:rFonts w:eastAsia="Cambria"/>
          <w:lang w:eastAsia="en-US"/>
        </w:rPr>
      </w:pPr>
    </w:p>
    <w:p w:rsidR="0089511D" w:rsidRPr="00CC7E24" w:rsidRDefault="0089511D" w:rsidP="001E4900">
      <w:pPr>
        <w:rPr>
          <w:rFonts w:eastAsia="Cambria"/>
          <w:lang w:eastAsia="en-US"/>
        </w:rPr>
      </w:pPr>
      <w:r w:rsidRPr="00CC7E24">
        <w:rPr>
          <w:rFonts w:eastAsia="Cambria"/>
          <w:lang w:eastAsia="en-US"/>
        </w:rPr>
        <w:t xml:space="preserve">To ensure no group is under- or over-represented in estimates from a survey, a method of calculating estimates </w:t>
      </w:r>
      <w:r>
        <w:rPr>
          <w:rFonts w:eastAsia="Cambria"/>
          <w:lang w:eastAsia="en-US"/>
        </w:rPr>
        <w:t>that</w:t>
      </w:r>
      <w:r w:rsidRPr="00CC7E24">
        <w:rPr>
          <w:rFonts w:eastAsia="Cambria"/>
          <w:lang w:eastAsia="en-US"/>
        </w:rPr>
        <w:t xml:space="preserve"> reflects the sample design must be used. Estimation weights are used to achieve this aim.</w:t>
      </w:r>
    </w:p>
    <w:p w:rsidR="0089511D" w:rsidRPr="00CC7E24" w:rsidRDefault="0089511D" w:rsidP="001E4900">
      <w:pPr>
        <w:rPr>
          <w:rFonts w:eastAsia="Cambria"/>
          <w:lang w:eastAsia="en-US"/>
        </w:rPr>
      </w:pPr>
    </w:p>
    <w:p w:rsidR="0089511D" w:rsidRPr="00CC7E24" w:rsidRDefault="0089511D" w:rsidP="001E4900">
      <w:pPr>
        <w:rPr>
          <w:rFonts w:eastAsia="Cambria"/>
          <w:lang w:eastAsia="en-US"/>
        </w:rPr>
      </w:pPr>
      <w:r w:rsidRPr="00CC7E24">
        <w:rPr>
          <w:rFonts w:eastAsia="Cambria"/>
          <w:lang w:eastAsia="en-US"/>
        </w:rPr>
        <w:t xml:space="preserve">A weight is calculated for every respondent, and these weights are used in calculating estimates of population totals (counts), averages and proportions. Typically, members of groups </w:t>
      </w:r>
      <w:r>
        <w:rPr>
          <w:rFonts w:eastAsia="Cambria"/>
          <w:lang w:eastAsia="en-US"/>
        </w:rPr>
        <w:t>that</w:t>
      </w:r>
      <w:r w:rsidRPr="00CC7E24">
        <w:rPr>
          <w:rFonts w:eastAsia="Cambria"/>
          <w:lang w:eastAsia="en-US"/>
        </w:rPr>
        <w:t xml:space="preserve"> have </w:t>
      </w:r>
      <w:r>
        <w:rPr>
          <w:rFonts w:eastAsia="Cambria"/>
          <w:lang w:eastAsia="en-US"/>
        </w:rPr>
        <w:t xml:space="preserve">a </w:t>
      </w:r>
      <w:r w:rsidRPr="00CC7E24">
        <w:rPr>
          <w:rFonts w:eastAsia="Cambria"/>
          <w:lang w:eastAsia="en-US"/>
        </w:rPr>
        <w:t xml:space="preserve">lower chance of selection are assigned a higher weight, so that these groups are not under-represented in estimates. Conversely, groups with </w:t>
      </w:r>
      <w:r>
        <w:rPr>
          <w:rFonts w:eastAsia="Cambria"/>
          <w:lang w:eastAsia="en-US"/>
        </w:rPr>
        <w:t xml:space="preserve">a </w:t>
      </w:r>
      <w:r w:rsidRPr="00CC7E24">
        <w:rPr>
          <w:rFonts w:eastAsia="Cambria"/>
          <w:lang w:eastAsia="en-US"/>
        </w:rPr>
        <w:t xml:space="preserve">higher chance of selection receive lower weights. Also, groups </w:t>
      </w:r>
      <w:r>
        <w:rPr>
          <w:rFonts w:eastAsia="Cambria"/>
          <w:lang w:eastAsia="en-US"/>
        </w:rPr>
        <w:t>that</w:t>
      </w:r>
      <w:r w:rsidRPr="00CC7E24">
        <w:rPr>
          <w:rFonts w:eastAsia="Cambria"/>
          <w:lang w:eastAsia="en-US"/>
        </w:rPr>
        <w:t xml:space="preserve"> have a lower response rate (</w:t>
      </w:r>
      <w:proofErr w:type="spellStart"/>
      <w:r>
        <w:rPr>
          <w:rFonts w:eastAsia="Cambria"/>
          <w:lang w:eastAsia="en-US"/>
        </w:rPr>
        <w:t>eg</w:t>
      </w:r>
      <w:proofErr w:type="spellEnd"/>
      <w:r w:rsidRPr="00CC7E24">
        <w:rPr>
          <w:rFonts w:eastAsia="Cambria"/>
          <w:lang w:eastAsia="en-US"/>
        </w:rPr>
        <w:t>, young men) are usually assigned a higher weight so that these groups are correctly represented in all estimates from the survey.</w:t>
      </w:r>
    </w:p>
    <w:p w:rsidR="0089511D" w:rsidRPr="00CC7E24" w:rsidRDefault="0089511D" w:rsidP="001E4900">
      <w:pPr>
        <w:rPr>
          <w:rFonts w:eastAsia="Cambria"/>
          <w:lang w:eastAsia="en-US"/>
        </w:rPr>
      </w:pPr>
    </w:p>
    <w:p w:rsidR="0089511D" w:rsidRPr="00CC7E24" w:rsidRDefault="0089511D" w:rsidP="001E4900">
      <w:pPr>
        <w:rPr>
          <w:rFonts w:eastAsia="Cambria"/>
          <w:lang w:eastAsia="en-US"/>
        </w:rPr>
      </w:pPr>
      <w:r w:rsidRPr="00CC7E24">
        <w:rPr>
          <w:rFonts w:eastAsia="Cambria"/>
          <w:lang w:eastAsia="en-US"/>
        </w:rPr>
        <w:t>The NZHS uses the calibrated weighting method to:</w:t>
      </w:r>
    </w:p>
    <w:p w:rsidR="0089511D" w:rsidRPr="00CC7E24" w:rsidRDefault="0089511D" w:rsidP="001E4900">
      <w:pPr>
        <w:pStyle w:val="Bullet"/>
        <w:rPr>
          <w:rFonts w:eastAsia="Cambria"/>
          <w:lang w:eastAsia="en-US"/>
        </w:rPr>
      </w:pPr>
      <w:r w:rsidRPr="00CC7E24">
        <w:rPr>
          <w:rFonts w:eastAsia="Cambria"/>
          <w:lang w:eastAsia="en-US"/>
        </w:rPr>
        <w:t>reflect the probabilities of selection of each respondent</w:t>
      </w:r>
    </w:p>
    <w:p w:rsidR="0089511D" w:rsidRPr="00CC7E24" w:rsidRDefault="0089511D" w:rsidP="001E4900">
      <w:pPr>
        <w:pStyle w:val="Bullet"/>
        <w:rPr>
          <w:rFonts w:eastAsia="Cambria"/>
          <w:lang w:eastAsia="en-US"/>
        </w:rPr>
      </w:pPr>
      <w:proofErr w:type="gramStart"/>
      <w:r w:rsidRPr="00CC7E24">
        <w:rPr>
          <w:rFonts w:eastAsia="Cambria"/>
          <w:lang w:eastAsia="en-US"/>
        </w:rPr>
        <w:t>make</w:t>
      </w:r>
      <w:proofErr w:type="gramEnd"/>
      <w:r w:rsidRPr="00CC7E24">
        <w:rPr>
          <w:rFonts w:eastAsia="Cambria"/>
          <w:lang w:eastAsia="en-US"/>
        </w:rPr>
        <w:t xml:space="preserve"> use of external population benchmarks (typically </w:t>
      </w:r>
      <w:r>
        <w:rPr>
          <w:rFonts w:eastAsia="Cambria"/>
          <w:lang w:eastAsia="en-US"/>
        </w:rPr>
        <w:t>based on the</w:t>
      </w:r>
      <w:r w:rsidRPr="00CC7E24">
        <w:rPr>
          <w:rFonts w:eastAsia="Cambria"/>
          <w:lang w:eastAsia="en-US"/>
        </w:rPr>
        <w:t xml:space="preserve"> population </w:t>
      </w:r>
      <w:r>
        <w:rPr>
          <w:rFonts w:eastAsia="Cambria"/>
          <w:lang w:eastAsia="en-US"/>
        </w:rPr>
        <w:t>C</w:t>
      </w:r>
      <w:r w:rsidRPr="00CC7E24">
        <w:rPr>
          <w:rFonts w:eastAsia="Cambria"/>
          <w:lang w:eastAsia="en-US"/>
        </w:rPr>
        <w:t>ensus) to correct for any discrepancies between the sample and the population benchmarks</w:t>
      </w:r>
      <w:r>
        <w:rPr>
          <w:rFonts w:eastAsia="Cambria"/>
          <w:lang w:eastAsia="en-US"/>
        </w:rPr>
        <w:t>;</w:t>
      </w:r>
      <w:r w:rsidRPr="00CC7E24">
        <w:rPr>
          <w:rFonts w:eastAsia="Cambria"/>
          <w:lang w:eastAsia="en-US"/>
        </w:rPr>
        <w:t xml:space="preserve"> </w:t>
      </w:r>
      <w:r>
        <w:rPr>
          <w:rFonts w:eastAsia="Cambria"/>
          <w:lang w:eastAsia="en-US"/>
        </w:rPr>
        <w:t>t</w:t>
      </w:r>
      <w:r w:rsidRPr="00CC7E24">
        <w:rPr>
          <w:rFonts w:eastAsia="Cambria"/>
          <w:lang w:eastAsia="en-US"/>
        </w:rPr>
        <w:t>his improves the precision of estimates and reduces bias due to non-response.</w:t>
      </w:r>
    </w:p>
    <w:p w:rsidR="0089511D" w:rsidRPr="00CC7E24" w:rsidRDefault="0089511D" w:rsidP="001E4900">
      <w:pPr>
        <w:rPr>
          <w:rFonts w:eastAsia="Cambria"/>
          <w:lang w:eastAsia="en-US"/>
        </w:rPr>
      </w:pPr>
    </w:p>
    <w:p w:rsidR="0089511D" w:rsidRPr="00CC7E24" w:rsidRDefault="0089511D" w:rsidP="001E4900">
      <w:pPr>
        <w:rPr>
          <w:rFonts w:eastAsia="Cambria"/>
          <w:lang w:eastAsia="en-US"/>
        </w:rPr>
      </w:pPr>
      <w:r>
        <w:rPr>
          <w:rFonts w:eastAsia="Cambria"/>
          <w:lang w:eastAsia="en-US"/>
        </w:rPr>
        <w:t>Data from each calendar quarter of t</w:t>
      </w:r>
      <w:r w:rsidRPr="00CC7E24">
        <w:rPr>
          <w:rFonts w:eastAsia="Cambria"/>
          <w:lang w:eastAsia="en-US"/>
        </w:rPr>
        <w:t>he NZHS data</w:t>
      </w:r>
      <w:r>
        <w:rPr>
          <w:rFonts w:eastAsia="Cambria"/>
          <w:lang w:eastAsia="en-US"/>
        </w:rPr>
        <w:t xml:space="preserve"> </w:t>
      </w:r>
      <w:r w:rsidRPr="00CC7E24">
        <w:rPr>
          <w:rFonts w:eastAsia="Cambria"/>
          <w:lang w:eastAsia="en-US"/>
        </w:rPr>
        <w:t xml:space="preserve">set </w:t>
      </w:r>
      <w:r>
        <w:rPr>
          <w:rFonts w:eastAsia="Cambria"/>
          <w:lang w:eastAsia="en-US"/>
        </w:rPr>
        <w:t>are</w:t>
      </w:r>
      <w:r w:rsidRPr="00CC7E24">
        <w:rPr>
          <w:rFonts w:eastAsia="Cambria"/>
          <w:lang w:eastAsia="en-US"/>
        </w:rPr>
        <w:t xml:space="preserve"> weighted separately </w:t>
      </w:r>
      <w:r>
        <w:rPr>
          <w:rFonts w:eastAsia="Cambria"/>
          <w:lang w:eastAsia="en-US"/>
        </w:rPr>
        <w:t>to</w:t>
      </w:r>
      <w:r w:rsidRPr="00CC7E24">
        <w:rPr>
          <w:rFonts w:eastAsia="Cambria"/>
          <w:lang w:eastAsia="en-US"/>
        </w:rPr>
        <w:t xml:space="preserve"> population benchmarks</w:t>
      </w:r>
      <w:r>
        <w:rPr>
          <w:rFonts w:eastAsia="Cambria"/>
          <w:lang w:eastAsia="en-US"/>
        </w:rPr>
        <w:t xml:space="preserve"> for that quarter</w:t>
      </w:r>
      <w:r w:rsidRPr="00CC7E24">
        <w:rPr>
          <w:rFonts w:eastAsia="Cambria"/>
          <w:lang w:eastAsia="en-US"/>
        </w:rPr>
        <w:t>. This means that each quarter</w:t>
      </w:r>
      <w:r w:rsidR="00095D83">
        <w:rPr>
          <w:rFonts w:eastAsia="Cambria"/>
          <w:lang w:eastAsia="en-US"/>
        </w:rPr>
        <w:t>’</w:t>
      </w:r>
      <w:r>
        <w:rPr>
          <w:rFonts w:eastAsia="Cambria"/>
          <w:lang w:eastAsia="en-US"/>
        </w:rPr>
        <w:t>s data</w:t>
      </w:r>
      <w:r w:rsidRPr="00CC7E24">
        <w:rPr>
          <w:rFonts w:eastAsia="Cambria"/>
          <w:lang w:eastAsia="en-US"/>
        </w:rPr>
        <w:t xml:space="preserve"> can be used to produce valid population estimates.</w:t>
      </w:r>
    </w:p>
    <w:p w:rsidR="0089511D" w:rsidRPr="00CC7E24" w:rsidRDefault="0089511D" w:rsidP="001E4900">
      <w:pPr>
        <w:rPr>
          <w:rFonts w:eastAsia="Cambria"/>
          <w:lang w:eastAsia="en-US"/>
        </w:rPr>
      </w:pPr>
    </w:p>
    <w:p w:rsidR="0089511D" w:rsidRPr="00CC7E24" w:rsidRDefault="0089511D" w:rsidP="001E4900">
      <w:pPr>
        <w:pStyle w:val="Heading2"/>
        <w:rPr>
          <w:lang w:eastAsia="en-US"/>
        </w:rPr>
      </w:pPr>
      <w:bookmarkStart w:id="146" w:name="_Toc339270019"/>
      <w:bookmarkStart w:id="147" w:name="_Toc340501941"/>
      <w:bookmarkStart w:id="148" w:name="_Toc372445561"/>
      <w:bookmarkStart w:id="149" w:name="_Toc434934527"/>
      <w:bookmarkStart w:id="150" w:name="_Toc435643021"/>
      <w:r w:rsidRPr="00CC7E24">
        <w:rPr>
          <w:lang w:eastAsia="en-US"/>
        </w:rPr>
        <w:t>Calculation of selection weights</w:t>
      </w:r>
      <w:bookmarkEnd w:id="146"/>
      <w:bookmarkEnd w:id="147"/>
      <w:bookmarkEnd w:id="148"/>
      <w:bookmarkEnd w:id="149"/>
      <w:bookmarkEnd w:id="150"/>
    </w:p>
    <w:p w:rsidR="00095D83" w:rsidRDefault="0089511D" w:rsidP="001E4900">
      <w:pPr>
        <w:rPr>
          <w:rFonts w:eastAsia="Cambria"/>
          <w:lang w:eastAsia="en-US"/>
        </w:rPr>
      </w:pPr>
      <w:r w:rsidRPr="001B4E9C">
        <w:rPr>
          <w:rFonts w:eastAsia="Cambria"/>
          <w:lang w:eastAsia="en-US"/>
        </w:rPr>
        <w:t>The first step in producing calibrated weights is to calculate a selection probability</w:t>
      </w:r>
      <w:r w:rsidRPr="00CC7E24">
        <w:rPr>
          <w:rFonts w:eastAsia="Cambria"/>
          <w:lang w:eastAsia="en-US"/>
        </w:rPr>
        <w:t xml:space="preserve"> (</w:t>
      </w:r>
      <w:r>
        <w:rPr>
          <w:rFonts w:eastAsia="Cambria"/>
          <w:lang w:eastAsia="en-US"/>
        </w:rPr>
        <w:t xml:space="preserve">and hence </w:t>
      </w:r>
      <w:r w:rsidRPr="00CC7E24">
        <w:rPr>
          <w:rFonts w:eastAsia="Cambria"/>
          <w:lang w:eastAsia="en-US"/>
        </w:rPr>
        <w:t>selection weight) for each respondent.</w:t>
      </w:r>
      <w:r>
        <w:rPr>
          <w:rFonts w:eastAsia="Cambria"/>
          <w:lang w:eastAsia="en-US"/>
        </w:rPr>
        <w:t xml:space="preserve"> It is crucial to calculate selection weights correctly to avoid bias in the final calibrated estimators.</w:t>
      </w:r>
    </w:p>
    <w:p w:rsidR="0089511D" w:rsidRPr="00CC7E24" w:rsidRDefault="0089511D" w:rsidP="001E4900">
      <w:pPr>
        <w:rPr>
          <w:rFonts w:eastAsia="Cambria"/>
          <w:lang w:eastAsia="en-US"/>
        </w:rPr>
      </w:pPr>
    </w:p>
    <w:p w:rsidR="0089511D" w:rsidRPr="00CC7E24" w:rsidRDefault="0089511D" w:rsidP="001E4900">
      <w:pPr>
        <w:rPr>
          <w:rFonts w:eastAsia="Cambria"/>
          <w:lang w:eastAsia="en-US"/>
        </w:rPr>
      </w:pPr>
      <w:r>
        <w:rPr>
          <w:rFonts w:eastAsia="Cambria"/>
          <w:lang w:eastAsia="en-US"/>
        </w:rPr>
        <w:t>S</w:t>
      </w:r>
      <w:r w:rsidRPr="00CC7E24">
        <w:rPr>
          <w:rFonts w:eastAsia="Cambria"/>
          <w:lang w:eastAsia="en-US"/>
        </w:rPr>
        <w:t xml:space="preserve">election weights </w:t>
      </w:r>
      <w:r>
        <w:rPr>
          <w:rFonts w:eastAsia="Cambria"/>
          <w:lang w:eastAsia="en-US"/>
        </w:rPr>
        <w:t>for</w:t>
      </w:r>
      <w:r w:rsidRPr="00CC7E24">
        <w:rPr>
          <w:rFonts w:eastAsia="Cambria"/>
          <w:lang w:eastAsia="en-US"/>
        </w:rPr>
        <w:t xml:space="preserve"> the area</w:t>
      </w:r>
      <w:r>
        <w:rPr>
          <w:rFonts w:eastAsia="Cambria"/>
          <w:lang w:eastAsia="en-US"/>
        </w:rPr>
        <w:t>-based</w:t>
      </w:r>
      <w:r w:rsidRPr="00CC7E24">
        <w:rPr>
          <w:rFonts w:eastAsia="Cambria"/>
          <w:lang w:eastAsia="en-US"/>
        </w:rPr>
        <w:t xml:space="preserve"> sample and the electoral roll sample</w:t>
      </w:r>
      <w:r>
        <w:rPr>
          <w:rFonts w:eastAsia="Cambria"/>
          <w:lang w:eastAsia="en-US"/>
        </w:rPr>
        <w:t xml:space="preserve"> are calculated in different ways</w:t>
      </w:r>
      <w:r w:rsidRPr="00CC7E24">
        <w:rPr>
          <w:rFonts w:eastAsia="Cambria"/>
          <w:lang w:eastAsia="en-US"/>
        </w:rPr>
        <w:t>.</w:t>
      </w:r>
    </w:p>
    <w:p w:rsidR="0089511D" w:rsidRPr="00CC7E24" w:rsidRDefault="0089511D" w:rsidP="001E4900">
      <w:pPr>
        <w:rPr>
          <w:rFonts w:eastAsia="Cambria"/>
          <w:lang w:eastAsia="en-US"/>
        </w:rPr>
      </w:pPr>
    </w:p>
    <w:p w:rsidR="0089511D" w:rsidRPr="00CC7E24" w:rsidRDefault="0089511D" w:rsidP="001E4900">
      <w:pPr>
        <w:pStyle w:val="Heading3"/>
        <w:rPr>
          <w:rFonts w:eastAsia="Cambria"/>
          <w:lang w:eastAsia="en-US"/>
        </w:rPr>
      </w:pPr>
      <w:r w:rsidRPr="00CC7E24">
        <w:rPr>
          <w:rFonts w:eastAsia="Cambria"/>
          <w:lang w:eastAsia="en-US"/>
        </w:rPr>
        <w:lastRenderedPageBreak/>
        <w:t>Area</w:t>
      </w:r>
      <w:r>
        <w:rPr>
          <w:rFonts w:eastAsia="Cambria"/>
          <w:lang w:eastAsia="en-US"/>
        </w:rPr>
        <w:t>-based</w:t>
      </w:r>
      <w:r w:rsidRPr="00CC7E24">
        <w:rPr>
          <w:rFonts w:eastAsia="Cambria"/>
          <w:lang w:eastAsia="en-US"/>
        </w:rPr>
        <w:t xml:space="preserve"> sample</w:t>
      </w:r>
    </w:p>
    <w:p w:rsidR="0089511D" w:rsidRPr="00CC7E24" w:rsidRDefault="0089511D" w:rsidP="001E4900">
      <w:pPr>
        <w:pStyle w:val="Bullet"/>
        <w:rPr>
          <w:rFonts w:eastAsia="Cambria"/>
          <w:lang w:eastAsia="en-US"/>
        </w:rPr>
      </w:pPr>
      <w:r w:rsidRPr="00CC7E24">
        <w:rPr>
          <w:rFonts w:eastAsia="Cambria"/>
          <w:lang w:eastAsia="en-US"/>
        </w:rPr>
        <w:t xml:space="preserve">The probability of a </w:t>
      </w:r>
      <w:proofErr w:type="spellStart"/>
      <w:r w:rsidRPr="00CC7E24">
        <w:rPr>
          <w:rFonts w:eastAsia="Cambria"/>
          <w:lang w:eastAsia="en-US"/>
        </w:rPr>
        <w:t>meshblock</w:t>
      </w:r>
      <w:proofErr w:type="spellEnd"/>
      <w:r w:rsidRPr="00CC7E24">
        <w:rPr>
          <w:rFonts w:eastAsia="Cambria"/>
          <w:lang w:eastAsia="en-US"/>
        </w:rPr>
        <w:t xml:space="preserve"> </w:t>
      </w:r>
      <w:proofErr w:type="spellStart"/>
      <w:r w:rsidRPr="00100B6E">
        <w:rPr>
          <w:rFonts w:eastAsia="Cambria"/>
          <w:i/>
          <w:lang w:eastAsia="en-US"/>
        </w:rPr>
        <w:t>i</w:t>
      </w:r>
      <w:proofErr w:type="spellEnd"/>
      <w:r w:rsidRPr="00CC7E24">
        <w:rPr>
          <w:rFonts w:eastAsia="Cambria"/>
          <w:lang w:eastAsia="en-US"/>
        </w:rPr>
        <w:t xml:space="preserve"> being selected in the area</w:t>
      </w:r>
      <w:r>
        <w:rPr>
          <w:rFonts w:eastAsia="Cambria"/>
          <w:lang w:eastAsia="en-US"/>
        </w:rPr>
        <w:t>-based</w:t>
      </w:r>
      <w:r w:rsidRPr="00CC7E24">
        <w:rPr>
          <w:rFonts w:eastAsia="Cambria"/>
          <w:lang w:eastAsia="en-US"/>
        </w:rPr>
        <w:t xml:space="preserve"> sample</w:t>
      </w:r>
      <w:r>
        <w:rPr>
          <w:rFonts w:eastAsia="Cambria"/>
          <w:lang w:eastAsia="en-US"/>
        </w:rPr>
        <w:t xml:space="preserve"> (A)</w:t>
      </w:r>
      <w:r w:rsidRPr="00CC7E24">
        <w:rPr>
          <w:rFonts w:eastAsia="Cambria"/>
          <w:lang w:eastAsia="en-US"/>
        </w:rPr>
        <w:t xml:space="preserve"> </w:t>
      </w:r>
      <w:proofErr w:type="gramStart"/>
      <w:r w:rsidRPr="00CC7E24">
        <w:rPr>
          <w:rFonts w:eastAsia="Cambria"/>
          <w:lang w:eastAsia="en-US"/>
        </w:rPr>
        <w:t>is</w:t>
      </w:r>
      <w:proofErr w:type="gramEnd"/>
      <w:r w:rsidRPr="00CC7E24">
        <w:rPr>
          <w:rFonts w:eastAsia="Cambria"/>
          <w:lang w:eastAsia="en-US"/>
        </w:rPr>
        <w:t xml:space="preserve"> written</w:t>
      </w:r>
      <w:r>
        <w:rPr>
          <w:rFonts w:eastAsia="Cambria"/>
          <w:lang w:eastAsia="en-US"/>
        </w:rPr>
        <w:t xml:space="preserve"> as</w:t>
      </w:r>
      <w:r w:rsidRPr="00CC7E24">
        <w:rPr>
          <w:rFonts w:eastAsia="Cambria"/>
          <w:lang w:eastAsia="en-US"/>
        </w:rPr>
        <w:t xml:space="preserve"> </w:t>
      </w:r>
      <w:r w:rsidRPr="00100B6E">
        <w:rPr>
          <w:rFonts w:ascii="Symbol" w:hAnsi="Symbol"/>
          <w:i/>
        </w:rPr>
        <w:t></w:t>
      </w:r>
      <w:r w:rsidRPr="00100B6E">
        <w:rPr>
          <w:i/>
          <w:vertAlign w:val="subscript"/>
        </w:rPr>
        <w:t>Ai</w:t>
      </w:r>
      <w:r w:rsidRPr="00CC7E24">
        <w:rPr>
          <w:rFonts w:eastAsia="Cambria"/>
          <w:lang w:eastAsia="en-US"/>
        </w:rPr>
        <w:t xml:space="preserve">. The values of </w:t>
      </w:r>
      <w:r w:rsidRPr="00100B6E">
        <w:rPr>
          <w:rFonts w:ascii="Symbol" w:hAnsi="Symbol"/>
          <w:i/>
        </w:rPr>
        <w:t></w:t>
      </w:r>
      <w:r w:rsidRPr="00100B6E">
        <w:rPr>
          <w:i/>
          <w:vertAlign w:val="subscript"/>
        </w:rPr>
        <w:t>Ai</w:t>
      </w:r>
      <w:r w:rsidRPr="003B5C38">
        <w:rPr>
          <w:rFonts w:eastAsia="Cambria"/>
          <w:i/>
          <w:lang w:eastAsia="en-US"/>
        </w:rPr>
        <w:t xml:space="preserve"> </w:t>
      </w:r>
      <w:r w:rsidRPr="00CC7E24">
        <w:rPr>
          <w:rFonts w:eastAsia="Cambria"/>
          <w:lang w:eastAsia="en-US"/>
        </w:rPr>
        <w:t xml:space="preserve">are greater than 0 for all </w:t>
      </w:r>
      <w:proofErr w:type="spellStart"/>
      <w:r w:rsidRPr="00CC7E24">
        <w:rPr>
          <w:rFonts w:eastAsia="Cambria"/>
          <w:lang w:eastAsia="en-US"/>
        </w:rPr>
        <w:t>meshblocks</w:t>
      </w:r>
      <w:proofErr w:type="spellEnd"/>
      <w:r w:rsidRPr="00CC7E24">
        <w:rPr>
          <w:rFonts w:eastAsia="Cambria"/>
          <w:lang w:eastAsia="en-US"/>
        </w:rPr>
        <w:t xml:space="preserve"> in the survey population.</w:t>
      </w:r>
    </w:p>
    <w:p w:rsidR="0089511D" w:rsidRPr="00CC7E24" w:rsidRDefault="0089511D" w:rsidP="001E4900">
      <w:pPr>
        <w:pStyle w:val="Bullet"/>
        <w:rPr>
          <w:rFonts w:eastAsia="Cambria"/>
          <w:lang w:eastAsia="en-US"/>
        </w:rPr>
      </w:pPr>
      <w:r w:rsidRPr="00CC7E24">
        <w:rPr>
          <w:rFonts w:eastAsia="Cambria"/>
          <w:lang w:eastAsia="en-US"/>
        </w:rPr>
        <w:t xml:space="preserve">The probability of a dwelling being selected from a selected </w:t>
      </w:r>
      <w:proofErr w:type="spellStart"/>
      <w:r w:rsidRPr="00CC7E24">
        <w:rPr>
          <w:rFonts w:eastAsia="Cambria"/>
          <w:lang w:eastAsia="en-US"/>
        </w:rPr>
        <w:t>meshblock</w:t>
      </w:r>
      <w:proofErr w:type="spellEnd"/>
      <w:r w:rsidRPr="00CC7E24">
        <w:rPr>
          <w:rFonts w:eastAsia="Cambria"/>
          <w:lang w:eastAsia="en-US"/>
        </w:rPr>
        <w:t xml:space="preserve"> </w:t>
      </w:r>
      <w:proofErr w:type="spellStart"/>
      <w:r w:rsidRPr="00100B6E">
        <w:rPr>
          <w:rFonts w:eastAsia="Cambria"/>
          <w:i/>
          <w:lang w:eastAsia="en-US"/>
        </w:rPr>
        <w:t>i</w:t>
      </w:r>
      <w:proofErr w:type="spellEnd"/>
      <w:r w:rsidRPr="00CC7E24">
        <w:rPr>
          <w:rFonts w:eastAsia="Cambria"/>
          <w:lang w:eastAsia="en-US"/>
        </w:rPr>
        <w:t xml:space="preserve"> in the area sample is 1/</w:t>
      </w:r>
      <w:proofErr w:type="spellStart"/>
      <w:r w:rsidRPr="003B5C38">
        <w:rPr>
          <w:rFonts w:eastAsia="Cambria"/>
          <w:i/>
          <w:lang w:eastAsia="en-US"/>
        </w:rPr>
        <w:t>k</w:t>
      </w:r>
      <w:r w:rsidRPr="003B5C38">
        <w:rPr>
          <w:rFonts w:eastAsia="Cambria"/>
          <w:i/>
          <w:vertAlign w:val="subscript"/>
          <w:lang w:eastAsia="en-US"/>
        </w:rPr>
        <w:t>Ai</w:t>
      </w:r>
      <w:proofErr w:type="spellEnd"/>
      <w:r w:rsidRPr="00CC7E24">
        <w:rPr>
          <w:rFonts w:eastAsia="Cambria"/>
          <w:lang w:eastAsia="en-US"/>
        </w:rPr>
        <w:t xml:space="preserve">, where </w:t>
      </w:r>
      <w:proofErr w:type="spellStart"/>
      <w:r w:rsidRPr="003B5C38">
        <w:rPr>
          <w:rFonts w:eastAsia="Cambria"/>
          <w:i/>
          <w:lang w:eastAsia="en-US"/>
        </w:rPr>
        <w:t>k</w:t>
      </w:r>
      <w:r w:rsidRPr="003B5C38">
        <w:rPr>
          <w:rFonts w:eastAsia="Cambria"/>
          <w:i/>
          <w:vertAlign w:val="subscript"/>
          <w:lang w:eastAsia="en-US"/>
        </w:rPr>
        <w:t>Ai</w:t>
      </w:r>
      <w:proofErr w:type="spellEnd"/>
      <w:r w:rsidRPr="00CC7E24">
        <w:rPr>
          <w:rFonts w:eastAsia="Cambria"/>
          <w:lang w:eastAsia="en-US"/>
        </w:rPr>
        <w:t xml:space="preserve"> is </w:t>
      </w:r>
      <w:r w:rsidRPr="001B6D3B">
        <w:rPr>
          <w:rFonts w:eastAsia="Cambria"/>
          <w:lang w:eastAsia="en-US"/>
        </w:rPr>
        <w:t>a skip assigned</w:t>
      </w:r>
      <w:r w:rsidRPr="00CC7E24">
        <w:rPr>
          <w:rFonts w:eastAsia="Cambria"/>
          <w:lang w:eastAsia="en-US"/>
        </w:rPr>
        <w:t xml:space="preserve"> to each </w:t>
      </w:r>
      <w:proofErr w:type="spellStart"/>
      <w:r w:rsidRPr="00CC7E24">
        <w:rPr>
          <w:rFonts w:eastAsia="Cambria"/>
          <w:lang w:eastAsia="en-US"/>
        </w:rPr>
        <w:t>meshblock</w:t>
      </w:r>
      <w:proofErr w:type="spellEnd"/>
      <w:r w:rsidRPr="00CC7E24">
        <w:rPr>
          <w:rFonts w:eastAsia="Cambria"/>
          <w:lang w:eastAsia="en-US"/>
        </w:rPr>
        <w:t xml:space="preserve"> on the frame.</w:t>
      </w:r>
    </w:p>
    <w:p w:rsidR="0089511D" w:rsidRPr="00CC7E24" w:rsidRDefault="0089511D" w:rsidP="001E4900">
      <w:pPr>
        <w:pStyle w:val="Bullet"/>
        <w:rPr>
          <w:rFonts w:eastAsia="Cambria"/>
          <w:lang w:eastAsia="en-US"/>
        </w:rPr>
      </w:pPr>
      <w:r w:rsidRPr="00CC7E24">
        <w:rPr>
          <w:rFonts w:eastAsia="Cambria"/>
          <w:lang w:eastAsia="en-US"/>
        </w:rPr>
        <w:t>The probability of an</w:t>
      </w:r>
      <w:r>
        <w:rPr>
          <w:rFonts w:eastAsia="Cambria"/>
          <w:lang w:eastAsia="en-US"/>
        </w:rPr>
        <w:t>y particular</w:t>
      </w:r>
      <w:r w:rsidRPr="00CC7E24">
        <w:rPr>
          <w:rFonts w:eastAsia="Cambria"/>
          <w:lang w:eastAsia="en-US"/>
        </w:rPr>
        <w:t xml:space="preserve"> adult being selected from a selected dwelling </w:t>
      </w:r>
      <w:r w:rsidRPr="00100B6E">
        <w:rPr>
          <w:rFonts w:eastAsia="Cambria"/>
          <w:i/>
          <w:lang w:eastAsia="en-US"/>
        </w:rPr>
        <w:t>j</w:t>
      </w:r>
      <w:r w:rsidRPr="00CC7E24">
        <w:rPr>
          <w:rFonts w:eastAsia="Cambria"/>
          <w:lang w:eastAsia="en-US"/>
        </w:rPr>
        <w:t xml:space="preserve"> in a selected </w:t>
      </w:r>
      <w:proofErr w:type="spellStart"/>
      <w:r w:rsidRPr="00CC7E24">
        <w:rPr>
          <w:rFonts w:eastAsia="Cambria"/>
          <w:lang w:eastAsia="en-US"/>
        </w:rPr>
        <w:t>meshblock</w:t>
      </w:r>
      <w:proofErr w:type="spellEnd"/>
      <w:r w:rsidRPr="00CC7E24">
        <w:rPr>
          <w:rFonts w:eastAsia="Cambria"/>
          <w:lang w:eastAsia="en-US"/>
        </w:rPr>
        <w:t xml:space="preserve"> </w:t>
      </w:r>
      <w:proofErr w:type="spellStart"/>
      <w:r w:rsidRPr="00100B6E">
        <w:rPr>
          <w:rFonts w:eastAsia="Cambria"/>
          <w:i/>
          <w:lang w:eastAsia="en-US"/>
        </w:rPr>
        <w:t>i</w:t>
      </w:r>
      <w:proofErr w:type="spellEnd"/>
      <w:r w:rsidRPr="00CC7E24">
        <w:rPr>
          <w:rFonts w:eastAsia="Cambria"/>
          <w:lang w:eastAsia="en-US"/>
        </w:rPr>
        <w:t xml:space="preserve"> is then 1/</w:t>
      </w:r>
      <w:proofErr w:type="spellStart"/>
      <w:r w:rsidRPr="003B5C38">
        <w:rPr>
          <w:rFonts w:eastAsia="Cambria"/>
          <w:i/>
          <w:lang w:eastAsia="en-US"/>
        </w:rPr>
        <w:t>N</w:t>
      </w:r>
      <w:r w:rsidRPr="003B5C38">
        <w:rPr>
          <w:rFonts w:eastAsia="Cambria"/>
          <w:i/>
          <w:vertAlign w:val="subscript"/>
          <w:lang w:eastAsia="en-US"/>
        </w:rPr>
        <w:t>ij</w:t>
      </w:r>
      <w:proofErr w:type="spellEnd"/>
      <w:r w:rsidRPr="00CC7E24">
        <w:rPr>
          <w:rFonts w:eastAsia="Cambria"/>
          <w:vertAlign w:val="subscript"/>
          <w:lang w:eastAsia="en-US"/>
        </w:rPr>
        <w:t>(adult)</w:t>
      </w:r>
      <w:r w:rsidRPr="00CC7E24">
        <w:rPr>
          <w:rFonts w:eastAsia="Cambria"/>
          <w:lang w:eastAsia="en-US"/>
        </w:rPr>
        <w:t xml:space="preserve">, where </w:t>
      </w:r>
      <w:proofErr w:type="spellStart"/>
      <w:r w:rsidRPr="003B5C38">
        <w:rPr>
          <w:rFonts w:eastAsia="Cambria"/>
          <w:i/>
          <w:lang w:eastAsia="en-US"/>
        </w:rPr>
        <w:t>N</w:t>
      </w:r>
      <w:r w:rsidRPr="003B5C38">
        <w:rPr>
          <w:rFonts w:eastAsia="Cambria"/>
          <w:i/>
          <w:vertAlign w:val="subscript"/>
          <w:lang w:eastAsia="en-US"/>
        </w:rPr>
        <w:t>ij</w:t>
      </w:r>
      <w:proofErr w:type="spellEnd"/>
      <w:r w:rsidRPr="00CC7E24">
        <w:rPr>
          <w:rFonts w:eastAsia="Cambria"/>
          <w:vertAlign w:val="subscript"/>
          <w:lang w:eastAsia="en-US"/>
        </w:rPr>
        <w:t>(adult)</w:t>
      </w:r>
      <w:r w:rsidRPr="00CC7E24">
        <w:rPr>
          <w:rFonts w:eastAsia="Cambria"/>
          <w:lang w:eastAsia="en-US"/>
        </w:rPr>
        <w:t xml:space="preserve"> is the number of adults in the dwelling. Similarly, the probability of any particular child (if any</w:t>
      </w:r>
      <w:r>
        <w:rPr>
          <w:rFonts w:eastAsia="Cambria"/>
          <w:lang w:eastAsia="en-US"/>
        </w:rPr>
        <w:t xml:space="preserve"> in the household</w:t>
      </w:r>
      <w:r w:rsidRPr="00CC7E24">
        <w:rPr>
          <w:rFonts w:eastAsia="Cambria"/>
          <w:lang w:eastAsia="en-US"/>
        </w:rPr>
        <w:t>) being selected is 1/</w:t>
      </w:r>
      <w:proofErr w:type="spellStart"/>
      <w:proofErr w:type="gramStart"/>
      <w:r w:rsidRPr="003B5C38">
        <w:rPr>
          <w:rFonts w:eastAsia="Cambria"/>
          <w:i/>
          <w:lang w:eastAsia="en-US"/>
        </w:rPr>
        <w:t>N</w:t>
      </w:r>
      <w:r w:rsidRPr="003B5C38">
        <w:rPr>
          <w:rFonts w:eastAsia="Cambria"/>
          <w:i/>
          <w:vertAlign w:val="subscript"/>
          <w:lang w:eastAsia="en-US"/>
        </w:rPr>
        <w:t>ij</w:t>
      </w:r>
      <w:proofErr w:type="spellEnd"/>
      <w:r w:rsidRPr="00CC7E24">
        <w:rPr>
          <w:rFonts w:eastAsia="Cambria"/>
          <w:vertAlign w:val="subscript"/>
          <w:lang w:eastAsia="en-US"/>
        </w:rPr>
        <w:t>(</w:t>
      </w:r>
      <w:proofErr w:type="gramEnd"/>
      <w:r w:rsidRPr="00CC7E24">
        <w:rPr>
          <w:rFonts w:eastAsia="Cambria"/>
          <w:vertAlign w:val="subscript"/>
          <w:lang w:eastAsia="en-US"/>
        </w:rPr>
        <w:t>child)</w:t>
      </w:r>
      <w:r w:rsidRPr="00CC7E24">
        <w:rPr>
          <w:rFonts w:eastAsia="Cambria"/>
          <w:lang w:eastAsia="en-US"/>
        </w:rPr>
        <w:t xml:space="preserve">, where </w:t>
      </w:r>
      <w:proofErr w:type="spellStart"/>
      <w:r w:rsidRPr="003B5C38">
        <w:rPr>
          <w:rFonts w:eastAsia="Cambria"/>
          <w:i/>
          <w:lang w:eastAsia="en-US"/>
        </w:rPr>
        <w:t>N</w:t>
      </w:r>
      <w:r w:rsidRPr="003B5C38">
        <w:rPr>
          <w:rFonts w:eastAsia="Cambria"/>
          <w:i/>
          <w:vertAlign w:val="subscript"/>
          <w:lang w:eastAsia="en-US"/>
        </w:rPr>
        <w:t>ij</w:t>
      </w:r>
      <w:proofErr w:type="spellEnd"/>
      <w:r w:rsidRPr="00CC7E24">
        <w:rPr>
          <w:rFonts w:eastAsia="Cambria"/>
          <w:vertAlign w:val="subscript"/>
          <w:lang w:eastAsia="en-US"/>
        </w:rPr>
        <w:t>(child)</w:t>
      </w:r>
      <w:r w:rsidRPr="00CC7E24">
        <w:rPr>
          <w:rFonts w:eastAsia="Cambria"/>
          <w:lang w:eastAsia="en-US"/>
        </w:rPr>
        <w:t xml:space="preserve"> is the number of children in the dwelling.</w:t>
      </w:r>
    </w:p>
    <w:p w:rsidR="0089511D" w:rsidRPr="00CC7E24" w:rsidRDefault="0089511D" w:rsidP="00C7303E">
      <w:pPr>
        <w:rPr>
          <w:rFonts w:eastAsia="Cambria"/>
          <w:lang w:eastAsia="en-US"/>
        </w:rPr>
      </w:pPr>
    </w:p>
    <w:p w:rsidR="0089511D" w:rsidRPr="00CC7E24" w:rsidRDefault="0089511D" w:rsidP="00C7303E">
      <w:pPr>
        <w:pStyle w:val="Heading3"/>
        <w:rPr>
          <w:rFonts w:eastAsia="Cambria"/>
          <w:lang w:eastAsia="en-US"/>
        </w:rPr>
      </w:pPr>
      <w:r w:rsidRPr="00CC7E24">
        <w:rPr>
          <w:rFonts w:eastAsia="Cambria"/>
          <w:lang w:eastAsia="en-US"/>
        </w:rPr>
        <w:t>Electoral roll sample</w:t>
      </w:r>
    </w:p>
    <w:p w:rsidR="0089511D" w:rsidRPr="00CC7E24" w:rsidRDefault="0089511D" w:rsidP="00C7303E">
      <w:pPr>
        <w:pStyle w:val="Bullet"/>
        <w:rPr>
          <w:rFonts w:eastAsia="Cambria"/>
          <w:lang w:eastAsia="en-US"/>
        </w:rPr>
      </w:pPr>
      <w:r w:rsidRPr="00CC7E24">
        <w:rPr>
          <w:rFonts w:eastAsia="Cambria"/>
          <w:lang w:eastAsia="en-US"/>
        </w:rPr>
        <w:t xml:space="preserve">The probability of a </w:t>
      </w:r>
      <w:proofErr w:type="spellStart"/>
      <w:r w:rsidRPr="00CC7E24">
        <w:rPr>
          <w:rFonts w:eastAsia="Cambria"/>
          <w:lang w:eastAsia="en-US"/>
        </w:rPr>
        <w:t>meshblock</w:t>
      </w:r>
      <w:proofErr w:type="spellEnd"/>
      <w:r w:rsidRPr="008C5262">
        <w:rPr>
          <w:rFonts w:eastAsia="Cambria"/>
          <w:lang w:eastAsia="en-US"/>
        </w:rPr>
        <w:t xml:space="preserve"> </w:t>
      </w:r>
      <w:proofErr w:type="spellStart"/>
      <w:r w:rsidRPr="00100B6E">
        <w:rPr>
          <w:rFonts w:eastAsia="Cambria"/>
          <w:i/>
          <w:lang w:eastAsia="en-US"/>
        </w:rPr>
        <w:t>i</w:t>
      </w:r>
      <w:proofErr w:type="spellEnd"/>
      <w:r w:rsidRPr="00CC7E24">
        <w:rPr>
          <w:rFonts w:eastAsia="Cambria"/>
          <w:lang w:eastAsia="en-US"/>
        </w:rPr>
        <w:t xml:space="preserve"> being selected in the electoral roll sample</w:t>
      </w:r>
      <w:r>
        <w:rPr>
          <w:rFonts w:eastAsia="Cambria"/>
          <w:lang w:eastAsia="en-US"/>
        </w:rPr>
        <w:t xml:space="preserve"> (R)</w:t>
      </w:r>
      <w:r w:rsidRPr="00CC7E24">
        <w:rPr>
          <w:rFonts w:eastAsia="Cambria"/>
          <w:lang w:eastAsia="en-US"/>
        </w:rPr>
        <w:t xml:space="preserve"> </w:t>
      </w:r>
      <w:proofErr w:type="gramStart"/>
      <w:r w:rsidRPr="00CC7E24">
        <w:rPr>
          <w:rFonts w:eastAsia="Cambria"/>
          <w:lang w:eastAsia="en-US"/>
        </w:rPr>
        <w:t>is</w:t>
      </w:r>
      <w:proofErr w:type="gramEnd"/>
      <w:r w:rsidRPr="00CC7E24">
        <w:rPr>
          <w:rFonts w:eastAsia="Cambria"/>
          <w:lang w:eastAsia="en-US"/>
        </w:rPr>
        <w:t xml:space="preserve"> written</w:t>
      </w:r>
      <w:r>
        <w:rPr>
          <w:rFonts w:eastAsia="Cambria"/>
          <w:lang w:eastAsia="en-US"/>
        </w:rPr>
        <w:t xml:space="preserve"> as</w:t>
      </w:r>
      <w:r w:rsidR="00C7303E">
        <w:rPr>
          <w:rFonts w:eastAsia="Cambria"/>
          <w:lang w:eastAsia="en-US"/>
        </w:rPr>
        <w:t> </w:t>
      </w:r>
      <w:r w:rsidRPr="00100B6E">
        <w:rPr>
          <w:rFonts w:ascii="Symbol" w:hAnsi="Symbol"/>
          <w:i/>
        </w:rPr>
        <w:t></w:t>
      </w:r>
      <w:proofErr w:type="spellStart"/>
      <w:r w:rsidRPr="00100B6E">
        <w:rPr>
          <w:i/>
          <w:vertAlign w:val="subscript"/>
        </w:rPr>
        <w:t>Ri</w:t>
      </w:r>
      <w:proofErr w:type="spellEnd"/>
      <w:r w:rsidRPr="003B5C38">
        <w:rPr>
          <w:rFonts w:eastAsia="Cambria"/>
          <w:lang w:eastAsia="en-US"/>
        </w:rPr>
        <w:t>.</w:t>
      </w:r>
      <w:r w:rsidRPr="00CC7E24">
        <w:rPr>
          <w:rFonts w:eastAsia="Cambria"/>
          <w:lang w:eastAsia="en-US"/>
        </w:rPr>
        <w:t xml:space="preserve"> The values of </w:t>
      </w:r>
      <w:r w:rsidRPr="00100B6E">
        <w:rPr>
          <w:rFonts w:ascii="Symbol" w:hAnsi="Symbol"/>
          <w:i/>
        </w:rPr>
        <w:t></w:t>
      </w:r>
      <w:proofErr w:type="spellStart"/>
      <w:r w:rsidRPr="00100B6E">
        <w:rPr>
          <w:i/>
          <w:vertAlign w:val="subscript"/>
        </w:rPr>
        <w:t>Ri</w:t>
      </w:r>
      <w:proofErr w:type="spellEnd"/>
      <w:r w:rsidRPr="00CC7E24">
        <w:rPr>
          <w:rFonts w:eastAsia="Cambria"/>
          <w:lang w:eastAsia="en-US"/>
        </w:rPr>
        <w:t xml:space="preserve"> are </w:t>
      </w:r>
      <w:r>
        <w:rPr>
          <w:rFonts w:eastAsia="Cambria"/>
          <w:lang w:eastAsia="en-US"/>
        </w:rPr>
        <w:t>0</w:t>
      </w:r>
      <w:r w:rsidRPr="00CC7E24">
        <w:rPr>
          <w:rFonts w:eastAsia="Cambria"/>
          <w:lang w:eastAsia="en-US"/>
        </w:rPr>
        <w:t xml:space="preserve"> for some </w:t>
      </w:r>
      <w:proofErr w:type="spellStart"/>
      <w:r w:rsidRPr="00CC7E24">
        <w:rPr>
          <w:rFonts w:eastAsia="Cambria"/>
          <w:lang w:eastAsia="en-US"/>
        </w:rPr>
        <w:t>meshblocks</w:t>
      </w:r>
      <w:proofErr w:type="spellEnd"/>
      <w:r w:rsidRPr="00CC7E24">
        <w:rPr>
          <w:rFonts w:eastAsia="Cambria"/>
          <w:lang w:eastAsia="en-US"/>
        </w:rPr>
        <w:t xml:space="preserve"> (those with </w:t>
      </w:r>
      <w:r>
        <w:rPr>
          <w:rFonts w:eastAsia="Cambria"/>
          <w:lang w:eastAsia="en-US"/>
        </w:rPr>
        <w:t>fewer than three households with residents</w:t>
      </w:r>
      <w:r w:rsidRPr="00100B6E">
        <w:rPr>
          <w:rFonts w:eastAsia="Cambria"/>
          <w:lang w:eastAsia="en-US"/>
        </w:rPr>
        <w:t xml:space="preserve"> </w:t>
      </w:r>
      <w:r w:rsidRPr="00CC7E24">
        <w:rPr>
          <w:rFonts w:eastAsia="Cambria"/>
          <w:lang w:eastAsia="en-US"/>
        </w:rPr>
        <w:t>who registered M</w:t>
      </w:r>
      <w:r>
        <w:rPr>
          <w:rFonts w:eastAsia="Cambria" w:cs="Arial"/>
          <w:lang w:eastAsia="en-US"/>
        </w:rPr>
        <w:t>ā</w:t>
      </w:r>
      <w:r w:rsidRPr="00CC7E24">
        <w:rPr>
          <w:rFonts w:eastAsia="Cambria"/>
          <w:lang w:eastAsia="en-US"/>
        </w:rPr>
        <w:t>ori descent on the electoral roll snapshot used in the sample design for that year).</w:t>
      </w:r>
    </w:p>
    <w:p w:rsidR="0089511D" w:rsidRPr="00CC7E24" w:rsidRDefault="0089511D" w:rsidP="00C7303E">
      <w:pPr>
        <w:pStyle w:val="Bullet"/>
        <w:rPr>
          <w:rFonts w:eastAsia="Cambria"/>
          <w:lang w:eastAsia="en-US"/>
        </w:rPr>
      </w:pPr>
      <w:r w:rsidRPr="00CC7E24">
        <w:rPr>
          <w:rFonts w:eastAsia="Cambria"/>
          <w:lang w:eastAsia="en-US"/>
        </w:rPr>
        <w:t>Dwellings are eligible for selection in the electoral roll sample if they have at least one adult registered with M</w:t>
      </w:r>
      <w:r>
        <w:rPr>
          <w:rFonts w:eastAsia="Cambria" w:cs="Arial"/>
          <w:lang w:eastAsia="en-US"/>
        </w:rPr>
        <w:t>ā</w:t>
      </w:r>
      <w:r w:rsidRPr="00CC7E24">
        <w:rPr>
          <w:rFonts w:eastAsia="Cambria"/>
          <w:lang w:eastAsia="en-US"/>
        </w:rPr>
        <w:t xml:space="preserve">ori descent in the electoral roll snapshot extracted for the enumeration quarter. </w:t>
      </w:r>
      <w:r>
        <w:rPr>
          <w:rFonts w:eastAsia="Cambria"/>
          <w:lang w:eastAsia="en-US"/>
        </w:rPr>
        <w:t>(</w:t>
      </w:r>
      <w:proofErr w:type="spellStart"/>
      <w:r w:rsidRPr="003B5C38">
        <w:rPr>
          <w:rFonts w:eastAsia="Cambria"/>
          <w:i/>
          <w:lang w:eastAsia="en-US"/>
        </w:rPr>
        <w:t>E</w:t>
      </w:r>
      <w:r w:rsidRPr="003B5C38">
        <w:rPr>
          <w:rFonts w:eastAsia="Cambria"/>
          <w:i/>
          <w:vertAlign w:val="subscript"/>
          <w:lang w:eastAsia="en-US"/>
        </w:rPr>
        <w:t>ij</w:t>
      </w:r>
      <w:proofErr w:type="spellEnd"/>
      <w:r>
        <w:rPr>
          <w:rFonts w:eastAsia="Cambria"/>
          <w:vertAlign w:val="subscript"/>
          <w:lang w:eastAsia="en-US"/>
        </w:rPr>
        <w:t xml:space="preserve"> </w:t>
      </w:r>
      <w:r w:rsidRPr="00CC7E24">
        <w:rPr>
          <w:rFonts w:eastAsia="Cambria"/>
          <w:lang w:eastAsia="en-US"/>
        </w:rPr>
        <w:t>=</w:t>
      </w:r>
      <w:r>
        <w:rPr>
          <w:rFonts w:eastAsia="Cambria"/>
          <w:lang w:eastAsia="en-US"/>
        </w:rPr>
        <w:t xml:space="preserve"> </w:t>
      </w:r>
      <w:r w:rsidRPr="00CC7E24">
        <w:rPr>
          <w:rFonts w:eastAsia="Cambria"/>
          <w:lang w:eastAsia="en-US"/>
        </w:rPr>
        <w:t xml:space="preserve">1 if </w:t>
      </w:r>
      <w:proofErr w:type="spellStart"/>
      <w:r w:rsidRPr="00CC7E24">
        <w:rPr>
          <w:rFonts w:eastAsia="Cambria"/>
          <w:lang w:eastAsia="en-US"/>
        </w:rPr>
        <w:t>meshblock</w:t>
      </w:r>
      <w:proofErr w:type="spellEnd"/>
      <w:r w:rsidRPr="00CC7E24">
        <w:rPr>
          <w:rFonts w:eastAsia="Cambria"/>
          <w:lang w:eastAsia="en-US"/>
        </w:rPr>
        <w:t xml:space="preserve"> </w:t>
      </w:r>
      <w:proofErr w:type="spellStart"/>
      <w:r w:rsidRPr="00100B6E">
        <w:rPr>
          <w:rFonts w:eastAsia="Cambria"/>
          <w:i/>
          <w:lang w:eastAsia="en-US"/>
        </w:rPr>
        <w:t>i</w:t>
      </w:r>
      <w:proofErr w:type="spellEnd"/>
      <w:r w:rsidRPr="00CC7E24">
        <w:rPr>
          <w:rFonts w:eastAsia="Cambria"/>
          <w:lang w:eastAsia="en-US"/>
        </w:rPr>
        <w:t xml:space="preserve"> has </w:t>
      </w:r>
      <w:r w:rsidRPr="003B5C38">
        <w:rPr>
          <w:rFonts w:ascii="Symbol" w:hAnsi="Symbol"/>
          <w:b/>
          <w:i/>
        </w:rPr>
        <w:t></w:t>
      </w:r>
      <w:proofErr w:type="spellStart"/>
      <w:r w:rsidRPr="003B5C38">
        <w:rPr>
          <w:b/>
          <w:i/>
          <w:vertAlign w:val="subscript"/>
        </w:rPr>
        <w:t>Ri</w:t>
      </w:r>
      <w:proofErr w:type="spellEnd"/>
      <w:r w:rsidRPr="003B5C38">
        <w:rPr>
          <w:rFonts w:eastAsia="Cambria"/>
          <w:i/>
          <w:lang w:eastAsia="en-US"/>
        </w:rPr>
        <w:t xml:space="preserve"> </w:t>
      </w:r>
      <w:r w:rsidRPr="00CC7E24">
        <w:rPr>
          <w:rFonts w:eastAsia="Cambria"/>
          <w:lang w:eastAsia="en-US"/>
        </w:rPr>
        <w:t>&gt;</w:t>
      </w:r>
      <w:r>
        <w:rPr>
          <w:rFonts w:eastAsia="Cambria"/>
          <w:lang w:eastAsia="en-US"/>
        </w:rPr>
        <w:t xml:space="preserve"> </w:t>
      </w:r>
      <w:r w:rsidRPr="00CC7E24">
        <w:rPr>
          <w:rFonts w:eastAsia="Cambria"/>
          <w:lang w:eastAsia="en-US"/>
        </w:rPr>
        <w:t xml:space="preserve">0 and dwelling </w:t>
      </w:r>
      <w:r w:rsidRPr="00100B6E">
        <w:rPr>
          <w:rFonts w:eastAsia="Cambria"/>
          <w:i/>
          <w:lang w:eastAsia="en-US"/>
        </w:rPr>
        <w:t>j</w:t>
      </w:r>
      <w:r w:rsidRPr="00CC7E24">
        <w:rPr>
          <w:rFonts w:eastAsia="Cambria"/>
          <w:lang w:eastAsia="en-US"/>
        </w:rPr>
        <w:t xml:space="preserve"> in this </w:t>
      </w:r>
      <w:proofErr w:type="spellStart"/>
      <w:r w:rsidRPr="00CC7E24">
        <w:rPr>
          <w:rFonts w:eastAsia="Cambria"/>
          <w:lang w:eastAsia="en-US"/>
        </w:rPr>
        <w:t>meshblock</w:t>
      </w:r>
      <w:proofErr w:type="spellEnd"/>
      <w:r w:rsidRPr="00CC7E24">
        <w:rPr>
          <w:rFonts w:eastAsia="Cambria"/>
          <w:lang w:eastAsia="en-US"/>
        </w:rPr>
        <w:t xml:space="preserve"> is eligible</w:t>
      </w:r>
      <w:r>
        <w:rPr>
          <w:rFonts w:eastAsia="Cambria"/>
          <w:lang w:eastAsia="en-US"/>
        </w:rPr>
        <w:t>;</w:t>
      </w:r>
      <w:r w:rsidRPr="00CC7E24">
        <w:rPr>
          <w:rFonts w:eastAsia="Cambria"/>
          <w:lang w:eastAsia="en-US"/>
        </w:rPr>
        <w:t xml:space="preserve"> </w:t>
      </w:r>
      <w:proofErr w:type="spellStart"/>
      <w:r w:rsidRPr="003B5C38">
        <w:rPr>
          <w:rFonts w:eastAsia="Cambria"/>
          <w:i/>
          <w:lang w:eastAsia="en-US"/>
        </w:rPr>
        <w:t>E</w:t>
      </w:r>
      <w:r w:rsidRPr="003B5C38">
        <w:rPr>
          <w:rFonts w:eastAsia="Cambria"/>
          <w:i/>
          <w:vertAlign w:val="subscript"/>
          <w:lang w:eastAsia="en-US"/>
        </w:rPr>
        <w:t>ij</w:t>
      </w:r>
      <w:proofErr w:type="spellEnd"/>
      <w:r>
        <w:rPr>
          <w:rFonts w:eastAsia="Cambria"/>
          <w:vertAlign w:val="subscript"/>
          <w:lang w:eastAsia="en-US"/>
        </w:rPr>
        <w:t xml:space="preserve"> </w:t>
      </w:r>
      <w:r w:rsidRPr="00CC7E24">
        <w:rPr>
          <w:rFonts w:eastAsia="Cambria"/>
          <w:lang w:eastAsia="en-US"/>
        </w:rPr>
        <w:t>=</w:t>
      </w:r>
      <w:r>
        <w:rPr>
          <w:rFonts w:eastAsia="Cambria"/>
          <w:lang w:eastAsia="en-US"/>
        </w:rPr>
        <w:t xml:space="preserve"> </w:t>
      </w:r>
      <w:r w:rsidRPr="00CC7E24">
        <w:rPr>
          <w:rFonts w:eastAsia="Cambria"/>
          <w:lang w:eastAsia="en-US"/>
        </w:rPr>
        <w:t>0 otherwise</w:t>
      </w:r>
      <w:r>
        <w:rPr>
          <w:rFonts w:eastAsia="Cambria"/>
          <w:lang w:eastAsia="en-US"/>
        </w:rPr>
        <w:t>.)</w:t>
      </w:r>
    </w:p>
    <w:p w:rsidR="0089511D" w:rsidRPr="00CC7E24" w:rsidRDefault="0089511D" w:rsidP="00C7303E">
      <w:pPr>
        <w:pStyle w:val="Bullet"/>
        <w:rPr>
          <w:rFonts w:eastAsia="Cambria"/>
          <w:lang w:eastAsia="en-US"/>
        </w:rPr>
      </w:pPr>
      <w:r w:rsidRPr="00F20E7F">
        <w:rPr>
          <w:rFonts w:eastAsia="Cambria"/>
          <w:lang w:eastAsia="en-US"/>
        </w:rPr>
        <w:t xml:space="preserve">A skip </w:t>
      </w:r>
      <w:proofErr w:type="spellStart"/>
      <w:r w:rsidRPr="00F203A8">
        <w:rPr>
          <w:rFonts w:eastAsia="Cambria"/>
          <w:i/>
          <w:lang w:eastAsia="en-US"/>
        </w:rPr>
        <w:t>k</w:t>
      </w:r>
      <w:r w:rsidRPr="00F203A8">
        <w:rPr>
          <w:rFonts w:eastAsia="Cambria"/>
          <w:i/>
          <w:vertAlign w:val="subscript"/>
          <w:lang w:eastAsia="en-US"/>
        </w:rPr>
        <w:t>Ri</w:t>
      </w:r>
      <w:proofErr w:type="spellEnd"/>
      <w:r w:rsidRPr="007854E4">
        <w:rPr>
          <w:rFonts w:eastAsia="Cambria"/>
          <w:lang w:eastAsia="en-US"/>
        </w:rPr>
        <w:t xml:space="preserve"> is a</w:t>
      </w:r>
      <w:r w:rsidRPr="00B67D54">
        <w:rPr>
          <w:rFonts w:eastAsia="Cambria"/>
          <w:lang w:eastAsia="en-US"/>
        </w:rPr>
        <w:t xml:space="preserve">ssigned to each </w:t>
      </w:r>
      <w:proofErr w:type="spellStart"/>
      <w:r w:rsidRPr="00B67D54">
        <w:rPr>
          <w:rFonts w:eastAsia="Cambria"/>
          <w:lang w:eastAsia="en-US"/>
        </w:rPr>
        <w:t>meshblock</w:t>
      </w:r>
      <w:proofErr w:type="spellEnd"/>
      <w:r w:rsidRPr="00B67D54">
        <w:rPr>
          <w:rFonts w:eastAsia="Cambria"/>
          <w:lang w:eastAsia="en-US"/>
        </w:rPr>
        <w:t xml:space="preserve"> and applied to eligible dwellings. The probability of</w:t>
      </w:r>
      <w:r w:rsidRPr="00CC7E24">
        <w:rPr>
          <w:rFonts w:eastAsia="Cambria"/>
          <w:lang w:eastAsia="en-US"/>
        </w:rPr>
        <w:t xml:space="preserve"> an eligible dwelling being selected from </w:t>
      </w:r>
      <w:proofErr w:type="spellStart"/>
      <w:r w:rsidRPr="00CC7E24">
        <w:rPr>
          <w:rFonts w:eastAsia="Cambria"/>
          <w:lang w:eastAsia="en-US"/>
        </w:rPr>
        <w:t>meshblock</w:t>
      </w:r>
      <w:proofErr w:type="spellEnd"/>
      <w:r w:rsidRPr="00CC7E24">
        <w:rPr>
          <w:rFonts w:eastAsia="Cambria"/>
          <w:lang w:eastAsia="en-US"/>
        </w:rPr>
        <w:t xml:space="preserve"> </w:t>
      </w:r>
      <w:proofErr w:type="spellStart"/>
      <w:r w:rsidRPr="00100B6E">
        <w:rPr>
          <w:rFonts w:eastAsia="Cambria"/>
          <w:i/>
          <w:lang w:eastAsia="en-US"/>
        </w:rPr>
        <w:t>i</w:t>
      </w:r>
      <w:proofErr w:type="spellEnd"/>
      <w:r w:rsidRPr="00CC7E24">
        <w:rPr>
          <w:rFonts w:eastAsia="Cambria"/>
          <w:lang w:eastAsia="en-US"/>
        </w:rPr>
        <w:t xml:space="preserve"> in the </w:t>
      </w:r>
      <w:r>
        <w:rPr>
          <w:rFonts w:eastAsia="Cambria"/>
          <w:lang w:eastAsia="en-US"/>
        </w:rPr>
        <w:t>electoral roll</w:t>
      </w:r>
      <w:r w:rsidRPr="00CC7E24">
        <w:rPr>
          <w:rFonts w:eastAsia="Cambria"/>
          <w:lang w:eastAsia="en-US"/>
        </w:rPr>
        <w:t xml:space="preserve"> sample is 1/</w:t>
      </w:r>
      <w:proofErr w:type="spellStart"/>
      <w:r w:rsidRPr="003B5C38">
        <w:rPr>
          <w:rFonts w:eastAsia="Cambria"/>
          <w:i/>
          <w:lang w:eastAsia="en-US"/>
        </w:rPr>
        <w:t>k</w:t>
      </w:r>
      <w:r w:rsidRPr="003B5C38">
        <w:rPr>
          <w:rFonts w:eastAsia="Cambria"/>
          <w:i/>
          <w:vertAlign w:val="subscript"/>
          <w:lang w:eastAsia="en-US"/>
        </w:rPr>
        <w:t>Ri</w:t>
      </w:r>
      <w:proofErr w:type="spellEnd"/>
      <w:r w:rsidRPr="00CC7E24">
        <w:rPr>
          <w:rFonts w:eastAsia="Cambria"/>
          <w:lang w:eastAsia="en-US"/>
        </w:rPr>
        <w:t xml:space="preserve">, where </w:t>
      </w:r>
      <w:proofErr w:type="spellStart"/>
      <w:r w:rsidRPr="003B5C38">
        <w:rPr>
          <w:rFonts w:eastAsia="Cambria"/>
          <w:i/>
          <w:lang w:eastAsia="en-US"/>
        </w:rPr>
        <w:t>k</w:t>
      </w:r>
      <w:r w:rsidRPr="003B5C38">
        <w:rPr>
          <w:rFonts w:eastAsia="Cambria"/>
          <w:i/>
          <w:vertAlign w:val="subscript"/>
          <w:lang w:eastAsia="en-US"/>
        </w:rPr>
        <w:t>Ri</w:t>
      </w:r>
      <w:proofErr w:type="spellEnd"/>
      <w:r w:rsidRPr="00CC7E24">
        <w:rPr>
          <w:rFonts w:eastAsia="Cambria"/>
          <w:lang w:eastAsia="en-US"/>
        </w:rPr>
        <w:t xml:space="preserve"> is a skip assigned to each </w:t>
      </w:r>
      <w:proofErr w:type="spellStart"/>
      <w:r w:rsidRPr="00CC7E24">
        <w:rPr>
          <w:rFonts w:eastAsia="Cambria"/>
          <w:lang w:eastAsia="en-US"/>
        </w:rPr>
        <w:t>meshblock</w:t>
      </w:r>
      <w:proofErr w:type="spellEnd"/>
      <w:r w:rsidRPr="00CC7E24">
        <w:rPr>
          <w:rFonts w:eastAsia="Cambria"/>
          <w:lang w:eastAsia="en-US"/>
        </w:rPr>
        <w:t xml:space="preserve"> on the frame.</w:t>
      </w:r>
    </w:p>
    <w:p w:rsidR="0089511D" w:rsidRDefault="0089511D" w:rsidP="00C7303E">
      <w:pPr>
        <w:pStyle w:val="Bullet"/>
        <w:rPr>
          <w:rFonts w:eastAsia="Cambria"/>
          <w:lang w:eastAsia="en-US"/>
        </w:rPr>
      </w:pPr>
      <w:r w:rsidRPr="00CC7E24">
        <w:rPr>
          <w:rFonts w:eastAsia="Cambria"/>
          <w:lang w:eastAsia="en-US"/>
        </w:rPr>
        <w:t xml:space="preserve">The probability of any particular adult being selected in the electoral roll sample from a selected dwelling </w:t>
      </w:r>
      <w:r w:rsidRPr="00100B6E">
        <w:rPr>
          <w:rFonts w:eastAsia="Cambria"/>
          <w:i/>
          <w:lang w:eastAsia="en-US"/>
        </w:rPr>
        <w:t>j</w:t>
      </w:r>
      <w:r w:rsidRPr="00CC7E24">
        <w:rPr>
          <w:rFonts w:eastAsia="Cambria"/>
          <w:lang w:eastAsia="en-US"/>
        </w:rPr>
        <w:t xml:space="preserve"> in a selected </w:t>
      </w:r>
      <w:proofErr w:type="spellStart"/>
      <w:r w:rsidRPr="00CC7E24">
        <w:rPr>
          <w:rFonts w:eastAsia="Cambria"/>
          <w:lang w:eastAsia="en-US"/>
        </w:rPr>
        <w:t>meshblock</w:t>
      </w:r>
      <w:proofErr w:type="spellEnd"/>
      <w:r w:rsidRPr="00CC7E24">
        <w:rPr>
          <w:rFonts w:eastAsia="Cambria"/>
          <w:lang w:eastAsia="en-US"/>
        </w:rPr>
        <w:t xml:space="preserve"> </w:t>
      </w:r>
      <w:proofErr w:type="spellStart"/>
      <w:r w:rsidRPr="00100B6E">
        <w:rPr>
          <w:rFonts w:eastAsia="Cambria"/>
          <w:i/>
          <w:lang w:eastAsia="en-US"/>
        </w:rPr>
        <w:t>i</w:t>
      </w:r>
      <w:proofErr w:type="spellEnd"/>
      <w:r w:rsidRPr="00CC7E24">
        <w:rPr>
          <w:rFonts w:eastAsia="Cambria"/>
          <w:lang w:eastAsia="en-US"/>
        </w:rPr>
        <w:t xml:space="preserve"> is then 1/</w:t>
      </w:r>
      <w:proofErr w:type="spellStart"/>
      <w:r w:rsidRPr="003B5C38">
        <w:rPr>
          <w:rFonts w:eastAsia="Cambria"/>
          <w:i/>
          <w:lang w:eastAsia="en-US"/>
        </w:rPr>
        <w:t>N</w:t>
      </w:r>
      <w:r w:rsidRPr="003B5C38">
        <w:rPr>
          <w:rFonts w:eastAsia="Cambria"/>
          <w:i/>
          <w:vertAlign w:val="subscript"/>
          <w:lang w:eastAsia="en-US"/>
        </w:rPr>
        <w:t>ij</w:t>
      </w:r>
      <w:proofErr w:type="spellEnd"/>
      <w:r w:rsidRPr="00CC7E24">
        <w:rPr>
          <w:rFonts w:eastAsia="Cambria"/>
          <w:vertAlign w:val="subscript"/>
          <w:lang w:eastAsia="en-US"/>
        </w:rPr>
        <w:t>(adult)</w:t>
      </w:r>
      <w:r w:rsidRPr="00CC7E24">
        <w:rPr>
          <w:rFonts w:eastAsia="Cambria"/>
          <w:lang w:eastAsia="en-US"/>
        </w:rPr>
        <w:t>, and the probability of any particular child (if any</w:t>
      </w:r>
      <w:r>
        <w:rPr>
          <w:rFonts w:eastAsia="Cambria"/>
          <w:lang w:eastAsia="en-US"/>
        </w:rPr>
        <w:t xml:space="preserve"> in the household</w:t>
      </w:r>
      <w:r w:rsidRPr="00CC7E24">
        <w:rPr>
          <w:rFonts w:eastAsia="Cambria"/>
          <w:lang w:eastAsia="en-US"/>
        </w:rPr>
        <w:t>) being selected is 1/</w:t>
      </w:r>
      <w:proofErr w:type="spellStart"/>
      <w:r w:rsidRPr="003B5C38">
        <w:rPr>
          <w:rFonts w:eastAsia="Cambria"/>
          <w:i/>
          <w:lang w:eastAsia="en-US"/>
        </w:rPr>
        <w:t>N</w:t>
      </w:r>
      <w:r w:rsidRPr="003B5C38">
        <w:rPr>
          <w:rFonts w:eastAsia="Cambria"/>
          <w:i/>
          <w:vertAlign w:val="subscript"/>
          <w:lang w:eastAsia="en-US"/>
        </w:rPr>
        <w:t>ij</w:t>
      </w:r>
      <w:proofErr w:type="spellEnd"/>
      <w:r w:rsidRPr="00CC7E24">
        <w:rPr>
          <w:rFonts w:eastAsia="Cambria"/>
          <w:vertAlign w:val="subscript"/>
          <w:lang w:eastAsia="en-US"/>
        </w:rPr>
        <w:t>(child)</w:t>
      </w:r>
      <w:r w:rsidRPr="00CC7E24">
        <w:rPr>
          <w:rFonts w:eastAsia="Cambria"/>
          <w:lang w:eastAsia="en-US"/>
        </w:rPr>
        <w:t>.</w:t>
      </w:r>
    </w:p>
    <w:p w:rsidR="0089511D" w:rsidRPr="00CC7E24" w:rsidRDefault="0089511D" w:rsidP="00C7303E">
      <w:pPr>
        <w:rPr>
          <w:rFonts w:eastAsia="Cambria"/>
          <w:lang w:eastAsia="en-US"/>
        </w:rPr>
      </w:pPr>
    </w:p>
    <w:p w:rsidR="0089511D" w:rsidRPr="00CC7E24" w:rsidRDefault="0089511D" w:rsidP="00C7303E">
      <w:pPr>
        <w:pStyle w:val="Heading3"/>
        <w:rPr>
          <w:rFonts w:eastAsia="Cambria"/>
          <w:lang w:eastAsia="en-US"/>
        </w:rPr>
      </w:pPr>
      <w:r>
        <w:rPr>
          <w:rFonts w:eastAsia="Cambria"/>
          <w:lang w:eastAsia="en-US"/>
        </w:rPr>
        <w:t>Combined sample</w:t>
      </w:r>
    </w:p>
    <w:p w:rsidR="0089511D" w:rsidRDefault="0089511D" w:rsidP="00C7303E">
      <w:pPr>
        <w:rPr>
          <w:rFonts w:eastAsia="Cambria"/>
          <w:lang w:eastAsia="en-US"/>
        </w:rPr>
      </w:pPr>
      <w:r w:rsidRPr="00CC7E24">
        <w:rPr>
          <w:rFonts w:eastAsia="Cambria"/>
          <w:lang w:eastAsia="en-US"/>
        </w:rPr>
        <w:t>The electoral roll sample and the area</w:t>
      </w:r>
      <w:r>
        <w:rPr>
          <w:rFonts w:eastAsia="Cambria"/>
          <w:lang w:eastAsia="en-US"/>
        </w:rPr>
        <w:t>-based</w:t>
      </w:r>
      <w:r w:rsidRPr="00CC7E24">
        <w:rPr>
          <w:rFonts w:eastAsia="Cambria"/>
          <w:lang w:eastAsia="en-US"/>
        </w:rPr>
        <w:t xml:space="preserve"> sample are selected according to the probabilities calculated using the above methods. The two samples of </w:t>
      </w:r>
      <w:proofErr w:type="spellStart"/>
      <w:r w:rsidRPr="00CC7E24">
        <w:rPr>
          <w:rFonts w:eastAsia="Cambria"/>
          <w:lang w:eastAsia="en-US"/>
        </w:rPr>
        <w:t>meshblocks</w:t>
      </w:r>
      <w:proofErr w:type="spellEnd"/>
      <w:r w:rsidRPr="00CC7E24">
        <w:rPr>
          <w:rFonts w:eastAsia="Cambria"/>
          <w:lang w:eastAsia="en-US"/>
        </w:rPr>
        <w:t xml:space="preserve"> do not overlap. The </w:t>
      </w:r>
      <w:r>
        <w:rPr>
          <w:rFonts w:eastAsia="Cambria"/>
          <w:lang w:eastAsia="en-US"/>
        </w:rPr>
        <w:t>complete</w:t>
      </w:r>
      <w:r w:rsidRPr="00CC7E24">
        <w:rPr>
          <w:rFonts w:eastAsia="Cambria"/>
          <w:lang w:eastAsia="en-US"/>
        </w:rPr>
        <w:t xml:space="preserve"> NZHS sample is defined as the union of the two samples. The probability of selection for any adult in dwelling </w:t>
      </w:r>
      <w:r w:rsidRPr="00100B6E">
        <w:rPr>
          <w:rFonts w:eastAsia="Cambria"/>
          <w:i/>
          <w:lang w:eastAsia="en-US"/>
        </w:rPr>
        <w:t>j</w:t>
      </w:r>
      <w:r w:rsidRPr="00CC7E24">
        <w:rPr>
          <w:rFonts w:eastAsia="Cambria"/>
          <w:lang w:eastAsia="en-US"/>
        </w:rPr>
        <w:t xml:space="preserve"> in </w:t>
      </w:r>
      <w:proofErr w:type="spellStart"/>
      <w:r w:rsidRPr="00CC7E24">
        <w:rPr>
          <w:rFonts w:eastAsia="Cambria"/>
          <w:lang w:eastAsia="en-US"/>
        </w:rPr>
        <w:t>meshblock</w:t>
      </w:r>
      <w:proofErr w:type="spellEnd"/>
      <w:r w:rsidRPr="00CC7E24">
        <w:rPr>
          <w:rFonts w:eastAsia="Cambria"/>
          <w:lang w:eastAsia="en-US"/>
        </w:rPr>
        <w:t xml:space="preserve"> </w:t>
      </w:r>
      <w:proofErr w:type="spellStart"/>
      <w:r w:rsidRPr="00100B6E">
        <w:rPr>
          <w:rFonts w:eastAsia="Cambria"/>
          <w:i/>
          <w:lang w:eastAsia="en-US"/>
        </w:rPr>
        <w:t>i</w:t>
      </w:r>
      <w:proofErr w:type="spellEnd"/>
      <w:r w:rsidRPr="00CC7E24">
        <w:rPr>
          <w:rFonts w:eastAsia="Cambria"/>
          <w:lang w:eastAsia="en-US"/>
        </w:rPr>
        <w:t xml:space="preserve"> in the combined sample </w:t>
      </w:r>
      <w:proofErr w:type="gramStart"/>
      <w:r w:rsidRPr="00CC7E24">
        <w:rPr>
          <w:rFonts w:eastAsia="Cambria"/>
          <w:lang w:eastAsia="en-US"/>
        </w:rPr>
        <w:t>is</w:t>
      </w:r>
      <w:proofErr w:type="gramEnd"/>
      <w:r w:rsidRPr="00CC7E24">
        <w:rPr>
          <w:rFonts w:eastAsia="Cambria"/>
          <w:lang w:eastAsia="en-US"/>
        </w:rPr>
        <w:t xml:space="preserve"> therefore:</w:t>
      </w:r>
    </w:p>
    <w:p w:rsidR="0089511D" w:rsidRPr="00CC7E24" w:rsidRDefault="0089511D" w:rsidP="00C7303E">
      <w:pPr>
        <w:rPr>
          <w:rFonts w:eastAsia="Cambria"/>
          <w:lang w:eastAsia="en-US"/>
        </w:rPr>
      </w:pPr>
    </w:p>
    <w:p w:rsidR="0089511D" w:rsidRDefault="0089511D" w:rsidP="0089511D">
      <w:pPr>
        <w:ind w:left="567" w:hanging="567"/>
        <w:rPr>
          <w:rFonts w:eastAsia="Cambria"/>
          <w:lang w:eastAsia="en-US"/>
        </w:rPr>
      </w:pPr>
      <w:r w:rsidRPr="00CC7E24">
        <w:rPr>
          <w:rFonts w:eastAsia="Cambria"/>
          <w:lang w:eastAsia="en-US"/>
        </w:rPr>
        <w:t>(1)</w:t>
      </w:r>
      <w:r w:rsidRPr="00CC7E24">
        <w:rPr>
          <w:rFonts w:eastAsia="Cambria"/>
          <w:lang w:eastAsia="en-US"/>
        </w:rPr>
        <w:tab/>
      </w:r>
      <w:r w:rsidRPr="00095D83">
        <w:rPr>
          <w:position w:val="-14"/>
        </w:rPr>
        <w:object w:dxaOrig="67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pt;height:20.4pt" o:ole="">
            <v:imagedata r:id="rId25" o:title=""/>
          </v:shape>
          <o:OLEObject Type="Embed" ProgID="Equation.3" ShapeID="_x0000_i1025" DrawAspect="Content" ObjectID="_1510991274" r:id="rId26"/>
        </w:object>
      </w:r>
    </w:p>
    <w:p w:rsidR="0089511D" w:rsidRPr="00CC7E24" w:rsidRDefault="0089511D" w:rsidP="00C7303E">
      <w:pPr>
        <w:rPr>
          <w:rFonts w:eastAsia="Cambria"/>
          <w:lang w:eastAsia="en-US"/>
        </w:rPr>
      </w:pPr>
    </w:p>
    <w:p w:rsidR="0089511D" w:rsidRDefault="0089511D" w:rsidP="00C7303E">
      <w:pPr>
        <w:rPr>
          <w:rFonts w:eastAsia="Cambria"/>
          <w:lang w:eastAsia="en-US"/>
        </w:rPr>
      </w:pPr>
      <w:r w:rsidRPr="00CC7E24">
        <w:rPr>
          <w:rFonts w:eastAsia="Cambria"/>
          <w:lang w:eastAsia="en-US"/>
        </w:rPr>
        <w:t>Similarly</w:t>
      </w:r>
      <w:r>
        <w:rPr>
          <w:rFonts w:eastAsia="Cambria"/>
          <w:lang w:eastAsia="en-US"/>
        </w:rPr>
        <w:t>,</w:t>
      </w:r>
      <w:r w:rsidRPr="00CC7E24">
        <w:rPr>
          <w:rFonts w:eastAsia="Cambria"/>
          <w:lang w:eastAsia="en-US"/>
        </w:rPr>
        <w:t xml:space="preserve"> the probability of selection for any child in dwelling </w:t>
      </w:r>
      <w:r w:rsidRPr="00100B6E">
        <w:rPr>
          <w:rFonts w:eastAsia="Cambria"/>
          <w:i/>
          <w:lang w:eastAsia="en-US"/>
        </w:rPr>
        <w:t>j</w:t>
      </w:r>
      <w:r w:rsidRPr="00CC7E24">
        <w:rPr>
          <w:rFonts w:eastAsia="Cambria"/>
          <w:lang w:eastAsia="en-US"/>
        </w:rPr>
        <w:t xml:space="preserve"> in </w:t>
      </w:r>
      <w:proofErr w:type="spellStart"/>
      <w:r w:rsidRPr="00CC7E24">
        <w:rPr>
          <w:rFonts w:eastAsia="Cambria"/>
          <w:lang w:eastAsia="en-US"/>
        </w:rPr>
        <w:t>meshblock</w:t>
      </w:r>
      <w:proofErr w:type="spellEnd"/>
      <w:r w:rsidRPr="00CC7E24">
        <w:rPr>
          <w:rFonts w:eastAsia="Cambria"/>
          <w:lang w:eastAsia="en-US"/>
        </w:rPr>
        <w:t xml:space="preserve"> </w:t>
      </w:r>
      <w:proofErr w:type="spellStart"/>
      <w:r w:rsidRPr="00100B6E">
        <w:rPr>
          <w:rFonts w:eastAsia="Cambria"/>
          <w:i/>
          <w:lang w:eastAsia="en-US"/>
        </w:rPr>
        <w:t>i</w:t>
      </w:r>
      <w:proofErr w:type="spellEnd"/>
      <w:r w:rsidRPr="00CC7E24">
        <w:rPr>
          <w:rFonts w:eastAsia="Cambria"/>
          <w:lang w:eastAsia="en-US"/>
        </w:rPr>
        <w:t xml:space="preserve"> in the combined sample </w:t>
      </w:r>
      <w:proofErr w:type="gramStart"/>
      <w:r w:rsidRPr="00CC7E24">
        <w:rPr>
          <w:rFonts w:eastAsia="Cambria"/>
          <w:lang w:eastAsia="en-US"/>
        </w:rPr>
        <w:t>is</w:t>
      </w:r>
      <w:proofErr w:type="gramEnd"/>
      <w:r w:rsidRPr="00CC7E24">
        <w:rPr>
          <w:rFonts w:eastAsia="Cambria"/>
          <w:lang w:eastAsia="en-US"/>
        </w:rPr>
        <w:t>:</w:t>
      </w:r>
    </w:p>
    <w:p w:rsidR="0089511D" w:rsidRDefault="0089511D" w:rsidP="00C7303E">
      <w:pPr>
        <w:rPr>
          <w:rFonts w:eastAsia="Cambria"/>
          <w:lang w:eastAsia="en-US"/>
        </w:rPr>
      </w:pPr>
    </w:p>
    <w:p w:rsidR="0089511D" w:rsidRDefault="0089511D" w:rsidP="0089511D">
      <w:pPr>
        <w:ind w:left="567" w:hanging="567"/>
        <w:rPr>
          <w:rFonts w:eastAsia="Cambria"/>
          <w:lang w:eastAsia="en-US"/>
        </w:rPr>
      </w:pPr>
      <w:r w:rsidRPr="00CC7E24">
        <w:rPr>
          <w:rFonts w:eastAsia="Cambria"/>
          <w:lang w:eastAsia="en-US"/>
        </w:rPr>
        <w:t>(2)</w:t>
      </w:r>
      <w:r>
        <w:rPr>
          <w:rFonts w:eastAsia="Cambria"/>
          <w:lang w:eastAsia="en-US"/>
        </w:rPr>
        <w:tab/>
      </w:r>
      <w:r w:rsidRPr="00095D83">
        <w:rPr>
          <w:position w:val="-14"/>
        </w:rPr>
        <w:object w:dxaOrig="6700" w:dyaOrig="400">
          <v:shape id="_x0000_i1026" type="#_x0000_t75" style="width:335.4pt;height:20.4pt" o:ole="">
            <v:imagedata r:id="rId27" o:title=""/>
          </v:shape>
          <o:OLEObject Type="Embed" ProgID="Equation.3" ShapeID="_x0000_i1026" DrawAspect="Content" ObjectID="_1510991275" r:id="rId28"/>
        </w:object>
      </w:r>
    </w:p>
    <w:p w:rsidR="0089511D" w:rsidRPr="00CC7E24" w:rsidRDefault="0089511D" w:rsidP="00C7303E">
      <w:pPr>
        <w:rPr>
          <w:rFonts w:eastAsia="Cambria"/>
          <w:lang w:eastAsia="en-US"/>
        </w:rPr>
      </w:pPr>
    </w:p>
    <w:p w:rsidR="0089511D" w:rsidRDefault="0089511D" w:rsidP="00C7303E">
      <w:pPr>
        <w:rPr>
          <w:rFonts w:eastAsia="Cambria"/>
          <w:lang w:eastAsia="en-US"/>
        </w:rPr>
      </w:pPr>
      <w:r w:rsidRPr="00CC7E24">
        <w:rPr>
          <w:rFonts w:eastAsia="Cambria"/>
          <w:lang w:eastAsia="en-US"/>
        </w:rPr>
        <w:t>The selection weights for adults and children are given by the reciprocal (inverse) of the above:</w:t>
      </w:r>
    </w:p>
    <w:p w:rsidR="0089511D" w:rsidRDefault="0089511D" w:rsidP="00C7303E">
      <w:pPr>
        <w:rPr>
          <w:rFonts w:eastAsia="Cambria"/>
          <w:lang w:eastAsia="en-US"/>
        </w:rPr>
      </w:pPr>
      <w:bookmarkStart w:id="151" w:name="_GoBack"/>
      <w:bookmarkEnd w:id="151"/>
    </w:p>
    <w:p w:rsidR="0089511D" w:rsidRDefault="0089511D" w:rsidP="0089511D">
      <w:pPr>
        <w:rPr>
          <w:rFonts w:eastAsia="Cambria"/>
          <w:lang w:eastAsia="en-US"/>
        </w:rPr>
      </w:pPr>
      <w:r>
        <w:rPr>
          <w:rFonts w:eastAsia="Cambria"/>
          <w:lang w:eastAsia="en-US"/>
        </w:rPr>
        <w:t>(3</w:t>
      </w:r>
      <w:r w:rsidRPr="00CC7E24">
        <w:rPr>
          <w:rFonts w:eastAsia="Cambria"/>
          <w:lang w:eastAsia="en-US"/>
        </w:rPr>
        <w:t>)</w:t>
      </w:r>
      <w:r>
        <w:rPr>
          <w:rFonts w:eastAsia="Cambria"/>
          <w:lang w:eastAsia="en-US"/>
        </w:rPr>
        <w:tab/>
      </w:r>
      <w:r w:rsidRPr="00095D83">
        <w:rPr>
          <w:position w:val="-14"/>
        </w:rPr>
        <w:object w:dxaOrig="4459" w:dyaOrig="460">
          <v:shape id="_x0000_i1027" type="#_x0000_t75" style="width:222.6pt;height:23.4pt" o:ole="">
            <v:imagedata r:id="rId29" o:title=""/>
          </v:shape>
          <o:OLEObject Type="Embed" ProgID="Equation.3" ShapeID="_x0000_i1027" DrawAspect="Content" ObjectID="_1510991276" r:id="rId30"/>
        </w:object>
      </w:r>
    </w:p>
    <w:p w:rsidR="0089511D" w:rsidRPr="00CC7E24" w:rsidRDefault="0089511D" w:rsidP="00C7303E">
      <w:pPr>
        <w:rPr>
          <w:rFonts w:eastAsia="Cambria"/>
          <w:lang w:eastAsia="en-US"/>
        </w:rPr>
      </w:pPr>
    </w:p>
    <w:p w:rsidR="0089511D" w:rsidRDefault="0089511D" w:rsidP="0089511D">
      <w:pPr>
        <w:ind w:left="567" w:hanging="567"/>
        <w:rPr>
          <w:rFonts w:eastAsia="Cambria"/>
          <w:lang w:eastAsia="en-US"/>
        </w:rPr>
      </w:pPr>
      <w:r w:rsidRPr="00CC7E24">
        <w:rPr>
          <w:rFonts w:eastAsia="Cambria"/>
          <w:lang w:eastAsia="en-US"/>
        </w:rPr>
        <w:t>(4)</w:t>
      </w:r>
      <w:r w:rsidRPr="00CC7E24">
        <w:rPr>
          <w:rFonts w:eastAsia="Cambria"/>
          <w:lang w:eastAsia="en-US"/>
        </w:rPr>
        <w:tab/>
      </w:r>
      <w:r w:rsidRPr="00095D83">
        <w:rPr>
          <w:position w:val="-14"/>
        </w:rPr>
        <w:object w:dxaOrig="4459" w:dyaOrig="460">
          <v:shape id="_x0000_i1028" type="#_x0000_t75" style="width:222.6pt;height:23.4pt" o:ole="">
            <v:imagedata r:id="rId31" o:title=""/>
          </v:shape>
          <o:OLEObject Type="Embed" ProgID="Equation.3" ShapeID="_x0000_i1028" DrawAspect="Content" ObjectID="_1510991277" r:id="rId32"/>
        </w:object>
      </w:r>
    </w:p>
    <w:p w:rsidR="0089511D" w:rsidRDefault="0089511D" w:rsidP="00C7303E">
      <w:pPr>
        <w:rPr>
          <w:rFonts w:eastAsia="Cambria"/>
          <w:lang w:eastAsia="en-US"/>
        </w:rPr>
      </w:pPr>
    </w:p>
    <w:p w:rsidR="0089511D" w:rsidRPr="00CC7E24" w:rsidRDefault="0089511D" w:rsidP="00C7303E">
      <w:pPr>
        <w:pStyle w:val="Heading2"/>
        <w:rPr>
          <w:rFonts w:eastAsia="Cambria"/>
          <w:lang w:eastAsia="en-US"/>
        </w:rPr>
      </w:pPr>
      <w:bookmarkStart w:id="152" w:name="_Toc339270020"/>
      <w:bookmarkStart w:id="153" w:name="_Toc340501942"/>
      <w:bookmarkStart w:id="154" w:name="_Toc372445562"/>
      <w:bookmarkStart w:id="155" w:name="_Toc403044017"/>
      <w:bookmarkStart w:id="156" w:name="_Toc434934528"/>
      <w:bookmarkStart w:id="157" w:name="_Toc435643022"/>
      <w:r w:rsidRPr="00CC7E24">
        <w:rPr>
          <w:rFonts w:eastAsia="Cambria"/>
          <w:lang w:eastAsia="en-US"/>
        </w:rPr>
        <w:lastRenderedPageBreak/>
        <w:t>Calibration of selection weights</w:t>
      </w:r>
      <w:bookmarkEnd w:id="152"/>
      <w:bookmarkEnd w:id="153"/>
      <w:bookmarkEnd w:id="154"/>
      <w:bookmarkEnd w:id="155"/>
      <w:bookmarkEnd w:id="156"/>
      <w:bookmarkEnd w:id="157"/>
    </w:p>
    <w:p w:rsidR="0089511D" w:rsidRPr="00CC7E24" w:rsidRDefault="0089511D" w:rsidP="00C7303E">
      <w:pPr>
        <w:rPr>
          <w:rFonts w:eastAsia="Cambria"/>
          <w:lang w:eastAsia="en-US"/>
        </w:rPr>
      </w:pPr>
      <w:r w:rsidRPr="00CC7E24">
        <w:rPr>
          <w:rFonts w:eastAsia="Cambria"/>
          <w:lang w:eastAsia="en-US"/>
        </w:rPr>
        <w:t xml:space="preserve">Calibrated weights are calculated by combining the selection weights and population benchmark </w:t>
      </w:r>
      <w:r w:rsidRPr="001B6D3B">
        <w:rPr>
          <w:rFonts w:eastAsia="Cambria"/>
          <w:lang w:eastAsia="en-US"/>
        </w:rPr>
        <w:t>information obtained externally from the survey. The NZHS uses counts from Statistics New</w:t>
      </w:r>
      <w:r>
        <w:rPr>
          <w:rFonts w:eastAsia="Cambria"/>
          <w:lang w:eastAsia="en-US"/>
        </w:rPr>
        <w:t xml:space="preserve"> Zealand</w:t>
      </w:r>
      <w:r w:rsidR="00095D83">
        <w:rPr>
          <w:rFonts w:eastAsia="Cambria"/>
          <w:lang w:eastAsia="en-US"/>
        </w:rPr>
        <w:t>’</w:t>
      </w:r>
      <w:r>
        <w:rPr>
          <w:rFonts w:eastAsia="Cambria"/>
          <w:lang w:eastAsia="en-US"/>
        </w:rPr>
        <w:t>s estimated resident population for each calendar quarter,</w:t>
      </w:r>
      <w:r w:rsidRPr="00CC7E24">
        <w:rPr>
          <w:rFonts w:eastAsia="Cambria"/>
          <w:lang w:eastAsia="en-US"/>
        </w:rPr>
        <w:t xml:space="preserve"> broken down by age, sex, ethnicity</w:t>
      </w:r>
      <w:r>
        <w:rPr>
          <w:rFonts w:eastAsia="Cambria"/>
          <w:lang w:eastAsia="en-US"/>
        </w:rPr>
        <w:t xml:space="preserve"> and socioeconomic position,</w:t>
      </w:r>
      <w:r w:rsidRPr="00CC7E24">
        <w:rPr>
          <w:rFonts w:eastAsia="Cambria"/>
          <w:lang w:eastAsia="en-US"/>
        </w:rPr>
        <w:t xml:space="preserve"> as its benchmark population.</w:t>
      </w:r>
    </w:p>
    <w:p w:rsidR="0089511D" w:rsidRPr="00CC7E24" w:rsidRDefault="0089511D" w:rsidP="00C7303E">
      <w:pPr>
        <w:rPr>
          <w:rFonts w:eastAsia="Cambria"/>
          <w:lang w:eastAsia="en-US"/>
        </w:rPr>
      </w:pPr>
    </w:p>
    <w:p w:rsidR="0089511D" w:rsidRPr="00CC7E24" w:rsidRDefault="0089511D" w:rsidP="00C7303E">
      <w:pPr>
        <w:rPr>
          <w:rFonts w:eastAsia="Cambria"/>
          <w:lang w:eastAsia="en-US"/>
        </w:rPr>
      </w:pPr>
      <w:r w:rsidRPr="00CC7E24">
        <w:rPr>
          <w:rFonts w:eastAsia="Cambria"/>
          <w:lang w:eastAsia="en-US"/>
        </w:rPr>
        <w:t>Calibrated weights are calculated to achieve two requirements.</w:t>
      </w:r>
    </w:p>
    <w:p w:rsidR="0089511D" w:rsidRPr="00CC7E24" w:rsidRDefault="0089511D" w:rsidP="00C7303E">
      <w:pPr>
        <w:spacing w:before="120"/>
        <w:ind w:left="567" w:hanging="567"/>
        <w:rPr>
          <w:rFonts w:eastAsia="Cambria"/>
          <w:lang w:eastAsia="en-US"/>
        </w:rPr>
      </w:pPr>
      <w:r>
        <w:rPr>
          <w:rFonts w:eastAsia="Cambria"/>
          <w:lang w:eastAsia="en-US"/>
        </w:rPr>
        <w:t>1.</w:t>
      </w:r>
      <w:r w:rsidRPr="00CC7E24">
        <w:rPr>
          <w:rFonts w:eastAsia="Cambria"/>
          <w:lang w:eastAsia="en-US"/>
        </w:rPr>
        <w:tab/>
        <w:t>The weights should be close to the inverse of the probability of selection of each respondent.</w:t>
      </w:r>
    </w:p>
    <w:p w:rsidR="0089511D" w:rsidRPr="00CC7E24" w:rsidRDefault="0089511D" w:rsidP="00C7303E">
      <w:pPr>
        <w:spacing w:before="120"/>
        <w:ind w:left="567" w:hanging="567"/>
        <w:rPr>
          <w:rFonts w:eastAsia="Cambria"/>
          <w:lang w:eastAsia="en-US"/>
        </w:rPr>
      </w:pPr>
      <w:r>
        <w:rPr>
          <w:rFonts w:eastAsia="Cambria"/>
          <w:lang w:eastAsia="en-US"/>
        </w:rPr>
        <w:t>2.</w:t>
      </w:r>
      <w:r w:rsidRPr="00CC7E24">
        <w:rPr>
          <w:rFonts w:eastAsia="Cambria"/>
          <w:lang w:eastAsia="en-US"/>
        </w:rPr>
        <w:tab/>
        <w:t>The weights are calibrated to the known population counts for a range of sub-populations (</w:t>
      </w:r>
      <w:proofErr w:type="spellStart"/>
      <w:r w:rsidRPr="00CC7E24">
        <w:rPr>
          <w:rFonts w:eastAsia="Cambria"/>
          <w:lang w:eastAsia="en-US"/>
        </w:rPr>
        <w:t>eg</w:t>
      </w:r>
      <w:proofErr w:type="spellEnd"/>
      <w:r w:rsidRPr="00CC7E24">
        <w:rPr>
          <w:rFonts w:eastAsia="Cambria"/>
          <w:lang w:eastAsia="en-US"/>
        </w:rPr>
        <w:t>, age</w:t>
      </w:r>
      <w:r>
        <w:rPr>
          <w:rFonts w:eastAsia="Cambria"/>
          <w:lang w:eastAsia="en-US"/>
        </w:rPr>
        <w:t>-</w:t>
      </w:r>
      <w:r w:rsidRPr="00CC7E24">
        <w:rPr>
          <w:rFonts w:eastAsia="Cambria"/>
          <w:lang w:eastAsia="en-US"/>
        </w:rPr>
        <w:t>by</w:t>
      </w:r>
      <w:r>
        <w:rPr>
          <w:rFonts w:eastAsia="Cambria"/>
          <w:lang w:eastAsia="en-US"/>
        </w:rPr>
        <w:t>-</w:t>
      </w:r>
      <w:r w:rsidRPr="00CC7E24">
        <w:rPr>
          <w:rFonts w:eastAsia="Cambria"/>
          <w:lang w:eastAsia="en-US"/>
        </w:rPr>
        <w:t>sex</w:t>
      </w:r>
      <w:r>
        <w:rPr>
          <w:rFonts w:eastAsia="Cambria"/>
          <w:lang w:eastAsia="en-US"/>
        </w:rPr>
        <w:t>-by-ethnicity</w:t>
      </w:r>
      <w:r w:rsidRPr="00CC7E24">
        <w:rPr>
          <w:rFonts w:eastAsia="Cambria"/>
          <w:lang w:eastAsia="en-US"/>
        </w:rPr>
        <w:t xml:space="preserve"> categories). This means that the sum of the weights for respondents in the sub-population must exactly equal the known benchmark for the sub-population size.</w:t>
      </w:r>
    </w:p>
    <w:p w:rsidR="0089511D" w:rsidRPr="00CC7E24" w:rsidRDefault="0089511D" w:rsidP="00C7303E">
      <w:pPr>
        <w:rPr>
          <w:rFonts w:eastAsia="Cambria"/>
          <w:lang w:eastAsia="en-US"/>
        </w:rPr>
      </w:pPr>
    </w:p>
    <w:p w:rsidR="0089511D" w:rsidRPr="00BD09EF" w:rsidRDefault="0089511D" w:rsidP="00C7303E">
      <w:pPr>
        <w:rPr>
          <w:rFonts w:eastAsia="Cambria"/>
          <w:lang w:eastAsia="en-US"/>
        </w:rPr>
      </w:pPr>
      <w:r w:rsidRPr="00BD09EF">
        <w:rPr>
          <w:rFonts w:eastAsia="Cambria"/>
          <w:lang w:eastAsia="en-US"/>
        </w:rPr>
        <w:t xml:space="preserve">The </w:t>
      </w:r>
      <w:r>
        <w:rPr>
          <w:rFonts w:eastAsia="Cambria"/>
          <w:lang w:eastAsia="en-US"/>
        </w:rPr>
        <w:t xml:space="preserve">calibrated </w:t>
      </w:r>
      <w:r w:rsidRPr="00BD09EF">
        <w:rPr>
          <w:rFonts w:eastAsia="Cambria"/>
          <w:lang w:eastAsia="en-US"/>
        </w:rPr>
        <w:t xml:space="preserve">weights are </w:t>
      </w:r>
      <w:r>
        <w:rPr>
          <w:rFonts w:eastAsia="Cambria"/>
          <w:lang w:eastAsia="en-US"/>
        </w:rPr>
        <w:t xml:space="preserve">calculated in such a way as </w:t>
      </w:r>
      <w:r w:rsidRPr="00BD09EF">
        <w:rPr>
          <w:rFonts w:eastAsia="Cambria"/>
          <w:lang w:eastAsia="en-US"/>
        </w:rPr>
        <w:t xml:space="preserve">to minimise a measure of the distance between the </w:t>
      </w:r>
      <w:r>
        <w:rPr>
          <w:rFonts w:eastAsia="Cambria"/>
          <w:lang w:eastAsia="en-US"/>
        </w:rPr>
        <w:t xml:space="preserve">calibrated </w:t>
      </w:r>
      <w:r w:rsidRPr="00BD09EF">
        <w:rPr>
          <w:rFonts w:eastAsia="Cambria"/>
          <w:lang w:eastAsia="en-US"/>
        </w:rPr>
        <w:t>weights and the inverse selection probabilities, provided that requirement 2 above is satisfied. Requirement 1 ensures that estimates have low bias, while requirement 2 improves the precision of estimates and achieves consistency between the survey estimates and external benchmark information.</w:t>
      </w:r>
    </w:p>
    <w:p w:rsidR="0089511D" w:rsidRPr="009D18D7" w:rsidRDefault="0089511D" w:rsidP="00C7303E">
      <w:pPr>
        <w:rPr>
          <w:rFonts w:eastAsia="Cambria"/>
          <w:lang w:eastAsia="en-US"/>
        </w:rPr>
      </w:pPr>
    </w:p>
    <w:p w:rsidR="0089511D" w:rsidRPr="00CC7E24" w:rsidRDefault="0089511D" w:rsidP="00C7303E">
      <w:pPr>
        <w:rPr>
          <w:rFonts w:eastAsia="Cambria"/>
          <w:lang w:eastAsia="en-US"/>
        </w:rPr>
      </w:pPr>
      <w:r w:rsidRPr="00D02E9F">
        <w:rPr>
          <w:rFonts w:eastAsia="Cambria"/>
          <w:lang w:eastAsia="en-US"/>
        </w:rPr>
        <w:t>A number of distance measures are in common use. A chi-square</w:t>
      </w:r>
      <w:r w:rsidRPr="00CC7E24">
        <w:rPr>
          <w:rFonts w:eastAsia="Cambria"/>
          <w:lang w:eastAsia="en-US"/>
        </w:rPr>
        <w:t xml:space="preserve"> distance function (case 1 in Deville and </w:t>
      </w:r>
      <w:proofErr w:type="spellStart"/>
      <w:r w:rsidRPr="00CC7E24">
        <w:rPr>
          <w:rFonts w:eastAsia="Cambria"/>
          <w:lang w:eastAsia="en-US"/>
        </w:rPr>
        <w:t>Särndal</w:t>
      </w:r>
      <w:proofErr w:type="spellEnd"/>
      <w:r w:rsidRPr="00CC7E24">
        <w:rPr>
          <w:rFonts w:eastAsia="Cambria"/>
          <w:lang w:eastAsia="en-US"/>
        </w:rPr>
        <w:t xml:space="preserve"> 1992) </w:t>
      </w:r>
      <w:r>
        <w:rPr>
          <w:rFonts w:eastAsia="Cambria"/>
          <w:lang w:eastAsia="en-US"/>
        </w:rPr>
        <w:t>is</w:t>
      </w:r>
      <w:r w:rsidRPr="00CC7E24">
        <w:rPr>
          <w:rFonts w:eastAsia="Cambria"/>
          <w:lang w:eastAsia="en-US"/>
        </w:rPr>
        <w:t xml:space="preserve"> used for </w:t>
      </w:r>
      <w:r>
        <w:rPr>
          <w:rFonts w:eastAsia="Cambria"/>
          <w:lang w:eastAsia="en-US"/>
        </w:rPr>
        <w:t xml:space="preserve">calibrating </w:t>
      </w:r>
      <w:r w:rsidRPr="00CC7E24">
        <w:rPr>
          <w:rFonts w:eastAsia="Cambria"/>
          <w:lang w:eastAsia="en-US"/>
        </w:rPr>
        <w:t>the NZHS</w:t>
      </w:r>
      <w:r>
        <w:rPr>
          <w:rFonts w:eastAsia="Cambria"/>
          <w:lang w:eastAsia="en-US"/>
        </w:rPr>
        <w:t xml:space="preserve"> weights</w:t>
      </w:r>
      <w:r w:rsidRPr="00CC7E24">
        <w:rPr>
          <w:rFonts w:eastAsia="Cambria"/>
          <w:lang w:eastAsia="en-US"/>
        </w:rPr>
        <w:t xml:space="preserve">, which corresponds to generalised regression estimation (also known as GREG). </w:t>
      </w:r>
      <w:r>
        <w:rPr>
          <w:rFonts w:eastAsia="Cambria"/>
          <w:lang w:eastAsia="en-US"/>
        </w:rPr>
        <w:t>T</w:t>
      </w:r>
      <w:r w:rsidRPr="00CC7E24">
        <w:rPr>
          <w:rFonts w:eastAsia="Cambria"/>
          <w:lang w:eastAsia="en-US"/>
        </w:rPr>
        <w:t xml:space="preserve">his distance function </w:t>
      </w:r>
      <w:r>
        <w:rPr>
          <w:rFonts w:eastAsia="Cambria"/>
          <w:lang w:eastAsia="en-US"/>
        </w:rPr>
        <w:t xml:space="preserve">is slightly modified </w:t>
      </w:r>
      <w:r w:rsidRPr="00CC7E24">
        <w:rPr>
          <w:rFonts w:eastAsia="Cambria"/>
          <w:lang w:eastAsia="en-US"/>
        </w:rPr>
        <w:t xml:space="preserve">to force weights to lie within certain bounds, </w:t>
      </w:r>
      <w:r>
        <w:rPr>
          <w:rFonts w:eastAsia="Cambria"/>
          <w:lang w:eastAsia="en-US"/>
        </w:rPr>
        <w:t>with the aim of</w:t>
      </w:r>
      <w:r w:rsidRPr="00CC7E24">
        <w:rPr>
          <w:rFonts w:eastAsia="Cambria"/>
          <w:lang w:eastAsia="en-US"/>
        </w:rPr>
        <w:t xml:space="preserve"> avoid</w:t>
      </w:r>
      <w:r>
        <w:rPr>
          <w:rFonts w:eastAsia="Cambria"/>
          <w:lang w:eastAsia="en-US"/>
        </w:rPr>
        <w:t>ing</w:t>
      </w:r>
      <w:r w:rsidRPr="00CC7E24">
        <w:rPr>
          <w:rFonts w:eastAsia="Cambria"/>
          <w:lang w:eastAsia="en-US"/>
        </w:rPr>
        <w:t xml:space="preserve"> extreme weights.</w:t>
      </w:r>
    </w:p>
    <w:p w:rsidR="0089511D" w:rsidRPr="00CC7E24" w:rsidRDefault="0089511D" w:rsidP="00C7303E">
      <w:pPr>
        <w:rPr>
          <w:rFonts w:eastAsia="Cambria"/>
          <w:lang w:eastAsia="en-US"/>
        </w:rPr>
      </w:pPr>
    </w:p>
    <w:p w:rsidR="0089511D" w:rsidRPr="00CC7E24" w:rsidRDefault="0089511D" w:rsidP="00C7303E">
      <w:pPr>
        <w:rPr>
          <w:rFonts w:eastAsia="Cambria"/>
          <w:lang w:eastAsia="en-US"/>
        </w:rPr>
      </w:pPr>
      <w:r w:rsidRPr="00CC7E24">
        <w:rPr>
          <w:rFonts w:eastAsia="Cambria"/>
          <w:lang w:eastAsia="en-US"/>
        </w:rPr>
        <w:t>The inverse selection probability is sometimes called the initia</w:t>
      </w:r>
      <w:r>
        <w:rPr>
          <w:rFonts w:eastAsia="Cambria"/>
          <w:lang w:eastAsia="en-US"/>
        </w:rPr>
        <w:t xml:space="preserve">l weight. The final, calibrated </w:t>
      </w:r>
      <w:r w:rsidRPr="00CC7E24">
        <w:rPr>
          <w:rFonts w:eastAsia="Cambria"/>
          <w:lang w:eastAsia="en-US"/>
        </w:rPr>
        <w:t>weights are sometimes expressed as:</w:t>
      </w:r>
      <w:r>
        <w:rPr>
          <w:rFonts w:eastAsia="Cambria"/>
          <w:lang w:eastAsia="en-US"/>
        </w:rPr>
        <w:t xml:space="preserve"> </w:t>
      </w:r>
      <w:r w:rsidRPr="00CC7E24">
        <w:rPr>
          <w:rFonts w:eastAsia="Cambria"/>
          <w:lang w:eastAsia="en-US"/>
        </w:rPr>
        <w:t>final weight = initial weight * g-weight.</w:t>
      </w:r>
      <w:r>
        <w:rPr>
          <w:rFonts w:eastAsia="Cambria"/>
          <w:lang w:eastAsia="en-US"/>
        </w:rPr>
        <w:t xml:space="preserve"> </w:t>
      </w:r>
      <w:r w:rsidRPr="00CC7E24">
        <w:rPr>
          <w:rFonts w:eastAsia="Cambria"/>
          <w:lang w:eastAsia="en-US"/>
        </w:rPr>
        <w:t xml:space="preserve">The </w:t>
      </w:r>
      <w:r w:rsidR="00095D83">
        <w:rPr>
          <w:rFonts w:eastAsia="Cambria"/>
          <w:lang w:eastAsia="en-US"/>
        </w:rPr>
        <w:t>‘</w:t>
      </w:r>
      <w:r w:rsidRPr="00CC7E24">
        <w:rPr>
          <w:rFonts w:eastAsia="Cambria"/>
          <w:lang w:eastAsia="en-US"/>
        </w:rPr>
        <w:t>g-weight</w:t>
      </w:r>
      <w:r w:rsidR="00095D83">
        <w:rPr>
          <w:rFonts w:eastAsia="Cambria"/>
          <w:lang w:eastAsia="en-US"/>
        </w:rPr>
        <w:t>’</w:t>
      </w:r>
      <w:r w:rsidRPr="00CC7E24">
        <w:rPr>
          <w:rFonts w:eastAsia="Cambria"/>
          <w:lang w:eastAsia="en-US"/>
        </w:rPr>
        <w:t xml:space="preserve"> indicates the factor by which calibration has changed the initial weight.</w:t>
      </w:r>
    </w:p>
    <w:p w:rsidR="0089511D" w:rsidRPr="00CC7E24" w:rsidRDefault="0089511D" w:rsidP="00C7303E">
      <w:pPr>
        <w:rPr>
          <w:rFonts w:eastAsia="Cambria"/>
          <w:lang w:eastAsia="en-US"/>
        </w:rPr>
      </w:pPr>
    </w:p>
    <w:p w:rsidR="0089511D" w:rsidRPr="00CC7E24" w:rsidRDefault="0089511D" w:rsidP="00C7303E">
      <w:pPr>
        <w:pStyle w:val="Heading3"/>
        <w:rPr>
          <w:rFonts w:eastAsia="Cambria"/>
          <w:lang w:eastAsia="en-US"/>
        </w:rPr>
      </w:pPr>
      <w:bookmarkStart w:id="158" w:name="_Toc340501944"/>
      <w:bookmarkStart w:id="159" w:name="_Toc372445564"/>
      <w:bookmarkStart w:id="160" w:name="_Toc403044019"/>
      <w:r>
        <w:rPr>
          <w:rFonts w:eastAsia="Cambria"/>
          <w:lang w:eastAsia="en-US"/>
        </w:rPr>
        <w:t>Population b</w:t>
      </w:r>
      <w:r w:rsidRPr="00CC7E24">
        <w:rPr>
          <w:rFonts w:eastAsia="Cambria"/>
          <w:lang w:eastAsia="en-US"/>
        </w:rPr>
        <w:t>enchmark</w:t>
      </w:r>
      <w:r>
        <w:rPr>
          <w:rFonts w:eastAsia="Cambria"/>
          <w:lang w:eastAsia="en-US"/>
        </w:rPr>
        <w:t>s</w:t>
      </w:r>
      <w:bookmarkEnd w:id="158"/>
      <w:bookmarkEnd w:id="159"/>
      <w:bookmarkEnd w:id="160"/>
    </w:p>
    <w:p w:rsidR="0089511D" w:rsidRPr="00CC7E24" w:rsidRDefault="0089511D" w:rsidP="00C7303E">
      <w:pPr>
        <w:rPr>
          <w:rFonts w:eastAsia="Cambria"/>
          <w:lang w:eastAsia="en-US"/>
        </w:rPr>
      </w:pPr>
      <w:r w:rsidRPr="00CC7E24">
        <w:rPr>
          <w:rFonts w:eastAsia="Cambria"/>
          <w:lang w:eastAsia="en-US"/>
        </w:rPr>
        <w:t xml:space="preserve">The following </w:t>
      </w:r>
      <w:r>
        <w:rPr>
          <w:rFonts w:eastAsia="Cambria"/>
          <w:lang w:eastAsia="en-US"/>
        </w:rPr>
        <w:t xml:space="preserve">population </w:t>
      </w:r>
      <w:r w:rsidRPr="00CC7E24">
        <w:rPr>
          <w:rFonts w:eastAsia="Cambria"/>
          <w:lang w:eastAsia="en-US"/>
        </w:rPr>
        <w:t>benchmarks are used in the NZHS weighting:</w:t>
      </w:r>
    </w:p>
    <w:p w:rsidR="0089511D" w:rsidRPr="00CC7E24" w:rsidRDefault="0089511D" w:rsidP="00C7303E">
      <w:pPr>
        <w:pStyle w:val="Bullet"/>
      </w:pPr>
      <w:r w:rsidRPr="00CC7E24">
        <w:t>age (0–4, 5–9, 10–14, 15–19, 20–24, 25–29, 30–34, 35–39, 40–44, 45–49, 50–54, 55–59, 60–64, 65–74, 75+</w:t>
      </w:r>
      <w:r>
        <w:t xml:space="preserve"> years</w:t>
      </w:r>
      <w:r w:rsidRPr="00CC7E24">
        <w:t xml:space="preserve">) </w:t>
      </w:r>
      <w:r w:rsidRPr="00317652">
        <w:rPr>
          <w:i/>
        </w:rPr>
        <w:t>by</w:t>
      </w:r>
      <w:r w:rsidRPr="00CC7E24">
        <w:rPr>
          <w:i/>
        </w:rPr>
        <w:t xml:space="preserve"> </w:t>
      </w:r>
      <w:r w:rsidRPr="00CC7E24">
        <w:t>sex (male, female) for all people</w:t>
      </w:r>
    </w:p>
    <w:p w:rsidR="0089511D" w:rsidRPr="00CC7E24" w:rsidRDefault="0089511D" w:rsidP="00C7303E">
      <w:pPr>
        <w:pStyle w:val="Bullet"/>
      </w:pPr>
      <w:r w:rsidRPr="00CC7E24">
        <w:t>age (0–4, 5–9, 10–14, 15–29, 30–34, 35–39, 40–44, 45–49, 50–54, 55–64, 65+</w:t>
      </w:r>
      <w:r>
        <w:t> years</w:t>
      </w:r>
      <w:r w:rsidRPr="00CC7E24">
        <w:t xml:space="preserve">) </w:t>
      </w:r>
      <w:r w:rsidRPr="00317652">
        <w:rPr>
          <w:i/>
        </w:rPr>
        <w:t>by</w:t>
      </w:r>
      <w:r w:rsidRPr="00CC7E24">
        <w:rPr>
          <w:i/>
        </w:rPr>
        <w:t xml:space="preserve"> </w:t>
      </w:r>
      <w:r w:rsidRPr="00CC7E24">
        <w:t>sex (male, female) for all Māori</w:t>
      </w:r>
    </w:p>
    <w:p w:rsidR="0089511D" w:rsidRPr="00CC7E24" w:rsidRDefault="0089511D" w:rsidP="00C7303E">
      <w:pPr>
        <w:pStyle w:val="Bullet"/>
      </w:pPr>
      <w:r>
        <w:t>adult</w:t>
      </w:r>
      <w:r w:rsidRPr="00CC7E24">
        <w:t xml:space="preserve"> population by Pacific</w:t>
      </w:r>
      <w:r>
        <w:t xml:space="preserve"> and n</w:t>
      </w:r>
      <w:r w:rsidRPr="00CC7E24">
        <w:t>on-Pacific</w:t>
      </w:r>
    </w:p>
    <w:p w:rsidR="0089511D" w:rsidRPr="00CC7E24" w:rsidRDefault="0089511D" w:rsidP="00C7303E">
      <w:pPr>
        <w:pStyle w:val="Bullet"/>
      </w:pPr>
      <w:r>
        <w:t>adult</w:t>
      </w:r>
      <w:r w:rsidRPr="00CC7E24">
        <w:t xml:space="preserve"> population by Asian</w:t>
      </w:r>
      <w:r>
        <w:t xml:space="preserve"> and n</w:t>
      </w:r>
      <w:r w:rsidRPr="00CC7E24">
        <w:t>on-Asian</w:t>
      </w:r>
    </w:p>
    <w:p w:rsidR="0089511D" w:rsidRPr="00CC7E24" w:rsidRDefault="0089511D" w:rsidP="00C7303E">
      <w:pPr>
        <w:pStyle w:val="Bullet"/>
      </w:pPr>
      <w:proofErr w:type="gramStart"/>
      <w:r>
        <w:t>t</w:t>
      </w:r>
      <w:r w:rsidRPr="00CC7E24">
        <w:t>otal</w:t>
      </w:r>
      <w:proofErr w:type="gramEnd"/>
      <w:r w:rsidRPr="00CC7E24">
        <w:t xml:space="preserve"> population by </w:t>
      </w:r>
      <w:r w:rsidRPr="003B5C38">
        <w:t xml:space="preserve">New Zealand Deprivation Index </w:t>
      </w:r>
      <w:r w:rsidRPr="00CC7E24">
        <w:rPr>
          <w:sz w:val="23"/>
          <w:szCs w:val="23"/>
        </w:rPr>
        <w:t>(</w:t>
      </w:r>
      <w:r>
        <w:t>NZDep2013</w:t>
      </w:r>
      <w:r w:rsidRPr="00CC7E24">
        <w:t>) quintile</w:t>
      </w:r>
      <w:r>
        <w:t>.</w:t>
      </w:r>
    </w:p>
    <w:p w:rsidR="0089511D" w:rsidRDefault="0089511D" w:rsidP="00C7303E">
      <w:pPr>
        <w:rPr>
          <w:rFonts w:eastAsia="Cambria"/>
          <w:lang w:eastAsia="en-US"/>
        </w:rPr>
      </w:pPr>
    </w:p>
    <w:p w:rsidR="0089511D" w:rsidRDefault="0089511D" w:rsidP="00C7303E">
      <w:pPr>
        <w:rPr>
          <w:rFonts w:eastAsia="Cambria"/>
          <w:lang w:eastAsia="en-US"/>
        </w:rPr>
      </w:pPr>
      <w:r w:rsidRPr="00CC7E24">
        <w:rPr>
          <w:rFonts w:eastAsia="Cambria"/>
          <w:lang w:eastAsia="en-US"/>
        </w:rPr>
        <w:t>Age, sex, ethnicity (M</w:t>
      </w:r>
      <w:r w:rsidRPr="00CC7E24">
        <w:t>ā</w:t>
      </w:r>
      <w:r w:rsidRPr="00CC7E24">
        <w:rPr>
          <w:rFonts w:eastAsia="Cambria"/>
          <w:lang w:eastAsia="en-US"/>
        </w:rPr>
        <w:t xml:space="preserve">ori, Pacific, </w:t>
      </w:r>
      <w:proofErr w:type="gramStart"/>
      <w:r w:rsidRPr="00CC7E24">
        <w:rPr>
          <w:rFonts w:eastAsia="Cambria"/>
          <w:lang w:eastAsia="en-US"/>
        </w:rPr>
        <w:t>Asian</w:t>
      </w:r>
      <w:proofErr w:type="gramEnd"/>
      <w:r>
        <w:rPr>
          <w:rFonts w:eastAsia="Cambria"/>
          <w:lang w:eastAsia="en-US"/>
        </w:rPr>
        <w:t>,</w:t>
      </w:r>
      <w:r w:rsidRPr="00CC7E24">
        <w:rPr>
          <w:rFonts w:eastAsia="Cambria"/>
          <w:lang w:eastAsia="en-US"/>
        </w:rPr>
        <w:t xml:space="preserve"> </w:t>
      </w:r>
      <w:r>
        <w:rPr>
          <w:rFonts w:eastAsia="Cambria"/>
          <w:lang w:eastAsia="en-US"/>
        </w:rPr>
        <w:t xml:space="preserve">using </w:t>
      </w:r>
      <w:r w:rsidRPr="00CC7E24">
        <w:rPr>
          <w:rFonts w:eastAsia="Cambria"/>
          <w:lang w:eastAsia="en-US"/>
        </w:rPr>
        <w:t>self-identifi</w:t>
      </w:r>
      <w:r>
        <w:rPr>
          <w:rFonts w:eastAsia="Cambria"/>
          <w:lang w:eastAsia="en-US"/>
        </w:rPr>
        <w:t xml:space="preserve">ed total ethnicity) </w:t>
      </w:r>
      <w:r w:rsidRPr="00CC7E24">
        <w:rPr>
          <w:rFonts w:eastAsia="Cambria"/>
          <w:lang w:eastAsia="en-US"/>
        </w:rPr>
        <w:t xml:space="preserve">and socioeconomic position </w:t>
      </w:r>
      <w:r>
        <w:rPr>
          <w:rFonts w:eastAsia="Cambria"/>
          <w:lang w:eastAsia="en-US"/>
        </w:rPr>
        <w:t>(NZDep2013</w:t>
      </w:r>
      <w:r w:rsidRPr="00CC7E24">
        <w:rPr>
          <w:rFonts w:eastAsia="Cambria"/>
          <w:lang w:eastAsia="en-US"/>
        </w:rPr>
        <w:t>) are included because these variables are related to many health conditions, are related to non-response</w:t>
      </w:r>
      <w:r>
        <w:rPr>
          <w:rFonts w:eastAsia="Cambria"/>
          <w:lang w:eastAsia="en-US"/>
        </w:rPr>
        <w:t>,</w:t>
      </w:r>
      <w:r w:rsidRPr="00CC7E24">
        <w:rPr>
          <w:rFonts w:eastAsia="Cambria"/>
          <w:lang w:eastAsia="en-US"/>
        </w:rPr>
        <w:t xml:space="preserve"> and are a key output classification for the survey.</w:t>
      </w:r>
    </w:p>
    <w:p w:rsidR="0089511D" w:rsidRDefault="0089511D" w:rsidP="00C7303E">
      <w:pPr>
        <w:rPr>
          <w:rFonts w:eastAsia="Cambria"/>
          <w:lang w:eastAsia="en-US"/>
        </w:rPr>
      </w:pPr>
    </w:p>
    <w:p w:rsidR="00095D83" w:rsidRDefault="0089511D" w:rsidP="00C7303E">
      <w:pPr>
        <w:rPr>
          <w:rFonts w:eastAsia="Cambria"/>
          <w:lang w:eastAsia="en-US"/>
        </w:rPr>
      </w:pPr>
      <w:r w:rsidRPr="00B5490B">
        <w:rPr>
          <w:rFonts w:eastAsia="Cambria"/>
          <w:lang w:eastAsia="en-US"/>
        </w:rPr>
        <w:t>Quarterly calibration means that benchmarks are less detailed than would be possible if annual data sets were weighted. In particular, broader age groups are used for the M</w:t>
      </w:r>
      <w:r w:rsidRPr="00B5490B">
        <w:t>ā</w:t>
      </w:r>
      <w:r w:rsidRPr="00B5490B">
        <w:rPr>
          <w:rFonts w:eastAsia="Cambria"/>
          <w:lang w:eastAsia="en-US"/>
        </w:rPr>
        <w:t>ori population benchmarks.</w:t>
      </w:r>
    </w:p>
    <w:p w:rsidR="0089511D" w:rsidRPr="00CC7E24" w:rsidRDefault="0089511D" w:rsidP="00C7303E">
      <w:pPr>
        <w:rPr>
          <w:rFonts w:eastAsia="Cambria"/>
          <w:lang w:eastAsia="en-US"/>
        </w:rPr>
      </w:pPr>
    </w:p>
    <w:p w:rsidR="0089511D" w:rsidRPr="00B5490B" w:rsidRDefault="0089511D" w:rsidP="00C7303E">
      <w:pPr>
        <w:pStyle w:val="Heading3"/>
        <w:rPr>
          <w:rFonts w:eastAsia="Cambria"/>
          <w:sz w:val="22"/>
          <w:szCs w:val="22"/>
          <w:lang w:eastAsia="en-US"/>
        </w:rPr>
      </w:pPr>
      <w:r w:rsidRPr="00B5490B">
        <w:rPr>
          <w:rFonts w:eastAsia="Cambria"/>
          <w:lang w:eastAsia="en-US"/>
        </w:rPr>
        <w:lastRenderedPageBreak/>
        <w:t>Benchmarks for the M</w:t>
      </w:r>
      <w:r w:rsidRPr="00B5490B">
        <w:t>ā</w:t>
      </w:r>
      <w:r w:rsidRPr="00B5490B">
        <w:rPr>
          <w:rFonts w:eastAsia="Cambria"/>
          <w:lang w:eastAsia="en-US"/>
        </w:rPr>
        <w:t>ori population</w:t>
      </w:r>
    </w:p>
    <w:p w:rsidR="0089511D" w:rsidRPr="00B5490B" w:rsidRDefault="0089511D" w:rsidP="00C7303E">
      <w:pPr>
        <w:rPr>
          <w:rFonts w:eastAsia="Cambria"/>
          <w:lang w:eastAsia="en-US"/>
        </w:rPr>
      </w:pPr>
      <w:r w:rsidRPr="00B5490B">
        <w:rPr>
          <w:rFonts w:eastAsia="Cambria"/>
          <w:lang w:eastAsia="en-US"/>
        </w:rPr>
        <w:t>Quarterly benchmarks for the M</w:t>
      </w:r>
      <w:r w:rsidRPr="00B5490B">
        <w:t>ā</w:t>
      </w:r>
      <w:r w:rsidRPr="00B5490B">
        <w:rPr>
          <w:rFonts w:eastAsia="Cambria"/>
          <w:lang w:eastAsia="en-US"/>
        </w:rPr>
        <w:t>ori population are constructed for the NZHS by projecting forward the annual (mid-year) population estimates for M</w:t>
      </w:r>
      <w:r w:rsidRPr="00B5490B">
        <w:t>ā</w:t>
      </w:r>
      <w:r w:rsidRPr="00B5490B">
        <w:rPr>
          <w:rFonts w:eastAsia="Cambria"/>
          <w:lang w:eastAsia="en-US"/>
        </w:rPr>
        <w:t>ori released by Statistics New Zealand.</w:t>
      </w:r>
    </w:p>
    <w:p w:rsidR="0089511D" w:rsidRPr="00B5490B" w:rsidRDefault="0089511D" w:rsidP="00C7303E">
      <w:pPr>
        <w:rPr>
          <w:rFonts w:eastAsia="Cambria"/>
          <w:lang w:eastAsia="en-US"/>
        </w:rPr>
      </w:pPr>
    </w:p>
    <w:p w:rsidR="0089511D" w:rsidRPr="00B5490B" w:rsidRDefault="0089511D" w:rsidP="00C7303E">
      <w:pPr>
        <w:rPr>
          <w:rFonts w:eastAsia="Cambria"/>
          <w:lang w:eastAsia="en-US"/>
        </w:rPr>
      </w:pPr>
      <w:r w:rsidRPr="00B5490B">
        <w:rPr>
          <w:rFonts w:eastAsia="Cambria"/>
          <w:lang w:eastAsia="en-US"/>
        </w:rPr>
        <w:t>Using the M</w:t>
      </w:r>
      <w:r w:rsidRPr="00B5490B">
        <w:t>ā</w:t>
      </w:r>
      <w:r w:rsidRPr="00B5490B">
        <w:rPr>
          <w:rFonts w:eastAsia="Cambria"/>
          <w:lang w:eastAsia="en-US"/>
        </w:rPr>
        <w:t>ori population estimates and total population estimates as at 30 June, the proportion of the total population who are M</w:t>
      </w:r>
      <w:r w:rsidRPr="00B5490B">
        <w:t>ā</w:t>
      </w:r>
      <w:r w:rsidRPr="00B5490B">
        <w:rPr>
          <w:rFonts w:eastAsia="Cambria"/>
          <w:lang w:eastAsia="en-US"/>
        </w:rPr>
        <w:t xml:space="preserve">ori is calculated for each </w:t>
      </w:r>
      <w:r>
        <w:rPr>
          <w:rFonts w:eastAsia="Cambria"/>
          <w:lang w:eastAsia="en-US"/>
        </w:rPr>
        <w:t>five</w:t>
      </w:r>
      <w:r w:rsidRPr="00B5490B">
        <w:rPr>
          <w:rFonts w:eastAsia="Cambria"/>
          <w:lang w:eastAsia="en-US"/>
        </w:rPr>
        <w:t>-year age by sex group. Then these proportions are applied to quarterly total population estimates, by age and sex, for the subsequent four quarters.</w:t>
      </w:r>
    </w:p>
    <w:p w:rsidR="0089511D" w:rsidRPr="00B5490B" w:rsidRDefault="0089511D" w:rsidP="00C7303E">
      <w:pPr>
        <w:rPr>
          <w:rFonts w:eastAsia="Cambria"/>
          <w:lang w:eastAsia="en-US"/>
        </w:rPr>
      </w:pPr>
    </w:p>
    <w:p w:rsidR="0089511D" w:rsidRPr="001B4F14" w:rsidRDefault="0089511D" w:rsidP="00C7303E">
      <w:pPr>
        <w:rPr>
          <w:rFonts w:eastAsia="Cambria"/>
          <w:lang w:eastAsia="en-US"/>
        </w:rPr>
      </w:pPr>
      <w:r w:rsidRPr="00B5490B">
        <w:rPr>
          <w:rFonts w:eastAsia="Cambria"/>
          <w:lang w:eastAsia="en-US"/>
        </w:rPr>
        <w:t>For example, the proportion of each age by sex group who are M</w:t>
      </w:r>
      <w:r w:rsidRPr="00B5490B">
        <w:t>ā</w:t>
      </w:r>
      <w:r w:rsidRPr="00B5490B">
        <w:rPr>
          <w:rFonts w:eastAsia="Cambria"/>
          <w:lang w:eastAsia="en-US"/>
        </w:rPr>
        <w:t>ori as at 30 June 2011 is used to construct estimates of the M</w:t>
      </w:r>
      <w:r w:rsidRPr="00B5490B">
        <w:t>ā</w:t>
      </w:r>
      <w:r w:rsidRPr="00B5490B">
        <w:rPr>
          <w:rFonts w:eastAsia="Cambria"/>
          <w:lang w:eastAsia="en-US"/>
        </w:rPr>
        <w:t>ori population by age and sex in each of the quarters ending 30</w:t>
      </w:r>
      <w:r w:rsidR="00C7303E">
        <w:rPr>
          <w:rFonts w:eastAsia="Cambria"/>
          <w:lang w:eastAsia="en-US"/>
        </w:rPr>
        <w:t> </w:t>
      </w:r>
      <w:r w:rsidRPr="00B5490B">
        <w:rPr>
          <w:rFonts w:eastAsia="Cambria"/>
          <w:lang w:eastAsia="en-US"/>
        </w:rPr>
        <w:t>September 2011, 31 December 2011, 31 March 2012 and 30 June 2012.</w:t>
      </w:r>
    </w:p>
    <w:p w:rsidR="0089511D" w:rsidRPr="00A4371A" w:rsidRDefault="0089511D" w:rsidP="00C7303E">
      <w:pPr>
        <w:rPr>
          <w:rFonts w:eastAsia="Cambria"/>
          <w:lang w:eastAsia="en-US"/>
        </w:rPr>
      </w:pPr>
    </w:p>
    <w:p w:rsidR="0089511D" w:rsidRPr="00CC7E24" w:rsidRDefault="0089511D" w:rsidP="00C7303E">
      <w:pPr>
        <w:pStyle w:val="Heading3"/>
        <w:rPr>
          <w:rFonts w:eastAsia="Cambria"/>
          <w:lang w:eastAsia="en-US"/>
        </w:rPr>
      </w:pPr>
      <w:r w:rsidRPr="00CC7E24">
        <w:rPr>
          <w:rFonts w:eastAsia="Cambria"/>
          <w:lang w:eastAsia="en-US"/>
        </w:rPr>
        <w:t>Benchmarks for the Pacific and Asian population</w:t>
      </w:r>
      <w:r>
        <w:rPr>
          <w:rFonts w:eastAsia="Cambria"/>
          <w:lang w:eastAsia="en-US"/>
        </w:rPr>
        <w:t>s</w:t>
      </w:r>
    </w:p>
    <w:p w:rsidR="0089511D" w:rsidRDefault="0089511D" w:rsidP="00C7303E">
      <w:pPr>
        <w:rPr>
          <w:rFonts w:eastAsia="Cambria"/>
          <w:lang w:eastAsia="en-US"/>
        </w:rPr>
      </w:pPr>
      <w:r>
        <w:rPr>
          <w:rFonts w:eastAsia="Cambria"/>
          <w:lang w:eastAsia="en-US"/>
        </w:rPr>
        <w:t>Quarterly b</w:t>
      </w:r>
      <w:r w:rsidRPr="009D18D7">
        <w:rPr>
          <w:rFonts w:eastAsia="Cambria"/>
          <w:lang w:eastAsia="en-US"/>
        </w:rPr>
        <w:t xml:space="preserve">enchmarks for the </w:t>
      </w:r>
      <w:r>
        <w:rPr>
          <w:rFonts w:eastAsia="Cambria"/>
          <w:lang w:eastAsia="en-US"/>
        </w:rPr>
        <w:t>adult</w:t>
      </w:r>
      <w:r w:rsidRPr="009D18D7">
        <w:rPr>
          <w:rFonts w:eastAsia="Cambria"/>
          <w:lang w:eastAsia="en-US"/>
        </w:rPr>
        <w:t xml:space="preserve"> Pacific and Asian populations are derived from Statistics New</w:t>
      </w:r>
      <w:r>
        <w:rPr>
          <w:rFonts w:eastAsia="Cambria"/>
          <w:lang w:eastAsia="en-US"/>
        </w:rPr>
        <w:t xml:space="preserve"> Zealand</w:t>
      </w:r>
      <w:r w:rsidR="00095D83">
        <w:rPr>
          <w:rFonts w:eastAsia="Cambria"/>
          <w:lang w:eastAsia="en-US"/>
        </w:rPr>
        <w:t>’</w:t>
      </w:r>
      <w:r>
        <w:rPr>
          <w:rFonts w:eastAsia="Cambria"/>
          <w:lang w:eastAsia="en-US"/>
        </w:rPr>
        <w:t>s</w:t>
      </w:r>
      <w:r w:rsidRPr="00CC7E24">
        <w:rPr>
          <w:rFonts w:eastAsia="Cambria"/>
          <w:lang w:eastAsia="en-US"/>
        </w:rPr>
        <w:t xml:space="preserve"> </w:t>
      </w:r>
      <w:r>
        <w:rPr>
          <w:rFonts w:eastAsia="Cambria"/>
          <w:lang w:eastAsia="en-US"/>
        </w:rPr>
        <w:t>H</w:t>
      </w:r>
      <w:r w:rsidRPr="00CC7E24">
        <w:rPr>
          <w:rFonts w:eastAsia="Cambria"/>
          <w:lang w:eastAsia="en-US"/>
        </w:rPr>
        <w:t xml:space="preserve">ousehold </w:t>
      </w:r>
      <w:r>
        <w:rPr>
          <w:rFonts w:eastAsia="Cambria"/>
          <w:lang w:eastAsia="en-US"/>
        </w:rPr>
        <w:t>L</w:t>
      </w:r>
      <w:r w:rsidRPr="00CC7E24">
        <w:rPr>
          <w:rFonts w:eastAsia="Cambria"/>
          <w:lang w:eastAsia="en-US"/>
        </w:rPr>
        <w:t xml:space="preserve">abour </w:t>
      </w:r>
      <w:r>
        <w:rPr>
          <w:rFonts w:eastAsia="Cambria"/>
          <w:lang w:eastAsia="en-US"/>
        </w:rPr>
        <w:t>F</w:t>
      </w:r>
      <w:r w:rsidRPr="00CC7E24">
        <w:rPr>
          <w:rFonts w:eastAsia="Cambria"/>
          <w:lang w:eastAsia="en-US"/>
        </w:rPr>
        <w:t xml:space="preserve">orce </w:t>
      </w:r>
      <w:r>
        <w:rPr>
          <w:rFonts w:eastAsia="Cambria"/>
          <w:lang w:eastAsia="en-US"/>
        </w:rPr>
        <w:t>S</w:t>
      </w:r>
      <w:r w:rsidRPr="00CC7E24">
        <w:rPr>
          <w:rFonts w:eastAsia="Cambria"/>
          <w:lang w:eastAsia="en-US"/>
        </w:rPr>
        <w:t>urvey.</w:t>
      </w:r>
      <w:r w:rsidRPr="00353F61">
        <w:rPr>
          <w:rFonts w:eastAsia="Cambria"/>
        </w:rPr>
        <w:t xml:space="preserve"> T</w:t>
      </w:r>
      <w:r w:rsidRPr="00CC7E24">
        <w:rPr>
          <w:rFonts w:eastAsia="Cambria"/>
          <w:lang w:eastAsia="en-US"/>
        </w:rPr>
        <w:t>h</w:t>
      </w:r>
      <w:r>
        <w:rPr>
          <w:rFonts w:eastAsia="Cambria"/>
          <w:lang w:eastAsia="en-US"/>
        </w:rPr>
        <w:t>is</w:t>
      </w:r>
      <w:r w:rsidRPr="00CC7E24">
        <w:rPr>
          <w:rFonts w:eastAsia="Cambria"/>
          <w:lang w:eastAsia="en-US"/>
        </w:rPr>
        <w:t xml:space="preserve"> large national survey</w:t>
      </w:r>
      <w:r>
        <w:rPr>
          <w:rFonts w:eastAsia="Cambria"/>
          <w:lang w:eastAsia="en-US"/>
        </w:rPr>
        <w:t>,</w:t>
      </w:r>
      <w:r w:rsidRPr="00CC7E24">
        <w:rPr>
          <w:rFonts w:eastAsia="Cambria"/>
          <w:lang w:eastAsia="en-US"/>
        </w:rPr>
        <w:t xml:space="preserve"> </w:t>
      </w:r>
      <w:r>
        <w:rPr>
          <w:rFonts w:eastAsia="Cambria"/>
          <w:lang w:eastAsia="en-US"/>
        </w:rPr>
        <w:t xml:space="preserve">of </w:t>
      </w:r>
      <w:r w:rsidRPr="00CC7E24">
        <w:rPr>
          <w:rFonts w:eastAsia="Cambria"/>
          <w:lang w:eastAsia="en-US"/>
        </w:rPr>
        <w:t>15,000 households per quarter</w:t>
      </w:r>
      <w:r>
        <w:rPr>
          <w:rFonts w:eastAsia="Cambria"/>
          <w:lang w:eastAsia="en-US"/>
        </w:rPr>
        <w:t>,</w:t>
      </w:r>
      <w:r w:rsidRPr="00CC7E24">
        <w:rPr>
          <w:rFonts w:eastAsia="Cambria"/>
          <w:lang w:eastAsia="en-US"/>
        </w:rPr>
        <w:t xml:space="preserve"> achieves a very high response rate (close to 90</w:t>
      </w:r>
      <w:r>
        <w:rPr>
          <w:rFonts w:eastAsia="Cambria"/>
          <w:lang w:eastAsia="en-US"/>
        </w:rPr>
        <w:t> percent</w:t>
      </w:r>
      <w:r w:rsidRPr="00CC7E24">
        <w:rPr>
          <w:rFonts w:eastAsia="Cambria"/>
          <w:lang w:eastAsia="en-US"/>
        </w:rPr>
        <w:t>).</w:t>
      </w:r>
    </w:p>
    <w:p w:rsidR="0089511D" w:rsidRDefault="0089511D" w:rsidP="00C7303E">
      <w:pPr>
        <w:rPr>
          <w:rFonts w:eastAsia="Cambria"/>
          <w:lang w:eastAsia="en-US"/>
        </w:rPr>
      </w:pPr>
    </w:p>
    <w:p w:rsidR="0089511D" w:rsidRPr="00CC7E24" w:rsidRDefault="0089511D" w:rsidP="00C7303E">
      <w:pPr>
        <w:rPr>
          <w:rFonts w:eastAsia="Cambria"/>
          <w:b/>
          <w:lang w:eastAsia="en-US"/>
        </w:rPr>
      </w:pPr>
      <w:r>
        <w:rPr>
          <w:rFonts w:eastAsia="Cambria"/>
          <w:lang w:eastAsia="en-US"/>
        </w:rPr>
        <w:t>The Household Labour Force Survey</w:t>
      </w:r>
      <w:r w:rsidRPr="00CC7E24">
        <w:rPr>
          <w:rFonts w:eastAsia="Cambria"/>
          <w:lang w:eastAsia="en-US"/>
        </w:rPr>
        <w:t xml:space="preserve"> publishes quarterly estimates of the working</w:t>
      </w:r>
      <w:r>
        <w:rPr>
          <w:rFonts w:eastAsia="Cambria"/>
          <w:lang w:eastAsia="en-US"/>
        </w:rPr>
        <w:t>-</w:t>
      </w:r>
      <w:r w:rsidRPr="00CC7E24">
        <w:rPr>
          <w:rFonts w:eastAsia="Cambria"/>
          <w:lang w:eastAsia="en-US"/>
        </w:rPr>
        <w:t xml:space="preserve">age </w:t>
      </w:r>
      <w:r>
        <w:rPr>
          <w:rFonts w:eastAsia="Cambria"/>
          <w:lang w:eastAsia="en-US"/>
        </w:rPr>
        <w:t>(aged 15</w:t>
      </w:r>
      <w:r w:rsidR="00C7303E">
        <w:rPr>
          <w:rFonts w:eastAsia="Cambria"/>
          <w:lang w:eastAsia="en-US"/>
        </w:rPr>
        <w:t> </w:t>
      </w:r>
      <w:r>
        <w:rPr>
          <w:rFonts w:eastAsia="Cambria"/>
          <w:lang w:eastAsia="en-US"/>
        </w:rPr>
        <w:t xml:space="preserve">years and over) </w:t>
      </w:r>
      <w:r w:rsidRPr="00CC7E24">
        <w:rPr>
          <w:rFonts w:eastAsia="Cambria"/>
          <w:lang w:eastAsia="en-US"/>
        </w:rPr>
        <w:t>Pacific and Asian populations.</w:t>
      </w:r>
      <w:r>
        <w:rPr>
          <w:rFonts w:eastAsia="Cambria"/>
          <w:lang w:eastAsia="en-US"/>
        </w:rPr>
        <w:t xml:space="preserve"> From these estimates the </w:t>
      </w:r>
      <w:r w:rsidRPr="00B5490B">
        <w:rPr>
          <w:rFonts w:eastAsia="Cambria"/>
          <w:lang w:eastAsia="en-US"/>
        </w:rPr>
        <w:t>proportions of the adult population who are Pacific and Asian are obtained for each quarter. Some of the quarter-to-quarter variation in these proportions is smoothed out by applying a moving average over the quarterly figures. The final smoothed proportions are applied to the total adult benchmark for the corresponding quarter to give quarterly benchmarks for Pacific and Asian adults.</w:t>
      </w:r>
    </w:p>
    <w:p w:rsidR="0089511D" w:rsidRPr="00CC7E24" w:rsidRDefault="0089511D" w:rsidP="00C7303E">
      <w:pPr>
        <w:rPr>
          <w:rFonts w:eastAsia="Cambria"/>
          <w:lang w:eastAsia="en-US"/>
        </w:rPr>
      </w:pPr>
    </w:p>
    <w:p w:rsidR="0089511D" w:rsidRPr="00CC7E24" w:rsidRDefault="0089511D" w:rsidP="00C7303E">
      <w:pPr>
        <w:pStyle w:val="Heading3"/>
        <w:rPr>
          <w:rFonts w:eastAsia="Cambria"/>
          <w:lang w:eastAsia="en-US"/>
        </w:rPr>
      </w:pPr>
      <w:r w:rsidRPr="007E63E5">
        <w:rPr>
          <w:rFonts w:eastAsia="Cambria"/>
          <w:lang w:eastAsia="en-US"/>
        </w:rPr>
        <w:t>Benchmarks for the NZDep2013 quintiles</w:t>
      </w:r>
    </w:p>
    <w:p w:rsidR="00095D83" w:rsidRDefault="0089511D" w:rsidP="00C7303E">
      <w:pPr>
        <w:rPr>
          <w:rFonts w:eastAsia="Cambria"/>
          <w:lang w:eastAsia="en-US"/>
        </w:rPr>
      </w:pPr>
      <w:r w:rsidRPr="00CC7E24">
        <w:rPr>
          <w:rFonts w:eastAsia="Cambria"/>
          <w:lang w:eastAsia="en-US"/>
        </w:rPr>
        <w:t>Benchmarks for the</w:t>
      </w:r>
      <w:r w:rsidRPr="008045CE">
        <w:rPr>
          <w:rFonts w:eastAsia="Cambria"/>
          <w:lang w:eastAsia="en-US"/>
        </w:rPr>
        <w:t xml:space="preserve"> </w:t>
      </w:r>
      <w:r w:rsidRPr="00CC7E24">
        <w:rPr>
          <w:rFonts w:eastAsia="Cambria"/>
          <w:lang w:eastAsia="en-US"/>
        </w:rPr>
        <w:t>quintiles</w:t>
      </w:r>
      <w:r>
        <w:rPr>
          <w:rFonts w:eastAsia="Cambria"/>
          <w:lang w:eastAsia="en-US"/>
        </w:rPr>
        <w:t xml:space="preserve"> of NZDep2013</w:t>
      </w:r>
      <w:r w:rsidRPr="00CC7E24">
        <w:rPr>
          <w:rFonts w:eastAsia="Cambria"/>
          <w:lang w:eastAsia="en-US"/>
        </w:rPr>
        <w:t xml:space="preserve"> are derived by dividing the </w:t>
      </w:r>
      <w:r>
        <w:rPr>
          <w:rFonts w:eastAsia="Cambria"/>
          <w:lang w:eastAsia="en-US"/>
        </w:rPr>
        <w:t>latest total population figures</w:t>
      </w:r>
      <w:r w:rsidRPr="00CC7E24">
        <w:rPr>
          <w:rFonts w:eastAsia="Cambria"/>
          <w:lang w:eastAsia="en-US"/>
        </w:rPr>
        <w:t xml:space="preserve"> (</w:t>
      </w:r>
      <w:r>
        <w:rPr>
          <w:rFonts w:eastAsia="Cambria"/>
          <w:lang w:eastAsia="en-US"/>
        </w:rPr>
        <w:t xml:space="preserve">of </w:t>
      </w:r>
      <w:r w:rsidRPr="00CC7E24">
        <w:rPr>
          <w:rFonts w:eastAsia="Cambria"/>
          <w:lang w:eastAsia="en-US"/>
        </w:rPr>
        <w:t xml:space="preserve">all ages) into </w:t>
      </w:r>
      <w:r>
        <w:rPr>
          <w:rFonts w:eastAsia="Cambria"/>
          <w:lang w:eastAsia="en-US"/>
        </w:rPr>
        <w:t>five groups of equal size.</w:t>
      </w:r>
    </w:p>
    <w:p w:rsidR="0089511D" w:rsidRDefault="0089511D" w:rsidP="00C7303E">
      <w:pPr>
        <w:rPr>
          <w:rFonts w:eastAsia="Cambria"/>
          <w:lang w:eastAsia="en-US"/>
        </w:rPr>
      </w:pPr>
    </w:p>
    <w:p w:rsidR="00095D83" w:rsidRDefault="0089511D" w:rsidP="00C7303E">
      <w:pPr>
        <w:rPr>
          <w:rFonts w:eastAsia="Cambria"/>
          <w:lang w:eastAsia="en-US"/>
        </w:rPr>
      </w:pPr>
      <w:r>
        <w:rPr>
          <w:rFonts w:eastAsia="Cambria"/>
          <w:lang w:eastAsia="en-US"/>
        </w:rPr>
        <w:t>The calibration for the 2011/12 and 2012/13 surveys used benchmarks for the New Zealand Index of Deprivation 2006 (NZDep2006) based on 2006 Census data, while the surveys from 2013/14 onwards have used NZDep2013.</w:t>
      </w:r>
    </w:p>
    <w:p w:rsidR="0089511D" w:rsidRPr="00CC7E24" w:rsidRDefault="0089511D" w:rsidP="00C7303E">
      <w:pPr>
        <w:rPr>
          <w:rFonts w:eastAsia="Cambria"/>
          <w:lang w:eastAsia="en-US"/>
        </w:rPr>
      </w:pPr>
    </w:p>
    <w:p w:rsidR="0089511D" w:rsidRPr="00CC7E24" w:rsidRDefault="0089511D" w:rsidP="00C7303E">
      <w:pPr>
        <w:pStyle w:val="Heading3"/>
        <w:rPr>
          <w:rFonts w:eastAsia="Cambria"/>
          <w:lang w:eastAsia="en-US"/>
        </w:rPr>
      </w:pPr>
      <w:bookmarkStart w:id="161" w:name="_Toc339270021"/>
      <w:bookmarkStart w:id="162" w:name="_Toc340501945"/>
      <w:bookmarkStart w:id="163" w:name="_Toc372445565"/>
      <w:bookmarkStart w:id="164" w:name="_Toc403044020"/>
      <w:r w:rsidRPr="00CC7E24">
        <w:rPr>
          <w:rFonts w:eastAsia="Cambria"/>
          <w:lang w:eastAsia="en-US"/>
        </w:rPr>
        <w:t>Calibration software and bounding of weights</w:t>
      </w:r>
      <w:bookmarkEnd w:id="161"/>
      <w:bookmarkEnd w:id="162"/>
      <w:bookmarkEnd w:id="163"/>
      <w:bookmarkEnd w:id="164"/>
    </w:p>
    <w:p w:rsidR="00095D83" w:rsidRDefault="0089511D" w:rsidP="00C7303E">
      <w:pPr>
        <w:rPr>
          <w:rFonts w:eastAsia="Cambria"/>
          <w:lang w:eastAsia="en-US"/>
        </w:rPr>
      </w:pPr>
      <w:r w:rsidRPr="00CC7E24">
        <w:rPr>
          <w:rFonts w:eastAsia="Cambria"/>
          <w:lang w:eastAsia="en-US"/>
        </w:rPr>
        <w:t xml:space="preserve">The GREGWT </w:t>
      </w:r>
      <w:r>
        <w:rPr>
          <w:rFonts w:eastAsia="Cambria"/>
          <w:lang w:eastAsia="en-US"/>
        </w:rPr>
        <w:t>SAS macro, developed by the Australian Bureau of Statistics, is</w:t>
      </w:r>
      <w:r w:rsidRPr="00CC7E24">
        <w:rPr>
          <w:rFonts w:eastAsia="Cambria"/>
          <w:lang w:eastAsia="en-US"/>
        </w:rPr>
        <w:t xml:space="preserve"> used to calculate </w:t>
      </w:r>
      <w:r>
        <w:rPr>
          <w:rFonts w:eastAsia="Cambria"/>
          <w:lang w:eastAsia="en-US"/>
        </w:rPr>
        <w:t xml:space="preserve">the </w:t>
      </w:r>
      <w:r w:rsidRPr="00CC7E24">
        <w:rPr>
          <w:rFonts w:eastAsia="Cambria"/>
          <w:lang w:eastAsia="en-US"/>
        </w:rPr>
        <w:t xml:space="preserve">calibrated weights. The </w:t>
      </w:r>
      <w:r>
        <w:rPr>
          <w:rFonts w:eastAsia="Cambria"/>
          <w:lang w:eastAsia="en-US"/>
        </w:rPr>
        <w:t>input</w:t>
      </w:r>
      <w:r w:rsidRPr="00CC7E24">
        <w:rPr>
          <w:rFonts w:eastAsia="Cambria"/>
          <w:lang w:eastAsia="en-US"/>
        </w:rPr>
        <w:t xml:space="preserve"> weights are the selection </w:t>
      </w:r>
      <w:proofErr w:type="gramStart"/>
      <w:r w:rsidRPr="00CC7E24">
        <w:rPr>
          <w:rFonts w:eastAsia="Cambria"/>
          <w:lang w:eastAsia="en-US"/>
        </w:rPr>
        <w:t>weights,</w:t>
      </w:r>
      <w:proofErr w:type="gramEnd"/>
      <w:r w:rsidRPr="00CC7E24">
        <w:rPr>
          <w:rFonts w:eastAsia="Cambria"/>
          <w:lang w:eastAsia="en-US"/>
        </w:rPr>
        <w:t xml:space="preserve"> </w:t>
      </w:r>
      <w:r>
        <w:rPr>
          <w:rFonts w:eastAsia="Cambria"/>
          <w:lang w:eastAsia="en-US"/>
        </w:rPr>
        <w:t xml:space="preserve">first </w:t>
      </w:r>
      <w:r w:rsidRPr="00CC7E24">
        <w:rPr>
          <w:rFonts w:eastAsia="Cambria"/>
          <w:lang w:eastAsia="en-US"/>
        </w:rPr>
        <w:t>re</w:t>
      </w:r>
      <w:r>
        <w:rPr>
          <w:rFonts w:eastAsia="Cambria"/>
          <w:lang w:eastAsia="en-US"/>
        </w:rPr>
        <w:t>-</w:t>
      </w:r>
      <w:r w:rsidRPr="00CC7E24">
        <w:rPr>
          <w:rFonts w:eastAsia="Cambria"/>
          <w:lang w:eastAsia="en-US"/>
        </w:rPr>
        <w:t xml:space="preserve">scaled to sum to the </w:t>
      </w:r>
      <w:r>
        <w:rPr>
          <w:rFonts w:eastAsia="Cambria"/>
          <w:lang w:eastAsia="en-US"/>
        </w:rPr>
        <w:t>overall population benchmark</w:t>
      </w:r>
      <w:r w:rsidRPr="00CC7E24">
        <w:rPr>
          <w:rFonts w:eastAsia="Cambria"/>
          <w:lang w:eastAsia="en-US"/>
        </w:rPr>
        <w:t xml:space="preserve">. Final weights are constrained to be less than or equal to the smaller of </w:t>
      </w:r>
      <w:r w:rsidRPr="00A954D5">
        <w:rPr>
          <w:rFonts w:eastAsia="Cambria"/>
          <w:lang w:eastAsia="en-US"/>
        </w:rPr>
        <w:t>1</w:t>
      </w:r>
      <w:r>
        <w:rPr>
          <w:rFonts w:eastAsia="Cambria"/>
          <w:lang w:eastAsia="en-US"/>
        </w:rPr>
        <w:t>,</w:t>
      </w:r>
      <w:r w:rsidRPr="00A954D5">
        <w:rPr>
          <w:rFonts w:eastAsia="Cambria"/>
          <w:lang w:eastAsia="en-US"/>
        </w:rPr>
        <w:t>625 and 2.5</w:t>
      </w:r>
      <w:r w:rsidRPr="00CC7E24">
        <w:rPr>
          <w:rFonts w:eastAsia="Cambria"/>
          <w:lang w:eastAsia="en-US"/>
        </w:rPr>
        <w:t xml:space="preserve"> times the </w:t>
      </w:r>
      <w:r>
        <w:rPr>
          <w:rFonts w:eastAsia="Cambria"/>
          <w:lang w:eastAsia="en-US"/>
        </w:rPr>
        <w:t>input</w:t>
      </w:r>
      <w:r w:rsidRPr="00CC7E24">
        <w:rPr>
          <w:rFonts w:eastAsia="Cambria"/>
          <w:lang w:eastAsia="en-US"/>
        </w:rPr>
        <w:t xml:space="preserve"> weight.</w:t>
      </w:r>
    </w:p>
    <w:p w:rsidR="0089511D" w:rsidRDefault="0089511D" w:rsidP="00C7303E">
      <w:pPr>
        <w:rPr>
          <w:rFonts w:eastAsia="Cambria"/>
          <w:lang w:eastAsia="en-US"/>
        </w:rPr>
      </w:pPr>
    </w:p>
    <w:p w:rsidR="0089511D" w:rsidRPr="00B5490B" w:rsidRDefault="0089511D" w:rsidP="00C7303E">
      <w:pPr>
        <w:pStyle w:val="Heading2"/>
        <w:rPr>
          <w:rFonts w:eastAsia="Cambria"/>
          <w:lang w:eastAsia="en-US"/>
        </w:rPr>
      </w:pPr>
      <w:bookmarkStart w:id="165" w:name="_Toc434934529"/>
      <w:bookmarkStart w:id="166" w:name="_Toc435643023"/>
      <w:proofErr w:type="spellStart"/>
      <w:r w:rsidRPr="00B5490B">
        <w:rPr>
          <w:rFonts w:eastAsia="Cambria"/>
          <w:lang w:eastAsia="en-US"/>
        </w:rPr>
        <w:lastRenderedPageBreak/>
        <w:t>Jackknife</w:t>
      </w:r>
      <w:proofErr w:type="spellEnd"/>
      <w:r w:rsidRPr="00B5490B">
        <w:rPr>
          <w:rFonts w:eastAsia="Cambria"/>
          <w:lang w:eastAsia="en-US"/>
        </w:rPr>
        <w:t xml:space="preserve"> replicate weights</w:t>
      </w:r>
      <w:bookmarkEnd w:id="165"/>
      <w:bookmarkEnd w:id="166"/>
    </w:p>
    <w:p w:rsidR="0089511D" w:rsidRPr="00B5490B" w:rsidRDefault="0089511D" w:rsidP="00C7303E">
      <w:pPr>
        <w:keepNext/>
        <w:rPr>
          <w:rFonts w:eastAsia="Cambria"/>
          <w:lang w:eastAsia="en-US"/>
        </w:rPr>
      </w:pPr>
      <w:r w:rsidRPr="00B5490B">
        <w:rPr>
          <w:rFonts w:eastAsia="Cambria"/>
          <w:lang w:eastAsia="en-US"/>
        </w:rPr>
        <w:t xml:space="preserve">The NZHS uses the delete-a-group </w:t>
      </w:r>
      <w:proofErr w:type="spellStart"/>
      <w:r w:rsidRPr="00B5490B">
        <w:rPr>
          <w:rFonts w:eastAsia="Cambria"/>
          <w:lang w:eastAsia="en-US"/>
        </w:rPr>
        <w:t>jackknife</w:t>
      </w:r>
      <w:proofErr w:type="spellEnd"/>
      <w:r w:rsidRPr="00B5490B">
        <w:rPr>
          <w:rFonts w:eastAsia="Cambria"/>
          <w:lang w:eastAsia="en-US"/>
        </w:rPr>
        <w:t xml:space="preserve"> method </w:t>
      </w:r>
      <w:r w:rsidRPr="00100B6E">
        <w:rPr>
          <w:rFonts w:eastAsia="Cambria"/>
          <w:lang w:eastAsia="en-US"/>
        </w:rPr>
        <w:t>(Kott 2001)</w:t>
      </w:r>
      <w:r w:rsidRPr="00B5490B">
        <w:rPr>
          <w:rFonts w:eastAsia="Cambria"/>
          <w:lang w:eastAsia="en-US"/>
        </w:rPr>
        <w:t xml:space="preserve"> to calculate standard errors for survey estimates.</w:t>
      </w:r>
    </w:p>
    <w:p w:rsidR="0089511D" w:rsidRPr="00B5490B" w:rsidRDefault="0089511D" w:rsidP="00C7303E">
      <w:pPr>
        <w:keepNext/>
        <w:rPr>
          <w:rFonts w:eastAsia="Cambria"/>
          <w:lang w:eastAsia="en-US"/>
        </w:rPr>
      </w:pPr>
    </w:p>
    <w:p w:rsidR="0089511D" w:rsidRPr="00B5490B" w:rsidRDefault="0089511D" w:rsidP="00C7303E">
      <w:pPr>
        <w:keepLines/>
        <w:rPr>
          <w:rFonts w:eastAsia="Cambria"/>
          <w:lang w:eastAsia="en-US"/>
        </w:rPr>
      </w:pPr>
      <w:r>
        <w:rPr>
          <w:rFonts w:eastAsia="Cambria"/>
          <w:lang w:eastAsia="en-US"/>
        </w:rPr>
        <w:t>One hundred</w:t>
      </w:r>
      <w:r w:rsidRPr="00B5490B">
        <w:rPr>
          <w:rFonts w:eastAsia="Cambria"/>
          <w:lang w:eastAsia="en-US"/>
        </w:rPr>
        <w:t xml:space="preserve"> </w:t>
      </w:r>
      <w:proofErr w:type="spellStart"/>
      <w:r w:rsidRPr="00B5490B">
        <w:rPr>
          <w:rFonts w:eastAsia="Cambria"/>
          <w:lang w:eastAsia="en-US"/>
        </w:rPr>
        <w:t>jackknife</w:t>
      </w:r>
      <w:proofErr w:type="spellEnd"/>
      <w:r w:rsidRPr="00B5490B">
        <w:rPr>
          <w:rFonts w:eastAsia="Cambria"/>
          <w:lang w:eastAsia="en-US"/>
        </w:rPr>
        <w:t xml:space="preserve"> replicate weights are produced for every respondent in the survey, in addition to the final calibrated weight. Each replicate weight corresponds to removing a group of </w:t>
      </w:r>
      <w:proofErr w:type="spellStart"/>
      <w:r w:rsidRPr="00B5490B">
        <w:rPr>
          <w:rFonts w:eastAsia="Cambria"/>
          <w:lang w:eastAsia="en-US"/>
        </w:rPr>
        <w:t>meshblocks</w:t>
      </w:r>
      <w:proofErr w:type="spellEnd"/>
      <w:r w:rsidRPr="00B5490B">
        <w:rPr>
          <w:rFonts w:eastAsia="Cambria"/>
          <w:lang w:eastAsia="en-US"/>
        </w:rPr>
        <w:t xml:space="preserve"> from the sample and re-weighting the remaining sample using exactly the same approach </w:t>
      </w:r>
      <w:r>
        <w:rPr>
          <w:rFonts w:eastAsia="Cambria"/>
          <w:lang w:eastAsia="en-US"/>
        </w:rPr>
        <w:t xml:space="preserve">as that </w:t>
      </w:r>
      <w:r w:rsidRPr="00B5490B">
        <w:rPr>
          <w:rFonts w:eastAsia="Cambria"/>
          <w:lang w:eastAsia="en-US"/>
        </w:rPr>
        <w:t>used to construct the weights for the full sample, including calibration to the same population benchmarks.</w:t>
      </w:r>
    </w:p>
    <w:p w:rsidR="0089511D" w:rsidRPr="00B5490B" w:rsidRDefault="0089511D" w:rsidP="00C7303E">
      <w:pPr>
        <w:rPr>
          <w:rFonts w:eastAsia="Cambria"/>
          <w:lang w:eastAsia="en-US"/>
        </w:rPr>
      </w:pPr>
    </w:p>
    <w:p w:rsidR="0089511D" w:rsidRPr="00B5490B" w:rsidRDefault="0089511D" w:rsidP="00C7303E">
      <w:pPr>
        <w:rPr>
          <w:rFonts w:eastAsia="Cambria"/>
          <w:lang w:eastAsia="en-US"/>
        </w:rPr>
      </w:pPr>
      <w:r w:rsidRPr="00B5490B">
        <w:rPr>
          <w:rFonts w:eastAsia="Cambria"/>
          <w:lang w:eastAsia="en-US"/>
        </w:rPr>
        <w:t xml:space="preserve">For any weighted estimate calculated from the survey, 100 </w:t>
      </w:r>
      <w:proofErr w:type="spellStart"/>
      <w:r w:rsidRPr="00B5490B">
        <w:rPr>
          <w:rFonts w:eastAsia="Cambria"/>
          <w:lang w:eastAsia="en-US"/>
        </w:rPr>
        <w:t>jackknife</w:t>
      </w:r>
      <w:proofErr w:type="spellEnd"/>
      <w:r w:rsidRPr="00B5490B">
        <w:rPr>
          <w:rFonts w:eastAsia="Cambria"/>
          <w:lang w:eastAsia="en-US"/>
        </w:rPr>
        <w:t xml:space="preserve"> replicate estimates can also be calculated using the 100 </w:t>
      </w:r>
      <w:proofErr w:type="spellStart"/>
      <w:r w:rsidRPr="00B5490B">
        <w:rPr>
          <w:rFonts w:eastAsia="Cambria"/>
          <w:lang w:eastAsia="en-US"/>
        </w:rPr>
        <w:t>jackknife</w:t>
      </w:r>
      <w:proofErr w:type="spellEnd"/>
      <w:r w:rsidRPr="00B5490B">
        <w:rPr>
          <w:rFonts w:eastAsia="Cambria"/>
          <w:lang w:eastAsia="en-US"/>
        </w:rPr>
        <w:t xml:space="preserve"> weights. The standard error of the full sample estimate is based on the variation in the replicate estimates.</w:t>
      </w:r>
    </w:p>
    <w:p w:rsidR="0089511D" w:rsidRPr="00B5490B" w:rsidRDefault="0089511D" w:rsidP="00C7303E">
      <w:pPr>
        <w:rPr>
          <w:rFonts w:eastAsia="Cambria"/>
          <w:lang w:eastAsia="en-US"/>
        </w:rPr>
      </w:pPr>
    </w:p>
    <w:p w:rsidR="0089511D" w:rsidRDefault="0089511D" w:rsidP="00C7303E">
      <w:pPr>
        <w:rPr>
          <w:rFonts w:eastAsia="Cambria"/>
          <w:highlight w:val="yellow"/>
          <w:lang w:eastAsia="en-US"/>
        </w:rPr>
      </w:pPr>
      <w:r w:rsidRPr="00B5490B">
        <w:rPr>
          <w:rFonts w:eastAsia="Cambria"/>
          <w:lang w:eastAsia="en-US"/>
        </w:rPr>
        <w:t>A number of statistical analysis packages, including SAS, Stata and R</w:t>
      </w:r>
      <w:r>
        <w:rPr>
          <w:rFonts w:eastAsia="Cambria"/>
          <w:lang w:eastAsia="en-US"/>
        </w:rPr>
        <w:t>, can calculate</w:t>
      </w:r>
      <w:r w:rsidRPr="00B5490B">
        <w:rPr>
          <w:rFonts w:eastAsia="Cambria"/>
          <w:lang w:eastAsia="en-US"/>
        </w:rPr>
        <w:t xml:space="preserve"> standard errors </w:t>
      </w:r>
      <w:r>
        <w:rPr>
          <w:rFonts w:eastAsia="Cambria"/>
          <w:lang w:eastAsia="en-US"/>
        </w:rPr>
        <w:t>using</w:t>
      </w:r>
      <w:r w:rsidRPr="00B5490B">
        <w:rPr>
          <w:rFonts w:eastAsia="Cambria"/>
          <w:lang w:eastAsia="en-US"/>
        </w:rPr>
        <w:t xml:space="preserve"> </w:t>
      </w:r>
      <w:proofErr w:type="spellStart"/>
      <w:r w:rsidRPr="00B5490B">
        <w:rPr>
          <w:rFonts w:eastAsia="Cambria"/>
          <w:lang w:eastAsia="en-US"/>
        </w:rPr>
        <w:t>jackknife</w:t>
      </w:r>
      <w:proofErr w:type="spellEnd"/>
      <w:r w:rsidRPr="00B5490B">
        <w:rPr>
          <w:rFonts w:eastAsia="Cambria"/>
          <w:lang w:eastAsia="en-US"/>
        </w:rPr>
        <w:t xml:space="preserve"> weights.</w:t>
      </w:r>
    </w:p>
    <w:p w:rsidR="0089511D" w:rsidRDefault="0089511D" w:rsidP="00C7303E">
      <w:pPr>
        <w:rPr>
          <w:rFonts w:eastAsia="Cambria"/>
          <w:lang w:eastAsia="en-US"/>
        </w:rPr>
      </w:pPr>
    </w:p>
    <w:p w:rsidR="0089511D" w:rsidRPr="00CC7E24" w:rsidRDefault="0089511D" w:rsidP="00C7303E">
      <w:pPr>
        <w:pStyle w:val="Heading2"/>
        <w:rPr>
          <w:lang w:eastAsia="en-NZ"/>
        </w:rPr>
      </w:pPr>
      <w:bookmarkStart w:id="167" w:name="_Toc434934530"/>
      <w:bookmarkStart w:id="168" w:name="_Toc435643024"/>
      <w:r w:rsidRPr="00CC7E24">
        <w:rPr>
          <w:lang w:eastAsia="en-NZ"/>
        </w:rPr>
        <w:t xml:space="preserve">Weights for measurement </w:t>
      </w:r>
      <w:r>
        <w:rPr>
          <w:lang w:eastAsia="en-NZ"/>
        </w:rPr>
        <w:t>data</w:t>
      </w:r>
      <w:bookmarkEnd w:id="167"/>
      <w:bookmarkEnd w:id="168"/>
    </w:p>
    <w:p w:rsidR="0089511D" w:rsidRPr="00E747E0" w:rsidRDefault="0089511D" w:rsidP="00C7303E">
      <w:r w:rsidRPr="00E747E0">
        <w:t xml:space="preserve">An additional set of estimation weights (and corresponding </w:t>
      </w:r>
      <w:proofErr w:type="spellStart"/>
      <w:r w:rsidRPr="00E747E0">
        <w:t>jackknife</w:t>
      </w:r>
      <w:proofErr w:type="spellEnd"/>
      <w:r w:rsidRPr="00E747E0">
        <w:t xml:space="preserve"> weights) has been created specifically for analysis of the measurements collected from respondents as part of the core NZHS interview. </w:t>
      </w:r>
      <w:r w:rsidRPr="00100B6E">
        <w:t>Height and weight measurements are obtained from around 96</w:t>
      </w:r>
      <w:r>
        <w:t xml:space="preserve"> percent</w:t>
      </w:r>
      <w:r w:rsidRPr="00EA2C2A">
        <w:t xml:space="preserve"> </w:t>
      </w:r>
      <w:r w:rsidRPr="00100B6E">
        <w:t>of eligible adult</w:t>
      </w:r>
      <w:r>
        <w:t xml:space="preserve"> </w:t>
      </w:r>
      <w:r w:rsidRPr="00100B6E">
        <w:t>and 92</w:t>
      </w:r>
      <w:r>
        <w:t xml:space="preserve"> percent</w:t>
      </w:r>
      <w:r w:rsidRPr="00100B6E">
        <w:t xml:space="preserve"> </w:t>
      </w:r>
      <w:r>
        <w:t>of eligible</w:t>
      </w:r>
      <w:r w:rsidRPr="00100B6E">
        <w:t xml:space="preserve"> child respondents.</w:t>
      </w:r>
      <w:r w:rsidRPr="00E747E0">
        <w:t xml:space="preserve"> As variables derived from height and </w:t>
      </w:r>
      <w:proofErr w:type="gramStart"/>
      <w:r w:rsidRPr="00E747E0">
        <w:t>weight are</w:t>
      </w:r>
      <w:proofErr w:type="gramEnd"/>
      <w:r w:rsidRPr="00E747E0">
        <w:t xml:space="preserve"> key outputs from the survey, it is useful to have this additional set of estimation weights to compensate for the additional non</w:t>
      </w:r>
      <w:r>
        <w:t>-</w:t>
      </w:r>
      <w:r w:rsidRPr="00E747E0">
        <w:t>response to these items.</w:t>
      </w:r>
    </w:p>
    <w:p w:rsidR="0089511D" w:rsidRDefault="0089511D" w:rsidP="00C7303E"/>
    <w:p w:rsidR="00095D83" w:rsidRDefault="0089511D" w:rsidP="00C7303E">
      <w:pPr>
        <w:rPr>
          <w:lang w:eastAsia="en-NZ"/>
        </w:rPr>
      </w:pPr>
      <w:r>
        <w:rPr>
          <w:lang w:eastAsia="en-NZ"/>
        </w:rPr>
        <w:t>The</w:t>
      </w:r>
      <w:r w:rsidRPr="00CC7E24">
        <w:rPr>
          <w:lang w:eastAsia="en-NZ"/>
        </w:rPr>
        <w:t xml:space="preserve"> extra set of </w:t>
      </w:r>
      <w:r>
        <w:rPr>
          <w:lang w:eastAsia="en-NZ"/>
        </w:rPr>
        <w:t>weights is</w:t>
      </w:r>
      <w:r w:rsidRPr="00CC7E24">
        <w:rPr>
          <w:lang w:eastAsia="en-NZ"/>
        </w:rPr>
        <w:t xml:space="preserve"> calculated for the subset of </w:t>
      </w:r>
      <w:r>
        <w:t>respondents</w:t>
      </w:r>
      <w:r w:rsidRPr="00CC7E24">
        <w:rPr>
          <w:lang w:eastAsia="en-NZ"/>
        </w:rPr>
        <w:t xml:space="preserve"> who ha</w:t>
      </w:r>
      <w:r>
        <w:rPr>
          <w:lang w:eastAsia="en-NZ"/>
        </w:rPr>
        <w:t>ve</w:t>
      </w:r>
      <w:r w:rsidRPr="00CC7E24">
        <w:rPr>
          <w:lang w:eastAsia="en-NZ"/>
        </w:rPr>
        <w:t xml:space="preserve"> their height</w:t>
      </w:r>
      <w:r>
        <w:rPr>
          <w:lang w:eastAsia="en-NZ"/>
        </w:rPr>
        <w:t xml:space="preserve"> and weight </w:t>
      </w:r>
      <w:r w:rsidRPr="00CC7E24">
        <w:rPr>
          <w:lang w:eastAsia="en-NZ"/>
        </w:rPr>
        <w:t xml:space="preserve">measured. </w:t>
      </w:r>
      <w:r>
        <w:rPr>
          <w:lang w:eastAsia="en-NZ"/>
        </w:rPr>
        <w:t>Creating these estimation weights follows e</w:t>
      </w:r>
      <w:r w:rsidRPr="00CC7E24">
        <w:rPr>
          <w:lang w:eastAsia="en-NZ"/>
        </w:rPr>
        <w:t xml:space="preserve">xactly the same process as for the full sample. This </w:t>
      </w:r>
      <w:r>
        <w:rPr>
          <w:lang w:eastAsia="en-NZ"/>
        </w:rPr>
        <w:t xml:space="preserve">consistent approach </w:t>
      </w:r>
      <w:r w:rsidRPr="00CC7E24">
        <w:rPr>
          <w:lang w:eastAsia="en-NZ"/>
        </w:rPr>
        <w:t xml:space="preserve">ensures that any bias due to lower participation in the measurement phase of the </w:t>
      </w:r>
      <w:r>
        <w:rPr>
          <w:lang w:eastAsia="en-NZ"/>
        </w:rPr>
        <w:t>survey</w:t>
      </w:r>
      <w:r w:rsidRPr="00CC7E24">
        <w:rPr>
          <w:lang w:eastAsia="en-NZ"/>
        </w:rPr>
        <w:t xml:space="preserve"> for particular demographic subgroups (such as age groups or ethnic groups) is accounted for in the final estimates for the survey.</w:t>
      </w:r>
    </w:p>
    <w:p w:rsidR="0089511D" w:rsidRDefault="0089511D" w:rsidP="00C7303E">
      <w:pPr>
        <w:rPr>
          <w:lang w:eastAsia="en-NZ"/>
        </w:rPr>
      </w:pPr>
    </w:p>
    <w:p w:rsidR="0089511D" w:rsidRPr="00CC7E24" w:rsidRDefault="0089511D" w:rsidP="00C7303E">
      <w:pPr>
        <w:rPr>
          <w:lang w:eastAsia="en-NZ"/>
        </w:rPr>
      </w:pPr>
      <w:r w:rsidRPr="00E747E0">
        <w:rPr>
          <w:lang w:eastAsia="en-NZ"/>
        </w:rPr>
        <w:t xml:space="preserve">These </w:t>
      </w:r>
      <w:r>
        <w:rPr>
          <w:lang w:eastAsia="en-NZ"/>
        </w:rPr>
        <w:t xml:space="preserve">estimation </w:t>
      </w:r>
      <w:r w:rsidRPr="00E747E0">
        <w:rPr>
          <w:lang w:eastAsia="en-NZ"/>
        </w:rPr>
        <w:t>weights are also used for analysis involving waist and blood pressure measurements. Waist and blood pressure measurements are obtained from almost all respondents who have had their height and weight measured.</w:t>
      </w:r>
    </w:p>
    <w:p w:rsidR="0089511D" w:rsidRPr="00CC7E24" w:rsidRDefault="0089511D" w:rsidP="00C7303E">
      <w:pPr>
        <w:rPr>
          <w:rFonts w:eastAsia="Cambria"/>
          <w:lang w:eastAsia="en-US"/>
        </w:rPr>
      </w:pPr>
    </w:p>
    <w:p w:rsidR="0089511D" w:rsidRDefault="0089511D" w:rsidP="00C7303E">
      <w:pPr>
        <w:pStyle w:val="Heading1"/>
      </w:pPr>
      <w:bookmarkStart w:id="169" w:name="_Toc339270022"/>
      <w:bookmarkStart w:id="170" w:name="_Toc196280178"/>
      <w:bookmarkEnd w:id="86"/>
      <w:bookmarkEnd w:id="87"/>
      <w:r w:rsidRPr="00CC7E24">
        <w:br w:type="page"/>
      </w:r>
      <w:bookmarkStart w:id="171" w:name="_Toc340501946"/>
      <w:bookmarkStart w:id="172" w:name="_Toc372445566"/>
      <w:bookmarkStart w:id="173" w:name="_Toc403044021"/>
      <w:bookmarkStart w:id="174" w:name="_Toc434934531"/>
      <w:bookmarkStart w:id="175" w:name="_Toc435643025"/>
      <w:r w:rsidRPr="00CC7E24">
        <w:lastRenderedPageBreak/>
        <w:t xml:space="preserve">Section </w:t>
      </w:r>
      <w:r>
        <w:t>8</w:t>
      </w:r>
      <w:r w:rsidRPr="00CC7E24">
        <w:t xml:space="preserve">: </w:t>
      </w:r>
      <w:r>
        <w:t>A</w:t>
      </w:r>
      <w:r w:rsidRPr="00CC7E24">
        <w:t>nalysis</w:t>
      </w:r>
      <w:bookmarkEnd w:id="169"/>
      <w:bookmarkEnd w:id="171"/>
      <w:bookmarkEnd w:id="172"/>
      <w:bookmarkEnd w:id="173"/>
      <w:r>
        <w:t xml:space="preserve"> methods</w:t>
      </w:r>
      <w:bookmarkEnd w:id="174"/>
      <w:bookmarkEnd w:id="175"/>
    </w:p>
    <w:p w:rsidR="0089511D" w:rsidRPr="00CC7E24" w:rsidRDefault="0089511D" w:rsidP="00C7303E">
      <w:pPr>
        <w:pStyle w:val="Heading2"/>
      </w:pPr>
      <w:bookmarkStart w:id="176" w:name="_Toc434934532"/>
      <w:bookmarkStart w:id="177" w:name="_Toc435643026"/>
      <w:r>
        <w:t xml:space="preserve">Estimation of </w:t>
      </w:r>
      <w:proofErr w:type="spellStart"/>
      <w:r>
        <w:t>prevalences</w:t>
      </w:r>
      <w:proofErr w:type="spellEnd"/>
      <w:r>
        <w:t>, totals and means</w:t>
      </w:r>
      <w:bookmarkEnd w:id="176"/>
      <w:bookmarkEnd w:id="177"/>
    </w:p>
    <w:p w:rsidR="0089511D" w:rsidRDefault="0089511D" w:rsidP="00C7303E">
      <w:r>
        <w:t xml:space="preserve">Most statistics published in NZHS reports are presented as </w:t>
      </w:r>
      <w:proofErr w:type="spellStart"/>
      <w:r>
        <w:t>prevalences</w:t>
      </w:r>
      <w:proofErr w:type="spellEnd"/>
      <w:r>
        <w:t>, totals or means.</w:t>
      </w:r>
    </w:p>
    <w:p w:rsidR="0089511D" w:rsidRDefault="0089511D" w:rsidP="00C7303E"/>
    <w:p w:rsidR="0089511D" w:rsidRDefault="0089511D" w:rsidP="00C7303E">
      <w:proofErr w:type="spellStart"/>
      <w:r w:rsidRPr="00A160F0">
        <w:rPr>
          <w:b/>
        </w:rPr>
        <w:t>Prevalences</w:t>
      </w:r>
      <w:proofErr w:type="spellEnd"/>
      <w:r>
        <w:t xml:space="preserve"> are survey estimates of the proportion of people with a particular characteristic, such as a specific health condition, behaviour or outcome. </w:t>
      </w:r>
      <w:r w:rsidRPr="00A160F0">
        <w:rPr>
          <w:b/>
        </w:rPr>
        <w:t>Totals</w:t>
      </w:r>
      <w:r>
        <w:t xml:space="preserve"> are survey estimates of the number of people with a particular characteristic. </w:t>
      </w:r>
      <w:r w:rsidRPr="00A160F0">
        <w:rPr>
          <w:b/>
        </w:rPr>
        <w:t>Means</w:t>
      </w:r>
      <w:r>
        <w:t xml:space="preserve"> are survey estimates of the average per person of some numeric quantity.</w:t>
      </w:r>
    </w:p>
    <w:p w:rsidR="0089511D" w:rsidRDefault="0089511D" w:rsidP="00C7303E"/>
    <w:p w:rsidR="0089511D" w:rsidRPr="00CC7E24" w:rsidRDefault="0089511D" w:rsidP="00C7303E">
      <w:r>
        <w:t>A description of the calculation method for each of these types of statistics follows. References to weights here mean the final calibrated weights discussed in Section 7</w:t>
      </w:r>
      <w:r w:rsidRPr="00A5780D">
        <w:t>.</w:t>
      </w:r>
    </w:p>
    <w:p w:rsidR="0089511D" w:rsidRDefault="0089511D" w:rsidP="00C7303E">
      <w:pPr>
        <w:rPr>
          <w:rFonts w:eastAsia="Cambria"/>
          <w:lang w:eastAsia="en-US"/>
        </w:rPr>
      </w:pPr>
    </w:p>
    <w:p w:rsidR="0089511D" w:rsidRDefault="0089511D" w:rsidP="00C7303E">
      <w:pPr>
        <w:pStyle w:val="Heading3"/>
        <w:rPr>
          <w:rFonts w:eastAsia="Cambria"/>
          <w:lang w:eastAsia="en-US"/>
        </w:rPr>
      </w:pPr>
      <w:r>
        <w:rPr>
          <w:rFonts w:eastAsia="Cambria"/>
          <w:lang w:eastAsia="en-US"/>
        </w:rPr>
        <w:t>Adjusting for item non-response</w:t>
      </w:r>
    </w:p>
    <w:p w:rsidR="0089511D" w:rsidRDefault="0089511D" w:rsidP="00C7303E">
      <w:r>
        <w:t xml:space="preserve">Before calculating </w:t>
      </w:r>
      <w:proofErr w:type="spellStart"/>
      <w:r>
        <w:t>prevalences</w:t>
      </w:r>
      <w:proofErr w:type="spellEnd"/>
      <w:r>
        <w:t xml:space="preserve">, totals or means for a particular variable, an adjustment is made to the final weights to account for respondents who answered </w:t>
      </w:r>
      <w:r w:rsidR="00095D83">
        <w:t>‘</w:t>
      </w:r>
      <w:r>
        <w:t>don</w:t>
      </w:r>
      <w:r w:rsidR="00095D83">
        <w:t>’</w:t>
      </w:r>
      <w:r>
        <w:t>t know</w:t>
      </w:r>
      <w:r w:rsidR="00095D83">
        <w:t>’</w:t>
      </w:r>
      <w:r>
        <w:t xml:space="preserve"> to or refused to answer the question.</w:t>
      </w:r>
    </w:p>
    <w:p w:rsidR="0089511D" w:rsidRDefault="0089511D" w:rsidP="00C7303E"/>
    <w:p w:rsidR="0089511D" w:rsidRDefault="0089511D" w:rsidP="00C7303E">
      <w:r>
        <w:t>The adjustment rates up the final weights of the respondents who gave a response to the item, to represent the final weights of the respondents who answered don</w:t>
      </w:r>
      <w:r w:rsidR="00095D83">
        <w:t>’</w:t>
      </w:r>
      <w:r>
        <w:t xml:space="preserve">t know or refused to answer for the variable in question. This is carried out within cells defined by sex and age group (10 year age groups for adults and 5 year age groups for children), making use of some information on what type of respondents are more likely to be item non-respondents to this variable. Then the item non-respondents can be safely left out of the calculation of </w:t>
      </w:r>
      <w:proofErr w:type="spellStart"/>
      <w:r>
        <w:t>prevalences</w:t>
      </w:r>
      <w:proofErr w:type="spellEnd"/>
      <w:r>
        <w:t>, totals or means for the variable.</w:t>
      </w:r>
    </w:p>
    <w:p w:rsidR="0089511D" w:rsidRDefault="0089511D" w:rsidP="00C7303E"/>
    <w:p w:rsidR="0089511D" w:rsidRDefault="0089511D" w:rsidP="00C7303E">
      <w:r>
        <w:t xml:space="preserve">The adjustment is most important for totals, so that item non-response does not lead to the under-estimation of the number of people having the particular condition or behaviour. The effect will usually be very small for </w:t>
      </w:r>
      <w:proofErr w:type="spellStart"/>
      <w:r>
        <w:t>prevalences</w:t>
      </w:r>
      <w:proofErr w:type="spellEnd"/>
      <w:r>
        <w:t xml:space="preserve"> and means – that is, </w:t>
      </w:r>
      <w:proofErr w:type="spellStart"/>
      <w:r>
        <w:t>prevalences</w:t>
      </w:r>
      <w:proofErr w:type="spellEnd"/>
      <w:r>
        <w:t xml:space="preserve"> and means using the adjusted weights will be very similar to those using the final calibrated weights.</w:t>
      </w:r>
    </w:p>
    <w:p w:rsidR="00095D83" w:rsidRDefault="00095D83" w:rsidP="00C7303E"/>
    <w:p w:rsidR="0089511D" w:rsidRDefault="0089511D" w:rsidP="00C7303E">
      <w:r>
        <w:t xml:space="preserve">The adjustment is done </w:t>
      </w:r>
      <w:r w:rsidR="00095D83">
        <w:t>‘</w:t>
      </w:r>
      <w:r>
        <w:t>on the fly</w:t>
      </w:r>
      <w:r w:rsidR="00095D83">
        <w:t>’</w:t>
      </w:r>
      <w:r>
        <w:t xml:space="preserve"> in the sense that the item-specific weights are created and used in estimation, but are not kept on the survey data set.</w:t>
      </w:r>
    </w:p>
    <w:p w:rsidR="0089511D" w:rsidRPr="00CC7E24" w:rsidRDefault="0089511D" w:rsidP="00C7303E">
      <w:pPr>
        <w:rPr>
          <w:rFonts w:eastAsia="Cambria"/>
          <w:lang w:eastAsia="en-US"/>
        </w:rPr>
      </w:pPr>
    </w:p>
    <w:p w:rsidR="0089511D" w:rsidRPr="00CC7E24" w:rsidRDefault="0089511D" w:rsidP="00C7303E">
      <w:pPr>
        <w:pStyle w:val="Heading3"/>
        <w:rPr>
          <w:rFonts w:eastAsia="Cambria"/>
          <w:lang w:eastAsia="en-US"/>
        </w:rPr>
      </w:pPr>
      <w:bookmarkStart w:id="178" w:name="_Toc339270029"/>
      <w:r w:rsidRPr="00CC7E24">
        <w:rPr>
          <w:rFonts w:eastAsia="Cambria"/>
          <w:lang w:eastAsia="en-US"/>
        </w:rPr>
        <w:t xml:space="preserve">Calculation of </w:t>
      </w:r>
      <w:proofErr w:type="spellStart"/>
      <w:r>
        <w:rPr>
          <w:rFonts w:eastAsia="Cambria"/>
          <w:lang w:eastAsia="en-US"/>
        </w:rPr>
        <w:t>prevalences</w:t>
      </w:r>
      <w:proofErr w:type="spellEnd"/>
      <w:r>
        <w:rPr>
          <w:rFonts w:eastAsia="Cambria"/>
          <w:lang w:eastAsia="en-US"/>
        </w:rPr>
        <w:t xml:space="preserve"> (</w:t>
      </w:r>
      <w:r w:rsidRPr="00CC7E24">
        <w:rPr>
          <w:rFonts w:eastAsia="Cambria"/>
          <w:lang w:eastAsia="en-US"/>
        </w:rPr>
        <w:t>proportions</w:t>
      </w:r>
      <w:bookmarkEnd w:id="178"/>
      <w:r>
        <w:rPr>
          <w:rFonts w:eastAsia="Cambria"/>
          <w:lang w:eastAsia="en-US"/>
        </w:rPr>
        <w:t>)</w:t>
      </w:r>
    </w:p>
    <w:p w:rsidR="0089511D" w:rsidRPr="00CC7E24" w:rsidRDefault="0089511D" w:rsidP="00C7303E">
      <w:pPr>
        <w:rPr>
          <w:rFonts w:eastAsia="Cambria"/>
          <w:lang w:eastAsia="en-US"/>
        </w:rPr>
      </w:pPr>
      <w:r w:rsidRPr="00F20E7F">
        <w:rPr>
          <w:rFonts w:eastAsia="Cambria"/>
          <w:lang w:eastAsia="en-US"/>
        </w:rPr>
        <w:t>The proportion of the population who belong to a particular group (</w:t>
      </w:r>
      <w:proofErr w:type="spellStart"/>
      <w:r w:rsidRPr="00F20E7F">
        <w:rPr>
          <w:rFonts w:eastAsia="Cambria"/>
          <w:lang w:eastAsia="en-US"/>
        </w:rPr>
        <w:t>eg</w:t>
      </w:r>
      <w:proofErr w:type="spellEnd"/>
      <w:r w:rsidRPr="00F20E7F">
        <w:rPr>
          <w:rFonts w:eastAsia="Cambria"/>
          <w:lang w:eastAsia="en-US"/>
        </w:rPr>
        <w:t>, the proportion of the</w:t>
      </w:r>
      <w:r w:rsidRPr="00CC7E24">
        <w:rPr>
          <w:rFonts w:eastAsia="Cambria"/>
          <w:lang w:eastAsia="en-US"/>
        </w:rPr>
        <w:t xml:space="preserve"> population who have diabetes) is estimated by</w:t>
      </w:r>
      <w:r>
        <w:rPr>
          <w:rFonts w:eastAsia="Cambria"/>
          <w:lang w:eastAsia="en-US"/>
        </w:rPr>
        <w:t xml:space="preserve"> calculating</w:t>
      </w:r>
      <w:r w:rsidRPr="00CC7E24">
        <w:rPr>
          <w:rFonts w:eastAsia="Cambria"/>
          <w:lang w:eastAsia="en-US"/>
        </w:rPr>
        <w:t xml:space="preserve"> the sum of the weights for the respondents in the group divided by the sum of the weights </w:t>
      </w:r>
      <w:r>
        <w:rPr>
          <w:rFonts w:eastAsia="Cambria"/>
          <w:lang w:eastAsia="en-US"/>
        </w:rPr>
        <w:t>for</w:t>
      </w:r>
      <w:r w:rsidRPr="00CC7E24">
        <w:rPr>
          <w:rFonts w:eastAsia="Cambria"/>
          <w:lang w:eastAsia="en-US"/>
        </w:rPr>
        <w:t xml:space="preserve"> all respondents.</w:t>
      </w:r>
    </w:p>
    <w:p w:rsidR="0089511D" w:rsidRPr="00CC7E24" w:rsidRDefault="0089511D" w:rsidP="00C7303E">
      <w:pPr>
        <w:rPr>
          <w:rFonts w:eastAsia="Cambria"/>
          <w:lang w:eastAsia="en-US"/>
        </w:rPr>
      </w:pPr>
    </w:p>
    <w:p w:rsidR="0089511D" w:rsidRPr="00CC7E24" w:rsidRDefault="0089511D" w:rsidP="00C7303E">
      <w:pPr>
        <w:rPr>
          <w:rFonts w:eastAsia="Cambria"/>
          <w:lang w:eastAsia="en-US"/>
        </w:rPr>
      </w:pPr>
      <w:r w:rsidRPr="00CC7E24">
        <w:rPr>
          <w:rFonts w:eastAsia="Cambria"/>
          <w:lang w:eastAsia="en-US"/>
        </w:rPr>
        <w:t>The proportion of people in a population group who belong to a subgroup (</w:t>
      </w:r>
      <w:proofErr w:type="spellStart"/>
      <w:r>
        <w:rPr>
          <w:rFonts w:eastAsia="Cambria"/>
          <w:lang w:eastAsia="en-US"/>
        </w:rPr>
        <w:t>eg</w:t>
      </w:r>
      <w:proofErr w:type="spellEnd"/>
      <w:r>
        <w:rPr>
          <w:rFonts w:eastAsia="Cambria"/>
          <w:lang w:eastAsia="en-US"/>
        </w:rPr>
        <w:t>,</w:t>
      </w:r>
      <w:r w:rsidRPr="00CC7E24">
        <w:rPr>
          <w:rFonts w:eastAsia="Cambria"/>
          <w:lang w:eastAsia="en-US"/>
        </w:rPr>
        <w:t xml:space="preserve"> the proportion of Māori who have diabetes) is estimated by</w:t>
      </w:r>
      <w:r>
        <w:rPr>
          <w:rFonts w:eastAsia="Cambria"/>
          <w:lang w:eastAsia="en-US"/>
        </w:rPr>
        <w:t xml:space="preserve"> calculating</w:t>
      </w:r>
      <w:r w:rsidRPr="00CC7E24">
        <w:rPr>
          <w:rFonts w:eastAsia="Cambria"/>
          <w:lang w:eastAsia="en-US"/>
        </w:rPr>
        <w:t xml:space="preserve"> the sum of the weights for the respondents in the subgroup (Māori who have diabetes) divided by the sum of the weights for the respondents in the population group (Māori).</w:t>
      </w:r>
    </w:p>
    <w:p w:rsidR="0089511D" w:rsidRDefault="0089511D" w:rsidP="00C7303E">
      <w:pPr>
        <w:rPr>
          <w:rFonts w:eastAsia="Cambria"/>
          <w:lang w:eastAsia="en-US"/>
        </w:rPr>
      </w:pPr>
    </w:p>
    <w:p w:rsidR="0089511D" w:rsidRDefault="0089511D" w:rsidP="00C7303E">
      <w:pPr>
        <w:rPr>
          <w:rFonts w:eastAsia="Cambria"/>
          <w:lang w:eastAsia="en-US"/>
        </w:rPr>
      </w:pPr>
      <w:r>
        <w:rPr>
          <w:rFonts w:eastAsia="Cambria"/>
          <w:lang w:eastAsia="en-US"/>
        </w:rPr>
        <w:lastRenderedPageBreak/>
        <w:t>In each case, respondents with missing data (</w:t>
      </w:r>
      <w:proofErr w:type="spellStart"/>
      <w:r>
        <w:rPr>
          <w:rFonts w:eastAsia="Cambria"/>
          <w:lang w:eastAsia="en-US"/>
        </w:rPr>
        <w:t>eg</w:t>
      </w:r>
      <w:proofErr w:type="spellEnd"/>
      <w:r>
        <w:rPr>
          <w:rFonts w:eastAsia="Cambria"/>
          <w:lang w:eastAsia="en-US"/>
        </w:rPr>
        <w:t>, who either refused to say, or didn</w:t>
      </w:r>
      <w:r w:rsidR="00095D83">
        <w:rPr>
          <w:rFonts w:eastAsia="Cambria"/>
          <w:lang w:eastAsia="en-US"/>
        </w:rPr>
        <w:t>’</w:t>
      </w:r>
      <w:r>
        <w:rPr>
          <w:rFonts w:eastAsia="Cambria"/>
          <w:lang w:eastAsia="en-US"/>
        </w:rPr>
        <w:t>t know, whether they had diabetes) are excluded from both the numerator and the denominator of the calculation.</w:t>
      </w:r>
    </w:p>
    <w:p w:rsidR="0089511D" w:rsidRPr="00CC7E24" w:rsidRDefault="0089511D" w:rsidP="00C7303E">
      <w:pPr>
        <w:rPr>
          <w:rFonts w:eastAsia="Cambria"/>
          <w:lang w:eastAsia="en-US"/>
        </w:rPr>
      </w:pPr>
    </w:p>
    <w:p w:rsidR="0089511D" w:rsidRPr="00CC7E24" w:rsidRDefault="0089511D" w:rsidP="00C7303E">
      <w:pPr>
        <w:pStyle w:val="Heading3"/>
        <w:rPr>
          <w:rFonts w:eastAsia="Cambria"/>
          <w:lang w:eastAsia="en-US"/>
        </w:rPr>
      </w:pPr>
      <w:bookmarkStart w:id="179" w:name="_Toc339270030"/>
      <w:r w:rsidRPr="00CC7E24">
        <w:rPr>
          <w:rFonts w:eastAsia="Cambria"/>
          <w:lang w:eastAsia="en-US"/>
        </w:rPr>
        <w:t>Calculation of totals (counts)</w:t>
      </w:r>
      <w:bookmarkEnd w:id="179"/>
    </w:p>
    <w:p w:rsidR="0089511D" w:rsidRDefault="0089511D" w:rsidP="00C7303E">
      <w:pPr>
        <w:rPr>
          <w:rFonts w:eastAsia="Cambria"/>
          <w:lang w:eastAsia="en-US"/>
        </w:rPr>
      </w:pPr>
      <w:r w:rsidRPr="0021423C">
        <w:rPr>
          <w:rFonts w:eastAsia="Cambria"/>
          <w:lang w:eastAsia="en-US"/>
        </w:rPr>
        <w:t xml:space="preserve">Estimates of totals are given by calculating the sum, over all the respondents, of the weight multiplied by the variable of interest. For example, the estimate of </w:t>
      </w:r>
      <w:r>
        <w:rPr>
          <w:rFonts w:eastAsia="Cambria"/>
          <w:lang w:eastAsia="en-US"/>
        </w:rPr>
        <w:t xml:space="preserve">the </w:t>
      </w:r>
      <w:r w:rsidRPr="0021423C">
        <w:rPr>
          <w:rFonts w:eastAsia="Cambria"/>
          <w:lang w:eastAsia="en-US"/>
        </w:rPr>
        <w:t xml:space="preserve">total number of people with diabetes in the whole population would be given by the sum, over all respondents, </w:t>
      </w:r>
      <w:r>
        <w:rPr>
          <w:rFonts w:eastAsia="Cambria"/>
          <w:lang w:eastAsia="en-US"/>
        </w:rPr>
        <w:t xml:space="preserve">of the weight multiplied by a binary variable indicating which respondents have diabetes. This is equivalent to the sum of the weights for the respondents who have diabetes in the </w:t>
      </w:r>
      <w:r w:rsidRPr="0021423C">
        <w:rPr>
          <w:rFonts w:eastAsia="Cambria"/>
          <w:lang w:eastAsia="en-US"/>
        </w:rPr>
        <w:t>population</w:t>
      </w:r>
      <w:r>
        <w:rPr>
          <w:rFonts w:eastAsia="Cambria"/>
          <w:lang w:eastAsia="en-US"/>
        </w:rPr>
        <w:t>.</w:t>
      </w:r>
    </w:p>
    <w:p w:rsidR="0089511D" w:rsidRPr="00CC7E24" w:rsidRDefault="0089511D" w:rsidP="00C7303E">
      <w:pPr>
        <w:rPr>
          <w:rFonts w:eastAsia="Cambria"/>
          <w:lang w:eastAsia="en-US"/>
        </w:rPr>
      </w:pPr>
    </w:p>
    <w:p w:rsidR="0089511D" w:rsidRPr="00CC7E24" w:rsidRDefault="0089511D" w:rsidP="00C7303E">
      <w:pPr>
        <w:pStyle w:val="Heading3"/>
        <w:rPr>
          <w:rFonts w:eastAsia="Cambria"/>
          <w:lang w:eastAsia="en-US"/>
        </w:rPr>
      </w:pPr>
      <w:bookmarkStart w:id="180" w:name="_Toc339270031"/>
      <w:r w:rsidRPr="00CC7E24">
        <w:rPr>
          <w:rFonts w:eastAsia="Cambria"/>
          <w:lang w:eastAsia="en-US"/>
        </w:rPr>
        <w:t>Calculation of means</w:t>
      </w:r>
      <w:r w:rsidRPr="00787368">
        <w:rPr>
          <w:rFonts w:eastAsia="Cambria"/>
          <w:lang w:eastAsia="en-US"/>
        </w:rPr>
        <w:t xml:space="preserve"> </w:t>
      </w:r>
      <w:r w:rsidRPr="00CC7E24">
        <w:rPr>
          <w:rFonts w:eastAsia="Cambria"/>
          <w:lang w:eastAsia="en-US"/>
        </w:rPr>
        <w:t>(averages)</w:t>
      </w:r>
      <w:bookmarkEnd w:id="180"/>
    </w:p>
    <w:p w:rsidR="0089511D" w:rsidRPr="0021423C" w:rsidRDefault="0089511D" w:rsidP="00C7303E">
      <w:pPr>
        <w:rPr>
          <w:rFonts w:eastAsia="Cambria"/>
          <w:lang w:eastAsia="en-US"/>
        </w:rPr>
      </w:pPr>
      <w:r w:rsidRPr="0021423C">
        <w:rPr>
          <w:rFonts w:eastAsia="Cambria"/>
          <w:lang w:eastAsia="en-US"/>
        </w:rPr>
        <w:t>Estimates of population averages</w:t>
      </w:r>
      <w:r>
        <w:rPr>
          <w:rFonts w:eastAsia="Cambria"/>
          <w:lang w:eastAsia="en-US"/>
        </w:rPr>
        <w:t>, such as</w:t>
      </w:r>
      <w:r w:rsidRPr="0021423C">
        <w:rPr>
          <w:rFonts w:eastAsia="Cambria"/>
          <w:lang w:eastAsia="en-US"/>
        </w:rPr>
        <w:t xml:space="preserve"> the average number of visi</w:t>
      </w:r>
      <w:r>
        <w:rPr>
          <w:rFonts w:eastAsia="Cambria"/>
          <w:lang w:eastAsia="en-US"/>
        </w:rPr>
        <w:t>ts to a general practitioner (</w:t>
      </w:r>
      <w:r w:rsidRPr="0021423C">
        <w:rPr>
          <w:rFonts w:eastAsia="Cambria"/>
          <w:lang w:eastAsia="en-US"/>
        </w:rPr>
        <w:t>GP</w:t>
      </w:r>
      <w:r>
        <w:rPr>
          <w:rFonts w:eastAsia="Cambria"/>
          <w:lang w:eastAsia="en-US"/>
        </w:rPr>
        <w:t>),</w:t>
      </w:r>
      <w:r w:rsidRPr="0021423C">
        <w:rPr>
          <w:rFonts w:eastAsia="Cambria"/>
          <w:lang w:eastAsia="en-US"/>
        </w:rPr>
        <w:t xml:space="preserve"> are determined by calculating the sum, over all respondents, of the weight multiplied by the variable of interest, divided by the sum of the weights.</w:t>
      </w:r>
    </w:p>
    <w:p w:rsidR="0089511D" w:rsidRPr="0021423C" w:rsidRDefault="0089511D" w:rsidP="00C7303E">
      <w:pPr>
        <w:rPr>
          <w:rFonts w:eastAsia="Cambria"/>
          <w:lang w:eastAsia="en-US"/>
        </w:rPr>
      </w:pPr>
    </w:p>
    <w:p w:rsidR="0089511D" w:rsidRDefault="0089511D" w:rsidP="00C7303E">
      <w:pPr>
        <w:rPr>
          <w:rFonts w:eastAsia="Cambria"/>
          <w:lang w:eastAsia="en-US"/>
        </w:rPr>
      </w:pPr>
      <w:r w:rsidRPr="0021423C">
        <w:rPr>
          <w:rFonts w:eastAsia="Cambria"/>
          <w:lang w:eastAsia="en-US"/>
        </w:rPr>
        <w:t xml:space="preserve">Sometimes the average within a group is of interest; for example, the average number of visits to a GP by males. The estimate is given by calculating the sum, over respondents, in the group of the weight multiplied by the variable of interest divided by the sum of the weights </w:t>
      </w:r>
      <w:r>
        <w:rPr>
          <w:rFonts w:eastAsia="Cambria"/>
          <w:lang w:eastAsia="en-US"/>
        </w:rPr>
        <w:t>for the</w:t>
      </w:r>
      <w:r w:rsidRPr="0021423C">
        <w:rPr>
          <w:rFonts w:eastAsia="Cambria"/>
          <w:lang w:eastAsia="en-US"/>
        </w:rPr>
        <w:t xml:space="preserve"> respondents in the group</w:t>
      </w:r>
      <w:r w:rsidRPr="00D72108">
        <w:rPr>
          <w:rFonts w:eastAsia="Cambria"/>
          <w:lang w:eastAsia="en-US"/>
        </w:rPr>
        <w:t>.</w:t>
      </w:r>
    </w:p>
    <w:p w:rsidR="0089511D" w:rsidRDefault="0089511D" w:rsidP="00C7303E">
      <w:pPr>
        <w:rPr>
          <w:rFonts w:eastAsia="Cambria"/>
          <w:lang w:eastAsia="en-US"/>
        </w:rPr>
      </w:pPr>
    </w:p>
    <w:p w:rsidR="0089511D" w:rsidRDefault="0089511D" w:rsidP="00C7303E">
      <w:pPr>
        <w:rPr>
          <w:rFonts w:eastAsia="Cambria"/>
          <w:lang w:eastAsia="en-US"/>
        </w:rPr>
      </w:pPr>
      <w:r>
        <w:rPr>
          <w:rFonts w:eastAsia="Cambria"/>
          <w:lang w:eastAsia="en-US"/>
        </w:rPr>
        <w:t>In each case, respondents with missing data (</w:t>
      </w:r>
      <w:proofErr w:type="spellStart"/>
      <w:r>
        <w:rPr>
          <w:rFonts w:eastAsia="Cambria"/>
          <w:lang w:eastAsia="en-US"/>
        </w:rPr>
        <w:t>eg</w:t>
      </w:r>
      <w:proofErr w:type="spellEnd"/>
      <w:r>
        <w:rPr>
          <w:rFonts w:eastAsia="Cambria"/>
          <w:lang w:eastAsia="en-US"/>
        </w:rPr>
        <w:t>, who either refused to say, or didn</w:t>
      </w:r>
      <w:r w:rsidR="00095D83">
        <w:rPr>
          <w:rFonts w:eastAsia="Cambria"/>
          <w:lang w:eastAsia="en-US"/>
        </w:rPr>
        <w:t>’</w:t>
      </w:r>
      <w:r>
        <w:rPr>
          <w:rFonts w:eastAsia="Cambria"/>
          <w:lang w:eastAsia="en-US"/>
        </w:rPr>
        <w:t>t know, how many GP visits they had made) are excluded from both the numerator and the denominator of the calculation.</w:t>
      </w:r>
    </w:p>
    <w:p w:rsidR="0089511D" w:rsidRDefault="0089511D" w:rsidP="00C7303E">
      <w:pPr>
        <w:rPr>
          <w:rFonts w:eastAsia="Cambria"/>
          <w:lang w:eastAsia="en-US"/>
        </w:rPr>
      </w:pPr>
    </w:p>
    <w:p w:rsidR="0089511D" w:rsidRPr="00CC7E24" w:rsidRDefault="0089511D" w:rsidP="00C7303E">
      <w:pPr>
        <w:pStyle w:val="Heading3"/>
      </w:pPr>
      <w:r>
        <w:t>Suppression of s</w:t>
      </w:r>
      <w:r w:rsidRPr="00CC7E24">
        <w:t xml:space="preserve">mall </w:t>
      </w:r>
      <w:r>
        <w:t>sample sizes</w:t>
      </w:r>
    </w:p>
    <w:p w:rsidR="0089511D" w:rsidRPr="00CC7E24" w:rsidRDefault="0089511D" w:rsidP="0089511D">
      <w:r w:rsidRPr="00CC7E24">
        <w:t xml:space="preserve">Small samples can affect both the reliability and the confidentiality of results. Problems with reliability </w:t>
      </w:r>
      <w:r>
        <w:t>arise</w:t>
      </w:r>
      <w:r w:rsidRPr="00CC7E24">
        <w:t xml:space="preserve"> when the sample becomes too small to adequately represent the population from which it has been drawn. Problems with confidentiality can </w:t>
      </w:r>
      <w:r>
        <w:t>arise</w:t>
      </w:r>
      <w:r w:rsidRPr="00CC7E24">
        <w:t xml:space="preserve"> when it becomes possible to identify an individual, usually someone in a subgroup of the population within a small geographical area.</w:t>
      </w:r>
    </w:p>
    <w:p w:rsidR="0089511D" w:rsidRPr="00CC7E24" w:rsidRDefault="0089511D" w:rsidP="00C7303E"/>
    <w:p w:rsidR="0089511D" w:rsidRPr="00CC7E24" w:rsidRDefault="0089511D" w:rsidP="00C7303E">
      <w:r>
        <w:t>T</w:t>
      </w:r>
      <w:r w:rsidRPr="00CC7E24">
        <w:t xml:space="preserve">o ensure the survey data presented </w:t>
      </w:r>
      <w:r>
        <w:t>are</w:t>
      </w:r>
      <w:r w:rsidRPr="00CC7E24">
        <w:t xml:space="preserve"> reliable and the confidentiality of the </w:t>
      </w:r>
      <w:r w:rsidRPr="009D18D7">
        <w:t>participants is protected, data have only been presented when there are at least</w:t>
      </w:r>
      <w:r w:rsidRPr="00CC7E24">
        <w:t xml:space="preserve"> 30 people in the denominator (the population group being analysed). Care has been taken to ensure that no participant can be identified in the results.</w:t>
      </w:r>
    </w:p>
    <w:p w:rsidR="0089511D" w:rsidRPr="002A0886" w:rsidRDefault="0089511D" w:rsidP="00C7303E"/>
    <w:p w:rsidR="0089511D" w:rsidRDefault="0089511D" w:rsidP="00C7303E">
      <w:pPr>
        <w:pStyle w:val="Heading2"/>
      </w:pPr>
      <w:bookmarkStart w:id="181" w:name="_Toc434934533"/>
      <w:bookmarkStart w:id="182" w:name="_Toc435643027"/>
      <w:r>
        <w:t>Comparisons between population groups</w:t>
      </w:r>
      <w:bookmarkEnd w:id="181"/>
      <w:bookmarkEnd w:id="182"/>
    </w:p>
    <w:p w:rsidR="0089511D" w:rsidRPr="00CC7E24" w:rsidRDefault="0089511D" w:rsidP="00C7303E">
      <w:pPr>
        <w:pStyle w:val="Heading3"/>
      </w:pPr>
      <w:bookmarkStart w:id="183" w:name="_Toc335133123"/>
      <w:bookmarkStart w:id="184" w:name="_Toc339270033"/>
      <w:r w:rsidRPr="00CC7E24">
        <w:t>Age standardisation</w:t>
      </w:r>
      <w:bookmarkEnd w:id="183"/>
      <w:bookmarkEnd w:id="184"/>
    </w:p>
    <w:p w:rsidR="0089511D" w:rsidRDefault="0089511D" w:rsidP="00C7303E">
      <w:r>
        <w:t>NZHS reports mainly focus on presenting crude (unadjusted)</w:t>
      </w:r>
      <w:r w:rsidRPr="00CC7E24">
        <w:t xml:space="preserve"> rates for estimates of the prevalence in the total population and by age group </w:t>
      </w:r>
      <w:r>
        <w:t>(age-specific rates)</w:t>
      </w:r>
      <w:r w:rsidRPr="00CC7E24">
        <w:t>.</w:t>
      </w:r>
    </w:p>
    <w:p w:rsidR="0089511D" w:rsidRDefault="0089511D" w:rsidP="00C7303E"/>
    <w:p w:rsidR="0089511D" w:rsidRDefault="0089511D" w:rsidP="00C7303E">
      <w:r w:rsidRPr="00CC7E24">
        <w:t>However, age is an important determinant of health, so population</w:t>
      </w:r>
      <w:r>
        <w:t xml:space="preserve"> groups</w:t>
      </w:r>
      <w:r w:rsidRPr="00CC7E24">
        <w:t xml:space="preserve"> with different age structures (such as men and women, </w:t>
      </w:r>
      <w:r>
        <w:t xml:space="preserve">whose age structures differ </w:t>
      </w:r>
      <w:r w:rsidRPr="00CC7E24">
        <w:t>due to women</w:t>
      </w:r>
      <w:r w:rsidR="00095D83">
        <w:t>’</w:t>
      </w:r>
      <w:r>
        <w:t>s</w:t>
      </w:r>
      <w:r w:rsidRPr="00CC7E24">
        <w:t xml:space="preserve"> longer life expectancy) may have different rates due to these age differences.</w:t>
      </w:r>
      <w:r>
        <w:t xml:space="preserve"> This means that </w:t>
      </w:r>
      <w:r w:rsidRPr="00E747E0">
        <w:t>comparisons of crude rates over time and between groups may be misleading if the age structure differs in the groups being compared.</w:t>
      </w:r>
    </w:p>
    <w:p w:rsidR="0089511D" w:rsidRDefault="0089511D" w:rsidP="00C7303E"/>
    <w:p w:rsidR="00095D83" w:rsidRDefault="0089511D" w:rsidP="00C7303E">
      <w:r>
        <w:lastRenderedPageBreak/>
        <w:t>One approach to making more meaningful comparisons between groups is to compare age-specific rates. Alternatively it can be useful to summarise a set of age-specific rates for a group into a single age-independent measure.</w:t>
      </w:r>
      <w:r w:rsidRPr="00E747E0">
        <w:t xml:space="preserve"> This </w:t>
      </w:r>
      <w:r>
        <w:t xml:space="preserve">is </w:t>
      </w:r>
      <w:r w:rsidRPr="00E747E0">
        <w:t>achieved by a process</w:t>
      </w:r>
      <w:r>
        <w:t xml:space="preserve"> called </w:t>
      </w:r>
      <w:r w:rsidRPr="007F3067">
        <w:rPr>
          <w:b/>
        </w:rPr>
        <w:t>age standardisation</w:t>
      </w:r>
      <w:r w:rsidRPr="00E747E0">
        <w:t>.</w:t>
      </w:r>
    </w:p>
    <w:p w:rsidR="0089511D" w:rsidRPr="00E747E0" w:rsidRDefault="0089511D" w:rsidP="00C7303E"/>
    <w:p w:rsidR="00095D83" w:rsidRDefault="0089511D" w:rsidP="00C7303E">
      <w:r w:rsidRPr="00E747E0">
        <w:t xml:space="preserve">Age standardisation </w:t>
      </w:r>
      <w:r>
        <w:t xml:space="preserve">in NZHS reports </w:t>
      </w:r>
      <w:r w:rsidRPr="00E747E0">
        <w:t>is performed by</w:t>
      </w:r>
      <w:r w:rsidRPr="007F3067">
        <w:rPr>
          <w:b/>
        </w:rPr>
        <w:t xml:space="preserve"> direct standardisation</w:t>
      </w:r>
      <w:r w:rsidRPr="00E747E0">
        <w:t xml:space="preserve"> using the World Health Organization (WHO) world population age distribution (Ahmad et al 2000). The direct method calculates an age</w:t>
      </w:r>
      <w:r>
        <w:t>-</w:t>
      </w:r>
      <w:r w:rsidRPr="00E747E0">
        <w:t>standardised rate, which is a weighted average of the age-specific rates, for each of the population groups to be compared. The weights applied represent the relative age distribution of the WHO population. This provides a single summary rate for each of the population groups being compared that reflects the rate that would have been expected if the group had had an age distribution identical to the WHO population.</w:t>
      </w:r>
    </w:p>
    <w:p w:rsidR="0089511D" w:rsidRDefault="0089511D" w:rsidP="00C7303E">
      <w:pPr>
        <w:rPr>
          <w:highlight w:val="yellow"/>
        </w:rPr>
      </w:pPr>
    </w:p>
    <w:p w:rsidR="0089511D" w:rsidRPr="00E747E0" w:rsidRDefault="0089511D" w:rsidP="00C7303E">
      <w:r w:rsidRPr="00E747E0">
        <w:t>The age</w:t>
      </w:r>
      <w:r>
        <w:t>-</w:t>
      </w:r>
      <w:r w:rsidRPr="00E747E0">
        <w:t>standardised prevalence rate (ASR) is given by:</w:t>
      </w:r>
    </w:p>
    <w:p w:rsidR="0089511D" w:rsidRPr="00E747E0" w:rsidRDefault="0089511D" w:rsidP="00C7303E">
      <w:pPr>
        <w:spacing w:before="120"/>
        <w:ind w:left="2268"/>
      </w:pPr>
      <w:r w:rsidRPr="00E747E0">
        <w:t xml:space="preserve">ASR = </w:t>
      </w:r>
      <w:r w:rsidRPr="00E747E0">
        <w:sym w:font="Symbol" w:char="F0E5"/>
      </w:r>
      <w:proofErr w:type="spellStart"/>
      <w:proofErr w:type="gramStart"/>
      <w:r w:rsidRPr="00E747E0">
        <w:t>r</w:t>
      </w:r>
      <w:r w:rsidRPr="00E747E0">
        <w:rPr>
          <w:vertAlign w:val="subscript"/>
        </w:rPr>
        <w:t>i</w:t>
      </w:r>
      <w:proofErr w:type="spellEnd"/>
      <w:proofErr w:type="gramEnd"/>
      <w:r w:rsidRPr="00E747E0">
        <w:t xml:space="preserve"> (</w:t>
      </w:r>
      <w:proofErr w:type="spellStart"/>
      <w:r w:rsidRPr="00E747E0">
        <w:t>n</w:t>
      </w:r>
      <w:r w:rsidRPr="00E747E0">
        <w:rPr>
          <w:vertAlign w:val="subscript"/>
        </w:rPr>
        <w:t>i</w:t>
      </w:r>
      <w:proofErr w:type="spellEnd"/>
      <w:r w:rsidRPr="00E747E0">
        <w:t>/</w:t>
      </w:r>
      <w:r w:rsidRPr="00E747E0">
        <w:sym w:font="Symbol" w:char="F0E5"/>
      </w:r>
      <w:r w:rsidRPr="00E747E0">
        <w:t xml:space="preserve"> </w:t>
      </w:r>
      <w:proofErr w:type="spellStart"/>
      <w:r w:rsidRPr="00E747E0">
        <w:t>n</w:t>
      </w:r>
      <w:r w:rsidRPr="00E747E0">
        <w:rPr>
          <w:vertAlign w:val="subscript"/>
        </w:rPr>
        <w:t>i</w:t>
      </w:r>
      <w:proofErr w:type="spellEnd"/>
      <w:r w:rsidRPr="00E747E0">
        <w:t>),</w:t>
      </w:r>
    </w:p>
    <w:p w:rsidR="0089511D" w:rsidRPr="00E747E0" w:rsidRDefault="0089511D" w:rsidP="00C7303E">
      <w:pPr>
        <w:spacing w:before="120"/>
      </w:pPr>
      <w:proofErr w:type="gramStart"/>
      <w:r w:rsidRPr="00E747E0">
        <w:t>where</w:t>
      </w:r>
      <w:proofErr w:type="gramEnd"/>
      <w:r w:rsidRPr="00E747E0">
        <w:t xml:space="preserve"> </w:t>
      </w:r>
      <w:proofErr w:type="spellStart"/>
      <w:r w:rsidRPr="00E747E0">
        <w:rPr>
          <w:i/>
        </w:rPr>
        <w:t>n</w:t>
      </w:r>
      <w:r w:rsidRPr="00E747E0">
        <w:rPr>
          <w:i/>
          <w:vertAlign w:val="subscript"/>
        </w:rPr>
        <w:t>i</w:t>
      </w:r>
      <w:proofErr w:type="spellEnd"/>
      <w:r w:rsidRPr="00E747E0">
        <w:rPr>
          <w:i/>
        </w:rPr>
        <w:t xml:space="preserve"> </w:t>
      </w:r>
      <w:r w:rsidRPr="00E747E0">
        <w:t xml:space="preserve">is the population in the </w:t>
      </w:r>
      <w:proofErr w:type="spellStart"/>
      <w:r w:rsidRPr="00E747E0">
        <w:rPr>
          <w:i/>
        </w:rPr>
        <w:t>i</w:t>
      </w:r>
      <w:r w:rsidRPr="00E747E0">
        <w:rPr>
          <w:vertAlign w:val="superscript"/>
        </w:rPr>
        <w:t>th</w:t>
      </w:r>
      <w:proofErr w:type="spellEnd"/>
      <w:r w:rsidRPr="00E747E0">
        <w:t xml:space="preserve"> age group of the standard population and </w:t>
      </w:r>
      <w:proofErr w:type="spellStart"/>
      <w:r w:rsidRPr="00E747E0">
        <w:rPr>
          <w:i/>
        </w:rPr>
        <w:t>r</w:t>
      </w:r>
      <w:r w:rsidRPr="00E747E0">
        <w:rPr>
          <w:i/>
          <w:vertAlign w:val="subscript"/>
        </w:rPr>
        <w:t>i</w:t>
      </w:r>
      <w:proofErr w:type="spellEnd"/>
      <w:r w:rsidRPr="00E747E0">
        <w:t xml:space="preserve"> is the prevalence rate in the </w:t>
      </w:r>
      <w:proofErr w:type="spellStart"/>
      <w:r w:rsidRPr="00E747E0">
        <w:rPr>
          <w:i/>
        </w:rPr>
        <w:t>i</w:t>
      </w:r>
      <w:r w:rsidRPr="00E747E0">
        <w:rPr>
          <w:vertAlign w:val="superscript"/>
        </w:rPr>
        <w:t>th</w:t>
      </w:r>
      <w:proofErr w:type="spellEnd"/>
      <w:r w:rsidRPr="00E747E0">
        <w:t xml:space="preserve"> age group from the survey.</w:t>
      </w:r>
    </w:p>
    <w:p w:rsidR="0089511D" w:rsidRPr="00E747E0" w:rsidRDefault="0089511D" w:rsidP="00C7303E"/>
    <w:p w:rsidR="0089511D" w:rsidRPr="00E747E0" w:rsidRDefault="0089511D" w:rsidP="00C7303E">
      <w:r w:rsidRPr="00E747E0">
        <w:t xml:space="preserve">Age-standardised rates are provided in some tables to </w:t>
      </w:r>
      <w:r>
        <w:t>help make</w:t>
      </w:r>
      <w:r w:rsidRPr="00E747E0">
        <w:t xml:space="preserve"> comparisons by sex, ethnic group and neighbourhood deprivation (NZDep2013), and comparisons between survey years.</w:t>
      </w:r>
    </w:p>
    <w:p w:rsidR="0089511D" w:rsidRPr="00E747E0" w:rsidRDefault="0089511D" w:rsidP="00C7303E"/>
    <w:p w:rsidR="0089511D" w:rsidRPr="00CC7E24" w:rsidRDefault="0089511D" w:rsidP="00C7303E">
      <w:r w:rsidRPr="00E747E0">
        <w:t>Results for children are age</w:t>
      </w:r>
      <w:r>
        <w:t>-</w:t>
      </w:r>
      <w:r w:rsidRPr="00E747E0">
        <w:t>standardised to the population younger than 15 years, and results for adults are age</w:t>
      </w:r>
      <w:r>
        <w:t>-</w:t>
      </w:r>
      <w:r w:rsidRPr="00E747E0">
        <w:t>standardised to the population aged 15 years and over.</w:t>
      </w:r>
    </w:p>
    <w:p w:rsidR="0089511D" w:rsidRPr="00CC7E24" w:rsidRDefault="0089511D" w:rsidP="00C7303E"/>
    <w:p w:rsidR="0089511D" w:rsidRPr="00D72108" w:rsidRDefault="0089511D" w:rsidP="00C7303E">
      <w:pPr>
        <w:pStyle w:val="Heading4"/>
      </w:pPr>
      <w:r>
        <w:t>Adjusted r</w:t>
      </w:r>
      <w:r w:rsidRPr="00D72108">
        <w:t>ate ratios</w:t>
      </w:r>
    </w:p>
    <w:p w:rsidR="0089511D" w:rsidRDefault="0089511D" w:rsidP="00C7303E">
      <w:r>
        <w:t xml:space="preserve">NZHS reports also present comparisons between population groups as </w:t>
      </w:r>
      <w:r w:rsidRPr="007F3067">
        <w:rPr>
          <w:b/>
        </w:rPr>
        <w:t>rate ratios</w:t>
      </w:r>
      <w:r>
        <w:t>; that is, as the ratio of the prevalence estimates of the two groups.</w:t>
      </w:r>
    </w:p>
    <w:p w:rsidR="0089511D" w:rsidRDefault="0089511D" w:rsidP="00C7303E"/>
    <w:p w:rsidR="0089511D" w:rsidRPr="00302221" w:rsidRDefault="0089511D" w:rsidP="00C7303E">
      <w:r>
        <w:t>R</w:t>
      </w:r>
      <w:r w:rsidRPr="00302221">
        <w:t xml:space="preserve">ate ratios </w:t>
      </w:r>
      <w:r>
        <w:t xml:space="preserve">are used </w:t>
      </w:r>
      <w:r w:rsidRPr="00302221">
        <w:t>for the following comparisons:</w:t>
      </w:r>
    </w:p>
    <w:p w:rsidR="0089511D" w:rsidRPr="00302221" w:rsidRDefault="0089511D" w:rsidP="00C7303E">
      <w:pPr>
        <w:pStyle w:val="Bullet"/>
      </w:pPr>
      <w:r w:rsidRPr="00302221">
        <w:t>men and women</w:t>
      </w:r>
    </w:p>
    <w:p w:rsidR="0089511D" w:rsidRPr="00302221" w:rsidRDefault="0089511D" w:rsidP="00C7303E">
      <w:pPr>
        <w:pStyle w:val="Bullet"/>
      </w:pPr>
      <w:r w:rsidRPr="00302221">
        <w:t xml:space="preserve">Māori and non-Māori (for </w:t>
      </w:r>
      <w:r>
        <w:t xml:space="preserve">the </w:t>
      </w:r>
      <w:r w:rsidRPr="00302221">
        <w:t>total</w:t>
      </w:r>
      <w:r>
        <w:t xml:space="preserve"> population</w:t>
      </w:r>
      <w:r w:rsidRPr="00302221">
        <w:t>, men</w:t>
      </w:r>
      <w:r>
        <w:t xml:space="preserve"> and</w:t>
      </w:r>
      <w:r w:rsidRPr="00302221">
        <w:t xml:space="preserve"> women)</w:t>
      </w:r>
    </w:p>
    <w:p w:rsidR="0089511D" w:rsidRPr="00302221" w:rsidRDefault="0089511D" w:rsidP="00C7303E">
      <w:pPr>
        <w:pStyle w:val="Bullet"/>
      </w:pPr>
      <w:r w:rsidRPr="00302221">
        <w:t xml:space="preserve">Pacific and non-Pacific (for </w:t>
      </w:r>
      <w:r>
        <w:t xml:space="preserve">the </w:t>
      </w:r>
      <w:r w:rsidRPr="00302221">
        <w:t>total</w:t>
      </w:r>
      <w:r>
        <w:t xml:space="preserve"> population</w:t>
      </w:r>
      <w:r w:rsidRPr="00302221">
        <w:t>, men</w:t>
      </w:r>
      <w:r>
        <w:t xml:space="preserve"> and</w:t>
      </w:r>
      <w:r w:rsidRPr="00302221">
        <w:t xml:space="preserve"> women)</w:t>
      </w:r>
    </w:p>
    <w:p w:rsidR="0089511D" w:rsidRDefault="0089511D" w:rsidP="00C7303E">
      <w:pPr>
        <w:pStyle w:val="Bullet"/>
      </w:pPr>
      <w:r w:rsidRPr="00302221">
        <w:t xml:space="preserve">Asian and non-Asian (for </w:t>
      </w:r>
      <w:r>
        <w:t xml:space="preserve">the </w:t>
      </w:r>
      <w:r w:rsidRPr="00302221">
        <w:t>total</w:t>
      </w:r>
      <w:r>
        <w:t xml:space="preserve"> population</w:t>
      </w:r>
      <w:r w:rsidRPr="00302221">
        <w:t>, men</w:t>
      </w:r>
      <w:r>
        <w:t xml:space="preserve"> and</w:t>
      </w:r>
      <w:r w:rsidRPr="00302221">
        <w:t xml:space="preserve"> women)</w:t>
      </w:r>
    </w:p>
    <w:p w:rsidR="0089511D" w:rsidRPr="00302221" w:rsidRDefault="0089511D" w:rsidP="00C7303E">
      <w:pPr>
        <w:pStyle w:val="Bullet"/>
      </w:pPr>
      <w:proofErr w:type="gramStart"/>
      <w:r w:rsidRPr="00302221">
        <w:t>people</w:t>
      </w:r>
      <w:proofErr w:type="gramEnd"/>
      <w:r w:rsidRPr="00302221">
        <w:t xml:space="preserve"> living in the most and least </w:t>
      </w:r>
      <w:r>
        <w:t xml:space="preserve">socioeconomically </w:t>
      </w:r>
      <w:r w:rsidRPr="00302221">
        <w:t>deprived areas.</w:t>
      </w:r>
    </w:p>
    <w:p w:rsidR="0089511D" w:rsidRDefault="0089511D" w:rsidP="00C7303E"/>
    <w:p w:rsidR="00095D83" w:rsidRDefault="0089511D" w:rsidP="00C7303E">
      <w:r>
        <w:rPr>
          <w:rFonts w:eastAsia="Cambria"/>
          <w:lang w:eastAsia="en-US"/>
        </w:rPr>
        <w:t xml:space="preserve">In keeping with the use of total response ethnicity to present </w:t>
      </w:r>
      <w:proofErr w:type="spellStart"/>
      <w:r>
        <w:rPr>
          <w:rFonts w:eastAsia="Cambria"/>
          <w:lang w:eastAsia="en-US"/>
        </w:rPr>
        <w:t>prevalences</w:t>
      </w:r>
      <w:proofErr w:type="spellEnd"/>
      <w:r>
        <w:rPr>
          <w:rFonts w:eastAsia="Cambria"/>
          <w:lang w:eastAsia="en-US"/>
        </w:rPr>
        <w:t xml:space="preserve"> by ethnic group, </w:t>
      </w:r>
      <w:r w:rsidRPr="00E747E0">
        <w:t>ethnic comparisons are presented such that M</w:t>
      </w:r>
      <w:r>
        <w:t>ā</w:t>
      </w:r>
      <w:r w:rsidRPr="00E747E0">
        <w:t>ori are compared with non-M</w:t>
      </w:r>
      <w:r>
        <w:t>ā</w:t>
      </w:r>
      <w:r w:rsidRPr="00E747E0">
        <w:t>ori, Pacific with non-Pacific and Asian with non-Asian. For this purpose, all respondents who identified as M</w:t>
      </w:r>
      <w:r>
        <w:t>ā</w:t>
      </w:r>
      <w:r w:rsidRPr="00E747E0">
        <w:t>ori are included in the M</w:t>
      </w:r>
      <w:r>
        <w:t>ā</w:t>
      </w:r>
      <w:r w:rsidRPr="00E747E0">
        <w:t>ori group; all other respondents are included in the non-M</w:t>
      </w:r>
      <w:r>
        <w:t>ā</w:t>
      </w:r>
      <w:r w:rsidRPr="00E747E0">
        <w:t>ori group. Similar groups are formed for Pacific and Asian ethnic groups.</w:t>
      </w:r>
    </w:p>
    <w:p w:rsidR="0089511D" w:rsidRPr="00302221" w:rsidRDefault="0089511D" w:rsidP="00C7303E"/>
    <w:p w:rsidR="0089511D" w:rsidRDefault="0089511D" w:rsidP="00C7303E">
      <w:r>
        <w:t xml:space="preserve">Rate ratios </w:t>
      </w:r>
      <w:r w:rsidRPr="00CC7E24">
        <w:t>can be interpreted in the following way</w:t>
      </w:r>
      <w:r>
        <w:t>.</w:t>
      </w:r>
    </w:p>
    <w:p w:rsidR="0089511D" w:rsidRPr="00CC7E24" w:rsidRDefault="0089511D" w:rsidP="00C7303E">
      <w:pPr>
        <w:pStyle w:val="Bullet"/>
      </w:pPr>
      <w:r w:rsidRPr="00CC7E24">
        <w:t xml:space="preserve">A value of 1 </w:t>
      </w:r>
      <w:proofErr w:type="gramStart"/>
      <w:r w:rsidRPr="00CC7E24">
        <w:t>shows</w:t>
      </w:r>
      <w:proofErr w:type="gramEnd"/>
      <w:r w:rsidRPr="00CC7E24">
        <w:t xml:space="preserve"> that there is no difference</w:t>
      </w:r>
      <w:r>
        <w:t xml:space="preserve"> in prevalence</w:t>
      </w:r>
      <w:r w:rsidRPr="00CC7E24">
        <w:t xml:space="preserve"> between the group of interest (</w:t>
      </w:r>
      <w:proofErr w:type="spellStart"/>
      <w:r w:rsidRPr="00CC7E24">
        <w:t>eg</w:t>
      </w:r>
      <w:proofErr w:type="spellEnd"/>
      <w:r>
        <w:t>,</w:t>
      </w:r>
      <w:r w:rsidRPr="00CC7E24">
        <w:t xml:space="preserve"> men) and the reference group (</w:t>
      </w:r>
      <w:proofErr w:type="spellStart"/>
      <w:r w:rsidRPr="00CC7E24">
        <w:t>eg</w:t>
      </w:r>
      <w:proofErr w:type="spellEnd"/>
      <w:r>
        <w:t>,</w:t>
      </w:r>
      <w:r w:rsidRPr="00CC7E24">
        <w:t xml:space="preserve"> women)</w:t>
      </w:r>
      <w:r>
        <w:t>.</w:t>
      </w:r>
    </w:p>
    <w:p w:rsidR="0089511D" w:rsidRPr="00CC7E24" w:rsidRDefault="0089511D" w:rsidP="00C7303E">
      <w:pPr>
        <w:pStyle w:val="Bullet"/>
      </w:pPr>
      <w:r w:rsidRPr="00CC7E24">
        <w:t xml:space="preserve">A value higher than 1 </w:t>
      </w:r>
      <w:r>
        <w:t>shows</w:t>
      </w:r>
      <w:r w:rsidRPr="00CC7E24">
        <w:t xml:space="preserve"> that the </w:t>
      </w:r>
      <w:r>
        <w:t>prevalence</w:t>
      </w:r>
      <w:r w:rsidRPr="00CC7E24">
        <w:t xml:space="preserve"> is higher for the group of interest than </w:t>
      </w:r>
      <w:r>
        <w:t xml:space="preserve">for </w:t>
      </w:r>
      <w:r w:rsidRPr="00CC7E24">
        <w:t>the reference group.</w:t>
      </w:r>
    </w:p>
    <w:p w:rsidR="0089511D" w:rsidRPr="00CC7E24" w:rsidRDefault="0089511D" w:rsidP="00C7303E">
      <w:pPr>
        <w:pStyle w:val="Bullet"/>
      </w:pPr>
      <w:r w:rsidRPr="00CC7E24">
        <w:t xml:space="preserve">A value lower than 1 </w:t>
      </w:r>
      <w:r>
        <w:t>shows</w:t>
      </w:r>
      <w:r w:rsidRPr="00CC7E24">
        <w:t xml:space="preserve"> that the </w:t>
      </w:r>
      <w:r>
        <w:t>prevalence</w:t>
      </w:r>
      <w:r w:rsidRPr="00CC7E24">
        <w:t xml:space="preserve"> is lower for the group of interest than </w:t>
      </w:r>
      <w:r>
        <w:t xml:space="preserve">for </w:t>
      </w:r>
      <w:r w:rsidRPr="00CC7E24">
        <w:t>the reference group.</w:t>
      </w:r>
    </w:p>
    <w:p w:rsidR="0089511D" w:rsidRDefault="0089511D" w:rsidP="00C7303E"/>
    <w:p w:rsidR="0089511D" w:rsidRPr="001B000C" w:rsidRDefault="0089511D" w:rsidP="00C7303E">
      <w:pPr>
        <w:rPr>
          <w:rFonts w:eastAsia="Calibri"/>
          <w:lang w:eastAsia="en-US"/>
        </w:rPr>
      </w:pPr>
      <w:r w:rsidRPr="001B000C">
        <w:rPr>
          <w:rFonts w:eastAsia="Calibri"/>
          <w:lang w:eastAsia="en-US"/>
        </w:rPr>
        <w:lastRenderedPageBreak/>
        <w:t>The rate ratios presented in NZHS reports are adjusted for differences in demographic factors between the groups being compared that may be influencing (confounding) the comparison</w:t>
      </w:r>
      <w:r>
        <w:rPr>
          <w:rFonts w:eastAsia="Calibri"/>
          <w:lang w:eastAsia="en-US"/>
        </w:rPr>
        <w:t>.</w:t>
      </w:r>
    </w:p>
    <w:p w:rsidR="0089511D" w:rsidRPr="00D72108" w:rsidRDefault="0089511D" w:rsidP="00C7303E">
      <w:pPr>
        <w:pStyle w:val="Bullet"/>
        <w:rPr>
          <w:rFonts w:eastAsia="Calibri"/>
          <w:lang w:eastAsia="en-US"/>
        </w:rPr>
      </w:pPr>
      <w:r w:rsidRPr="00D72108">
        <w:rPr>
          <w:rFonts w:eastAsia="Calibri"/>
          <w:lang w:eastAsia="en-US"/>
        </w:rPr>
        <w:t>The sex comparison is adjusted for age</w:t>
      </w:r>
      <w:r>
        <w:rPr>
          <w:rFonts w:eastAsia="Calibri"/>
          <w:lang w:eastAsia="en-US"/>
        </w:rPr>
        <w:t>.</w:t>
      </w:r>
    </w:p>
    <w:p w:rsidR="0089511D" w:rsidRPr="00D72108" w:rsidRDefault="0089511D" w:rsidP="00C7303E">
      <w:pPr>
        <w:pStyle w:val="Bullet"/>
        <w:rPr>
          <w:rFonts w:eastAsia="Calibri"/>
          <w:lang w:eastAsia="en-US"/>
        </w:rPr>
      </w:pPr>
      <w:r w:rsidRPr="00D72108">
        <w:rPr>
          <w:rFonts w:eastAsia="Calibri"/>
          <w:lang w:eastAsia="en-US"/>
        </w:rPr>
        <w:t>The ethnic comparisons are adjusted for age and sex</w:t>
      </w:r>
      <w:r>
        <w:rPr>
          <w:rFonts w:eastAsia="Calibri"/>
          <w:lang w:eastAsia="en-US"/>
        </w:rPr>
        <w:t>.</w:t>
      </w:r>
    </w:p>
    <w:p w:rsidR="0089511D" w:rsidRDefault="0089511D" w:rsidP="00C7303E">
      <w:pPr>
        <w:pStyle w:val="Bullet"/>
        <w:rPr>
          <w:rFonts w:eastAsia="Calibri"/>
          <w:lang w:eastAsia="en-US"/>
        </w:rPr>
      </w:pPr>
      <w:r w:rsidRPr="00D72108">
        <w:rPr>
          <w:rFonts w:eastAsia="Calibri"/>
          <w:lang w:eastAsia="en-US"/>
        </w:rPr>
        <w:t xml:space="preserve">The deprivation comparison </w:t>
      </w:r>
      <w:r>
        <w:rPr>
          <w:rFonts w:eastAsia="Calibri"/>
          <w:lang w:eastAsia="en-US"/>
        </w:rPr>
        <w:t>is</w:t>
      </w:r>
      <w:r w:rsidRPr="00D72108">
        <w:rPr>
          <w:rFonts w:eastAsia="Calibri"/>
          <w:lang w:eastAsia="en-US"/>
        </w:rPr>
        <w:t xml:space="preserve"> adjusted for age, sex and ethnic group</w:t>
      </w:r>
      <w:r>
        <w:rPr>
          <w:rFonts w:eastAsia="Calibri"/>
          <w:lang w:eastAsia="en-US"/>
        </w:rPr>
        <w:t>.</w:t>
      </w:r>
    </w:p>
    <w:p w:rsidR="0089511D" w:rsidRPr="00D72108" w:rsidRDefault="0089511D" w:rsidP="00C7303E">
      <w:pPr>
        <w:rPr>
          <w:rFonts w:eastAsia="Calibri"/>
          <w:lang w:eastAsia="en-US"/>
        </w:rPr>
      </w:pPr>
    </w:p>
    <w:p w:rsidR="0089511D" w:rsidRPr="001B000C" w:rsidRDefault="0089511D" w:rsidP="00C7303E">
      <w:pPr>
        <w:rPr>
          <w:rFonts w:eastAsia="Calibri"/>
          <w:lang w:eastAsia="en-US"/>
        </w:rPr>
      </w:pPr>
      <w:r w:rsidRPr="001B000C">
        <w:rPr>
          <w:rFonts w:eastAsia="Calibri"/>
          <w:lang w:eastAsia="en-US"/>
        </w:rPr>
        <w:t>Adjusting for potential confounding factors makes comparisons more accurate and meaningful, as the adjustment removes the effect of these confounding factors.</w:t>
      </w:r>
    </w:p>
    <w:p w:rsidR="0089511D" w:rsidRPr="001B000C" w:rsidRDefault="0089511D" w:rsidP="00C7303E">
      <w:pPr>
        <w:rPr>
          <w:rFonts w:eastAsia="Calibri"/>
          <w:lang w:eastAsia="en-US"/>
        </w:rPr>
      </w:pPr>
    </w:p>
    <w:p w:rsidR="0089511D" w:rsidRPr="001B000C" w:rsidRDefault="0089511D" w:rsidP="00C7303E">
      <w:pPr>
        <w:rPr>
          <w:rFonts w:eastAsia="Calibri"/>
          <w:lang w:eastAsia="en-US"/>
        </w:rPr>
      </w:pPr>
      <w:r w:rsidRPr="001B000C">
        <w:rPr>
          <w:rFonts w:eastAsia="Calibri"/>
          <w:lang w:eastAsia="en-US"/>
        </w:rPr>
        <w:t>Adjusted rate ratios are calculated using the</w:t>
      </w:r>
      <w:r w:rsidRPr="007F3067">
        <w:rPr>
          <w:rFonts w:eastAsia="Calibri"/>
          <w:b/>
        </w:rPr>
        <w:t xml:space="preserve"> predictive margins</w:t>
      </w:r>
      <w:r>
        <w:rPr>
          <w:rFonts w:eastAsia="Calibri"/>
          <w:lang w:eastAsia="en-US"/>
        </w:rPr>
        <w:t xml:space="preserve"> approach of </w:t>
      </w:r>
      <w:proofErr w:type="spellStart"/>
      <w:r>
        <w:rPr>
          <w:rFonts w:eastAsia="Calibri"/>
          <w:lang w:eastAsia="en-US"/>
        </w:rPr>
        <w:t>Korn</w:t>
      </w:r>
      <w:proofErr w:type="spellEnd"/>
      <w:r>
        <w:rPr>
          <w:rFonts w:eastAsia="Calibri"/>
          <w:lang w:eastAsia="en-US"/>
        </w:rPr>
        <w:t xml:space="preserve"> and </w:t>
      </w:r>
      <w:proofErr w:type="spellStart"/>
      <w:r>
        <w:rPr>
          <w:rFonts w:eastAsia="Calibri"/>
          <w:lang w:eastAsia="en-US"/>
        </w:rPr>
        <w:t>Graubard</w:t>
      </w:r>
      <w:proofErr w:type="spellEnd"/>
      <w:r>
        <w:rPr>
          <w:rFonts w:eastAsia="Calibri"/>
          <w:lang w:eastAsia="en-US"/>
        </w:rPr>
        <w:t xml:space="preserve"> (1999), which</w:t>
      </w:r>
      <w:r w:rsidRPr="001E5ED6">
        <w:rPr>
          <w:rFonts w:eastAsia="Calibri"/>
          <w:lang w:eastAsia="en-US"/>
        </w:rPr>
        <w:t xml:space="preserve"> </w:t>
      </w:r>
      <w:proofErr w:type="spellStart"/>
      <w:r>
        <w:rPr>
          <w:rFonts w:eastAsia="Calibri"/>
          <w:lang w:eastAsia="en-US"/>
        </w:rPr>
        <w:t>Bieler</w:t>
      </w:r>
      <w:proofErr w:type="spellEnd"/>
      <w:r>
        <w:rPr>
          <w:rFonts w:eastAsia="Calibri"/>
          <w:lang w:eastAsia="en-US"/>
        </w:rPr>
        <w:t xml:space="preserve"> et al (2010) call </w:t>
      </w:r>
      <w:r w:rsidRPr="007F3067">
        <w:rPr>
          <w:rFonts w:eastAsia="Calibri"/>
          <w:b/>
        </w:rPr>
        <w:t>model-adjusted risk ratios</w:t>
      </w:r>
      <w:r>
        <w:rPr>
          <w:rFonts w:eastAsia="Calibri"/>
          <w:lang w:eastAsia="en-US"/>
        </w:rPr>
        <w:t>.</w:t>
      </w:r>
    </w:p>
    <w:p w:rsidR="0089511D" w:rsidRPr="001B000C" w:rsidRDefault="0089511D" w:rsidP="00C7303E">
      <w:pPr>
        <w:pStyle w:val="Bullet"/>
        <w:rPr>
          <w:rFonts w:eastAsia="Calibri"/>
          <w:lang w:eastAsia="en-US"/>
        </w:rPr>
      </w:pPr>
      <w:r w:rsidRPr="001B000C">
        <w:rPr>
          <w:rFonts w:eastAsia="Calibri"/>
          <w:lang w:eastAsia="en-US"/>
        </w:rPr>
        <w:t>A statistical model is fitted to the data – a logistic model for a binary outcome or a log-linear regression model when the outcome variable is a count</w:t>
      </w:r>
      <w:r>
        <w:rPr>
          <w:rFonts w:eastAsia="Calibri"/>
          <w:lang w:eastAsia="en-US"/>
        </w:rPr>
        <w:t>. T</w:t>
      </w:r>
      <w:r w:rsidRPr="001B000C">
        <w:rPr>
          <w:rFonts w:eastAsia="Calibri"/>
          <w:lang w:eastAsia="en-US"/>
        </w:rPr>
        <w:t xml:space="preserve">he variable defining the groups to be compared, and the adjustment variables, </w:t>
      </w:r>
      <w:r>
        <w:rPr>
          <w:rFonts w:eastAsia="Calibri"/>
          <w:lang w:eastAsia="en-US"/>
        </w:rPr>
        <w:t>are</w:t>
      </w:r>
      <w:r w:rsidRPr="001B000C">
        <w:rPr>
          <w:rFonts w:eastAsia="Calibri"/>
          <w:lang w:eastAsia="en-US"/>
        </w:rPr>
        <w:t xml:space="preserve"> explanatory variables in the model.</w:t>
      </w:r>
    </w:p>
    <w:p w:rsidR="0089511D" w:rsidRPr="001B000C" w:rsidRDefault="0089511D" w:rsidP="00C7303E">
      <w:pPr>
        <w:pStyle w:val="Bullet"/>
        <w:rPr>
          <w:rFonts w:eastAsia="Calibri"/>
          <w:lang w:eastAsia="en-US"/>
        </w:rPr>
      </w:pPr>
      <w:r w:rsidRPr="001B000C">
        <w:rPr>
          <w:rFonts w:eastAsia="Calibri"/>
          <w:lang w:eastAsia="en-US"/>
        </w:rPr>
        <w:t xml:space="preserve">The parameters of the model are used to estimate the prevalence (or mean) as if all the respondents belong to </w:t>
      </w:r>
      <w:r>
        <w:rPr>
          <w:rFonts w:eastAsia="Calibri"/>
          <w:lang w:eastAsia="en-US"/>
        </w:rPr>
        <w:t>the group of interest</w:t>
      </w:r>
      <w:r w:rsidRPr="001B000C">
        <w:rPr>
          <w:rFonts w:eastAsia="Calibri"/>
          <w:lang w:eastAsia="en-US"/>
        </w:rPr>
        <w:t xml:space="preserve"> (</w:t>
      </w:r>
      <w:proofErr w:type="spellStart"/>
      <w:r w:rsidRPr="001B000C">
        <w:rPr>
          <w:rFonts w:eastAsia="Calibri"/>
          <w:lang w:eastAsia="en-US"/>
        </w:rPr>
        <w:t>eg</w:t>
      </w:r>
      <w:proofErr w:type="spellEnd"/>
      <w:r>
        <w:rPr>
          <w:rFonts w:eastAsia="Calibri"/>
          <w:lang w:eastAsia="en-US"/>
        </w:rPr>
        <w:t>,</w:t>
      </w:r>
      <w:r w:rsidRPr="001B000C">
        <w:rPr>
          <w:rFonts w:eastAsia="Calibri"/>
          <w:lang w:eastAsia="en-US"/>
        </w:rPr>
        <w:t xml:space="preserve"> were all male) but otherwise </w:t>
      </w:r>
      <w:r>
        <w:rPr>
          <w:rFonts w:eastAsia="Calibri"/>
          <w:lang w:eastAsia="en-US"/>
        </w:rPr>
        <w:t>each keeps</w:t>
      </w:r>
      <w:r w:rsidRPr="001B000C">
        <w:rPr>
          <w:rFonts w:eastAsia="Calibri"/>
          <w:lang w:eastAsia="en-US"/>
        </w:rPr>
        <w:t xml:space="preserve"> their own values for the adjustment </w:t>
      </w:r>
      <w:r>
        <w:rPr>
          <w:rFonts w:eastAsia="Calibri"/>
          <w:lang w:eastAsia="en-US"/>
        </w:rPr>
        <w:t>variables</w:t>
      </w:r>
      <w:r w:rsidRPr="001B000C">
        <w:rPr>
          <w:rFonts w:eastAsia="Calibri"/>
          <w:lang w:eastAsia="en-US"/>
        </w:rPr>
        <w:t xml:space="preserve"> in the model (</w:t>
      </w:r>
      <w:proofErr w:type="spellStart"/>
      <w:r w:rsidRPr="001B000C">
        <w:rPr>
          <w:rFonts w:eastAsia="Calibri"/>
          <w:lang w:eastAsia="en-US"/>
        </w:rPr>
        <w:t>eg</w:t>
      </w:r>
      <w:proofErr w:type="spellEnd"/>
      <w:r>
        <w:rPr>
          <w:rFonts w:eastAsia="Calibri"/>
          <w:lang w:eastAsia="en-US"/>
        </w:rPr>
        <w:t>,</w:t>
      </w:r>
      <w:r w:rsidRPr="001B000C">
        <w:rPr>
          <w:rFonts w:eastAsia="Calibri"/>
          <w:lang w:eastAsia="en-US"/>
        </w:rPr>
        <w:t xml:space="preserve"> age).</w:t>
      </w:r>
      <w:r>
        <w:rPr>
          <w:rFonts w:eastAsia="Calibri"/>
          <w:lang w:eastAsia="en-US"/>
        </w:rPr>
        <w:t xml:space="preserve"> That is, the prevalence being estimated is for a population where the distributions of the adjustment variables match the distribution of the respondents, except that everyone belongs to the group of interest.</w:t>
      </w:r>
    </w:p>
    <w:p w:rsidR="0089511D" w:rsidRDefault="0089511D" w:rsidP="00C7303E">
      <w:pPr>
        <w:pStyle w:val="Bullet"/>
        <w:rPr>
          <w:rFonts w:eastAsia="Calibri"/>
          <w:lang w:eastAsia="en-US"/>
        </w:rPr>
      </w:pPr>
      <w:r w:rsidRPr="001B000C">
        <w:rPr>
          <w:rFonts w:eastAsia="Calibri"/>
          <w:lang w:eastAsia="en-US"/>
        </w:rPr>
        <w:t xml:space="preserve">Once the </w:t>
      </w:r>
      <w:r>
        <w:rPr>
          <w:rFonts w:eastAsia="Calibri"/>
          <w:lang w:eastAsia="en-US"/>
        </w:rPr>
        <w:t>model-</w:t>
      </w:r>
      <w:r w:rsidRPr="001B000C">
        <w:rPr>
          <w:rFonts w:eastAsia="Calibri"/>
          <w:lang w:eastAsia="en-US"/>
        </w:rPr>
        <w:t xml:space="preserve">adjusted </w:t>
      </w:r>
      <w:proofErr w:type="spellStart"/>
      <w:r w:rsidRPr="001B000C">
        <w:rPr>
          <w:rFonts w:eastAsia="Calibri"/>
          <w:lang w:eastAsia="en-US"/>
        </w:rPr>
        <w:t>prevalences</w:t>
      </w:r>
      <w:proofErr w:type="spellEnd"/>
      <w:r w:rsidRPr="001B000C">
        <w:rPr>
          <w:rFonts w:eastAsia="Calibri"/>
          <w:lang w:eastAsia="en-US"/>
        </w:rPr>
        <w:t xml:space="preserve"> for the group of interest (</w:t>
      </w:r>
      <w:proofErr w:type="spellStart"/>
      <w:r w:rsidRPr="001B000C">
        <w:rPr>
          <w:rFonts w:eastAsia="Calibri"/>
          <w:lang w:eastAsia="en-US"/>
        </w:rPr>
        <w:t>eg</w:t>
      </w:r>
      <w:proofErr w:type="spellEnd"/>
      <w:r>
        <w:rPr>
          <w:rFonts w:eastAsia="Calibri"/>
          <w:lang w:eastAsia="en-US"/>
        </w:rPr>
        <w:t>,</w:t>
      </w:r>
      <w:r w:rsidRPr="001B000C">
        <w:rPr>
          <w:rFonts w:eastAsia="Calibri"/>
          <w:lang w:eastAsia="en-US"/>
        </w:rPr>
        <w:t xml:space="preserve"> men) and the comparison group (</w:t>
      </w:r>
      <w:proofErr w:type="spellStart"/>
      <w:r w:rsidRPr="001B000C">
        <w:rPr>
          <w:rFonts w:eastAsia="Calibri"/>
          <w:lang w:eastAsia="en-US"/>
        </w:rPr>
        <w:t>eg</w:t>
      </w:r>
      <w:proofErr w:type="spellEnd"/>
      <w:r>
        <w:rPr>
          <w:rFonts w:eastAsia="Calibri"/>
          <w:lang w:eastAsia="en-US"/>
        </w:rPr>
        <w:t>,</w:t>
      </w:r>
      <w:r w:rsidRPr="001B000C">
        <w:rPr>
          <w:rFonts w:eastAsia="Calibri"/>
          <w:lang w:eastAsia="en-US"/>
        </w:rPr>
        <w:t xml:space="preserve"> women) have been estimated in this way, their ratio can be calculated.</w:t>
      </w:r>
    </w:p>
    <w:p w:rsidR="0089511D" w:rsidRDefault="0089511D" w:rsidP="00C7303E">
      <w:pPr>
        <w:rPr>
          <w:rFonts w:eastAsia="Calibri"/>
          <w:lang w:eastAsia="en-US"/>
        </w:rPr>
      </w:pPr>
    </w:p>
    <w:p w:rsidR="0089511D" w:rsidRPr="002A0886" w:rsidRDefault="0089511D" w:rsidP="00C7303E">
      <w:r w:rsidRPr="002A0886">
        <w:t xml:space="preserve">In the neighbourhood deprivation comparisons, the rate ratio refers to the </w:t>
      </w:r>
      <w:r w:rsidRPr="007F3067">
        <w:rPr>
          <w:b/>
        </w:rPr>
        <w:t xml:space="preserve">relative index of inequality </w:t>
      </w:r>
      <w:r w:rsidRPr="002A0886">
        <w:t>(Hayes and Barry 2002). This measure is used instead of simply comparing the most deprived quintile with the least deprived quintile</w:t>
      </w:r>
      <w:r>
        <w:t>. It</w:t>
      </w:r>
      <w:r w:rsidRPr="002A0886">
        <w:t xml:space="preserve"> is calculated by first using data from all quintiles to calculate a line of best fit (regression line), adjusted for age group, sex and ethnic group. The</w:t>
      </w:r>
      <w:r w:rsidRPr="002A0886">
        <w:rPr>
          <w:rFonts w:cs="Arial"/>
          <w:szCs w:val="24"/>
        </w:rPr>
        <w:t xml:space="preserve"> points on the </w:t>
      </w:r>
      <w:r w:rsidRPr="002A0886">
        <w:t>regression line corresponding to the most and least deprived areas are used to calculate the rate ratio that is presented in the reports. This method has the advantage of using data from all the NZDep2013 quintiles to give an overall test for trend (gradient) by neighbourhood deprivation, rather than only using the data from quintiles 1 and 5.</w:t>
      </w:r>
    </w:p>
    <w:p w:rsidR="0089511D" w:rsidRPr="002A0886" w:rsidRDefault="0089511D" w:rsidP="00C7303E"/>
    <w:p w:rsidR="00095D83" w:rsidRDefault="0089511D" w:rsidP="00C7303E">
      <w:r w:rsidRPr="002A0886">
        <w:rPr>
          <w:rFonts w:eastAsia="Calibri"/>
          <w:lang w:eastAsia="en-US"/>
        </w:rPr>
        <w:t xml:space="preserve">While total response ethnicity is used to report ethnic group statistics in the NZHS reports, a prioritised ethnicity variable is used when adjusting for ethnicity in the regression models. </w:t>
      </w:r>
      <w:r w:rsidRPr="002A0886">
        <w:t>Using prioritised ethnicity in the models simplifies the modelling process and gives results similar to including total response ethnicity variables in the models.</w:t>
      </w:r>
      <w:r w:rsidRPr="002A0886">
        <w:rPr>
          <w:rFonts w:eastAsia="Calibri"/>
          <w:lang w:eastAsia="en-US"/>
        </w:rPr>
        <w:t xml:space="preserve"> The priority ordering of ethnic groups used is: </w:t>
      </w:r>
      <w:r w:rsidRPr="002A0886">
        <w:t>Māori, Pacific, Asian, European/Other.</w:t>
      </w:r>
    </w:p>
    <w:p w:rsidR="0089511D" w:rsidRPr="00D72108" w:rsidRDefault="0089511D" w:rsidP="00C7303E"/>
    <w:p w:rsidR="0089511D" w:rsidRPr="00CC7E24" w:rsidRDefault="0089511D" w:rsidP="00C7303E">
      <w:pPr>
        <w:pStyle w:val="Heading2"/>
      </w:pPr>
      <w:bookmarkStart w:id="185" w:name="_Toc335133124"/>
      <w:bookmarkStart w:id="186" w:name="_Toc339270034"/>
      <w:bookmarkStart w:id="187" w:name="_Toc434934534"/>
      <w:bookmarkStart w:id="188" w:name="_Toc435643028"/>
      <w:r w:rsidRPr="00CC7E24">
        <w:lastRenderedPageBreak/>
        <w:t>Confidence intervals</w:t>
      </w:r>
      <w:bookmarkEnd w:id="185"/>
      <w:bookmarkEnd w:id="186"/>
      <w:r>
        <w:t xml:space="preserve"> and statistical tests</w:t>
      </w:r>
      <w:bookmarkEnd w:id="187"/>
      <w:bookmarkEnd w:id="188"/>
    </w:p>
    <w:p w:rsidR="0089511D" w:rsidRDefault="0089511D" w:rsidP="00C7303E">
      <w:pPr>
        <w:keepNext/>
      </w:pPr>
      <w:r w:rsidRPr="00CC7E24">
        <w:t xml:space="preserve">Ninety-five percent confidence intervals are used </w:t>
      </w:r>
      <w:r>
        <w:t xml:space="preserve">in NZHS reports </w:t>
      </w:r>
      <w:r w:rsidRPr="00CC7E24">
        <w:t>to represent the sampl</w:t>
      </w:r>
      <w:r>
        <w:t>ing</w:t>
      </w:r>
      <w:r w:rsidRPr="00CC7E24">
        <w:t xml:space="preserve"> error </w:t>
      </w:r>
      <w:r>
        <w:t>associated with the statistics; that is, the uncertainty due to selecting a sample to estimate values for the entire population</w:t>
      </w:r>
      <w:r w:rsidRPr="00CC7E24">
        <w:t xml:space="preserve">. </w:t>
      </w:r>
      <w:r>
        <w:t>A 95 percent confidence interval for a statistic is constructed in such a way that, under a hypothetical scenario where selecting the sample could be repeated many times, 95 percent of the confidence intervals constructed in this way would contain the true population value.</w:t>
      </w:r>
    </w:p>
    <w:p w:rsidR="0089511D" w:rsidRDefault="0089511D" w:rsidP="00C7303E">
      <w:pPr>
        <w:keepNext/>
      </w:pPr>
    </w:p>
    <w:p w:rsidR="0089511D" w:rsidRPr="00CC7E24" w:rsidRDefault="0089511D" w:rsidP="00C7303E">
      <w:pPr>
        <w:pStyle w:val="Heading3"/>
      </w:pPr>
      <w:r w:rsidRPr="00CC7E24">
        <w:t>Calculation of confidence intervals</w:t>
      </w:r>
    </w:p>
    <w:p w:rsidR="0089511D" w:rsidRDefault="0089511D" w:rsidP="00C7303E">
      <w:pPr>
        <w:keepNext/>
        <w:rPr>
          <w:rFonts w:eastAsia="Cambria"/>
          <w:lang w:eastAsia="en-US"/>
        </w:rPr>
      </w:pPr>
      <w:r>
        <w:rPr>
          <w:rFonts w:eastAsia="Cambria"/>
          <w:lang w:eastAsia="en-US"/>
        </w:rPr>
        <w:t>In most cases, confidence intervals presented in NZHS reports are calculated using the usual normal approximation. The upper and lower limits of the 95 percent confidence interval are found by:</w:t>
      </w:r>
    </w:p>
    <w:p w:rsidR="0089511D" w:rsidRDefault="0089511D" w:rsidP="00C7303E">
      <w:pPr>
        <w:spacing w:before="120"/>
        <w:ind w:left="567"/>
        <w:rPr>
          <w:rFonts w:eastAsia="Cambria"/>
          <w:lang w:eastAsia="en-US"/>
        </w:rPr>
      </w:pPr>
      <w:proofErr w:type="gramStart"/>
      <w:r>
        <w:rPr>
          <w:rFonts w:eastAsia="Cambria"/>
          <w:lang w:eastAsia="en-US"/>
        </w:rPr>
        <w:t>estimate</w:t>
      </w:r>
      <w:proofErr w:type="gramEnd"/>
      <w:r>
        <w:rPr>
          <w:rFonts w:eastAsia="Cambria"/>
          <w:lang w:eastAsia="en-US"/>
        </w:rPr>
        <w:t xml:space="preserve"> ± 1.96 x standard error of the estimate.</w:t>
      </w:r>
    </w:p>
    <w:p w:rsidR="0089511D" w:rsidRDefault="0089511D" w:rsidP="00C7303E">
      <w:pPr>
        <w:rPr>
          <w:rFonts w:eastAsia="Cambria"/>
          <w:lang w:eastAsia="en-US"/>
        </w:rPr>
      </w:pPr>
    </w:p>
    <w:p w:rsidR="0089511D" w:rsidRPr="00CC7E24" w:rsidRDefault="0089511D" w:rsidP="00C7303E">
      <w:pPr>
        <w:rPr>
          <w:rFonts w:eastAsia="Cambria"/>
          <w:lang w:eastAsia="en-US"/>
        </w:rPr>
      </w:pPr>
      <w:r>
        <w:rPr>
          <w:rFonts w:eastAsia="Cambria"/>
          <w:lang w:eastAsia="en-US"/>
        </w:rPr>
        <w:t>However, c</w:t>
      </w:r>
      <w:r w:rsidRPr="00CC7E24">
        <w:rPr>
          <w:rFonts w:eastAsia="Cambria"/>
          <w:lang w:eastAsia="en-US"/>
        </w:rPr>
        <w:t xml:space="preserve">onfidence intervals based on </w:t>
      </w:r>
      <w:r>
        <w:rPr>
          <w:rFonts w:eastAsia="Cambria"/>
          <w:lang w:eastAsia="en-US"/>
        </w:rPr>
        <w:t xml:space="preserve">the </w:t>
      </w:r>
      <w:r w:rsidRPr="00CC7E24">
        <w:rPr>
          <w:rFonts w:eastAsia="Cambria"/>
          <w:lang w:eastAsia="en-US"/>
        </w:rPr>
        <w:t xml:space="preserve">normal approximation </w:t>
      </w:r>
      <w:r>
        <w:rPr>
          <w:rFonts w:eastAsia="Cambria"/>
          <w:lang w:eastAsia="en-US"/>
        </w:rPr>
        <w:t xml:space="preserve">sometimes </w:t>
      </w:r>
      <w:r w:rsidRPr="00CC7E24">
        <w:rPr>
          <w:rFonts w:eastAsia="Cambria"/>
          <w:lang w:eastAsia="en-US"/>
        </w:rPr>
        <w:t xml:space="preserve">do not work well when estimating small proportions. </w:t>
      </w:r>
      <w:r>
        <w:rPr>
          <w:rFonts w:eastAsia="Cambria"/>
          <w:lang w:eastAsia="en-US"/>
        </w:rPr>
        <w:t>In these cases</w:t>
      </w:r>
      <w:r w:rsidRPr="00CC7E24">
        <w:rPr>
          <w:rFonts w:eastAsia="Cambria"/>
          <w:lang w:eastAsia="en-US"/>
        </w:rPr>
        <w:t>, the symmetric</w:t>
      </w:r>
      <w:r>
        <w:rPr>
          <w:rFonts w:eastAsia="Cambria"/>
          <w:lang w:eastAsia="en-US"/>
        </w:rPr>
        <w:t>al</w:t>
      </w:r>
      <w:r w:rsidRPr="00CC7E24">
        <w:rPr>
          <w:rFonts w:eastAsia="Cambria"/>
          <w:lang w:eastAsia="en-US"/>
        </w:rPr>
        <w:t xml:space="preserve"> behaviour of these</w:t>
      </w:r>
      <w:r>
        <w:rPr>
          <w:rFonts w:eastAsia="Cambria"/>
          <w:lang w:eastAsia="en-US"/>
        </w:rPr>
        <w:t xml:space="preserve"> normal</w:t>
      </w:r>
      <w:r w:rsidRPr="00CC7E24">
        <w:rPr>
          <w:rFonts w:eastAsia="Cambria"/>
          <w:lang w:eastAsia="en-US"/>
        </w:rPr>
        <w:t xml:space="preserve"> confidence intervals can be unrealistic and can even lead to confidence intervals containing negative values.</w:t>
      </w:r>
    </w:p>
    <w:p w:rsidR="0089511D" w:rsidRPr="00CC7E24" w:rsidRDefault="0089511D" w:rsidP="00C7303E">
      <w:pPr>
        <w:rPr>
          <w:rFonts w:eastAsia="Cambria"/>
          <w:lang w:eastAsia="en-US"/>
        </w:rPr>
      </w:pPr>
    </w:p>
    <w:p w:rsidR="0089511D" w:rsidRPr="00CC7E24" w:rsidRDefault="0089511D" w:rsidP="00C7303E">
      <w:pPr>
        <w:rPr>
          <w:rFonts w:eastAsia="Cambria" w:cs="Arial"/>
          <w:szCs w:val="24"/>
          <w:lang w:eastAsia="en-US"/>
        </w:rPr>
      </w:pPr>
      <w:r>
        <w:rPr>
          <w:rFonts w:eastAsia="Cambria"/>
          <w:lang w:eastAsia="en-US"/>
        </w:rPr>
        <w:t>T</w:t>
      </w:r>
      <w:r w:rsidRPr="00CC7E24">
        <w:rPr>
          <w:rFonts w:eastAsia="Cambria"/>
          <w:lang w:eastAsia="en-US"/>
        </w:rPr>
        <w:t xml:space="preserve">he </w:t>
      </w:r>
      <w:proofErr w:type="spellStart"/>
      <w:r w:rsidRPr="00CC7E24">
        <w:rPr>
          <w:rFonts w:eastAsia="Cambria"/>
          <w:lang w:eastAsia="en-US"/>
        </w:rPr>
        <w:t>Korn</w:t>
      </w:r>
      <w:proofErr w:type="spellEnd"/>
      <w:r w:rsidRPr="00CC7E24">
        <w:rPr>
          <w:rFonts w:eastAsia="Cambria"/>
          <w:lang w:eastAsia="en-US"/>
        </w:rPr>
        <w:t xml:space="preserve"> and </w:t>
      </w:r>
      <w:proofErr w:type="spellStart"/>
      <w:r w:rsidRPr="00CC7E24">
        <w:rPr>
          <w:rFonts w:eastAsia="Cambria"/>
          <w:lang w:eastAsia="en-US"/>
        </w:rPr>
        <w:t>Graubard</w:t>
      </w:r>
      <w:proofErr w:type="spellEnd"/>
      <w:r w:rsidRPr="00CC7E24">
        <w:rPr>
          <w:rFonts w:eastAsia="Cambria"/>
          <w:lang w:eastAsia="en-US"/>
        </w:rPr>
        <w:t xml:space="preserve"> (1998) method is used </w:t>
      </w:r>
      <w:r>
        <w:rPr>
          <w:rFonts w:eastAsia="Cambria"/>
          <w:lang w:eastAsia="en-US"/>
        </w:rPr>
        <w:t xml:space="preserve">to calculate more appropriate confidence intervals </w:t>
      </w:r>
      <w:r>
        <w:rPr>
          <w:rFonts w:eastAsia="Cambria" w:cs="Arial"/>
          <w:szCs w:val="24"/>
          <w:lang w:eastAsia="en-US"/>
        </w:rPr>
        <w:t>in any of the following circumstances</w:t>
      </w:r>
      <w:r w:rsidRPr="00CC7E24">
        <w:rPr>
          <w:rFonts w:eastAsia="Cambria" w:cs="Arial"/>
          <w:szCs w:val="24"/>
          <w:lang w:eastAsia="en-US"/>
        </w:rPr>
        <w:t>:</w:t>
      </w:r>
    </w:p>
    <w:p w:rsidR="0089511D" w:rsidRDefault="0089511D" w:rsidP="00C7303E">
      <w:pPr>
        <w:pStyle w:val="Bullet"/>
      </w:pPr>
      <w:r>
        <w:t xml:space="preserve">the </w:t>
      </w:r>
      <w:r>
        <w:rPr>
          <w:rFonts w:eastAsia="Cambria"/>
          <w:lang w:eastAsia="en-US"/>
        </w:rPr>
        <w:t>prevalence estimate is less than 5 percent or greater than 95 percent</w:t>
      </w:r>
    </w:p>
    <w:p w:rsidR="0089511D" w:rsidRPr="00CC7E24" w:rsidRDefault="0089511D" w:rsidP="00C7303E">
      <w:pPr>
        <w:pStyle w:val="Bullet"/>
      </w:pPr>
      <w:r w:rsidRPr="00CC7E24">
        <w:t xml:space="preserve">the lower confidence interval </w:t>
      </w:r>
      <w:r>
        <w:t xml:space="preserve">limit from the normal approximation </w:t>
      </w:r>
      <w:r w:rsidRPr="00CC7E24">
        <w:t>results in a value less than 0</w:t>
      </w:r>
      <w:r>
        <w:t xml:space="preserve"> percent</w:t>
      </w:r>
    </w:p>
    <w:p w:rsidR="0089511D" w:rsidRDefault="0089511D" w:rsidP="00C7303E">
      <w:pPr>
        <w:pStyle w:val="Bullet"/>
      </w:pPr>
      <w:proofErr w:type="gramStart"/>
      <w:r w:rsidRPr="00CC7E24">
        <w:t>the</w:t>
      </w:r>
      <w:proofErr w:type="gramEnd"/>
      <w:r w:rsidRPr="00CC7E24">
        <w:t xml:space="preserve"> upper confidence interval </w:t>
      </w:r>
      <w:r>
        <w:t xml:space="preserve">limit from the normal approximation </w:t>
      </w:r>
      <w:r w:rsidRPr="00CC7E24">
        <w:t>results in a value greater than 100</w:t>
      </w:r>
      <w:r>
        <w:t xml:space="preserve"> percent.</w:t>
      </w:r>
    </w:p>
    <w:p w:rsidR="0089511D" w:rsidRDefault="0089511D" w:rsidP="00C7303E"/>
    <w:p w:rsidR="0089511D" w:rsidRDefault="0089511D" w:rsidP="00C7303E">
      <w:r>
        <w:t xml:space="preserve">In any of these circumstances, the </w:t>
      </w:r>
      <w:proofErr w:type="spellStart"/>
      <w:r>
        <w:t>Korn</w:t>
      </w:r>
      <w:proofErr w:type="spellEnd"/>
      <w:r>
        <w:t xml:space="preserve"> and </w:t>
      </w:r>
      <w:proofErr w:type="spellStart"/>
      <w:r>
        <w:t>Graubard</w:t>
      </w:r>
      <w:proofErr w:type="spellEnd"/>
      <w:r>
        <w:t xml:space="preserve"> confidence intervals can and should be asymmetrical.</w:t>
      </w:r>
    </w:p>
    <w:p w:rsidR="0089511D" w:rsidRDefault="0089511D" w:rsidP="00C7303E"/>
    <w:p w:rsidR="0089511D" w:rsidRPr="00CC7E24" w:rsidRDefault="0089511D" w:rsidP="00C7303E">
      <w:r>
        <w:t>Confidence intervals for percentiles (</w:t>
      </w:r>
      <w:proofErr w:type="spellStart"/>
      <w:r>
        <w:t>eg</w:t>
      </w:r>
      <w:proofErr w:type="spellEnd"/>
      <w:r>
        <w:t xml:space="preserve">, medians) are calculated using the </w:t>
      </w:r>
      <w:r w:rsidRPr="00CC7E24">
        <w:t xml:space="preserve">Woodruff </w:t>
      </w:r>
      <w:r>
        <w:t>(</w:t>
      </w:r>
      <w:r w:rsidRPr="00CC7E24">
        <w:t>1952)</w:t>
      </w:r>
      <w:r>
        <w:t xml:space="preserve"> method</w:t>
      </w:r>
      <w:r w:rsidRPr="00CC7E24">
        <w:t>.</w:t>
      </w:r>
    </w:p>
    <w:p w:rsidR="0089511D" w:rsidRDefault="0089511D" w:rsidP="00C7303E"/>
    <w:p w:rsidR="0089511D" w:rsidRDefault="0089511D" w:rsidP="00C7303E">
      <w:pPr>
        <w:pStyle w:val="Heading3"/>
      </w:pPr>
      <w:r>
        <w:t>Tests for statistically significant differences</w:t>
      </w:r>
    </w:p>
    <w:p w:rsidR="0089511D" w:rsidRDefault="0089511D" w:rsidP="00C7303E">
      <w:r>
        <w:t>Some analysts assess whether two estimates differ significantly by seeing whether their confidence intervals overlap or not. This procedure is known to be overly conservative, resulting in a substantial degrading of statistical power, with some significant differences incorrectly assessed as insignificant.</w:t>
      </w:r>
    </w:p>
    <w:p w:rsidR="0089511D" w:rsidRDefault="0089511D" w:rsidP="00C7303E"/>
    <w:p w:rsidR="0089511D" w:rsidRDefault="0089511D" w:rsidP="00C7303E">
      <w:r>
        <w:t xml:space="preserve">If the confidence intervals do not overlap, then it can be concluded that the estimates differ significantly. However, when they do overlap, it is still possible that there is a significant difference. In this case, </w:t>
      </w:r>
      <w:r w:rsidRPr="006B12A7">
        <w:t xml:space="preserve">a </w:t>
      </w:r>
      <w:r w:rsidRPr="00FE3329">
        <w:rPr>
          <w:i/>
        </w:rPr>
        <w:t>t</w:t>
      </w:r>
      <w:r w:rsidRPr="006B12A7">
        <w:t>-test is used</w:t>
      </w:r>
      <w:r>
        <w:t xml:space="preserve"> to correctly test the statistical significance of differences between NZHS estimates.</w:t>
      </w:r>
    </w:p>
    <w:p w:rsidR="0089511D" w:rsidRPr="00CC7E24" w:rsidRDefault="0089511D" w:rsidP="00C7303E"/>
    <w:p w:rsidR="0089511D" w:rsidRDefault="0089511D" w:rsidP="00C7303E">
      <w:pPr>
        <w:pStyle w:val="Heading2"/>
        <w:rPr>
          <w:lang w:eastAsia="en-US"/>
        </w:rPr>
      </w:pPr>
      <w:bookmarkStart w:id="189" w:name="_Toc434934535"/>
      <w:bookmarkStart w:id="190" w:name="_Toc435643029"/>
      <w:r w:rsidRPr="00D968B8">
        <w:rPr>
          <w:lang w:eastAsia="en-US"/>
        </w:rPr>
        <w:lastRenderedPageBreak/>
        <w:t>Time trends</w:t>
      </w:r>
      <w:bookmarkEnd w:id="189"/>
      <w:bookmarkEnd w:id="190"/>
    </w:p>
    <w:p w:rsidR="0089511D" w:rsidRPr="001B000C" w:rsidRDefault="0089511D" w:rsidP="00C7303E">
      <w:pPr>
        <w:keepLines/>
        <w:rPr>
          <w:rFonts w:eastAsia="Calibri"/>
          <w:lang w:eastAsia="en-US"/>
        </w:rPr>
      </w:pPr>
      <w:r w:rsidRPr="001B000C">
        <w:rPr>
          <w:rFonts w:eastAsia="Calibri"/>
          <w:lang w:eastAsia="en-US"/>
        </w:rPr>
        <w:t>Where possible, the results of indicators presented in the current report are compared with the corresponding results from the previous years of the continuous NZHS (from 2011/12 onwards) and from the 2006/07 NZHS, to examine whether an indicator shows an increase or</w:t>
      </w:r>
      <w:r>
        <w:rPr>
          <w:rFonts w:eastAsia="Calibri"/>
          <w:lang w:eastAsia="en-US"/>
        </w:rPr>
        <w:t xml:space="preserve"> a</w:t>
      </w:r>
      <w:r w:rsidRPr="001B000C">
        <w:rPr>
          <w:rFonts w:eastAsia="Calibri"/>
          <w:lang w:eastAsia="en-US"/>
        </w:rPr>
        <w:t xml:space="preserve"> decrease. This is referred to as </w:t>
      </w:r>
      <w:r w:rsidR="00095D83">
        <w:rPr>
          <w:rFonts w:eastAsia="Calibri"/>
          <w:lang w:eastAsia="en-US"/>
        </w:rPr>
        <w:t>‘</w:t>
      </w:r>
      <w:r w:rsidRPr="001B000C">
        <w:rPr>
          <w:rFonts w:eastAsia="Calibri"/>
          <w:lang w:eastAsia="en-US"/>
        </w:rPr>
        <w:t>time trends</w:t>
      </w:r>
      <w:r w:rsidR="00095D83">
        <w:rPr>
          <w:rFonts w:eastAsia="Calibri"/>
          <w:lang w:eastAsia="en-US"/>
        </w:rPr>
        <w:t>’</w:t>
      </w:r>
      <w:r w:rsidRPr="001B000C">
        <w:rPr>
          <w:rFonts w:eastAsia="Calibri"/>
          <w:lang w:eastAsia="en-US"/>
        </w:rPr>
        <w:t xml:space="preserve"> in the annual report.</w:t>
      </w:r>
    </w:p>
    <w:p w:rsidR="0089511D" w:rsidRPr="001B000C" w:rsidRDefault="0089511D" w:rsidP="00C7303E">
      <w:pPr>
        <w:rPr>
          <w:rFonts w:eastAsia="Calibri"/>
          <w:lang w:eastAsia="en-US"/>
        </w:rPr>
      </w:pPr>
    </w:p>
    <w:p w:rsidR="0089511D" w:rsidRDefault="0089511D" w:rsidP="00C7303E">
      <w:pPr>
        <w:rPr>
          <w:rFonts w:eastAsia="Calibri"/>
          <w:lang w:eastAsia="en-US"/>
        </w:rPr>
      </w:pPr>
      <w:r w:rsidRPr="001B000C">
        <w:rPr>
          <w:rFonts w:eastAsia="Calibri"/>
          <w:lang w:eastAsia="en-US"/>
        </w:rPr>
        <w:t>Testing the statistical significance of changes over time is based on age-standardised rates.</w:t>
      </w:r>
    </w:p>
    <w:p w:rsidR="00C7303E" w:rsidRPr="00D968B8" w:rsidRDefault="00C7303E" w:rsidP="00C7303E">
      <w:pPr>
        <w:rPr>
          <w:rFonts w:eastAsia="Calibri"/>
          <w:lang w:eastAsia="en-US"/>
        </w:rPr>
      </w:pPr>
    </w:p>
    <w:p w:rsidR="0089511D" w:rsidRDefault="0089511D" w:rsidP="00C7303E">
      <w:pPr>
        <w:pStyle w:val="Heading1"/>
      </w:pPr>
      <w:bookmarkStart w:id="191" w:name="_Toc339270038"/>
      <w:bookmarkEnd w:id="170"/>
      <w:r w:rsidRPr="00CC7E24">
        <w:br w:type="page"/>
      </w:r>
      <w:bookmarkStart w:id="192" w:name="_Toc340501953"/>
      <w:bookmarkStart w:id="193" w:name="_Toc372445573"/>
      <w:bookmarkStart w:id="194" w:name="_Toc403044028"/>
      <w:bookmarkStart w:id="195" w:name="_Toc434934536"/>
      <w:bookmarkStart w:id="196" w:name="_Toc435643030"/>
      <w:r w:rsidRPr="00CC7E24">
        <w:lastRenderedPageBreak/>
        <w:t xml:space="preserve">Section </w:t>
      </w:r>
      <w:r>
        <w:t>9</w:t>
      </w:r>
      <w:r w:rsidRPr="00CC7E24">
        <w:t>: New Zealand Health Survey</w:t>
      </w:r>
      <w:bookmarkEnd w:id="191"/>
      <w:r>
        <w:t xml:space="preserve"> 2014</w:t>
      </w:r>
      <w:r w:rsidRPr="00CC7E24">
        <w:t>/1</w:t>
      </w:r>
      <w:bookmarkEnd w:id="192"/>
      <w:bookmarkEnd w:id="193"/>
      <w:bookmarkEnd w:id="194"/>
      <w:r>
        <w:t>5</w:t>
      </w:r>
      <w:bookmarkEnd w:id="195"/>
      <w:bookmarkEnd w:id="196"/>
    </w:p>
    <w:p w:rsidR="00095D83" w:rsidRDefault="0089511D" w:rsidP="00C7303E">
      <w:r w:rsidRPr="00CC7E24">
        <w:t xml:space="preserve">This section provides some field-related data specific to the data collection </w:t>
      </w:r>
      <w:r>
        <w:t xml:space="preserve">and analysis of the NZHS in 2014/15 </w:t>
      </w:r>
      <w:r w:rsidRPr="00F20E7F">
        <w:t>(year</w:t>
      </w:r>
      <w:r w:rsidRPr="00F203A8">
        <w:t xml:space="preserve"> </w:t>
      </w:r>
      <w:r>
        <w:t>4</w:t>
      </w:r>
      <w:r w:rsidRPr="00F20E7F">
        <w:t xml:space="preserve">). </w:t>
      </w:r>
      <w:r>
        <w:t xml:space="preserve">The </w:t>
      </w:r>
      <w:r w:rsidRPr="00F20E7F">
        <w:t>Appendix</w:t>
      </w:r>
      <w:r>
        <w:t xml:space="preserve"> contains some information on a past NZHS carried out in 2006/07.</w:t>
      </w:r>
    </w:p>
    <w:p w:rsidR="0089511D" w:rsidRPr="00CC7E24" w:rsidRDefault="0089511D" w:rsidP="00C7303E"/>
    <w:p w:rsidR="0089511D" w:rsidRPr="00CC7E24" w:rsidRDefault="0089511D" w:rsidP="00C7303E">
      <w:pPr>
        <w:pStyle w:val="Heading2"/>
      </w:pPr>
      <w:bookmarkStart w:id="197" w:name="_Toc340501954"/>
      <w:bookmarkStart w:id="198" w:name="_Toc372445574"/>
      <w:bookmarkStart w:id="199" w:name="_Toc403044029"/>
      <w:bookmarkStart w:id="200" w:name="_Toc434934537"/>
      <w:bookmarkStart w:id="201" w:name="_Toc435643031"/>
      <w:r>
        <w:t>2014/15</w:t>
      </w:r>
      <w:r w:rsidRPr="00CC7E24">
        <w:t xml:space="preserve"> NZHS module</w:t>
      </w:r>
      <w:bookmarkEnd w:id="197"/>
      <w:bookmarkEnd w:id="198"/>
      <w:bookmarkEnd w:id="199"/>
      <w:r>
        <w:t>s</w:t>
      </w:r>
      <w:bookmarkEnd w:id="200"/>
      <w:bookmarkEnd w:id="201"/>
    </w:p>
    <w:p w:rsidR="0089511D" w:rsidRPr="00CC7E24" w:rsidRDefault="0089511D" w:rsidP="00C7303E">
      <w:r>
        <w:t>Table 3 outlines the NZHS module topics for 2014/15</w:t>
      </w:r>
      <w:r w:rsidRPr="00CC7E24">
        <w:t>.</w:t>
      </w:r>
    </w:p>
    <w:p w:rsidR="0089511D" w:rsidRPr="00CC7E24" w:rsidRDefault="0089511D" w:rsidP="00C7303E"/>
    <w:p w:rsidR="0089511D" w:rsidRPr="00CC7E24" w:rsidRDefault="0089511D" w:rsidP="00C7303E">
      <w:pPr>
        <w:pStyle w:val="Table"/>
      </w:pPr>
      <w:bookmarkStart w:id="202" w:name="_Ref339287554"/>
      <w:bookmarkStart w:id="203" w:name="_Toc339878414"/>
      <w:bookmarkStart w:id="204" w:name="_Toc372445584"/>
      <w:bookmarkStart w:id="205" w:name="_Toc403044039"/>
      <w:bookmarkStart w:id="206" w:name="_Toc434933608"/>
      <w:bookmarkStart w:id="207" w:name="_Toc435555078"/>
      <w:r w:rsidRPr="00805094">
        <w:t>Table 3</w:t>
      </w:r>
      <w:bookmarkEnd w:id="202"/>
      <w:r w:rsidRPr="00805094">
        <w:t>:</w:t>
      </w:r>
      <w:r w:rsidRPr="00CC7E24">
        <w:t xml:space="preserve"> NZHS module</w:t>
      </w:r>
      <w:r>
        <w:t xml:space="preserve"> topics, 2014</w:t>
      </w:r>
      <w:r w:rsidRPr="00CC7E24">
        <w:t>/1</w:t>
      </w:r>
      <w:bookmarkEnd w:id="203"/>
      <w:bookmarkEnd w:id="204"/>
      <w:bookmarkEnd w:id="205"/>
      <w:r>
        <w:t>5</w:t>
      </w:r>
      <w:bookmarkEnd w:id="206"/>
      <w:bookmarkEnd w:id="207"/>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2835"/>
        <w:gridCol w:w="2835"/>
      </w:tblGrid>
      <w:tr w:rsidR="0089511D" w:rsidRPr="00805094" w:rsidTr="001E4900">
        <w:trPr>
          <w:cantSplit/>
        </w:trPr>
        <w:tc>
          <w:tcPr>
            <w:tcW w:w="2835" w:type="dxa"/>
            <w:tcBorders>
              <w:top w:val="single" w:sz="4" w:space="0" w:color="auto"/>
              <w:bottom w:val="single" w:sz="4" w:space="0" w:color="auto"/>
            </w:tcBorders>
            <w:shd w:val="clear" w:color="auto" w:fill="auto"/>
          </w:tcPr>
          <w:p w:rsidR="0089511D" w:rsidRPr="00805094" w:rsidRDefault="0089511D" w:rsidP="001E4900">
            <w:pPr>
              <w:pStyle w:val="TableText"/>
              <w:rPr>
                <w:b/>
              </w:rPr>
            </w:pPr>
            <w:r w:rsidRPr="00805094">
              <w:rPr>
                <w:b/>
              </w:rPr>
              <w:t>Adult module topics</w:t>
            </w:r>
          </w:p>
        </w:tc>
        <w:tc>
          <w:tcPr>
            <w:tcW w:w="2835" w:type="dxa"/>
            <w:tcBorders>
              <w:top w:val="single" w:sz="4" w:space="0" w:color="auto"/>
              <w:bottom w:val="single" w:sz="4" w:space="0" w:color="auto"/>
            </w:tcBorders>
            <w:shd w:val="clear" w:color="auto" w:fill="auto"/>
          </w:tcPr>
          <w:p w:rsidR="0089511D" w:rsidRPr="00805094" w:rsidRDefault="0089511D" w:rsidP="001E4900">
            <w:pPr>
              <w:pStyle w:val="TableText"/>
              <w:rPr>
                <w:b/>
              </w:rPr>
            </w:pPr>
            <w:r w:rsidRPr="00805094">
              <w:rPr>
                <w:b/>
              </w:rPr>
              <w:t>Child module topics</w:t>
            </w:r>
          </w:p>
        </w:tc>
      </w:tr>
      <w:tr w:rsidR="0089511D" w:rsidRPr="0055576E" w:rsidTr="001E4900">
        <w:trPr>
          <w:cantSplit/>
        </w:trPr>
        <w:tc>
          <w:tcPr>
            <w:tcW w:w="2835" w:type="dxa"/>
            <w:tcBorders>
              <w:top w:val="single" w:sz="4" w:space="0" w:color="auto"/>
            </w:tcBorders>
            <w:shd w:val="clear" w:color="auto" w:fill="auto"/>
          </w:tcPr>
          <w:p w:rsidR="0089511D" w:rsidRDefault="0089511D" w:rsidP="001E4900">
            <w:pPr>
              <w:pStyle w:val="TableText"/>
            </w:pPr>
            <w:r w:rsidRPr="00CC7E24">
              <w:t>Sexual and reproductive health</w:t>
            </w:r>
          </w:p>
          <w:p w:rsidR="0089511D" w:rsidRPr="00942081" w:rsidRDefault="0089511D" w:rsidP="001E4900">
            <w:pPr>
              <w:pStyle w:val="TableText"/>
              <w:rPr>
                <w:highlight w:val="yellow"/>
              </w:rPr>
            </w:pPr>
            <w:r>
              <w:t>Biomedical tests</w:t>
            </w:r>
          </w:p>
        </w:tc>
        <w:tc>
          <w:tcPr>
            <w:tcW w:w="2835" w:type="dxa"/>
            <w:tcBorders>
              <w:top w:val="single" w:sz="4" w:space="0" w:color="auto"/>
            </w:tcBorders>
            <w:shd w:val="clear" w:color="auto" w:fill="auto"/>
          </w:tcPr>
          <w:p w:rsidR="0089511D" w:rsidRPr="00942081" w:rsidRDefault="0089511D" w:rsidP="00C7303E">
            <w:pPr>
              <w:pStyle w:val="TableText"/>
              <w:rPr>
                <w:highlight w:val="yellow"/>
              </w:rPr>
            </w:pPr>
            <w:r w:rsidRPr="003510A6">
              <w:t>Child development</w:t>
            </w:r>
          </w:p>
        </w:tc>
      </w:tr>
    </w:tbl>
    <w:p w:rsidR="0089511D" w:rsidRPr="00CC7E24" w:rsidRDefault="0089511D" w:rsidP="00C7303E"/>
    <w:p w:rsidR="0089511D" w:rsidRDefault="0089511D" w:rsidP="00C7303E">
      <w:r w:rsidRPr="001B000C">
        <w:t xml:space="preserve">The Sexual and </w:t>
      </w:r>
      <w:r>
        <w:t>R</w:t>
      </w:r>
      <w:r w:rsidRPr="001B000C">
        <w:t xml:space="preserve">eproductive </w:t>
      </w:r>
      <w:r>
        <w:t>H</w:t>
      </w:r>
      <w:r w:rsidRPr="001B000C">
        <w:t xml:space="preserve">ealth module was a series of questions asked of all adults in the age group </w:t>
      </w:r>
      <w:r>
        <w:t xml:space="preserve">of </w:t>
      </w:r>
      <w:r w:rsidRPr="001B000C">
        <w:t>16–74 years who were cognitively able and did not require a translator.</w:t>
      </w:r>
    </w:p>
    <w:p w:rsidR="0089511D" w:rsidRPr="001B000C" w:rsidRDefault="0089511D" w:rsidP="00C7303E"/>
    <w:p w:rsidR="00095D83" w:rsidRDefault="0089511D" w:rsidP="00C7303E">
      <w:r w:rsidRPr="001B000C">
        <w:t>A subsample of adult respondents was selected and invited to give blood and urine samples, with the aim of achieving 5000 biomedical tests. The subsample selected included all M</w:t>
      </w:r>
      <w:r>
        <w:t>ā</w:t>
      </w:r>
      <w:r w:rsidRPr="001B000C">
        <w:t>ori</w:t>
      </w:r>
      <w:r>
        <w:t xml:space="preserve"> adults</w:t>
      </w:r>
      <w:r w:rsidRPr="001B000C">
        <w:t xml:space="preserve">, Pacific </w:t>
      </w:r>
      <w:r>
        <w:t xml:space="preserve">adults </w:t>
      </w:r>
      <w:r w:rsidRPr="001B000C">
        <w:t>and pregnant women in the NZHS sample.</w:t>
      </w:r>
    </w:p>
    <w:p w:rsidR="0089511D" w:rsidRPr="00D674A7" w:rsidRDefault="0089511D" w:rsidP="00C7303E">
      <w:pPr>
        <w:rPr>
          <w:highlight w:val="yellow"/>
        </w:rPr>
      </w:pPr>
    </w:p>
    <w:p w:rsidR="0089511D" w:rsidRDefault="0089511D" w:rsidP="00C7303E">
      <w:r w:rsidRPr="00CC7E24">
        <w:t>F</w:t>
      </w:r>
      <w:r>
        <w:t>or f</w:t>
      </w:r>
      <w:r w:rsidRPr="00CC7E24">
        <w:t>urther detail</w:t>
      </w:r>
      <w:r>
        <w:t>s on the questionnaires for 2014/15, see</w:t>
      </w:r>
      <w:r w:rsidRPr="00CC7E24">
        <w:t xml:space="preserve"> the </w:t>
      </w:r>
      <w:r>
        <w:rPr>
          <w:i/>
        </w:rPr>
        <w:t>C</w:t>
      </w:r>
      <w:r w:rsidRPr="00CB6614">
        <w:rPr>
          <w:i/>
        </w:rPr>
        <w:t xml:space="preserve">ontent </w:t>
      </w:r>
      <w:r>
        <w:rPr>
          <w:i/>
        </w:rPr>
        <w:t>G</w:t>
      </w:r>
      <w:r w:rsidRPr="00CB6614">
        <w:rPr>
          <w:i/>
        </w:rPr>
        <w:t>uide</w:t>
      </w:r>
      <w:r>
        <w:rPr>
          <w:i/>
        </w:rPr>
        <w:t xml:space="preserve"> 2014/15</w:t>
      </w:r>
      <w:r w:rsidRPr="00CC7E24">
        <w:t xml:space="preserve"> </w:t>
      </w:r>
      <w:r>
        <w:t>(Ministry of Health 2015b</w:t>
      </w:r>
      <w:r w:rsidRPr="001C6750">
        <w:t>).</w:t>
      </w:r>
      <w:r>
        <w:t xml:space="preserve"> For t</w:t>
      </w:r>
      <w:r w:rsidRPr="00CC7E24">
        <w:t>he survey questionnaire</w:t>
      </w:r>
      <w:r>
        <w:t xml:space="preserve"> itself, go to</w:t>
      </w:r>
      <w:r w:rsidRPr="00CC7E24">
        <w:t xml:space="preserve"> </w:t>
      </w:r>
      <w:hyperlink r:id="rId33" w:history="1">
        <w:r w:rsidRPr="001C6750">
          <w:rPr>
            <w:rStyle w:val="Hyperlink"/>
          </w:rPr>
          <w:t>www.health.govt.nz</w:t>
        </w:r>
      </w:hyperlink>
      <w:r>
        <w:rPr>
          <w:rStyle w:val="Hyperlink"/>
        </w:rPr>
        <w:t xml:space="preserve"> .</w:t>
      </w:r>
    </w:p>
    <w:p w:rsidR="0089511D" w:rsidRPr="00CC7E24" w:rsidRDefault="0089511D" w:rsidP="00C7303E"/>
    <w:p w:rsidR="0089511D" w:rsidRPr="00CC7E24" w:rsidRDefault="0089511D" w:rsidP="00C7303E">
      <w:pPr>
        <w:pStyle w:val="Heading2"/>
        <w:rPr>
          <w:szCs w:val="24"/>
        </w:rPr>
      </w:pPr>
      <w:bookmarkStart w:id="208" w:name="_Toc339270039"/>
      <w:bookmarkStart w:id="209" w:name="_Toc340501955"/>
      <w:bookmarkStart w:id="210" w:name="_Toc372445575"/>
      <w:bookmarkStart w:id="211" w:name="_Toc403044030"/>
      <w:bookmarkStart w:id="212" w:name="_Toc434934538"/>
      <w:bookmarkStart w:id="213" w:name="_Toc435643032"/>
      <w:r w:rsidRPr="00CC7E24">
        <w:t>Data collection</w:t>
      </w:r>
      <w:bookmarkEnd w:id="208"/>
      <w:bookmarkEnd w:id="209"/>
      <w:bookmarkEnd w:id="210"/>
      <w:bookmarkEnd w:id="211"/>
      <w:bookmarkEnd w:id="212"/>
      <w:bookmarkEnd w:id="213"/>
    </w:p>
    <w:p w:rsidR="0089511D" w:rsidRDefault="0089511D" w:rsidP="00C7303E">
      <w:r>
        <w:t>In the second</w:t>
      </w:r>
      <w:r w:rsidRPr="00CC7E24">
        <w:t xml:space="preserve"> year of the </w:t>
      </w:r>
      <w:r>
        <w:t xml:space="preserve">continuous </w:t>
      </w:r>
      <w:r w:rsidRPr="00CC7E24">
        <w:t>NZHS</w:t>
      </w:r>
      <w:r>
        <w:t>, 1 July 2014</w:t>
      </w:r>
      <w:r w:rsidRPr="00CC7E24">
        <w:t xml:space="preserve"> </w:t>
      </w:r>
      <w:r>
        <w:t>to</w:t>
      </w:r>
      <w:r w:rsidRPr="00CC7E24">
        <w:t xml:space="preserve"> 30 June 201</w:t>
      </w:r>
      <w:r>
        <w:t>5, a</w:t>
      </w:r>
      <w:r w:rsidRPr="00CC7E24">
        <w:t xml:space="preserve"> total of </w:t>
      </w:r>
      <w:r>
        <w:t xml:space="preserve">13,497 </w:t>
      </w:r>
      <w:r w:rsidRPr="00CC7E24">
        <w:t xml:space="preserve">adults and </w:t>
      </w:r>
      <w:r>
        <w:t>4754</w:t>
      </w:r>
      <w:r w:rsidRPr="00CC7E24">
        <w:t xml:space="preserve"> children took part in the survey.</w:t>
      </w:r>
      <w:r>
        <w:t xml:space="preserve"> Table 4</w:t>
      </w:r>
      <w:r w:rsidRPr="00CC7E24">
        <w:t xml:space="preserve"> shows the number of </w:t>
      </w:r>
      <w:r>
        <w:t>participants selected in each quarter of 2014/15</w:t>
      </w:r>
      <w:r w:rsidRPr="00CC7E24">
        <w:t>.</w:t>
      </w:r>
    </w:p>
    <w:p w:rsidR="0089511D" w:rsidRPr="00CC7E24" w:rsidRDefault="0089511D" w:rsidP="00C7303E"/>
    <w:p w:rsidR="0089511D" w:rsidRPr="00CC7E24" w:rsidRDefault="0089511D" w:rsidP="00C7303E">
      <w:pPr>
        <w:pStyle w:val="Table"/>
      </w:pPr>
      <w:bookmarkStart w:id="214" w:name="_Ref339268569"/>
      <w:bookmarkStart w:id="215" w:name="_Toc339878415"/>
      <w:bookmarkStart w:id="216" w:name="_Toc372445585"/>
      <w:bookmarkStart w:id="217" w:name="_Toc403044040"/>
      <w:bookmarkStart w:id="218" w:name="_Toc434933609"/>
      <w:bookmarkStart w:id="219" w:name="_Toc435555079"/>
      <w:r w:rsidRPr="00805094">
        <w:t>Table 4</w:t>
      </w:r>
      <w:bookmarkEnd w:id="214"/>
      <w:r w:rsidRPr="00805094">
        <w:t>: Number</w:t>
      </w:r>
      <w:r>
        <w:t xml:space="preserve"> of survey participants, by quarter, 2014</w:t>
      </w:r>
      <w:r w:rsidRPr="00CC7E24">
        <w:t>/1</w:t>
      </w:r>
      <w:bookmarkEnd w:id="215"/>
      <w:bookmarkEnd w:id="216"/>
      <w:bookmarkEnd w:id="217"/>
      <w:r>
        <w:t>5</w:t>
      </w:r>
      <w:bookmarkEnd w:id="218"/>
      <w:bookmarkEnd w:id="219"/>
    </w:p>
    <w:tbl>
      <w:tblPr>
        <w:tblW w:w="0" w:type="auto"/>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402"/>
        <w:gridCol w:w="1276"/>
        <w:gridCol w:w="1701"/>
        <w:gridCol w:w="1276"/>
        <w:gridCol w:w="1701"/>
      </w:tblGrid>
      <w:tr w:rsidR="0089511D" w:rsidRPr="00805094" w:rsidTr="00C7303E">
        <w:trPr>
          <w:cantSplit/>
        </w:trPr>
        <w:tc>
          <w:tcPr>
            <w:tcW w:w="3402" w:type="dxa"/>
            <w:vMerge w:val="restart"/>
            <w:tcBorders>
              <w:top w:val="single" w:sz="4" w:space="0" w:color="auto"/>
              <w:left w:val="nil"/>
              <w:bottom w:val="nil"/>
              <w:right w:val="single" w:sz="4" w:space="0" w:color="A6A6A6"/>
            </w:tcBorders>
            <w:shd w:val="clear" w:color="auto" w:fill="auto"/>
          </w:tcPr>
          <w:p w:rsidR="0089511D" w:rsidRPr="00805094" w:rsidRDefault="0089511D" w:rsidP="001E4900">
            <w:pPr>
              <w:pStyle w:val="TableText"/>
              <w:jc w:val="center"/>
              <w:rPr>
                <w:b/>
              </w:rPr>
            </w:pPr>
          </w:p>
        </w:tc>
        <w:tc>
          <w:tcPr>
            <w:tcW w:w="2977" w:type="dxa"/>
            <w:gridSpan w:val="2"/>
            <w:tcBorders>
              <w:top w:val="single" w:sz="4" w:space="0" w:color="auto"/>
              <w:left w:val="single" w:sz="4" w:space="0" w:color="A6A6A6"/>
              <w:bottom w:val="single" w:sz="4" w:space="0" w:color="A6A6A6"/>
              <w:right w:val="single" w:sz="4" w:space="0" w:color="A6A6A6"/>
            </w:tcBorders>
            <w:shd w:val="clear" w:color="auto" w:fill="auto"/>
          </w:tcPr>
          <w:p w:rsidR="0089511D" w:rsidRPr="00805094" w:rsidRDefault="0089511D" w:rsidP="001E4900">
            <w:pPr>
              <w:pStyle w:val="TableText"/>
              <w:jc w:val="center"/>
              <w:rPr>
                <w:b/>
              </w:rPr>
            </w:pPr>
            <w:r w:rsidRPr="00805094">
              <w:rPr>
                <w:b/>
              </w:rPr>
              <w:t>Adults</w:t>
            </w:r>
          </w:p>
        </w:tc>
        <w:tc>
          <w:tcPr>
            <w:tcW w:w="2977" w:type="dxa"/>
            <w:gridSpan w:val="2"/>
            <w:tcBorders>
              <w:top w:val="single" w:sz="4" w:space="0" w:color="auto"/>
              <w:left w:val="single" w:sz="4" w:space="0" w:color="A6A6A6"/>
              <w:bottom w:val="single" w:sz="4" w:space="0" w:color="A6A6A6"/>
              <w:right w:val="nil"/>
            </w:tcBorders>
            <w:shd w:val="clear" w:color="auto" w:fill="auto"/>
          </w:tcPr>
          <w:p w:rsidR="0089511D" w:rsidRPr="00805094" w:rsidRDefault="0089511D" w:rsidP="001E4900">
            <w:pPr>
              <w:pStyle w:val="TableText"/>
              <w:jc w:val="center"/>
              <w:rPr>
                <w:b/>
              </w:rPr>
            </w:pPr>
            <w:r w:rsidRPr="00805094">
              <w:rPr>
                <w:b/>
              </w:rPr>
              <w:t>Children</w:t>
            </w:r>
          </w:p>
        </w:tc>
      </w:tr>
      <w:tr w:rsidR="0089511D" w:rsidRPr="00805094" w:rsidTr="00C7303E">
        <w:trPr>
          <w:cantSplit/>
        </w:trPr>
        <w:tc>
          <w:tcPr>
            <w:tcW w:w="3402" w:type="dxa"/>
            <w:vMerge/>
            <w:tcBorders>
              <w:top w:val="nil"/>
              <w:left w:val="nil"/>
              <w:bottom w:val="single" w:sz="4" w:space="0" w:color="auto"/>
              <w:right w:val="single" w:sz="4" w:space="0" w:color="A6A6A6"/>
            </w:tcBorders>
            <w:shd w:val="clear" w:color="auto" w:fill="auto"/>
          </w:tcPr>
          <w:p w:rsidR="0089511D" w:rsidRPr="00805094" w:rsidRDefault="0089511D" w:rsidP="001E4900">
            <w:pPr>
              <w:pStyle w:val="TableText"/>
              <w:jc w:val="center"/>
              <w:rPr>
                <w:b/>
              </w:rPr>
            </w:pPr>
          </w:p>
        </w:tc>
        <w:tc>
          <w:tcPr>
            <w:tcW w:w="1276" w:type="dxa"/>
            <w:tcBorders>
              <w:top w:val="single" w:sz="4" w:space="0" w:color="A6A6A6"/>
              <w:left w:val="single" w:sz="4" w:space="0" w:color="A6A6A6"/>
              <w:bottom w:val="single" w:sz="4" w:space="0" w:color="auto"/>
              <w:right w:val="nil"/>
            </w:tcBorders>
            <w:shd w:val="clear" w:color="auto" w:fill="auto"/>
          </w:tcPr>
          <w:p w:rsidR="0089511D" w:rsidRPr="00805094" w:rsidRDefault="0089511D" w:rsidP="001E4900">
            <w:pPr>
              <w:pStyle w:val="TableText"/>
              <w:jc w:val="center"/>
              <w:rPr>
                <w:b/>
              </w:rPr>
            </w:pPr>
            <w:r w:rsidRPr="00805094">
              <w:rPr>
                <w:b/>
              </w:rPr>
              <w:t>Number</w:t>
            </w:r>
          </w:p>
        </w:tc>
        <w:tc>
          <w:tcPr>
            <w:tcW w:w="1701" w:type="dxa"/>
            <w:tcBorders>
              <w:top w:val="single" w:sz="4" w:space="0" w:color="A6A6A6"/>
              <w:left w:val="nil"/>
              <w:bottom w:val="single" w:sz="4" w:space="0" w:color="auto"/>
              <w:right w:val="single" w:sz="4" w:space="0" w:color="A6A6A6"/>
            </w:tcBorders>
            <w:shd w:val="clear" w:color="auto" w:fill="auto"/>
          </w:tcPr>
          <w:p w:rsidR="0089511D" w:rsidRPr="00805094" w:rsidRDefault="0089511D" w:rsidP="001E4900">
            <w:pPr>
              <w:pStyle w:val="TableText"/>
              <w:jc w:val="center"/>
              <w:rPr>
                <w:b/>
              </w:rPr>
            </w:pPr>
            <w:r w:rsidRPr="00805094">
              <w:rPr>
                <w:b/>
              </w:rPr>
              <w:t>Percentage of total participants</w:t>
            </w:r>
          </w:p>
        </w:tc>
        <w:tc>
          <w:tcPr>
            <w:tcW w:w="1276" w:type="dxa"/>
            <w:tcBorders>
              <w:top w:val="single" w:sz="4" w:space="0" w:color="A6A6A6"/>
              <w:left w:val="single" w:sz="4" w:space="0" w:color="A6A6A6"/>
              <w:bottom w:val="single" w:sz="4" w:space="0" w:color="auto"/>
              <w:right w:val="nil"/>
            </w:tcBorders>
            <w:shd w:val="clear" w:color="auto" w:fill="auto"/>
          </w:tcPr>
          <w:p w:rsidR="0089511D" w:rsidRPr="00805094" w:rsidRDefault="0089511D" w:rsidP="001E4900">
            <w:pPr>
              <w:pStyle w:val="TableText"/>
              <w:jc w:val="center"/>
              <w:rPr>
                <w:b/>
              </w:rPr>
            </w:pPr>
            <w:r w:rsidRPr="00805094">
              <w:rPr>
                <w:b/>
              </w:rPr>
              <w:t>Number</w:t>
            </w:r>
          </w:p>
        </w:tc>
        <w:tc>
          <w:tcPr>
            <w:tcW w:w="1701" w:type="dxa"/>
            <w:tcBorders>
              <w:top w:val="single" w:sz="4" w:space="0" w:color="A6A6A6"/>
              <w:left w:val="nil"/>
              <w:bottom w:val="single" w:sz="4" w:space="0" w:color="auto"/>
              <w:right w:val="nil"/>
            </w:tcBorders>
            <w:shd w:val="clear" w:color="auto" w:fill="auto"/>
          </w:tcPr>
          <w:p w:rsidR="0089511D" w:rsidRPr="00805094" w:rsidRDefault="0089511D" w:rsidP="001E4900">
            <w:pPr>
              <w:pStyle w:val="TableText"/>
              <w:jc w:val="center"/>
              <w:rPr>
                <w:b/>
              </w:rPr>
            </w:pPr>
            <w:r w:rsidRPr="00805094">
              <w:rPr>
                <w:b/>
              </w:rPr>
              <w:t>Percentage of total participants</w:t>
            </w:r>
          </w:p>
        </w:tc>
      </w:tr>
      <w:tr w:rsidR="0089511D" w:rsidRPr="00CC7E24" w:rsidTr="00C7303E">
        <w:trPr>
          <w:cantSplit/>
        </w:trPr>
        <w:tc>
          <w:tcPr>
            <w:tcW w:w="3402" w:type="dxa"/>
            <w:tcBorders>
              <w:top w:val="single" w:sz="4" w:space="0" w:color="auto"/>
              <w:left w:val="nil"/>
              <w:bottom w:val="single" w:sz="4" w:space="0" w:color="A6A6A6" w:themeColor="background1" w:themeShade="A6"/>
              <w:right w:val="single" w:sz="4" w:space="0" w:color="A6A6A6"/>
            </w:tcBorders>
            <w:shd w:val="clear" w:color="auto" w:fill="auto"/>
          </w:tcPr>
          <w:p w:rsidR="0089511D" w:rsidRPr="00CC7E24" w:rsidRDefault="0089511D" w:rsidP="001E4900">
            <w:pPr>
              <w:pStyle w:val="TableText"/>
            </w:pPr>
            <w:r>
              <w:t>Quarter 1 (July–September 2014)</w:t>
            </w:r>
          </w:p>
        </w:tc>
        <w:tc>
          <w:tcPr>
            <w:tcW w:w="1276" w:type="dxa"/>
            <w:tcBorders>
              <w:top w:val="single" w:sz="4" w:space="0" w:color="auto"/>
              <w:left w:val="single" w:sz="4" w:space="0" w:color="A6A6A6"/>
              <w:bottom w:val="single" w:sz="4" w:space="0" w:color="A6A6A6" w:themeColor="background1" w:themeShade="A6"/>
              <w:right w:val="nil"/>
            </w:tcBorders>
            <w:shd w:val="clear" w:color="auto" w:fill="auto"/>
          </w:tcPr>
          <w:p w:rsidR="0089511D" w:rsidRPr="00CC7E24" w:rsidRDefault="0089511D" w:rsidP="001E4900">
            <w:pPr>
              <w:pStyle w:val="TableText"/>
              <w:tabs>
                <w:tab w:val="decimal" w:pos="794"/>
              </w:tabs>
            </w:pPr>
            <w:r>
              <w:t>3289</w:t>
            </w:r>
          </w:p>
        </w:tc>
        <w:tc>
          <w:tcPr>
            <w:tcW w:w="1701" w:type="dxa"/>
            <w:tcBorders>
              <w:top w:val="single" w:sz="4" w:space="0" w:color="auto"/>
              <w:left w:val="nil"/>
              <w:bottom w:val="single" w:sz="4" w:space="0" w:color="A6A6A6" w:themeColor="background1" w:themeShade="A6"/>
              <w:right w:val="single" w:sz="4" w:space="0" w:color="A6A6A6"/>
            </w:tcBorders>
            <w:shd w:val="clear" w:color="auto" w:fill="auto"/>
          </w:tcPr>
          <w:p w:rsidR="0089511D" w:rsidRPr="00CC7E24" w:rsidRDefault="0089511D" w:rsidP="001E4900">
            <w:pPr>
              <w:pStyle w:val="TableText"/>
              <w:tabs>
                <w:tab w:val="decimal" w:pos="936"/>
              </w:tabs>
            </w:pPr>
            <w:r>
              <w:t>24</w:t>
            </w:r>
          </w:p>
        </w:tc>
        <w:tc>
          <w:tcPr>
            <w:tcW w:w="1276" w:type="dxa"/>
            <w:tcBorders>
              <w:top w:val="single" w:sz="4" w:space="0" w:color="auto"/>
              <w:left w:val="single" w:sz="4" w:space="0" w:color="A6A6A6"/>
              <w:bottom w:val="single" w:sz="4" w:space="0" w:color="A6A6A6" w:themeColor="background1" w:themeShade="A6"/>
              <w:right w:val="nil"/>
            </w:tcBorders>
            <w:shd w:val="clear" w:color="auto" w:fill="auto"/>
          </w:tcPr>
          <w:p w:rsidR="0089511D" w:rsidRPr="00CC7E24" w:rsidRDefault="0089511D" w:rsidP="001E4900">
            <w:pPr>
              <w:pStyle w:val="TableText"/>
              <w:jc w:val="center"/>
            </w:pPr>
            <w:r>
              <w:t>1123</w:t>
            </w:r>
          </w:p>
        </w:tc>
        <w:tc>
          <w:tcPr>
            <w:tcW w:w="1701" w:type="dxa"/>
            <w:tcBorders>
              <w:top w:val="single" w:sz="4" w:space="0" w:color="auto"/>
              <w:left w:val="nil"/>
              <w:bottom w:val="single" w:sz="4" w:space="0" w:color="A6A6A6" w:themeColor="background1" w:themeShade="A6"/>
              <w:right w:val="nil"/>
            </w:tcBorders>
            <w:shd w:val="clear" w:color="auto" w:fill="auto"/>
          </w:tcPr>
          <w:p w:rsidR="0089511D" w:rsidRPr="00CC7E24" w:rsidRDefault="0089511D" w:rsidP="001E4900">
            <w:pPr>
              <w:pStyle w:val="TableText"/>
              <w:tabs>
                <w:tab w:val="decimal" w:pos="936"/>
              </w:tabs>
            </w:pPr>
            <w:r>
              <w:t>23</w:t>
            </w:r>
          </w:p>
        </w:tc>
      </w:tr>
      <w:tr w:rsidR="0089511D" w:rsidRPr="00CC7E24" w:rsidTr="00C7303E">
        <w:trPr>
          <w:cantSplit/>
        </w:trPr>
        <w:tc>
          <w:tcPr>
            <w:tcW w:w="3402" w:type="dxa"/>
            <w:tcBorders>
              <w:top w:val="single" w:sz="4" w:space="0" w:color="A6A6A6" w:themeColor="background1" w:themeShade="A6"/>
              <w:left w:val="nil"/>
              <w:bottom w:val="single" w:sz="4" w:space="0" w:color="A6A6A6" w:themeColor="background1" w:themeShade="A6"/>
              <w:right w:val="single" w:sz="4" w:space="0" w:color="A6A6A6"/>
            </w:tcBorders>
            <w:shd w:val="clear" w:color="auto" w:fill="auto"/>
          </w:tcPr>
          <w:p w:rsidR="0089511D" w:rsidRPr="00CC7E24" w:rsidRDefault="0089511D" w:rsidP="001E4900">
            <w:pPr>
              <w:pStyle w:val="TableText"/>
            </w:pPr>
            <w:r>
              <w:t>Quarter</w:t>
            </w:r>
            <w:r w:rsidRPr="00CC7E24">
              <w:t xml:space="preserve"> 2</w:t>
            </w:r>
            <w:r>
              <w:t xml:space="preserve"> (</w:t>
            </w:r>
            <w:r w:rsidRPr="00CC7E24">
              <w:t>Oct</w:t>
            </w:r>
            <w:r>
              <w:t>ober–</w:t>
            </w:r>
            <w:r w:rsidRPr="00CC7E24">
              <w:t>Dec</w:t>
            </w:r>
            <w:r>
              <w:t>ember 2014)</w:t>
            </w:r>
          </w:p>
        </w:tc>
        <w:tc>
          <w:tcPr>
            <w:tcW w:w="1276" w:type="dxa"/>
            <w:tcBorders>
              <w:top w:val="single" w:sz="4" w:space="0" w:color="A6A6A6" w:themeColor="background1" w:themeShade="A6"/>
              <w:left w:val="single" w:sz="4" w:space="0" w:color="A6A6A6"/>
              <w:bottom w:val="single" w:sz="4" w:space="0" w:color="A6A6A6" w:themeColor="background1" w:themeShade="A6"/>
              <w:right w:val="nil"/>
            </w:tcBorders>
            <w:shd w:val="clear" w:color="auto" w:fill="auto"/>
          </w:tcPr>
          <w:p w:rsidR="0089511D" w:rsidRPr="00CC7E24" w:rsidRDefault="0089511D" w:rsidP="001E4900">
            <w:pPr>
              <w:pStyle w:val="TableText"/>
              <w:tabs>
                <w:tab w:val="decimal" w:pos="794"/>
              </w:tabs>
            </w:pPr>
            <w:r>
              <w:t>3433</w:t>
            </w:r>
          </w:p>
        </w:tc>
        <w:tc>
          <w:tcPr>
            <w:tcW w:w="1701" w:type="dxa"/>
            <w:tcBorders>
              <w:top w:val="single" w:sz="4" w:space="0" w:color="A6A6A6" w:themeColor="background1" w:themeShade="A6"/>
              <w:left w:val="nil"/>
              <w:bottom w:val="single" w:sz="4" w:space="0" w:color="A6A6A6" w:themeColor="background1" w:themeShade="A6"/>
              <w:right w:val="single" w:sz="4" w:space="0" w:color="A6A6A6"/>
            </w:tcBorders>
            <w:shd w:val="clear" w:color="auto" w:fill="auto"/>
          </w:tcPr>
          <w:p w:rsidR="0089511D" w:rsidRPr="00CC7E24" w:rsidRDefault="0089511D" w:rsidP="001E4900">
            <w:pPr>
              <w:pStyle w:val="TableText"/>
              <w:tabs>
                <w:tab w:val="decimal" w:pos="936"/>
              </w:tabs>
            </w:pPr>
            <w:r>
              <w:t>26</w:t>
            </w:r>
          </w:p>
        </w:tc>
        <w:tc>
          <w:tcPr>
            <w:tcW w:w="1276" w:type="dxa"/>
            <w:tcBorders>
              <w:top w:val="single" w:sz="4" w:space="0" w:color="A6A6A6" w:themeColor="background1" w:themeShade="A6"/>
              <w:left w:val="single" w:sz="4" w:space="0" w:color="A6A6A6"/>
              <w:bottom w:val="single" w:sz="4" w:space="0" w:color="A6A6A6" w:themeColor="background1" w:themeShade="A6"/>
              <w:right w:val="nil"/>
            </w:tcBorders>
            <w:shd w:val="clear" w:color="auto" w:fill="auto"/>
          </w:tcPr>
          <w:p w:rsidR="0089511D" w:rsidRPr="00CC7E24" w:rsidRDefault="0089511D" w:rsidP="001E4900">
            <w:pPr>
              <w:pStyle w:val="TableText"/>
              <w:jc w:val="center"/>
            </w:pPr>
            <w:r>
              <w:t>1181</w:t>
            </w:r>
          </w:p>
        </w:tc>
        <w:tc>
          <w:tcPr>
            <w:tcW w:w="1701" w:type="dxa"/>
            <w:tcBorders>
              <w:top w:val="single" w:sz="4" w:space="0" w:color="A6A6A6" w:themeColor="background1" w:themeShade="A6"/>
              <w:left w:val="nil"/>
              <w:bottom w:val="single" w:sz="4" w:space="0" w:color="A6A6A6" w:themeColor="background1" w:themeShade="A6"/>
              <w:right w:val="nil"/>
            </w:tcBorders>
            <w:shd w:val="clear" w:color="auto" w:fill="auto"/>
          </w:tcPr>
          <w:p w:rsidR="0089511D" w:rsidRPr="00CC7E24" w:rsidRDefault="0089511D" w:rsidP="001E4900">
            <w:pPr>
              <w:pStyle w:val="TableText"/>
              <w:tabs>
                <w:tab w:val="decimal" w:pos="936"/>
              </w:tabs>
            </w:pPr>
            <w:r>
              <w:t>25</w:t>
            </w:r>
          </w:p>
        </w:tc>
      </w:tr>
      <w:tr w:rsidR="0089511D" w:rsidRPr="00CC7E24" w:rsidTr="00C7303E">
        <w:trPr>
          <w:cantSplit/>
        </w:trPr>
        <w:tc>
          <w:tcPr>
            <w:tcW w:w="3402" w:type="dxa"/>
            <w:tcBorders>
              <w:top w:val="single" w:sz="4" w:space="0" w:color="A6A6A6" w:themeColor="background1" w:themeShade="A6"/>
              <w:left w:val="nil"/>
              <w:bottom w:val="single" w:sz="4" w:space="0" w:color="A6A6A6" w:themeColor="background1" w:themeShade="A6"/>
              <w:right w:val="single" w:sz="4" w:space="0" w:color="A6A6A6"/>
            </w:tcBorders>
            <w:shd w:val="clear" w:color="auto" w:fill="auto"/>
          </w:tcPr>
          <w:p w:rsidR="0089511D" w:rsidRPr="00CC7E24" w:rsidRDefault="0089511D" w:rsidP="001E4900">
            <w:pPr>
              <w:pStyle w:val="TableText"/>
            </w:pPr>
            <w:r>
              <w:t>Quarter</w:t>
            </w:r>
            <w:r w:rsidRPr="00CC7E24">
              <w:t xml:space="preserve"> 3</w:t>
            </w:r>
            <w:r>
              <w:t xml:space="preserve"> (</w:t>
            </w:r>
            <w:r w:rsidRPr="00CC7E24">
              <w:t>Jan</w:t>
            </w:r>
            <w:r>
              <w:t>uary–</w:t>
            </w:r>
            <w:r w:rsidRPr="00CC7E24">
              <w:t>Mar</w:t>
            </w:r>
            <w:r>
              <w:t>ch 2015)</w:t>
            </w:r>
          </w:p>
        </w:tc>
        <w:tc>
          <w:tcPr>
            <w:tcW w:w="1276" w:type="dxa"/>
            <w:tcBorders>
              <w:top w:val="single" w:sz="4" w:space="0" w:color="A6A6A6" w:themeColor="background1" w:themeShade="A6"/>
              <w:left w:val="single" w:sz="4" w:space="0" w:color="A6A6A6"/>
              <w:bottom w:val="single" w:sz="4" w:space="0" w:color="A6A6A6" w:themeColor="background1" w:themeShade="A6"/>
              <w:right w:val="nil"/>
            </w:tcBorders>
            <w:shd w:val="clear" w:color="auto" w:fill="auto"/>
          </w:tcPr>
          <w:p w:rsidR="0089511D" w:rsidRPr="00CC7E24" w:rsidRDefault="0089511D" w:rsidP="001E4900">
            <w:pPr>
              <w:pStyle w:val="TableText"/>
              <w:tabs>
                <w:tab w:val="decimal" w:pos="794"/>
              </w:tabs>
            </w:pPr>
            <w:r>
              <w:t>3373</w:t>
            </w:r>
          </w:p>
        </w:tc>
        <w:tc>
          <w:tcPr>
            <w:tcW w:w="1701" w:type="dxa"/>
            <w:tcBorders>
              <w:top w:val="single" w:sz="4" w:space="0" w:color="A6A6A6" w:themeColor="background1" w:themeShade="A6"/>
              <w:left w:val="nil"/>
              <w:bottom w:val="single" w:sz="4" w:space="0" w:color="A6A6A6" w:themeColor="background1" w:themeShade="A6"/>
              <w:right w:val="single" w:sz="4" w:space="0" w:color="A6A6A6"/>
            </w:tcBorders>
            <w:shd w:val="clear" w:color="auto" w:fill="auto"/>
          </w:tcPr>
          <w:p w:rsidR="0089511D" w:rsidRPr="00CC7E24" w:rsidRDefault="0089511D" w:rsidP="001E4900">
            <w:pPr>
              <w:pStyle w:val="TableText"/>
              <w:tabs>
                <w:tab w:val="decimal" w:pos="936"/>
              </w:tabs>
            </w:pPr>
            <w:r>
              <w:t>25</w:t>
            </w:r>
          </w:p>
        </w:tc>
        <w:tc>
          <w:tcPr>
            <w:tcW w:w="1276" w:type="dxa"/>
            <w:tcBorders>
              <w:top w:val="single" w:sz="4" w:space="0" w:color="A6A6A6" w:themeColor="background1" w:themeShade="A6"/>
              <w:left w:val="single" w:sz="4" w:space="0" w:color="A6A6A6"/>
              <w:bottom w:val="single" w:sz="4" w:space="0" w:color="A6A6A6" w:themeColor="background1" w:themeShade="A6"/>
              <w:right w:val="nil"/>
            </w:tcBorders>
            <w:shd w:val="clear" w:color="auto" w:fill="auto"/>
          </w:tcPr>
          <w:p w:rsidR="0089511D" w:rsidRPr="00CC7E24" w:rsidRDefault="0089511D" w:rsidP="001E4900">
            <w:pPr>
              <w:pStyle w:val="TableText"/>
              <w:jc w:val="center"/>
            </w:pPr>
            <w:r>
              <w:t>1173</w:t>
            </w:r>
          </w:p>
        </w:tc>
        <w:tc>
          <w:tcPr>
            <w:tcW w:w="1701" w:type="dxa"/>
            <w:tcBorders>
              <w:top w:val="single" w:sz="4" w:space="0" w:color="A6A6A6" w:themeColor="background1" w:themeShade="A6"/>
              <w:left w:val="nil"/>
              <w:bottom w:val="single" w:sz="4" w:space="0" w:color="A6A6A6" w:themeColor="background1" w:themeShade="A6"/>
              <w:right w:val="nil"/>
            </w:tcBorders>
            <w:shd w:val="clear" w:color="auto" w:fill="auto"/>
          </w:tcPr>
          <w:p w:rsidR="0089511D" w:rsidRPr="00CC7E24" w:rsidRDefault="0089511D" w:rsidP="001E4900">
            <w:pPr>
              <w:pStyle w:val="TableText"/>
              <w:tabs>
                <w:tab w:val="decimal" w:pos="936"/>
              </w:tabs>
            </w:pPr>
            <w:r>
              <w:t>25</w:t>
            </w:r>
          </w:p>
        </w:tc>
      </w:tr>
      <w:tr w:rsidR="0089511D" w:rsidRPr="00CC7E24" w:rsidTr="00C7303E">
        <w:trPr>
          <w:cantSplit/>
        </w:trPr>
        <w:tc>
          <w:tcPr>
            <w:tcW w:w="3402" w:type="dxa"/>
            <w:tcBorders>
              <w:top w:val="single" w:sz="4" w:space="0" w:color="A6A6A6" w:themeColor="background1" w:themeShade="A6"/>
              <w:left w:val="nil"/>
              <w:bottom w:val="single" w:sz="4" w:space="0" w:color="A6A6A6" w:themeColor="background1" w:themeShade="A6"/>
              <w:right w:val="single" w:sz="4" w:space="0" w:color="A6A6A6"/>
            </w:tcBorders>
            <w:shd w:val="clear" w:color="auto" w:fill="auto"/>
          </w:tcPr>
          <w:p w:rsidR="0089511D" w:rsidRPr="00CC7E24" w:rsidRDefault="0089511D" w:rsidP="001E4900">
            <w:pPr>
              <w:pStyle w:val="TableText"/>
            </w:pPr>
            <w:r>
              <w:t>Quarter</w:t>
            </w:r>
            <w:r w:rsidRPr="00CC7E24">
              <w:t xml:space="preserve"> 4</w:t>
            </w:r>
            <w:r>
              <w:t xml:space="preserve"> (</w:t>
            </w:r>
            <w:r w:rsidRPr="00CC7E24">
              <w:t>Apr</w:t>
            </w:r>
            <w:r>
              <w:t>il–</w:t>
            </w:r>
            <w:r w:rsidRPr="00CC7E24">
              <w:t>Jun</w:t>
            </w:r>
            <w:r>
              <w:t>e 2015)</w:t>
            </w:r>
          </w:p>
        </w:tc>
        <w:tc>
          <w:tcPr>
            <w:tcW w:w="1276" w:type="dxa"/>
            <w:tcBorders>
              <w:top w:val="single" w:sz="4" w:space="0" w:color="A6A6A6" w:themeColor="background1" w:themeShade="A6"/>
              <w:left w:val="single" w:sz="4" w:space="0" w:color="A6A6A6"/>
              <w:bottom w:val="single" w:sz="4" w:space="0" w:color="A6A6A6" w:themeColor="background1" w:themeShade="A6"/>
              <w:right w:val="nil"/>
            </w:tcBorders>
            <w:shd w:val="clear" w:color="auto" w:fill="auto"/>
          </w:tcPr>
          <w:p w:rsidR="0089511D" w:rsidRPr="00CC7E24" w:rsidRDefault="0089511D" w:rsidP="001E4900">
            <w:pPr>
              <w:pStyle w:val="TableText"/>
              <w:tabs>
                <w:tab w:val="decimal" w:pos="794"/>
              </w:tabs>
            </w:pPr>
            <w:r>
              <w:t>3402</w:t>
            </w:r>
          </w:p>
        </w:tc>
        <w:tc>
          <w:tcPr>
            <w:tcW w:w="1701" w:type="dxa"/>
            <w:tcBorders>
              <w:top w:val="single" w:sz="4" w:space="0" w:color="A6A6A6" w:themeColor="background1" w:themeShade="A6"/>
              <w:left w:val="nil"/>
              <w:bottom w:val="single" w:sz="4" w:space="0" w:color="A6A6A6" w:themeColor="background1" w:themeShade="A6"/>
              <w:right w:val="single" w:sz="4" w:space="0" w:color="A6A6A6"/>
            </w:tcBorders>
            <w:shd w:val="clear" w:color="auto" w:fill="auto"/>
          </w:tcPr>
          <w:p w:rsidR="0089511D" w:rsidRPr="00CC7E24" w:rsidRDefault="0089511D" w:rsidP="001E4900">
            <w:pPr>
              <w:pStyle w:val="TableText"/>
              <w:tabs>
                <w:tab w:val="decimal" w:pos="936"/>
              </w:tabs>
            </w:pPr>
            <w:r>
              <w:t>25</w:t>
            </w:r>
          </w:p>
        </w:tc>
        <w:tc>
          <w:tcPr>
            <w:tcW w:w="1276" w:type="dxa"/>
            <w:tcBorders>
              <w:top w:val="single" w:sz="4" w:space="0" w:color="A6A6A6" w:themeColor="background1" w:themeShade="A6"/>
              <w:left w:val="single" w:sz="4" w:space="0" w:color="A6A6A6"/>
              <w:bottom w:val="single" w:sz="4" w:space="0" w:color="A6A6A6" w:themeColor="background1" w:themeShade="A6"/>
              <w:right w:val="nil"/>
            </w:tcBorders>
            <w:shd w:val="clear" w:color="auto" w:fill="auto"/>
          </w:tcPr>
          <w:p w:rsidR="0089511D" w:rsidRPr="00CC7E24" w:rsidRDefault="0089511D" w:rsidP="001E4900">
            <w:pPr>
              <w:pStyle w:val="TableText"/>
              <w:jc w:val="center"/>
            </w:pPr>
            <w:r>
              <w:t>1277</w:t>
            </w:r>
          </w:p>
        </w:tc>
        <w:tc>
          <w:tcPr>
            <w:tcW w:w="1701" w:type="dxa"/>
            <w:tcBorders>
              <w:top w:val="single" w:sz="4" w:space="0" w:color="A6A6A6" w:themeColor="background1" w:themeShade="A6"/>
              <w:left w:val="nil"/>
              <w:bottom w:val="single" w:sz="4" w:space="0" w:color="A6A6A6" w:themeColor="background1" w:themeShade="A6"/>
              <w:right w:val="nil"/>
            </w:tcBorders>
            <w:shd w:val="clear" w:color="auto" w:fill="auto"/>
          </w:tcPr>
          <w:p w:rsidR="0089511D" w:rsidRPr="00CC7E24" w:rsidRDefault="0089511D" w:rsidP="001E4900">
            <w:pPr>
              <w:pStyle w:val="TableText"/>
              <w:tabs>
                <w:tab w:val="decimal" w:pos="936"/>
              </w:tabs>
            </w:pPr>
            <w:r>
              <w:t>27</w:t>
            </w:r>
          </w:p>
        </w:tc>
      </w:tr>
      <w:tr w:rsidR="0089511D" w:rsidRPr="006540E5" w:rsidTr="00C7303E">
        <w:trPr>
          <w:cantSplit/>
        </w:trPr>
        <w:tc>
          <w:tcPr>
            <w:tcW w:w="3402" w:type="dxa"/>
            <w:tcBorders>
              <w:top w:val="single" w:sz="4" w:space="0" w:color="A6A6A6" w:themeColor="background1" w:themeShade="A6"/>
              <w:left w:val="nil"/>
              <w:bottom w:val="single" w:sz="4" w:space="0" w:color="auto"/>
              <w:right w:val="single" w:sz="4" w:space="0" w:color="A6A6A6"/>
            </w:tcBorders>
            <w:shd w:val="clear" w:color="auto" w:fill="auto"/>
          </w:tcPr>
          <w:p w:rsidR="0089511D" w:rsidRPr="006540E5" w:rsidRDefault="0089511D" w:rsidP="001E4900">
            <w:pPr>
              <w:pStyle w:val="TableText"/>
            </w:pPr>
            <w:r>
              <w:t>Total (July 2014</w:t>
            </w:r>
            <w:r w:rsidRPr="006540E5">
              <w:t>–June</w:t>
            </w:r>
            <w:r>
              <w:t xml:space="preserve"> 2015)</w:t>
            </w:r>
          </w:p>
        </w:tc>
        <w:tc>
          <w:tcPr>
            <w:tcW w:w="1276" w:type="dxa"/>
            <w:tcBorders>
              <w:top w:val="single" w:sz="4" w:space="0" w:color="A6A6A6" w:themeColor="background1" w:themeShade="A6"/>
              <w:left w:val="single" w:sz="4" w:space="0" w:color="A6A6A6"/>
              <w:bottom w:val="single" w:sz="4" w:space="0" w:color="auto"/>
              <w:right w:val="nil"/>
            </w:tcBorders>
            <w:shd w:val="clear" w:color="auto" w:fill="auto"/>
          </w:tcPr>
          <w:p w:rsidR="0089511D" w:rsidRPr="006540E5" w:rsidRDefault="0089511D" w:rsidP="001E4900">
            <w:pPr>
              <w:pStyle w:val="TableText"/>
              <w:tabs>
                <w:tab w:val="decimal" w:pos="794"/>
              </w:tabs>
            </w:pPr>
            <w:r>
              <w:t>13,497</w:t>
            </w:r>
          </w:p>
        </w:tc>
        <w:tc>
          <w:tcPr>
            <w:tcW w:w="1701" w:type="dxa"/>
            <w:tcBorders>
              <w:top w:val="single" w:sz="4" w:space="0" w:color="A6A6A6" w:themeColor="background1" w:themeShade="A6"/>
              <w:left w:val="nil"/>
              <w:bottom w:val="single" w:sz="4" w:space="0" w:color="auto"/>
              <w:right w:val="single" w:sz="4" w:space="0" w:color="A6A6A6"/>
            </w:tcBorders>
            <w:shd w:val="clear" w:color="auto" w:fill="auto"/>
          </w:tcPr>
          <w:p w:rsidR="0089511D" w:rsidRPr="006540E5" w:rsidRDefault="0089511D" w:rsidP="001E4900">
            <w:pPr>
              <w:pStyle w:val="TableText"/>
              <w:tabs>
                <w:tab w:val="decimal" w:pos="936"/>
              </w:tabs>
            </w:pPr>
            <w:r w:rsidRPr="006540E5">
              <w:t>100</w:t>
            </w:r>
          </w:p>
        </w:tc>
        <w:tc>
          <w:tcPr>
            <w:tcW w:w="1276" w:type="dxa"/>
            <w:tcBorders>
              <w:top w:val="single" w:sz="4" w:space="0" w:color="A6A6A6" w:themeColor="background1" w:themeShade="A6"/>
              <w:left w:val="single" w:sz="4" w:space="0" w:color="A6A6A6"/>
              <w:bottom w:val="single" w:sz="4" w:space="0" w:color="auto"/>
              <w:right w:val="nil"/>
            </w:tcBorders>
            <w:shd w:val="clear" w:color="auto" w:fill="auto"/>
          </w:tcPr>
          <w:p w:rsidR="0089511D" w:rsidRPr="006540E5" w:rsidRDefault="0089511D" w:rsidP="001E4900">
            <w:pPr>
              <w:pStyle w:val="TableText"/>
              <w:jc w:val="center"/>
            </w:pPr>
            <w:r>
              <w:t>4754</w:t>
            </w:r>
          </w:p>
        </w:tc>
        <w:tc>
          <w:tcPr>
            <w:tcW w:w="1701" w:type="dxa"/>
            <w:tcBorders>
              <w:top w:val="single" w:sz="4" w:space="0" w:color="A6A6A6" w:themeColor="background1" w:themeShade="A6"/>
              <w:left w:val="nil"/>
              <w:bottom w:val="single" w:sz="4" w:space="0" w:color="auto"/>
              <w:right w:val="nil"/>
            </w:tcBorders>
            <w:shd w:val="clear" w:color="auto" w:fill="auto"/>
          </w:tcPr>
          <w:p w:rsidR="0089511D" w:rsidRPr="006540E5" w:rsidRDefault="0089511D" w:rsidP="001E4900">
            <w:pPr>
              <w:pStyle w:val="TableText"/>
              <w:tabs>
                <w:tab w:val="decimal" w:pos="936"/>
              </w:tabs>
            </w:pPr>
            <w:r w:rsidRPr="006540E5">
              <w:t>100</w:t>
            </w:r>
          </w:p>
        </w:tc>
      </w:tr>
    </w:tbl>
    <w:p w:rsidR="0089511D" w:rsidRPr="00CC7E24" w:rsidRDefault="0089511D" w:rsidP="00C7303E"/>
    <w:p w:rsidR="0089511D" w:rsidRPr="00CC7E24" w:rsidRDefault="0089511D" w:rsidP="00C7303E">
      <w:pPr>
        <w:pStyle w:val="Heading3"/>
      </w:pPr>
      <w:bookmarkStart w:id="220" w:name="_Toc339270040"/>
      <w:r w:rsidRPr="00CC7E24">
        <w:lastRenderedPageBreak/>
        <w:t>Call pattern</w:t>
      </w:r>
      <w:bookmarkEnd w:id="220"/>
    </w:p>
    <w:p w:rsidR="0089511D" w:rsidRDefault="0089511D" w:rsidP="00C7303E">
      <w:bookmarkStart w:id="221" w:name="_Ref339268736"/>
      <w:bookmarkStart w:id="222" w:name="_Toc339878405"/>
      <w:r>
        <w:t>The call pattern</w:t>
      </w:r>
      <w:r w:rsidRPr="00D37C34">
        <w:t xml:space="preserve"> </w:t>
      </w:r>
      <w:r w:rsidRPr="00016B2F">
        <w:t>used in the NZ</w:t>
      </w:r>
      <w:r>
        <w:t>HS, as described in Section 4, i</w:t>
      </w:r>
      <w:r w:rsidRPr="00016B2F">
        <w:t xml:space="preserve">s an important </w:t>
      </w:r>
      <w:r>
        <w:t>par</w:t>
      </w:r>
      <w:r w:rsidRPr="00016B2F">
        <w:t>t of achieving</w:t>
      </w:r>
      <w:r>
        <w:t xml:space="preserve"> a high </w:t>
      </w:r>
      <w:r w:rsidRPr="00016B2F">
        <w:t xml:space="preserve">response </w:t>
      </w:r>
      <w:r>
        <w:t>rate</w:t>
      </w:r>
      <w:r w:rsidRPr="00016B2F">
        <w:t xml:space="preserve">. </w:t>
      </w:r>
      <w:r>
        <w:t>In 2014/15 surveyors followed a proven call</w:t>
      </w:r>
      <w:r w:rsidRPr="00016B2F">
        <w:t xml:space="preserve"> </w:t>
      </w:r>
      <w:proofErr w:type="gramStart"/>
      <w:r>
        <w:t>approach,</w:t>
      </w:r>
      <w:proofErr w:type="gramEnd"/>
      <w:r w:rsidRPr="00016B2F">
        <w:t xml:space="preserve"> including visiting </w:t>
      </w:r>
      <w:proofErr w:type="spellStart"/>
      <w:r>
        <w:t>mesh</w:t>
      </w:r>
      <w:r w:rsidRPr="00016B2F">
        <w:t>blocks</w:t>
      </w:r>
      <w:proofErr w:type="spellEnd"/>
      <w:r w:rsidRPr="00016B2F">
        <w:t xml:space="preserve"> at different times and on different days depending on the area they were working in.</w:t>
      </w:r>
      <w:r>
        <w:t xml:space="preserve"> For about 90 percent of households, the first (or only) interview took place within seven calls (Figure 1).</w:t>
      </w:r>
    </w:p>
    <w:p w:rsidR="0089511D" w:rsidRDefault="0089511D" w:rsidP="00C7303E"/>
    <w:p w:rsidR="0089511D" w:rsidRPr="00CC7E24" w:rsidRDefault="006D13C6" w:rsidP="00C7303E">
      <w:pPr>
        <w:pStyle w:val="Figure"/>
      </w:pPr>
      <w:bookmarkStart w:id="223" w:name="_Toc372445592"/>
      <w:bookmarkStart w:id="224" w:name="_Toc403044052"/>
      <w:bookmarkStart w:id="225" w:name="_Toc434933658"/>
      <w:bookmarkStart w:id="226" w:name="_Toc435555085"/>
      <w:bookmarkStart w:id="227" w:name="OLE_LINK1"/>
      <w:bookmarkEnd w:id="221"/>
      <w:bookmarkEnd w:id="222"/>
      <w:r w:rsidRPr="00805094">
        <w:t>Figure 1:</w:t>
      </w:r>
      <w:r w:rsidRPr="00CC7E24">
        <w:t xml:space="preserve"> </w:t>
      </w:r>
      <w:r>
        <w:t>Proportion of households agreeing to first interview, by number of calls, 2014</w:t>
      </w:r>
      <w:r w:rsidRPr="00CC7E24">
        <w:t>/1</w:t>
      </w:r>
      <w:bookmarkEnd w:id="223"/>
      <w:bookmarkEnd w:id="224"/>
      <w:r>
        <w:t>5</w:t>
      </w:r>
      <w:bookmarkEnd w:id="225"/>
      <w:bookmarkEnd w:id="226"/>
    </w:p>
    <w:bookmarkEnd w:id="227"/>
    <w:p w:rsidR="0089511D" w:rsidRPr="00CC7E24" w:rsidRDefault="000A3EF4" w:rsidP="0089511D">
      <w:r>
        <w:rPr>
          <w:noProof/>
          <w:lang w:eastAsia="en-NZ"/>
        </w:rPr>
        <w:drawing>
          <wp:inline distT="0" distB="0" distL="0" distR="0" wp14:anchorId="0B56385B">
            <wp:extent cx="4314305" cy="2632537"/>
            <wp:effectExtent l="0" t="0" r="0" b="0"/>
            <wp:docPr id="15" name="Picture 15" title="Figure 1: Proportion of households agreeing to first interview, by number of calls,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15973" cy="2633555"/>
                    </a:xfrm>
                    <a:prstGeom prst="rect">
                      <a:avLst/>
                    </a:prstGeom>
                    <a:noFill/>
                  </pic:spPr>
                </pic:pic>
              </a:graphicData>
            </a:graphic>
          </wp:inline>
        </w:drawing>
      </w:r>
    </w:p>
    <w:p w:rsidR="0089511D" w:rsidRDefault="0089511D" w:rsidP="006D13C6">
      <w:bookmarkStart w:id="228" w:name="_Toc339270041"/>
      <w:bookmarkStart w:id="229" w:name="_Toc340501956"/>
      <w:bookmarkStart w:id="230" w:name="_Toc372445576"/>
      <w:bookmarkStart w:id="231" w:name="_Toc403044031"/>
    </w:p>
    <w:p w:rsidR="0089511D" w:rsidRPr="006540E5" w:rsidRDefault="0089511D" w:rsidP="006D13C6">
      <w:pPr>
        <w:pStyle w:val="Heading2"/>
      </w:pPr>
      <w:bookmarkStart w:id="232" w:name="_Toc434934539"/>
      <w:bookmarkStart w:id="233" w:name="_Toc435643033"/>
      <w:r w:rsidRPr="00CC7E24">
        <w:t>Response rates</w:t>
      </w:r>
      <w:bookmarkEnd w:id="232"/>
      <w:bookmarkEnd w:id="233"/>
    </w:p>
    <w:p w:rsidR="0089511D" w:rsidRDefault="0089511D" w:rsidP="006D13C6">
      <w:pPr>
        <w:rPr>
          <w:lang w:eastAsia="en-NZ"/>
        </w:rPr>
      </w:pPr>
      <w:r>
        <w:t xml:space="preserve">The </w:t>
      </w:r>
      <w:r w:rsidRPr="009D18D7">
        <w:t>NZHS is well received by the public</w:t>
      </w:r>
      <w:r>
        <w:t>:</w:t>
      </w:r>
      <w:r w:rsidRPr="00D02E9F">
        <w:t xml:space="preserve"> t</w:t>
      </w:r>
      <w:r w:rsidRPr="00CF4161">
        <w:t>he</w:t>
      </w:r>
      <w:r w:rsidRPr="0062719B">
        <w:t xml:space="preserve"> weighted</w:t>
      </w:r>
      <w:r w:rsidRPr="00432458">
        <w:t xml:space="preserve"> response </w:t>
      </w:r>
      <w:proofErr w:type="gramStart"/>
      <w:r w:rsidRPr="00432458">
        <w:t>rates in</w:t>
      </w:r>
      <w:r>
        <w:t xml:space="preserve"> 2014/15 was</w:t>
      </w:r>
      <w:proofErr w:type="gramEnd"/>
      <w:r>
        <w:t xml:space="preserve"> 79 percent for adults and 83 percent</w:t>
      </w:r>
      <w:r w:rsidRPr="00CC7E24">
        <w:t xml:space="preserve"> for children</w:t>
      </w:r>
      <w:r w:rsidRPr="006D32C3">
        <w:t xml:space="preserve">. </w:t>
      </w:r>
      <w:r>
        <w:rPr>
          <w:lang w:eastAsia="en-US"/>
        </w:rPr>
        <w:t>Figure 2</w:t>
      </w:r>
      <w:r w:rsidRPr="00CC7E24">
        <w:rPr>
          <w:lang w:eastAsia="en-US"/>
        </w:rPr>
        <w:t xml:space="preserve"> shows the </w:t>
      </w:r>
      <w:r>
        <w:rPr>
          <w:lang w:eastAsia="en-US"/>
        </w:rPr>
        <w:t>time trend of response rates of adults and children from 2011/12 to the current survey year, 2014/15</w:t>
      </w:r>
      <w:r w:rsidRPr="00CC7E24">
        <w:rPr>
          <w:lang w:eastAsia="en-US"/>
        </w:rPr>
        <w:t>.</w:t>
      </w:r>
    </w:p>
    <w:p w:rsidR="0089511D" w:rsidRDefault="0089511D" w:rsidP="006D13C6">
      <w:bookmarkStart w:id="234" w:name="_Toc339270042"/>
      <w:bookmarkStart w:id="235" w:name="_Toc340501957"/>
      <w:bookmarkStart w:id="236" w:name="_Toc372445577"/>
      <w:bookmarkStart w:id="237" w:name="_Toc403044032"/>
      <w:bookmarkEnd w:id="228"/>
      <w:bookmarkEnd w:id="229"/>
      <w:bookmarkEnd w:id="230"/>
      <w:bookmarkEnd w:id="231"/>
    </w:p>
    <w:p w:rsidR="0089511D" w:rsidRPr="00C921ED" w:rsidRDefault="0089511D" w:rsidP="006D13C6">
      <w:pPr>
        <w:pStyle w:val="Figure"/>
      </w:pPr>
      <w:bookmarkStart w:id="238" w:name="_Toc434933659"/>
      <w:bookmarkStart w:id="239" w:name="_Toc435555086"/>
      <w:r w:rsidRPr="00C921ED">
        <w:t xml:space="preserve">Figure 2: </w:t>
      </w:r>
      <w:r>
        <w:t>Response</w:t>
      </w:r>
      <w:r w:rsidRPr="00C921ED">
        <w:t xml:space="preserve"> rates (%) for adults and children</w:t>
      </w:r>
      <w:r>
        <w:t>,</w:t>
      </w:r>
      <w:r w:rsidRPr="00C921ED">
        <w:t xml:space="preserve"> 2011/12</w:t>
      </w:r>
      <w:r>
        <w:t>–</w:t>
      </w:r>
      <w:r w:rsidRPr="00C921ED">
        <w:t>2014/15</w:t>
      </w:r>
      <w:bookmarkEnd w:id="238"/>
      <w:bookmarkEnd w:id="239"/>
    </w:p>
    <w:p w:rsidR="0089511D" w:rsidRDefault="000A3EF4" w:rsidP="0089511D">
      <w:pPr>
        <w:rPr>
          <w:lang w:eastAsia="en-NZ"/>
        </w:rPr>
      </w:pPr>
      <w:r>
        <w:rPr>
          <w:noProof/>
          <w:lang w:eastAsia="en-NZ"/>
        </w:rPr>
        <w:drawing>
          <wp:inline distT="0" distB="0" distL="0" distR="0" wp14:anchorId="05428CC8">
            <wp:extent cx="4314305" cy="2628701"/>
            <wp:effectExtent l="0" t="0" r="0" b="0"/>
            <wp:docPr id="16" name="Picture 16" title="Figure 2: Response rates (%) for adults and children, 2011/12–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15902" cy="2629674"/>
                    </a:xfrm>
                    <a:prstGeom prst="rect">
                      <a:avLst/>
                    </a:prstGeom>
                    <a:noFill/>
                  </pic:spPr>
                </pic:pic>
              </a:graphicData>
            </a:graphic>
          </wp:inline>
        </w:drawing>
      </w:r>
    </w:p>
    <w:p w:rsidR="0089511D" w:rsidRDefault="0089511D" w:rsidP="006D13C6">
      <w:pPr>
        <w:rPr>
          <w:lang w:eastAsia="en-NZ"/>
        </w:rPr>
      </w:pPr>
    </w:p>
    <w:p w:rsidR="0089511D" w:rsidRPr="00C832A1" w:rsidRDefault="0089511D" w:rsidP="006D13C6">
      <w:pPr>
        <w:pStyle w:val="Heading2"/>
        <w:rPr>
          <w:lang w:eastAsia="en-NZ"/>
        </w:rPr>
      </w:pPr>
      <w:bookmarkStart w:id="240" w:name="_Toc434934540"/>
      <w:bookmarkStart w:id="241" w:name="_Toc435643034"/>
      <w:r w:rsidRPr="00C832A1">
        <w:lastRenderedPageBreak/>
        <w:t>Coverage rates</w:t>
      </w:r>
      <w:bookmarkEnd w:id="234"/>
      <w:bookmarkEnd w:id="235"/>
      <w:bookmarkEnd w:id="236"/>
      <w:bookmarkEnd w:id="237"/>
      <w:bookmarkEnd w:id="240"/>
      <w:bookmarkEnd w:id="241"/>
    </w:p>
    <w:p w:rsidR="0089511D" w:rsidRDefault="0089511D" w:rsidP="006D13C6">
      <w:pPr>
        <w:keepNext/>
        <w:rPr>
          <w:lang w:eastAsia="en-NZ"/>
        </w:rPr>
      </w:pPr>
      <w:r>
        <w:rPr>
          <w:lang w:eastAsia="en-US"/>
        </w:rPr>
        <w:t>In 2014/15 the coverage rates were 59 percent for adults and 69 percent for children. Figure 3</w:t>
      </w:r>
      <w:r w:rsidRPr="00CC7E24">
        <w:rPr>
          <w:lang w:eastAsia="en-US"/>
        </w:rPr>
        <w:t xml:space="preserve"> shows the </w:t>
      </w:r>
      <w:r>
        <w:rPr>
          <w:lang w:eastAsia="en-US"/>
        </w:rPr>
        <w:t>time trend of coverage rates of adults and children from 2011/12 to the current survey year, 2014/15</w:t>
      </w:r>
      <w:r w:rsidRPr="00CC7E24">
        <w:rPr>
          <w:lang w:eastAsia="en-US"/>
        </w:rPr>
        <w:t>.</w:t>
      </w:r>
    </w:p>
    <w:p w:rsidR="0089511D" w:rsidRDefault="0089511D" w:rsidP="006D13C6">
      <w:pPr>
        <w:keepNext/>
        <w:rPr>
          <w:lang w:eastAsia="en-US"/>
        </w:rPr>
      </w:pPr>
    </w:p>
    <w:p w:rsidR="00095D83" w:rsidRDefault="0089511D" w:rsidP="006D13C6">
      <w:pPr>
        <w:pStyle w:val="Figure"/>
        <w:rPr>
          <w:lang w:eastAsia="en-US"/>
        </w:rPr>
      </w:pPr>
      <w:bookmarkStart w:id="242" w:name="_Toc434933660"/>
      <w:bookmarkStart w:id="243" w:name="_Toc435555087"/>
      <w:r w:rsidRPr="00E8136C">
        <w:rPr>
          <w:lang w:eastAsia="en-US"/>
        </w:rPr>
        <w:t xml:space="preserve">Figure </w:t>
      </w:r>
      <w:r>
        <w:rPr>
          <w:lang w:eastAsia="en-US"/>
        </w:rPr>
        <w:t>3</w:t>
      </w:r>
      <w:r w:rsidRPr="00E8136C">
        <w:rPr>
          <w:lang w:eastAsia="en-US"/>
        </w:rPr>
        <w:t xml:space="preserve">: Coverage rates (%) for </w:t>
      </w:r>
      <w:r>
        <w:rPr>
          <w:lang w:eastAsia="en-US"/>
        </w:rPr>
        <w:t>adults and children, 2011/12–</w:t>
      </w:r>
      <w:r w:rsidRPr="00E8136C">
        <w:rPr>
          <w:lang w:eastAsia="en-US"/>
        </w:rPr>
        <w:t>2014/15</w:t>
      </w:r>
      <w:bookmarkEnd w:id="242"/>
      <w:bookmarkEnd w:id="243"/>
    </w:p>
    <w:p w:rsidR="0089511D" w:rsidRDefault="000A3EF4" w:rsidP="0013668D">
      <w:pPr>
        <w:rPr>
          <w:lang w:eastAsia="en-US"/>
        </w:rPr>
      </w:pPr>
      <w:r>
        <w:rPr>
          <w:noProof/>
          <w:lang w:eastAsia="en-NZ"/>
        </w:rPr>
        <w:drawing>
          <wp:inline distT="0" distB="0" distL="0" distR="0" wp14:anchorId="2FC270E7">
            <wp:extent cx="4314306" cy="2628701"/>
            <wp:effectExtent l="0" t="0" r="0" b="0"/>
            <wp:docPr id="18" name="Picture 18" title="Figure 3: Coverage rates (%) for adults and children, 2011/12–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15902" cy="2629673"/>
                    </a:xfrm>
                    <a:prstGeom prst="rect">
                      <a:avLst/>
                    </a:prstGeom>
                    <a:noFill/>
                  </pic:spPr>
                </pic:pic>
              </a:graphicData>
            </a:graphic>
          </wp:inline>
        </w:drawing>
      </w:r>
    </w:p>
    <w:p w:rsidR="0089511D" w:rsidRDefault="0089511D" w:rsidP="006D13C6">
      <w:pPr>
        <w:rPr>
          <w:lang w:eastAsia="en-US"/>
        </w:rPr>
      </w:pPr>
    </w:p>
    <w:p w:rsidR="0089511D" w:rsidRDefault="0089511D" w:rsidP="006D13C6">
      <w:pPr>
        <w:rPr>
          <w:lang w:eastAsia="en-US"/>
        </w:rPr>
      </w:pPr>
      <w:r w:rsidRPr="00CC7E24">
        <w:rPr>
          <w:lang w:eastAsia="en-US"/>
        </w:rPr>
        <w:t xml:space="preserve">Coverage rates </w:t>
      </w:r>
      <w:r>
        <w:rPr>
          <w:lang w:eastAsia="en-US"/>
        </w:rPr>
        <w:t>were</w:t>
      </w:r>
      <w:r w:rsidRPr="00CC7E24">
        <w:rPr>
          <w:lang w:eastAsia="en-US"/>
        </w:rPr>
        <w:t xml:space="preserve"> high for children, reflecting high rates for adults in t</w:t>
      </w:r>
      <w:r>
        <w:rPr>
          <w:lang w:eastAsia="en-US"/>
        </w:rPr>
        <w:t>he typical parenting age range</w:t>
      </w:r>
      <w:r w:rsidRPr="00CC7E24">
        <w:rPr>
          <w:lang w:eastAsia="en-US"/>
        </w:rPr>
        <w:t>.</w:t>
      </w:r>
    </w:p>
    <w:p w:rsidR="0089511D" w:rsidRDefault="0089511D" w:rsidP="006D13C6">
      <w:pPr>
        <w:rPr>
          <w:lang w:eastAsia="en-US"/>
        </w:rPr>
      </w:pPr>
    </w:p>
    <w:p w:rsidR="0089511D" w:rsidRDefault="0089511D" w:rsidP="006D13C6">
      <w:pPr>
        <w:rPr>
          <w:lang w:eastAsia="en-US"/>
        </w:rPr>
      </w:pPr>
      <w:r>
        <w:rPr>
          <w:lang w:eastAsia="en-US"/>
        </w:rPr>
        <w:t>In 2014/15 the coverage rates were 68 percent for Māori, 69 percent for Pacific peoples and 63</w:t>
      </w:r>
      <w:r w:rsidR="006D13C6">
        <w:rPr>
          <w:lang w:eastAsia="en-US"/>
        </w:rPr>
        <w:t> </w:t>
      </w:r>
      <w:r>
        <w:rPr>
          <w:lang w:eastAsia="en-US"/>
        </w:rPr>
        <w:t>percent for Asian peoples. Figure 4</w:t>
      </w:r>
      <w:r w:rsidRPr="00CC7E24">
        <w:rPr>
          <w:lang w:eastAsia="en-US"/>
        </w:rPr>
        <w:t xml:space="preserve"> shows the </w:t>
      </w:r>
      <w:r>
        <w:rPr>
          <w:lang w:eastAsia="en-US"/>
        </w:rPr>
        <w:t>time trend of coverage rates for Māori,</w:t>
      </w:r>
      <w:r w:rsidRPr="00CC7E24">
        <w:rPr>
          <w:lang w:eastAsia="en-US"/>
        </w:rPr>
        <w:t xml:space="preserve"> Pacific</w:t>
      </w:r>
      <w:r>
        <w:rPr>
          <w:lang w:eastAsia="en-US"/>
        </w:rPr>
        <w:t xml:space="preserve"> and Asian ethnic groups from 2011/12 to the current survey year, 2014/15</w:t>
      </w:r>
      <w:r w:rsidRPr="00CC7E24">
        <w:rPr>
          <w:lang w:eastAsia="en-US"/>
        </w:rPr>
        <w:t>.</w:t>
      </w:r>
    </w:p>
    <w:p w:rsidR="0089511D" w:rsidRDefault="0089511D" w:rsidP="006D13C6">
      <w:pPr>
        <w:rPr>
          <w:lang w:eastAsia="en-US"/>
        </w:rPr>
      </w:pPr>
    </w:p>
    <w:p w:rsidR="00095D83" w:rsidRDefault="0089511D" w:rsidP="006D13C6">
      <w:pPr>
        <w:pStyle w:val="Figure"/>
        <w:rPr>
          <w:lang w:eastAsia="en-US"/>
        </w:rPr>
      </w:pPr>
      <w:bookmarkStart w:id="244" w:name="_Toc434933661"/>
      <w:bookmarkStart w:id="245" w:name="_Toc435555088"/>
      <w:r>
        <w:rPr>
          <w:lang w:eastAsia="en-US"/>
        </w:rPr>
        <w:t>Figure 4</w:t>
      </w:r>
      <w:r w:rsidRPr="00E8136C">
        <w:rPr>
          <w:lang w:eastAsia="en-US"/>
        </w:rPr>
        <w:t xml:space="preserve">: Coverage rates (%) for </w:t>
      </w:r>
      <w:r w:rsidRPr="00126E02">
        <w:rPr>
          <w:lang w:eastAsia="en-US"/>
        </w:rPr>
        <w:t>Māori, Pacific</w:t>
      </w:r>
      <w:r>
        <w:rPr>
          <w:lang w:eastAsia="en-US"/>
        </w:rPr>
        <w:t xml:space="preserve"> and Asian</w:t>
      </w:r>
      <w:r w:rsidRPr="00126E02">
        <w:rPr>
          <w:lang w:eastAsia="en-US"/>
        </w:rPr>
        <w:t xml:space="preserve"> </w:t>
      </w:r>
      <w:r>
        <w:rPr>
          <w:lang w:eastAsia="en-US"/>
        </w:rPr>
        <w:t>groups, 2011/12–</w:t>
      </w:r>
      <w:r w:rsidRPr="00E8136C">
        <w:rPr>
          <w:lang w:eastAsia="en-US"/>
        </w:rPr>
        <w:t>2014/15</w:t>
      </w:r>
      <w:bookmarkEnd w:id="244"/>
      <w:bookmarkEnd w:id="245"/>
    </w:p>
    <w:p w:rsidR="0089511D" w:rsidRDefault="000A3EF4" w:rsidP="000A3EF4">
      <w:pPr>
        <w:rPr>
          <w:lang w:eastAsia="en-US"/>
        </w:rPr>
      </w:pPr>
      <w:r>
        <w:rPr>
          <w:noProof/>
          <w:lang w:eastAsia="en-NZ"/>
        </w:rPr>
        <w:drawing>
          <wp:inline distT="0" distB="0" distL="0" distR="0" wp14:anchorId="6E14FB18">
            <wp:extent cx="4314306" cy="2628699"/>
            <wp:effectExtent l="0" t="0" r="0" b="0"/>
            <wp:docPr id="19" name="Picture 19" title="Figure 4: Coverage rates (%) for Māori, Pacific and Asian groups, 2011/12–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18807" cy="2631441"/>
                    </a:xfrm>
                    <a:prstGeom prst="rect">
                      <a:avLst/>
                    </a:prstGeom>
                    <a:noFill/>
                  </pic:spPr>
                </pic:pic>
              </a:graphicData>
            </a:graphic>
          </wp:inline>
        </w:drawing>
      </w:r>
    </w:p>
    <w:p w:rsidR="0089511D" w:rsidRDefault="0089511D" w:rsidP="006D13C6">
      <w:pPr>
        <w:rPr>
          <w:lang w:eastAsia="en-US"/>
        </w:rPr>
      </w:pPr>
    </w:p>
    <w:p w:rsidR="00095D83" w:rsidRDefault="0089511D" w:rsidP="006D13C6">
      <w:pPr>
        <w:rPr>
          <w:lang w:eastAsia="en-US"/>
        </w:rPr>
      </w:pPr>
      <w:r>
        <w:rPr>
          <w:lang w:eastAsia="en-US"/>
        </w:rPr>
        <w:t>As Figure 4 shows,</w:t>
      </w:r>
      <w:r w:rsidRPr="00CC7E24">
        <w:rPr>
          <w:lang w:eastAsia="en-US"/>
        </w:rPr>
        <w:t xml:space="preserve"> </w:t>
      </w:r>
      <w:r>
        <w:rPr>
          <w:lang w:eastAsia="en-US"/>
        </w:rPr>
        <w:t xml:space="preserve">the </w:t>
      </w:r>
      <w:r w:rsidRPr="00CC7E24">
        <w:rPr>
          <w:lang w:eastAsia="en-US"/>
        </w:rPr>
        <w:t xml:space="preserve">coverage </w:t>
      </w:r>
      <w:r>
        <w:rPr>
          <w:lang w:eastAsia="en-US"/>
        </w:rPr>
        <w:t xml:space="preserve">rates are gradually improving </w:t>
      </w:r>
      <w:r w:rsidRPr="00CC7E24">
        <w:rPr>
          <w:lang w:eastAsia="en-US"/>
        </w:rPr>
        <w:t>for</w:t>
      </w:r>
      <w:r>
        <w:rPr>
          <w:lang w:eastAsia="en-US"/>
        </w:rPr>
        <w:t xml:space="preserve"> all three of these ethnic groups – Māori, </w:t>
      </w:r>
      <w:r w:rsidRPr="00CC7E24">
        <w:rPr>
          <w:lang w:eastAsia="en-US"/>
        </w:rPr>
        <w:t xml:space="preserve">Pacific </w:t>
      </w:r>
      <w:r>
        <w:rPr>
          <w:lang w:eastAsia="en-US"/>
        </w:rPr>
        <w:t>and Asian peoples.</w:t>
      </w:r>
    </w:p>
    <w:p w:rsidR="0089511D" w:rsidRDefault="0089511D" w:rsidP="006D13C6">
      <w:pPr>
        <w:rPr>
          <w:lang w:eastAsia="en-US"/>
        </w:rPr>
      </w:pPr>
    </w:p>
    <w:p w:rsidR="0089511D" w:rsidRDefault="0089511D" w:rsidP="006D13C6">
      <w:pPr>
        <w:rPr>
          <w:lang w:eastAsia="en-US"/>
        </w:rPr>
      </w:pPr>
      <w:r>
        <w:rPr>
          <w:lang w:eastAsia="en-US"/>
        </w:rPr>
        <w:lastRenderedPageBreak/>
        <w:t xml:space="preserve">In 2014/15 the coverage rates for neighbourhood deprivation quintiles were </w:t>
      </w:r>
      <w:r w:rsidRPr="008D3489">
        <w:rPr>
          <w:lang w:eastAsia="en-US"/>
        </w:rPr>
        <w:t>53</w:t>
      </w:r>
      <w:r>
        <w:rPr>
          <w:lang w:eastAsia="en-US"/>
        </w:rPr>
        <w:t xml:space="preserve"> percent (Q1), </w:t>
      </w:r>
      <w:r w:rsidRPr="008D3489">
        <w:rPr>
          <w:lang w:eastAsia="en-US"/>
        </w:rPr>
        <w:t>60</w:t>
      </w:r>
      <w:r w:rsidR="006D13C6">
        <w:rPr>
          <w:lang w:eastAsia="en-US"/>
        </w:rPr>
        <w:t> </w:t>
      </w:r>
      <w:r>
        <w:rPr>
          <w:lang w:eastAsia="en-US"/>
        </w:rPr>
        <w:t xml:space="preserve">percent (Q2), </w:t>
      </w:r>
      <w:r w:rsidRPr="008D3489">
        <w:rPr>
          <w:lang w:eastAsia="en-US"/>
        </w:rPr>
        <w:t>59</w:t>
      </w:r>
      <w:r>
        <w:rPr>
          <w:lang w:eastAsia="en-US"/>
        </w:rPr>
        <w:t xml:space="preserve"> percent (Q3), </w:t>
      </w:r>
      <w:r w:rsidRPr="008D3489">
        <w:rPr>
          <w:lang w:eastAsia="en-US"/>
        </w:rPr>
        <w:t>60</w:t>
      </w:r>
      <w:r>
        <w:rPr>
          <w:lang w:eastAsia="en-US"/>
        </w:rPr>
        <w:t xml:space="preserve"> percent (Q4) and </w:t>
      </w:r>
      <w:r w:rsidRPr="008D3489">
        <w:rPr>
          <w:lang w:eastAsia="en-US"/>
        </w:rPr>
        <w:t>72</w:t>
      </w:r>
      <w:r>
        <w:rPr>
          <w:lang w:eastAsia="en-US"/>
        </w:rPr>
        <w:t xml:space="preserve"> percent (Q5). Figure 5</w:t>
      </w:r>
      <w:r w:rsidRPr="00CC7E24">
        <w:rPr>
          <w:lang w:eastAsia="en-US"/>
        </w:rPr>
        <w:t xml:space="preserve"> shows the </w:t>
      </w:r>
      <w:r>
        <w:rPr>
          <w:lang w:eastAsia="en-US"/>
        </w:rPr>
        <w:t>time trend figures for Q1 to Q5 from 2011/12 to the current survey year, 2014/15</w:t>
      </w:r>
      <w:r w:rsidRPr="00CC7E24">
        <w:rPr>
          <w:lang w:eastAsia="en-US"/>
        </w:rPr>
        <w:t>.</w:t>
      </w:r>
    </w:p>
    <w:p w:rsidR="0089511D" w:rsidRDefault="0089511D" w:rsidP="006D13C6">
      <w:pPr>
        <w:rPr>
          <w:lang w:eastAsia="en-US"/>
        </w:rPr>
      </w:pPr>
    </w:p>
    <w:p w:rsidR="00095D83" w:rsidRDefault="0089511D" w:rsidP="006D13C6">
      <w:pPr>
        <w:pStyle w:val="Figure"/>
        <w:rPr>
          <w:lang w:eastAsia="en-US"/>
        </w:rPr>
      </w:pPr>
      <w:bookmarkStart w:id="246" w:name="_Toc434933662"/>
      <w:bookmarkStart w:id="247" w:name="_Toc435555089"/>
      <w:r>
        <w:rPr>
          <w:lang w:eastAsia="en-US"/>
        </w:rPr>
        <w:t>Figure 5</w:t>
      </w:r>
      <w:r w:rsidRPr="00E8136C">
        <w:rPr>
          <w:lang w:eastAsia="en-US"/>
        </w:rPr>
        <w:t>: Coverage rates (%)</w:t>
      </w:r>
      <w:r>
        <w:rPr>
          <w:lang w:eastAsia="en-US"/>
        </w:rPr>
        <w:t xml:space="preserve"> by NZDep2013</w:t>
      </w:r>
      <w:r w:rsidRPr="005104D3">
        <w:rPr>
          <w:lang w:eastAsia="en-US"/>
        </w:rPr>
        <w:t xml:space="preserve"> quintiles</w:t>
      </w:r>
      <w:r>
        <w:rPr>
          <w:lang w:eastAsia="en-US"/>
        </w:rPr>
        <w:t>, 2011/12–</w:t>
      </w:r>
      <w:r w:rsidRPr="00E8136C">
        <w:rPr>
          <w:lang w:eastAsia="en-US"/>
        </w:rPr>
        <w:t>2014/15</w:t>
      </w:r>
      <w:bookmarkEnd w:id="246"/>
      <w:bookmarkEnd w:id="247"/>
    </w:p>
    <w:p w:rsidR="0089511D" w:rsidRDefault="000A3EF4" w:rsidP="000A3EF4">
      <w:pPr>
        <w:rPr>
          <w:lang w:eastAsia="en-US"/>
        </w:rPr>
      </w:pPr>
      <w:r>
        <w:rPr>
          <w:noProof/>
          <w:lang w:eastAsia="en-NZ"/>
        </w:rPr>
        <w:drawing>
          <wp:inline distT="0" distB="0" distL="0" distR="0" wp14:anchorId="5405F8CB">
            <wp:extent cx="4314305" cy="2628700"/>
            <wp:effectExtent l="0" t="0" r="0" b="0"/>
            <wp:docPr id="20" name="Picture 20" title="Figure 5: Coverage rates (%) by NZDep2013 quintiles, 2011/12–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17557" cy="2630681"/>
                    </a:xfrm>
                    <a:prstGeom prst="rect">
                      <a:avLst/>
                    </a:prstGeom>
                    <a:noFill/>
                  </pic:spPr>
                </pic:pic>
              </a:graphicData>
            </a:graphic>
          </wp:inline>
        </w:drawing>
      </w:r>
    </w:p>
    <w:p w:rsidR="0089511D" w:rsidRDefault="0089511D" w:rsidP="006D13C6">
      <w:pPr>
        <w:rPr>
          <w:lang w:eastAsia="en-US"/>
        </w:rPr>
      </w:pPr>
    </w:p>
    <w:p w:rsidR="0089511D" w:rsidRPr="00DA4CB4" w:rsidRDefault="0089511D" w:rsidP="006D13C6">
      <w:pPr>
        <w:rPr>
          <w:lang w:eastAsia="en-US"/>
        </w:rPr>
      </w:pPr>
      <w:r w:rsidRPr="00DA4CB4">
        <w:rPr>
          <w:lang w:eastAsia="en-US"/>
        </w:rPr>
        <w:t xml:space="preserve">Figure </w:t>
      </w:r>
      <w:r>
        <w:rPr>
          <w:lang w:eastAsia="en-US"/>
        </w:rPr>
        <w:t>6</w:t>
      </w:r>
      <w:r w:rsidRPr="00DA4CB4">
        <w:rPr>
          <w:lang w:eastAsia="en-US"/>
        </w:rPr>
        <w:t xml:space="preserve"> shows the coverage rates by age and sex</w:t>
      </w:r>
      <w:r>
        <w:rPr>
          <w:lang w:eastAsia="en-US"/>
        </w:rPr>
        <w:t xml:space="preserve"> for 2014/15</w:t>
      </w:r>
      <w:r w:rsidRPr="00DA4CB4">
        <w:rPr>
          <w:lang w:eastAsia="en-US"/>
        </w:rPr>
        <w:t xml:space="preserve">. The pattern for Māori in Figure </w:t>
      </w:r>
      <w:r>
        <w:rPr>
          <w:lang w:eastAsia="en-US"/>
        </w:rPr>
        <w:t>7</w:t>
      </w:r>
      <w:r w:rsidRPr="00DA4CB4">
        <w:rPr>
          <w:lang w:eastAsia="en-US"/>
        </w:rPr>
        <w:t xml:space="preserve"> is similar to the overall pattern shown in Figure </w:t>
      </w:r>
      <w:r>
        <w:rPr>
          <w:lang w:eastAsia="en-US"/>
        </w:rPr>
        <w:t>6</w:t>
      </w:r>
      <w:r w:rsidRPr="00DA4CB4">
        <w:rPr>
          <w:lang w:eastAsia="en-US"/>
        </w:rPr>
        <w:t>.</w:t>
      </w:r>
    </w:p>
    <w:p w:rsidR="0089511D" w:rsidRDefault="0089511D" w:rsidP="006D13C6">
      <w:pPr>
        <w:rPr>
          <w:lang w:eastAsia="en-US"/>
        </w:rPr>
      </w:pPr>
    </w:p>
    <w:p w:rsidR="00095D83" w:rsidRDefault="0089511D" w:rsidP="006D13C6">
      <w:pPr>
        <w:pStyle w:val="Figure"/>
      </w:pPr>
      <w:bookmarkStart w:id="248" w:name="_Ref339269048"/>
      <w:bookmarkStart w:id="249" w:name="_Ref339597124"/>
      <w:bookmarkStart w:id="250" w:name="_Toc339878406"/>
      <w:bookmarkStart w:id="251" w:name="_Toc372445593"/>
      <w:bookmarkStart w:id="252" w:name="_Toc403044053"/>
      <w:bookmarkStart w:id="253" w:name="_Toc434933663"/>
      <w:bookmarkStart w:id="254" w:name="_Toc435555090"/>
      <w:r w:rsidRPr="00805094">
        <w:t xml:space="preserve">Figure </w:t>
      </w:r>
      <w:bookmarkEnd w:id="248"/>
      <w:bookmarkEnd w:id="249"/>
      <w:r>
        <w:t>6</w:t>
      </w:r>
      <w:r w:rsidRPr="00805094">
        <w:t>:</w:t>
      </w:r>
      <w:r w:rsidRPr="00CC7E24">
        <w:t xml:space="preserve"> Coverage rates (%)</w:t>
      </w:r>
      <w:r>
        <w:t xml:space="preserve"> for total population, by age group and sex, 2014</w:t>
      </w:r>
      <w:r w:rsidRPr="00CC7E24">
        <w:t>/1</w:t>
      </w:r>
      <w:bookmarkEnd w:id="250"/>
      <w:bookmarkEnd w:id="251"/>
      <w:bookmarkEnd w:id="252"/>
      <w:r>
        <w:t>5</w:t>
      </w:r>
      <w:bookmarkEnd w:id="253"/>
      <w:bookmarkEnd w:id="254"/>
    </w:p>
    <w:p w:rsidR="0089511D" w:rsidRDefault="000A3EF4" w:rsidP="000A3EF4">
      <w:pPr>
        <w:rPr>
          <w:noProof/>
          <w:lang w:eastAsia="en-NZ"/>
        </w:rPr>
      </w:pPr>
      <w:r>
        <w:rPr>
          <w:noProof/>
          <w:lang w:eastAsia="en-NZ"/>
        </w:rPr>
        <w:drawing>
          <wp:inline distT="0" distB="0" distL="0" distR="0" wp14:anchorId="2010499D">
            <wp:extent cx="4314305" cy="2628700"/>
            <wp:effectExtent l="0" t="0" r="0" b="635"/>
            <wp:docPr id="21" name="Picture 21" title="Figure 6: Coverage rates (%) for total population, by age group and sex,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20175" cy="2632277"/>
                    </a:xfrm>
                    <a:prstGeom prst="rect">
                      <a:avLst/>
                    </a:prstGeom>
                    <a:noFill/>
                  </pic:spPr>
                </pic:pic>
              </a:graphicData>
            </a:graphic>
          </wp:inline>
        </w:drawing>
      </w:r>
    </w:p>
    <w:p w:rsidR="0089511D" w:rsidRDefault="0089511D" w:rsidP="006D13C6">
      <w:pPr>
        <w:rPr>
          <w:noProof/>
          <w:lang w:eastAsia="en-NZ"/>
        </w:rPr>
      </w:pPr>
    </w:p>
    <w:p w:rsidR="0089511D" w:rsidRDefault="0089511D" w:rsidP="006D13C6">
      <w:pPr>
        <w:pStyle w:val="Figure"/>
      </w:pPr>
      <w:bookmarkStart w:id="255" w:name="_Toc403044054"/>
      <w:bookmarkStart w:id="256" w:name="_Toc434933664"/>
      <w:bookmarkStart w:id="257" w:name="_Toc435555091"/>
      <w:bookmarkStart w:id="258" w:name="_Toc339270043"/>
      <w:bookmarkStart w:id="259" w:name="_Toc340501958"/>
      <w:r>
        <w:lastRenderedPageBreak/>
        <w:t>Figure 7</w:t>
      </w:r>
      <w:r w:rsidRPr="006B12A7">
        <w:t>: Coverage rates (%) for M</w:t>
      </w:r>
      <w:r>
        <w:t>āori, by age group and sex, 2014</w:t>
      </w:r>
      <w:r w:rsidRPr="006B12A7">
        <w:t>/1</w:t>
      </w:r>
      <w:bookmarkEnd w:id="255"/>
      <w:r>
        <w:t>5</w:t>
      </w:r>
      <w:bookmarkEnd w:id="256"/>
      <w:bookmarkEnd w:id="257"/>
    </w:p>
    <w:p w:rsidR="00095D83" w:rsidRDefault="000A3EF4" w:rsidP="000A3EF4">
      <w:pPr>
        <w:rPr>
          <w:rFonts w:eastAsia="Cambria"/>
          <w:noProof/>
          <w:lang w:eastAsia="en-NZ"/>
        </w:rPr>
      </w:pPr>
      <w:r>
        <w:rPr>
          <w:rFonts w:eastAsia="Cambria"/>
          <w:noProof/>
          <w:lang w:eastAsia="en-NZ"/>
        </w:rPr>
        <w:drawing>
          <wp:inline distT="0" distB="0" distL="0" distR="0" wp14:anchorId="7B1A3B9C">
            <wp:extent cx="4322618" cy="2633765"/>
            <wp:effectExtent l="0" t="0" r="0" b="0"/>
            <wp:docPr id="22" name="Picture 22" title="Figure 7: Coverage rates (%) for Māori, by age group and sex,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24594" cy="2634969"/>
                    </a:xfrm>
                    <a:prstGeom prst="rect">
                      <a:avLst/>
                    </a:prstGeom>
                    <a:noFill/>
                  </pic:spPr>
                </pic:pic>
              </a:graphicData>
            </a:graphic>
          </wp:inline>
        </w:drawing>
      </w:r>
    </w:p>
    <w:p w:rsidR="0089511D" w:rsidRDefault="0089511D" w:rsidP="006D13C6">
      <w:pPr>
        <w:rPr>
          <w:rFonts w:eastAsia="Cambria"/>
          <w:lang w:eastAsia="en-US"/>
        </w:rPr>
      </w:pPr>
      <w:bookmarkStart w:id="260" w:name="_Toc372445578"/>
    </w:p>
    <w:p w:rsidR="0089511D" w:rsidRPr="00CC7E24" w:rsidRDefault="0089511D" w:rsidP="006D13C6">
      <w:pPr>
        <w:pStyle w:val="Heading2"/>
        <w:rPr>
          <w:rFonts w:eastAsia="Cambria"/>
          <w:lang w:eastAsia="en-US"/>
        </w:rPr>
      </w:pPr>
      <w:bookmarkStart w:id="261" w:name="_Toc403044033"/>
      <w:bookmarkStart w:id="262" w:name="_Toc434934541"/>
      <w:bookmarkStart w:id="263" w:name="_Toc435643035"/>
      <w:r w:rsidRPr="00CC7E24">
        <w:rPr>
          <w:rFonts w:eastAsia="Cambria"/>
          <w:lang w:eastAsia="en-US"/>
        </w:rPr>
        <w:t>Final weights</w:t>
      </w:r>
      <w:bookmarkEnd w:id="258"/>
      <w:bookmarkEnd w:id="259"/>
      <w:bookmarkEnd w:id="260"/>
      <w:bookmarkEnd w:id="261"/>
      <w:bookmarkEnd w:id="262"/>
      <w:bookmarkEnd w:id="263"/>
    </w:p>
    <w:p w:rsidR="0089511D" w:rsidRPr="00CC7E24" w:rsidRDefault="0089511D" w:rsidP="000A3EF4">
      <w:pPr>
        <w:rPr>
          <w:rFonts w:eastAsia="Cambria"/>
          <w:lang w:eastAsia="en-US"/>
        </w:rPr>
      </w:pPr>
      <w:r w:rsidRPr="001B6D3B">
        <w:rPr>
          <w:rFonts w:eastAsia="Cambria"/>
          <w:lang w:eastAsia="en-US"/>
        </w:rPr>
        <w:t xml:space="preserve">Section </w:t>
      </w:r>
      <w:r>
        <w:rPr>
          <w:rFonts w:eastAsia="Cambria"/>
          <w:lang w:eastAsia="en-US"/>
        </w:rPr>
        <w:t>7 has</w:t>
      </w:r>
      <w:r w:rsidRPr="001B6D3B">
        <w:rPr>
          <w:rFonts w:eastAsia="Cambria"/>
          <w:lang w:eastAsia="en-US"/>
        </w:rPr>
        <w:t xml:space="preserve"> explained how the calibrated weights were calculated. Table </w:t>
      </w:r>
      <w:r>
        <w:rPr>
          <w:rFonts w:eastAsia="Cambria"/>
          <w:lang w:eastAsia="en-US"/>
        </w:rPr>
        <w:t>5</w:t>
      </w:r>
      <w:r w:rsidRPr="001B6D3B">
        <w:rPr>
          <w:rFonts w:eastAsia="Cambria"/>
          <w:lang w:eastAsia="en-US"/>
        </w:rPr>
        <w:t xml:space="preserve"> gives basic descriptive</w:t>
      </w:r>
      <w:r w:rsidRPr="00CC7E24">
        <w:rPr>
          <w:rFonts w:eastAsia="Cambria"/>
          <w:lang w:eastAsia="en-US"/>
        </w:rPr>
        <w:t xml:space="preserve"> information on the final weights calculated for the </w:t>
      </w:r>
      <w:r>
        <w:rPr>
          <w:rFonts w:eastAsia="Cambria"/>
          <w:lang w:eastAsia="en-US"/>
        </w:rPr>
        <w:t>2014/15 survey</w:t>
      </w:r>
      <w:r w:rsidRPr="00CC7E24">
        <w:rPr>
          <w:rFonts w:eastAsia="Cambria"/>
          <w:lang w:eastAsia="en-US"/>
        </w:rPr>
        <w:t>.</w:t>
      </w:r>
    </w:p>
    <w:p w:rsidR="0089511D" w:rsidRPr="00CC7E24" w:rsidRDefault="0089511D" w:rsidP="000A3EF4">
      <w:pPr>
        <w:rPr>
          <w:rFonts w:eastAsia="Cambria"/>
          <w:lang w:eastAsia="en-US"/>
        </w:rPr>
      </w:pPr>
    </w:p>
    <w:p w:rsidR="0089511D" w:rsidRPr="00CC7E24" w:rsidRDefault="0089511D" w:rsidP="006D13C6">
      <w:pPr>
        <w:rPr>
          <w:rFonts w:eastAsia="Cambria"/>
          <w:lang w:eastAsia="en-US"/>
        </w:rPr>
      </w:pPr>
      <w:r w:rsidRPr="00CC7E24">
        <w:rPr>
          <w:rFonts w:eastAsia="Cambria"/>
          <w:lang w:eastAsia="en-US"/>
        </w:rPr>
        <w:t xml:space="preserve">The </w:t>
      </w:r>
      <w:r>
        <w:rPr>
          <w:rFonts w:eastAsia="Cambria"/>
          <w:lang w:eastAsia="en-US"/>
        </w:rPr>
        <w:t xml:space="preserve">g-weights are the </w:t>
      </w:r>
      <w:r w:rsidRPr="00CC7E24">
        <w:rPr>
          <w:rFonts w:eastAsia="Cambria"/>
          <w:lang w:eastAsia="en-US"/>
        </w:rPr>
        <w:t>ratio</w:t>
      </w:r>
      <w:r>
        <w:rPr>
          <w:rFonts w:eastAsia="Cambria"/>
          <w:lang w:eastAsia="en-US"/>
        </w:rPr>
        <w:t>s</w:t>
      </w:r>
      <w:r w:rsidRPr="00CC7E24">
        <w:rPr>
          <w:rFonts w:eastAsia="Cambria"/>
          <w:lang w:eastAsia="en-US"/>
        </w:rPr>
        <w:t xml:space="preserve"> of the final weight</w:t>
      </w:r>
      <w:r>
        <w:rPr>
          <w:rFonts w:eastAsia="Cambria"/>
          <w:lang w:eastAsia="en-US"/>
        </w:rPr>
        <w:t>s</w:t>
      </w:r>
      <w:r w:rsidRPr="00CC7E24">
        <w:rPr>
          <w:rFonts w:eastAsia="Cambria"/>
          <w:lang w:eastAsia="en-US"/>
        </w:rPr>
        <w:t xml:space="preserve"> to the initial selection weight</w:t>
      </w:r>
      <w:r>
        <w:rPr>
          <w:rFonts w:eastAsia="Cambria"/>
          <w:lang w:eastAsia="en-US"/>
        </w:rPr>
        <w:t>s. The mean g</w:t>
      </w:r>
      <w:r w:rsidR="006D13C6">
        <w:rPr>
          <w:rFonts w:eastAsia="Cambria"/>
          <w:lang w:eastAsia="en-US"/>
        </w:rPr>
        <w:noBreakHyphen/>
      </w:r>
      <w:r>
        <w:rPr>
          <w:rFonts w:eastAsia="Cambria"/>
          <w:lang w:eastAsia="en-US"/>
        </w:rPr>
        <w:t>weight is approximately 1.9. This means</w:t>
      </w:r>
      <w:r w:rsidRPr="00CC7E24">
        <w:rPr>
          <w:rFonts w:eastAsia="Cambria"/>
          <w:lang w:eastAsia="en-US"/>
        </w:rPr>
        <w:t xml:space="preserve"> the calibrated weights, </w:t>
      </w:r>
      <w:r>
        <w:rPr>
          <w:rFonts w:eastAsia="Cambria"/>
          <w:lang w:eastAsia="en-US"/>
        </w:rPr>
        <w:t>which</w:t>
      </w:r>
      <w:r w:rsidRPr="00CC7E24">
        <w:rPr>
          <w:rFonts w:eastAsia="Cambria"/>
          <w:lang w:eastAsia="en-US"/>
        </w:rPr>
        <w:t xml:space="preserve"> were calculated using population benchmark information, have changed the initial selection weight by a</w:t>
      </w:r>
      <w:r>
        <w:rPr>
          <w:rFonts w:eastAsia="Cambria"/>
          <w:lang w:eastAsia="en-US"/>
        </w:rPr>
        <w:t>n average</w:t>
      </w:r>
      <w:r w:rsidRPr="00CC7E24">
        <w:rPr>
          <w:rFonts w:eastAsia="Cambria"/>
          <w:lang w:eastAsia="en-US"/>
        </w:rPr>
        <w:t xml:space="preserve"> factor of </w:t>
      </w:r>
      <w:r w:rsidRPr="002B34AC">
        <w:rPr>
          <w:rFonts w:eastAsia="Cambria"/>
          <w:lang w:eastAsia="en-US"/>
        </w:rPr>
        <w:t>1.9</w:t>
      </w:r>
      <w:r w:rsidRPr="00B64486">
        <w:rPr>
          <w:rFonts w:eastAsia="Cambria"/>
          <w:lang w:eastAsia="en-US"/>
        </w:rPr>
        <w:t>.</w:t>
      </w:r>
    </w:p>
    <w:p w:rsidR="0089511D" w:rsidRPr="00CC7E24" w:rsidRDefault="0089511D" w:rsidP="006D13C6">
      <w:pPr>
        <w:rPr>
          <w:rFonts w:eastAsia="Cambria"/>
          <w:lang w:eastAsia="en-US"/>
        </w:rPr>
      </w:pPr>
    </w:p>
    <w:p w:rsidR="0089511D" w:rsidRPr="00CC7E24" w:rsidRDefault="0089511D" w:rsidP="006D13C6">
      <w:pPr>
        <w:pStyle w:val="Table"/>
      </w:pPr>
      <w:bookmarkStart w:id="264" w:name="_Ref339269124"/>
      <w:bookmarkStart w:id="265" w:name="_Toc339878417"/>
      <w:bookmarkStart w:id="266" w:name="_Toc372445587"/>
      <w:bookmarkStart w:id="267" w:name="_Toc403044042"/>
      <w:bookmarkStart w:id="268" w:name="_Toc434933610"/>
      <w:bookmarkStart w:id="269" w:name="_Toc435555080"/>
      <w:r w:rsidRPr="00805094">
        <w:t xml:space="preserve">Table </w:t>
      </w:r>
      <w:bookmarkEnd w:id="264"/>
      <w:r>
        <w:t>5</w:t>
      </w:r>
      <w:r w:rsidRPr="00805094">
        <w:t>:</w:t>
      </w:r>
      <w:r w:rsidRPr="00805094">
        <w:rPr>
          <w:rFonts w:eastAsia="Cambria"/>
        </w:rPr>
        <w:t xml:space="preserve"> Final</w:t>
      </w:r>
      <w:r w:rsidRPr="00CC7E24">
        <w:rPr>
          <w:rFonts w:eastAsia="Cambria"/>
        </w:rPr>
        <w:t xml:space="preserve"> weights</w:t>
      </w:r>
      <w:r>
        <w:rPr>
          <w:rFonts w:eastAsia="Cambria"/>
        </w:rPr>
        <w:t>, 2014</w:t>
      </w:r>
      <w:r w:rsidRPr="00CC7E24">
        <w:rPr>
          <w:rFonts w:eastAsia="Cambria"/>
        </w:rPr>
        <w:t>/1</w:t>
      </w:r>
      <w:bookmarkEnd w:id="265"/>
      <w:bookmarkEnd w:id="266"/>
      <w:bookmarkEnd w:id="267"/>
      <w:r>
        <w:rPr>
          <w:rFonts w:eastAsia="Cambria"/>
        </w:rPr>
        <w:t>5</w:t>
      </w:r>
      <w:bookmarkEnd w:id="268"/>
      <w:bookmarkEnd w:id="269"/>
    </w:p>
    <w:tbl>
      <w:tblPr>
        <w:tblW w:w="0" w:type="auto"/>
        <w:tblInd w:w="57" w:type="dxa"/>
        <w:tblBorders>
          <w:top w:val="single" w:sz="4" w:space="0" w:color="auto"/>
          <w:bottom w:val="single" w:sz="4" w:space="0" w:color="auto"/>
        </w:tblBorders>
        <w:tblLayout w:type="fixed"/>
        <w:tblCellMar>
          <w:left w:w="57" w:type="dxa"/>
          <w:right w:w="57" w:type="dxa"/>
        </w:tblCellMar>
        <w:tblLook w:val="00A0" w:firstRow="1" w:lastRow="0" w:firstColumn="1" w:lastColumn="0" w:noHBand="0" w:noVBand="0"/>
      </w:tblPr>
      <w:tblGrid>
        <w:gridCol w:w="4962"/>
        <w:gridCol w:w="1842"/>
      </w:tblGrid>
      <w:tr w:rsidR="0089511D" w:rsidRPr="00805094" w:rsidTr="006D13C6">
        <w:trPr>
          <w:cantSplit/>
        </w:trPr>
        <w:tc>
          <w:tcPr>
            <w:tcW w:w="4962" w:type="dxa"/>
            <w:tcBorders>
              <w:top w:val="single" w:sz="4" w:space="0" w:color="auto"/>
              <w:bottom w:val="single" w:sz="4" w:space="0" w:color="auto"/>
            </w:tcBorders>
            <w:shd w:val="clear" w:color="auto" w:fill="auto"/>
          </w:tcPr>
          <w:p w:rsidR="0089511D" w:rsidRPr="00805094" w:rsidRDefault="0089511D" w:rsidP="006D13C6">
            <w:pPr>
              <w:pStyle w:val="TableText"/>
              <w:rPr>
                <w:rFonts w:eastAsia="Cambria"/>
                <w:b/>
                <w:lang w:eastAsia="en-US"/>
              </w:rPr>
            </w:pPr>
          </w:p>
        </w:tc>
        <w:tc>
          <w:tcPr>
            <w:tcW w:w="1842" w:type="dxa"/>
            <w:tcBorders>
              <w:top w:val="single" w:sz="4" w:space="0" w:color="auto"/>
              <w:bottom w:val="single" w:sz="4" w:space="0" w:color="auto"/>
            </w:tcBorders>
            <w:shd w:val="clear" w:color="auto" w:fill="auto"/>
          </w:tcPr>
          <w:p w:rsidR="0089511D" w:rsidRPr="00805094" w:rsidRDefault="0089511D" w:rsidP="006D13C6">
            <w:pPr>
              <w:pStyle w:val="TableText"/>
              <w:jc w:val="center"/>
              <w:rPr>
                <w:rFonts w:eastAsia="Cambria"/>
                <w:b/>
                <w:lang w:eastAsia="en-US"/>
              </w:rPr>
            </w:pPr>
            <w:r w:rsidRPr="00805094">
              <w:rPr>
                <w:rFonts w:eastAsia="Cambria"/>
                <w:b/>
                <w:lang w:eastAsia="en-US"/>
              </w:rPr>
              <w:t>Final weight</w:t>
            </w:r>
          </w:p>
        </w:tc>
      </w:tr>
      <w:tr w:rsidR="0089511D" w:rsidRPr="00CC7E24" w:rsidTr="006D13C6">
        <w:trPr>
          <w:cantSplit/>
        </w:trPr>
        <w:tc>
          <w:tcPr>
            <w:tcW w:w="4962" w:type="dxa"/>
            <w:tcBorders>
              <w:top w:val="single" w:sz="4" w:space="0" w:color="auto"/>
              <w:bottom w:val="single" w:sz="4" w:space="0" w:color="A6A6A6" w:themeColor="background1" w:themeShade="A6"/>
            </w:tcBorders>
            <w:shd w:val="clear" w:color="auto" w:fill="auto"/>
          </w:tcPr>
          <w:p w:rsidR="0089511D" w:rsidRPr="00CC7E24" w:rsidRDefault="0089511D" w:rsidP="006D13C6">
            <w:pPr>
              <w:pStyle w:val="TableText"/>
              <w:rPr>
                <w:rFonts w:eastAsia="Cambria"/>
                <w:lang w:eastAsia="en-US"/>
              </w:rPr>
            </w:pPr>
            <w:r w:rsidRPr="00CC7E24">
              <w:rPr>
                <w:rFonts w:eastAsia="Cambria"/>
                <w:lang w:eastAsia="en-US"/>
              </w:rPr>
              <w:t>Minimum</w:t>
            </w:r>
          </w:p>
        </w:tc>
        <w:tc>
          <w:tcPr>
            <w:tcW w:w="1842" w:type="dxa"/>
            <w:tcBorders>
              <w:top w:val="single" w:sz="4" w:space="0" w:color="auto"/>
              <w:bottom w:val="single" w:sz="4" w:space="0" w:color="A6A6A6" w:themeColor="background1" w:themeShade="A6"/>
            </w:tcBorders>
            <w:shd w:val="clear" w:color="auto" w:fill="auto"/>
          </w:tcPr>
          <w:p w:rsidR="0089511D" w:rsidRPr="00CC7E24" w:rsidRDefault="0089511D" w:rsidP="006D13C6">
            <w:pPr>
              <w:pStyle w:val="TableText"/>
              <w:ind w:right="567"/>
              <w:jc w:val="right"/>
              <w:rPr>
                <w:rFonts w:eastAsia="Cambria"/>
                <w:lang w:eastAsia="en-US"/>
              </w:rPr>
            </w:pPr>
            <w:r>
              <w:rPr>
                <w:rFonts w:eastAsia="Cambria"/>
                <w:lang w:eastAsia="en-US"/>
              </w:rPr>
              <w:t>11</w:t>
            </w:r>
          </w:p>
        </w:tc>
      </w:tr>
      <w:tr w:rsidR="0089511D" w:rsidRPr="00CC7E24" w:rsidTr="006D13C6">
        <w:trPr>
          <w:cantSplit/>
        </w:trPr>
        <w:tc>
          <w:tcPr>
            <w:tcW w:w="4962" w:type="dxa"/>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6D13C6">
            <w:pPr>
              <w:pStyle w:val="TableText"/>
              <w:rPr>
                <w:rFonts w:eastAsia="Cambria"/>
                <w:lang w:eastAsia="en-US"/>
              </w:rPr>
            </w:pPr>
            <w:r w:rsidRPr="00CC7E24">
              <w:rPr>
                <w:rFonts w:eastAsia="Cambria"/>
                <w:lang w:eastAsia="en-US"/>
              </w:rPr>
              <w:t>Median</w:t>
            </w:r>
          </w:p>
        </w:tc>
        <w:tc>
          <w:tcPr>
            <w:tcW w:w="1842" w:type="dxa"/>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6D13C6">
            <w:pPr>
              <w:pStyle w:val="TableText"/>
              <w:ind w:right="567"/>
              <w:jc w:val="right"/>
              <w:rPr>
                <w:rFonts w:eastAsia="Cambria"/>
                <w:lang w:eastAsia="en-US"/>
              </w:rPr>
            </w:pPr>
            <w:r>
              <w:rPr>
                <w:rFonts w:eastAsia="Cambria"/>
                <w:lang w:eastAsia="en-US"/>
              </w:rPr>
              <w:t>189</w:t>
            </w:r>
          </w:p>
        </w:tc>
      </w:tr>
      <w:tr w:rsidR="0089511D" w:rsidRPr="00CC7E24" w:rsidTr="006D13C6">
        <w:trPr>
          <w:cantSplit/>
        </w:trPr>
        <w:tc>
          <w:tcPr>
            <w:tcW w:w="4962" w:type="dxa"/>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6D13C6">
            <w:pPr>
              <w:pStyle w:val="TableText"/>
              <w:rPr>
                <w:rFonts w:eastAsia="Cambria"/>
                <w:lang w:eastAsia="en-US"/>
              </w:rPr>
            </w:pPr>
            <w:r w:rsidRPr="00CC7E24">
              <w:rPr>
                <w:rFonts w:eastAsia="Cambria"/>
                <w:lang w:eastAsia="en-US"/>
              </w:rPr>
              <w:t>90</w:t>
            </w:r>
            <w:r>
              <w:rPr>
                <w:rFonts w:eastAsia="Cambria"/>
                <w:lang w:eastAsia="en-US"/>
              </w:rPr>
              <w:t>th</w:t>
            </w:r>
            <w:r w:rsidRPr="00CC7E24">
              <w:rPr>
                <w:rFonts w:eastAsia="Cambria"/>
                <w:lang w:eastAsia="en-US"/>
              </w:rPr>
              <w:t xml:space="preserve"> percentile</w:t>
            </w:r>
          </w:p>
        </w:tc>
        <w:tc>
          <w:tcPr>
            <w:tcW w:w="1842" w:type="dxa"/>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6D13C6">
            <w:pPr>
              <w:pStyle w:val="TableText"/>
              <w:ind w:right="567"/>
              <w:jc w:val="right"/>
              <w:rPr>
                <w:rFonts w:eastAsia="Cambria"/>
                <w:lang w:eastAsia="en-US"/>
              </w:rPr>
            </w:pPr>
            <w:r>
              <w:rPr>
                <w:rFonts w:eastAsia="Cambria"/>
                <w:lang w:eastAsia="en-US"/>
              </w:rPr>
              <w:t>576</w:t>
            </w:r>
          </w:p>
        </w:tc>
      </w:tr>
      <w:tr w:rsidR="0089511D" w:rsidRPr="00CC7E24" w:rsidTr="006D13C6">
        <w:trPr>
          <w:cantSplit/>
        </w:trPr>
        <w:tc>
          <w:tcPr>
            <w:tcW w:w="4962" w:type="dxa"/>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6D13C6">
            <w:pPr>
              <w:pStyle w:val="TableText"/>
              <w:rPr>
                <w:rFonts w:eastAsia="Cambria"/>
                <w:lang w:eastAsia="en-US"/>
              </w:rPr>
            </w:pPr>
            <w:r w:rsidRPr="00CC7E24">
              <w:rPr>
                <w:rFonts w:eastAsia="Cambria"/>
                <w:lang w:eastAsia="en-US"/>
              </w:rPr>
              <w:t>95</w:t>
            </w:r>
            <w:r>
              <w:rPr>
                <w:rFonts w:eastAsia="Cambria"/>
                <w:lang w:eastAsia="en-US"/>
              </w:rPr>
              <w:t>th</w:t>
            </w:r>
            <w:r w:rsidRPr="00CC7E24">
              <w:rPr>
                <w:rFonts w:eastAsia="Cambria"/>
                <w:lang w:eastAsia="en-US"/>
              </w:rPr>
              <w:t xml:space="preserve"> percentile</w:t>
            </w:r>
          </w:p>
        </w:tc>
        <w:tc>
          <w:tcPr>
            <w:tcW w:w="1842" w:type="dxa"/>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6D13C6">
            <w:pPr>
              <w:pStyle w:val="TableText"/>
              <w:ind w:right="567"/>
              <w:jc w:val="right"/>
              <w:rPr>
                <w:rFonts w:eastAsia="Cambria"/>
                <w:lang w:eastAsia="en-US"/>
              </w:rPr>
            </w:pPr>
            <w:r>
              <w:rPr>
                <w:rFonts w:eastAsia="Cambria"/>
                <w:lang w:eastAsia="en-US"/>
              </w:rPr>
              <w:t>797</w:t>
            </w:r>
          </w:p>
        </w:tc>
      </w:tr>
      <w:tr w:rsidR="0089511D" w:rsidRPr="00CC7E24" w:rsidTr="006D13C6">
        <w:trPr>
          <w:cantSplit/>
        </w:trPr>
        <w:tc>
          <w:tcPr>
            <w:tcW w:w="4962" w:type="dxa"/>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6D13C6">
            <w:pPr>
              <w:pStyle w:val="TableText"/>
              <w:rPr>
                <w:rFonts w:eastAsia="Cambria"/>
                <w:lang w:eastAsia="en-US"/>
              </w:rPr>
            </w:pPr>
            <w:r w:rsidRPr="00CC7E24">
              <w:rPr>
                <w:rFonts w:eastAsia="Cambria"/>
                <w:lang w:eastAsia="en-US"/>
              </w:rPr>
              <w:t>99</w:t>
            </w:r>
            <w:r>
              <w:rPr>
                <w:rFonts w:eastAsia="Cambria"/>
                <w:lang w:eastAsia="en-US"/>
              </w:rPr>
              <w:t>th</w:t>
            </w:r>
            <w:r w:rsidRPr="00CC7E24">
              <w:rPr>
                <w:rFonts w:eastAsia="Cambria"/>
                <w:lang w:eastAsia="en-US"/>
              </w:rPr>
              <w:t xml:space="preserve"> percentile</w:t>
            </w:r>
          </w:p>
        </w:tc>
        <w:tc>
          <w:tcPr>
            <w:tcW w:w="1842" w:type="dxa"/>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6D13C6">
            <w:pPr>
              <w:pStyle w:val="TableText"/>
              <w:ind w:right="567"/>
              <w:jc w:val="right"/>
              <w:rPr>
                <w:rFonts w:eastAsia="Cambria"/>
                <w:lang w:eastAsia="en-US"/>
              </w:rPr>
            </w:pPr>
            <w:r>
              <w:rPr>
                <w:rFonts w:eastAsia="Cambria"/>
                <w:lang w:eastAsia="en-US"/>
              </w:rPr>
              <w:t>1346</w:t>
            </w:r>
          </w:p>
        </w:tc>
      </w:tr>
      <w:tr w:rsidR="0089511D" w:rsidRPr="00CC7E24" w:rsidTr="006D13C6">
        <w:trPr>
          <w:cantSplit/>
        </w:trPr>
        <w:tc>
          <w:tcPr>
            <w:tcW w:w="4962" w:type="dxa"/>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6D13C6">
            <w:pPr>
              <w:pStyle w:val="TableText"/>
              <w:rPr>
                <w:rFonts w:eastAsia="Cambria"/>
                <w:lang w:eastAsia="en-US"/>
              </w:rPr>
            </w:pPr>
            <w:r w:rsidRPr="00CC7E24">
              <w:rPr>
                <w:rFonts w:eastAsia="Cambria"/>
                <w:lang w:eastAsia="en-US"/>
              </w:rPr>
              <w:t>Maximum</w:t>
            </w:r>
          </w:p>
        </w:tc>
        <w:tc>
          <w:tcPr>
            <w:tcW w:w="1842" w:type="dxa"/>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6D13C6">
            <w:pPr>
              <w:pStyle w:val="TableText"/>
              <w:ind w:right="567"/>
              <w:jc w:val="right"/>
              <w:rPr>
                <w:rFonts w:eastAsia="Cambria"/>
                <w:lang w:eastAsia="en-US"/>
              </w:rPr>
            </w:pPr>
            <w:r w:rsidRPr="00CC7E24">
              <w:rPr>
                <w:rFonts w:eastAsia="Cambria"/>
                <w:lang w:eastAsia="en-US"/>
              </w:rPr>
              <w:t>16</w:t>
            </w:r>
            <w:r>
              <w:rPr>
                <w:rFonts w:eastAsia="Cambria"/>
                <w:lang w:eastAsia="en-US"/>
              </w:rPr>
              <w:t>25</w:t>
            </w:r>
          </w:p>
        </w:tc>
      </w:tr>
      <w:tr w:rsidR="0089511D" w:rsidRPr="00CC7E24" w:rsidTr="006D13C6">
        <w:trPr>
          <w:cantSplit/>
        </w:trPr>
        <w:tc>
          <w:tcPr>
            <w:tcW w:w="4962" w:type="dxa"/>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1E4900">
            <w:pPr>
              <w:pStyle w:val="TableText"/>
              <w:rPr>
                <w:rFonts w:eastAsia="Cambria"/>
                <w:lang w:eastAsia="en-US"/>
              </w:rPr>
            </w:pPr>
            <w:r w:rsidRPr="00CC7E24">
              <w:rPr>
                <w:rFonts w:eastAsia="Cambria"/>
                <w:lang w:eastAsia="en-US"/>
              </w:rPr>
              <w:t>Coefficient of variation (</w:t>
            </w:r>
            <w:proofErr w:type="gramStart"/>
            <w:r w:rsidRPr="00CC7E24">
              <w:rPr>
                <w:rFonts w:eastAsia="Cambria"/>
                <w:lang w:eastAsia="en-US"/>
              </w:rPr>
              <w:t>CV%</w:t>
            </w:r>
            <w:proofErr w:type="gramEnd"/>
            <w:r w:rsidRPr="00CC7E24">
              <w:rPr>
                <w:rFonts w:eastAsia="Cambria"/>
                <w:lang w:eastAsia="en-US"/>
              </w:rPr>
              <w:t>)</w:t>
            </w:r>
          </w:p>
        </w:tc>
        <w:tc>
          <w:tcPr>
            <w:tcW w:w="1842" w:type="dxa"/>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1E4900">
            <w:pPr>
              <w:pStyle w:val="TableText"/>
              <w:ind w:right="567"/>
              <w:jc w:val="right"/>
              <w:rPr>
                <w:rFonts w:eastAsia="Cambria"/>
                <w:lang w:eastAsia="en-US"/>
              </w:rPr>
            </w:pPr>
            <w:r>
              <w:rPr>
                <w:rFonts w:eastAsia="Cambria"/>
                <w:lang w:eastAsia="en-US"/>
              </w:rPr>
              <w:t>94.1</w:t>
            </w:r>
          </w:p>
        </w:tc>
      </w:tr>
      <w:tr w:rsidR="0089511D" w:rsidRPr="00CC7E24" w:rsidTr="006D13C6">
        <w:trPr>
          <w:cantSplit/>
        </w:trPr>
        <w:tc>
          <w:tcPr>
            <w:tcW w:w="4962" w:type="dxa"/>
            <w:tcBorders>
              <w:top w:val="single" w:sz="4" w:space="0" w:color="A6A6A6" w:themeColor="background1" w:themeShade="A6"/>
              <w:bottom w:val="single" w:sz="4" w:space="0" w:color="auto"/>
            </w:tcBorders>
            <w:shd w:val="clear" w:color="auto" w:fill="auto"/>
          </w:tcPr>
          <w:p w:rsidR="0089511D" w:rsidRPr="00CC7E24" w:rsidRDefault="0089511D" w:rsidP="001E4900">
            <w:pPr>
              <w:pStyle w:val="TableText"/>
              <w:rPr>
                <w:rFonts w:eastAsia="Cambria"/>
                <w:lang w:eastAsia="en-US"/>
              </w:rPr>
            </w:pPr>
            <w:r w:rsidRPr="00CC7E24">
              <w:rPr>
                <w:rFonts w:eastAsia="Cambria"/>
                <w:lang w:eastAsia="en-US"/>
              </w:rPr>
              <w:t>Approximate design effect due to weighting (1</w:t>
            </w:r>
            <w:r>
              <w:rPr>
                <w:rFonts w:eastAsia="Cambria"/>
                <w:lang w:eastAsia="en-US"/>
              </w:rPr>
              <w:t xml:space="preserve"> </w:t>
            </w:r>
            <w:r w:rsidRPr="00CC7E24">
              <w:rPr>
                <w:rFonts w:eastAsia="Cambria"/>
                <w:lang w:eastAsia="en-US"/>
              </w:rPr>
              <w:t>+</w:t>
            </w:r>
            <w:r>
              <w:rPr>
                <w:rFonts w:eastAsia="Cambria"/>
                <w:lang w:eastAsia="en-US"/>
              </w:rPr>
              <w:t xml:space="preserve"> </w:t>
            </w:r>
            <w:r w:rsidRPr="00CC7E24">
              <w:rPr>
                <w:rFonts w:eastAsia="Cambria"/>
                <w:lang w:eastAsia="en-US"/>
              </w:rPr>
              <w:t>CV</w:t>
            </w:r>
            <w:r w:rsidRPr="00CC7E24">
              <w:rPr>
                <w:rFonts w:eastAsia="Cambria"/>
                <w:vertAlign w:val="superscript"/>
                <w:lang w:eastAsia="en-US"/>
              </w:rPr>
              <w:t>2</w:t>
            </w:r>
            <w:r w:rsidRPr="00CC7E24">
              <w:rPr>
                <w:rFonts w:eastAsia="Cambria"/>
                <w:lang w:eastAsia="en-US"/>
              </w:rPr>
              <w:t>)</w:t>
            </w:r>
          </w:p>
        </w:tc>
        <w:tc>
          <w:tcPr>
            <w:tcW w:w="1842" w:type="dxa"/>
            <w:tcBorders>
              <w:top w:val="single" w:sz="4" w:space="0" w:color="A6A6A6" w:themeColor="background1" w:themeShade="A6"/>
              <w:bottom w:val="single" w:sz="4" w:space="0" w:color="auto"/>
            </w:tcBorders>
            <w:shd w:val="clear" w:color="auto" w:fill="auto"/>
          </w:tcPr>
          <w:p w:rsidR="0089511D" w:rsidRPr="00CC7E24" w:rsidRDefault="0089511D" w:rsidP="001E4900">
            <w:pPr>
              <w:pStyle w:val="TableText"/>
              <w:ind w:right="567"/>
              <w:jc w:val="right"/>
              <w:rPr>
                <w:rFonts w:eastAsia="Cambria"/>
                <w:lang w:eastAsia="en-US"/>
              </w:rPr>
            </w:pPr>
            <w:r>
              <w:rPr>
                <w:rFonts w:eastAsia="Cambria"/>
                <w:lang w:eastAsia="en-US"/>
              </w:rPr>
              <w:t>1.</w:t>
            </w:r>
            <w:r w:rsidDel="002B34AC">
              <w:rPr>
                <w:rFonts w:eastAsia="Cambria"/>
                <w:lang w:eastAsia="en-US"/>
              </w:rPr>
              <w:t xml:space="preserve"> </w:t>
            </w:r>
            <w:r>
              <w:rPr>
                <w:rFonts w:eastAsia="Cambria"/>
                <w:lang w:eastAsia="en-US"/>
              </w:rPr>
              <w:t>9</w:t>
            </w:r>
          </w:p>
        </w:tc>
      </w:tr>
    </w:tbl>
    <w:p w:rsidR="0089511D" w:rsidRDefault="0089511D" w:rsidP="006D13C6">
      <w:bookmarkStart w:id="270" w:name="_Toc339270044"/>
      <w:bookmarkStart w:id="271" w:name="_Toc340501959"/>
      <w:bookmarkStart w:id="272" w:name="_Toc372445579"/>
      <w:bookmarkStart w:id="273" w:name="_Toc199225803"/>
    </w:p>
    <w:p w:rsidR="0089511D" w:rsidRPr="00CC7E24" w:rsidRDefault="0089511D" w:rsidP="006D13C6">
      <w:pPr>
        <w:pStyle w:val="Heading2"/>
      </w:pPr>
      <w:bookmarkStart w:id="274" w:name="_Toc403044034"/>
      <w:bookmarkStart w:id="275" w:name="_Toc434934542"/>
      <w:bookmarkStart w:id="276" w:name="_Toc435643036"/>
      <w:r w:rsidRPr="00CC7E24">
        <w:lastRenderedPageBreak/>
        <w:t>Sample sizes</w:t>
      </w:r>
      <w:bookmarkEnd w:id="270"/>
      <w:bookmarkEnd w:id="271"/>
      <w:bookmarkEnd w:id="272"/>
      <w:bookmarkEnd w:id="274"/>
      <w:bookmarkEnd w:id="275"/>
      <w:bookmarkEnd w:id="276"/>
    </w:p>
    <w:p w:rsidR="0089511D" w:rsidRDefault="0089511D" w:rsidP="000A3EF4">
      <w:pPr>
        <w:keepNext/>
      </w:pPr>
      <w:r>
        <w:t>Tables 6–9</w:t>
      </w:r>
      <w:r w:rsidRPr="00CC7E24">
        <w:t xml:space="preserve"> show the </w:t>
      </w:r>
      <w:r>
        <w:rPr>
          <w:bCs/>
        </w:rPr>
        <w:t>2014/15</w:t>
      </w:r>
      <w:r w:rsidRPr="00CC7E24">
        <w:rPr>
          <w:bCs/>
        </w:rPr>
        <w:t xml:space="preserve"> NZHS</w:t>
      </w:r>
      <w:r w:rsidRPr="00CC7E24">
        <w:t xml:space="preserve"> sample sizes and the total usually resident population counts</w:t>
      </w:r>
      <w:r>
        <w:t>,</w:t>
      </w:r>
      <w:r w:rsidRPr="00CC7E24">
        <w:t xml:space="preserve"> by </w:t>
      </w:r>
      <w:r>
        <w:t xml:space="preserve">sex, ethnicity, </w:t>
      </w:r>
      <w:proofErr w:type="gramStart"/>
      <w:r>
        <w:t>age</w:t>
      </w:r>
      <w:proofErr w:type="gramEnd"/>
      <w:r>
        <w:t xml:space="preserve"> and NZDep2013</w:t>
      </w:r>
      <w:r w:rsidRPr="00CC7E24">
        <w:t xml:space="preserve"> quintile.</w:t>
      </w:r>
    </w:p>
    <w:p w:rsidR="0089511D" w:rsidRPr="00CC7E24" w:rsidRDefault="0089511D" w:rsidP="000A3EF4">
      <w:pPr>
        <w:keepNext/>
      </w:pPr>
    </w:p>
    <w:p w:rsidR="0089511D" w:rsidRPr="00CC7E24" w:rsidRDefault="0089511D" w:rsidP="000A3EF4">
      <w:pPr>
        <w:pStyle w:val="Table"/>
      </w:pPr>
      <w:bookmarkStart w:id="277" w:name="_Ref339269445"/>
      <w:bookmarkStart w:id="278" w:name="_Toc339878418"/>
      <w:bookmarkStart w:id="279" w:name="_Toc372445588"/>
      <w:bookmarkStart w:id="280" w:name="_Toc403044043"/>
      <w:bookmarkStart w:id="281" w:name="_Toc434933611"/>
      <w:bookmarkStart w:id="282" w:name="_Toc435555081"/>
      <w:r w:rsidRPr="00805094">
        <w:t xml:space="preserve">Table </w:t>
      </w:r>
      <w:bookmarkEnd w:id="277"/>
      <w:r>
        <w:t>6</w:t>
      </w:r>
      <w:r w:rsidRPr="00805094">
        <w:t>:</w:t>
      </w:r>
      <w:r w:rsidRPr="00CC7E24">
        <w:t xml:space="preserve"> Sample sizes and population counts fo</w:t>
      </w:r>
      <w:r>
        <w:t>r children and adults, by sex,</w:t>
      </w:r>
      <w:r w:rsidRPr="00CC7E24">
        <w:t xml:space="preserve"> </w:t>
      </w:r>
      <w:r>
        <w:rPr>
          <w:bCs/>
        </w:rPr>
        <w:t>2014</w:t>
      </w:r>
      <w:r w:rsidRPr="00CC7E24">
        <w:rPr>
          <w:bCs/>
        </w:rPr>
        <w:t>/1</w:t>
      </w:r>
      <w:bookmarkEnd w:id="278"/>
      <w:bookmarkEnd w:id="279"/>
      <w:bookmarkEnd w:id="280"/>
      <w:r>
        <w:rPr>
          <w:bCs/>
        </w:rPr>
        <w:t>5</w:t>
      </w:r>
      <w:bookmarkEnd w:id="281"/>
      <w:bookmarkEnd w:id="282"/>
    </w:p>
    <w:tbl>
      <w:tblPr>
        <w:tblW w:w="4940" w:type="pct"/>
        <w:tblInd w:w="57" w:type="dxa"/>
        <w:tblBorders>
          <w:top w:val="single" w:sz="4" w:space="0" w:color="auto"/>
          <w:bottom w:val="single" w:sz="4" w:space="0" w:color="auto"/>
        </w:tblBorders>
        <w:tblLayout w:type="fixed"/>
        <w:tblCellMar>
          <w:left w:w="57" w:type="dxa"/>
          <w:right w:w="57" w:type="dxa"/>
        </w:tblCellMar>
        <w:tblLook w:val="00A0" w:firstRow="1" w:lastRow="0" w:firstColumn="1" w:lastColumn="0" w:noHBand="0" w:noVBand="0"/>
      </w:tblPr>
      <w:tblGrid>
        <w:gridCol w:w="1983"/>
        <w:gridCol w:w="1845"/>
        <w:gridCol w:w="1701"/>
        <w:gridCol w:w="1843"/>
        <w:gridCol w:w="1983"/>
      </w:tblGrid>
      <w:tr w:rsidR="0089511D" w:rsidRPr="00805094" w:rsidTr="00617ACC">
        <w:trPr>
          <w:cantSplit/>
        </w:trPr>
        <w:tc>
          <w:tcPr>
            <w:tcW w:w="1060" w:type="pct"/>
            <w:tcBorders>
              <w:top w:val="single" w:sz="4" w:space="0" w:color="auto"/>
              <w:bottom w:val="single" w:sz="4" w:space="0" w:color="auto"/>
            </w:tcBorders>
            <w:shd w:val="clear" w:color="auto" w:fill="auto"/>
          </w:tcPr>
          <w:p w:rsidR="0089511D" w:rsidRPr="00805094" w:rsidRDefault="0089511D" w:rsidP="000A3EF4">
            <w:pPr>
              <w:pStyle w:val="TableText"/>
              <w:keepNext/>
              <w:rPr>
                <w:b/>
              </w:rPr>
            </w:pPr>
            <w:r w:rsidRPr="00805094">
              <w:rPr>
                <w:b/>
              </w:rPr>
              <w:t>Population group</w:t>
            </w:r>
          </w:p>
        </w:tc>
        <w:tc>
          <w:tcPr>
            <w:tcW w:w="986" w:type="pct"/>
            <w:tcBorders>
              <w:top w:val="single" w:sz="4" w:space="0" w:color="auto"/>
              <w:bottom w:val="single" w:sz="4" w:space="0" w:color="auto"/>
              <w:right w:val="nil"/>
            </w:tcBorders>
            <w:shd w:val="clear" w:color="auto" w:fill="auto"/>
          </w:tcPr>
          <w:p w:rsidR="0089511D" w:rsidRPr="00805094" w:rsidRDefault="0089511D" w:rsidP="000A3EF4">
            <w:pPr>
              <w:pStyle w:val="TableText"/>
              <w:keepNext/>
              <w:rPr>
                <w:b/>
              </w:rPr>
            </w:pPr>
            <w:r>
              <w:rPr>
                <w:b/>
              </w:rPr>
              <w:t>Sex</w:t>
            </w:r>
          </w:p>
        </w:tc>
        <w:tc>
          <w:tcPr>
            <w:tcW w:w="909" w:type="pct"/>
            <w:tcBorders>
              <w:top w:val="single" w:sz="4" w:space="0" w:color="auto"/>
              <w:left w:val="nil"/>
              <w:bottom w:val="single" w:sz="4" w:space="0" w:color="auto"/>
              <w:right w:val="nil"/>
            </w:tcBorders>
            <w:shd w:val="clear" w:color="auto" w:fill="auto"/>
          </w:tcPr>
          <w:p w:rsidR="0089511D" w:rsidRPr="00805094" w:rsidRDefault="0089511D" w:rsidP="000A3EF4">
            <w:pPr>
              <w:pStyle w:val="TableText"/>
              <w:keepNext/>
              <w:jc w:val="center"/>
              <w:rPr>
                <w:b/>
              </w:rPr>
            </w:pPr>
            <w:r w:rsidRPr="00805094">
              <w:rPr>
                <w:b/>
              </w:rPr>
              <w:t>Interviews</w:t>
            </w:r>
          </w:p>
        </w:tc>
        <w:tc>
          <w:tcPr>
            <w:tcW w:w="985" w:type="pct"/>
            <w:tcBorders>
              <w:top w:val="single" w:sz="4" w:space="0" w:color="auto"/>
              <w:left w:val="nil"/>
              <w:bottom w:val="single" w:sz="4" w:space="0" w:color="auto"/>
              <w:right w:val="nil"/>
            </w:tcBorders>
            <w:shd w:val="clear" w:color="auto" w:fill="auto"/>
          </w:tcPr>
          <w:p w:rsidR="0089511D" w:rsidRPr="00805094" w:rsidRDefault="0089511D" w:rsidP="000A3EF4">
            <w:pPr>
              <w:pStyle w:val="TableText"/>
              <w:keepNext/>
              <w:jc w:val="center"/>
              <w:rPr>
                <w:b/>
              </w:rPr>
            </w:pPr>
            <w:r w:rsidRPr="00805094">
              <w:rPr>
                <w:b/>
              </w:rPr>
              <w:t>Measurements</w:t>
            </w:r>
            <w:r w:rsidRPr="00263797">
              <w:rPr>
                <w:b/>
              </w:rPr>
              <w:t>*</w:t>
            </w:r>
            <w:r w:rsidRPr="00805094">
              <w:rPr>
                <w:b/>
              </w:rPr>
              <w:br/>
              <w:t>(2+ years)</w:t>
            </w:r>
          </w:p>
        </w:tc>
        <w:tc>
          <w:tcPr>
            <w:tcW w:w="1060" w:type="pct"/>
            <w:tcBorders>
              <w:top w:val="single" w:sz="4" w:space="0" w:color="auto"/>
              <w:left w:val="nil"/>
              <w:bottom w:val="single" w:sz="4" w:space="0" w:color="auto"/>
            </w:tcBorders>
            <w:shd w:val="clear" w:color="auto" w:fill="auto"/>
          </w:tcPr>
          <w:p w:rsidR="0089511D" w:rsidRPr="00805094" w:rsidRDefault="0089511D" w:rsidP="000A3EF4">
            <w:pPr>
              <w:pStyle w:val="TableText"/>
              <w:keepNext/>
              <w:jc w:val="center"/>
              <w:rPr>
                <w:b/>
              </w:rPr>
            </w:pPr>
            <w:r w:rsidRPr="00805094">
              <w:rPr>
                <w:b/>
              </w:rPr>
              <w:t>Population count</w:t>
            </w:r>
          </w:p>
        </w:tc>
      </w:tr>
      <w:tr w:rsidR="0089511D" w:rsidRPr="00CC7E24" w:rsidTr="00617ACC">
        <w:trPr>
          <w:cantSplit/>
        </w:trPr>
        <w:tc>
          <w:tcPr>
            <w:tcW w:w="1060" w:type="pct"/>
            <w:vMerge w:val="restart"/>
            <w:tcBorders>
              <w:top w:val="single" w:sz="4" w:space="0" w:color="auto"/>
            </w:tcBorders>
            <w:shd w:val="clear" w:color="auto" w:fill="auto"/>
          </w:tcPr>
          <w:p w:rsidR="0089511D" w:rsidRPr="00CC7E24" w:rsidRDefault="0089511D" w:rsidP="000A3EF4">
            <w:pPr>
              <w:pStyle w:val="TableText"/>
              <w:keepNext/>
            </w:pPr>
            <w:r w:rsidRPr="00CC7E24">
              <w:t>Children</w:t>
            </w:r>
            <w:r>
              <w:br/>
            </w:r>
            <w:r w:rsidRPr="00CC7E24">
              <w:t>(0–14 years)</w:t>
            </w:r>
          </w:p>
        </w:tc>
        <w:tc>
          <w:tcPr>
            <w:tcW w:w="986" w:type="pct"/>
            <w:tcBorders>
              <w:top w:val="single" w:sz="4" w:space="0" w:color="auto"/>
              <w:bottom w:val="nil"/>
              <w:right w:val="nil"/>
            </w:tcBorders>
            <w:shd w:val="clear" w:color="auto" w:fill="auto"/>
          </w:tcPr>
          <w:p w:rsidR="0089511D" w:rsidRPr="00CC7E24" w:rsidRDefault="0089511D" w:rsidP="000A3EF4">
            <w:pPr>
              <w:pStyle w:val="TableText"/>
              <w:keepNext/>
              <w:rPr>
                <w:rFonts w:cs="Arial"/>
              </w:rPr>
            </w:pPr>
            <w:r w:rsidRPr="00CC7E24">
              <w:rPr>
                <w:rFonts w:cs="Arial"/>
              </w:rPr>
              <w:t>Boys</w:t>
            </w:r>
          </w:p>
        </w:tc>
        <w:tc>
          <w:tcPr>
            <w:tcW w:w="909" w:type="pct"/>
            <w:tcBorders>
              <w:top w:val="single" w:sz="4" w:space="0" w:color="auto"/>
              <w:left w:val="nil"/>
              <w:bottom w:val="nil"/>
              <w:right w:val="nil"/>
            </w:tcBorders>
            <w:shd w:val="clear" w:color="auto" w:fill="auto"/>
          </w:tcPr>
          <w:p w:rsidR="0089511D" w:rsidRPr="00CC7E24" w:rsidRDefault="0089511D" w:rsidP="000A3EF4">
            <w:pPr>
              <w:pStyle w:val="TableText"/>
              <w:keepNext/>
              <w:tabs>
                <w:tab w:val="decimal" w:pos="1077"/>
              </w:tabs>
              <w:rPr>
                <w:rFonts w:cs="Arial"/>
              </w:rPr>
            </w:pPr>
            <w:r>
              <w:rPr>
                <w:rFonts w:cs="Arial"/>
              </w:rPr>
              <w:t>2421</w:t>
            </w:r>
          </w:p>
        </w:tc>
        <w:tc>
          <w:tcPr>
            <w:tcW w:w="985" w:type="pct"/>
            <w:tcBorders>
              <w:top w:val="single" w:sz="4" w:space="0" w:color="auto"/>
              <w:left w:val="nil"/>
              <w:bottom w:val="nil"/>
              <w:right w:val="nil"/>
            </w:tcBorders>
            <w:shd w:val="clear" w:color="auto" w:fill="auto"/>
          </w:tcPr>
          <w:p w:rsidR="0089511D" w:rsidRPr="00CC7E24" w:rsidRDefault="0089511D" w:rsidP="000A3EF4">
            <w:pPr>
              <w:pStyle w:val="TableText"/>
              <w:keepNext/>
              <w:tabs>
                <w:tab w:val="decimal" w:pos="1194"/>
              </w:tabs>
              <w:rPr>
                <w:rFonts w:cs="Arial"/>
              </w:rPr>
            </w:pPr>
            <w:r>
              <w:rPr>
                <w:rFonts w:cs="Arial"/>
                <w:bCs/>
              </w:rPr>
              <w:t xml:space="preserve">1882 </w:t>
            </w:r>
          </w:p>
        </w:tc>
        <w:tc>
          <w:tcPr>
            <w:tcW w:w="1060" w:type="pct"/>
            <w:tcBorders>
              <w:top w:val="single" w:sz="4" w:space="0" w:color="auto"/>
              <w:left w:val="nil"/>
              <w:bottom w:val="nil"/>
            </w:tcBorders>
            <w:shd w:val="clear" w:color="auto" w:fill="auto"/>
          </w:tcPr>
          <w:p w:rsidR="0089511D" w:rsidRPr="00CC7E24" w:rsidRDefault="0089511D" w:rsidP="000A3EF4">
            <w:pPr>
              <w:pStyle w:val="TableText"/>
              <w:keepNext/>
              <w:tabs>
                <w:tab w:val="decimal" w:pos="1340"/>
              </w:tabs>
              <w:rPr>
                <w:rFonts w:cs="Arial"/>
              </w:rPr>
            </w:pPr>
            <w:r>
              <w:rPr>
                <w:rFonts w:cs="Arial"/>
              </w:rPr>
              <w:t>468,187</w:t>
            </w:r>
          </w:p>
        </w:tc>
      </w:tr>
      <w:tr w:rsidR="0089511D" w:rsidRPr="00CC7E24" w:rsidTr="001E4900">
        <w:trPr>
          <w:cantSplit/>
        </w:trPr>
        <w:tc>
          <w:tcPr>
            <w:tcW w:w="1060" w:type="pct"/>
            <w:vMerge/>
            <w:shd w:val="clear" w:color="auto" w:fill="auto"/>
          </w:tcPr>
          <w:p w:rsidR="0089511D" w:rsidRPr="00CC7E24" w:rsidRDefault="0089511D" w:rsidP="000A3EF4">
            <w:pPr>
              <w:pStyle w:val="TableText"/>
              <w:keepNext/>
            </w:pPr>
          </w:p>
        </w:tc>
        <w:tc>
          <w:tcPr>
            <w:tcW w:w="986" w:type="pct"/>
            <w:tcBorders>
              <w:top w:val="nil"/>
              <w:bottom w:val="nil"/>
              <w:right w:val="nil"/>
            </w:tcBorders>
            <w:shd w:val="clear" w:color="auto" w:fill="auto"/>
          </w:tcPr>
          <w:p w:rsidR="0089511D" w:rsidRPr="00CC7E24" w:rsidRDefault="0089511D" w:rsidP="000A3EF4">
            <w:pPr>
              <w:pStyle w:val="TableText"/>
              <w:keepNext/>
              <w:rPr>
                <w:rFonts w:cs="Arial"/>
              </w:rPr>
            </w:pPr>
            <w:r w:rsidRPr="00CC7E24">
              <w:rPr>
                <w:rFonts w:cs="Arial"/>
              </w:rPr>
              <w:t>Girls</w:t>
            </w:r>
          </w:p>
        </w:tc>
        <w:tc>
          <w:tcPr>
            <w:tcW w:w="909" w:type="pct"/>
            <w:tcBorders>
              <w:top w:val="nil"/>
              <w:left w:val="nil"/>
              <w:bottom w:val="nil"/>
              <w:right w:val="nil"/>
            </w:tcBorders>
            <w:shd w:val="clear" w:color="auto" w:fill="auto"/>
          </w:tcPr>
          <w:p w:rsidR="0089511D" w:rsidRPr="00CC7E24" w:rsidRDefault="0089511D" w:rsidP="000A3EF4">
            <w:pPr>
              <w:pStyle w:val="TableText"/>
              <w:keepNext/>
              <w:tabs>
                <w:tab w:val="decimal" w:pos="1077"/>
              </w:tabs>
              <w:rPr>
                <w:rFonts w:cs="Arial"/>
              </w:rPr>
            </w:pPr>
            <w:r>
              <w:rPr>
                <w:rFonts w:cs="Arial"/>
              </w:rPr>
              <w:t>2333</w:t>
            </w:r>
          </w:p>
        </w:tc>
        <w:tc>
          <w:tcPr>
            <w:tcW w:w="985" w:type="pct"/>
            <w:tcBorders>
              <w:top w:val="nil"/>
              <w:left w:val="nil"/>
              <w:bottom w:val="nil"/>
              <w:right w:val="nil"/>
            </w:tcBorders>
            <w:shd w:val="clear" w:color="auto" w:fill="auto"/>
          </w:tcPr>
          <w:p w:rsidR="0089511D" w:rsidRPr="00CC7E24" w:rsidRDefault="0089511D" w:rsidP="000A3EF4">
            <w:pPr>
              <w:pStyle w:val="TableText"/>
              <w:keepNext/>
              <w:tabs>
                <w:tab w:val="decimal" w:pos="1194"/>
              </w:tabs>
              <w:rPr>
                <w:rFonts w:cs="Arial"/>
              </w:rPr>
            </w:pPr>
            <w:r>
              <w:rPr>
                <w:rFonts w:cs="Arial"/>
                <w:bCs/>
              </w:rPr>
              <w:t>1833</w:t>
            </w:r>
          </w:p>
        </w:tc>
        <w:tc>
          <w:tcPr>
            <w:tcW w:w="1060" w:type="pct"/>
            <w:tcBorders>
              <w:top w:val="nil"/>
              <w:left w:val="nil"/>
              <w:bottom w:val="nil"/>
            </w:tcBorders>
            <w:shd w:val="clear" w:color="auto" w:fill="auto"/>
          </w:tcPr>
          <w:p w:rsidR="0089511D" w:rsidRPr="00CC7E24" w:rsidRDefault="0089511D" w:rsidP="000A3EF4">
            <w:pPr>
              <w:pStyle w:val="TableText"/>
              <w:keepNext/>
              <w:tabs>
                <w:tab w:val="decimal" w:pos="1340"/>
              </w:tabs>
              <w:rPr>
                <w:rFonts w:cs="Arial"/>
              </w:rPr>
            </w:pPr>
            <w:r>
              <w:rPr>
                <w:rFonts w:cs="Arial"/>
              </w:rPr>
              <w:t>444,870</w:t>
            </w:r>
          </w:p>
        </w:tc>
      </w:tr>
      <w:tr w:rsidR="0089511D" w:rsidRPr="00CC7E24" w:rsidTr="00617ACC">
        <w:trPr>
          <w:cantSplit/>
        </w:trPr>
        <w:tc>
          <w:tcPr>
            <w:tcW w:w="1060" w:type="pct"/>
            <w:vMerge/>
            <w:tcBorders>
              <w:bottom w:val="single" w:sz="4" w:space="0" w:color="A6A6A6"/>
            </w:tcBorders>
            <w:shd w:val="clear" w:color="auto" w:fill="auto"/>
          </w:tcPr>
          <w:p w:rsidR="0089511D" w:rsidRPr="00CC7E24" w:rsidRDefault="0089511D" w:rsidP="001E4900">
            <w:pPr>
              <w:pStyle w:val="TableText"/>
            </w:pPr>
          </w:p>
        </w:tc>
        <w:tc>
          <w:tcPr>
            <w:tcW w:w="986" w:type="pct"/>
            <w:tcBorders>
              <w:top w:val="nil"/>
              <w:bottom w:val="single" w:sz="4" w:space="0" w:color="A6A6A6"/>
              <w:right w:val="nil"/>
            </w:tcBorders>
            <w:shd w:val="clear" w:color="auto" w:fill="auto"/>
          </w:tcPr>
          <w:p w:rsidR="0089511D" w:rsidRPr="00CC7E24" w:rsidRDefault="0089511D" w:rsidP="001E4900">
            <w:pPr>
              <w:pStyle w:val="TableText"/>
              <w:rPr>
                <w:rFonts w:cs="Arial"/>
              </w:rPr>
            </w:pPr>
            <w:r w:rsidRPr="00CC7E24">
              <w:rPr>
                <w:rFonts w:cs="Arial"/>
              </w:rPr>
              <w:t>Total</w:t>
            </w:r>
          </w:p>
        </w:tc>
        <w:tc>
          <w:tcPr>
            <w:tcW w:w="909" w:type="pct"/>
            <w:tcBorders>
              <w:top w:val="nil"/>
              <w:left w:val="nil"/>
              <w:bottom w:val="single" w:sz="4" w:space="0" w:color="A6A6A6"/>
              <w:right w:val="nil"/>
            </w:tcBorders>
            <w:shd w:val="clear" w:color="auto" w:fill="auto"/>
          </w:tcPr>
          <w:p w:rsidR="0089511D" w:rsidRPr="00CC7E24" w:rsidRDefault="0089511D" w:rsidP="001E4900">
            <w:pPr>
              <w:pStyle w:val="TableText"/>
              <w:tabs>
                <w:tab w:val="decimal" w:pos="1077"/>
              </w:tabs>
              <w:rPr>
                <w:rFonts w:cs="Arial"/>
              </w:rPr>
            </w:pPr>
            <w:r>
              <w:rPr>
                <w:rFonts w:cs="Arial"/>
              </w:rPr>
              <w:t>4754</w:t>
            </w:r>
          </w:p>
        </w:tc>
        <w:tc>
          <w:tcPr>
            <w:tcW w:w="985" w:type="pct"/>
            <w:tcBorders>
              <w:top w:val="nil"/>
              <w:left w:val="nil"/>
              <w:bottom w:val="single" w:sz="4" w:space="0" w:color="A6A6A6"/>
              <w:right w:val="nil"/>
            </w:tcBorders>
            <w:shd w:val="clear" w:color="auto" w:fill="auto"/>
          </w:tcPr>
          <w:p w:rsidR="0089511D" w:rsidRPr="00CC7E24" w:rsidRDefault="0089511D" w:rsidP="001E4900">
            <w:pPr>
              <w:pStyle w:val="TableText"/>
              <w:tabs>
                <w:tab w:val="decimal" w:pos="1194"/>
              </w:tabs>
              <w:rPr>
                <w:rFonts w:cs="Arial"/>
              </w:rPr>
            </w:pPr>
            <w:r>
              <w:rPr>
                <w:rFonts w:cs="Arial"/>
                <w:bCs/>
              </w:rPr>
              <w:t>3715</w:t>
            </w:r>
          </w:p>
        </w:tc>
        <w:tc>
          <w:tcPr>
            <w:tcW w:w="1060" w:type="pct"/>
            <w:tcBorders>
              <w:top w:val="nil"/>
              <w:left w:val="nil"/>
              <w:bottom w:val="single" w:sz="4" w:space="0" w:color="A6A6A6"/>
            </w:tcBorders>
            <w:shd w:val="clear" w:color="auto" w:fill="auto"/>
          </w:tcPr>
          <w:p w:rsidR="0089511D" w:rsidRPr="00CC7E24" w:rsidRDefault="0089511D" w:rsidP="001E4900">
            <w:pPr>
              <w:pStyle w:val="TableText"/>
              <w:tabs>
                <w:tab w:val="decimal" w:pos="1340"/>
              </w:tabs>
              <w:rPr>
                <w:rFonts w:cs="Arial"/>
              </w:rPr>
            </w:pPr>
            <w:r>
              <w:rPr>
                <w:rFonts w:cs="Arial"/>
              </w:rPr>
              <w:t>913,057</w:t>
            </w:r>
          </w:p>
        </w:tc>
      </w:tr>
      <w:tr w:rsidR="0089511D" w:rsidRPr="00CC7E24" w:rsidTr="001E4900">
        <w:tblPrEx>
          <w:tblLook w:val="01E0" w:firstRow="1" w:lastRow="1" w:firstColumn="1" w:lastColumn="1" w:noHBand="0" w:noVBand="0"/>
        </w:tblPrEx>
        <w:trPr>
          <w:cantSplit/>
        </w:trPr>
        <w:tc>
          <w:tcPr>
            <w:tcW w:w="1060" w:type="pct"/>
            <w:vMerge w:val="restart"/>
            <w:tcBorders>
              <w:top w:val="single" w:sz="4" w:space="0" w:color="A6A6A6"/>
              <w:bottom w:val="nil"/>
            </w:tcBorders>
            <w:shd w:val="clear" w:color="auto" w:fill="auto"/>
          </w:tcPr>
          <w:p w:rsidR="0089511D" w:rsidRPr="00CC7E24" w:rsidRDefault="0089511D" w:rsidP="001E4900">
            <w:pPr>
              <w:pStyle w:val="TableText"/>
            </w:pPr>
            <w:r w:rsidRPr="00CC7E24">
              <w:t>Adults</w:t>
            </w:r>
            <w:r>
              <w:br/>
            </w:r>
            <w:r w:rsidRPr="00CC7E24">
              <w:t>(15 years and over)</w:t>
            </w:r>
          </w:p>
        </w:tc>
        <w:tc>
          <w:tcPr>
            <w:tcW w:w="986" w:type="pct"/>
            <w:tcBorders>
              <w:top w:val="single" w:sz="4" w:space="0" w:color="A6A6A6"/>
              <w:bottom w:val="nil"/>
              <w:right w:val="nil"/>
            </w:tcBorders>
            <w:shd w:val="clear" w:color="auto" w:fill="auto"/>
          </w:tcPr>
          <w:p w:rsidR="0089511D" w:rsidRPr="00CC7E24" w:rsidRDefault="0089511D" w:rsidP="001E4900">
            <w:pPr>
              <w:pStyle w:val="TableText"/>
              <w:rPr>
                <w:rFonts w:cs="Arial"/>
              </w:rPr>
            </w:pPr>
            <w:r w:rsidRPr="00CC7E24">
              <w:rPr>
                <w:rFonts w:cs="Arial"/>
              </w:rPr>
              <w:t>Men</w:t>
            </w:r>
          </w:p>
        </w:tc>
        <w:tc>
          <w:tcPr>
            <w:tcW w:w="909" w:type="pct"/>
            <w:tcBorders>
              <w:top w:val="single" w:sz="4" w:space="0" w:color="A6A6A6"/>
              <w:left w:val="nil"/>
              <w:bottom w:val="nil"/>
              <w:right w:val="nil"/>
            </w:tcBorders>
            <w:shd w:val="clear" w:color="auto" w:fill="auto"/>
          </w:tcPr>
          <w:p w:rsidR="0089511D" w:rsidRPr="00CC7E24" w:rsidRDefault="0089511D" w:rsidP="001E4900">
            <w:pPr>
              <w:pStyle w:val="TableText"/>
              <w:tabs>
                <w:tab w:val="decimal" w:pos="1077"/>
              </w:tabs>
              <w:rPr>
                <w:rFonts w:cs="Arial"/>
              </w:rPr>
            </w:pPr>
            <w:r>
              <w:rPr>
                <w:rFonts w:cs="Arial"/>
              </w:rPr>
              <w:t>5884</w:t>
            </w:r>
          </w:p>
        </w:tc>
        <w:tc>
          <w:tcPr>
            <w:tcW w:w="985" w:type="pct"/>
            <w:tcBorders>
              <w:top w:val="single" w:sz="4" w:space="0" w:color="A6A6A6"/>
              <w:left w:val="nil"/>
              <w:bottom w:val="nil"/>
              <w:right w:val="nil"/>
            </w:tcBorders>
            <w:shd w:val="clear" w:color="auto" w:fill="auto"/>
          </w:tcPr>
          <w:p w:rsidR="0089511D" w:rsidRPr="00496E4F" w:rsidRDefault="0089511D" w:rsidP="001E4900">
            <w:pPr>
              <w:pStyle w:val="TableText"/>
              <w:tabs>
                <w:tab w:val="decimal" w:pos="1194"/>
              </w:tabs>
              <w:rPr>
                <w:rFonts w:cs="Arial"/>
                <w:bCs/>
              </w:rPr>
            </w:pPr>
            <w:r>
              <w:rPr>
                <w:rFonts w:cs="Arial"/>
                <w:bCs/>
              </w:rPr>
              <w:t>5701</w:t>
            </w:r>
          </w:p>
        </w:tc>
        <w:tc>
          <w:tcPr>
            <w:tcW w:w="1060" w:type="pct"/>
            <w:tcBorders>
              <w:top w:val="single" w:sz="4" w:space="0" w:color="A6A6A6"/>
              <w:left w:val="nil"/>
              <w:bottom w:val="nil"/>
            </w:tcBorders>
            <w:shd w:val="clear" w:color="auto" w:fill="auto"/>
          </w:tcPr>
          <w:p w:rsidR="0089511D" w:rsidRPr="00CC7E24" w:rsidRDefault="0089511D" w:rsidP="001E4900">
            <w:pPr>
              <w:pStyle w:val="TableText"/>
              <w:tabs>
                <w:tab w:val="decimal" w:pos="1340"/>
              </w:tabs>
              <w:rPr>
                <w:rFonts w:cs="Arial"/>
              </w:rPr>
            </w:pPr>
            <w:r>
              <w:rPr>
                <w:rFonts w:cs="Arial"/>
              </w:rPr>
              <w:t>1,772,442</w:t>
            </w:r>
          </w:p>
        </w:tc>
      </w:tr>
      <w:tr w:rsidR="0089511D" w:rsidRPr="00CC7E24" w:rsidTr="00617ACC">
        <w:tblPrEx>
          <w:tblLook w:val="01E0" w:firstRow="1" w:lastRow="1" w:firstColumn="1" w:lastColumn="1" w:noHBand="0" w:noVBand="0"/>
        </w:tblPrEx>
        <w:trPr>
          <w:cantSplit/>
        </w:trPr>
        <w:tc>
          <w:tcPr>
            <w:tcW w:w="1060" w:type="pct"/>
            <w:vMerge/>
            <w:tcBorders>
              <w:top w:val="nil"/>
            </w:tcBorders>
            <w:shd w:val="clear" w:color="auto" w:fill="auto"/>
          </w:tcPr>
          <w:p w:rsidR="0089511D" w:rsidRPr="00CC7E24" w:rsidRDefault="0089511D" w:rsidP="001E4900">
            <w:pPr>
              <w:pStyle w:val="TableText"/>
            </w:pPr>
          </w:p>
        </w:tc>
        <w:tc>
          <w:tcPr>
            <w:tcW w:w="986" w:type="pct"/>
            <w:tcBorders>
              <w:top w:val="nil"/>
              <w:bottom w:val="nil"/>
              <w:right w:val="nil"/>
            </w:tcBorders>
            <w:shd w:val="clear" w:color="auto" w:fill="auto"/>
          </w:tcPr>
          <w:p w:rsidR="0089511D" w:rsidRPr="00CC7E24" w:rsidRDefault="0089511D" w:rsidP="001E4900">
            <w:pPr>
              <w:pStyle w:val="TableText"/>
              <w:rPr>
                <w:rFonts w:cs="Arial"/>
              </w:rPr>
            </w:pPr>
            <w:r w:rsidRPr="00CC7E24">
              <w:rPr>
                <w:rFonts w:cs="Arial"/>
              </w:rPr>
              <w:t>Women</w:t>
            </w:r>
          </w:p>
        </w:tc>
        <w:tc>
          <w:tcPr>
            <w:tcW w:w="909" w:type="pct"/>
            <w:tcBorders>
              <w:top w:val="nil"/>
              <w:left w:val="nil"/>
              <w:bottom w:val="nil"/>
              <w:right w:val="nil"/>
            </w:tcBorders>
            <w:shd w:val="clear" w:color="auto" w:fill="auto"/>
          </w:tcPr>
          <w:p w:rsidR="0089511D" w:rsidRPr="00CC7E24" w:rsidRDefault="0089511D" w:rsidP="001E4900">
            <w:pPr>
              <w:pStyle w:val="TableText"/>
              <w:tabs>
                <w:tab w:val="decimal" w:pos="1077"/>
              </w:tabs>
              <w:rPr>
                <w:rFonts w:cs="Arial"/>
              </w:rPr>
            </w:pPr>
            <w:r>
              <w:rPr>
                <w:rFonts w:cs="Arial"/>
              </w:rPr>
              <w:t>7613</w:t>
            </w:r>
          </w:p>
        </w:tc>
        <w:tc>
          <w:tcPr>
            <w:tcW w:w="985" w:type="pct"/>
            <w:tcBorders>
              <w:top w:val="nil"/>
              <w:left w:val="nil"/>
              <w:bottom w:val="nil"/>
              <w:right w:val="nil"/>
            </w:tcBorders>
            <w:shd w:val="clear" w:color="auto" w:fill="auto"/>
          </w:tcPr>
          <w:p w:rsidR="0089511D" w:rsidRPr="00CC7E24" w:rsidRDefault="0089511D" w:rsidP="001E4900">
            <w:pPr>
              <w:pStyle w:val="TableText"/>
              <w:tabs>
                <w:tab w:val="decimal" w:pos="1194"/>
              </w:tabs>
              <w:rPr>
                <w:rFonts w:cs="Arial"/>
              </w:rPr>
            </w:pPr>
            <w:r>
              <w:rPr>
                <w:rFonts w:cs="Arial"/>
                <w:bCs/>
              </w:rPr>
              <w:t>7068</w:t>
            </w:r>
          </w:p>
        </w:tc>
        <w:tc>
          <w:tcPr>
            <w:tcW w:w="1060" w:type="pct"/>
            <w:tcBorders>
              <w:top w:val="nil"/>
              <w:left w:val="nil"/>
              <w:bottom w:val="nil"/>
            </w:tcBorders>
            <w:shd w:val="clear" w:color="auto" w:fill="auto"/>
          </w:tcPr>
          <w:p w:rsidR="0089511D" w:rsidRPr="00CC7E24" w:rsidRDefault="0089511D" w:rsidP="001E4900">
            <w:pPr>
              <w:pStyle w:val="TableText"/>
              <w:tabs>
                <w:tab w:val="decimal" w:pos="1340"/>
              </w:tabs>
              <w:rPr>
                <w:rFonts w:cs="Arial"/>
              </w:rPr>
            </w:pPr>
            <w:r>
              <w:rPr>
                <w:rFonts w:cs="Arial"/>
              </w:rPr>
              <w:t>1,880,210</w:t>
            </w:r>
          </w:p>
        </w:tc>
      </w:tr>
      <w:tr w:rsidR="0089511D" w:rsidRPr="00CC7E24" w:rsidTr="00617ACC">
        <w:tblPrEx>
          <w:tblLook w:val="01E0" w:firstRow="1" w:lastRow="1" w:firstColumn="1" w:lastColumn="1" w:noHBand="0" w:noVBand="0"/>
        </w:tblPrEx>
        <w:trPr>
          <w:cantSplit/>
        </w:trPr>
        <w:tc>
          <w:tcPr>
            <w:tcW w:w="1060" w:type="pct"/>
            <w:vMerge/>
            <w:shd w:val="clear" w:color="auto" w:fill="auto"/>
          </w:tcPr>
          <w:p w:rsidR="0089511D" w:rsidRPr="00CC7E24" w:rsidRDefault="0089511D" w:rsidP="001E4900">
            <w:pPr>
              <w:pStyle w:val="TableText"/>
            </w:pPr>
          </w:p>
        </w:tc>
        <w:tc>
          <w:tcPr>
            <w:tcW w:w="986" w:type="pct"/>
            <w:tcBorders>
              <w:top w:val="nil"/>
              <w:bottom w:val="single" w:sz="4" w:space="0" w:color="auto"/>
              <w:right w:val="nil"/>
            </w:tcBorders>
            <w:shd w:val="clear" w:color="auto" w:fill="auto"/>
          </w:tcPr>
          <w:p w:rsidR="0089511D" w:rsidRPr="00CC7E24" w:rsidRDefault="0089511D" w:rsidP="001E4900">
            <w:pPr>
              <w:pStyle w:val="TableText"/>
              <w:rPr>
                <w:rFonts w:cs="Arial"/>
              </w:rPr>
            </w:pPr>
            <w:r w:rsidRPr="00CC7E24">
              <w:rPr>
                <w:rFonts w:cs="Arial"/>
              </w:rPr>
              <w:t>Total</w:t>
            </w:r>
          </w:p>
        </w:tc>
        <w:tc>
          <w:tcPr>
            <w:tcW w:w="909" w:type="pct"/>
            <w:tcBorders>
              <w:top w:val="nil"/>
              <w:left w:val="nil"/>
              <w:bottom w:val="single" w:sz="4" w:space="0" w:color="auto"/>
              <w:right w:val="nil"/>
            </w:tcBorders>
            <w:shd w:val="clear" w:color="auto" w:fill="auto"/>
          </w:tcPr>
          <w:p w:rsidR="0089511D" w:rsidRPr="00CC7E24" w:rsidRDefault="0089511D" w:rsidP="001E4900">
            <w:pPr>
              <w:pStyle w:val="TableText"/>
              <w:tabs>
                <w:tab w:val="decimal" w:pos="1077"/>
              </w:tabs>
              <w:rPr>
                <w:rFonts w:cs="Arial"/>
              </w:rPr>
            </w:pPr>
            <w:r>
              <w:rPr>
                <w:rFonts w:cs="Arial"/>
              </w:rPr>
              <w:t>13,497</w:t>
            </w:r>
          </w:p>
        </w:tc>
        <w:tc>
          <w:tcPr>
            <w:tcW w:w="985" w:type="pct"/>
            <w:tcBorders>
              <w:top w:val="nil"/>
              <w:left w:val="nil"/>
              <w:bottom w:val="single" w:sz="4" w:space="0" w:color="auto"/>
              <w:right w:val="nil"/>
            </w:tcBorders>
            <w:shd w:val="clear" w:color="auto" w:fill="auto"/>
          </w:tcPr>
          <w:p w:rsidR="0089511D" w:rsidRPr="00CC7E24" w:rsidRDefault="0089511D" w:rsidP="001E4900">
            <w:pPr>
              <w:pStyle w:val="TableText"/>
              <w:tabs>
                <w:tab w:val="decimal" w:pos="1194"/>
              </w:tabs>
              <w:rPr>
                <w:rFonts w:cs="Arial"/>
              </w:rPr>
            </w:pPr>
            <w:r>
              <w:rPr>
                <w:rFonts w:cs="Arial"/>
                <w:bCs/>
              </w:rPr>
              <w:t>12,769</w:t>
            </w:r>
          </w:p>
        </w:tc>
        <w:tc>
          <w:tcPr>
            <w:tcW w:w="1060" w:type="pct"/>
            <w:tcBorders>
              <w:top w:val="nil"/>
              <w:left w:val="nil"/>
              <w:bottom w:val="single" w:sz="4" w:space="0" w:color="auto"/>
            </w:tcBorders>
            <w:shd w:val="clear" w:color="auto" w:fill="auto"/>
          </w:tcPr>
          <w:p w:rsidR="0089511D" w:rsidRPr="00CC7E24" w:rsidRDefault="0089511D" w:rsidP="001E4900">
            <w:pPr>
              <w:pStyle w:val="TableText"/>
              <w:tabs>
                <w:tab w:val="decimal" w:pos="1340"/>
              </w:tabs>
              <w:rPr>
                <w:rFonts w:cs="Arial"/>
              </w:rPr>
            </w:pPr>
            <w:r>
              <w:rPr>
                <w:rFonts w:cs="Arial"/>
              </w:rPr>
              <w:t>3,562,652</w:t>
            </w:r>
          </w:p>
        </w:tc>
      </w:tr>
    </w:tbl>
    <w:p w:rsidR="0089511D" w:rsidRPr="00263797" w:rsidRDefault="0089511D" w:rsidP="00617ACC">
      <w:pPr>
        <w:pStyle w:val="Note"/>
      </w:pPr>
      <w:r w:rsidRPr="002201DB">
        <w:t>*</w:t>
      </w:r>
      <w:r w:rsidR="00617ACC">
        <w:tab/>
      </w:r>
      <w:r w:rsidRPr="002201DB">
        <w:t>Note: These numbers are based on the number of respondents with valid height and weight measurements, and they exclude 201 pregnant women</w:t>
      </w:r>
      <w:r>
        <w:t>,</w:t>
      </w:r>
      <w:r w:rsidRPr="002201DB">
        <w:t xml:space="preserve"> who are not eligible to be measured</w:t>
      </w:r>
      <w:r>
        <w:t>.</w:t>
      </w:r>
    </w:p>
    <w:p w:rsidR="0089511D" w:rsidRPr="00BA350C" w:rsidRDefault="0089511D" w:rsidP="00617ACC"/>
    <w:p w:rsidR="0089511D" w:rsidRPr="00CC7E24" w:rsidRDefault="0089511D" w:rsidP="00617ACC">
      <w:pPr>
        <w:pStyle w:val="Table"/>
      </w:pPr>
      <w:bookmarkStart w:id="283" w:name="_Toc339878419"/>
      <w:bookmarkStart w:id="284" w:name="_Toc372445589"/>
      <w:bookmarkStart w:id="285" w:name="_Toc403044044"/>
      <w:bookmarkStart w:id="286" w:name="_Toc434933612"/>
      <w:bookmarkStart w:id="287" w:name="_Toc435555082"/>
      <w:r>
        <w:t>Table 7</w:t>
      </w:r>
      <w:r w:rsidRPr="00805094">
        <w:t>:</w:t>
      </w:r>
      <w:r w:rsidRPr="00CC7E24">
        <w:t xml:space="preserve"> Sample sizes and population counts for children and adults, by ethnic group</w:t>
      </w:r>
      <w:r>
        <w:t>,</w:t>
      </w:r>
      <w:r w:rsidRPr="00CC7E24">
        <w:t xml:space="preserve"> </w:t>
      </w:r>
      <w:r>
        <w:rPr>
          <w:bCs/>
        </w:rPr>
        <w:t>2014</w:t>
      </w:r>
      <w:r w:rsidRPr="00CC7E24">
        <w:rPr>
          <w:bCs/>
        </w:rPr>
        <w:t>/1</w:t>
      </w:r>
      <w:bookmarkEnd w:id="283"/>
      <w:bookmarkEnd w:id="284"/>
      <w:bookmarkEnd w:id="285"/>
      <w:r>
        <w:rPr>
          <w:bCs/>
        </w:rPr>
        <w:t>5</w:t>
      </w:r>
      <w:bookmarkEnd w:id="286"/>
      <w:bookmarkEnd w:id="287"/>
    </w:p>
    <w:tbl>
      <w:tblPr>
        <w:tblW w:w="9356" w:type="dxa"/>
        <w:tblInd w:w="57" w:type="dxa"/>
        <w:tblBorders>
          <w:top w:val="single" w:sz="4" w:space="0" w:color="auto"/>
          <w:bottom w:val="single" w:sz="4" w:space="0" w:color="auto"/>
        </w:tblBorders>
        <w:tblLayout w:type="fixed"/>
        <w:tblCellMar>
          <w:left w:w="57" w:type="dxa"/>
          <w:right w:w="57" w:type="dxa"/>
        </w:tblCellMar>
        <w:tblLook w:val="00A0" w:firstRow="1" w:lastRow="0" w:firstColumn="1" w:lastColumn="0" w:noHBand="0" w:noVBand="0"/>
      </w:tblPr>
      <w:tblGrid>
        <w:gridCol w:w="1985"/>
        <w:gridCol w:w="1843"/>
        <w:gridCol w:w="1701"/>
        <w:gridCol w:w="1842"/>
        <w:gridCol w:w="1985"/>
      </w:tblGrid>
      <w:tr w:rsidR="0089511D" w:rsidRPr="00805094" w:rsidTr="00617ACC">
        <w:trPr>
          <w:cantSplit/>
        </w:trPr>
        <w:tc>
          <w:tcPr>
            <w:tcW w:w="1985" w:type="dxa"/>
            <w:tcBorders>
              <w:top w:val="single" w:sz="4" w:space="0" w:color="auto"/>
              <w:bottom w:val="single" w:sz="4" w:space="0" w:color="auto"/>
            </w:tcBorders>
            <w:shd w:val="clear" w:color="auto" w:fill="auto"/>
          </w:tcPr>
          <w:p w:rsidR="0089511D" w:rsidRPr="00805094" w:rsidRDefault="0089511D" w:rsidP="002C40AD">
            <w:pPr>
              <w:pStyle w:val="TableText"/>
              <w:spacing w:before="50" w:after="50"/>
              <w:rPr>
                <w:b/>
              </w:rPr>
            </w:pPr>
            <w:r w:rsidRPr="00805094">
              <w:rPr>
                <w:b/>
              </w:rPr>
              <w:t>Ethnic group</w:t>
            </w:r>
            <w:r>
              <w:rPr>
                <w:b/>
              </w:rPr>
              <w:br/>
            </w:r>
            <w:r w:rsidRPr="00805094">
              <w:rPr>
                <w:b/>
              </w:rPr>
              <w:t>(total response)</w:t>
            </w:r>
          </w:p>
        </w:tc>
        <w:tc>
          <w:tcPr>
            <w:tcW w:w="1843" w:type="dxa"/>
            <w:tcBorders>
              <w:top w:val="single" w:sz="4" w:space="0" w:color="auto"/>
              <w:bottom w:val="single" w:sz="4" w:space="0" w:color="auto"/>
              <w:right w:val="nil"/>
            </w:tcBorders>
            <w:shd w:val="clear" w:color="auto" w:fill="auto"/>
          </w:tcPr>
          <w:p w:rsidR="0089511D" w:rsidRPr="00805094" w:rsidRDefault="0089511D" w:rsidP="002C40AD">
            <w:pPr>
              <w:pStyle w:val="TableText"/>
              <w:spacing w:before="50" w:after="50"/>
              <w:rPr>
                <w:b/>
              </w:rPr>
            </w:pPr>
            <w:r w:rsidRPr="00805094">
              <w:rPr>
                <w:b/>
              </w:rPr>
              <w:t>Population group</w:t>
            </w:r>
          </w:p>
        </w:tc>
        <w:tc>
          <w:tcPr>
            <w:tcW w:w="1701" w:type="dxa"/>
            <w:tcBorders>
              <w:top w:val="single" w:sz="4" w:space="0" w:color="auto"/>
              <w:left w:val="nil"/>
              <w:bottom w:val="single" w:sz="4" w:space="0" w:color="auto"/>
              <w:right w:val="nil"/>
            </w:tcBorders>
            <w:shd w:val="clear" w:color="auto" w:fill="auto"/>
          </w:tcPr>
          <w:p w:rsidR="0089511D" w:rsidRPr="00805094" w:rsidRDefault="0089511D" w:rsidP="002C40AD">
            <w:pPr>
              <w:pStyle w:val="TableText"/>
              <w:spacing w:before="50" w:after="50"/>
              <w:jc w:val="center"/>
              <w:rPr>
                <w:b/>
              </w:rPr>
            </w:pPr>
            <w:r w:rsidRPr="00805094">
              <w:rPr>
                <w:b/>
              </w:rPr>
              <w:t>Interviews</w:t>
            </w:r>
          </w:p>
        </w:tc>
        <w:tc>
          <w:tcPr>
            <w:tcW w:w="1842" w:type="dxa"/>
            <w:tcBorders>
              <w:top w:val="single" w:sz="4" w:space="0" w:color="auto"/>
              <w:left w:val="nil"/>
              <w:bottom w:val="single" w:sz="4" w:space="0" w:color="auto"/>
              <w:right w:val="nil"/>
            </w:tcBorders>
            <w:shd w:val="clear" w:color="auto" w:fill="auto"/>
          </w:tcPr>
          <w:p w:rsidR="0089511D" w:rsidRPr="00805094" w:rsidRDefault="0089511D" w:rsidP="002C40AD">
            <w:pPr>
              <w:pStyle w:val="TableText"/>
              <w:spacing w:before="50" w:after="50"/>
              <w:jc w:val="center"/>
              <w:rPr>
                <w:b/>
              </w:rPr>
            </w:pPr>
            <w:r w:rsidRPr="00805094">
              <w:rPr>
                <w:b/>
              </w:rPr>
              <w:t>Measurements</w:t>
            </w:r>
            <w:r>
              <w:rPr>
                <w:b/>
              </w:rPr>
              <w:t>*</w:t>
            </w:r>
            <w:r w:rsidRPr="00805094">
              <w:rPr>
                <w:b/>
              </w:rPr>
              <w:br/>
              <w:t>(2+ years)</w:t>
            </w:r>
          </w:p>
        </w:tc>
        <w:tc>
          <w:tcPr>
            <w:tcW w:w="1985" w:type="dxa"/>
            <w:tcBorders>
              <w:top w:val="single" w:sz="4" w:space="0" w:color="auto"/>
              <w:left w:val="nil"/>
              <w:bottom w:val="single" w:sz="4" w:space="0" w:color="auto"/>
            </w:tcBorders>
            <w:shd w:val="clear" w:color="auto" w:fill="auto"/>
          </w:tcPr>
          <w:p w:rsidR="0089511D" w:rsidRPr="00805094" w:rsidRDefault="0089511D" w:rsidP="002C40AD">
            <w:pPr>
              <w:pStyle w:val="TableText"/>
              <w:spacing w:before="50" w:after="50"/>
              <w:jc w:val="center"/>
              <w:rPr>
                <w:b/>
              </w:rPr>
            </w:pPr>
            <w:r w:rsidRPr="00805094">
              <w:rPr>
                <w:b/>
              </w:rPr>
              <w:t>Population count</w:t>
            </w:r>
          </w:p>
        </w:tc>
      </w:tr>
      <w:tr w:rsidR="0089511D" w:rsidRPr="00CC7E24" w:rsidTr="00617ACC">
        <w:trPr>
          <w:cantSplit/>
        </w:trPr>
        <w:tc>
          <w:tcPr>
            <w:tcW w:w="1985" w:type="dxa"/>
            <w:vMerge w:val="restart"/>
            <w:tcBorders>
              <w:top w:val="single" w:sz="4" w:space="0" w:color="auto"/>
            </w:tcBorders>
            <w:shd w:val="clear" w:color="auto" w:fill="auto"/>
          </w:tcPr>
          <w:p w:rsidR="0089511D" w:rsidRPr="00CC7E24" w:rsidRDefault="0089511D" w:rsidP="002C40AD">
            <w:pPr>
              <w:pStyle w:val="TableText"/>
              <w:spacing w:before="50" w:after="50"/>
            </w:pPr>
            <w:r w:rsidRPr="00CC7E24">
              <w:t>European/Other</w:t>
            </w:r>
          </w:p>
        </w:tc>
        <w:tc>
          <w:tcPr>
            <w:tcW w:w="1843" w:type="dxa"/>
            <w:tcBorders>
              <w:top w:val="single" w:sz="4" w:space="0" w:color="auto"/>
              <w:bottom w:val="nil"/>
              <w:right w:val="nil"/>
            </w:tcBorders>
            <w:shd w:val="clear" w:color="auto" w:fill="auto"/>
          </w:tcPr>
          <w:p w:rsidR="0089511D" w:rsidRPr="00CC7E24" w:rsidRDefault="0089511D" w:rsidP="002C40AD">
            <w:pPr>
              <w:pStyle w:val="TableText"/>
              <w:spacing w:before="50" w:after="50"/>
              <w:rPr>
                <w:rFonts w:cs="Arial"/>
              </w:rPr>
            </w:pPr>
            <w:r w:rsidRPr="00CC7E24">
              <w:rPr>
                <w:rFonts w:cs="Arial"/>
              </w:rPr>
              <w:t>Children</w:t>
            </w:r>
          </w:p>
        </w:tc>
        <w:tc>
          <w:tcPr>
            <w:tcW w:w="1701" w:type="dxa"/>
            <w:tcBorders>
              <w:top w:val="single" w:sz="4" w:space="0" w:color="auto"/>
              <w:left w:val="nil"/>
              <w:bottom w:val="nil"/>
              <w:right w:val="nil"/>
            </w:tcBorders>
            <w:shd w:val="clear" w:color="auto" w:fill="auto"/>
          </w:tcPr>
          <w:p w:rsidR="0089511D" w:rsidRPr="00CC7E24" w:rsidRDefault="0089511D" w:rsidP="002C40AD">
            <w:pPr>
              <w:pStyle w:val="TableText"/>
              <w:tabs>
                <w:tab w:val="decimal" w:pos="1077"/>
              </w:tabs>
              <w:spacing w:before="50" w:after="50"/>
              <w:rPr>
                <w:rFonts w:cs="Arial"/>
              </w:rPr>
            </w:pPr>
            <w:r>
              <w:rPr>
                <w:rFonts w:cs="Arial"/>
              </w:rPr>
              <w:t>3061</w:t>
            </w:r>
          </w:p>
        </w:tc>
        <w:tc>
          <w:tcPr>
            <w:tcW w:w="1842" w:type="dxa"/>
            <w:tcBorders>
              <w:top w:val="single" w:sz="4" w:space="0" w:color="auto"/>
              <w:left w:val="nil"/>
              <w:bottom w:val="nil"/>
              <w:right w:val="nil"/>
            </w:tcBorders>
            <w:shd w:val="clear" w:color="auto" w:fill="auto"/>
          </w:tcPr>
          <w:p w:rsidR="0089511D" w:rsidRPr="00CC7E24" w:rsidRDefault="0089511D" w:rsidP="002C40AD">
            <w:pPr>
              <w:pStyle w:val="TableText"/>
              <w:tabs>
                <w:tab w:val="decimal" w:pos="1077"/>
              </w:tabs>
              <w:spacing w:before="50" w:after="50"/>
              <w:rPr>
                <w:rFonts w:cs="Arial"/>
              </w:rPr>
            </w:pPr>
            <w:r>
              <w:rPr>
                <w:rFonts w:cs="Arial"/>
                <w:bCs/>
              </w:rPr>
              <w:t>2412</w:t>
            </w:r>
          </w:p>
        </w:tc>
        <w:tc>
          <w:tcPr>
            <w:tcW w:w="1985" w:type="dxa"/>
            <w:tcBorders>
              <w:top w:val="single" w:sz="4" w:space="0" w:color="auto"/>
              <w:left w:val="nil"/>
              <w:bottom w:val="nil"/>
            </w:tcBorders>
            <w:shd w:val="clear" w:color="auto" w:fill="auto"/>
          </w:tcPr>
          <w:p w:rsidR="0089511D" w:rsidRPr="00CC7E24" w:rsidRDefault="0089511D" w:rsidP="002C40AD">
            <w:pPr>
              <w:pStyle w:val="TableText"/>
              <w:tabs>
                <w:tab w:val="decimal" w:pos="1361"/>
              </w:tabs>
              <w:spacing w:before="50" w:after="50"/>
              <w:rPr>
                <w:rFonts w:cs="Arial"/>
              </w:rPr>
            </w:pPr>
            <w:r>
              <w:rPr>
                <w:rFonts w:cs="Arial"/>
              </w:rPr>
              <w:t>651,664</w:t>
            </w:r>
          </w:p>
        </w:tc>
      </w:tr>
      <w:tr w:rsidR="0089511D" w:rsidRPr="00CC7E24" w:rsidTr="001E4900">
        <w:trPr>
          <w:cantSplit/>
        </w:trPr>
        <w:tc>
          <w:tcPr>
            <w:tcW w:w="1985" w:type="dxa"/>
            <w:vMerge/>
            <w:tcBorders>
              <w:bottom w:val="single" w:sz="4" w:space="0" w:color="A6A6A6"/>
            </w:tcBorders>
            <w:shd w:val="clear" w:color="auto" w:fill="auto"/>
          </w:tcPr>
          <w:p w:rsidR="0089511D" w:rsidRPr="00CC7E24" w:rsidRDefault="0089511D" w:rsidP="002C40AD">
            <w:pPr>
              <w:pStyle w:val="TableText"/>
              <w:spacing w:before="50" w:after="50"/>
            </w:pPr>
          </w:p>
        </w:tc>
        <w:tc>
          <w:tcPr>
            <w:tcW w:w="1843" w:type="dxa"/>
            <w:tcBorders>
              <w:top w:val="nil"/>
              <w:bottom w:val="single" w:sz="4" w:space="0" w:color="A6A6A6"/>
              <w:right w:val="nil"/>
            </w:tcBorders>
            <w:shd w:val="clear" w:color="auto" w:fill="auto"/>
          </w:tcPr>
          <w:p w:rsidR="0089511D" w:rsidRPr="00CC7E24" w:rsidRDefault="0089511D" w:rsidP="002C40AD">
            <w:pPr>
              <w:pStyle w:val="TableText"/>
              <w:spacing w:before="50" w:after="50"/>
              <w:rPr>
                <w:rFonts w:cs="Arial"/>
              </w:rPr>
            </w:pPr>
            <w:r w:rsidRPr="00CC7E24">
              <w:rPr>
                <w:rFonts w:cs="Arial"/>
              </w:rPr>
              <w:t>Adults</w:t>
            </w:r>
          </w:p>
        </w:tc>
        <w:tc>
          <w:tcPr>
            <w:tcW w:w="1701" w:type="dxa"/>
            <w:tcBorders>
              <w:top w:val="nil"/>
              <w:left w:val="nil"/>
              <w:bottom w:val="single" w:sz="4" w:space="0" w:color="A6A6A6"/>
              <w:right w:val="nil"/>
            </w:tcBorders>
            <w:shd w:val="clear" w:color="auto" w:fill="auto"/>
          </w:tcPr>
          <w:p w:rsidR="0089511D" w:rsidRPr="00CC7E24" w:rsidRDefault="0089511D" w:rsidP="002C40AD">
            <w:pPr>
              <w:pStyle w:val="TableText"/>
              <w:tabs>
                <w:tab w:val="decimal" w:pos="1077"/>
              </w:tabs>
              <w:spacing w:before="50" w:after="50"/>
              <w:rPr>
                <w:rFonts w:cs="Arial"/>
              </w:rPr>
            </w:pPr>
            <w:r>
              <w:rPr>
                <w:rFonts w:cs="Arial"/>
              </w:rPr>
              <w:t>9729</w:t>
            </w:r>
          </w:p>
        </w:tc>
        <w:tc>
          <w:tcPr>
            <w:tcW w:w="1842" w:type="dxa"/>
            <w:tcBorders>
              <w:top w:val="nil"/>
              <w:left w:val="nil"/>
              <w:bottom w:val="single" w:sz="4" w:space="0" w:color="A6A6A6"/>
              <w:right w:val="nil"/>
            </w:tcBorders>
            <w:shd w:val="clear" w:color="auto" w:fill="auto"/>
          </w:tcPr>
          <w:p w:rsidR="0089511D" w:rsidRPr="00CC7E24" w:rsidRDefault="0089511D" w:rsidP="002C40AD">
            <w:pPr>
              <w:pStyle w:val="TableText"/>
              <w:tabs>
                <w:tab w:val="decimal" w:pos="1077"/>
              </w:tabs>
              <w:spacing w:before="50" w:after="50"/>
              <w:rPr>
                <w:rFonts w:cs="Arial"/>
              </w:rPr>
            </w:pPr>
            <w:r>
              <w:rPr>
                <w:rFonts w:cs="Arial"/>
                <w:bCs/>
              </w:rPr>
              <w:t>9242</w:t>
            </w:r>
          </w:p>
        </w:tc>
        <w:tc>
          <w:tcPr>
            <w:tcW w:w="1985" w:type="dxa"/>
            <w:tcBorders>
              <w:top w:val="nil"/>
              <w:left w:val="nil"/>
              <w:bottom w:val="single" w:sz="4" w:space="0" w:color="A6A6A6"/>
            </w:tcBorders>
            <w:shd w:val="clear" w:color="auto" w:fill="auto"/>
          </w:tcPr>
          <w:p w:rsidR="0089511D" w:rsidRPr="00CC7E24" w:rsidRDefault="0089511D" w:rsidP="002C40AD">
            <w:pPr>
              <w:pStyle w:val="TableText"/>
              <w:tabs>
                <w:tab w:val="decimal" w:pos="1361"/>
              </w:tabs>
              <w:spacing w:before="50" w:after="50"/>
              <w:rPr>
                <w:rFonts w:cs="Arial"/>
              </w:rPr>
            </w:pPr>
            <w:r>
              <w:rPr>
                <w:rFonts w:cs="Arial"/>
              </w:rPr>
              <w:t>2,793,262</w:t>
            </w:r>
          </w:p>
        </w:tc>
      </w:tr>
      <w:tr w:rsidR="0089511D" w:rsidRPr="00CC7E24" w:rsidTr="00617ACC">
        <w:trPr>
          <w:cantSplit/>
        </w:trPr>
        <w:tc>
          <w:tcPr>
            <w:tcW w:w="1985" w:type="dxa"/>
            <w:vMerge w:val="restart"/>
            <w:tcBorders>
              <w:top w:val="single" w:sz="4" w:space="0" w:color="A6A6A6"/>
              <w:bottom w:val="nil"/>
            </w:tcBorders>
            <w:shd w:val="clear" w:color="auto" w:fill="auto"/>
          </w:tcPr>
          <w:p w:rsidR="0089511D" w:rsidRPr="00CC7E24" w:rsidRDefault="0089511D" w:rsidP="002C40AD">
            <w:pPr>
              <w:pStyle w:val="TableText"/>
              <w:spacing w:before="50" w:after="50"/>
            </w:pPr>
            <w:r w:rsidRPr="00CC7E24">
              <w:t>Māori</w:t>
            </w:r>
          </w:p>
        </w:tc>
        <w:tc>
          <w:tcPr>
            <w:tcW w:w="1843" w:type="dxa"/>
            <w:tcBorders>
              <w:top w:val="single" w:sz="4" w:space="0" w:color="A6A6A6"/>
              <w:bottom w:val="nil"/>
              <w:right w:val="nil"/>
            </w:tcBorders>
            <w:shd w:val="clear" w:color="auto" w:fill="auto"/>
          </w:tcPr>
          <w:p w:rsidR="0089511D" w:rsidRPr="00CC7E24" w:rsidRDefault="0089511D" w:rsidP="002C40AD">
            <w:pPr>
              <w:pStyle w:val="TableText"/>
              <w:spacing w:before="50" w:after="50"/>
              <w:rPr>
                <w:rFonts w:cs="Arial"/>
              </w:rPr>
            </w:pPr>
            <w:r>
              <w:rPr>
                <w:rFonts w:cs="Arial"/>
              </w:rPr>
              <w:t>Children</w:t>
            </w:r>
          </w:p>
        </w:tc>
        <w:tc>
          <w:tcPr>
            <w:tcW w:w="1701" w:type="dxa"/>
            <w:tcBorders>
              <w:top w:val="single" w:sz="4" w:space="0" w:color="A6A6A6"/>
              <w:left w:val="nil"/>
              <w:bottom w:val="nil"/>
              <w:right w:val="nil"/>
            </w:tcBorders>
            <w:shd w:val="clear" w:color="auto" w:fill="auto"/>
          </w:tcPr>
          <w:p w:rsidR="0089511D" w:rsidRPr="00CC7E24" w:rsidRDefault="0089511D" w:rsidP="002C40AD">
            <w:pPr>
              <w:pStyle w:val="TableText"/>
              <w:tabs>
                <w:tab w:val="decimal" w:pos="1077"/>
              </w:tabs>
              <w:spacing w:before="50" w:after="50"/>
              <w:rPr>
                <w:rFonts w:cs="Arial"/>
              </w:rPr>
            </w:pPr>
            <w:r>
              <w:rPr>
                <w:rFonts w:cs="Arial"/>
              </w:rPr>
              <w:t>1773</w:t>
            </w:r>
          </w:p>
        </w:tc>
        <w:tc>
          <w:tcPr>
            <w:tcW w:w="1842" w:type="dxa"/>
            <w:tcBorders>
              <w:top w:val="single" w:sz="4" w:space="0" w:color="A6A6A6"/>
              <w:left w:val="nil"/>
              <w:bottom w:val="nil"/>
              <w:right w:val="nil"/>
            </w:tcBorders>
            <w:shd w:val="clear" w:color="auto" w:fill="auto"/>
          </w:tcPr>
          <w:p w:rsidR="0089511D" w:rsidRPr="00BA350C" w:rsidRDefault="0089511D" w:rsidP="002C40AD">
            <w:pPr>
              <w:pStyle w:val="TableText"/>
              <w:tabs>
                <w:tab w:val="decimal" w:pos="1077"/>
              </w:tabs>
              <w:spacing w:before="50" w:after="50"/>
              <w:rPr>
                <w:rFonts w:cs="Arial"/>
                <w:bCs/>
              </w:rPr>
            </w:pPr>
            <w:r>
              <w:rPr>
                <w:rFonts w:cs="Arial"/>
                <w:bCs/>
              </w:rPr>
              <w:t>1394</w:t>
            </w:r>
          </w:p>
        </w:tc>
        <w:tc>
          <w:tcPr>
            <w:tcW w:w="1985" w:type="dxa"/>
            <w:tcBorders>
              <w:top w:val="single" w:sz="4" w:space="0" w:color="A6A6A6"/>
              <w:left w:val="nil"/>
              <w:bottom w:val="nil"/>
            </w:tcBorders>
            <w:shd w:val="clear" w:color="auto" w:fill="auto"/>
          </w:tcPr>
          <w:p w:rsidR="0089511D" w:rsidRPr="00CC7E24" w:rsidRDefault="0089511D" w:rsidP="002C40AD">
            <w:pPr>
              <w:pStyle w:val="TableText"/>
              <w:tabs>
                <w:tab w:val="decimal" w:pos="1361"/>
              </w:tabs>
              <w:spacing w:before="50" w:after="50"/>
              <w:rPr>
                <w:rFonts w:cs="Arial"/>
              </w:rPr>
            </w:pPr>
            <w:r>
              <w:rPr>
                <w:rFonts w:cs="Arial"/>
              </w:rPr>
              <w:t>234,943</w:t>
            </w:r>
          </w:p>
        </w:tc>
      </w:tr>
      <w:tr w:rsidR="0089511D" w:rsidRPr="00CC7E24" w:rsidTr="001E4900">
        <w:trPr>
          <w:cantSplit/>
        </w:trPr>
        <w:tc>
          <w:tcPr>
            <w:tcW w:w="1985" w:type="dxa"/>
            <w:vMerge/>
            <w:tcBorders>
              <w:top w:val="nil"/>
              <w:bottom w:val="single" w:sz="4" w:space="0" w:color="A6A6A6"/>
            </w:tcBorders>
            <w:shd w:val="clear" w:color="auto" w:fill="auto"/>
          </w:tcPr>
          <w:p w:rsidR="0089511D" w:rsidRPr="00CC7E24" w:rsidRDefault="0089511D" w:rsidP="002C40AD">
            <w:pPr>
              <w:pStyle w:val="TableText"/>
              <w:spacing w:before="50" w:after="50"/>
            </w:pPr>
          </w:p>
        </w:tc>
        <w:tc>
          <w:tcPr>
            <w:tcW w:w="1843" w:type="dxa"/>
            <w:tcBorders>
              <w:top w:val="nil"/>
              <w:bottom w:val="single" w:sz="4" w:space="0" w:color="A6A6A6"/>
              <w:right w:val="nil"/>
            </w:tcBorders>
            <w:shd w:val="clear" w:color="auto" w:fill="auto"/>
          </w:tcPr>
          <w:p w:rsidR="0089511D" w:rsidRPr="00CC7E24" w:rsidRDefault="0089511D" w:rsidP="002C40AD">
            <w:pPr>
              <w:pStyle w:val="TableText"/>
              <w:spacing w:before="50" w:after="50"/>
              <w:rPr>
                <w:rFonts w:cs="Arial"/>
              </w:rPr>
            </w:pPr>
            <w:r w:rsidRPr="00CC7E24">
              <w:rPr>
                <w:rFonts w:cs="Arial"/>
              </w:rPr>
              <w:t>Adults</w:t>
            </w:r>
          </w:p>
        </w:tc>
        <w:tc>
          <w:tcPr>
            <w:tcW w:w="1701" w:type="dxa"/>
            <w:tcBorders>
              <w:top w:val="nil"/>
              <w:left w:val="nil"/>
              <w:bottom w:val="single" w:sz="4" w:space="0" w:color="A6A6A6"/>
              <w:right w:val="nil"/>
            </w:tcBorders>
            <w:shd w:val="clear" w:color="auto" w:fill="auto"/>
          </w:tcPr>
          <w:p w:rsidR="0089511D" w:rsidRPr="00CC7E24" w:rsidRDefault="0089511D" w:rsidP="002C40AD">
            <w:pPr>
              <w:pStyle w:val="TableText"/>
              <w:tabs>
                <w:tab w:val="decimal" w:pos="1077"/>
              </w:tabs>
              <w:spacing w:before="50" w:after="50"/>
              <w:rPr>
                <w:rFonts w:cs="Arial"/>
              </w:rPr>
            </w:pPr>
            <w:r>
              <w:rPr>
                <w:rFonts w:cs="Arial"/>
              </w:rPr>
              <w:t>3166</w:t>
            </w:r>
          </w:p>
        </w:tc>
        <w:tc>
          <w:tcPr>
            <w:tcW w:w="1842" w:type="dxa"/>
            <w:tcBorders>
              <w:top w:val="nil"/>
              <w:left w:val="nil"/>
              <w:bottom w:val="single" w:sz="4" w:space="0" w:color="A6A6A6"/>
              <w:right w:val="nil"/>
            </w:tcBorders>
            <w:shd w:val="clear" w:color="auto" w:fill="auto"/>
          </w:tcPr>
          <w:p w:rsidR="0089511D" w:rsidRPr="00CC7E24" w:rsidRDefault="0089511D" w:rsidP="002C40AD">
            <w:pPr>
              <w:pStyle w:val="TableText"/>
              <w:tabs>
                <w:tab w:val="decimal" w:pos="1077"/>
              </w:tabs>
              <w:spacing w:before="50" w:after="50"/>
              <w:rPr>
                <w:rFonts w:cs="Arial"/>
              </w:rPr>
            </w:pPr>
            <w:r>
              <w:rPr>
                <w:rFonts w:cs="Arial"/>
                <w:bCs/>
              </w:rPr>
              <w:t>2971</w:t>
            </w:r>
          </w:p>
        </w:tc>
        <w:tc>
          <w:tcPr>
            <w:tcW w:w="1985" w:type="dxa"/>
            <w:tcBorders>
              <w:top w:val="nil"/>
              <w:left w:val="nil"/>
              <w:bottom w:val="single" w:sz="4" w:space="0" w:color="A6A6A6"/>
            </w:tcBorders>
            <w:shd w:val="clear" w:color="auto" w:fill="auto"/>
          </w:tcPr>
          <w:p w:rsidR="0089511D" w:rsidRPr="00CC7E24" w:rsidRDefault="0089511D" w:rsidP="002C40AD">
            <w:pPr>
              <w:pStyle w:val="TableText"/>
              <w:tabs>
                <w:tab w:val="decimal" w:pos="1361"/>
              </w:tabs>
              <w:spacing w:before="50" w:after="50"/>
              <w:rPr>
                <w:rFonts w:cs="Arial"/>
              </w:rPr>
            </w:pPr>
            <w:r>
              <w:rPr>
                <w:rFonts w:cs="Arial"/>
              </w:rPr>
              <w:t>474,165</w:t>
            </w:r>
          </w:p>
        </w:tc>
      </w:tr>
      <w:tr w:rsidR="0089511D" w:rsidRPr="00CC7E24" w:rsidTr="00617ACC">
        <w:trPr>
          <w:cantSplit/>
        </w:trPr>
        <w:tc>
          <w:tcPr>
            <w:tcW w:w="1985" w:type="dxa"/>
            <w:vMerge w:val="restart"/>
            <w:tcBorders>
              <w:top w:val="single" w:sz="4" w:space="0" w:color="A6A6A6"/>
            </w:tcBorders>
            <w:shd w:val="clear" w:color="auto" w:fill="auto"/>
          </w:tcPr>
          <w:p w:rsidR="0089511D" w:rsidRPr="00CC7E24" w:rsidRDefault="0089511D" w:rsidP="002C40AD">
            <w:pPr>
              <w:pStyle w:val="TableText"/>
              <w:spacing w:before="50" w:after="50"/>
            </w:pPr>
            <w:r w:rsidRPr="00CC7E24">
              <w:t>Pacific</w:t>
            </w:r>
          </w:p>
        </w:tc>
        <w:tc>
          <w:tcPr>
            <w:tcW w:w="1843" w:type="dxa"/>
            <w:tcBorders>
              <w:top w:val="single" w:sz="4" w:space="0" w:color="A6A6A6"/>
              <w:bottom w:val="nil"/>
              <w:right w:val="nil"/>
            </w:tcBorders>
            <w:shd w:val="clear" w:color="auto" w:fill="auto"/>
          </w:tcPr>
          <w:p w:rsidR="0089511D" w:rsidRPr="00CC7E24" w:rsidRDefault="0089511D" w:rsidP="002C40AD">
            <w:pPr>
              <w:pStyle w:val="TableText"/>
              <w:spacing w:before="50" w:after="50"/>
              <w:rPr>
                <w:rFonts w:cs="Arial"/>
              </w:rPr>
            </w:pPr>
            <w:r w:rsidRPr="00CC7E24">
              <w:t>Children</w:t>
            </w:r>
          </w:p>
        </w:tc>
        <w:tc>
          <w:tcPr>
            <w:tcW w:w="1701" w:type="dxa"/>
            <w:tcBorders>
              <w:top w:val="single" w:sz="4" w:space="0" w:color="A6A6A6"/>
              <w:left w:val="nil"/>
              <w:bottom w:val="nil"/>
              <w:right w:val="nil"/>
            </w:tcBorders>
            <w:shd w:val="clear" w:color="auto" w:fill="auto"/>
          </w:tcPr>
          <w:p w:rsidR="0089511D" w:rsidRPr="00CC7E24" w:rsidRDefault="0089511D" w:rsidP="002C40AD">
            <w:pPr>
              <w:pStyle w:val="TableText"/>
              <w:tabs>
                <w:tab w:val="decimal" w:pos="1077"/>
              </w:tabs>
              <w:spacing w:before="50" w:after="50"/>
              <w:rPr>
                <w:rFonts w:cs="Arial"/>
              </w:rPr>
            </w:pPr>
            <w:r>
              <w:rPr>
                <w:rFonts w:cs="Arial"/>
              </w:rPr>
              <w:t>689</w:t>
            </w:r>
          </w:p>
        </w:tc>
        <w:tc>
          <w:tcPr>
            <w:tcW w:w="1842" w:type="dxa"/>
            <w:tcBorders>
              <w:top w:val="single" w:sz="4" w:space="0" w:color="A6A6A6"/>
              <w:left w:val="nil"/>
              <w:bottom w:val="nil"/>
              <w:right w:val="nil"/>
            </w:tcBorders>
            <w:shd w:val="clear" w:color="auto" w:fill="auto"/>
          </w:tcPr>
          <w:p w:rsidR="0089511D" w:rsidRPr="00CC7E24" w:rsidRDefault="0089511D" w:rsidP="002C40AD">
            <w:pPr>
              <w:pStyle w:val="TableText"/>
              <w:tabs>
                <w:tab w:val="decimal" w:pos="1077"/>
              </w:tabs>
              <w:spacing w:before="50" w:after="50"/>
              <w:rPr>
                <w:rFonts w:cs="Arial"/>
              </w:rPr>
            </w:pPr>
            <w:r>
              <w:rPr>
                <w:rFonts w:cs="Arial"/>
                <w:bCs/>
              </w:rPr>
              <w:t>526</w:t>
            </w:r>
          </w:p>
        </w:tc>
        <w:tc>
          <w:tcPr>
            <w:tcW w:w="1985" w:type="dxa"/>
            <w:tcBorders>
              <w:top w:val="single" w:sz="4" w:space="0" w:color="A6A6A6"/>
              <w:left w:val="nil"/>
              <w:bottom w:val="nil"/>
            </w:tcBorders>
            <w:shd w:val="clear" w:color="auto" w:fill="auto"/>
          </w:tcPr>
          <w:p w:rsidR="0089511D" w:rsidRPr="00CC7E24" w:rsidRDefault="0089511D" w:rsidP="002C40AD">
            <w:pPr>
              <w:pStyle w:val="TableText"/>
              <w:tabs>
                <w:tab w:val="decimal" w:pos="1361"/>
              </w:tabs>
              <w:spacing w:before="50" w:after="50"/>
              <w:rPr>
                <w:rFonts w:cs="Arial"/>
              </w:rPr>
            </w:pPr>
            <w:r>
              <w:rPr>
                <w:rFonts w:cs="Arial"/>
              </w:rPr>
              <w:t>107,198</w:t>
            </w:r>
          </w:p>
        </w:tc>
      </w:tr>
      <w:tr w:rsidR="0089511D" w:rsidRPr="00CC7E24" w:rsidTr="001E4900">
        <w:trPr>
          <w:cantSplit/>
        </w:trPr>
        <w:tc>
          <w:tcPr>
            <w:tcW w:w="1985" w:type="dxa"/>
            <w:vMerge/>
            <w:tcBorders>
              <w:bottom w:val="single" w:sz="4" w:space="0" w:color="A6A6A6"/>
            </w:tcBorders>
            <w:shd w:val="clear" w:color="auto" w:fill="auto"/>
          </w:tcPr>
          <w:p w:rsidR="0089511D" w:rsidRPr="00CC7E24" w:rsidRDefault="0089511D" w:rsidP="00617ACC">
            <w:pPr>
              <w:pStyle w:val="TableText"/>
              <w:spacing w:before="50" w:after="50"/>
            </w:pPr>
          </w:p>
        </w:tc>
        <w:tc>
          <w:tcPr>
            <w:tcW w:w="1843" w:type="dxa"/>
            <w:tcBorders>
              <w:top w:val="nil"/>
              <w:bottom w:val="single" w:sz="4" w:space="0" w:color="A6A6A6"/>
              <w:right w:val="nil"/>
            </w:tcBorders>
            <w:shd w:val="clear" w:color="auto" w:fill="auto"/>
          </w:tcPr>
          <w:p w:rsidR="0089511D" w:rsidRPr="00CC7E24" w:rsidRDefault="0089511D" w:rsidP="00617ACC">
            <w:pPr>
              <w:pStyle w:val="TableText"/>
              <w:spacing w:before="50" w:after="50"/>
              <w:rPr>
                <w:rFonts w:cs="Arial"/>
              </w:rPr>
            </w:pPr>
            <w:r w:rsidRPr="00CC7E24">
              <w:t>Adults</w:t>
            </w:r>
          </w:p>
        </w:tc>
        <w:tc>
          <w:tcPr>
            <w:tcW w:w="1701" w:type="dxa"/>
            <w:tcBorders>
              <w:top w:val="nil"/>
              <w:left w:val="nil"/>
              <w:bottom w:val="single" w:sz="4" w:space="0" w:color="A6A6A6"/>
              <w:right w:val="nil"/>
            </w:tcBorders>
            <w:shd w:val="clear" w:color="auto" w:fill="auto"/>
          </w:tcPr>
          <w:p w:rsidR="0089511D" w:rsidRPr="00CC7E24" w:rsidRDefault="0089511D" w:rsidP="00617ACC">
            <w:pPr>
              <w:pStyle w:val="TableText"/>
              <w:tabs>
                <w:tab w:val="decimal" w:pos="1077"/>
              </w:tabs>
              <w:spacing w:before="50" w:after="50"/>
              <w:rPr>
                <w:rFonts w:cs="Arial"/>
              </w:rPr>
            </w:pPr>
            <w:r>
              <w:rPr>
                <w:rFonts w:cs="Arial"/>
              </w:rPr>
              <w:t>885</w:t>
            </w:r>
          </w:p>
        </w:tc>
        <w:tc>
          <w:tcPr>
            <w:tcW w:w="1842" w:type="dxa"/>
            <w:tcBorders>
              <w:top w:val="nil"/>
              <w:left w:val="nil"/>
              <w:bottom w:val="single" w:sz="4" w:space="0" w:color="A6A6A6"/>
              <w:right w:val="nil"/>
            </w:tcBorders>
            <w:shd w:val="clear" w:color="auto" w:fill="auto"/>
          </w:tcPr>
          <w:p w:rsidR="0089511D" w:rsidRPr="00CC7E24" w:rsidRDefault="0089511D" w:rsidP="00617ACC">
            <w:pPr>
              <w:pStyle w:val="TableText"/>
              <w:tabs>
                <w:tab w:val="decimal" w:pos="1077"/>
              </w:tabs>
              <w:spacing w:before="50" w:after="50"/>
              <w:rPr>
                <w:rFonts w:cs="Arial"/>
              </w:rPr>
            </w:pPr>
            <w:r>
              <w:rPr>
                <w:rFonts w:cs="Arial"/>
                <w:bCs/>
              </w:rPr>
              <w:t>820</w:t>
            </w:r>
          </w:p>
        </w:tc>
        <w:tc>
          <w:tcPr>
            <w:tcW w:w="1985" w:type="dxa"/>
            <w:tcBorders>
              <w:top w:val="nil"/>
              <w:left w:val="nil"/>
              <w:bottom w:val="single" w:sz="4" w:space="0" w:color="A6A6A6"/>
            </w:tcBorders>
            <w:shd w:val="clear" w:color="auto" w:fill="auto"/>
          </w:tcPr>
          <w:p w:rsidR="0089511D" w:rsidRPr="00CC7E24" w:rsidRDefault="0089511D" w:rsidP="00617ACC">
            <w:pPr>
              <w:pStyle w:val="TableText"/>
              <w:tabs>
                <w:tab w:val="decimal" w:pos="1361"/>
              </w:tabs>
              <w:spacing w:before="50" w:after="50"/>
              <w:rPr>
                <w:rFonts w:cs="Arial"/>
              </w:rPr>
            </w:pPr>
            <w:r>
              <w:rPr>
                <w:rFonts w:cs="Arial"/>
              </w:rPr>
              <w:t>201,000</w:t>
            </w:r>
          </w:p>
        </w:tc>
      </w:tr>
      <w:tr w:rsidR="0089511D" w:rsidRPr="00CC7E24" w:rsidTr="00617ACC">
        <w:trPr>
          <w:cantSplit/>
        </w:trPr>
        <w:tc>
          <w:tcPr>
            <w:tcW w:w="1985" w:type="dxa"/>
            <w:vMerge w:val="restart"/>
            <w:tcBorders>
              <w:top w:val="single" w:sz="4" w:space="0" w:color="A6A6A6"/>
              <w:bottom w:val="nil"/>
            </w:tcBorders>
            <w:shd w:val="clear" w:color="auto" w:fill="auto"/>
          </w:tcPr>
          <w:p w:rsidR="0089511D" w:rsidRPr="00CC7E24" w:rsidRDefault="0089511D" w:rsidP="00617ACC">
            <w:pPr>
              <w:pStyle w:val="TableText"/>
              <w:spacing w:before="50" w:after="50"/>
            </w:pPr>
            <w:r w:rsidRPr="00CC7E24">
              <w:t>Asian</w:t>
            </w:r>
          </w:p>
        </w:tc>
        <w:tc>
          <w:tcPr>
            <w:tcW w:w="1843" w:type="dxa"/>
            <w:tcBorders>
              <w:top w:val="single" w:sz="4" w:space="0" w:color="A6A6A6"/>
              <w:bottom w:val="nil"/>
              <w:right w:val="nil"/>
            </w:tcBorders>
            <w:shd w:val="clear" w:color="auto" w:fill="auto"/>
          </w:tcPr>
          <w:p w:rsidR="0089511D" w:rsidRPr="00CC7E24" w:rsidRDefault="0089511D" w:rsidP="00617ACC">
            <w:pPr>
              <w:pStyle w:val="TableText"/>
              <w:spacing w:before="50" w:after="50"/>
              <w:rPr>
                <w:rFonts w:cs="Arial"/>
              </w:rPr>
            </w:pPr>
            <w:r w:rsidRPr="00CC7E24">
              <w:t>Children</w:t>
            </w:r>
          </w:p>
        </w:tc>
        <w:tc>
          <w:tcPr>
            <w:tcW w:w="1701" w:type="dxa"/>
            <w:tcBorders>
              <w:top w:val="single" w:sz="4" w:space="0" w:color="A6A6A6"/>
              <w:left w:val="nil"/>
              <w:bottom w:val="nil"/>
              <w:right w:val="nil"/>
            </w:tcBorders>
            <w:shd w:val="clear" w:color="auto" w:fill="auto"/>
          </w:tcPr>
          <w:p w:rsidR="0089511D" w:rsidRPr="00CC7E24" w:rsidRDefault="0089511D" w:rsidP="00617ACC">
            <w:pPr>
              <w:pStyle w:val="TableText"/>
              <w:tabs>
                <w:tab w:val="decimal" w:pos="1077"/>
              </w:tabs>
              <w:spacing w:before="50" w:after="50"/>
              <w:rPr>
                <w:rFonts w:cs="Arial"/>
              </w:rPr>
            </w:pPr>
            <w:r>
              <w:rPr>
                <w:rFonts w:cs="Arial"/>
              </w:rPr>
              <w:t>598</w:t>
            </w:r>
          </w:p>
        </w:tc>
        <w:tc>
          <w:tcPr>
            <w:tcW w:w="1842" w:type="dxa"/>
            <w:tcBorders>
              <w:top w:val="single" w:sz="4" w:space="0" w:color="A6A6A6"/>
              <w:left w:val="nil"/>
              <w:bottom w:val="nil"/>
              <w:right w:val="nil"/>
            </w:tcBorders>
            <w:shd w:val="clear" w:color="auto" w:fill="auto"/>
          </w:tcPr>
          <w:p w:rsidR="0089511D" w:rsidRPr="00CC7E24" w:rsidRDefault="0089511D" w:rsidP="00617ACC">
            <w:pPr>
              <w:pStyle w:val="TableText"/>
              <w:tabs>
                <w:tab w:val="decimal" w:pos="1077"/>
              </w:tabs>
              <w:spacing w:before="50" w:after="50"/>
              <w:rPr>
                <w:rFonts w:cs="Arial"/>
              </w:rPr>
            </w:pPr>
            <w:r>
              <w:rPr>
                <w:rFonts w:cs="Arial"/>
                <w:bCs/>
              </w:rPr>
              <w:t>427</w:t>
            </w:r>
          </w:p>
        </w:tc>
        <w:tc>
          <w:tcPr>
            <w:tcW w:w="1985" w:type="dxa"/>
            <w:tcBorders>
              <w:top w:val="single" w:sz="4" w:space="0" w:color="A6A6A6"/>
              <w:left w:val="nil"/>
              <w:bottom w:val="nil"/>
            </w:tcBorders>
            <w:shd w:val="clear" w:color="auto" w:fill="auto"/>
          </w:tcPr>
          <w:p w:rsidR="0089511D" w:rsidRPr="00CC7E24" w:rsidRDefault="0089511D" w:rsidP="00617ACC">
            <w:pPr>
              <w:pStyle w:val="TableText"/>
              <w:tabs>
                <w:tab w:val="decimal" w:pos="1361"/>
              </w:tabs>
              <w:spacing w:before="50" w:after="50"/>
              <w:rPr>
                <w:rFonts w:cs="Arial"/>
              </w:rPr>
            </w:pPr>
            <w:r>
              <w:rPr>
                <w:rFonts w:cs="Arial"/>
              </w:rPr>
              <w:t>122,493</w:t>
            </w:r>
          </w:p>
        </w:tc>
      </w:tr>
      <w:tr w:rsidR="0089511D" w:rsidRPr="00CC7E24" w:rsidTr="001E4900">
        <w:trPr>
          <w:cantSplit/>
        </w:trPr>
        <w:tc>
          <w:tcPr>
            <w:tcW w:w="1985" w:type="dxa"/>
            <w:vMerge/>
            <w:tcBorders>
              <w:top w:val="nil"/>
            </w:tcBorders>
            <w:shd w:val="clear" w:color="auto" w:fill="auto"/>
          </w:tcPr>
          <w:p w:rsidR="0089511D" w:rsidRPr="00CC7E24" w:rsidRDefault="0089511D" w:rsidP="00617ACC">
            <w:pPr>
              <w:pStyle w:val="TableText"/>
              <w:spacing w:before="50" w:after="50"/>
            </w:pPr>
          </w:p>
        </w:tc>
        <w:tc>
          <w:tcPr>
            <w:tcW w:w="1843" w:type="dxa"/>
            <w:tcBorders>
              <w:top w:val="nil"/>
              <w:right w:val="nil"/>
            </w:tcBorders>
            <w:shd w:val="clear" w:color="auto" w:fill="auto"/>
          </w:tcPr>
          <w:p w:rsidR="0089511D" w:rsidRPr="00CC7E24" w:rsidRDefault="0089511D" w:rsidP="00617ACC">
            <w:pPr>
              <w:pStyle w:val="TableText"/>
              <w:spacing w:before="50" w:after="50"/>
              <w:rPr>
                <w:rFonts w:cs="Arial"/>
              </w:rPr>
            </w:pPr>
            <w:r w:rsidRPr="00CC7E24">
              <w:t>Adults</w:t>
            </w:r>
          </w:p>
        </w:tc>
        <w:tc>
          <w:tcPr>
            <w:tcW w:w="1701" w:type="dxa"/>
            <w:tcBorders>
              <w:top w:val="nil"/>
              <w:left w:val="nil"/>
              <w:bottom w:val="single" w:sz="4" w:space="0" w:color="auto"/>
              <w:right w:val="nil"/>
            </w:tcBorders>
            <w:shd w:val="clear" w:color="auto" w:fill="auto"/>
          </w:tcPr>
          <w:p w:rsidR="0089511D" w:rsidRPr="00CC7E24" w:rsidRDefault="0089511D" w:rsidP="00617ACC">
            <w:pPr>
              <w:pStyle w:val="TableText"/>
              <w:tabs>
                <w:tab w:val="decimal" w:pos="1077"/>
              </w:tabs>
              <w:spacing w:before="50" w:after="50"/>
              <w:rPr>
                <w:rFonts w:cs="Arial"/>
              </w:rPr>
            </w:pPr>
            <w:r>
              <w:rPr>
                <w:rFonts w:cs="Arial"/>
              </w:rPr>
              <w:t>1174</w:t>
            </w:r>
          </w:p>
        </w:tc>
        <w:tc>
          <w:tcPr>
            <w:tcW w:w="1842" w:type="dxa"/>
            <w:tcBorders>
              <w:top w:val="nil"/>
              <w:left w:val="nil"/>
              <w:bottom w:val="single" w:sz="4" w:space="0" w:color="auto"/>
              <w:right w:val="nil"/>
            </w:tcBorders>
            <w:shd w:val="clear" w:color="auto" w:fill="auto"/>
          </w:tcPr>
          <w:p w:rsidR="0089511D" w:rsidRPr="00CC7E24" w:rsidRDefault="0089511D" w:rsidP="00617ACC">
            <w:pPr>
              <w:pStyle w:val="TableText"/>
              <w:tabs>
                <w:tab w:val="decimal" w:pos="1077"/>
              </w:tabs>
              <w:spacing w:before="50" w:after="50"/>
              <w:rPr>
                <w:rFonts w:cs="Arial"/>
              </w:rPr>
            </w:pPr>
            <w:r>
              <w:rPr>
                <w:rFonts w:cs="Arial"/>
                <w:bCs/>
              </w:rPr>
              <w:t>1109</w:t>
            </w:r>
          </w:p>
        </w:tc>
        <w:tc>
          <w:tcPr>
            <w:tcW w:w="1985" w:type="dxa"/>
            <w:tcBorders>
              <w:top w:val="nil"/>
              <w:left w:val="nil"/>
            </w:tcBorders>
            <w:shd w:val="clear" w:color="auto" w:fill="auto"/>
          </w:tcPr>
          <w:p w:rsidR="0089511D" w:rsidRPr="00CC7E24" w:rsidRDefault="0089511D" w:rsidP="00617ACC">
            <w:pPr>
              <w:pStyle w:val="TableText"/>
              <w:tabs>
                <w:tab w:val="decimal" w:pos="1361"/>
              </w:tabs>
              <w:spacing w:before="50" w:after="50"/>
              <w:rPr>
                <w:rFonts w:cs="Arial"/>
              </w:rPr>
            </w:pPr>
            <w:r>
              <w:rPr>
                <w:rFonts w:cs="Arial"/>
              </w:rPr>
              <w:t>433,500</w:t>
            </w:r>
          </w:p>
        </w:tc>
      </w:tr>
    </w:tbl>
    <w:p w:rsidR="0089511D" w:rsidRPr="00263797" w:rsidRDefault="0089511D" w:rsidP="00617ACC">
      <w:pPr>
        <w:pStyle w:val="Note"/>
      </w:pPr>
      <w:r w:rsidRPr="002201DB">
        <w:t>*</w:t>
      </w:r>
      <w:r w:rsidR="00617ACC">
        <w:tab/>
      </w:r>
      <w:r w:rsidRPr="002201DB">
        <w:t>Note: These numbers are based on the number of respondents with valid height and weight measurements, and they exclude 201 pregnant women</w:t>
      </w:r>
      <w:r>
        <w:t>,</w:t>
      </w:r>
      <w:r w:rsidRPr="002201DB">
        <w:t xml:space="preserve"> who are not eligible to be measured</w:t>
      </w:r>
      <w:r>
        <w:t>.</w:t>
      </w:r>
    </w:p>
    <w:p w:rsidR="0089511D" w:rsidRDefault="0089511D" w:rsidP="00617ACC"/>
    <w:p w:rsidR="0089511D" w:rsidRPr="00B17F0E" w:rsidRDefault="0089511D" w:rsidP="00617ACC">
      <w:pPr>
        <w:pStyle w:val="Table"/>
      </w:pPr>
      <w:bookmarkStart w:id="288" w:name="_Toc339878420"/>
      <w:bookmarkStart w:id="289" w:name="_Toc372445590"/>
      <w:bookmarkStart w:id="290" w:name="_Toc403044045"/>
      <w:bookmarkStart w:id="291" w:name="_Toc434933613"/>
      <w:bookmarkStart w:id="292" w:name="_Toc435555083"/>
      <w:r>
        <w:t>Table 8</w:t>
      </w:r>
      <w:r w:rsidRPr="00805094">
        <w:t>:</w:t>
      </w:r>
      <w:r w:rsidRPr="00CC7E24">
        <w:t xml:space="preserve"> Sample sizes and populati</w:t>
      </w:r>
      <w:r>
        <w:t>on counts, by age group,</w:t>
      </w:r>
      <w:r w:rsidRPr="00CC7E24">
        <w:t xml:space="preserve"> </w:t>
      </w:r>
      <w:r>
        <w:rPr>
          <w:bCs/>
        </w:rPr>
        <w:t>2014</w:t>
      </w:r>
      <w:r w:rsidRPr="00CC7E24">
        <w:rPr>
          <w:bCs/>
        </w:rPr>
        <w:t>/1</w:t>
      </w:r>
      <w:bookmarkEnd w:id="288"/>
      <w:bookmarkEnd w:id="289"/>
      <w:bookmarkEnd w:id="290"/>
      <w:r>
        <w:rPr>
          <w:bCs/>
        </w:rPr>
        <w:t>5</w:t>
      </w:r>
      <w:bookmarkEnd w:id="291"/>
      <w:bookmarkEnd w:id="292"/>
    </w:p>
    <w:tbl>
      <w:tblPr>
        <w:tblW w:w="9356" w:type="dxa"/>
        <w:tblInd w:w="57" w:type="dxa"/>
        <w:tblBorders>
          <w:top w:val="single" w:sz="4" w:space="0" w:color="auto"/>
          <w:bottom w:val="single" w:sz="4" w:space="0" w:color="auto"/>
        </w:tblBorders>
        <w:tblLayout w:type="fixed"/>
        <w:tblCellMar>
          <w:left w:w="57" w:type="dxa"/>
          <w:right w:w="57" w:type="dxa"/>
        </w:tblCellMar>
        <w:tblLook w:val="00A0" w:firstRow="1" w:lastRow="0" w:firstColumn="1" w:lastColumn="0" w:noHBand="0" w:noVBand="0"/>
      </w:tblPr>
      <w:tblGrid>
        <w:gridCol w:w="1985"/>
        <w:gridCol w:w="2457"/>
        <w:gridCol w:w="2457"/>
        <w:gridCol w:w="2457"/>
      </w:tblGrid>
      <w:tr w:rsidR="0089511D" w:rsidRPr="00346355" w:rsidTr="00617ACC">
        <w:trPr>
          <w:cantSplit/>
        </w:trPr>
        <w:tc>
          <w:tcPr>
            <w:tcW w:w="1985" w:type="dxa"/>
            <w:tcBorders>
              <w:top w:val="single" w:sz="4" w:space="0" w:color="auto"/>
              <w:bottom w:val="single" w:sz="4" w:space="0" w:color="auto"/>
            </w:tcBorders>
            <w:shd w:val="clear" w:color="auto" w:fill="auto"/>
          </w:tcPr>
          <w:p w:rsidR="0089511D" w:rsidRPr="00346355" w:rsidRDefault="0089511D" w:rsidP="00617ACC">
            <w:pPr>
              <w:pStyle w:val="TableText"/>
              <w:spacing w:before="50" w:after="50"/>
              <w:rPr>
                <w:b/>
              </w:rPr>
            </w:pPr>
            <w:r w:rsidRPr="00346355">
              <w:rPr>
                <w:b/>
              </w:rPr>
              <w:t>Age group (years)</w:t>
            </w:r>
          </w:p>
        </w:tc>
        <w:tc>
          <w:tcPr>
            <w:tcW w:w="2457" w:type="dxa"/>
            <w:tcBorders>
              <w:top w:val="single" w:sz="4" w:space="0" w:color="auto"/>
              <w:bottom w:val="single" w:sz="4" w:space="0" w:color="auto"/>
            </w:tcBorders>
            <w:shd w:val="clear" w:color="auto" w:fill="auto"/>
          </w:tcPr>
          <w:p w:rsidR="0089511D" w:rsidRPr="00346355" w:rsidRDefault="0089511D" w:rsidP="00617ACC">
            <w:pPr>
              <w:pStyle w:val="TableText"/>
              <w:spacing w:before="50" w:after="50"/>
              <w:jc w:val="center"/>
              <w:rPr>
                <w:b/>
              </w:rPr>
            </w:pPr>
            <w:r w:rsidRPr="00346355">
              <w:rPr>
                <w:b/>
              </w:rPr>
              <w:t>Interviews</w:t>
            </w:r>
          </w:p>
        </w:tc>
        <w:tc>
          <w:tcPr>
            <w:tcW w:w="2457" w:type="dxa"/>
            <w:tcBorders>
              <w:top w:val="single" w:sz="4" w:space="0" w:color="auto"/>
              <w:bottom w:val="single" w:sz="4" w:space="0" w:color="auto"/>
            </w:tcBorders>
            <w:shd w:val="clear" w:color="auto" w:fill="auto"/>
          </w:tcPr>
          <w:p w:rsidR="0089511D" w:rsidRPr="00346355" w:rsidRDefault="0089511D" w:rsidP="00617ACC">
            <w:pPr>
              <w:pStyle w:val="TableText"/>
              <w:spacing w:before="50" w:after="50"/>
              <w:jc w:val="center"/>
              <w:rPr>
                <w:b/>
              </w:rPr>
            </w:pPr>
            <w:r w:rsidRPr="00346355">
              <w:rPr>
                <w:b/>
              </w:rPr>
              <w:t>Measurements</w:t>
            </w:r>
            <w:r>
              <w:rPr>
                <w:b/>
              </w:rPr>
              <w:t xml:space="preserve">* </w:t>
            </w:r>
            <w:r w:rsidRPr="00346355">
              <w:rPr>
                <w:b/>
              </w:rPr>
              <w:t>(2+</w:t>
            </w:r>
            <w:r>
              <w:rPr>
                <w:b/>
              </w:rPr>
              <w:t> </w:t>
            </w:r>
            <w:r w:rsidRPr="00346355">
              <w:rPr>
                <w:b/>
              </w:rPr>
              <w:t>years)</w:t>
            </w:r>
          </w:p>
        </w:tc>
        <w:tc>
          <w:tcPr>
            <w:tcW w:w="2457" w:type="dxa"/>
            <w:tcBorders>
              <w:top w:val="single" w:sz="4" w:space="0" w:color="auto"/>
              <w:bottom w:val="single" w:sz="4" w:space="0" w:color="auto"/>
            </w:tcBorders>
            <w:shd w:val="clear" w:color="auto" w:fill="auto"/>
          </w:tcPr>
          <w:p w:rsidR="0089511D" w:rsidRPr="00346355" w:rsidRDefault="0089511D" w:rsidP="00617ACC">
            <w:pPr>
              <w:pStyle w:val="TableText"/>
              <w:spacing w:before="50" w:after="50"/>
              <w:jc w:val="center"/>
              <w:rPr>
                <w:b/>
              </w:rPr>
            </w:pPr>
            <w:r w:rsidRPr="00346355">
              <w:rPr>
                <w:b/>
              </w:rPr>
              <w:t>Population count</w:t>
            </w:r>
          </w:p>
        </w:tc>
      </w:tr>
      <w:tr w:rsidR="0089511D" w:rsidRPr="00CC7E24" w:rsidTr="00617ACC">
        <w:trPr>
          <w:cantSplit/>
        </w:trPr>
        <w:tc>
          <w:tcPr>
            <w:tcW w:w="1985" w:type="dxa"/>
            <w:tcBorders>
              <w:top w:val="single" w:sz="4" w:space="0" w:color="auto"/>
              <w:bottom w:val="single" w:sz="4" w:space="0" w:color="A6A6A6" w:themeColor="background1" w:themeShade="A6"/>
            </w:tcBorders>
            <w:shd w:val="clear" w:color="auto" w:fill="auto"/>
          </w:tcPr>
          <w:p w:rsidR="0089511D" w:rsidRPr="00CC7E24" w:rsidRDefault="0089511D" w:rsidP="00617ACC">
            <w:pPr>
              <w:pStyle w:val="TableText"/>
              <w:spacing w:before="50" w:after="50"/>
            </w:pPr>
            <w:r w:rsidRPr="00CC7E24">
              <w:t>0–4</w:t>
            </w:r>
          </w:p>
        </w:tc>
        <w:tc>
          <w:tcPr>
            <w:tcW w:w="2457" w:type="dxa"/>
            <w:tcBorders>
              <w:top w:val="single" w:sz="4" w:space="0" w:color="auto"/>
              <w:bottom w:val="single" w:sz="4" w:space="0" w:color="A6A6A6" w:themeColor="background1" w:themeShade="A6"/>
            </w:tcBorders>
            <w:shd w:val="clear" w:color="auto" w:fill="auto"/>
          </w:tcPr>
          <w:p w:rsidR="0089511D" w:rsidRPr="00CC7E24" w:rsidRDefault="0089511D" w:rsidP="00617ACC">
            <w:pPr>
              <w:pStyle w:val="TableText"/>
              <w:spacing w:before="50" w:after="50"/>
              <w:jc w:val="center"/>
              <w:rPr>
                <w:rFonts w:cs="Arial"/>
              </w:rPr>
            </w:pPr>
            <w:r>
              <w:rPr>
                <w:rFonts w:cs="Arial"/>
              </w:rPr>
              <w:t>1764</w:t>
            </w:r>
          </w:p>
        </w:tc>
        <w:tc>
          <w:tcPr>
            <w:tcW w:w="2457" w:type="dxa"/>
            <w:tcBorders>
              <w:top w:val="single" w:sz="4" w:space="0" w:color="auto"/>
              <w:bottom w:val="single" w:sz="4" w:space="0" w:color="A6A6A6" w:themeColor="background1" w:themeShade="A6"/>
            </w:tcBorders>
            <w:shd w:val="clear" w:color="auto" w:fill="auto"/>
          </w:tcPr>
          <w:p w:rsidR="0089511D" w:rsidRPr="00CC7E24" w:rsidRDefault="0089511D" w:rsidP="00617ACC">
            <w:pPr>
              <w:pStyle w:val="TableText"/>
              <w:tabs>
                <w:tab w:val="decimal" w:pos="1379"/>
              </w:tabs>
              <w:spacing w:before="50" w:after="50"/>
              <w:rPr>
                <w:rFonts w:cs="Arial"/>
              </w:rPr>
            </w:pPr>
            <w:r>
              <w:rPr>
                <w:rFonts w:cs="Arial"/>
                <w:bCs/>
              </w:rPr>
              <w:t>919</w:t>
            </w:r>
          </w:p>
        </w:tc>
        <w:tc>
          <w:tcPr>
            <w:tcW w:w="2457" w:type="dxa"/>
            <w:tcBorders>
              <w:top w:val="single" w:sz="4" w:space="0" w:color="auto"/>
              <w:bottom w:val="single" w:sz="4" w:space="0" w:color="A6A6A6" w:themeColor="background1" w:themeShade="A6"/>
            </w:tcBorders>
            <w:shd w:val="clear" w:color="auto" w:fill="auto"/>
          </w:tcPr>
          <w:p w:rsidR="0089511D" w:rsidRPr="00CC7E24" w:rsidRDefault="0089511D" w:rsidP="00617ACC">
            <w:pPr>
              <w:pStyle w:val="TableText"/>
              <w:spacing w:before="50" w:after="50"/>
              <w:jc w:val="center"/>
              <w:rPr>
                <w:rFonts w:cs="Arial"/>
              </w:rPr>
            </w:pPr>
            <w:r>
              <w:rPr>
                <w:rFonts w:cs="Arial"/>
              </w:rPr>
              <w:t>306,973</w:t>
            </w:r>
          </w:p>
        </w:tc>
      </w:tr>
      <w:tr w:rsidR="0089511D" w:rsidRPr="00CC7E24" w:rsidTr="00617ACC">
        <w:trPr>
          <w:cantSplit/>
        </w:trPr>
        <w:tc>
          <w:tcPr>
            <w:tcW w:w="1985" w:type="dxa"/>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617ACC">
            <w:pPr>
              <w:pStyle w:val="TableText"/>
              <w:spacing w:before="50" w:after="50"/>
            </w:pPr>
            <w:r w:rsidRPr="00CC7E24">
              <w:t>5–9</w:t>
            </w:r>
          </w:p>
        </w:tc>
        <w:tc>
          <w:tcPr>
            <w:tcW w:w="2457" w:type="dxa"/>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617ACC">
            <w:pPr>
              <w:pStyle w:val="TableText"/>
              <w:spacing w:before="50" w:after="50"/>
              <w:jc w:val="center"/>
              <w:rPr>
                <w:rFonts w:cs="Arial"/>
              </w:rPr>
            </w:pPr>
            <w:r>
              <w:rPr>
                <w:rFonts w:cs="Arial"/>
              </w:rPr>
              <w:t>1484</w:t>
            </w:r>
          </w:p>
        </w:tc>
        <w:tc>
          <w:tcPr>
            <w:tcW w:w="2457" w:type="dxa"/>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617ACC">
            <w:pPr>
              <w:pStyle w:val="TableText"/>
              <w:tabs>
                <w:tab w:val="decimal" w:pos="1379"/>
              </w:tabs>
              <w:spacing w:before="50" w:after="50"/>
              <w:rPr>
                <w:rFonts w:cs="Arial"/>
              </w:rPr>
            </w:pPr>
            <w:r>
              <w:rPr>
                <w:rFonts w:cs="Arial"/>
                <w:bCs/>
              </w:rPr>
              <w:t>1401</w:t>
            </w:r>
          </w:p>
        </w:tc>
        <w:tc>
          <w:tcPr>
            <w:tcW w:w="2457" w:type="dxa"/>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617ACC">
            <w:pPr>
              <w:pStyle w:val="TableText"/>
              <w:spacing w:before="50" w:after="50"/>
              <w:jc w:val="center"/>
              <w:rPr>
                <w:rFonts w:cs="Arial"/>
              </w:rPr>
            </w:pPr>
            <w:r>
              <w:rPr>
                <w:rFonts w:cs="Arial"/>
              </w:rPr>
              <w:t>311,813</w:t>
            </w:r>
          </w:p>
        </w:tc>
      </w:tr>
      <w:tr w:rsidR="0089511D" w:rsidRPr="00CC7E24" w:rsidTr="00617ACC">
        <w:trPr>
          <w:cantSplit/>
        </w:trPr>
        <w:tc>
          <w:tcPr>
            <w:tcW w:w="1985" w:type="dxa"/>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617ACC">
            <w:pPr>
              <w:pStyle w:val="TableText"/>
              <w:spacing w:before="50" w:after="50"/>
            </w:pPr>
            <w:r w:rsidRPr="00CC7E24">
              <w:t>10–14</w:t>
            </w:r>
          </w:p>
        </w:tc>
        <w:tc>
          <w:tcPr>
            <w:tcW w:w="2457" w:type="dxa"/>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617ACC">
            <w:pPr>
              <w:pStyle w:val="TableText"/>
              <w:spacing w:before="50" w:after="50"/>
              <w:jc w:val="center"/>
              <w:rPr>
                <w:rFonts w:cs="Arial"/>
              </w:rPr>
            </w:pPr>
            <w:r>
              <w:rPr>
                <w:rFonts w:cs="Arial"/>
              </w:rPr>
              <w:t>1506</w:t>
            </w:r>
          </w:p>
        </w:tc>
        <w:tc>
          <w:tcPr>
            <w:tcW w:w="2457" w:type="dxa"/>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617ACC">
            <w:pPr>
              <w:pStyle w:val="TableText"/>
              <w:tabs>
                <w:tab w:val="decimal" w:pos="1379"/>
              </w:tabs>
              <w:spacing w:before="50" w:after="50"/>
              <w:rPr>
                <w:rFonts w:cs="Arial"/>
              </w:rPr>
            </w:pPr>
            <w:r>
              <w:rPr>
                <w:rFonts w:cs="Arial"/>
                <w:bCs/>
              </w:rPr>
              <w:t>1395</w:t>
            </w:r>
          </w:p>
        </w:tc>
        <w:tc>
          <w:tcPr>
            <w:tcW w:w="2457" w:type="dxa"/>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617ACC">
            <w:pPr>
              <w:pStyle w:val="TableText"/>
              <w:spacing w:before="50" w:after="50"/>
              <w:jc w:val="center"/>
              <w:rPr>
                <w:rFonts w:cs="Arial"/>
              </w:rPr>
            </w:pPr>
            <w:r>
              <w:rPr>
                <w:rFonts w:cs="Arial"/>
              </w:rPr>
              <w:t>294,273</w:t>
            </w:r>
          </w:p>
        </w:tc>
      </w:tr>
      <w:tr w:rsidR="0089511D" w:rsidRPr="00CC7E24" w:rsidTr="00617ACC">
        <w:trPr>
          <w:cantSplit/>
        </w:trPr>
        <w:tc>
          <w:tcPr>
            <w:tcW w:w="1985" w:type="dxa"/>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617ACC">
            <w:pPr>
              <w:pStyle w:val="TableText"/>
              <w:spacing w:before="50" w:after="50"/>
            </w:pPr>
            <w:r>
              <w:t>15–24</w:t>
            </w:r>
          </w:p>
        </w:tc>
        <w:tc>
          <w:tcPr>
            <w:tcW w:w="2457" w:type="dxa"/>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617ACC">
            <w:pPr>
              <w:pStyle w:val="TableText"/>
              <w:spacing w:before="50" w:after="50"/>
              <w:jc w:val="center"/>
              <w:rPr>
                <w:rFonts w:cs="Arial"/>
              </w:rPr>
            </w:pPr>
            <w:r>
              <w:rPr>
                <w:rFonts w:cs="Arial"/>
              </w:rPr>
              <w:t>1672</w:t>
            </w:r>
          </w:p>
        </w:tc>
        <w:tc>
          <w:tcPr>
            <w:tcW w:w="2457" w:type="dxa"/>
            <w:tcBorders>
              <w:top w:val="single" w:sz="4" w:space="0" w:color="A6A6A6" w:themeColor="background1" w:themeShade="A6"/>
              <w:bottom w:val="single" w:sz="4" w:space="0" w:color="A6A6A6" w:themeColor="background1" w:themeShade="A6"/>
            </w:tcBorders>
            <w:shd w:val="clear" w:color="auto" w:fill="auto"/>
          </w:tcPr>
          <w:p w:rsidR="0089511D" w:rsidRPr="00302221" w:rsidRDefault="0089511D" w:rsidP="00617ACC">
            <w:pPr>
              <w:pStyle w:val="TableText"/>
              <w:tabs>
                <w:tab w:val="decimal" w:pos="1379"/>
              </w:tabs>
              <w:spacing w:before="50" w:after="50"/>
              <w:rPr>
                <w:rFonts w:cs="Arial"/>
              </w:rPr>
            </w:pPr>
            <w:r>
              <w:rPr>
                <w:rFonts w:cs="Arial"/>
                <w:bCs/>
              </w:rPr>
              <w:t>1577</w:t>
            </w:r>
          </w:p>
        </w:tc>
        <w:tc>
          <w:tcPr>
            <w:tcW w:w="2457" w:type="dxa"/>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617ACC">
            <w:pPr>
              <w:pStyle w:val="TableText"/>
              <w:spacing w:before="50" w:after="50"/>
              <w:jc w:val="center"/>
              <w:rPr>
                <w:rFonts w:cs="Arial"/>
              </w:rPr>
            </w:pPr>
            <w:r>
              <w:rPr>
                <w:rFonts w:cs="Arial"/>
              </w:rPr>
              <w:t>650,850</w:t>
            </w:r>
          </w:p>
        </w:tc>
      </w:tr>
      <w:tr w:rsidR="0089511D" w:rsidRPr="00CC7E24" w:rsidTr="00617ACC">
        <w:trPr>
          <w:cantSplit/>
        </w:trPr>
        <w:tc>
          <w:tcPr>
            <w:tcW w:w="1985" w:type="dxa"/>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617ACC">
            <w:pPr>
              <w:pStyle w:val="TableText"/>
              <w:spacing w:before="50" w:after="50"/>
            </w:pPr>
            <w:r w:rsidRPr="00CC7E24">
              <w:t>25–34</w:t>
            </w:r>
          </w:p>
        </w:tc>
        <w:tc>
          <w:tcPr>
            <w:tcW w:w="2457" w:type="dxa"/>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617ACC">
            <w:pPr>
              <w:pStyle w:val="TableText"/>
              <w:spacing w:before="50" w:after="50"/>
              <w:jc w:val="center"/>
              <w:rPr>
                <w:rFonts w:cs="Arial"/>
              </w:rPr>
            </w:pPr>
            <w:r>
              <w:rPr>
                <w:rFonts w:cs="Arial"/>
              </w:rPr>
              <w:t>2125</w:t>
            </w:r>
          </w:p>
        </w:tc>
        <w:tc>
          <w:tcPr>
            <w:tcW w:w="2457" w:type="dxa"/>
            <w:tcBorders>
              <w:top w:val="single" w:sz="4" w:space="0" w:color="A6A6A6" w:themeColor="background1" w:themeShade="A6"/>
              <w:bottom w:val="single" w:sz="4" w:space="0" w:color="A6A6A6" w:themeColor="background1" w:themeShade="A6"/>
            </w:tcBorders>
            <w:shd w:val="clear" w:color="auto" w:fill="auto"/>
          </w:tcPr>
          <w:p w:rsidR="0089511D" w:rsidRPr="00302221" w:rsidRDefault="0089511D" w:rsidP="00617ACC">
            <w:pPr>
              <w:pStyle w:val="TableText"/>
              <w:tabs>
                <w:tab w:val="decimal" w:pos="1379"/>
              </w:tabs>
              <w:spacing w:before="50" w:after="50"/>
              <w:rPr>
                <w:rFonts w:cs="Arial"/>
              </w:rPr>
            </w:pPr>
            <w:r>
              <w:rPr>
                <w:rFonts w:cs="Arial"/>
                <w:bCs/>
              </w:rPr>
              <w:t>1952</w:t>
            </w:r>
          </w:p>
        </w:tc>
        <w:tc>
          <w:tcPr>
            <w:tcW w:w="2457" w:type="dxa"/>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617ACC">
            <w:pPr>
              <w:pStyle w:val="TableText"/>
              <w:spacing w:before="50" w:after="50"/>
              <w:jc w:val="center"/>
              <w:rPr>
                <w:rFonts w:cs="Arial"/>
              </w:rPr>
            </w:pPr>
            <w:r>
              <w:rPr>
                <w:rFonts w:cs="Arial"/>
              </w:rPr>
              <w:t>588,703</w:t>
            </w:r>
          </w:p>
        </w:tc>
      </w:tr>
      <w:tr w:rsidR="0089511D" w:rsidRPr="00CC7E24" w:rsidTr="00617ACC">
        <w:trPr>
          <w:cantSplit/>
        </w:trPr>
        <w:tc>
          <w:tcPr>
            <w:tcW w:w="1985" w:type="dxa"/>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617ACC">
            <w:pPr>
              <w:pStyle w:val="TableText"/>
              <w:spacing w:before="50" w:after="50"/>
            </w:pPr>
            <w:r w:rsidRPr="00CC7E24">
              <w:t>35–44</w:t>
            </w:r>
          </w:p>
        </w:tc>
        <w:tc>
          <w:tcPr>
            <w:tcW w:w="2457" w:type="dxa"/>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617ACC">
            <w:pPr>
              <w:pStyle w:val="TableText"/>
              <w:spacing w:before="50" w:after="50"/>
              <w:jc w:val="center"/>
              <w:rPr>
                <w:rFonts w:cs="Arial"/>
              </w:rPr>
            </w:pPr>
            <w:r>
              <w:rPr>
                <w:rFonts w:cs="Arial"/>
              </w:rPr>
              <w:t>2299</w:t>
            </w:r>
          </w:p>
        </w:tc>
        <w:tc>
          <w:tcPr>
            <w:tcW w:w="2457" w:type="dxa"/>
            <w:tcBorders>
              <w:top w:val="single" w:sz="4" w:space="0" w:color="A6A6A6" w:themeColor="background1" w:themeShade="A6"/>
              <w:bottom w:val="single" w:sz="4" w:space="0" w:color="A6A6A6" w:themeColor="background1" w:themeShade="A6"/>
            </w:tcBorders>
            <w:shd w:val="clear" w:color="auto" w:fill="auto"/>
          </w:tcPr>
          <w:p w:rsidR="0089511D" w:rsidRPr="00302221" w:rsidRDefault="0089511D" w:rsidP="00617ACC">
            <w:pPr>
              <w:pStyle w:val="TableText"/>
              <w:tabs>
                <w:tab w:val="decimal" w:pos="1379"/>
              </w:tabs>
              <w:spacing w:before="50" w:after="50"/>
              <w:rPr>
                <w:rFonts w:cs="Arial"/>
              </w:rPr>
            </w:pPr>
            <w:r>
              <w:rPr>
                <w:rFonts w:cs="Arial"/>
                <w:bCs/>
              </w:rPr>
              <w:t>2192</w:t>
            </w:r>
          </w:p>
        </w:tc>
        <w:tc>
          <w:tcPr>
            <w:tcW w:w="2457" w:type="dxa"/>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617ACC">
            <w:pPr>
              <w:pStyle w:val="TableText"/>
              <w:spacing w:before="50" w:after="50"/>
              <w:jc w:val="center"/>
              <w:rPr>
                <w:rFonts w:cs="Arial"/>
              </w:rPr>
            </w:pPr>
            <w:r>
              <w:rPr>
                <w:rFonts w:cs="Arial"/>
              </w:rPr>
              <w:t>584,068</w:t>
            </w:r>
          </w:p>
        </w:tc>
      </w:tr>
      <w:tr w:rsidR="0089511D" w:rsidRPr="00CC7E24" w:rsidTr="00617ACC">
        <w:trPr>
          <w:cantSplit/>
        </w:trPr>
        <w:tc>
          <w:tcPr>
            <w:tcW w:w="1985" w:type="dxa"/>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617ACC">
            <w:pPr>
              <w:pStyle w:val="TableText"/>
              <w:spacing w:before="50" w:after="50"/>
            </w:pPr>
            <w:r w:rsidRPr="00CC7E24">
              <w:t>45–54</w:t>
            </w:r>
          </w:p>
        </w:tc>
        <w:tc>
          <w:tcPr>
            <w:tcW w:w="2457" w:type="dxa"/>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617ACC">
            <w:pPr>
              <w:pStyle w:val="TableText"/>
              <w:spacing w:before="50" w:after="50"/>
              <w:jc w:val="center"/>
              <w:rPr>
                <w:rFonts w:cs="Arial"/>
              </w:rPr>
            </w:pPr>
            <w:r>
              <w:rPr>
                <w:rFonts w:cs="Arial"/>
              </w:rPr>
              <w:t>2237</w:t>
            </w:r>
          </w:p>
        </w:tc>
        <w:tc>
          <w:tcPr>
            <w:tcW w:w="2457" w:type="dxa"/>
            <w:tcBorders>
              <w:top w:val="single" w:sz="4" w:space="0" w:color="A6A6A6" w:themeColor="background1" w:themeShade="A6"/>
              <w:bottom w:val="single" w:sz="4" w:space="0" w:color="A6A6A6" w:themeColor="background1" w:themeShade="A6"/>
            </w:tcBorders>
            <w:shd w:val="clear" w:color="auto" w:fill="auto"/>
          </w:tcPr>
          <w:p w:rsidR="0089511D" w:rsidRPr="00302221" w:rsidRDefault="0089511D" w:rsidP="00617ACC">
            <w:pPr>
              <w:pStyle w:val="TableText"/>
              <w:tabs>
                <w:tab w:val="decimal" w:pos="1379"/>
              </w:tabs>
              <w:spacing w:before="50" w:after="50"/>
              <w:rPr>
                <w:rFonts w:cs="Arial"/>
              </w:rPr>
            </w:pPr>
            <w:r>
              <w:rPr>
                <w:rFonts w:cs="Arial"/>
                <w:bCs/>
              </w:rPr>
              <w:t>2146</w:t>
            </w:r>
          </w:p>
        </w:tc>
        <w:tc>
          <w:tcPr>
            <w:tcW w:w="2457" w:type="dxa"/>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617ACC">
            <w:pPr>
              <w:pStyle w:val="TableText"/>
              <w:spacing w:before="50" w:after="50"/>
              <w:jc w:val="center"/>
              <w:rPr>
                <w:rFonts w:cs="Arial"/>
              </w:rPr>
            </w:pPr>
            <w:r>
              <w:rPr>
                <w:rFonts w:cs="Arial"/>
              </w:rPr>
              <w:t>631,110</w:t>
            </w:r>
          </w:p>
        </w:tc>
      </w:tr>
      <w:tr w:rsidR="0089511D" w:rsidRPr="00CC7E24" w:rsidTr="00617ACC">
        <w:trPr>
          <w:cantSplit/>
        </w:trPr>
        <w:tc>
          <w:tcPr>
            <w:tcW w:w="1985" w:type="dxa"/>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617ACC">
            <w:pPr>
              <w:pStyle w:val="TableText"/>
              <w:spacing w:before="50" w:after="50"/>
            </w:pPr>
            <w:r w:rsidRPr="00CC7E24">
              <w:t>55–64</w:t>
            </w:r>
          </w:p>
        </w:tc>
        <w:tc>
          <w:tcPr>
            <w:tcW w:w="2457" w:type="dxa"/>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617ACC">
            <w:pPr>
              <w:pStyle w:val="TableText"/>
              <w:spacing w:before="50" w:after="50"/>
              <w:jc w:val="center"/>
              <w:rPr>
                <w:rFonts w:cs="Arial"/>
              </w:rPr>
            </w:pPr>
            <w:r>
              <w:rPr>
                <w:rFonts w:cs="Arial"/>
              </w:rPr>
              <w:t>2159</w:t>
            </w:r>
          </w:p>
        </w:tc>
        <w:tc>
          <w:tcPr>
            <w:tcW w:w="2457" w:type="dxa"/>
            <w:tcBorders>
              <w:top w:val="single" w:sz="4" w:space="0" w:color="A6A6A6" w:themeColor="background1" w:themeShade="A6"/>
              <w:bottom w:val="single" w:sz="4" w:space="0" w:color="A6A6A6" w:themeColor="background1" w:themeShade="A6"/>
            </w:tcBorders>
            <w:shd w:val="clear" w:color="auto" w:fill="auto"/>
          </w:tcPr>
          <w:p w:rsidR="0089511D" w:rsidRPr="00302221" w:rsidRDefault="0089511D" w:rsidP="00617ACC">
            <w:pPr>
              <w:pStyle w:val="TableText"/>
              <w:tabs>
                <w:tab w:val="decimal" w:pos="1379"/>
              </w:tabs>
              <w:spacing w:before="50" w:after="50"/>
              <w:rPr>
                <w:rFonts w:cs="Arial"/>
              </w:rPr>
            </w:pPr>
            <w:r>
              <w:rPr>
                <w:rFonts w:cs="Arial"/>
                <w:bCs/>
              </w:rPr>
              <w:t>2074</w:t>
            </w:r>
          </w:p>
        </w:tc>
        <w:tc>
          <w:tcPr>
            <w:tcW w:w="2457" w:type="dxa"/>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617ACC">
            <w:pPr>
              <w:pStyle w:val="TableText"/>
              <w:spacing w:before="50" w:after="50"/>
              <w:jc w:val="center"/>
              <w:rPr>
                <w:rFonts w:cs="Arial"/>
              </w:rPr>
            </w:pPr>
            <w:r>
              <w:rPr>
                <w:rFonts w:cs="Arial"/>
              </w:rPr>
              <w:t>532,598</w:t>
            </w:r>
          </w:p>
        </w:tc>
      </w:tr>
      <w:tr w:rsidR="0089511D" w:rsidRPr="00CC7E24" w:rsidTr="00617ACC">
        <w:trPr>
          <w:cantSplit/>
        </w:trPr>
        <w:tc>
          <w:tcPr>
            <w:tcW w:w="1985" w:type="dxa"/>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617ACC">
            <w:pPr>
              <w:pStyle w:val="TableText"/>
              <w:spacing w:before="50" w:after="50"/>
            </w:pPr>
            <w:r w:rsidRPr="00CC7E24">
              <w:t>65–74</w:t>
            </w:r>
          </w:p>
        </w:tc>
        <w:tc>
          <w:tcPr>
            <w:tcW w:w="2457" w:type="dxa"/>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617ACC">
            <w:pPr>
              <w:pStyle w:val="TableText"/>
              <w:spacing w:before="50" w:after="50"/>
              <w:jc w:val="center"/>
              <w:rPr>
                <w:rFonts w:cs="Arial"/>
              </w:rPr>
            </w:pPr>
            <w:r>
              <w:rPr>
                <w:rFonts w:cs="Arial"/>
              </w:rPr>
              <w:t>1641</w:t>
            </w:r>
          </w:p>
        </w:tc>
        <w:tc>
          <w:tcPr>
            <w:tcW w:w="2457" w:type="dxa"/>
            <w:tcBorders>
              <w:top w:val="single" w:sz="4" w:space="0" w:color="A6A6A6" w:themeColor="background1" w:themeShade="A6"/>
              <w:bottom w:val="single" w:sz="4" w:space="0" w:color="A6A6A6" w:themeColor="background1" w:themeShade="A6"/>
            </w:tcBorders>
            <w:shd w:val="clear" w:color="auto" w:fill="auto"/>
          </w:tcPr>
          <w:p w:rsidR="0089511D" w:rsidRPr="00302221" w:rsidRDefault="0089511D" w:rsidP="00617ACC">
            <w:pPr>
              <w:pStyle w:val="TableText"/>
              <w:tabs>
                <w:tab w:val="decimal" w:pos="1379"/>
              </w:tabs>
              <w:spacing w:before="50" w:after="50"/>
              <w:rPr>
                <w:rFonts w:cs="Arial"/>
              </w:rPr>
            </w:pPr>
            <w:r>
              <w:rPr>
                <w:rFonts w:cs="Arial"/>
                <w:bCs/>
              </w:rPr>
              <w:t>1582</w:t>
            </w:r>
          </w:p>
        </w:tc>
        <w:tc>
          <w:tcPr>
            <w:tcW w:w="2457" w:type="dxa"/>
            <w:tcBorders>
              <w:top w:val="single" w:sz="4" w:space="0" w:color="A6A6A6" w:themeColor="background1" w:themeShade="A6"/>
              <w:bottom w:val="single" w:sz="4" w:space="0" w:color="A6A6A6" w:themeColor="background1" w:themeShade="A6"/>
            </w:tcBorders>
            <w:shd w:val="clear" w:color="auto" w:fill="auto"/>
          </w:tcPr>
          <w:p w:rsidR="0089511D" w:rsidRPr="00CC7E24" w:rsidRDefault="0089511D" w:rsidP="00617ACC">
            <w:pPr>
              <w:pStyle w:val="TableText"/>
              <w:spacing w:before="50" w:after="50"/>
              <w:jc w:val="center"/>
              <w:rPr>
                <w:rFonts w:cs="Arial"/>
              </w:rPr>
            </w:pPr>
            <w:r>
              <w:rPr>
                <w:rFonts w:cs="Arial"/>
              </w:rPr>
              <w:t>385,702</w:t>
            </w:r>
          </w:p>
        </w:tc>
      </w:tr>
      <w:tr w:rsidR="0089511D" w:rsidRPr="00CC7E24" w:rsidTr="00617ACC">
        <w:trPr>
          <w:cantSplit/>
        </w:trPr>
        <w:tc>
          <w:tcPr>
            <w:tcW w:w="1985" w:type="dxa"/>
            <w:tcBorders>
              <w:top w:val="single" w:sz="4" w:space="0" w:color="A6A6A6" w:themeColor="background1" w:themeShade="A6"/>
              <w:bottom w:val="single" w:sz="4" w:space="0" w:color="auto"/>
            </w:tcBorders>
            <w:shd w:val="clear" w:color="auto" w:fill="auto"/>
          </w:tcPr>
          <w:p w:rsidR="0089511D" w:rsidRPr="00CC7E24" w:rsidRDefault="0089511D" w:rsidP="00617ACC">
            <w:pPr>
              <w:pStyle w:val="TableText"/>
              <w:spacing w:before="50" w:after="50"/>
            </w:pPr>
            <w:r w:rsidRPr="00CC7E24">
              <w:t>75 and over</w:t>
            </w:r>
          </w:p>
        </w:tc>
        <w:tc>
          <w:tcPr>
            <w:tcW w:w="2457" w:type="dxa"/>
            <w:tcBorders>
              <w:top w:val="single" w:sz="4" w:space="0" w:color="A6A6A6" w:themeColor="background1" w:themeShade="A6"/>
              <w:bottom w:val="single" w:sz="4" w:space="0" w:color="auto"/>
            </w:tcBorders>
            <w:shd w:val="clear" w:color="auto" w:fill="auto"/>
          </w:tcPr>
          <w:p w:rsidR="0089511D" w:rsidRPr="00CC7E24" w:rsidRDefault="0089511D" w:rsidP="00617ACC">
            <w:pPr>
              <w:pStyle w:val="TableText"/>
              <w:spacing w:before="50" w:after="50"/>
              <w:jc w:val="center"/>
              <w:rPr>
                <w:rFonts w:cs="Arial"/>
              </w:rPr>
            </w:pPr>
            <w:r>
              <w:rPr>
                <w:rFonts w:cs="Arial"/>
              </w:rPr>
              <w:t>1364</w:t>
            </w:r>
          </w:p>
        </w:tc>
        <w:tc>
          <w:tcPr>
            <w:tcW w:w="2457" w:type="dxa"/>
            <w:tcBorders>
              <w:top w:val="single" w:sz="4" w:space="0" w:color="A6A6A6" w:themeColor="background1" w:themeShade="A6"/>
              <w:bottom w:val="single" w:sz="4" w:space="0" w:color="auto"/>
            </w:tcBorders>
            <w:shd w:val="clear" w:color="auto" w:fill="auto"/>
          </w:tcPr>
          <w:p w:rsidR="0089511D" w:rsidRPr="00302221" w:rsidRDefault="0089511D" w:rsidP="00617ACC">
            <w:pPr>
              <w:pStyle w:val="TableText"/>
              <w:tabs>
                <w:tab w:val="decimal" w:pos="1379"/>
              </w:tabs>
              <w:spacing w:before="50" w:after="50"/>
              <w:rPr>
                <w:rFonts w:cs="Arial"/>
              </w:rPr>
            </w:pPr>
            <w:r>
              <w:rPr>
                <w:rFonts w:cs="Arial"/>
                <w:bCs/>
              </w:rPr>
              <w:t>1246</w:t>
            </w:r>
          </w:p>
        </w:tc>
        <w:tc>
          <w:tcPr>
            <w:tcW w:w="2457" w:type="dxa"/>
            <w:tcBorders>
              <w:top w:val="single" w:sz="4" w:space="0" w:color="A6A6A6" w:themeColor="background1" w:themeShade="A6"/>
              <w:bottom w:val="single" w:sz="4" w:space="0" w:color="auto"/>
            </w:tcBorders>
            <w:shd w:val="clear" w:color="auto" w:fill="auto"/>
          </w:tcPr>
          <w:p w:rsidR="0089511D" w:rsidRPr="00CC7E24" w:rsidRDefault="0089511D" w:rsidP="00617ACC">
            <w:pPr>
              <w:pStyle w:val="TableText"/>
              <w:spacing w:before="50" w:after="50"/>
              <w:jc w:val="center"/>
              <w:rPr>
                <w:rFonts w:cs="Arial"/>
              </w:rPr>
            </w:pPr>
            <w:r>
              <w:rPr>
                <w:rFonts w:cs="Arial"/>
              </w:rPr>
              <w:t>279,622</w:t>
            </w:r>
          </w:p>
        </w:tc>
      </w:tr>
    </w:tbl>
    <w:p w:rsidR="0089511D" w:rsidRPr="00263797" w:rsidRDefault="0089511D" w:rsidP="00617ACC">
      <w:pPr>
        <w:pStyle w:val="Note"/>
      </w:pPr>
      <w:r w:rsidRPr="002201DB">
        <w:t>*</w:t>
      </w:r>
      <w:r w:rsidR="00617ACC">
        <w:tab/>
      </w:r>
      <w:r w:rsidRPr="002201DB">
        <w:t>Note: These numbers are based on the number of respondents with valid height and weight measurements, and they exclude 201 pregnant women</w:t>
      </w:r>
      <w:r>
        <w:t>,</w:t>
      </w:r>
      <w:r w:rsidRPr="002201DB">
        <w:t xml:space="preserve"> who are not eligible to be measured</w:t>
      </w:r>
      <w:r>
        <w:t>.</w:t>
      </w:r>
    </w:p>
    <w:p w:rsidR="0089511D" w:rsidRPr="00CC7E24" w:rsidRDefault="0089511D" w:rsidP="002C40AD">
      <w:pPr>
        <w:pStyle w:val="Table"/>
        <w:spacing w:before="360"/>
      </w:pPr>
      <w:bookmarkStart w:id="293" w:name="_Toc339878421"/>
      <w:bookmarkStart w:id="294" w:name="_Toc372445591"/>
      <w:bookmarkStart w:id="295" w:name="_Toc403044046"/>
      <w:bookmarkStart w:id="296" w:name="_Toc434933614"/>
      <w:bookmarkStart w:id="297" w:name="_Toc435555084"/>
      <w:r>
        <w:lastRenderedPageBreak/>
        <w:t>Table 9</w:t>
      </w:r>
      <w:r w:rsidRPr="00805094">
        <w:t>: Sample</w:t>
      </w:r>
      <w:r w:rsidRPr="00CC7E24">
        <w:t xml:space="preserve"> sizes and population counts, by NZDep20</w:t>
      </w:r>
      <w:r>
        <w:t>13</w:t>
      </w:r>
      <w:r w:rsidRPr="00CC7E24">
        <w:t xml:space="preserve"> quintile</w:t>
      </w:r>
      <w:r>
        <w:t>,</w:t>
      </w:r>
      <w:r w:rsidRPr="00CC7E24">
        <w:t xml:space="preserve"> </w:t>
      </w:r>
      <w:r>
        <w:rPr>
          <w:bCs/>
        </w:rPr>
        <w:t>2014</w:t>
      </w:r>
      <w:r w:rsidRPr="00CC7E24">
        <w:rPr>
          <w:bCs/>
        </w:rPr>
        <w:t>/1</w:t>
      </w:r>
      <w:bookmarkEnd w:id="293"/>
      <w:bookmarkEnd w:id="294"/>
      <w:bookmarkEnd w:id="295"/>
      <w:r>
        <w:rPr>
          <w:bCs/>
        </w:rPr>
        <w:t>5</w:t>
      </w:r>
      <w:bookmarkEnd w:id="296"/>
      <w:bookmarkEnd w:id="297"/>
    </w:p>
    <w:tbl>
      <w:tblPr>
        <w:tblW w:w="4934" w:type="pct"/>
        <w:tblInd w:w="57" w:type="dxa"/>
        <w:tblBorders>
          <w:top w:val="single" w:sz="4" w:space="0" w:color="auto"/>
          <w:bottom w:val="single" w:sz="4" w:space="0" w:color="auto"/>
        </w:tblBorders>
        <w:tblLayout w:type="fixed"/>
        <w:tblCellMar>
          <w:left w:w="57" w:type="dxa"/>
          <w:right w:w="57" w:type="dxa"/>
        </w:tblCellMar>
        <w:tblLook w:val="00A0" w:firstRow="1" w:lastRow="0" w:firstColumn="1" w:lastColumn="0" w:noHBand="0" w:noVBand="0"/>
      </w:tblPr>
      <w:tblGrid>
        <w:gridCol w:w="1987"/>
        <w:gridCol w:w="1841"/>
        <w:gridCol w:w="1702"/>
        <w:gridCol w:w="1841"/>
        <w:gridCol w:w="1973"/>
      </w:tblGrid>
      <w:tr w:rsidR="0089511D" w:rsidRPr="00346355" w:rsidTr="00617ACC">
        <w:trPr>
          <w:cantSplit/>
        </w:trPr>
        <w:tc>
          <w:tcPr>
            <w:tcW w:w="1063" w:type="pct"/>
            <w:tcBorders>
              <w:top w:val="single" w:sz="4" w:space="0" w:color="auto"/>
              <w:bottom w:val="single" w:sz="4" w:space="0" w:color="auto"/>
            </w:tcBorders>
            <w:shd w:val="clear" w:color="auto" w:fill="auto"/>
          </w:tcPr>
          <w:p w:rsidR="0089511D" w:rsidRPr="00346355" w:rsidRDefault="0089511D" w:rsidP="00617ACC">
            <w:pPr>
              <w:pStyle w:val="TableText"/>
              <w:spacing w:before="50" w:after="50"/>
              <w:rPr>
                <w:b/>
              </w:rPr>
            </w:pPr>
            <w:r w:rsidRPr="00346355">
              <w:rPr>
                <w:b/>
              </w:rPr>
              <w:t>NZDep20</w:t>
            </w:r>
            <w:r>
              <w:rPr>
                <w:b/>
              </w:rPr>
              <w:t>13</w:t>
            </w:r>
            <w:r w:rsidRPr="00346355">
              <w:rPr>
                <w:b/>
              </w:rPr>
              <w:t xml:space="preserve"> quintile</w:t>
            </w:r>
          </w:p>
        </w:tc>
        <w:tc>
          <w:tcPr>
            <w:tcW w:w="985" w:type="pct"/>
            <w:tcBorders>
              <w:top w:val="single" w:sz="4" w:space="0" w:color="auto"/>
              <w:bottom w:val="single" w:sz="4" w:space="0" w:color="auto"/>
              <w:right w:val="nil"/>
            </w:tcBorders>
            <w:shd w:val="clear" w:color="auto" w:fill="auto"/>
          </w:tcPr>
          <w:p w:rsidR="0089511D" w:rsidRPr="00346355" w:rsidRDefault="0089511D" w:rsidP="00617ACC">
            <w:pPr>
              <w:pStyle w:val="TableText"/>
              <w:spacing w:before="50" w:after="50"/>
              <w:rPr>
                <w:b/>
              </w:rPr>
            </w:pPr>
            <w:r w:rsidRPr="00346355">
              <w:rPr>
                <w:b/>
              </w:rPr>
              <w:t>Population group</w:t>
            </w:r>
          </w:p>
        </w:tc>
        <w:tc>
          <w:tcPr>
            <w:tcW w:w="911" w:type="pct"/>
            <w:tcBorders>
              <w:top w:val="single" w:sz="4" w:space="0" w:color="auto"/>
              <w:left w:val="nil"/>
              <w:bottom w:val="single" w:sz="4" w:space="0" w:color="auto"/>
              <w:right w:val="nil"/>
            </w:tcBorders>
            <w:shd w:val="clear" w:color="auto" w:fill="auto"/>
          </w:tcPr>
          <w:p w:rsidR="0089511D" w:rsidRPr="00346355" w:rsidRDefault="0089511D" w:rsidP="00617ACC">
            <w:pPr>
              <w:pStyle w:val="TableText"/>
              <w:spacing w:before="50" w:after="50"/>
              <w:jc w:val="center"/>
              <w:rPr>
                <w:b/>
              </w:rPr>
            </w:pPr>
            <w:r w:rsidRPr="00346355">
              <w:rPr>
                <w:b/>
              </w:rPr>
              <w:t>Interviews</w:t>
            </w:r>
          </w:p>
        </w:tc>
        <w:tc>
          <w:tcPr>
            <w:tcW w:w="985" w:type="pct"/>
            <w:tcBorders>
              <w:top w:val="single" w:sz="4" w:space="0" w:color="auto"/>
              <w:left w:val="nil"/>
              <w:bottom w:val="single" w:sz="4" w:space="0" w:color="auto"/>
              <w:right w:val="nil"/>
            </w:tcBorders>
            <w:shd w:val="clear" w:color="auto" w:fill="auto"/>
          </w:tcPr>
          <w:p w:rsidR="0089511D" w:rsidRPr="00346355" w:rsidRDefault="0089511D" w:rsidP="00617ACC">
            <w:pPr>
              <w:pStyle w:val="TableText"/>
              <w:spacing w:before="50" w:after="50"/>
              <w:jc w:val="center"/>
              <w:rPr>
                <w:b/>
              </w:rPr>
            </w:pPr>
            <w:r w:rsidRPr="00346355">
              <w:rPr>
                <w:b/>
              </w:rPr>
              <w:t>Measurements</w:t>
            </w:r>
            <w:r>
              <w:rPr>
                <w:b/>
              </w:rPr>
              <w:t>*</w:t>
            </w:r>
            <w:r w:rsidRPr="00346355">
              <w:rPr>
                <w:b/>
              </w:rPr>
              <w:br/>
              <w:t>(2+ years)</w:t>
            </w:r>
          </w:p>
        </w:tc>
        <w:tc>
          <w:tcPr>
            <w:tcW w:w="1056" w:type="pct"/>
            <w:tcBorders>
              <w:top w:val="single" w:sz="4" w:space="0" w:color="auto"/>
              <w:left w:val="nil"/>
              <w:bottom w:val="single" w:sz="4" w:space="0" w:color="auto"/>
            </w:tcBorders>
            <w:shd w:val="clear" w:color="auto" w:fill="auto"/>
          </w:tcPr>
          <w:p w:rsidR="0089511D" w:rsidRPr="00346355" w:rsidRDefault="0089511D" w:rsidP="00617ACC">
            <w:pPr>
              <w:pStyle w:val="TableText"/>
              <w:spacing w:before="50" w:after="50"/>
              <w:jc w:val="center"/>
              <w:rPr>
                <w:b/>
              </w:rPr>
            </w:pPr>
            <w:r w:rsidRPr="00346355">
              <w:rPr>
                <w:b/>
              </w:rPr>
              <w:t>Population count</w:t>
            </w:r>
          </w:p>
        </w:tc>
      </w:tr>
      <w:tr w:rsidR="0089511D" w:rsidRPr="00CC7E24" w:rsidTr="00617ACC">
        <w:trPr>
          <w:cantSplit/>
        </w:trPr>
        <w:tc>
          <w:tcPr>
            <w:tcW w:w="1063" w:type="pct"/>
            <w:vMerge w:val="restart"/>
            <w:tcBorders>
              <w:top w:val="single" w:sz="4" w:space="0" w:color="auto"/>
            </w:tcBorders>
            <w:shd w:val="clear" w:color="auto" w:fill="auto"/>
          </w:tcPr>
          <w:p w:rsidR="0089511D" w:rsidRPr="00CC7E24" w:rsidRDefault="0089511D" w:rsidP="00617ACC">
            <w:pPr>
              <w:pStyle w:val="TableText"/>
              <w:spacing w:before="50" w:after="50"/>
            </w:pPr>
            <w:r w:rsidRPr="00CC7E24">
              <w:t>Quintile 1</w:t>
            </w:r>
            <w:r>
              <w:br/>
              <w:t xml:space="preserve">(least </w:t>
            </w:r>
            <w:r w:rsidRPr="00CC7E24">
              <w:t>deprived neighbourhoods)</w:t>
            </w:r>
          </w:p>
        </w:tc>
        <w:tc>
          <w:tcPr>
            <w:tcW w:w="985" w:type="pct"/>
            <w:tcBorders>
              <w:top w:val="single" w:sz="4" w:space="0" w:color="auto"/>
              <w:bottom w:val="nil"/>
            </w:tcBorders>
            <w:shd w:val="clear" w:color="auto" w:fill="auto"/>
          </w:tcPr>
          <w:p w:rsidR="0089511D" w:rsidRPr="00CC7E24" w:rsidRDefault="0089511D" w:rsidP="00617ACC">
            <w:pPr>
              <w:pStyle w:val="TableText"/>
              <w:spacing w:before="50" w:after="50"/>
              <w:rPr>
                <w:rFonts w:cs="Arial"/>
              </w:rPr>
            </w:pPr>
            <w:r w:rsidRPr="00CC7E24">
              <w:rPr>
                <w:rFonts w:cs="Arial"/>
              </w:rPr>
              <w:t>Children</w:t>
            </w:r>
          </w:p>
        </w:tc>
        <w:tc>
          <w:tcPr>
            <w:tcW w:w="911" w:type="pct"/>
            <w:tcBorders>
              <w:top w:val="single" w:sz="4" w:space="0" w:color="auto"/>
              <w:bottom w:val="nil"/>
            </w:tcBorders>
            <w:shd w:val="clear" w:color="auto" w:fill="auto"/>
          </w:tcPr>
          <w:p w:rsidR="0089511D" w:rsidRPr="00CC7E24" w:rsidRDefault="0089511D" w:rsidP="00617ACC">
            <w:pPr>
              <w:pStyle w:val="TableText"/>
              <w:tabs>
                <w:tab w:val="decimal" w:pos="1077"/>
              </w:tabs>
              <w:spacing w:before="50" w:after="50"/>
              <w:rPr>
                <w:rFonts w:cs="Arial"/>
              </w:rPr>
            </w:pPr>
            <w:r>
              <w:rPr>
                <w:rFonts w:cs="Arial"/>
              </w:rPr>
              <w:t>517</w:t>
            </w:r>
          </w:p>
        </w:tc>
        <w:tc>
          <w:tcPr>
            <w:tcW w:w="985" w:type="pct"/>
            <w:tcBorders>
              <w:top w:val="single" w:sz="4" w:space="0" w:color="auto"/>
              <w:bottom w:val="nil"/>
            </w:tcBorders>
            <w:shd w:val="clear" w:color="auto" w:fill="auto"/>
          </w:tcPr>
          <w:p w:rsidR="0089511D" w:rsidRPr="00CC7E24" w:rsidRDefault="0089511D" w:rsidP="00617ACC">
            <w:pPr>
              <w:pStyle w:val="TableText"/>
              <w:tabs>
                <w:tab w:val="decimal" w:pos="1076"/>
              </w:tabs>
              <w:spacing w:before="50" w:after="50"/>
              <w:rPr>
                <w:rFonts w:cs="Arial"/>
              </w:rPr>
            </w:pPr>
            <w:r>
              <w:rPr>
                <w:rFonts w:cs="Arial"/>
                <w:bCs/>
              </w:rPr>
              <w:t>410</w:t>
            </w:r>
          </w:p>
        </w:tc>
        <w:tc>
          <w:tcPr>
            <w:tcW w:w="1056" w:type="pct"/>
            <w:tcBorders>
              <w:top w:val="single" w:sz="4" w:space="0" w:color="auto"/>
              <w:bottom w:val="nil"/>
            </w:tcBorders>
            <w:shd w:val="clear" w:color="auto" w:fill="auto"/>
          </w:tcPr>
          <w:p w:rsidR="0089511D" w:rsidRPr="00CC7E24" w:rsidRDefault="0089511D" w:rsidP="00617ACC">
            <w:pPr>
              <w:pStyle w:val="TableText"/>
              <w:tabs>
                <w:tab w:val="decimal" w:pos="1361"/>
              </w:tabs>
              <w:spacing w:before="50" w:after="50"/>
              <w:rPr>
                <w:rFonts w:cs="Arial"/>
              </w:rPr>
            </w:pPr>
            <w:r>
              <w:rPr>
                <w:rFonts w:cs="Arial"/>
              </w:rPr>
              <w:t>175,365</w:t>
            </w:r>
          </w:p>
        </w:tc>
      </w:tr>
      <w:tr w:rsidR="0089511D" w:rsidRPr="00CC7E24" w:rsidTr="001E4900">
        <w:trPr>
          <w:cantSplit/>
        </w:trPr>
        <w:tc>
          <w:tcPr>
            <w:tcW w:w="1063" w:type="pct"/>
            <w:vMerge/>
            <w:tcBorders>
              <w:bottom w:val="single" w:sz="4" w:space="0" w:color="A6A6A6"/>
            </w:tcBorders>
            <w:shd w:val="clear" w:color="auto" w:fill="auto"/>
          </w:tcPr>
          <w:p w:rsidR="0089511D" w:rsidRPr="00CC7E24" w:rsidRDefault="0089511D" w:rsidP="00617ACC">
            <w:pPr>
              <w:pStyle w:val="TableText"/>
              <w:spacing w:before="50" w:after="50"/>
            </w:pPr>
          </w:p>
        </w:tc>
        <w:tc>
          <w:tcPr>
            <w:tcW w:w="985" w:type="pct"/>
            <w:tcBorders>
              <w:top w:val="nil"/>
              <w:bottom w:val="single" w:sz="4" w:space="0" w:color="A6A6A6"/>
            </w:tcBorders>
            <w:shd w:val="clear" w:color="auto" w:fill="auto"/>
          </w:tcPr>
          <w:p w:rsidR="0089511D" w:rsidRPr="00CC7E24" w:rsidRDefault="0089511D" w:rsidP="00617ACC">
            <w:pPr>
              <w:pStyle w:val="TableText"/>
              <w:spacing w:before="50" w:after="50"/>
              <w:rPr>
                <w:rFonts w:cs="Arial"/>
              </w:rPr>
            </w:pPr>
            <w:r w:rsidRPr="00CC7E24">
              <w:rPr>
                <w:rFonts w:cs="Arial"/>
              </w:rPr>
              <w:t>Adults</w:t>
            </w:r>
          </w:p>
        </w:tc>
        <w:tc>
          <w:tcPr>
            <w:tcW w:w="911" w:type="pct"/>
            <w:tcBorders>
              <w:top w:val="nil"/>
              <w:bottom w:val="single" w:sz="4" w:space="0" w:color="A6A6A6"/>
            </w:tcBorders>
            <w:shd w:val="clear" w:color="auto" w:fill="auto"/>
          </w:tcPr>
          <w:p w:rsidR="0089511D" w:rsidRPr="00CC7E24" w:rsidRDefault="0089511D" w:rsidP="00617ACC">
            <w:pPr>
              <w:pStyle w:val="TableText"/>
              <w:tabs>
                <w:tab w:val="decimal" w:pos="1077"/>
              </w:tabs>
              <w:spacing w:before="50" w:after="50"/>
              <w:rPr>
                <w:rFonts w:cs="Arial"/>
              </w:rPr>
            </w:pPr>
            <w:r>
              <w:rPr>
                <w:rFonts w:cs="Arial"/>
              </w:rPr>
              <w:t>1579</w:t>
            </w:r>
          </w:p>
        </w:tc>
        <w:tc>
          <w:tcPr>
            <w:tcW w:w="985" w:type="pct"/>
            <w:tcBorders>
              <w:top w:val="nil"/>
              <w:bottom w:val="single" w:sz="4" w:space="0" w:color="A6A6A6"/>
            </w:tcBorders>
            <w:shd w:val="clear" w:color="auto" w:fill="auto"/>
          </w:tcPr>
          <w:p w:rsidR="0089511D" w:rsidRPr="00CC7E24" w:rsidRDefault="0089511D" w:rsidP="00617ACC">
            <w:pPr>
              <w:pStyle w:val="TableText"/>
              <w:tabs>
                <w:tab w:val="decimal" w:pos="1076"/>
              </w:tabs>
              <w:spacing w:before="50" w:after="50"/>
              <w:rPr>
                <w:rFonts w:cs="Arial"/>
              </w:rPr>
            </w:pPr>
            <w:r>
              <w:rPr>
                <w:rFonts w:cs="Arial"/>
                <w:bCs/>
              </w:rPr>
              <w:t>1511</w:t>
            </w:r>
          </w:p>
        </w:tc>
        <w:tc>
          <w:tcPr>
            <w:tcW w:w="1056" w:type="pct"/>
            <w:tcBorders>
              <w:top w:val="nil"/>
              <w:bottom w:val="single" w:sz="4" w:space="0" w:color="A6A6A6"/>
            </w:tcBorders>
            <w:shd w:val="clear" w:color="auto" w:fill="auto"/>
          </w:tcPr>
          <w:p w:rsidR="0089511D" w:rsidRPr="00CC7E24" w:rsidRDefault="0089511D" w:rsidP="00617ACC">
            <w:pPr>
              <w:pStyle w:val="TableText"/>
              <w:tabs>
                <w:tab w:val="decimal" w:pos="1361"/>
              </w:tabs>
              <w:spacing w:before="50" w:after="50"/>
              <w:rPr>
                <w:rFonts w:cs="Arial"/>
              </w:rPr>
            </w:pPr>
            <w:r>
              <w:rPr>
                <w:rFonts w:cs="Arial"/>
              </w:rPr>
              <w:t>737,777</w:t>
            </w:r>
          </w:p>
        </w:tc>
      </w:tr>
      <w:tr w:rsidR="0089511D" w:rsidRPr="00CC7E24" w:rsidTr="00617ACC">
        <w:trPr>
          <w:cantSplit/>
        </w:trPr>
        <w:tc>
          <w:tcPr>
            <w:tcW w:w="1063" w:type="pct"/>
            <w:vMerge w:val="restart"/>
            <w:tcBorders>
              <w:top w:val="single" w:sz="4" w:space="0" w:color="A6A6A6"/>
              <w:bottom w:val="nil"/>
            </w:tcBorders>
            <w:shd w:val="clear" w:color="auto" w:fill="auto"/>
          </w:tcPr>
          <w:p w:rsidR="0089511D" w:rsidRPr="00CC7E24" w:rsidRDefault="0089511D" w:rsidP="00617ACC">
            <w:pPr>
              <w:pStyle w:val="TableText"/>
              <w:spacing w:before="50" w:after="50"/>
            </w:pPr>
            <w:r w:rsidRPr="00CC7E24">
              <w:t>Quintile 2</w:t>
            </w:r>
          </w:p>
        </w:tc>
        <w:tc>
          <w:tcPr>
            <w:tcW w:w="985" w:type="pct"/>
            <w:tcBorders>
              <w:top w:val="single" w:sz="4" w:space="0" w:color="A6A6A6"/>
              <w:bottom w:val="nil"/>
            </w:tcBorders>
            <w:shd w:val="clear" w:color="auto" w:fill="auto"/>
          </w:tcPr>
          <w:p w:rsidR="0089511D" w:rsidRPr="00CC7E24" w:rsidRDefault="0089511D" w:rsidP="00617ACC">
            <w:pPr>
              <w:pStyle w:val="TableText"/>
              <w:spacing w:before="50" w:after="50"/>
              <w:rPr>
                <w:rFonts w:cs="Arial"/>
              </w:rPr>
            </w:pPr>
            <w:r w:rsidRPr="00CC7E24">
              <w:rPr>
                <w:rFonts w:cs="Arial"/>
              </w:rPr>
              <w:t>Children</w:t>
            </w:r>
          </w:p>
        </w:tc>
        <w:tc>
          <w:tcPr>
            <w:tcW w:w="911" w:type="pct"/>
            <w:tcBorders>
              <w:top w:val="single" w:sz="4" w:space="0" w:color="A6A6A6"/>
              <w:bottom w:val="nil"/>
            </w:tcBorders>
            <w:shd w:val="clear" w:color="auto" w:fill="auto"/>
          </w:tcPr>
          <w:p w:rsidR="0089511D" w:rsidRPr="00CC7E24" w:rsidRDefault="0089511D" w:rsidP="00617ACC">
            <w:pPr>
              <w:pStyle w:val="TableText"/>
              <w:tabs>
                <w:tab w:val="decimal" w:pos="1077"/>
              </w:tabs>
              <w:spacing w:before="50" w:after="50"/>
              <w:rPr>
                <w:rFonts w:cs="Arial"/>
              </w:rPr>
            </w:pPr>
            <w:r>
              <w:rPr>
                <w:rFonts w:cs="Arial"/>
              </w:rPr>
              <w:t>729</w:t>
            </w:r>
          </w:p>
        </w:tc>
        <w:tc>
          <w:tcPr>
            <w:tcW w:w="985" w:type="pct"/>
            <w:tcBorders>
              <w:top w:val="single" w:sz="4" w:space="0" w:color="A6A6A6"/>
              <w:bottom w:val="nil"/>
            </w:tcBorders>
            <w:shd w:val="clear" w:color="auto" w:fill="auto"/>
          </w:tcPr>
          <w:p w:rsidR="0089511D" w:rsidRPr="00CC7E24" w:rsidRDefault="0089511D" w:rsidP="00617ACC">
            <w:pPr>
              <w:pStyle w:val="TableText"/>
              <w:tabs>
                <w:tab w:val="decimal" w:pos="1076"/>
              </w:tabs>
              <w:spacing w:before="50" w:after="50"/>
              <w:rPr>
                <w:rFonts w:cs="Arial"/>
              </w:rPr>
            </w:pPr>
            <w:r>
              <w:rPr>
                <w:rFonts w:cs="Arial"/>
                <w:bCs/>
              </w:rPr>
              <w:t>579</w:t>
            </w:r>
          </w:p>
        </w:tc>
        <w:tc>
          <w:tcPr>
            <w:tcW w:w="1056" w:type="pct"/>
            <w:tcBorders>
              <w:top w:val="single" w:sz="4" w:space="0" w:color="A6A6A6"/>
              <w:bottom w:val="nil"/>
            </w:tcBorders>
            <w:shd w:val="clear" w:color="auto" w:fill="auto"/>
          </w:tcPr>
          <w:p w:rsidR="0089511D" w:rsidRPr="00CC7E24" w:rsidRDefault="0089511D" w:rsidP="00617ACC">
            <w:pPr>
              <w:pStyle w:val="TableText"/>
              <w:tabs>
                <w:tab w:val="decimal" w:pos="1361"/>
              </w:tabs>
              <w:spacing w:before="50" w:after="50"/>
              <w:rPr>
                <w:rFonts w:cs="Arial"/>
              </w:rPr>
            </w:pPr>
            <w:r>
              <w:rPr>
                <w:rFonts w:cs="Arial"/>
              </w:rPr>
              <w:t>181,594</w:t>
            </w:r>
          </w:p>
        </w:tc>
      </w:tr>
      <w:tr w:rsidR="0089511D" w:rsidRPr="00CC7E24" w:rsidTr="001E4900">
        <w:trPr>
          <w:cantSplit/>
        </w:trPr>
        <w:tc>
          <w:tcPr>
            <w:tcW w:w="1063" w:type="pct"/>
            <w:vMerge/>
            <w:tcBorders>
              <w:top w:val="nil"/>
              <w:bottom w:val="single" w:sz="4" w:space="0" w:color="A6A6A6"/>
            </w:tcBorders>
            <w:shd w:val="clear" w:color="auto" w:fill="auto"/>
          </w:tcPr>
          <w:p w:rsidR="0089511D" w:rsidRPr="00CC7E24" w:rsidRDefault="0089511D" w:rsidP="00617ACC">
            <w:pPr>
              <w:pStyle w:val="TableText"/>
              <w:spacing w:before="50" w:after="50"/>
            </w:pPr>
          </w:p>
        </w:tc>
        <w:tc>
          <w:tcPr>
            <w:tcW w:w="985" w:type="pct"/>
            <w:tcBorders>
              <w:top w:val="nil"/>
              <w:bottom w:val="single" w:sz="4" w:space="0" w:color="A6A6A6"/>
            </w:tcBorders>
            <w:shd w:val="clear" w:color="auto" w:fill="auto"/>
          </w:tcPr>
          <w:p w:rsidR="0089511D" w:rsidRPr="00CC7E24" w:rsidRDefault="0089511D" w:rsidP="00617ACC">
            <w:pPr>
              <w:pStyle w:val="TableText"/>
              <w:spacing w:before="50" w:after="50"/>
              <w:rPr>
                <w:rFonts w:cs="Arial"/>
              </w:rPr>
            </w:pPr>
            <w:r w:rsidRPr="00CC7E24">
              <w:rPr>
                <w:rFonts w:cs="Arial"/>
              </w:rPr>
              <w:t>Adults</w:t>
            </w:r>
          </w:p>
        </w:tc>
        <w:tc>
          <w:tcPr>
            <w:tcW w:w="911" w:type="pct"/>
            <w:tcBorders>
              <w:top w:val="nil"/>
              <w:bottom w:val="single" w:sz="4" w:space="0" w:color="A6A6A6"/>
            </w:tcBorders>
            <w:shd w:val="clear" w:color="auto" w:fill="auto"/>
          </w:tcPr>
          <w:p w:rsidR="0089511D" w:rsidRPr="00CC7E24" w:rsidRDefault="0089511D" w:rsidP="00617ACC">
            <w:pPr>
              <w:pStyle w:val="TableText"/>
              <w:tabs>
                <w:tab w:val="decimal" w:pos="1077"/>
              </w:tabs>
              <w:spacing w:before="50" w:after="50"/>
              <w:rPr>
                <w:rFonts w:cs="Arial"/>
              </w:rPr>
            </w:pPr>
            <w:r>
              <w:rPr>
                <w:rFonts w:cs="Arial"/>
              </w:rPr>
              <w:t>2210</w:t>
            </w:r>
          </w:p>
        </w:tc>
        <w:tc>
          <w:tcPr>
            <w:tcW w:w="985" w:type="pct"/>
            <w:tcBorders>
              <w:top w:val="nil"/>
              <w:bottom w:val="single" w:sz="4" w:space="0" w:color="A6A6A6"/>
            </w:tcBorders>
            <w:shd w:val="clear" w:color="auto" w:fill="auto"/>
          </w:tcPr>
          <w:p w:rsidR="0089511D" w:rsidRPr="00CC7E24" w:rsidRDefault="0089511D" w:rsidP="00617ACC">
            <w:pPr>
              <w:pStyle w:val="TableText"/>
              <w:tabs>
                <w:tab w:val="decimal" w:pos="1076"/>
              </w:tabs>
              <w:spacing w:before="50" w:after="50"/>
              <w:rPr>
                <w:rFonts w:cs="Arial"/>
              </w:rPr>
            </w:pPr>
            <w:r>
              <w:rPr>
                <w:rFonts w:cs="Arial"/>
                <w:bCs/>
              </w:rPr>
              <w:t>2107</w:t>
            </w:r>
          </w:p>
        </w:tc>
        <w:tc>
          <w:tcPr>
            <w:tcW w:w="1056" w:type="pct"/>
            <w:tcBorders>
              <w:top w:val="nil"/>
              <w:bottom w:val="single" w:sz="4" w:space="0" w:color="A6A6A6"/>
            </w:tcBorders>
            <w:shd w:val="clear" w:color="auto" w:fill="auto"/>
          </w:tcPr>
          <w:p w:rsidR="0089511D" w:rsidRPr="00CC7E24" w:rsidRDefault="0089511D" w:rsidP="00617ACC">
            <w:pPr>
              <w:pStyle w:val="TableText"/>
              <w:tabs>
                <w:tab w:val="decimal" w:pos="1361"/>
              </w:tabs>
              <w:spacing w:before="50" w:after="50"/>
              <w:rPr>
                <w:rFonts w:cs="Arial"/>
              </w:rPr>
            </w:pPr>
            <w:r>
              <w:rPr>
                <w:rFonts w:cs="Arial"/>
              </w:rPr>
              <w:t>731,548</w:t>
            </w:r>
          </w:p>
        </w:tc>
      </w:tr>
      <w:tr w:rsidR="0089511D" w:rsidRPr="00CC7E24" w:rsidTr="00617ACC">
        <w:trPr>
          <w:cantSplit/>
        </w:trPr>
        <w:tc>
          <w:tcPr>
            <w:tcW w:w="1063" w:type="pct"/>
            <w:vMerge w:val="restart"/>
            <w:tcBorders>
              <w:top w:val="single" w:sz="4" w:space="0" w:color="A6A6A6"/>
              <w:bottom w:val="nil"/>
            </w:tcBorders>
            <w:shd w:val="clear" w:color="auto" w:fill="auto"/>
          </w:tcPr>
          <w:p w:rsidR="0089511D" w:rsidRPr="00CC7E24" w:rsidRDefault="0089511D" w:rsidP="00617ACC">
            <w:pPr>
              <w:pStyle w:val="TableText"/>
              <w:spacing w:before="50" w:after="50"/>
            </w:pPr>
            <w:r w:rsidRPr="00CC7E24">
              <w:t>Quintile 3</w:t>
            </w:r>
          </w:p>
        </w:tc>
        <w:tc>
          <w:tcPr>
            <w:tcW w:w="985" w:type="pct"/>
            <w:tcBorders>
              <w:top w:val="single" w:sz="4" w:space="0" w:color="A6A6A6"/>
              <w:bottom w:val="nil"/>
            </w:tcBorders>
            <w:shd w:val="clear" w:color="auto" w:fill="auto"/>
          </w:tcPr>
          <w:p w:rsidR="0089511D" w:rsidRPr="00CC7E24" w:rsidRDefault="0089511D" w:rsidP="00617ACC">
            <w:pPr>
              <w:pStyle w:val="TableText"/>
              <w:spacing w:before="50" w:after="50"/>
              <w:rPr>
                <w:rFonts w:cs="Arial"/>
              </w:rPr>
            </w:pPr>
            <w:r w:rsidRPr="00CC7E24">
              <w:rPr>
                <w:rFonts w:cs="Arial"/>
              </w:rPr>
              <w:t>Children</w:t>
            </w:r>
          </w:p>
        </w:tc>
        <w:tc>
          <w:tcPr>
            <w:tcW w:w="911" w:type="pct"/>
            <w:tcBorders>
              <w:top w:val="single" w:sz="4" w:space="0" w:color="A6A6A6"/>
              <w:bottom w:val="nil"/>
            </w:tcBorders>
            <w:shd w:val="clear" w:color="auto" w:fill="auto"/>
          </w:tcPr>
          <w:p w:rsidR="0089511D" w:rsidRPr="00CC7E24" w:rsidRDefault="0089511D" w:rsidP="00617ACC">
            <w:pPr>
              <w:pStyle w:val="TableText"/>
              <w:tabs>
                <w:tab w:val="decimal" w:pos="1077"/>
              </w:tabs>
              <w:spacing w:before="50" w:after="50"/>
              <w:rPr>
                <w:rFonts w:cs="Arial"/>
              </w:rPr>
            </w:pPr>
            <w:r>
              <w:rPr>
                <w:rFonts w:cs="Arial"/>
              </w:rPr>
              <w:t>762</w:t>
            </w:r>
          </w:p>
        </w:tc>
        <w:tc>
          <w:tcPr>
            <w:tcW w:w="985" w:type="pct"/>
            <w:tcBorders>
              <w:top w:val="single" w:sz="4" w:space="0" w:color="A6A6A6"/>
              <w:bottom w:val="nil"/>
            </w:tcBorders>
            <w:shd w:val="clear" w:color="auto" w:fill="auto"/>
          </w:tcPr>
          <w:p w:rsidR="0089511D" w:rsidRPr="00CC7E24" w:rsidRDefault="0089511D" w:rsidP="00617ACC">
            <w:pPr>
              <w:pStyle w:val="TableText"/>
              <w:tabs>
                <w:tab w:val="decimal" w:pos="1076"/>
              </w:tabs>
              <w:spacing w:before="50" w:after="50"/>
              <w:rPr>
                <w:rFonts w:cs="Arial"/>
              </w:rPr>
            </w:pPr>
            <w:r>
              <w:rPr>
                <w:rFonts w:cs="Arial"/>
                <w:bCs/>
              </w:rPr>
              <w:t>592</w:t>
            </w:r>
          </w:p>
        </w:tc>
        <w:tc>
          <w:tcPr>
            <w:tcW w:w="1056" w:type="pct"/>
            <w:tcBorders>
              <w:top w:val="single" w:sz="4" w:space="0" w:color="A6A6A6"/>
              <w:bottom w:val="nil"/>
            </w:tcBorders>
            <w:shd w:val="clear" w:color="auto" w:fill="auto"/>
          </w:tcPr>
          <w:p w:rsidR="0089511D" w:rsidRPr="00CC7E24" w:rsidRDefault="0089511D" w:rsidP="00617ACC">
            <w:pPr>
              <w:pStyle w:val="TableText"/>
              <w:tabs>
                <w:tab w:val="decimal" w:pos="1361"/>
              </w:tabs>
              <w:spacing w:before="50" w:after="50"/>
              <w:rPr>
                <w:rFonts w:cs="Arial"/>
              </w:rPr>
            </w:pPr>
            <w:r>
              <w:rPr>
                <w:rFonts w:cs="Arial"/>
              </w:rPr>
              <w:t>163,222</w:t>
            </w:r>
          </w:p>
        </w:tc>
      </w:tr>
      <w:tr w:rsidR="0089511D" w:rsidRPr="00CC7E24" w:rsidTr="001E4900">
        <w:trPr>
          <w:cantSplit/>
        </w:trPr>
        <w:tc>
          <w:tcPr>
            <w:tcW w:w="1063" w:type="pct"/>
            <w:vMerge/>
            <w:tcBorders>
              <w:top w:val="nil"/>
              <w:bottom w:val="single" w:sz="4" w:space="0" w:color="A6A6A6"/>
            </w:tcBorders>
            <w:shd w:val="clear" w:color="auto" w:fill="auto"/>
          </w:tcPr>
          <w:p w:rsidR="0089511D" w:rsidRPr="00CC7E24" w:rsidRDefault="0089511D" w:rsidP="00617ACC">
            <w:pPr>
              <w:pStyle w:val="TableText"/>
              <w:spacing w:before="50" w:after="50"/>
            </w:pPr>
          </w:p>
        </w:tc>
        <w:tc>
          <w:tcPr>
            <w:tcW w:w="985" w:type="pct"/>
            <w:tcBorders>
              <w:top w:val="nil"/>
              <w:bottom w:val="single" w:sz="4" w:space="0" w:color="A6A6A6"/>
            </w:tcBorders>
            <w:shd w:val="clear" w:color="auto" w:fill="auto"/>
          </w:tcPr>
          <w:p w:rsidR="0089511D" w:rsidRPr="00CC7E24" w:rsidRDefault="0089511D" w:rsidP="00617ACC">
            <w:pPr>
              <w:pStyle w:val="TableText"/>
              <w:spacing w:before="50" w:after="50"/>
              <w:rPr>
                <w:rFonts w:cs="Arial"/>
              </w:rPr>
            </w:pPr>
            <w:r w:rsidRPr="00CC7E24">
              <w:rPr>
                <w:rFonts w:cs="Arial"/>
              </w:rPr>
              <w:t>Adults</w:t>
            </w:r>
          </w:p>
        </w:tc>
        <w:tc>
          <w:tcPr>
            <w:tcW w:w="911" w:type="pct"/>
            <w:tcBorders>
              <w:top w:val="nil"/>
              <w:bottom w:val="single" w:sz="4" w:space="0" w:color="A6A6A6"/>
            </w:tcBorders>
            <w:shd w:val="clear" w:color="auto" w:fill="auto"/>
          </w:tcPr>
          <w:p w:rsidR="0089511D" w:rsidRPr="00CC7E24" w:rsidRDefault="0089511D" w:rsidP="00617ACC">
            <w:pPr>
              <w:pStyle w:val="TableText"/>
              <w:tabs>
                <w:tab w:val="decimal" w:pos="1077"/>
              </w:tabs>
              <w:spacing w:before="50" w:after="50"/>
              <w:rPr>
                <w:rFonts w:cs="Arial"/>
              </w:rPr>
            </w:pPr>
            <w:r>
              <w:rPr>
                <w:rFonts w:cs="Arial"/>
              </w:rPr>
              <w:t>2507</w:t>
            </w:r>
          </w:p>
        </w:tc>
        <w:tc>
          <w:tcPr>
            <w:tcW w:w="985" w:type="pct"/>
            <w:tcBorders>
              <w:top w:val="nil"/>
              <w:bottom w:val="single" w:sz="4" w:space="0" w:color="A6A6A6"/>
            </w:tcBorders>
            <w:shd w:val="clear" w:color="auto" w:fill="auto"/>
          </w:tcPr>
          <w:p w:rsidR="0089511D" w:rsidRPr="00CC7E24" w:rsidRDefault="0089511D" w:rsidP="00617ACC">
            <w:pPr>
              <w:pStyle w:val="TableText"/>
              <w:tabs>
                <w:tab w:val="decimal" w:pos="1076"/>
              </w:tabs>
              <w:spacing w:before="50" w:after="50"/>
              <w:rPr>
                <w:rFonts w:cs="Arial"/>
              </w:rPr>
            </w:pPr>
            <w:r>
              <w:rPr>
                <w:rFonts w:cs="Arial"/>
                <w:bCs/>
              </w:rPr>
              <w:t>2397</w:t>
            </w:r>
          </w:p>
        </w:tc>
        <w:tc>
          <w:tcPr>
            <w:tcW w:w="1056" w:type="pct"/>
            <w:tcBorders>
              <w:top w:val="nil"/>
              <w:bottom w:val="single" w:sz="4" w:space="0" w:color="A6A6A6"/>
            </w:tcBorders>
            <w:shd w:val="clear" w:color="auto" w:fill="auto"/>
          </w:tcPr>
          <w:p w:rsidR="0089511D" w:rsidRPr="00CC7E24" w:rsidRDefault="0089511D" w:rsidP="00617ACC">
            <w:pPr>
              <w:pStyle w:val="TableText"/>
              <w:tabs>
                <w:tab w:val="decimal" w:pos="1361"/>
              </w:tabs>
              <w:spacing w:before="50" w:after="50"/>
              <w:rPr>
                <w:rFonts w:cs="Arial"/>
              </w:rPr>
            </w:pPr>
            <w:r>
              <w:rPr>
                <w:rFonts w:cs="Arial"/>
              </w:rPr>
              <w:t>749,920</w:t>
            </w:r>
          </w:p>
        </w:tc>
      </w:tr>
      <w:tr w:rsidR="0089511D" w:rsidRPr="00CC7E24" w:rsidTr="00617ACC">
        <w:trPr>
          <w:cantSplit/>
        </w:trPr>
        <w:tc>
          <w:tcPr>
            <w:tcW w:w="1063" w:type="pct"/>
            <w:vMerge w:val="restart"/>
            <w:tcBorders>
              <w:top w:val="single" w:sz="4" w:space="0" w:color="A6A6A6"/>
              <w:bottom w:val="nil"/>
            </w:tcBorders>
            <w:shd w:val="clear" w:color="auto" w:fill="auto"/>
          </w:tcPr>
          <w:p w:rsidR="0089511D" w:rsidRPr="00CC7E24" w:rsidRDefault="0089511D" w:rsidP="00617ACC">
            <w:pPr>
              <w:pStyle w:val="TableText"/>
              <w:spacing w:before="50" w:after="50"/>
            </w:pPr>
            <w:r w:rsidRPr="00CC7E24">
              <w:t>Quintile 4</w:t>
            </w:r>
          </w:p>
        </w:tc>
        <w:tc>
          <w:tcPr>
            <w:tcW w:w="985" w:type="pct"/>
            <w:tcBorders>
              <w:top w:val="single" w:sz="4" w:space="0" w:color="A6A6A6"/>
              <w:bottom w:val="nil"/>
            </w:tcBorders>
            <w:shd w:val="clear" w:color="auto" w:fill="auto"/>
          </w:tcPr>
          <w:p w:rsidR="0089511D" w:rsidRPr="00CC7E24" w:rsidRDefault="0089511D" w:rsidP="00617ACC">
            <w:pPr>
              <w:pStyle w:val="TableText"/>
              <w:spacing w:before="50" w:after="50"/>
              <w:rPr>
                <w:rFonts w:cs="Arial"/>
              </w:rPr>
            </w:pPr>
            <w:r w:rsidRPr="00CC7E24">
              <w:rPr>
                <w:rFonts w:cs="Arial"/>
              </w:rPr>
              <w:t>Children</w:t>
            </w:r>
          </w:p>
        </w:tc>
        <w:tc>
          <w:tcPr>
            <w:tcW w:w="911" w:type="pct"/>
            <w:tcBorders>
              <w:top w:val="single" w:sz="4" w:space="0" w:color="A6A6A6"/>
              <w:bottom w:val="nil"/>
            </w:tcBorders>
            <w:shd w:val="clear" w:color="auto" w:fill="auto"/>
          </w:tcPr>
          <w:p w:rsidR="0089511D" w:rsidRPr="00CC7E24" w:rsidRDefault="0089511D" w:rsidP="00617ACC">
            <w:pPr>
              <w:pStyle w:val="TableText"/>
              <w:tabs>
                <w:tab w:val="decimal" w:pos="1077"/>
              </w:tabs>
              <w:spacing w:before="50" w:after="50"/>
              <w:rPr>
                <w:rFonts w:cs="Arial"/>
              </w:rPr>
            </w:pPr>
            <w:r>
              <w:rPr>
                <w:rFonts w:cs="Arial"/>
              </w:rPr>
              <w:t>1042</w:t>
            </w:r>
          </w:p>
        </w:tc>
        <w:tc>
          <w:tcPr>
            <w:tcW w:w="985" w:type="pct"/>
            <w:tcBorders>
              <w:top w:val="single" w:sz="4" w:space="0" w:color="A6A6A6"/>
              <w:bottom w:val="nil"/>
            </w:tcBorders>
            <w:shd w:val="clear" w:color="auto" w:fill="auto"/>
          </w:tcPr>
          <w:p w:rsidR="0089511D" w:rsidRPr="00CC7E24" w:rsidRDefault="0089511D" w:rsidP="00617ACC">
            <w:pPr>
              <w:pStyle w:val="TableText"/>
              <w:tabs>
                <w:tab w:val="decimal" w:pos="1076"/>
              </w:tabs>
              <w:spacing w:before="50" w:after="50"/>
              <w:rPr>
                <w:rFonts w:cs="Arial"/>
              </w:rPr>
            </w:pPr>
            <w:r>
              <w:rPr>
                <w:rFonts w:cs="Arial"/>
                <w:bCs/>
              </w:rPr>
              <w:t>814</w:t>
            </w:r>
          </w:p>
        </w:tc>
        <w:tc>
          <w:tcPr>
            <w:tcW w:w="1056" w:type="pct"/>
            <w:tcBorders>
              <w:top w:val="single" w:sz="4" w:space="0" w:color="A6A6A6"/>
              <w:bottom w:val="nil"/>
            </w:tcBorders>
            <w:shd w:val="clear" w:color="auto" w:fill="auto"/>
          </w:tcPr>
          <w:p w:rsidR="0089511D" w:rsidRPr="00CC7E24" w:rsidRDefault="0089511D" w:rsidP="00617ACC">
            <w:pPr>
              <w:pStyle w:val="TableText"/>
              <w:tabs>
                <w:tab w:val="decimal" w:pos="1361"/>
              </w:tabs>
              <w:spacing w:before="50" w:after="50"/>
              <w:rPr>
                <w:rFonts w:cs="Arial"/>
              </w:rPr>
            </w:pPr>
            <w:r>
              <w:rPr>
                <w:rFonts w:cs="Arial"/>
              </w:rPr>
              <w:t>181,665</w:t>
            </w:r>
          </w:p>
        </w:tc>
      </w:tr>
      <w:tr w:rsidR="0089511D" w:rsidRPr="00CC7E24" w:rsidTr="001E4900">
        <w:trPr>
          <w:cantSplit/>
        </w:trPr>
        <w:tc>
          <w:tcPr>
            <w:tcW w:w="1063" w:type="pct"/>
            <w:vMerge/>
            <w:tcBorders>
              <w:top w:val="nil"/>
              <w:bottom w:val="single" w:sz="4" w:space="0" w:color="A6A6A6"/>
            </w:tcBorders>
            <w:shd w:val="clear" w:color="auto" w:fill="auto"/>
          </w:tcPr>
          <w:p w:rsidR="0089511D" w:rsidRPr="00CC7E24" w:rsidRDefault="0089511D" w:rsidP="00617ACC">
            <w:pPr>
              <w:pStyle w:val="TableText"/>
              <w:spacing w:before="50" w:after="50"/>
            </w:pPr>
          </w:p>
        </w:tc>
        <w:tc>
          <w:tcPr>
            <w:tcW w:w="985" w:type="pct"/>
            <w:tcBorders>
              <w:top w:val="nil"/>
              <w:bottom w:val="single" w:sz="4" w:space="0" w:color="A6A6A6"/>
            </w:tcBorders>
            <w:shd w:val="clear" w:color="auto" w:fill="auto"/>
          </w:tcPr>
          <w:p w:rsidR="0089511D" w:rsidRPr="00CC7E24" w:rsidRDefault="0089511D" w:rsidP="00617ACC">
            <w:pPr>
              <w:pStyle w:val="TableText"/>
              <w:spacing w:before="50" w:after="50"/>
              <w:rPr>
                <w:rFonts w:cs="Arial"/>
              </w:rPr>
            </w:pPr>
            <w:r w:rsidRPr="00CC7E24">
              <w:rPr>
                <w:rFonts w:cs="Arial"/>
              </w:rPr>
              <w:t>Adults</w:t>
            </w:r>
          </w:p>
        </w:tc>
        <w:tc>
          <w:tcPr>
            <w:tcW w:w="911" w:type="pct"/>
            <w:tcBorders>
              <w:top w:val="nil"/>
              <w:bottom w:val="single" w:sz="4" w:space="0" w:color="A6A6A6"/>
            </w:tcBorders>
            <w:shd w:val="clear" w:color="auto" w:fill="auto"/>
          </w:tcPr>
          <w:p w:rsidR="0089511D" w:rsidRPr="00CC7E24" w:rsidRDefault="0089511D" w:rsidP="00617ACC">
            <w:pPr>
              <w:pStyle w:val="TableText"/>
              <w:tabs>
                <w:tab w:val="decimal" w:pos="1077"/>
              </w:tabs>
              <w:spacing w:before="50" w:after="50"/>
              <w:rPr>
                <w:rFonts w:cs="Arial"/>
              </w:rPr>
            </w:pPr>
            <w:r>
              <w:rPr>
                <w:rFonts w:cs="Arial"/>
              </w:rPr>
              <w:t>2964</w:t>
            </w:r>
          </w:p>
        </w:tc>
        <w:tc>
          <w:tcPr>
            <w:tcW w:w="985" w:type="pct"/>
            <w:tcBorders>
              <w:top w:val="nil"/>
              <w:bottom w:val="single" w:sz="4" w:space="0" w:color="A6A6A6"/>
            </w:tcBorders>
            <w:shd w:val="clear" w:color="auto" w:fill="auto"/>
          </w:tcPr>
          <w:p w:rsidR="0089511D" w:rsidRPr="00CC7E24" w:rsidRDefault="0089511D" w:rsidP="00617ACC">
            <w:pPr>
              <w:pStyle w:val="TableText"/>
              <w:tabs>
                <w:tab w:val="decimal" w:pos="1076"/>
              </w:tabs>
              <w:spacing w:before="50" w:after="50"/>
              <w:rPr>
                <w:rFonts w:cs="Arial"/>
              </w:rPr>
            </w:pPr>
            <w:r>
              <w:rPr>
                <w:rFonts w:cs="Arial"/>
                <w:bCs/>
              </w:rPr>
              <w:t>2808</w:t>
            </w:r>
          </w:p>
        </w:tc>
        <w:tc>
          <w:tcPr>
            <w:tcW w:w="1056" w:type="pct"/>
            <w:tcBorders>
              <w:top w:val="nil"/>
              <w:bottom w:val="single" w:sz="4" w:space="0" w:color="A6A6A6"/>
            </w:tcBorders>
            <w:shd w:val="clear" w:color="auto" w:fill="auto"/>
          </w:tcPr>
          <w:p w:rsidR="0089511D" w:rsidRPr="00CC7E24" w:rsidRDefault="0089511D" w:rsidP="00617ACC">
            <w:pPr>
              <w:pStyle w:val="TableText"/>
              <w:tabs>
                <w:tab w:val="decimal" w:pos="1361"/>
              </w:tabs>
              <w:spacing w:before="50" w:after="50"/>
              <w:rPr>
                <w:rFonts w:cs="Arial"/>
              </w:rPr>
            </w:pPr>
            <w:r>
              <w:rPr>
                <w:rFonts w:cs="Arial"/>
              </w:rPr>
              <w:t>731,477</w:t>
            </w:r>
          </w:p>
        </w:tc>
      </w:tr>
      <w:tr w:rsidR="0089511D" w:rsidRPr="00CC7E24" w:rsidTr="00617ACC">
        <w:tblPrEx>
          <w:tblLook w:val="01E0" w:firstRow="1" w:lastRow="1" w:firstColumn="1" w:lastColumn="1" w:noHBand="0" w:noVBand="0"/>
        </w:tblPrEx>
        <w:trPr>
          <w:cantSplit/>
        </w:trPr>
        <w:tc>
          <w:tcPr>
            <w:tcW w:w="1063" w:type="pct"/>
            <w:vMerge w:val="restart"/>
            <w:tcBorders>
              <w:top w:val="single" w:sz="4" w:space="0" w:color="A6A6A6"/>
              <w:bottom w:val="nil"/>
            </w:tcBorders>
            <w:shd w:val="clear" w:color="auto" w:fill="auto"/>
          </w:tcPr>
          <w:p w:rsidR="0089511D" w:rsidRPr="00CC7E24" w:rsidRDefault="0089511D" w:rsidP="00617ACC">
            <w:pPr>
              <w:pStyle w:val="TableText"/>
              <w:spacing w:before="50" w:after="50"/>
            </w:pPr>
            <w:r w:rsidRPr="00CC7E24">
              <w:t>Quintile 5</w:t>
            </w:r>
            <w:r>
              <w:br/>
            </w:r>
            <w:r w:rsidRPr="00CC7E24">
              <w:t>(most deprived neighbourhoods)</w:t>
            </w:r>
          </w:p>
        </w:tc>
        <w:tc>
          <w:tcPr>
            <w:tcW w:w="985" w:type="pct"/>
            <w:tcBorders>
              <w:top w:val="single" w:sz="4" w:space="0" w:color="A6A6A6"/>
              <w:bottom w:val="nil"/>
            </w:tcBorders>
            <w:shd w:val="clear" w:color="auto" w:fill="auto"/>
          </w:tcPr>
          <w:p w:rsidR="0089511D" w:rsidRPr="00CC7E24" w:rsidRDefault="0089511D" w:rsidP="00617ACC">
            <w:pPr>
              <w:pStyle w:val="TableText"/>
              <w:spacing w:before="50" w:after="50"/>
              <w:rPr>
                <w:rFonts w:cs="Arial"/>
              </w:rPr>
            </w:pPr>
            <w:r w:rsidRPr="00CC7E24">
              <w:rPr>
                <w:rFonts w:cs="Arial"/>
              </w:rPr>
              <w:t>Children</w:t>
            </w:r>
          </w:p>
        </w:tc>
        <w:tc>
          <w:tcPr>
            <w:tcW w:w="911" w:type="pct"/>
            <w:tcBorders>
              <w:top w:val="single" w:sz="4" w:space="0" w:color="A6A6A6"/>
              <w:bottom w:val="nil"/>
            </w:tcBorders>
            <w:shd w:val="clear" w:color="auto" w:fill="auto"/>
          </w:tcPr>
          <w:p w:rsidR="0089511D" w:rsidRPr="00CC7E24" w:rsidRDefault="0089511D" w:rsidP="00617ACC">
            <w:pPr>
              <w:pStyle w:val="TableText"/>
              <w:tabs>
                <w:tab w:val="decimal" w:pos="1077"/>
              </w:tabs>
              <w:spacing w:before="50" w:after="50"/>
              <w:rPr>
                <w:rFonts w:cs="Arial"/>
              </w:rPr>
            </w:pPr>
            <w:r>
              <w:rPr>
                <w:rFonts w:cs="Arial"/>
              </w:rPr>
              <w:t>1704</w:t>
            </w:r>
          </w:p>
        </w:tc>
        <w:tc>
          <w:tcPr>
            <w:tcW w:w="985" w:type="pct"/>
            <w:tcBorders>
              <w:top w:val="single" w:sz="4" w:space="0" w:color="A6A6A6"/>
              <w:bottom w:val="nil"/>
            </w:tcBorders>
            <w:shd w:val="clear" w:color="auto" w:fill="auto"/>
          </w:tcPr>
          <w:p w:rsidR="0089511D" w:rsidRPr="00CC7E24" w:rsidRDefault="0089511D" w:rsidP="00617ACC">
            <w:pPr>
              <w:pStyle w:val="TableText"/>
              <w:tabs>
                <w:tab w:val="decimal" w:pos="1076"/>
              </w:tabs>
              <w:spacing w:before="50" w:after="50"/>
              <w:rPr>
                <w:rFonts w:cs="Arial"/>
              </w:rPr>
            </w:pPr>
            <w:r>
              <w:rPr>
                <w:rFonts w:cs="Arial"/>
                <w:bCs/>
              </w:rPr>
              <w:t>1320</w:t>
            </w:r>
          </w:p>
        </w:tc>
        <w:tc>
          <w:tcPr>
            <w:tcW w:w="1056" w:type="pct"/>
            <w:tcBorders>
              <w:top w:val="single" w:sz="4" w:space="0" w:color="A6A6A6"/>
              <w:bottom w:val="nil"/>
            </w:tcBorders>
            <w:shd w:val="clear" w:color="auto" w:fill="auto"/>
          </w:tcPr>
          <w:p w:rsidR="0089511D" w:rsidRPr="00CC7E24" w:rsidRDefault="0089511D" w:rsidP="00617ACC">
            <w:pPr>
              <w:pStyle w:val="TableText"/>
              <w:tabs>
                <w:tab w:val="decimal" w:pos="1361"/>
              </w:tabs>
              <w:spacing w:before="50" w:after="50"/>
              <w:rPr>
                <w:rFonts w:cs="Arial"/>
              </w:rPr>
            </w:pPr>
            <w:r>
              <w:rPr>
                <w:rFonts w:cs="Arial"/>
              </w:rPr>
              <w:t>211,212</w:t>
            </w:r>
          </w:p>
        </w:tc>
      </w:tr>
      <w:tr w:rsidR="0089511D" w:rsidRPr="00CC7E24" w:rsidTr="001E4900">
        <w:tblPrEx>
          <w:tblLook w:val="01E0" w:firstRow="1" w:lastRow="1" w:firstColumn="1" w:lastColumn="1" w:noHBand="0" w:noVBand="0"/>
        </w:tblPrEx>
        <w:trPr>
          <w:cantSplit/>
        </w:trPr>
        <w:tc>
          <w:tcPr>
            <w:tcW w:w="1063" w:type="pct"/>
            <w:vMerge/>
            <w:tcBorders>
              <w:top w:val="nil"/>
            </w:tcBorders>
            <w:shd w:val="clear" w:color="auto" w:fill="auto"/>
          </w:tcPr>
          <w:p w:rsidR="0089511D" w:rsidRPr="00CC7E24" w:rsidRDefault="0089511D" w:rsidP="00617ACC">
            <w:pPr>
              <w:pStyle w:val="TableText"/>
              <w:spacing w:before="50" w:after="50"/>
            </w:pPr>
          </w:p>
        </w:tc>
        <w:tc>
          <w:tcPr>
            <w:tcW w:w="985" w:type="pct"/>
            <w:tcBorders>
              <w:top w:val="nil"/>
            </w:tcBorders>
            <w:shd w:val="clear" w:color="auto" w:fill="auto"/>
          </w:tcPr>
          <w:p w:rsidR="0089511D" w:rsidRPr="00CC7E24" w:rsidRDefault="0089511D" w:rsidP="00617ACC">
            <w:pPr>
              <w:pStyle w:val="TableText"/>
              <w:spacing w:before="50" w:after="50"/>
              <w:rPr>
                <w:rFonts w:cs="Arial"/>
              </w:rPr>
            </w:pPr>
            <w:r w:rsidRPr="00CC7E24">
              <w:rPr>
                <w:rFonts w:cs="Arial"/>
              </w:rPr>
              <w:t>Adults</w:t>
            </w:r>
          </w:p>
        </w:tc>
        <w:tc>
          <w:tcPr>
            <w:tcW w:w="911" w:type="pct"/>
            <w:tcBorders>
              <w:top w:val="nil"/>
            </w:tcBorders>
            <w:shd w:val="clear" w:color="auto" w:fill="auto"/>
          </w:tcPr>
          <w:p w:rsidR="0089511D" w:rsidRPr="00CC7E24" w:rsidRDefault="0089511D" w:rsidP="00617ACC">
            <w:pPr>
              <w:pStyle w:val="TableText"/>
              <w:tabs>
                <w:tab w:val="decimal" w:pos="1077"/>
              </w:tabs>
              <w:spacing w:before="50" w:after="50"/>
              <w:rPr>
                <w:rFonts w:cs="Arial"/>
              </w:rPr>
            </w:pPr>
            <w:r>
              <w:rPr>
                <w:rFonts w:cs="Arial"/>
              </w:rPr>
              <w:t>4237</w:t>
            </w:r>
          </w:p>
        </w:tc>
        <w:tc>
          <w:tcPr>
            <w:tcW w:w="985" w:type="pct"/>
            <w:tcBorders>
              <w:top w:val="nil"/>
            </w:tcBorders>
            <w:shd w:val="clear" w:color="auto" w:fill="auto"/>
          </w:tcPr>
          <w:p w:rsidR="0089511D" w:rsidRPr="00CC7E24" w:rsidRDefault="0089511D" w:rsidP="00617ACC">
            <w:pPr>
              <w:pStyle w:val="TableText"/>
              <w:tabs>
                <w:tab w:val="decimal" w:pos="1076"/>
              </w:tabs>
              <w:spacing w:before="50" w:after="50"/>
              <w:rPr>
                <w:rFonts w:cs="Arial"/>
              </w:rPr>
            </w:pPr>
            <w:r>
              <w:rPr>
                <w:rFonts w:cs="Arial"/>
                <w:bCs/>
              </w:rPr>
              <w:t>3946</w:t>
            </w:r>
          </w:p>
        </w:tc>
        <w:tc>
          <w:tcPr>
            <w:tcW w:w="1056" w:type="pct"/>
            <w:tcBorders>
              <w:top w:val="nil"/>
            </w:tcBorders>
            <w:shd w:val="clear" w:color="auto" w:fill="auto"/>
          </w:tcPr>
          <w:p w:rsidR="0089511D" w:rsidRPr="00CC7E24" w:rsidRDefault="0089511D" w:rsidP="00617ACC">
            <w:pPr>
              <w:pStyle w:val="TableText"/>
              <w:tabs>
                <w:tab w:val="decimal" w:pos="1361"/>
              </w:tabs>
              <w:spacing w:before="50" w:after="50"/>
              <w:rPr>
                <w:rFonts w:cs="Arial"/>
              </w:rPr>
            </w:pPr>
            <w:r>
              <w:rPr>
                <w:rFonts w:cs="Arial"/>
              </w:rPr>
              <w:t>701,930</w:t>
            </w:r>
          </w:p>
        </w:tc>
      </w:tr>
    </w:tbl>
    <w:bookmarkEnd w:id="273"/>
    <w:p w:rsidR="0089511D" w:rsidRDefault="0089511D" w:rsidP="00617ACC">
      <w:pPr>
        <w:pStyle w:val="Note"/>
      </w:pPr>
      <w:r w:rsidRPr="002201DB">
        <w:t>*</w:t>
      </w:r>
      <w:r w:rsidR="00617ACC">
        <w:tab/>
        <w:t>N</w:t>
      </w:r>
      <w:r w:rsidRPr="002201DB">
        <w:t>ote: These numbers are based on the number of respondents with valid height and weight measurements, and they exclude 201 pregnant women</w:t>
      </w:r>
      <w:r>
        <w:t>,</w:t>
      </w:r>
      <w:r w:rsidRPr="002201DB">
        <w:t xml:space="preserve"> who are not eligible to be measured</w:t>
      </w:r>
      <w:r>
        <w:t>.</w:t>
      </w:r>
    </w:p>
    <w:p w:rsidR="0089511D" w:rsidRDefault="0089511D" w:rsidP="00617ACC">
      <w:bookmarkStart w:id="298" w:name="_Toc199225810"/>
      <w:r>
        <w:br w:type="page"/>
      </w:r>
    </w:p>
    <w:p w:rsidR="0089511D" w:rsidRDefault="0089511D" w:rsidP="00DD15E4">
      <w:pPr>
        <w:pStyle w:val="Heading1"/>
      </w:pPr>
      <w:bookmarkStart w:id="299" w:name="_Toc434934543"/>
      <w:bookmarkStart w:id="300" w:name="_Toc435643037"/>
      <w:r>
        <w:lastRenderedPageBreak/>
        <w:t>Section 10</w:t>
      </w:r>
      <w:r w:rsidRPr="00CC7E24">
        <w:t xml:space="preserve">: </w:t>
      </w:r>
      <w:r>
        <w:t>Errors in previously published statistics</w:t>
      </w:r>
      <w:bookmarkEnd w:id="299"/>
      <w:bookmarkEnd w:id="300"/>
    </w:p>
    <w:p w:rsidR="0089511D" w:rsidRDefault="0089511D" w:rsidP="00DD15E4">
      <w:r>
        <w:t>T</w:t>
      </w:r>
      <w:r w:rsidRPr="00A85A25">
        <w:t xml:space="preserve">his section </w:t>
      </w:r>
      <w:r>
        <w:t>notifies NZHS users about errors in the statistics published in previous annual reports.</w:t>
      </w:r>
      <w:r w:rsidDel="000B7A92">
        <w:t xml:space="preserve"> </w:t>
      </w:r>
      <w:r w:rsidRPr="00460249">
        <w:t xml:space="preserve">These errors </w:t>
      </w:r>
      <w:r>
        <w:t>occurred as a result of independent events at different stages of the survey process, which are explained below.</w:t>
      </w:r>
    </w:p>
    <w:p w:rsidR="0089511D" w:rsidRDefault="0089511D" w:rsidP="00DD15E4"/>
    <w:p w:rsidR="0089511D" w:rsidRDefault="0089511D" w:rsidP="00DD15E4">
      <w:r>
        <w:t>Revisions to the data and statistics have been made as these errors have been uncovered. The size of the revisions has generally been very small, with the corrected statistics well within the confidence interval limits of the originally published statistics.</w:t>
      </w:r>
    </w:p>
    <w:p w:rsidR="0089511D" w:rsidRDefault="0089511D" w:rsidP="00DD15E4"/>
    <w:p w:rsidR="0089511D" w:rsidRDefault="0089511D" w:rsidP="00DD15E4">
      <w:pPr>
        <w:pStyle w:val="Heading2"/>
      </w:pPr>
      <w:bookmarkStart w:id="301" w:name="_Toc434934544"/>
      <w:bookmarkStart w:id="302" w:name="_Toc435643038"/>
      <w:r>
        <w:t>Year 1, 2 and 3 estimation weights</w:t>
      </w:r>
      <w:bookmarkEnd w:id="301"/>
      <w:bookmarkEnd w:id="302"/>
    </w:p>
    <w:p w:rsidR="0089511D" w:rsidRDefault="0089511D" w:rsidP="00DD15E4">
      <w:r>
        <w:t xml:space="preserve">The NZHS sample design involves selecting households systematically within </w:t>
      </w:r>
      <w:proofErr w:type="spellStart"/>
      <w:r>
        <w:t>meshblocks</w:t>
      </w:r>
      <w:proofErr w:type="spellEnd"/>
      <w:r>
        <w:t>, using a skip algorithm. In years 1 to 3 of the survey (</w:t>
      </w:r>
      <w:proofErr w:type="spellStart"/>
      <w:r>
        <w:t>ie</w:t>
      </w:r>
      <w:proofErr w:type="spellEnd"/>
      <w:r>
        <w:t xml:space="preserve">, 2011/12, 2012/13 and 2013/14), the skips used were different from those specified in the design. In particular, households in higher-growth </w:t>
      </w:r>
      <w:proofErr w:type="spellStart"/>
      <w:r>
        <w:t>meshblocks</w:t>
      </w:r>
      <w:proofErr w:type="spellEnd"/>
      <w:r>
        <w:t xml:space="preserve"> had a lower probability of selection than intended.</w:t>
      </w:r>
    </w:p>
    <w:p w:rsidR="0089511D" w:rsidRDefault="0089511D" w:rsidP="00DD15E4"/>
    <w:p w:rsidR="00095D83" w:rsidRDefault="0089511D" w:rsidP="0089511D">
      <w:r>
        <w:t>The estimation weights for respondents in years 1, 2 and 3 had previously been calculated using the i</w:t>
      </w:r>
      <w:r w:rsidRPr="00DD15E4">
        <w:t>n</w:t>
      </w:r>
      <w:r>
        <w:t>tended probabilities of selection. The estimation weight of every respondent in years 1,</w:t>
      </w:r>
      <w:r w:rsidR="00DD15E4">
        <w:t> </w:t>
      </w:r>
      <w:r>
        <w:t>2</w:t>
      </w:r>
      <w:r w:rsidR="00DD15E4">
        <w:t> </w:t>
      </w:r>
      <w:r>
        <w:t>and 3 has now been recalculated to reflect each respondent</w:t>
      </w:r>
      <w:r w:rsidR="00095D83">
        <w:t>’</w:t>
      </w:r>
      <w:r>
        <w:t>s actual probability of selection.</w:t>
      </w:r>
    </w:p>
    <w:p w:rsidR="0089511D" w:rsidRDefault="0089511D" w:rsidP="00DD15E4"/>
    <w:p w:rsidR="0089511D" w:rsidRDefault="0089511D" w:rsidP="00DD15E4">
      <w:r>
        <w:t>The revisions to the weights also took advantage of the availability of revised population estimates from Statistics New Zealand for the period between 2006 and 2013, which have been re-based to the 2013 Census.</w:t>
      </w:r>
    </w:p>
    <w:p w:rsidR="0089511D" w:rsidRDefault="0089511D" w:rsidP="00DD15E4"/>
    <w:p w:rsidR="0089511D" w:rsidRDefault="0089511D" w:rsidP="00DD15E4">
      <w:r>
        <w:t>The revisions to the weights mean that all year 1, 2 and 3 indicators in the year 4 report and accompanying tables may be different to those previously published.</w:t>
      </w:r>
    </w:p>
    <w:p w:rsidR="0089511D" w:rsidRDefault="0089511D" w:rsidP="00DD15E4"/>
    <w:p w:rsidR="0089511D" w:rsidRDefault="0089511D" w:rsidP="00DD15E4">
      <w:r>
        <w:t xml:space="preserve">An additional issue was that some respondents in the final quarter of year 3 were incorrectly assigned to an NZDep2013 quintile, because they had been surveyed in a 2006 </w:t>
      </w:r>
      <w:proofErr w:type="spellStart"/>
      <w:r>
        <w:t>meshblock</w:t>
      </w:r>
      <w:proofErr w:type="spellEnd"/>
      <w:r>
        <w:t xml:space="preserve"> that was split by Statistics New Zealand into two or more new </w:t>
      </w:r>
      <w:proofErr w:type="spellStart"/>
      <w:r>
        <w:t>meshblocks</w:t>
      </w:r>
      <w:proofErr w:type="spellEnd"/>
      <w:r>
        <w:t xml:space="preserve"> in the 2013 </w:t>
      </w:r>
      <w:proofErr w:type="spellStart"/>
      <w:r>
        <w:t>meshblock</w:t>
      </w:r>
      <w:proofErr w:type="spellEnd"/>
      <w:r>
        <w:t xml:space="preserve"> pattern. These respondents have now been geo-coded to 2013 </w:t>
      </w:r>
      <w:proofErr w:type="spellStart"/>
      <w:r>
        <w:t>meshblocks</w:t>
      </w:r>
      <w:proofErr w:type="spellEnd"/>
      <w:r>
        <w:t>, and the correct NZDep2013 quintile used in both the calibration of the year 3 weights and all year 3 analyses by NZDep2013.</w:t>
      </w:r>
    </w:p>
    <w:p w:rsidR="0089511D" w:rsidRDefault="0089511D" w:rsidP="00DD15E4"/>
    <w:p w:rsidR="00095D83" w:rsidRDefault="0089511D" w:rsidP="00DD15E4">
      <w:pPr>
        <w:pStyle w:val="Heading2"/>
      </w:pPr>
      <w:bookmarkStart w:id="303" w:name="_Toc434934545"/>
      <w:bookmarkStart w:id="304" w:name="_Toc435643039"/>
      <w:r>
        <w:t>Y</w:t>
      </w:r>
      <w:r w:rsidRPr="005B7AAA">
        <w:t xml:space="preserve">ear 1, 2 and 3 </w:t>
      </w:r>
      <w:r>
        <w:t>obesity cut-off</w:t>
      </w:r>
      <w:r w:rsidRPr="005B7AAA">
        <w:t>s</w:t>
      </w:r>
      <w:bookmarkEnd w:id="303"/>
      <w:bookmarkEnd w:id="304"/>
    </w:p>
    <w:p w:rsidR="0089511D" w:rsidRDefault="0089511D" w:rsidP="00DD15E4">
      <w:r>
        <w:t xml:space="preserve">The prevalence statistics for underweight, healthy weight, overweight and obese classes in the </w:t>
      </w:r>
      <w:r>
        <w:rPr>
          <w:rFonts w:eastAsia="Cambria"/>
          <w:lang w:eastAsia="en-US"/>
        </w:rPr>
        <w:t xml:space="preserve">2011/12 and 2012/13 NZHS reports were based </w:t>
      </w:r>
      <w:r>
        <w:t xml:space="preserve">on the </w:t>
      </w:r>
      <w:r w:rsidRPr="00960D16">
        <w:t xml:space="preserve">International Obesity Taskforce </w:t>
      </w:r>
      <w:r>
        <w:t>(</w:t>
      </w:r>
      <w:r w:rsidRPr="00960D16">
        <w:t>IOTF</w:t>
      </w:r>
      <w:r>
        <w:t>)</w:t>
      </w:r>
      <w:r w:rsidRPr="00960D16">
        <w:t xml:space="preserve"> </w:t>
      </w:r>
      <w:r>
        <w:t>cut-off values for body mass index published in Cole et al (2000, 2007).</w:t>
      </w:r>
    </w:p>
    <w:p w:rsidR="0089511D" w:rsidRDefault="0089511D" w:rsidP="00DD15E4"/>
    <w:p w:rsidR="0089511D" w:rsidRDefault="0089511D" w:rsidP="00DD15E4">
      <w:r>
        <w:t xml:space="preserve">In 2012, the IOTF slightly revised the cut-off values for those aged 2–18 years (Cole and </w:t>
      </w:r>
      <w:proofErr w:type="spellStart"/>
      <w:r>
        <w:t>Lobstein</w:t>
      </w:r>
      <w:proofErr w:type="spellEnd"/>
      <w:r>
        <w:t xml:space="preserve"> 2012). While the Indicator Interpretation Guide that accompanied the 2013/14 annual report included a table of the revised cut-off values, the 2013/14 prevalence statistics were mistakenly calculated using the old IOTF cut-off values.</w:t>
      </w:r>
    </w:p>
    <w:p w:rsidR="00095D83" w:rsidRDefault="00095D83" w:rsidP="00DD15E4"/>
    <w:p w:rsidR="0089511D" w:rsidRDefault="0089511D" w:rsidP="00DD15E4">
      <w:r>
        <w:lastRenderedPageBreak/>
        <w:t>The revised IOTF cut-off values have now been used to calculate the prevalence of underweight, healthy weight, overweight and obese classes in all years of the continuous NZHS.</w:t>
      </w:r>
    </w:p>
    <w:p w:rsidR="0089511D" w:rsidRDefault="0089511D" w:rsidP="00DD15E4"/>
    <w:p w:rsidR="0089511D" w:rsidRDefault="0089511D" w:rsidP="00DD15E4">
      <w:pPr>
        <w:pStyle w:val="Heading2"/>
      </w:pPr>
      <w:bookmarkStart w:id="305" w:name="_Toc434934546"/>
      <w:bookmarkStart w:id="306" w:name="_Toc435643040"/>
      <w:r>
        <w:t>Year 2 height measurements</w:t>
      </w:r>
      <w:bookmarkEnd w:id="305"/>
      <w:bookmarkEnd w:id="306"/>
    </w:p>
    <w:p w:rsidR="0089511D" w:rsidRDefault="0089511D" w:rsidP="00DD15E4">
      <w:r>
        <w:t>After publishing the year 2 (2012/13) report, it was discovered that all height measurements for the year 2 respondents had been truncated to the next lowest centimetre. Heights are measured and recorded by CBG</w:t>
      </w:r>
      <w:r w:rsidR="00095D83">
        <w:t>’</w:t>
      </w:r>
      <w:r>
        <w:t>s surveyors to the nearest 0.1 cm, but an error had occurred in transferring the data to the Ministry of Health.</w:t>
      </w:r>
    </w:p>
    <w:p w:rsidR="0089511D" w:rsidRDefault="0089511D" w:rsidP="00DD15E4"/>
    <w:p w:rsidR="0089511D" w:rsidRDefault="0089511D" w:rsidP="00DD15E4">
      <w:r>
        <w:t>Revised height measurements were used in all analyses of year 2 data for the year 3 (2013/14) annual report. Because respondents appeared to be shorter than they really were, the prevalence of obesity reported in year 2 was slightly overstated.</w:t>
      </w:r>
    </w:p>
    <w:p w:rsidR="0089511D" w:rsidRDefault="0089511D" w:rsidP="00DD15E4"/>
    <w:p w:rsidR="0089511D" w:rsidRDefault="0089511D" w:rsidP="00DD15E4">
      <w:pPr>
        <w:pStyle w:val="Heading2"/>
      </w:pPr>
      <w:bookmarkStart w:id="307" w:name="_Toc434934547"/>
      <w:bookmarkStart w:id="308" w:name="_Toc435643041"/>
      <w:r>
        <w:t>Surveyor dishonesty in year 1</w:t>
      </w:r>
      <w:bookmarkEnd w:id="307"/>
      <w:bookmarkEnd w:id="308"/>
    </w:p>
    <w:p w:rsidR="00095D83" w:rsidRDefault="0089511D" w:rsidP="00DD15E4">
      <w:r>
        <w:t xml:space="preserve">Just before publishing the year 1 (2011/12) report, dishonest practice </w:t>
      </w:r>
      <w:r w:rsidRPr="00812ECB">
        <w:t>was discovered in one surveyor</w:t>
      </w:r>
      <w:r w:rsidR="00095D83">
        <w:t>’</w:t>
      </w:r>
      <w:r w:rsidRPr="00812ECB">
        <w:t xml:space="preserve">s work in </w:t>
      </w:r>
      <w:r>
        <w:t>the areas of Hutt Valley and Capital &amp; Coast DHBs. The affected data were removed and those households re-interviewed. The year 1 report was published without the data of the re-interviewed households.</w:t>
      </w:r>
    </w:p>
    <w:p w:rsidR="0089511D" w:rsidRDefault="0089511D" w:rsidP="00DD15E4"/>
    <w:p w:rsidR="0089511D" w:rsidRDefault="0089511D" w:rsidP="00DD15E4">
      <w:r>
        <w:t>Subsequently the re-interviewed records were included in the year 1 data set and the estimation weights recalculated. All year 1 statistics in the annual reports from year 2 onwards are based on the revised year 1 data set.</w:t>
      </w:r>
    </w:p>
    <w:p w:rsidR="0089511D" w:rsidRDefault="0089511D" w:rsidP="00DD15E4"/>
    <w:p w:rsidR="0089511D" w:rsidRDefault="0089511D" w:rsidP="00DD15E4">
      <w:bookmarkStart w:id="309" w:name="_Toc340501960"/>
      <w:bookmarkStart w:id="310" w:name="_Toc372445580"/>
      <w:bookmarkStart w:id="311" w:name="_Toc403044035"/>
      <w:bookmarkStart w:id="312" w:name="_Toc339270046"/>
      <w:bookmarkEnd w:id="298"/>
      <w:r>
        <w:br w:type="page"/>
      </w:r>
    </w:p>
    <w:p w:rsidR="0089511D" w:rsidRPr="00072839" w:rsidRDefault="0089511D" w:rsidP="00072839">
      <w:pPr>
        <w:pStyle w:val="Heading1"/>
      </w:pPr>
      <w:bookmarkStart w:id="313" w:name="_Toc434934548"/>
      <w:bookmarkStart w:id="314" w:name="_Toc435643042"/>
      <w:r w:rsidRPr="00CC7E24">
        <w:lastRenderedPageBreak/>
        <w:t>References</w:t>
      </w:r>
      <w:bookmarkEnd w:id="309"/>
      <w:bookmarkEnd w:id="310"/>
      <w:bookmarkEnd w:id="311"/>
      <w:bookmarkEnd w:id="313"/>
      <w:bookmarkEnd w:id="314"/>
    </w:p>
    <w:p w:rsidR="0089511D" w:rsidRPr="00F20E7F" w:rsidRDefault="0089511D" w:rsidP="00072839">
      <w:pPr>
        <w:pStyle w:val="References"/>
      </w:pPr>
      <w:proofErr w:type="gramStart"/>
      <w:r w:rsidRPr="001B6D3B">
        <w:t xml:space="preserve">Ahmad O, </w:t>
      </w:r>
      <w:proofErr w:type="spellStart"/>
      <w:r w:rsidRPr="001B6D3B">
        <w:t>Boschi</w:t>
      </w:r>
      <w:proofErr w:type="spellEnd"/>
      <w:r w:rsidRPr="001B6D3B">
        <w:t>-Pinto C, Lopez A, et al. 2000.</w:t>
      </w:r>
      <w:proofErr w:type="gramEnd"/>
      <w:r w:rsidRPr="001B6D3B">
        <w:t xml:space="preserve"> </w:t>
      </w:r>
      <w:r w:rsidRPr="001B6D3B">
        <w:rPr>
          <w:i/>
        </w:rPr>
        <w:t xml:space="preserve">Age-standardization of </w:t>
      </w:r>
      <w:r>
        <w:rPr>
          <w:i/>
        </w:rPr>
        <w:t>R</w:t>
      </w:r>
      <w:r w:rsidRPr="001B6D3B">
        <w:rPr>
          <w:i/>
        </w:rPr>
        <w:t>ates: A new WHO standard</w:t>
      </w:r>
      <w:r w:rsidRPr="00F20E7F">
        <w:t>. Geneva: World Health Organization.</w:t>
      </w:r>
    </w:p>
    <w:p w:rsidR="0089511D" w:rsidRDefault="0089511D" w:rsidP="00072839">
      <w:pPr>
        <w:pStyle w:val="References"/>
        <w:rPr>
          <w:szCs w:val="21"/>
        </w:rPr>
      </w:pPr>
      <w:r w:rsidRPr="006829B3">
        <w:t xml:space="preserve">Atkinson J, </w:t>
      </w:r>
      <w:proofErr w:type="spellStart"/>
      <w:r w:rsidRPr="006829B3">
        <w:rPr>
          <w:szCs w:val="21"/>
        </w:rPr>
        <w:t>Salmond</w:t>
      </w:r>
      <w:proofErr w:type="spellEnd"/>
      <w:r w:rsidRPr="006829B3">
        <w:rPr>
          <w:szCs w:val="21"/>
        </w:rPr>
        <w:t xml:space="preserve"> C, </w:t>
      </w:r>
      <w:proofErr w:type="spellStart"/>
      <w:r w:rsidRPr="006829B3">
        <w:rPr>
          <w:szCs w:val="21"/>
        </w:rPr>
        <w:t>Crampton</w:t>
      </w:r>
      <w:proofErr w:type="spellEnd"/>
      <w:r w:rsidRPr="006829B3">
        <w:rPr>
          <w:szCs w:val="21"/>
        </w:rPr>
        <w:t xml:space="preserve"> P. 2014. </w:t>
      </w:r>
      <w:proofErr w:type="gramStart"/>
      <w:r w:rsidRPr="006829B3">
        <w:rPr>
          <w:i/>
          <w:szCs w:val="21"/>
        </w:rPr>
        <w:t>NZDep2013 Index of Deprivation</w:t>
      </w:r>
      <w:r w:rsidRPr="001B6D3B">
        <w:rPr>
          <w:szCs w:val="21"/>
        </w:rPr>
        <w:t>.</w:t>
      </w:r>
      <w:proofErr w:type="gramEnd"/>
      <w:r w:rsidRPr="001B6D3B">
        <w:rPr>
          <w:szCs w:val="21"/>
        </w:rPr>
        <w:t xml:space="preserve"> Wellington: Department of Public Health, University of </w:t>
      </w:r>
      <w:proofErr w:type="spellStart"/>
      <w:r w:rsidRPr="001B6D3B">
        <w:rPr>
          <w:szCs w:val="21"/>
        </w:rPr>
        <w:t>Otago</w:t>
      </w:r>
      <w:proofErr w:type="spellEnd"/>
      <w:r w:rsidRPr="001B6D3B">
        <w:rPr>
          <w:szCs w:val="21"/>
        </w:rPr>
        <w:t>.</w:t>
      </w:r>
    </w:p>
    <w:p w:rsidR="0089511D" w:rsidRPr="00DE134C" w:rsidRDefault="0089511D" w:rsidP="00072839">
      <w:pPr>
        <w:pStyle w:val="References"/>
        <w:rPr>
          <w:spacing w:val="-2"/>
          <w:szCs w:val="21"/>
        </w:rPr>
      </w:pPr>
      <w:proofErr w:type="spellStart"/>
      <w:proofErr w:type="gramStart"/>
      <w:r w:rsidRPr="00DE134C">
        <w:rPr>
          <w:spacing w:val="-2"/>
          <w:szCs w:val="21"/>
        </w:rPr>
        <w:t>Bieler</w:t>
      </w:r>
      <w:proofErr w:type="spellEnd"/>
      <w:r w:rsidRPr="00DE134C">
        <w:rPr>
          <w:spacing w:val="-2"/>
          <w:szCs w:val="21"/>
        </w:rPr>
        <w:t xml:space="preserve"> GS, Brown GG, Williams RL, </w:t>
      </w:r>
      <w:r w:rsidR="004B3933">
        <w:rPr>
          <w:spacing w:val="-2"/>
          <w:szCs w:val="21"/>
        </w:rPr>
        <w:t>et al</w:t>
      </w:r>
      <w:r w:rsidRPr="00DE134C">
        <w:rPr>
          <w:spacing w:val="-2"/>
          <w:szCs w:val="21"/>
        </w:rPr>
        <w:t>. 2010.</w:t>
      </w:r>
      <w:proofErr w:type="gramEnd"/>
      <w:r w:rsidRPr="00DE134C">
        <w:rPr>
          <w:spacing w:val="-2"/>
          <w:szCs w:val="21"/>
        </w:rPr>
        <w:t xml:space="preserve"> Estimating model-adjusted risks, risk differences, and risk ratios from complex survey data. </w:t>
      </w:r>
      <w:r w:rsidRPr="00DE134C">
        <w:rPr>
          <w:i/>
          <w:spacing w:val="-2"/>
          <w:szCs w:val="21"/>
        </w:rPr>
        <w:t>American Journal of Epidemiology</w:t>
      </w:r>
      <w:r w:rsidRPr="00DE134C">
        <w:rPr>
          <w:spacing w:val="-2"/>
          <w:szCs w:val="21"/>
        </w:rPr>
        <w:t xml:space="preserve"> 171:</w:t>
      </w:r>
      <w:r w:rsidR="00113529">
        <w:rPr>
          <w:spacing w:val="-2"/>
          <w:szCs w:val="21"/>
        </w:rPr>
        <w:t xml:space="preserve"> </w:t>
      </w:r>
      <w:r w:rsidRPr="00DE134C">
        <w:rPr>
          <w:spacing w:val="-2"/>
          <w:szCs w:val="21"/>
        </w:rPr>
        <w:t>618</w:t>
      </w:r>
      <w:r>
        <w:rPr>
          <w:spacing w:val="-2"/>
          <w:szCs w:val="21"/>
        </w:rPr>
        <w:t>–</w:t>
      </w:r>
      <w:r w:rsidRPr="00DE134C">
        <w:rPr>
          <w:spacing w:val="-2"/>
          <w:szCs w:val="21"/>
        </w:rPr>
        <w:t>23.</w:t>
      </w:r>
    </w:p>
    <w:p w:rsidR="0089511D" w:rsidRDefault="0089511D" w:rsidP="00072839">
      <w:pPr>
        <w:pStyle w:val="References"/>
      </w:pPr>
      <w:r w:rsidRPr="00095D83">
        <w:rPr>
          <w:szCs w:val="21"/>
        </w:rPr>
        <w:t xml:space="preserve">Clark RG, Templeton R, </w:t>
      </w:r>
      <w:proofErr w:type="spellStart"/>
      <w:r w:rsidRPr="00095D83">
        <w:rPr>
          <w:szCs w:val="21"/>
        </w:rPr>
        <w:t>McNicholas</w:t>
      </w:r>
      <w:proofErr w:type="spellEnd"/>
      <w:r w:rsidRPr="00095D83">
        <w:rPr>
          <w:szCs w:val="21"/>
        </w:rPr>
        <w:t xml:space="preserve"> A. 2013. </w:t>
      </w:r>
      <w:proofErr w:type="gramStart"/>
      <w:r w:rsidRPr="00095D83">
        <w:rPr>
          <w:szCs w:val="21"/>
        </w:rPr>
        <w:t>Developing the design of a continuous national health survey for New Zealand.</w:t>
      </w:r>
      <w:proofErr w:type="gramEnd"/>
      <w:r w:rsidR="00113529">
        <w:rPr>
          <w:szCs w:val="21"/>
        </w:rPr>
        <w:t xml:space="preserve"> </w:t>
      </w:r>
      <w:r w:rsidRPr="00095D83">
        <w:rPr>
          <w:i/>
          <w:iCs/>
          <w:szCs w:val="21"/>
        </w:rPr>
        <w:t>Population Health Metrics</w:t>
      </w:r>
      <w:r w:rsidRPr="00095D83">
        <w:rPr>
          <w:szCs w:val="21"/>
        </w:rPr>
        <w:t xml:space="preserve"> </w:t>
      </w:r>
      <w:r w:rsidRPr="00095D83">
        <w:rPr>
          <w:iCs/>
          <w:szCs w:val="21"/>
        </w:rPr>
        <w:t>11</w:t>
      </w:r>
      <w:r w:rsidRPr="00095D83">
        <w:rPr>
          <w:szCs w:val="21"/>
        </w:rPr>
        <w:t xml:space="preserve">(1): 25. URL: </w:t>
      </w:r>
      <w:hyperlink r:id="rId41" w:history="1">
        <w:r w:rsidRPr="001B6D3B">
          <w:rPr>
            <w:rStyle w:val="Hyperlink"/>
          </w:rPr>
          <w:t>www.pophealthmetrics.com/content/11/1/25</w:t>
        </w:r>
      </w:hyperlink>
      <w:r w:rsidRPr="001B6D3B">
        <w:t xml:space="preserve"> </w:t>
      </w:r>
      <w:r>
        <w:t>(accessed 29 October 2015).</w:t>
      </w:r>
    </w:p>
    <w:p w:rsidR="0089511D" w:rsidRDefault="0089511D" w:rsidP="00113529">
      <w:pPr>
        <w:pStyle w:val="References"/>
        <w:rPr>
          <w:lang w:eastAsia="en-NZ"/>
        </w:rPr>
      </w:pPr>
      <w:r>
        <w:rPr>
          <w:lang w:eastAsia="en-NZ"/>
        </w:rPr>
        <w:t xml:space="preserve">Cole TJ, </w:t>
      </w:r>
      <w:proofErr w:type="spellStart"/>
      <w:r>
        <w:rPr>
          <w:lang w:eastAsia="en-NZ"/>
        </w:rPr>
        <w:t>Lobstein</w:t>
      </w:r>
      <w:proofErr w:type="spellEnd"/>
      <w:r>
        <w:rPr>
          <w:lang w:eastAsia="en-NZ"/>
        </w:rPr>
        <w:t xml:space="preserve"> T. 2012. Extended international (IOTF) body mass index cut-offs for thinness, overweight and obesity. </w:t>
      </w:r>
      <w:proofErr w:type="spellStart"/>
      <w:r>
        <w:rPr>
          <w:i/>
          <w:iCs/>
          <w:lang w:eastAsia="en-NZ"/>
        </w:rPr>
        <w:t>Pediatric</w:t>
      </w:r>
      <w:proofErr w:type="spellEnd"/>
      <w:r>
        <w:rPr>
          <w:i/>
          <w:iCs/>
          <w:lang w:eastAsia="en-NZ"/>
        </w:rPr>
        <w:t xml:space="preserve"> Obesity </w:t>
      </w:r>
      <w:r>
        <w:rPr>
          <w:lang w:eastAsia="en-NZ"/>
        </w:rPr>
        <w:t>7(4): 284</w:t>
      </w:r>
      <w:r w:rsidR="00113529">
        <w:rPr>
          <w:lang w:eastAsia="en-NZ"/>
        </w:rPr>
        <w:t>–</w:t>
      </w:r>
      <w:r>
        <w:rPr>
          <w:lang w:eastAsia="en-NZ"/>
        </w:rPr>
        <w:t>94.</w:t>
      </w:r>
    </w:p>
    <w:p w:rsidR="0089511D" w:rsidRDefault="0089511D" w:rsidP="00113529">
      <w:pPr>
        <w:pStyle w:val="References"/>
        <w:rPr>
          <w:lang w:eastAsia="en-NZ"/>
        </w:rPr>
      </w:pPr>
      <w:r>
        <w:rPr>
          <w:lang w:eastAsia="en-NZ"/>
        </w:rPr>
        <w:t xml:space="preserve">Cole TJ, </w:t>
      </w:r>
      <w:proofErr w:type="spellStart"/>
      <w:r>
        <w:rPr>
          <w:lang w:eastAsia="en-NZ"/>
        </w:rPr>
        <w:t>Bellizzi</w:t>
      </w:r>
      <w:proofErr w:type="spellEnd"/>
      <w:r>
        <w:rPr>
          <w:lang w:eastAsia="en-NZ"/>
        </w:rPr>
        <w:t xml:space="preserve"> MC, </w:t>
      </w:r>
      <w:proofErr w:type="spellStart"/>
      <w:r>
        <w:rPr>
          <w:lang w:eastAsia="en-NZ"/>
        </w:rPr>
        <w:t>Flegal</w:t>
      </w:r>
      <w:proofErr w:type="spellEnd"/>
      <w:r>
        <w:rPr>
          <w:lang w:eastAsia="en-NZ"/>
        </w:rPr>
        <w:t xml:space="preserve"> KM, </w:t>
      </w:r>
      <w:r w:rsidR="00113529">
        <w:rPr>
          <w:lang w:eastAsia="en-NZ"/>
        </w:rPr>
        <w:t>et al</w:t>
      </w:r>
      <w:r>
        <w:rPr>
          <w:lang w:eastAsia="en-NZ"/>
        </w:rPr>
        <w:t xml:space="preserve">. 2000. </w:t>
      </w:r>
      <w:proofErr w:type="gramStart"/>
      <w:r>
        <w:rPr>
          <w:lang w:eastAsia="en-NZ"/>
        </w:rPr>
        <w:t>Establishing a standard definition for child overweight and obesity worldwide: international survey.</w:t>
      </w:r>
      <w:proofErr w:type="gramEnd"/>
      <w:r>
        <w:rPr>
          <w:lang w:eastAsia="en-NZ"/>
        </w:rPr>
        <w:t xml:space="preserve"> </w:t>
      </w:r>
      <w:r w:rsidRPr="0082049E">
        <w:rPr>
          <w:i/>
          <w:lang w:eastAsia="en-NZ"/>
        </w:rPr>
        <w:t xml:space="preserve">British Medical Journal </w:t>
      </w:r>
      <w:r>
        <w:rPr>
          <w:lang w:eastAsia="en-NZ"/>
        </w:rPr>
        <w:t>320(7244): 1240.</w:t>
      </w:r>
    </w:p>
    <w:p w:rsidR="0089511D" w:rsidRDefault="0089511D" w:rsidP="00113529">
      <w:pPr>
        <w:pStyle w:val="References"/>
        <w:rPr>
          <w:lang w:eastAsia="en-NZ"/>
        </w:rPr>
      </w:pPr>
      <w:r>
        <w:rPr>
          <w:lang w:eastAsia="en-NZ"/>
        </w:rPr>
        <w:t xml:space="preserve">Cole TJ, </w:t>
      </w:r>
      <w:proofErr w:type="spellStart"/>
      <w:r>
        <w:rPr>
          <w:lang w:eastAsia="en-NZ"/>
        </w:rPr>
        <w:t>Flegal</w:t>
      </w:r>
      <w:proofErr w:type="spellEnd"/>
      <w:r>
        <w:rPr>
          <w:lang w:eastAsia="en-NZ"/>
        </w:rPr>
        <w:t xml:space="preserve"> KM, Nicholls D, </w:t>
      </w:r>
      <w:r w:rsidR="00113529">
        <w:rPr>
          <w:lang w:eastAsia="en-NZ"/>
        </w:rPr>
        <w:t>et al</w:t>
      </w:r>
      <w:r>
        <w:rPr>
          <w:lang w:eastAsia="en-NZ"/>
        </w:rPr>
        <w:t>. 2007. Body mass index cut offs to define thinness in children and adolescents: international survey.</w:t>
      </w:r>
      <w:r w:rsidRPr="0082049E">
        <w:rPr>
          <w:i/>
          <w:lang w:eastAsia="en-NZ"/>
        </w:rPr>
        <w:t xml:space="preserve"> British Medical Journal </w:t>
      </w:r>
      <w:r>
        <w:rPr>
          <w:lang w:eastAsia="en-NZ"/>
        </w:rPr>
        <w:t>335(7612): 194.</w:t>
      </w:r>
    </w:p>
    <w:p w:rsidR="0089511D" w:rsidRPr="006829B3" w:rsidRDefault="0089511D" w:rsidP="00113529">
      <w:pPr>
        <w:pStyle w:val="References"/>
      </w:pPr>
      <w:r w:rsidRPr="00F20E7F">
        <w:t xml:space="preserve">Deville JC, </w:t>
      </w:r>
      <w:proofErr w:type="spellStart"/>
      <w:r w:rsidRPr="00F20E7F">
        <w:t>Särndal</w:t>
      </w:r>
      <w:proofErr w:type="spellEnd"/>
      <w:r w:rsidRPr="00F20E7F">
        <w:t xml:space="preserve"> CE. 1992. Calibration estimators in survey sampling. </w:t>
      </w:r>
      <w:r w:rsidRPr="006829B3">
        <w:rPr>
          <w:i/>
        </w:rPr>
        <w:t xml:space="preserve">Journal of the American </w:t>
      </w:r>
      <w:r w:rsidRPr="00860CCB">
        <w:rPr>
          <w:i/>
        </w:rPr>
        <w:t>Statistical Association</w:t>
      </w:r>
      <w:r w:rsidRPr="00860CCB">
        <w:t xml:space="preserve"> 87: 376–82.</w:t>
      </w:r>
    </w:p>
    <w:p w:rsidR="0089511D" w:rsidRDefault="0089511D" w:rsidP="00113529">
      <w:pPr>
        <w:pStyle w:val="References"/>
        <w:rPr>
          <w:rFonts w:cs="Arial"/>
        </w:rPr>
      </w:pPr>
      <w:r>
        <w:rPr>
          <w:rFonts w:cs="Arial"/>
        </w:rPr>
        <w:t xml:space="preserve">Hayes L, Barry G. 2002. </w:t>
      </w:r>
      <w:proofErr w:type="gramStart"/>
      <w:r>
        <w:rPr>
          <w:rFonts w:cs="Arial"/>
        </w:rPr>
        <w:t xml:space="preserve">Sampling variability of the </w:t>
      </w:r>
      <w:proofErr w:type="spellStart"/>
      <w:r>
        <w:rPr>
          <w:rFonts w:cs="Arial"/>
        </w:rPr>
        <w:t>Kunst-Mackenbach</w:t>
      </w:r>
      <w:proofErr w:type="spellEnd"/>
      <w:r>
        <w:rPr>
          <w:rFonts w:cs="Arial"/>
        </w:rPr>
        <w:t xml:space="preserve"> relative index of inequality.</w:t>
      </w:r>
      <w:proofErr w:type="gramEnd"/>
      <w:r>
        <w:rPr>
          <w:rFonts w:cs="Arial"/>
        </w:rPr>
        <w:t xml:space="preserve"> </w:t>
      </w:r>
      <w:r w:rsidRPr="004E2301">
        <w:rPr>
          <w:rFonts w:cs="Arial"/>
          <w:i/>
        </w:rPr>
        <w:t xml:space="preserve">Journal of </w:t>
      </w:r>
      <w:r>
        <w:rPr>
          <w:rFonts w:cs="Arial"/>
          <w:i/>
        </w:rPr>
        <w:t>E</w:t>
      </w:r>
      <w:r w:rsidRPr="004E2301">
        <w:rPr>
          <w:rFonts w:cs="Arial"/>
          <w:i/>
        </w:rPr>
        <w:t>pidemiology and Community Health</w:t>
      </w:r>
      <w:r>
        <w:rPr>
          <w:rFonts w:cs="Arial"/>
        </w:rPr>
        <w:t xml:space="preserve"> 56: 762–5.</w:t>
      </w:r>
    </w:p>
    <w:p w:rsidR="0089511D" w:rsidRDefault="0089511D" w:rsidP="00113529">
      <w:pPr>
        <w:pStyle w:val="References"/>
        <w:rPr>
          <w:rFonts w:cs="Arial"/>
        </w:rPr>
      </w:pPr>
      <w:proofErr w:type="spellStart"/>
      <w:r w:rsidRPr="006829B3">
        <w:rPr>
          <w:rFonts w:cs="Arial"/>
        </w:rPr>
        <w:t>Korn</w:t>
      </w:r>
      <w:proofErr w:type="spellEnd"/>
      <w:r w:rsidRPr="006829B3">
        <w:rPr>
          <w:rFonts w:cs="Arial"/>
        </w:rPr>
        <w:t xml:space="preserve"> EL, </w:t>
      </w:r>
      <w:proofErr w:type="spellStart"/>
      <w:r w:rsidRPr="006829B3">
        <w:rPr>
          <w:rFonts w:cs="Arial"/>
        </w:rPr>
        <w:t>Graubard</w:t>
      </w:r>
      <w:proofErr w:type="spellEnd"/>
      <w:r w:rsidRPr="006829B3">
        <w:rPr>
          <w:rFonts w:cs="Arial"/>
        </w:rPr>
        <w:t xml:space="preserve"> BI. 1998. Confidence intervals for proportions with small expected number of positive counts estimated from survey data. </w:t>
      </w:r>
      <w:r w:rsidRPr="006829B3">
        <w:rPr>
          <w:rFonts w:cs="Arial"/>
          <w:i/>
        </w:rPr>
        <w:t>Survey Methodology</w:t>
      </w:r>
      <w:r w:rsidRPr="006829B3">
        <w:rPr>
          <w:rFonts w:cs="Arial"/>
        </w:rPr>
        <w:t xml:space="preserve"> 24(2): 193–201.</w:t>
      </w:r>
    </w:p>
    <w:p w:rsidR="0089511D" w:rsidRDefault="0089511D" w:rsidP="00113529">
      <w:pPr>
        <w:pStyle w:val="References"/>
        <w:rPr>
          <w:rFonts w:cs="Arial"/>
        </w:rPr>
      </w:pPr>
      <w:proofErr w:type="spellStart"/>
      <w:r>
        <w:rPr>
          <w:rFonts w:cs="Arial"/>
        </w:rPr>
        <w:t>Korn</w:t>
      </w:r>
      <w:proofErr w:type="spellEnd"/>
      <w:r>
        <w:rPr>
          <w:rFonts w:cs="Arial"/>
        </w:rPr>
        <w:t xml:space="preserve"> EL, </w:t>
      </w:r>
      <w:proofErr w:type="spellStart"/>
      <w:r>
        <w:rPr>
          <w:rFonts w:cs="Arial"/>
        </w:rPr>
        <w:t>Graubard</w:t>
      </w:r>
      <w:proofErr w:type="spellEnd"/>
      <w:r>
        <w:rPr>
          <w:rFonts w:cs="Arial"/>
        </w:rPr>
        <w:t xml:space="preserve"> BI. 1999. </w:t>
      </w:r>
      <w:r w:rsidRPr="003F4BAC">
        <w:rPr>
          <w:rFonts w:cs="Arial"/>
          <w:i/>
        </w:rPr>
        <w:t>Analysis of Health Surveys</w:t>
      </w:r>
      <w:r>
        <w:rPr>
          <w:rFonts w:cs="Arial"/>
        </w:rPr>
        <w:t>. New York: Wiley.</w:t>
      </w:r>
    </w:p>
    <w:p w:rsidR="0089511D" w:rsidRPr="006829B3" w:rsidRDefault="0089511D" w:rsidP="00113529">
      <w:pPr>
        <w:pStyle w:val="References"/>
        <w:rPr>
          <w:rFonts w:cs="Arial"/>
        </w:rPr>
      </w:pPr>
      <w:proofErr w:type="gramStart"/>
      <w:r>
        <w:rPr>
          <w:rFonts w:cs="Arial"/>
        </w:rPr>
        <w:t>Kott PS. 2001.</w:t>
      </w:r>
      <w:proofErr w:type="gramEnd"/>
      <w:r>
        <w:rPr>
          <w:rFonts w:cs="Arial"/>
        </w:rPr>
        <w:t xml:space="preserve"> </w:t>
      </w:r>
      <w:proofErr w:type="gramStart"/>
      <w:r>
        <w:rPr>
          <w:rFonts w:cs="Arial"/>
        </w:rPr>
        <w:t xml:space="preserve">The delete-a-group </w:t>
      </w:r>
      <w:proofErr w:type="spellStart"/>
      <w:r>
        <w:rPr>
          <w:rFonts w:cs="Arial"/>
        </w:rPr>
        <w:t>jackknife</w:t>
      </w:r>
      <w:proofErr w:type="spellEnd"/>
      <w:r>
        <w:rPr>
          <w:rFonts w:cs="Arial"/>
        </w:rPr>
        <w:t>.</w:t>
      </w:r>
      <w:proofErr w:type="gramEnd"/>
      <w:r>
        <w:rPr>
          <w:rFonts w:cs="Arial"/>
        </w:rPr>
        <w:t xml:space="preserve"> </w:t>
      </w:r>
      <w:r w:rsidRPr="00142CAA">
        <w:rPr>
          <w:rFonts w:cs="Arial"/>
          <w:i/>
        </w:rPr>
        <w:t>Journal of Official Statistics</w:t>
      </w:r>
      <w:r>
        <w:rPr>
          <w:rFonts w:cs="Arial"/>
        </w:rPr>
        <w:t xml:space="preserve"> 17(4): 521–6.</w:t>
      </w:r>
    </w:p>
    <w:p w:rsidR="0089511D" w:rsidRPr="006829B3" w:rsidRDefault="0089511D" w:rsidP="00113529">
      <w:pPr>
        <w:pStyle w:val="References"/>
      </w:pPr>
      <w:proofErr w:type="gramStart"/>
      <w:r w:rsidRPr="006829B3">
        <w:t>Ministry of Health.</w:t>
      </w:r>
      <w:proofErr w:type="gramEnd"/>
      <w:r w:rsidRPr="006829B3">
        <w:t xml:space="preserve"> 2008. </w:t>
      </w:r>
      <w:r w:rsidRPr="006829B3">
        <w:rPr>
          <w:i/>
        </w:rPr>
        <w:t xml:space="preserve">A Portrait of Health: Key results of the 2006/07 New Zealand Health Survey. </w:t>
      </w:r>
      <w:r w:rsidRPr="006829B3">
        <w:t>Wellington: Ministry of Health.</w:t>
      </w:r>
    </w:p>
    <w:p w:rsidR="0089511D" w:rsidRPr="006829B3" w:rsidRDefault="0089511D" w:rsidP="00113529">
      <w:pPr>
        <w:pStyle w:val="References"/>
      </w:pPr>
      <w:proofErr w:type="gramStart"/>
      <w:r w:rsidRPr="006829B3">
        <w:t>Ministry of Health.</w:t>
      </w:r>
      <w:proofErr w:type="gramEnd"/>
      <w:r w:rsidRPr="006829B3">
        <w:t xml:space="preserve"> 2011. </w:t>
      </w:r>
      <w:r w:rsidRPr="006829B3">
        <w:rPr>
          <w:i/>
        </w:rPr>
        <w:t>The New Zealand Health Survey: Sample design, years 1–3 (2011–2013).</w:t>
      </w:r>
      <w:r w:rsidRPr="006829B3">
        <w:t xml:space="preserve"> Wellington: Ministry of Health. URL: </w:t>
      </w:r>
      <w:r w:rsidRPr="006829B3">
        <w:br/>
      </w:r>
      <w:hyperlink r:id="rId42" w:history="1">
        <w:r w:rsidRPr="006829B3">
          <w:t>www.health.govt.nz/publication/new-zealand-health-survey-sample-design-years-1-3-2011-2013</w:t>
        </w:r>
      </w:hyperlink>
    </w:p>
    <w:p w:rsidR="0089511D" w:rsidRPr="00113529" w:rsidRDefault="0089511D" w:rsidP="00113529">
      <w:pPr>
        <w:pStyle w:val="References"/>
      </w:pPr>
      <w:proofErr w:type="gramStart"/>
      <w:r w:rsidRPr="006829B3">
        <w:t>Ministry of Health.</w:t>
      </w:r>
      <w:proofErr w:type="gramEnd"/>
      <w:r w:rsidRPr="006829B3">
        <w:t xml:space="preserve"> 201</w:t>
      </w:r>
      <w:r>
        <w:t>5</w:t>
      </w:r>
      <w:r w:rsidRPr="006829B3">
        <w:t>a.</w:t>
      </w:r>
      <w:r>
        <w:rPr>
          <w:rFonts w:cs="Arial Mäori"/>
          <w:i/>
          <w:szCs w:val="22"/>
          <w:lang w:eastAsia="en-NZ"/>
        </w:rPr>
        <w:t xml:space="preserve"> </w:t>
      </w:r>
      <w:r w:rsidRPr="00963A2D">
        <w:rPr>
          <w:rFonts w:cs="Arial Mäori"/>
          <w:i/>
          <w:szCs w:val="22"/>
          <w:lang w:eastAsia="en-NZ"/>
        </w:rPr>
        <w:t xml:space="preserve">Annual </w:t>
      </w:r>
      <w:r>
        <w:rPr>
          <w:rFonts w:cs="Arial Mäori"/>
          <w:i/>
          <w:szCs w:val="22"/>
          <w:lang w:eastAsia="en-NZ"/>
        </w:rPr>
        <w:t>U</w:t>
      </w:r>
      <w:r w:rsidRPr="00963A2D">
        <w:rPr>
          <w:rFonts w:cs="Arial Mäori"/>
          <w:i/>
          <w:szCs w:val="22"/>
          <w:lang w:eastAsia="en-NZ"/>
        </w:rPr>
        <w:t xml:space="preserve">pdate of </w:t>
      </w:r>
      <w:r>
        <w:rPr>
          <w:rFonts w:cs="Arial Mäori"/>
          <w:i/>
          <w:szCs w:val="22"/>
          <w:lang w:eastAsia="en-NZ"/>
        </w:rPr>
        <w:t>K</w:t>
      </w:r>
      <w:r w:rsidRPr="00963A2D">
        <w:rPr>
          <w:rFonts w:cs="Arial Mäori"/>
          <w:i/>
          <w:szCs w:val="22"/>
          <w:lang w:eastAsia="en-NZ"/>
        </w:rPr>
        <w:t xml:space="preserve">ey </w:t>
      </w:r>
      <w:r>
        <w:rPr>
          <w:rFonts w:cs="Arial Mäori"/>
          <w:i/>
          <w:szCs w:val="22"/>
          <w:lang w:eastAsia="en-NZ"/>
        </w:rPr>
        <w:t>Results 2014/15:</w:t>
      </w:r>
      <w:r w:rsidRPr="00CB765E">
        <w:rPr>
          <w:rFonts w:cs="Arial Mäori"/>
          <w:i/>
          <w:szCs w:val="22"/>
          <w:lang w:eastAsia="en-NZ"/>
        </w:rPr>
        <w:t xml:space="preserve"> </w:t>
      </w:r>
      <w:r w:rsidRPr="00963A2D">
        <w:rPr>
          <w:rFonts w:cs="Arial Mäori"/>
          <w:i/>
          <w:szCs w:val="22"/>
          <w:lang w:eastAsia="en-NZ"/>
        </w:rPr>
        <w:t>New Zealand Health Survey</w:t>
      </w:r>
      <w:r w:rsidRPr="006829B3">
        <w:rPr>
          <w:rFonts w:cs="Arial Mäori"/>
          <w:szCs w:val="22"/>
          <w:lang w:eastAsia="en-NZ"/>
        </w:rPr>
        <w:t xml:space="preserve">. </w:t>
      </w:r>
      <w:r w:rsidRPr="006829B3">
        <w:t>Wellington: Ministry of Health.</w:t>
      </w:r>
    </w:p>
    <w:p w:rsidR="0089511D" w:rsidRPr="009D18D7" w:rsidRDefault="0089511D" w:rsidP="00113529">
      <w:pPr>
        <w:pStyle w:val="References"/>
      </w:pPr>
      <w:proofErr w:type="gramStart"/>
      <w:r w:rsidRPr="006829B3">
        <w:t>Ministry of Health.</w:t>
      </w:r>
      <w:proofErr w:type="gramEnd"/>
      <w:r w:rsidRPr="006829B3">
        <w:t xml:space="preserve"> 201</w:t>
      </w:r>
      <w:r>
        <w:t>5</w:t>
      </w:r>
      <w:r w:rsidRPr="006829B3">
        <w:t xml:space="preserve">b. </w:t>
      </w:r>
      <w:r w:rsidRPr="006829B3">
        <w:rPr>
          <w:i/>
        </w:rPr>
        <w:t>Content Guide</w:t>
      </w:r>
      <w:r>
        <w:rPr>
          <w:i/>
        </w:rPr>
        <w:t xml:space="preserve"> </w:t>
      </w:r>
      <w:r>
        <w:rPr>
          <w:rFonts w:cs="Arial Mäori"/>
          <w:i/>
          <w:szCs w:val="22"/>
          <w:lang w:eastAsia="en-NZ"/>
        </w:rPr>
        <w:t>2014/15:</w:t>
      </w:r>
      <w:r w:rsidRPr="000644E3">
        <w:rPr>
          <w:i/>
        </w:rPr>
        <w:t xml:space="preserve"> </w:t>
      </w:r>
      <w:r w:rsidRPr="006829B3">
        <w:rPr>
          <w:i/>
        </w:rPr>
        <w:t xml:space="preserve">New Zealand Health Survey. </w:t>
      </w:r>
      <w:r w:rsidRPr="006829B3">
        <w:t>Wellington: Ministry of Health.</w:t>
      </w:r>
    </w:p>
    <w:p w:rsidR="0089511D" w:rsidRPr="006829B3" w:rsidRDefault="0089511D" w:rsidP="00113529">
      <w:pPr>
        <w:pStyle w:val="References"/>
      </w:pPr>
      <w:proofErr w:type="gramStart"/>
      <w:r w:rsidRPr="001B6D3B">
        <w:t>Statistics New Zealand.</w:t>
      </w:r>
      <w:proofErr w:type="gramEnd"/>
      <w:r w:rsidRPr="001B6D3B">
        <w:t xml:space="preserve"> 1998. </w:t>
      </w:r>
      <w:r w:rsidRPr="001B6D3B">
        <w:rPr>
          <w:i/>
        </w:rPr>
        <w:t>Protocols of Official Statistics.</w:t>
      </w:r>
      <w:r w:rsidRPr="00F20E7F">
        <w:t xml:space="preserve"> </w:t>
      </w:r>
      <w:r w:rsidRPr="006829B3">
        <w:t>Wellington: Statistics New Zealand.</w:t>
      </w:r>
    </w:p>
    <w:p w:rsidR="0089511D" w:rsidRPr="006829B3" w:rsidRDefault="0089511D" w:rsidP="00113529">
      <w:pPr>
        <w:pStyle w:val="References"/>
      </w:pPr>
      <w:proofErr w:type="gramStart"/>
      <w:r>
        <w:t>Statistics New Zealand.</w:t>
      </w:r>
      <w:proofErr w:type="gramEnd"/>
      <w:r>
        <w:t xml:space="preserve"> 2005</w:t>
      </w:r>
      <w:r w:rsidRPr="00860CCB">
        <w:t xml:space="preserve">. </w:t>
      </w:r>
      <w:r>
        <w:rPr>
          <w:i/>
        </w:rPr>
        <w:t>Understanding and Working with Ethnicity Data: A technical paper</w:t>
      </w:r>
      <w:r w:rsidRPr="00860CCB">
        <w:rPr>
          <w:i/>
        </w:rPr>
        <w:t xml:space="preserve">. </w:t>
      </w:r>
      <w:r w:rsidRPr="00860CCB">
        <w:t>Wellington</w:t>
      </w:r>
      <w:r w:rsidRPr="006829B3">
        <w:t>: Statistics New Zealand.</w:t>
      </w:r>
    </w:p>
    <w:p w:rsidR="0089511D" w:rsidRPr="006829B3" w:rsidRDefault="0089511D" w:rsidP="00113529">
      <w:pPr>
        <w:pStyle w:val="References"/>
      </w:pPr>
      <w:proofErr w:type="gramStart"/>
      <w:r w:rsidRPr="00860CCB">
        <w:t>Statistics New Zealand.</w:t>
      </w:r>
      <w:proofErr w:type="gramEnd"/>
      <w:r w:rsidRPr="00860CCB">
        <w:t xml:space="preserve"> 2007. </w:t>
      </w:r>
      <w:r w:rsidRPr="00860CCB">
        <w:rPr>
          <w:i/>
        </w:rPr>
        <w:t xml:space="preserve">Principles and Protocols for Producers of Tier 1 Statistics. </w:t>
      </w:r>
      <w:r w:rsidRPr="00860CCB">
        <w:t>Wellington</w:t>
      </w:r>
      <w:r w:rsidRPr="006829B3">
        <w:t>: Statistics New Zealand.</w:t>
      </w:r>
    </w:p>
    <w:p w:rsidR="0089511D" w:rsidRDefault="0089511D" w:rsidP="00113529">
      <w:pPr>
        <w:pStyle w:val="References"/>
      </w:pPr>
      <w:proofErr w:type="gramStart"/>
      <w:r w:rsidRPr="006829B3">
        <w:t>Woodruff RS.</w:t>
      </w:r>
      <w:proofErr w:type="gramEnd"/>
      <w:r w:rsidRPr="006829B3">
        <w:t xml:space="preserve"> 1952. Confidence intervals for medians and other position measures. </w:t>
      </w:r>
      <w:r w:rsidRPr="006829B3">
        <w:rPr>
          <w:i/>
        </w:rPr>
        <w:t xml:space="preserve">Journal of the American Statistical Association </w:t>
      </w:r>
      <w:r w:rsidRPr="006829B3">
        <w:t>47: 635–46.</w:t>
      </w:r>
    </w:p>
    <w:p w:rsidR="0089511D" w:rsidRDefault="0089511D" w:rsidP="00976C6E">
      <w:pPr>
        <w:pStyle w:val="Heading1"/>
      </w:pPr>
      <w:r w:rsidRPr="00CC7E24">
        <w:br w:type="page"/>
      </w:r>
      <w:bookmarkStart w:id="315" w:name="_Toc340501961"/>
      <w:bookmarkStart w:id="316" w:name="_Toc340937809"/>
      <w:bookmarkStart w:id="317" w:name="_Toc372445581"/>
      <w:bookmarkStart w:id="318" w:name="_Toc403044036"/>
      <w:bookmarkStart w:id="319" w:name="_Toc434934549"/>
      <w:bookmarkStart w:id="320" w:name="_Toc435643043"/>
      <w:r w:rsidRPr="00CC7E24">
        <w:lastRenderedPageBreak/>
        <w:t>Appendix:</w:t>
      </w:r>
      <w:r>
        <w:t xml:space="preserve"> </w:t>
      </w:r>
      <w:bookmarkEnd w:id="312"/>
      <w:bookmarkEnd w:id="315"/>
      <w:bookmarkEnd w:id="316"/>
      <w:r>
        <w:t>2006/07 New Zealand Health S</w:t>
      </w:r>
      <w:r w:rsidRPr="00CC7E24">
        <w:t>urvey</w:t>
      </w:r>
      <w:bookmarkEnd w:id="317"/>
      <w:bookmarkEnd w:id="318"/>
      <w:bookmarkEnd w:id="319"/>
      <w:bookmarkEnd w:id="320"/>
    </w:p>
    <w:p w:rsidR="0089511D" w:rsidRDefault="0089511D" w:rsidP="00976C6E">
      <w:r>
        <w:t xml:space="preserve">To determine any changes in the prevalence of indicators over time, </w:t>
      </w:r>
      <w:r w:rsidRPr="00D53751">
        <w:t>the annual report</w:t>
      </w:r>
      <w:r>
        <w:t>,</w:t>
      </w:r>
      <w:r>
        <w:rPr>
          <w:rFonts w:cs="Arial Mäori"/>
          <w:i/>
          <w:color w:val="000000"/>
          <w:szCs w:val="22"/>
          <w:lang w:eastAsia="en-NZ"/>
        </w:rPr>
        <w:t xml:space="preserve"> </w:t>
      </w:r>
      <w:r w:rsidRPr="00963A2D">
        <w:rPr>
          <w:rFonts w:cs="Arial Mäori"/>
          <w:i/>
          <w:color w:val="000000"/>
          <w:szCs w:val="22"/>
          <w:lang w:eastAsia="en-NZ"/>
        </w:rPr>
        <w:t xml:space="preserve">Annual </w:t>
      </w:r>
      <w:r>
        <w:rPr>
          <w:rFonts w:cs="Arial Mäori"/>
          <w:i/>
          <w:color w:val="000000"/>
          <w:szCs w:val="22"/>
          <w:lang w:eastAsia="en-NZ"/>
        </w:rPr>
        <w:t>U</w:t>
      </w:r>
      <w:r w:rsidRPr="00963A2D">
        <w:rPr>
          <w:rFonts w:cs="Arial Mäori"/>
          <w:i/>
          <w:color w:val="000000"/>
          <w:szCs w:val="22"/>
          <w:lang w:eastAsia="en-NZ"/>
        </w:rPr>
        <w:t xml:space="preserve">pdate of </w:t>
      </w:r>
      <w:r>
        <w:rPr>
          <w:rFonts w:cs="Arial Mäori"/>
          <w:i/>
          <w:color w:val="000000"/>
          <w:szCs w:val="22"/>
          <w:lang w:eastAsia="en-NZ"/>
        </w:rPr>
        <w:t>K</w:t>
      </w:r>
      <w:r w:rsidRPr="00963A2D">
        <w:rPr>
          <w:rFonts w:cs="Arial Mäori"/>
          <w:i/>
          <w:color w:val="000000"/>
          <w:szCs w:val="22"/>
          <w:lang w:eastAsia="en-NZ"/>
        </w:rPr>
        <w:t xml:space="preserve">ey </w:t>
      </w:r>
      <w:r>
        <w:rPr>
          <w:rFonts w:cs="Arial Mäori"/>
          <w:i/>
          <w:color w:val="000000"/>
          <w:szCs w:val="22"/>
          <w:lang w:eastAsia="en-NZ"/>
        </w:rPr>
        <w:t>Results 2014/15</w:t>
      </w:r>
      <w:r w:rsidRPr="00E42182">
        <w:rPr>
          <w:rFonts w:cs="Arial Mäori"/>
          <w:color w:val="000000"/>
          <w:szCs w:val="22"/>
          <w:lang w:eastAsia="en-NZ"/>
        </w:rPr>
        <w:t>,</w:t>
      </w:r>
      <w:r w:rsidRPr="009007E6">
        <w:t xml:space="preserve"> </w:t>
      </w:r>
      <w:r>
        <w:t xml:space="preserve">shows results comparing the current NZHS with the previous survey conducted in 2006/07. </w:t>
      </w:r>
      <w:r w:rsidRPr="00CC7E24">
        <w:t xml:space="preserve">This </w:t>
      </w:r>
      <w:r>
        <w:t>appendix</w:t>
      </w:r>
      <w:r w:rsidRPr="00CC7E24">
        <w:t xml:space="preserve"> </w:t>
      </w:r>
      <w:r>
        <w:t>gives a brief description of the 2006/07 NZHS</w:t>
      </w:r>
      <w:r w:rsidRPr="00CC7E24">
        <w:t>.</w:t>
      </w:r>
    </w:p>
    <w:p w:rsidR="0089511D" w:rsidRDefault="0089511D" w:rsidP="00976C6E"/>
    <w:p w:rsidR="0089511D" w:rsidRPr="00CC7E24" w:rsidRDefault="00976C6E" w:rsidP="00976C6E">
      <w:pPr>
        <w:pStyle w:val="Heading3"/>
      </w:pPr>
      <w:bookmarkStart w:id="321" w:name="_Toc339270052"/>
      <w:r>
        <w:t xml:space="preserve">2006/07 </w:t>
      </w:r>
      <w:r w:rsidR="0089511D" w:rsidRPr="00CC7E24">
        <w:t>New Zealand Health Survey</w:t>
      </w:r>
      <w:bookmarkEnd w:id="321"/>
    </w:p>
    <w:p w:rsidR="0089511D" w:rsidRPr="00CC7E24" w:rsidRDefault="0089511D" w:rsidP="00976C6E">
      <w:r w:rsidRPr="00CC7E24">
        <w:t>The target population for the 2006/07 NZHS was the usually resident civilian population of all ages living in permanent private dwellings in New Zealand.</w:t>
      </w:r>
      <w:r>
        <w:t xml:space="preserve"> </w:t>
      </w:r>
      <w:r w:rsidRPr="00CC7E24">
        <w:t xml:space="preserve">An area-based frame of Statistics New Zealand </w:t>
      </w:r>
      <w:proofErr w:type="spellStart"/>
      <w:r w:rsidRPr="00CC7E24">
        <w:t>meshblocks</w:t>
      </w:r>
      <w:proofErr w:type="spellEnd"/>
      <w:r w:rsidRPr="00CC7E24">
        <w:t xml:space="preserve"> was used as the sample frame. Māori, Pacific and Asian people</w:t>
      </w:r>
      <w:r>
        <w:t>s</w:t>
      </w:r>
      <w:r w:rsidRPr="00CC7E24">
        <w:t xml:space="preserve"> were oversampled.</w:t>
      </w:r>
    </w:p>
    <w:p w:rsidR="0089511D" w:rsidRPr="00CC7E24" w:rsidRDefault="0089511D" w:rsidP="00976C6E"/>
    <w:p w:rsidR="0089511D" w:rsidRPr="00CC7E24" w:rsidRDefault="0089511D" w:rsidP="00976C6E">
      <w:r w:rsidRPr="00CC7E24">
        <w:t xml:space="preserve">Data were collected from October 2006 to </w:t>
      </w:r>
      <w:r>
        <w:t xml:space="preserve">the </w:t>
      </w:r>
      <w:r w:rsidRPr="00CC7E24">
        <w:t>end of November 2007 using computer-assisted</w:t>
      </w:r>
      <w:r>
        <w:t>,</w:t>
      </w:r>
      <w:r w:rsidRPr="00CC7E24">
        <w:t xml:space="preserve"> face-to-face interviewing. The total response rate for the survey was 68</w:t>
      </w:r>
      <w:r>
        <w:t> percent</w:t>
      </w:r>
      <w:r w:rsidRPr="00CC7E24">
        <w:t xml:space="preserve"> for adults and 71</w:t>
      </w:r>
      <w:r>
        <w:t> percent</w:t>
      </w:r>
      <w:r w:rsidRPr="00CC7E24">
        <w:t xml:space="preserve"> for children. A total of 12,488 adults and 4921</w:t>
      </w:r>
      <w:r>
        <w:t> </w:t>
      </w:r>
      <w:r w:rsidRPr="00CC7E24">
        <w:t>children took part in the survey. The survey included 11,632 European/Other people</w:t>
      </w:r>
      <w:r>
        <w:t>s</w:t>
      </w:r>
      <w:r w:rsidRPr="00CC7E24">
        <w:t>, 514</w:t>
      </w:r>
      <w:r>
        <w:t>3</w:t>
      </w:r>
      <w:r w:rsidRPr="00CC7E24">
        <w:t xml:space="preserve"> Māori, 1831 Pacific people</w:t>
      </w:r>
      <w:r>
        <w:t>s</w:t>
      </w:r>
      <w:r w:rsidRPr="00CC7E24">
        <w:t xml:space="preserve"> and 2255</w:t>
      </w:r>
      <w:r w:rsidR="00966342">
        <w:t> </w:t>
      </w:r>
      <w:r w:rsidRPr="00CC7E24">
        <w:t>Asian people</w:t>
      </w:r>
      <w:r>
        <w:t>s</w:t>
      </w:r>
      <w:r w:rsidRPr="00CC7E24">
        <w:t xml:space="preserve"> of all ages.</w:t>
      </w:r>
    </w:p>
    <w:p w:rsidR="0089511D" w:rsidRPr="00CC7E24" w:rsidRDefault="0089511D" w:rsidP="00976C6E"/>
    <w:p w:rsidR="0089511D" w:rsidRPr="00CC7E24" w:rsidRDefault="0089511D" w:rsidP="00976C6E">
      <w:r w:rsidRPr="00CC7E24">
        <w:t>F</w:t>
      </w:r>
      <w:r>
        <w:t>or f</w:t>
      </w:r>
      <w:r w:rsidRPr="00CC7E24">
        <w:t>ull details on the methodology of the 2006/07 NZHS</w:t>
      </w:r>
      <w:r>
        <w:t>, see</w:t>
      </w:r>
      <w:r w:rsidRPr="00CC7E24">
        <w:t xml:space="preserve"> </w:t>
      </w:r>
      <w:r w:rsidRPr="00CC7E24">
        <w:rPr>
          <w:i/>
        </w:rPr>
        <w:t>A Portrait of Health: Key results of the 2006/07 New Zealand Health Survey</w:t>
      </w:r>
      <w:r>
        <w:t xml:space="preserve"> (Ministry of Health 2008)</w:t>
      </w:r>
      <w:r w:rsidRPr="00CC7E24">
        <w:t>.</w:t>
      </w:r>
    </w:p>
    <w:p w:rsidR="00F25970" w:rsidRPr="00E76D66" w:rsidRDefault="00F25970" w:rsidP="00976C6E"/>
    <w:sectPr w:rsidR="00F25970" w:rsidRPr="00E76D66" w:rsidSect="0089511D">
      <w:headerReference w:type="default" r:id="rId43"/>
      <w:footerReference w:type="default" r:id="rId44"/>
      <w:pgSz w:w="11907" w:h="16834" w:code="9"/>
      <w:pgMar w:top="851" w:right="1134" w:bottom="1134" w:left="1134" w:header="284" w:footer="567" w:gutter="284"/>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3ACD" w:rsidRDefault="00253ACD">
      <w:pPr>
        <w:spacing w:line="240" w:lineRule="auto"/>
      </w:pPr>
      <w:r>
        <w:separator/>
      </w:r>
    </w:p>
    <w:p w:rsidR="00253ACD" w:rsidRDefault="00253ACD"/>
  </w:endnote>
  <w:endnote w:type="continuationSeparator" w:id="0">
    <w:p w:rsidR="00253ACD" w:rsidRDefault="00253ACD">
      <w:pPr>
        <w:spacing w:line="240" w:lineRule="auto"/>
      </w:pPr>
      <w:r>
        <w:continuationSeparator/>
      </w:r>
    </w:p>
    <w:p w:rsidR="00253ACD" w:rsidRDefault="00253A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833" w:rsidRDefault="001E18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68D" w:rsidRDefault="0013668D" w:rsidP="0089511D">
    <w:pPr>
      <w:spacing w:after="480"/>
    </w:pPr>
    <w:r>
      <w:rPr>
        <w:noProof/>
        <w:lang w:eastAsia="en-NZ"/>
      </w:rPr>
      <w:drawing>
        <wp:inline distT="0" distB="0" distL="0" distR="0" wp14:anchorId="2FBDC9B6" wp14:editId="1EF01825">
          <wp:extent cx="5400040" cy="1414780"/>
          <wp:effectExtent l="0" t="0" r="0" b="0"/>
          <wp:docPr id="11" name="Picture 11" descr="NZ Health Survey 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Z Health Survey 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414780"/>
                  </a:xfrm>
                  <a:prstGeom prst="rect">
                    <a:avLst/>
                  </a:prstGeom>
                  <a:noFill/>
                  <a:ln>
                    <a:noFill/>
                  </a:ln>
                </pic:spPr>
              </pic:pic>
            </a:graphicData>
          </a:graphic>
        </wp:inline>
      </w:drawing>
    </w:r>
  </w:p>
  <w:p w:rsidR="0013668D" w:rsidRPr="00581136" w:rsidRDefault="0013668D" w:rsidP="00F9366A">
    <w:pPr>
      <w:pStyle w:val="Footer"/>
      <w:pBdr>
        <w:bottom w:val="single" w:sz="4" w:space="1" w:color="auto"/>
      </w:pBdr>
      <w:tabs>
        <w:tab w:val="right" w:pos="8504"/>
      </w:tabs>
      <w:ind w:left="-1559"/>
      <w:rPr>
        <w:b/>
      </w:rPr>
    </w:pPr>
    <w:r w:rsidRPr="00581136">
      <w:rPr>
        <w:b/>
      </w:rPr>
      <w:t>Released 2015</w:t>
    </w:r>
    <w:r w:rsidRPr="00581136">
      <w:rPr>
        <w:b/>
      </w:rPr>
      <w:tab/>
      <w:t>health.govt.nz</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833" w:rsidRDefault="001E183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68D" w:rsidRDefault="0013668D" w:rsidP="004D6689">
    <w:pPr>
      <w:pStyle w:val="Footer"/>
      <w:pBdr>
        <w:bottom w:val="none" w:sz="0" w:space="0" w:color="auto"/>
      </w:pBdr>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68D" w:rsidRDefault="0013668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68D" w:rsidRPr="00275D08" w:rsidRDefault="0013668D"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DA15D1">
      <w:rPr>
        <w:rStyle w:val="PageNumber"/>
        <w:noProof/>
      </w:rPr>
      <w:t>18</w:t>
    </w:r>
    <w:r w:rsidRPr="00FC46E7">
      <w:rPr>
        <w:rStyle w:val="PageNumber"/>
      </w:rPr>
      <w:fldChar w:fldCharType="end"/>
    </w:r>
    <w:r>
      <w:tab/>
      <w:t>Methodology Report</w:t>
    </w:r>
    <w:r w:rsidR="001E1833">
      <w:t xml:space="preserve"> 2014/15</w:t>
    </w:r>
    <w:r>
      <w:t>: New Zealand Health Survey</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68D" w:rsidRDefault="0013668D" w:rsidP="00533B90">
    <w:pPr>
      <w:pStyle w:val="RectoFooter"/>
    </w:pPr>
    <w:r>
      <w:tab/>
      <w:t>Methodology Report</w:t>
    </w:r>
    <w:r w:rsidR="001E1833">
      <w:t xml:space="preserve"> 2014/15</w:t>
    </w:r>
    <w:r>
      <w:t>: New Zealand Health Survey</w:t>
    </w:r>
    <w:r>
      <w:tab/>
    </w:r>
    <w:r>
      <w:rPr>
        <w:rStyle w:val="PageNumber"/>
      </w:rPr>
      <w:fldChar w:fldCharType="begin"/>
    </w:r>
    <w:r>
      <w:rPr>
        <w:rStyle w:val="PageNumber"/>
      </w:rPr>
      <w:instrText xml:space="preserve"> PAGE </w:instrText>
    </w:r>
    <w:r>
      <w:rPr>
        <w:rStyle w:val="PageNumber"/>
      </w:rPr>
      <w:fldChar w:fldCharType="separate"/>
    </w:r>
    <w:r w:rsidR="00DA15D1">
      <w:rPr>
        <w:rStyle w:val="PageNumber"/>
        <w:noProof/>
      </w:rPr>
      <w:t>iii</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68D" w:rsidRDefault="0013668D" w:rsidP="0089511D">
    <w:pPr>
      <w:pStyle w:val="RectoFooter"/>
    </w:pPr>
    <w:r>
      <w:tab/>
      <w:t>Methodology Report</w:t>
    </w:r>
    <w:r w:rsidR="001E1833">
      <w:t xml:space="preserve"> 2014/15</w:t>
    </w:r>
    <w:r>
      <w:t>: New Zealand Health Survey</w:t>
    </w:r>
    <w:r>
      <w:tab/>
    </w:r>
    <w:r>
      <w:rPr>
        <w:rStyle w:val="PageNumber"/>
      </w:rPr>
      <w:fldChar w:fldCharType="begin"/>
    </w:r>
    <w:r>
      <w:rPr>
        <w:rStyle w:val="PageNumber"/>
      </w:rPr>
      <w:instrText xml:space="preserve"> PAGE </w:instrText>
    </w:r>
    <w:r>
      <w:rPr>
        <w:rStyle w:val="PageNumber"/>
      </w:rPr>
      <w:fldChar w:fldCharType="separate"/>
    </w:r>
    <w:r w:rsidR="00DA15D1">
      <w:rPr>
        <w:rStyle w:val="PageNumber"/>
        <w:noProof/>
      </w:rPr>
      <w:t>19</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3ACD" w:rsidRDefault="00253ACD"/>
  </w:footnote>
  <w:footnote w:type="continuationSeparator" w:id="0">
    <w:p w:rsidR="00253ACD" w:rsidRDefault="00253ACD">
      <w:pPr>
        <w:spacing w:line="240" w:lineRule="auto"/>
      </w:pPr>
      <w:r>
        <w:continuationSeparator/>
      </w:r>
    </w:p>
    <w:p w:rsidR="00253ACD" w:rsidRDefault="00253ACD"/>
  </w:footnote>
  <w:footnote w:id="1">
    <w:p w:rsidR="0013668D" w:rsidRDefault="0013668D" w:rsidP="00095D83">
      <w:pPr>
        <w:pStyle w:val="FootnoteText"/>
      </w:pPr>
      <w:r>
        <w:rPr>
          <w:rStyle w:val="FootnoteReference"/>
        </w:rPr>
        <w:footnoteRef/>
      </w:r>
      <w:r>
        <w:tab/>
        <w:t xml:space="preserve">See </w:t>
      </w:r>
      <w:r w:rsidRPr="002201DB">
        <w:t>www.health.govt.nz/nz-health-statistics/national-collections-and-surveys/surveys/current-recent-surveys/new-zealand-health-survey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833" w:rsidRDefault="001E183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68D" w:rsidRDefault="0013668D" w:rsidP="009216CC">
    <w:pPr>
      <w:pStyle w:val="Header"/>
      <w:ind w:left="-1559"/>
    </w:pPr>
    <w:r>
      <w:rPr>
        <w:noProof/>
        <w:lang w:eastAsia="en-NZ"/>
      </w:rPr>
      <w:drawing>
        <wp:inline distT="0" distB="0" distL="0" distR="0" wp14:anchorId="0E9646F3" wp14:editId="362C95CB">
          <wp:extent cx="6467302" cy="5346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banner-final.jpg"/>
                  <pic:cNvPicPr/>
                </pic:nvPicPr>
                <pic:blipFill>
                  <a:blip r:embed="rId1">
                    <a:extLst>
                      <a:ext uri="{28A0092B-C50C-407E-A947-70E740481C1C}">
                        <a14:useLocalDpi xmlns:a14="http://schemas.microsoft.com/office/drawing/2010/main" val="0"/>
                      </a:ext>
                    </a:extLst>
                  </a:blip>
                  <a:stretch>
                    <a:fillRect/>
                  </a:stretch>
                </pic:blipFill>
                <pic:spPr>
                  <a:xfrm>
                    <a:off x="0" y="0"/>
                    <a:ext cx="6465795" cy="534507"/>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833" w:rsidRDefault="001E183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68D" w:rsidRDefault="0013668D" w:rsidP="00533B9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68D" w:rsidRDefault="0013668D" w:rsidP="0090019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68D" w:rsidRDefault="0013668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CBE423A"/>
    <w:lvl w:ilvl="0">
      <w:start w:val="1"/>
      <w:numFmt w:val="bullet"/>
      <w:lvlText w:val=""/>
      <w:lvlJc w:val="left"/>
      <w:pPr>
        <w:tabs>
          <w:tab w:val="num" w:pos="360"/>
        </w:tabs>
        <w:ind w:left="360" w:hanging="360"/>
      </w:pPr>
      <w:rPr>
        <w:rFonts w:ascii="Symbol" w:hAnsi="Symbol" w:hint="default"/>
      </w:rPr>
    </w:lvl>
  </w:abstractNum>
  <w:abstractNum w:abstractNumId="1">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nsid w:val="12CA785B"/>
    <w:multiLevelType w:val="hybridMultilevel"/>
    <w:tmpl w:val="304E95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nsid w:val="19784D26"/>
    <w:multiLevelType w:val="hybridMultilevel"/>
    <w:tmpl w:val="ED789B6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nsid w:val="20CD0FBA"/>
    <w:multiLevelType w:val="hybridMultilevel"/>
    <w:tmpl w:val="1294FB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28F33AF1"/>
    <w:multiLevelType w:val="hybridMultilevel"/>
    <w:tmpl w:val="F1749F3C"/>
    <w:lvl w:ilvl="0" w:tplc="14090001">
      <w:start w:val="1"/>
      <w:numFmt w:val="bullet"/>
      <w:lvlText w:val=""/>
      <w:lvlJc w:val="left"/>
      <w:pPr>
        <w:ind w:left="1215" w:hanging="360"/>
      </w:pPr>
      <w:rPr>
        <w:rFonts w:ascii="Symbol" w:hAnsi="Symbol" w:hint="default"/>
      </w:rPr>
    </w:lvl>
    <w:lvl w:ilvl="1" w:tplc="14090003" w:tentative="1">
      <w:start w:val="1"/>
      <w:numFmt w:val="bullet"/>
      <w:lvlText w:val="o"/>
      <w:lvlJc w:val="left"/>
      <w:pPr>
        <w:ind w:left="1935" w:hanging="360"/>
      </w:pPr>
      <w:rPr>
        <w:rFonts w:ascii="Courier New" w:hAnsi="Courier New" w:cs="Courier New" w:hint="default"/>
      </w:rPr>
    </w:lvl>
    <w:lvl w:ilvl="2" w:tplc="14090005" w:tentative="1">
      <w:start w:val="1"/>
      <w:numFmt w:val="bullet"/>
      <w:lvlText w:val=""/>
      <w:lvlJc w:val="left"/>
      <w:pPr>
        <w:ind w:left="2655" w:hanging="360"/>
      </w:pPr>
      <w:rPr>
        <w:rFonts w:ascii="Wingdings" w:hAnsi="Wingdings" w:hint="default"/>
      </w:rPr>
    </w:lvl>
    <w:lvl w:ilvl="3" w:tplc="14090001" w:tentative="1">
      <w:start w:val="1"/>
      <w:numFmt w:val="bullet"/>
      <w:lvlText w:val=""/>
      <w:lvlJc w:val="left"/>
      <w:pPr>
        <w:ind w:left="3375" w:hanging="360"/>
      </w:pPr>
      <w:rPr>
        <w:rFonts w:ascii="Symbol" w:hAnsi="Symbol" w:hint="default"/>
      </w:rPr>
    </w:lvl>
    <w:lvl w:ilvl="4" w:tplc="14090003" w:tentative="1">
      <w:start w:val="1"/>
      <w:numFmt w:val="bullet"/>
      <w:lvlText w:val="o"/>
      <w:lvlJc w:val="left"/>
      <w:pPr>
        <w:ind w:left="4095" w:hanging="360"/>
      </w:pPr>
      <w:rPr>
        <w:rFonts w:ascii="Courier New" w:hAnsi="Courier New" w:cs="Courier New" w:hint="default"/>
      </w:rPr>
    </w:lvl>
    <w:lvl w:ilvl="5" w:tplc="14090005" w:tentative="1">
      <w:start w:val="1"/>
      <w:numFmt w:val="bullet"/>
      <w:lvlText w:val=""/>
      <w:lvlJc w:val="left"/>
      <w:pPr>
        <w:ind w:left="4815" w:hanging="360"/>
      </w:pPr>
      <w:rPr>
        <w:rFonts w:ascii="Wingdings" w:hAnsi="Wingdings" w:hint="default"/>
      </w:rPr>
    </w:lvl>
    <w:lvl w:ilvl="6" w:tplc="14090001" w:tentative="1">
      <w:start w:val="1"/>
      <w:numFmt w:val="bullet"/>
      <w:lvlText w:val=""/>
      <w:lvlJc w:val="left"/>
      <w:pPr>
        <w:ind w:left="5535" w:hanging="360"/>
      </w:pPr>
      <w:rPr>
        <w:rFonts w:ascii="Symbol" w:hAnsi="Symbol" w:hint="default"/>
      </w:rPr>
    </w:lvl>
    <w:lvl w:ilvl="7" w:tplc="14090003" w:tentative="1">
      <w:start w:val="1"/>
      <w:numFmt w:val="bullet"/>
      <w:lvlText w:val="o"/>
      <w:lvlJc w:val="left"/>
      <w:pPr>
        <w:ind w:left="6255" w:hanging="360"/>
      </w:pPr>
      <w:rPr>
        <w:rFonts w:ascii="Courier New" w:hAnsi="Courier New" w:cs="Courier New" w:hint="default"/>
      </w:rPr>
    </w:lvl>
    <w:lvl w:ilvl="8" w:tplc="14090005" w:tentative="1">
      <w:start w:val="1"/>
      <w:numFmt w:val="bullet"/>
      <w:lvlText w:val=""/>
      <w:lvlJc w:val="left"/>
      <w:pPr>
        <w:ind w:left="6975" w:hanging="360"/>
      </w:pPr>
      <w:rPr>
        <w:rFonts w:ascii="Wingdings" w:hAnsi="Wingdings" w:hint="default"/>
      </w:rPr>
    </w:lvl>
  </w:abstractNum>
  <w:abstractNum w:abstractNumId="6">
    <w:nsid w:val="3C29418B"/>
    <w:multiLevelType w:val="hybridMultilevel"/>
    <w:tmpl w:val="58785D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41786758"/>
    <w:multiLevelType w:val="hybridMultilevel"/>
    <w:tmpl w:val="DF36C1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nsid w:val="531048B9"/>
    <w:multiLevelType w:val="hybridMultilevel"/>
    <w:tmpl w:val="86DACC88"/>
    <w:lvl w:ilvl="0" w:tplc="E3E0BC68">
      <w:numFmt w:val="bullet"/>
      <w:lvlText w:val="-"/>
      <w:lvlJc w:val="left"/>
      <w:pPr>
        <w:ind w:left="720" w:hanging="360"/>
      </w:pPr>
      <w:rPr>
        <w:rFonts w:ascii="Georgia" w:eastAsia="Calibri" w:hAnsi="Georgia"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57A82147"/>
    <w:multiLevelType w:val="hybridMultilevel"/>
    <w:tmpl w:val="D6D2B84C"/>
    <w:lvl w:ilvl="0" w:tplc="59E4FACC">
      <w:numFmt w:val="bullet"/>
      <w:lvlText w:val="•"/>
      <w:lvlJc w:val="left"/>
      <w:pPr>
        <w:ind w:left="360" w:hanging="360"/>
      </w:pPr>
      <w:rPr>
        <w:rFonts w:ascii="Arial" w:eastAsia="Arial"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nsid w:val="5BC0190C"/>
    <w:multiLevelType w:val="hybridMultilevel"/>
    <w:tmpl w:val="ADFADE2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14">
    <w:nsid w:val="72711B2E"/>
    <w:multiLevelType w:val="hybridMultilevel"/>
    <w:tmpl w:val="B36EFD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821" w:hanging="360"/>
      </w:pPr>
      <w:rPr>
        <w:rFonts w:ascii="Courier New" w:hAnsi="Courier New" w:cs="Courier New" w:hint="default"/>
      </w:rPr>
    </w:lvl>
    <w:lvl w:ilvl="2" w:tplc="14090005" w:tentative="1">
      <w:start w:val="1"/>
      <w:numFmt w:val="bullet"/>
      <w:lvlText w:val=""/>
      <w:lvlJc w:val="left"/>
      <w:pPr>
        <w:ind w:left="-1101" w:hanging="360"/>
      </w:pPr>
      <w:rPr>
        <w:rFonts w:ascii="Wingdings" w:hAnsi="Wingdings" w:hint="default"/>
      </w:rPr>
    </w:lvl>
    <w:lvl w:ilvl="3" w:tplc="14090001" w:tentative="1">
      <w:start w:val="1"/>
      <w:numFmt w:val="bullet"/>
      <w:lvlText w:val=""/>
      <w:lvlJc w:val="left"/>
      <w:pPr>
        <w:ind w:left="-381" w:hanging="360"/>
      </w:pPr>
      <w:rPr>
        <w:rFonts w:ascii="Symbol" w:hAnsi="Symbol" w:hint="default"/>
      </w:rPr>
    </w:lvl>
    <w:lvl w:ilvl="4" w:tplc="14090003" w:tentative="1">
      <w:start w:val="1"/>
      <w:numFmt w:val="bullet"/>
      <w:lvlText w:val="o"/>
      <w:lvlJc w:val="left"/>
      <w:pPr>
        <w:ind w:left="339" w:hanging="360"/>
      </w:pPr>
      <w:rPr>
        <w:rFonts w:ascii="Courier New" w:hAnsi="Courier New" w:cs="Courier New" w:hint="default"/>
      </w:rPr>
    </w:lvl>
    <w:lvl w:ilvl="5" w:tplc="14090005" w:tentative="1">
      <w:start w:val="1"/>
      <w:numFmt w:val="bullet"/>
      <w:lvlText w:val=""/>
      <w:lvlJc w:val="left"/>
      <w:pPr>
        <w:ind w:left="1059" w:hanging="360"/>
      </w:pPr>
      <w:rPr>
        <w:rFonts w:ascii="Wingdings" w:hAnsi="Wingdings" w:hint="default"/>
      </w:rPr>
    </w:lvl>
    <w:lvl w:ilvl="6" w:tplc="14090001" w:tentative="1">
      <w:start w:val="1"/>
      <w:numFmt w:val="bullet"/>
      <w:lvlText w:val=""/>
      <w:lvlJc w:val="left"/>
      <w:pPr>
        <w:ind w:left="1779" w:hanging="360"/>
      </w:pPr>
      <w:rPr>
        <w:rFonts w:ascii="Symbol" w:hAnsi="Symbol" w:hint="default"/>
      </w:rPr>
    </w:lvl>
    <w:lvl w:ilvl="7" w:tplc="14090003" w:tentative="1">
      <w:start w:val="1"/>
      <w:numFmt w:val="bullet"/>
      <w:lvlText w:val="o"/>
      <w:lvlJc w:val="left"/>
      <w:pPr>
        <w:ind w:left="2499" w:hanging="360"/>
      </w:pPr>
      <w:rPr>
        <w:rFonts w:ascii="Courier New" w:hAnsi="Courier New" w:cs="Courier New" w:hint="default"/>
      </w:rPr>
    </w:lvl>
    <w:lvl w:ilvl="8" w:tplc="14090005" w:tentative="1">
      <w:start w:val="1"/>
      <w:numFmt w:val="bullet"/>
      <w:lvlText w:val=""/>
      <w:lvlJc w:val="left"/>
      <w:pPr>
        <w:ind w:left="3219" w:hanging="360"/>
      </w:pPr>
      <w:rPr>
        <w:rFonts w:ascii="Wingdings" w:hAnsi="Wingdings" w:hint="default"/>
      </w:rPr>
    </w:lvl>
  </w:abstractNum>
  <w:abstractNum w:abstractNumId="15">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15"/>
  </w:num>
  <w:num w:numId="2">
    <w:abstractNumId w:val="13"/>
  </w:num>
  <w:num w:numId="3">
    <w:abstractNumId w:val="7"/>
  </w:num>
  <w:num w:numId="4">
    <w:abstractNumId w:val="8"/>
  </w:num>
  <w:num w:numId="5">
    <w:abstractNumId w:val="1"/>
  </w:num>
  <w:num w:numId="6">
    <w:abstractNumId w:val="11"/>
  </w:num>
  <w:num w:numId="7">
    <w:abstractNumId w:val="3"/>
  </w:num>
  <w:num w:numId="8">
    <w:abstractNumId w:val="14"/>
  </w:num>
  <w:num w:numId="9">
    <w:abstractNumId w:val="2"/>
  </w:num>
  <w:num w:numId="10">
    <w:abstractNumId w:val="4"/>
  </w:num>
  <w:num w:numId="11">
    <w:abstractNumId w:val="9"/>
  </w:num>
  <w:num w:numId="12">
    <w:abstractNumId w:val="0"/>
  </w:num>
  <w:num w:numId="13">
    <w:abstractNumId w:val="10"/>
  </w:num>
  <w:num w:numId="14">
    <w:abstractNumId w:val="12"/>
  </w:num>
  <w:num w:numId="15">
    <w:abstractNumId w:val="6"/>
  </w:num>
  <w:num w:numId="16">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8EB"/>
    <w:rsid w:val="00030B26"/>
    <w:rsid w:val="00044F01"/>
    <w:rsid w:val="0006228D"/>
    <w:rsid w:val="00072839"/>
    <w:rsid w:val="00072BD6"/>
    <w:rsid w:val="00075B78"/>
    <w:rsid w:val="00082CD6"/>
    <w:rsid w:val="00085AFE"/>
    <w:rsid w:val="00095D83"/>
    <w:rsid w:val="000A1261"/>
    <w:rsid w:val="000A3EF4"/>
    <w:rsid w:val="000B0730"/>
    <w:rsid w:val="000F2AE2"/>
    <w:rsid w:val="00102063"/>
    <w:rsid w:val="0010541C"/>
    <w:rsid w:val="00106F93"/>
    <w:rsid w:val="00111D50"/>
    <w:rsid w:val="00113529"/>
    <w:rsid w:val="00113B8E"/>
    <w:rsid w:val="001342C7"/>
    <w:rsid w:val="0013585C"/>
    <w:rsid w:val="0013668D"/>
    <w:rsid w:val="00142954"/>
    <w:rsid w:val="001460E0"/>
    <w:rsid w:val="00147F71"/>
    <w:rsid w:val="00150A6E"/>
    <w:rsid w:val="0016468A"/>
    <w:rsid w:val="001A5CF5"/>
    <w:rsid w:val="001B39D2"/>
    <w:rsid w:val="001B4BF8"/>
    <w:rsid w:val="001C4326"/>
    <w:rsid w:val="001D3541"/>
    <w:rsid w:val="001E1833"/>
    <w:rsid w:val="001E4900"/>
    <w:rsid w:val="00201A01"/>
    <w:rsid w:val="002104D3"/>
    <w:rsid w:val="00213A33"/>
    <w:rsid w:val="0021763B"/>
    <w:rsid w:val="00246DB1"/>
    <w:rsid w:val="002476B5"/>
    <w:rsid w:val="00253ACD"/>
    <w:rsid w:val="00253ECF"/>
    <w:rsid w:val="002546A1"/>
    <w:rsid w:val="00275D08"/>
    <w:rsid w:val="002858E3"/>
    <w:rsid w:val="0029190A"/>
    <w:rsid w:val="00292C5A"/>
    <w:rsid w:val="00295241"/>
    <w:rsid w:val="002B047D"/>
    <w:rsid w:val="002B732B"/>
    <w:rsid w:val="002C2219"/>
    <w:rsid w:val="002C40AD"/>
    <w:rsid w:val="002D0DF2"/>
    <w:rsid w:val="002D23BD"/>
    <w:rsid w:val="002E0B47"/>
    <w:rsid w:val="002F7213"/>
    <w:rsid w:val="0030382F"/>
    <w:rsid w:val="0030408D"/>
    <w:rsid w:val="003060E4"/>
    <w:rsid w:val="003160E7"/>
    <w:rsid w:val="0031739E"/>
    <w:rsid w:val="003325AB"/>
    <w:rsid w:val="0033412B"/>
    <w:rsid w:val="00343365"/>
    <w:rsid w:val="00353501"/>
    <w:rsid w:val="003606F8"/>
    <w:rsid w:val="003648EF"/>
    <w:rsid w:val="003673E6"/>
    <w:rsid w:val="00377264"/>
    <w:rsid w:val="003A26A5"/>
    <w:rsid w:val="003A3761"/>
    <w:rsid w:val="003A5FEA"/>
    <w:rsid w:val="003B1D10"/>
    <w:rsid w:val="003C76D4"/>
    <w:rsid w:val="003D2CC5"/>
    <w:rsid w:val="003E7C46"/>
    <w:rsid w:val="003F52A7"/>
    <w:rsid w:val="0040240C"/>
    <w:rsid w:val="00413021"/>
    <w:rsid w:val="00440BE0"/>
    <w:rsid w:val="00442C1C"/>
    <w:rsid w:val="0044584B"/>
    <w:rsid w:val="00447CB7"/>
    <w:rsid w:val="00460826"/>
    <w:rsid w:val="00460EA7"/>
    <w:rsid w:val="0046195B"/>
    <w:rsid w:val="0046596D"/>
    <w:rsid w:val="00472883"/>
    <w:rsid w:val="004839C0"/>
    <w:rsid w:val="00487C04"/>
    <w:rsid w:val="004907E1"/>
    <w:rsid w:val="004A035B"/>
    <w:rsid w:val="004A38D7"/>
    <w:rsid w:val="004A778C"/>
    <w:rsid w:val="004B3933"/>
    <w:rsid w:val="004C2E6A"/>
    <w:rsid w:val="004C64B8"/>
    <w:rsid w:val="004D2A2D"/>
    <w:rsid w:val="004D6689"/>
    <w:rsid w:val="004E1D1D"/>
    <w:rsid w:val="004E7AC8"/>
    <w:rsid w:val="004F0C94"/>
    <w:rsid w:val="005019AE"/>
    <w:rsid w:val="00503749"/>
    <w:rsid w:val="00504CF4"/>
    <w:rsid w:val="0050635B"/>
    <w:rsid w:val="0053199F"/>
    <w:rsid w:val="00533B90"/>
    <w:rsid w:val="005410F8"/>
    <w:rsid w:val="005448EC"/>
    <w:rsid w:val="00545963"/>
    <w:rsid w:val="00550256"/>
    <w:rsid w:val="00553958"/>
    <w:rsid w:val="0055763D"/>
    <w:rsid w:val="005621F2"/>
    <w:rsid w:val="00567B58"/>
    <w:rsid w:val="005763E0"/>
    <w:rsid w:val="00581136"/>
    <w:rsid w:val="005A27CA"/>
    <w:rsid w:val="005A43BD"/>
    <w:rsid w:val="005E226E"/>
    <w:rsid w:val="006015D7"/>
    <w:rsid w:val="00601B21"/>
    <w:rsid w:val="00617ACC"/>
    <w:rsid w:val="00622CFA"/>
    <w:rsid w:val="00626CF8"/>
    <w:rsid w:val="00636D7D"/>
    <w:rsid w:val="00637408"/>
    <w:rsid w:val="00642868"/>
    <w:rsid w:val="00647AFE"/>
    <w:rsid w:val="006512BC"/>
    <w:rsid w:val="00653A5A"/>
    <w:rsid w:val="006575F4"/>
    <w:rsid w:val="006579E6"/>
    <w:rsid w:val="00663EDC"/>
    <w:rsid w:val="00671078"/>
    <w:rsid w:val="00680A04"/>
    <w:rsid w:val="00686D80"/>
    <w:rsid w:val="00694895"/>
    <w:rsid w:val="00697E2E"/>
    <w:rsid w:val="006A25A2"/>
    <w:rsid w:val="006B0E73"/>
    <w:rsid w:val="006B4A4D"/>
    <w:rsid w:val="006B5695"/>
    <w:rsid w:val="006C78EB"/>
    <w:rsid w:val="006D13C6"/>
    <w:rsid w:val="006D1660"/>
    <w:rsid w:val="006F1B67"/>
    <w:rsid w:val="0070091D"/>
    <w:rsid w:val="00702854"/>
    <w:rsid w:val="0071741C"/>
    <w:rsid w:val="00742B90"/>
    <w:rsid w:val="0074434D"/>
    <w:rsid w:val="00771B1E"/>
    <w:rsid w:val="00773C95"/>
    <w:rsid w:val="0078171E"/>
    <w:rsid w:val="00795156"/>
    <w:rsid w:val="00795B34"/>
    <w:rsid w:val="007B1770"/>
    <w:rsid w:val="007B4D3E"/>
    <w:rsid w:val="007B7C70"/>
    <w:rsid w:val="007D2151"/>
    <w:rsid w:val="007D42CC"/>
    <w:rsid w:val="007D5DE4"/>
    <w:rsid w:val="007E0777"/>
    <w:rsid w:val="007E1341"/>
    <w:rsid w:val="007E1B41"/>
    <w:rsid w:val="007E30B9"/>
    <w:rsid w:val="007E74F1"/>
    <w:rsid w:val="007F0F0C"/>
    <w:rsid w:val="007F1288"/>
    <w:rsid w:val="00800A8A"/>
    <w:rsid w:val="0080155C"/>
    <w:rsid w:val="008052E1"/>
    <w:rsid w:val="00822F2C"/>
    <w:rsid w:val="008305E8"/>
    <w:rsid w:val="00860826"/>
    <w:rsid w:val="00860E21"/>
    <w:rsid w:val="00863117"/>
    <w:rsid w:val="0086388B"/>
    <w:rsid w:val="008642E5"/>
    <w:rsid w:val="00872D93"/>
    <w:rsid w:val="00880470"/>
    <w:rsid w:val="00880D94"/>
    <w:rsid w:val="008924DE"/>
    <w:rsid w:val="0089511D"/>
    <w:rsid w:val="008A3755"/>
    <w:rsid w:val="008B264F"/>
    <w:rsid w:val="008B6F83"/>
    <w:rsid w:val="008B7FD8"/>
    <w:rsid w:val="008C2973"/>
    <w:rsid w:val="008C64C4"/>
    <w:rsid w:val="008D74D5"/>
    <w:rsid w:val="008F29BE"/>
    <w:rsid w:val="008F4AE5"/>
    <w:rsid w:val="008F51EB"/>
    <w:rsid w:val="00900197"/>
    <w:rsid w:val="00902F55"/>
    <w:rsid w:val="0090582B"/>
    <w:rsid w:val="009060C0"/>
    <w:rsid w:val="009133F5"/>
    <w:rsid w:val="00920A27"/>
    <w:rsid w:val="00921216"/>
    <w:rsid w:val="009216CC"/>
    <w:rsid w:val="00932D69"/>
    <w:rsid w:val="00944647"/>
    <w:rsid w:val="00966342"/>
    <w:rsid w:val="00976C6E"/>
    <w:rsid w:val="00977B8A"/>
    <w:rsid w:val="00982971"/>
    <w:rsid w:val="009845AD"/>
    <w:rsid w:val="00995BA0"/>
    <w:rsid w:val="009A418B"/>
    <w:rsid w:val="009A4473"/>
    <w:rsid w:val="009C151C"/>
    <w:rsid w:val="009D5125"/>
    <w:rsid w:val="009D60B8"/>
    <w:rsid w:val="009D7D4B"/>
    <w:rsid w:val="009E36ED"/>
    <w:rsid w:val="009E6B77"/>
    <w:rsid w:val="009F460A"/>
    <w:rsid w:val="00A043FB"/>
    <w:rsid w:val="00A0729C"/>
    <w:rsid w:val="00A07779"/>
    <w:rsid w:val="00A20B2E"/>
    <w:rsid w:val="00A253A3"/>
    <w:rsid w:val="00A3068F"/>
    <w:rsid w:val="00A3145B"/>
    <w:rsid w:val="00A339D0"/>
    <w:rsid w:val="00A41002"/>
    <w:rsid w:val="00A4201A"/>
    <w:rsid w:val="00A553CE"/>
    <w:rsid w:val="00A5677A"/>
    <w:rsid w:val="00A6490D"/>
    <w:rsid w:val="00A80363"/>
    <w:rsid w:val="00A9169D"/>
    <w:rsid w:val="00AC101C"/>
    <w:rsid w:val="00AD4CF1"/>
    <w:rsid w:val="00AD5988"/>
    <w:rsid w:val="00AF7800"/>
    <w:rsid w:val="00B02BF4"/>
    <w:rsid w:val="00B072E0"/>
    <w:rsid w:val="00B14611"/>
    <w:rsid w:val="00B253F6"/>
    <w:rsid w:val="00B332F8"/>
    <w:rsid w:val="00B3492B"/>
    <w:rsid w:val="00B4646F"/>
    <w:rsid w:val="00B55C7D"/>
    <w:rsid w:val="00B63038"/>
    <w:rsid w:val="00B64BD8"/>
    <w:rsid w:val="00B701D1"/>
    <w:rsid w:val="00B73AF2"/>
    <w:rsid w:val="00B7551A"/>
    <w:rsid w:val="00BC59F1"/>
    <w:rsid w:val="00BF3DE1"/>
    <w:rsid w:val="00BF4843"/>
    <w:rsid w:val="00BF5205"/>
    <w:rsid w:val="00C12508"/>
    <w:rsid w:val="00C20916"/>
    <w:rsid w:val="00C45AA2"/>
    <w:rsid w:val="00C66296"/>
    <w:rsid w:val="00C7303E"/>
    <w:rsid w:val="00C77282"/>
    <w:rsid w:val="00C84BFB"/>
    <w:rsid w:val="00C84DE5"/>
    <w:rsid w:val="00C86248"/>
    <w:rsid w:val="00CA4C33"/>
    <w:rsid w:val="00CA6F4A"/>
    <w:rsid w:val="00CD2119"/>
    <w:rsid w:val="00CD237A"/>
    <w:rsid w:val="00CD36AC"/>
    <w:rsid w:val="00CF1747"/>
    <w:rsid w:val="00D2392A"/>
    <w:rsid w:val="00D25FFE"/>
    <w:rsid w:val="00D4476F"/>
    <w:rsid w:val="00D54D50"/>
    <w:rsid w:val="00D66797"/>
    <w:rsid w:val="00D7087C"/>
    <w:rsid w:val="00D70C3C"/>
    <w:rsid w:val="00D72BE5"/>
    <w:rsid w:val="00D82F26"/>
    <w:rsid w:val="00D863D0"/>
    <w:rsid w:val="00D87C87"/>
    <w:rsid w:val="00DA15D1"/>
    <w:rsid w:val="00DB39CF"/>
    <w:rsid w:val="00DD15E4"/>
    <w:rsid w:val="00DD447A"/>
    <w:rsid w:val="00DE3B20"/>
    <w:rsid w:val="00DE6C94"/>
    <w:rsid w:val="00DE6FD7"/>
    <w:rsid w:val="00E23271"/>
    <w:rsid w:val="00E24F80"/>
    <w:rsid w:val="00E259F3"/>
    <w:rsid w:val="00E33238"/>
    <w:rsid w:val="00E4486C"/>
    <w:rsid w:val="00E460B6"/>
    <w:rsid w:val="00E511D5"/>
    <w:rsid w:val="00E60249"/>
    <w:rsid w:val="00E65269"/>
    <w:rsid w:val="00E76D66"/>
    <w:rsid w:val="00E9374F"/>
    <w:rsid w:val="00EA796A"/>
    <w:rsid w:val="00EB1856"/>
    <w:rsid w:val="00EC50CE"/>
    <w:rsid w:val="00EC5B34"/>
    <w:rsid w:val="00EE4ADE"/>
    <w:rsid w:val="00EE5CB7"/>
    <w:rsid w:val="00F024FE"/>
    <w:rsid w:val="00F05AD4"/>
    <w:rsid w:val="00F25970"/>
    <w:rsid w:val="00F5180D"/>
    <w:rsid w:val="00F67496"/>
    <w:rsid w:val="00F801BA"/>
    <w:rsid w:val="00F9366A"/>
    <w:rsid w:val="00F946C9"/>
    <w:rsid w:val="00FA74EE"/>
    <w:rsid w:val="00FC3711"/>
    <w:rsid w:val="00FC46E7"/>
    <w:rsid w:val="00FC5D25"/>
    <w:rsid w:val="00FD0D7E"/>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uiPriority="0" w:qFormat="1"/>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946C9"/>
    <w:pPr>
      <w:spacing w:line="264" w:lineRule="auto"/>
    </w:pPr>
    <w:rPr>
      <w:rFonts w:ascii="Georgia" w:hAnsi="Georgia"/>
      <w:sz w:val="22"/>
      <w:lang w:eastAsia="en-GB"/>
    </w:rPr>
  </w:style>
  <w:style w:type="paragraph" w:styleId="Heading1">
    <w:name w:val="heading 1"/>
    <w:basedOn w:val="Normal"/>
    <w:next w:val="Normal"/>
    <w:link w:val="Heading1Char"/>
    <w:qFormat/>
    <w:rsid w:val="00F024FE"/>
    <w:pPr>
      <w:pBdr>
        <w:top w:val="single" w:sz="48" w:space="16" w:color="auto"/>
      </w:pBdr>
      <w:spacing w:after="360"/>
      <w:outlineLvl w:val="0"/>
    </w:pPr>
    <w:rPr>
      <w:b/>
      <w:sz w:val="60"/>
    </w:rPr>
  </w:style>
  <w:style w:type="paragraph" w:styleId="Heading2">
    <w:name w:val="heading 2"/>
    <w:basedOn w:val="Normal"/>
    <w:next w:val="Normal"/>
    <w:link w:val="Heading2Char"/>
    <w:qFormat/>
    <w:rsid w:val="00D2392A"/>
    <w:pPr>
      <w:keepNext/>
      <w:spacing w:before="120" w:after="120"/>
      <w:outlineLvl w:val="1"/>
    </w:pPr>
    <w:rPr>
      <w:b/>
      <w:sz w:val="40"/>
    </w:rPr>
  </w:style>
  <w:style w:type="paragraph" w:styleId="Heading3">
    <w:name w:val="heading 3"/>
    <w:basedOn w:val="Normal"/>
    <w:next w:val="Normal"/>
    <w:link w:val="Heading3Char"/>
    <w:qFormat/>
    <w:rsid w:val="0033412B"/>
    <w:pPr>
      <w:keepNext/>
      <w:spacing w:before="120" w:after="120"/>
      <w:outlineLvl w:val="2"/>
    </w:pPr>
    <w:rPr>
      <w:b/>
      <w:sz w:val="28"/>
    </w:rPr>
  </w:style>
  <w:style w:type="paragraph" w:styleId="Heading4">
    <w:name w:val="heading 4"/>
    <w:basedOn w:val="Normal"/>
    <w:next w:val="Normal"/>
    <w:qFormat/>
    <w:rsid w:val="007D5DE4"/>
    <w:pPr>
      <w:keepNext/>
      <w:spacing w:before="120" w:after="120"/>
      <w:outlineLvl w:val="3"/>
    </w:pPr>
    <w:rPr>
      <w:b/>
    </w:rPr>
  </w:style>
  <w:style w:type="paragraph" w:styleId="Heading5">
    <w:name w:val="heading 5"/>
    <w:basedOn w:val="Normal"/>
    <w:next w:val="Normal"/>
    <w:qFormat/>
    <w:rsid w:val="0013585C"/>
    <w:pPr>
      <w:keepNext/>
      <w:spacing w:before="120" w:after="120"/>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rsid w:val="0006228D"/>
    <w:pPr>
      <w:tabs>
        <w:tab w:val="right" w:pos="9356"/>
      </w:tabs>
      <w:spacing w:before="300"/>
      <w:ind w:right="567"/>
    </w:pPr>
    <w:rPr>
      <w:b/>
    </w:rPr>
  </w:style>
  <w:style w:type="paragraph" w:styleId="TOC2">
    <w:name w:val="toc 2"/>
    <w:basedOn w:val="Normal"/>
    <w:next w:val="Normal"/>
    <w:rsid w:val="0006228D"/>
    <w:pPr>
      <w:tabs>
        <w:tab w:val="left" w:pos="284"/>
        <w:tab w:val="right" w:pos="9356"/>
      </w:tabs>
      <w:spacing w:before="60"/>
      <w:ind w:left="284" w:right="567"/>
    </w:pPr>
  </w:style>
  <w:style w:type="paragraph" w:styleId="TOC3">
    <w:name w:val="toc 3"/>
    <w:basedOn w:val="Normal"/>
    <w:next w:val="Normal"/>
    <w:rsid w:val="00A5677A"/>
    <w:pPr>
      <w:tabs>
        <w:tab w:val="right" w:pos="9356"/>
      </w:tabs>
      <w:spacing w:before="12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semiHidden/>
    <w:rsid w:val="003060E4"/>
    <w:pPr>
      <w:spacing w:before="60"/>
      <w:ind w:left="284" w:hanging="284"/>
    </w:pPr>
    <w:rPr>
      <w:sz w:val="18"/>
    </w:rPr>
  </w:style>
  <w:style w:type="paragraph" w:styleId="Header">
    <w:name w:val="header"/>
    <w:basedOn w:val="Normal"/>
    <w:link w:val="HeaderChar"/>
    <w:qFormat/>
    <w:rsid w:val="00D25FFE"/>
  </w:style>
  <w:style w:type="paragraph" w:styleId="Title">
    <w:name w:val="Title"/>
    <w:basedOn w:val="Normal"/>
    <w:next w:val="Normal"/>
    <w:link w:val="TitleChar"/>
    <w:qFormat/>
    <w:rsid w:val="00CD237A"/>
    <w:pPr>
      <w:pBdr>
        <w:bottom w:val="single" w:sz="48" w:space="6" w:color="auto"/>
      </w:pBdr>
      <w:ind w:right="1701"/>
    </w:pPr>
    <w:rPr>
      <w:b/>
      <w:sz w:val="80"/>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qFormat/>
    <w:rsid w:val="00447CB7"/>
    <w:pPr>
      <w:pBdr>
        <w:bottom w:val="single" w:sz="4" w:space="4" w:color="auto"/>
      </w:pBdr>
    </w:p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617ACC"/>
    <w:pPr>
      <w:pBdr>
        <w:bottom w:val="single" w:sz="4" w:space="6" w:color="auto"/>
      </w:pBdr>
      <w:spacing w:before="80"/>
      <w:ind w:left="284" w:hanging="284"/>
    </w:pPr>
    <w:rPr>
      <w:rFonts w:ascii="Arial" w:hAnsi="Arial"/>
      <w:sz w:val="18"/>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rPr>
      <w:color w:val="auto"/>
      <w:u w:val="none"/>
    </w:rPr>
  </w:style>
  <w:style w:type="paragraph" w:customStyle="1" w:styleId="References">
    <w:name w:val="References"/>
    <w:basedOn w:val="Normal"/>
    <w:qFormat/>
    <w:rsid w:val="00113529"/>
    <w:pPr>
      <w:spacing w:after="120"/>
    </w:pPr>
    <w:rPr>
      <w:sz w:val="21"/>
    </w:r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617ACC"/>
    <w:rPr>
      <w:rFonts w:ascii="Arial" w:hAnsi="Arial"/>
      <w:sz w:val="18"/>
      <w:lang w:eastAsia="en-GB"/>
    </w:rPr>
  </w:style>
  <w:style w:type="character" w:customStyle="1" w:styleId="FootnoteTextChar">
    <w:name w:val="Footnote Text Char"/>
    <w:link w:val="FootnoteText"/>
    <w:semiHidden/>
    <w:rsid w:val="003060E4"/>
    <w:rPr>
      <w:rFonts w:ascii="Georgia" w:hAnsi="Georgia"/>
      <w:sz w:val="18"/>
      <w:lang w:eastAsia="en-GB"/>
    </w:rPr>
  </w:style>
  <w:style w:type="table" w:styleId="TableGrid">
    <w:name w:val="Table Grid"/>
    <w:basedOn w:val="TableNormal"/>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sid w:val="0086388B"/>
    <w:rPr>
      <w:rFonts w:ascii="Georgia" w:hAnsi="Georgia"/>
      <w:sz w:val="22"/>
      <w:lang w:eastAsia="en-GB"/>
    </w:rPr>
  </w:style>
  <w:style w:type="character" w:customStyle="1" w:styleId="FooterChar">
    <w:name w:val="Footer Char"/>
    <w:link w:val="Footer"/>
    <w:rsid w:val="0086388B"/>
    <w:rPr>
      <w:rFonts w:ascii="Georgia" w:hAnsi="Georgia"/>
      <w:sz w:val="22"/>
      <w:lang w:eastAsia="en-GB"/>
    </w:rPr>
  </w:style>
  <w:style w:type="character" w:customStyle="1" w:styleId="Heading1Char">
    <w:name w:val="Heading 1 Char"/>
    <w:link w:val="Heading1"/>
    <w:rsid w:val="0086388B"/>
    <w:rPr>
      <w:rFonts w:ascii="Georgia" w:hAnsi="Georgia"/>
      <w:b/>
      <w:sz w:val="60"/>
      <w:lang w:eastAsia="en-GB"/>
    </w:rPr>
  </w:style>
  <w:style w:type="paragraph" w:styleId="Revision">
    <w:name w:val="Revision"/>
    <w:hidden/>
    <w:uiPriority w:val="99"/>
    <w:semiHidden/>
    <w:rsid w:val="0086388B"/>
    <w:rPr>
      <w:rFonts w:ascii="Calibri" w:eastAsia="Calibri" w:hAnsi="Calibri"/>
      <w:sz w:val="22"/>
      <w:szCs w:val="22"/>
      <w:lang w:val="en-US" w:eastAsia="en-US"/>
    </w:rPr>
  </w:style>
  <w:style w:type="character" w:customStyle="1" w:styleId="Heading2Char">
    <w:name w:val="Heading 2 Char"/>
    <w:link w:val="Heading2"/>
    <w:uiPriority w:val="9"/>
    <w:rsid w:val="0086388B"/>
    <w:rPr>
      <w:rFonts w:ascii="Georgia" w:hAnsi="Georgia"/>
      <w:b/>
      <w:sz w:val="40"/>
      <w:lang w:eastAsia="en-GB"/>
    </w:rPr>
  </w:style>
  <w:style w:type="character" w:customStyle="1" w:styleId="Heading3Char">
    <w:name w:val="Heading 3 Char"/>
    <w:link w:val="Heading3"/>
    <w:uiPriority w:val="9"/>
    <w:rsid w:val="0086388B"/>
    <w:rPr>
      <w:rFonts w:ascii="Georgia" w:hAnsi="Georgia"/>
      <w:b/>
      <w:sz w:val="28"/>
      <w:lang w:eastAsia="en-GB"/>
    </w:rPr>
  </w:style>
  <w:style w:type="character" w:customStyle="1" w:styleId="TitleChar">
    <w:name w:val="Title Char"/>
    <w:link w:val="Title"/>
    <w:rsid w:val="0089511D"/>
    <w:rPr>
      <w:rFonts w:ascii="Georgia" w:hAnsi="Georgia"/>
      <w:b/>
      <w:sz w:val="80"/>
      <w:lang w:eastAsia="en-GB"/>
    </w:rPr>
  </w:style>
  <w:style w:type="paragraph" w:styleId="BalloonText">
    <w:name w:val="Balloon Text"/>
    <w:basedOn w:val="Normal"/>
    <w:link w:val="BalloonTextChar"/>
    <w:uiPriority w:val="99"/>
    <w:semiHidden/>
    <w:unhideWhenUsed/>
    <w:rsid w:val="00622CF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CFA"/>
    <w:rPr>
      <w:rFonts w:ascii="Tahoma"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uiPriority="0" w:qFormat="1"/>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946C9"/>
    <w:pPr>
      <w:spacing w:line="264" w:lineRule="auto"/>
    </w:pPr>
    <w:rPr>
      <w:rFonts w:ascii="Georgia" w:hAnsi="Georgia"/>
      <w:sz w:val="22"/>
      <w:lang w:eastAsia="en-GB"/>
    </w:rPr>
  </w:style>
  <w:style w:type="paragraph" w:styleId="Heading1">
    <w:name w:val="heading 1"/>
    <w:basedOn w:val="Normal"/>
    <w:next w:val="Normal"/>
    <w:link w:val="Heading1Char"/>
    <w:qFormat/>
    <w:rsid w:val="00F024FE"/>
    <w:pPr>
      <w:pBdr>
        <w:top w:val="single" w:sz="48" w:space="16" w:color="auto"/>
      </w:pBdr>
      <w:spacing w:after="360"/>
      <w:outlineLvl w:val="0"/>
    </w:pPr>
    <w:rPr>
      <w:b/>
      <w:sz w:val="60"/>
    </w:rPr>
  </w:style>
  <w:style w:type="paragraph" w:styleId="Heading2">
    <w:name w:val="heading 2"/>
    <w:basedOn w:val="Normal"/>
    <w:next w:val="Normal"/>
    <w:link w:val="Heading2Char"/>
    <w:qFormat/>
    <w:rsid w:val="00D2392A"/>
    <w:pPr>
      <w:keepNext/>
      <w:spacing w:before="120" w:after="120"/>
      <w:outlineLvl w:val="1"/>
    </w:pPr>
    <w:rPr>
      <w:b/>
      <w:sz w:val="40"/>
    </w:rPr>
  </w:style>
  <w:style w:type="paragraph" w:styleId="Heading3">
    <w:name w:val="heading 3"/>
    <w:basedOn w:val="Normal"/>
    <w:next w:val="Normal"/>
    <w:link w:val="Heading3Char"/>
    <w:qFormat/>
    <w:rsid w:val="0033412B"/>
    <w:pPr>
      <w:keepNext/>
      <w:spacing w:before="120" w:after="120"/>
      <w:outlineLvl w:val="2"/>
    </w:pPr>
    <w:rPr>
      <w:b/>
      <w:sz w:val="28"/>
    </w:rPr>
  </w:style>
  <w:style w:type="paragraph" w:styleId="Heading4">
    <w:name w:val="heading 4"/>
    <w:basedOn w:val="Normal"/>
    <w:next w:val="Normal"/>
    <w:qFormat/>
    <w:rsid w:val="007D5DE4"/>
    <w:pPr>
      <w:keepNext/>
      <w:spacing w:before="120" w:after="120"/>
      <w:outlineLvl w:val="3"/>
    </w:pPr>
    <w:rPr>
      <w:b/>
    </w:rPr>
  </w:style>
  <w:style w:type="paragraph" w:styleId="Heading5">
    <w:name w:val="heading 5"/>
    <w:basedOn w:val="Normal"/>
    <w:next w:val="Normal"/>
    <w:qFormat/>
    <w:rsid w:val="0013585C"/>
    <w:pPr>
      <w:keepNext/>
      <w:spacing w:before="120" w:after="120"/>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rsid w:val="0006228D"/>
    <w:pPr>
      <w:tabs>
        <w:tab w:val="right" w:pos="9356"/>
      </w:tabs>
      <w:spacing w:before="300"/>
      <w:ind w:right="567"/>
    </w:pPr>
    <w:rPr>
      <w:b/>
    </w:rPr>
  </w:style>
  <w:style w:type="paragraph" w:styleId="TOC2">
    <w:name w:val="toc 2"/>
    <w:basedOn w:val="Normal"/>
    <w:next w:val="Normal"/>
    <w:rsid w:val="0006228D"/>
    <w:pPr>
      <w:tabs>
        <w:tab w:val="left" w:pos="284"/>
        <w:tab w:val="right" w:pos="9356"/>
      </w:tabs>
      <w:spacing w:before="60"/>
      <w:ind w:left="284" w:right="567"/>
    </w:pPr>
  </w:style>
  <w:style w:type="paragraph" w:styleId="TOC3">
    <w:name w:val="toc 3"/>
    <w:basedOn w:val="Normal"/>
    <w:next w:val="Normal"/>
    <w:rsid w:val="00A5677A"/>
    <w:pPr>
      <w:tabs>
        <w:tab w:val="right" w:pos="9356"/>
      </w:tabs>
      <w:spacing w:before="12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semiHidden/>
    <w:rsid w:val="003060E4"/>
    <w:pPr>
      <w:spacing w:before="60"/>
      <w:ind w:left="284" w:hanging="284"/>
    </w:pPr>
    <w:rPr>
      <w:sz w:val="18"/>
    </w:rPr>
  </w:style>
  <w:style w:type="paragraph" w:styleId="Header">
    <w:name w:val="header"/>
    <w:basedOn w:val="Normal"/>
    <w:link w:val="HeaderChar"/>
    <w:qFormat/>
    <w:rsid w:val="00D25FFE"/>
  </w:style>
  <w:style w:type="paragraph" w:styleId="Title">
    <w:name w:val="Title"/>
    <w:basedOn w:val="Normal"/>
    <w:next w:val="Normal"/>
    <w:link w:val="TitleChar"/>
    <w:qFormat/>
    <w:rsid w:val="00CD237A"/>
    <w:pPr>
      <w:pBdr>
        <w:bottom w:val="single" w:sz="48" w:space="6" w:color="auto"/>
      </w:pBdr>
      <w:ind w:right="1701"/>
    </w:pPr>
    <w:rPr>
      <w:b/>
      <w:sz w:val="80"/>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qFormat/>
    <w:rsid w:val="00447CB7"/>
    <w:pPr>
      <w:pBdr>
        <w:bottom w:val="single" w:sz="4" w:space="4" w:color="auto"/>
      </w:pBdr>
    </w:p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617ACC"/>
    <w:pPr>
      <w:pBdr>
        <w:bottom w:val="single" w:sz="4" w:space="6" w:color="auto"/>
      </w:pBdr>
      <w:spacing w:before="80"/>
      <w:ind w:left="284" w:hanging="284"/>
    </w:pPr>
    <w:rPr>
      <w:rFonts w:ascii="Arial" w:hAnsi="Arial"/>
      <w:sz w:val="18"/>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rPr>
      <w:color w:val="auto"/>
      <w:u w:val="none"/>
    </w:rPr>
  </w:style>
  <w:style w:type="paragraph" w:customStyle="1" w:styleId="References">
    <w:name w:val="References"/>
    <w:basedOn w:val="Normal"/>
    <w:qFormat/>
    <w:rsid w:val="00113529"/>
    <w:pPr>
      <w:spacing w:after="120"/>
    </w:pPr>
    <w:rPr>
      <w:sz w:val="21"/>
    </w:r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617ACC"/>
    <w:rPr>
      <w:rFonts w:ascii="Arial" w:hAnsi="Arial"/>
      <w:sz w:val="18"/>
      <w:lang w:eastAsia="en-GB"/>
    </w:rPr>
  </w:style>
  <w:style w:type="character" w:customStyle="1" w:styleId="FootnoteTextChar">
    <w:name w:val="Footnote Text Char"/>
    <w:link w:val="FootnoteText"/>
    <w:semiHidden/>
    <w:rsid w:val="003060E4"/>
    <w:rPr>
      <w:rFonts w:ascii="Georgia" w:hAnsi="Georgia"/>
      <w:sz w:val="18"/>
      <w:lang w:eastAsia="en-GB"/>
    </w:rPr>
  </w:style>
  <w:style w:type="table" w:styleId="TableGrid">
    <w:name w:val="Table Grid"/>
    <w:basedOn w:val="TableNormal"/>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sid w:val="0086388B"/>
    <w:rPr>
      <w:rFonts w:ascii="Georgia" w:hAnsi="Georgia"/>
      <w:sz w:val="22"/>
      <w:lang w:eastAsia="en-GB"/>
    </w:rPr>
  </w:style>
  <w:style w:type="character" w:customStyle="1" w:styleId="FooterChar">
    <w:name w:val="Footer Char"/>
    <w:link w:val="Footer"/>
    <w:rsid w:val="0086388B"/>
    <w:rPr>
      <w:rFonts w:ascii="Georgia" w:hAnsi="Georgia"/>
      <w:sz w:val="22"/>
      <w:lang w:eastAsia="en-GB"/>
    </w:rPr>
  </w:style>
  <w:style w:type="character" w:customStyle="1" w:styleId="Heading1Char">
    <w:name w:val="Heading 1 Char"/>
    <w:link w:val="Heading1"/>
    <w:rsid w:val="0086388B"/>
    <w:rPr>
      <w:rFonts w:ascii="Georgia" w:hAnsi="Georgia"/>
      <w:b/>
      <w:sz w:val="60"/>
      <w:lang w:eastAsia="en-GB"/>
    </w:rPr>
  </w:style>
  <w:style w:type="paragraph" w:styleId="Revision">
    <w:name w:val="Revision"/>
    <w:hidden/>
    <w:uiPriority w:val="99"/>
    <w:semiHidden/>
    <w:rsid w:val="0086388B"/>
    <w:rPr>
      <w:rFonts w:ascii="Calibri" w:eastAsia="Calibri" w:hAnsi="Calibri"/>
      <w:sz w:val="22"/>
      <w:szCs w:val="22"/>
      <w:lang w:val="en-US" w:eastAsia="en-US"/>
    </w:rPr>
  </w:style>
  <w:style w:type="character" w:customStyle="1" w:styleId="Heading2Char">
    <w:name w:val="Heading 2 Char"/>
    <w:link w:val="Heading2"/>
    <w:uiPriority w:val="9"/>
    <w:rsid w:val="0086388B"/>
    <w:rPr>
      <w:rFonts w:ascii="Georgia" w:hAnsi="Georgia"/>
      <w:b/>
      <w:sz w:val="40"/>
      <w:lang w:eastAsia="en-GB"/>
    </w:rPr>
  </w:style>
  <w:style w:type="character" w:customStyle="1" w:styleId="Heading3Char">
    <w:name w:val="Heading 3 Char"/>
    <w:link w:val="Heading3"/>
    <w:uiPriority w:val="9"/>
    <w:rsid w:val="0086388B"/>
    <w:rPr>
      <w:rFonts w:ascii="Georgia" w:hAnsi="Georgia"/>
      <w:b/>
      <w:sz w:val="28"/>
      <w:lang w:eastAsia="en-GB"/>
    </w:rPr>
  </w:style>
  <w:style w:type="character" w:customStyle="1" w:styleId="TitleChar">
    <w:name w:val="Title Char"/>
    <w:link w:val="Title"/>
    <w:rsid w:val="0089511D"/>
    <w:rPr>
      <w:rFonts w:ascii="Georgia" w:hAnsi="Georgia"/>
      <w:b/>
      <w:sz w:val="80"/>
      <w:lang w:eastAsia="en-GB"/>
    </w:rPr>
  </w:style>
  <w:style w:type="paragraph" w:styleId="BalloonText">
    <w:name w:val="Balloon Text"/>
    <w:basedOn w:val="Normal"/>
    <w:link w:val="BalloonTextChar"/>
    <w:uiPriority w:val="99"/>
    <w:semiHidden/>
    <w:unhideWhenUsed/>
    <w:rsid w:val="00622CF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CFA"/>
    <w:rPr>
      <w:rFonts w:ascii="Tahoma"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oleObject" Target="embeddings/oleObject1.bin"/><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11.png"/><Relationship Id="rId42" Type="http://schemas.openxmlformats.org/officeDocument/2006/relationships/hyperlink" Target="http://www.health.govt.nz/publication/new-zealand-health-survey-sample-design-years-1-3-2011-2013"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7.wmf"/><Relationship Id="rId33" Type="http://schemas.openxmlformats.org/officeDocument/2006/relationships/hyperlink" Target="http://www.health.govt.nz" TargetMode="External"/><Relationship Id="rId38" Type="http://schemas.openxmlformats.org/officeDocument/2006/relationships/image" Target="media/image15.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5.xml"/><Relationship Id="rId29" Type="http://schemas.openxmlformats.org/officeDocument/2006/relationships/image" Target="media/image9.wmf"/><Relationship Id="rId41" Type="http://schemas.openxmlformats.org/officeDocument/2006/relationships/hyperlink" Target="http://www.pophealthmetrics.com/content/11/1/2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wmf"/><Relationship Id="rId32" Type="http://schemas.openxmlformats.org/officeDocument/2006/relationships/oleObject" Target="embeddings/oleObject4.bin"/><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5.wmf"/><Relationship Id="rId28" Type="http://schemas.openxmlformats.org/officeDocument/2006/relationships/oleObject" Target="embeddings/oleObject2.bin"/><Relationship Id="rId36" Type="http://schemas.openxmlformats.org/officeDocument/2006/relationships/image" Target="media/image13.png"/><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image" Target="media/image10.wmf"/><Relationship Id="rId44"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image" Target="media/image8.wmf"/><Relationship Id="rId30" Type="http://schemas.openxmlformats.org/officeDocument/2006/relationships/oleObject" Target="embeddings/oleObject3.bin"/><Relationship Id="rId35" Type="http://schemas.openxmlformats.org/officeDocument/2006/relationships/image" Target="media/image12.png"/><Relationship Id="rId43" Type="http://schemas.openxmlformats.org/officeDocument/2006/relationships/header" Target="header6.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069D8A-CFB4-44D6-8384-CAC97E9A7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194</TotalTime>
  <Pages>44</Pages>
  <Words>12243</Words>
  <Characters>69014</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81095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Methodology Report 2014/15: New Zealand Health Survey</dc:title>
  <dc:creator>Ministry of Health</dc:creator>
  <cp:lastModifiedBy>Jane Adam</cp:lastModifiedBy>
  <cp:revision>20</cp:revision>
  <cp:lastPrinted>2015-11-18T07:03:00Z</cp:lastPrinted>
  <dcterms:created xsi:type="dcterms:W3CDTF">2015-11-17T05:13:00Z</dcterms:created>
  <dcterms:modified xsi:type="dcterms:W3CDTF">2015-12-06T22:01:00Z</dcterms:modified>
</cp:coreProperties>
</file>