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8" w:rsidRPr="00D54D50" w:rsidRDefault="001344B9" w:rsidP="00F6702B">
      <w:pPr>
        <w:pStyle w:val="Title"/>
        <w:ind w:left="-284"/>
      </w:pPr>
      <w:r>
        <w:t>New Zealand Health Research Strategy</w:t>
      </w:r>
    </w:p>
    <w:p w:rsidR="00C86248" w:rsidRDefault="001344B9" w:rsidP="00F6702B">
      <w:pPr>
        <w:pStyle w:val="Subtitle"/>
        <w:ind w:left="-284"/>
      </w:pPr>
      <w:r>
        <w:t>Public Discussion Document</w:t>
      </w:r>
    </w:p>
    <w:p w:rsidR="001344B9" w:rsidRDefault="001344B9" w:rsidP="00F6702B">
      <w:pPr>
        <w:pBdr>
          <w:bottom w:val="single" w:sz="36" w:space="12" w:color="9BBB59" w:themeColor="accent3"/>
        </w:pBdr>
        <w:spacing w:before="300" w:line="240" w:lineRule="auto"/>
        <w:ind w:left="-284"/>
        <w:rPr>
          <w:rFonts w:ascii="Calibri" w:hAnsi="Calibri"/>
          <w:sz w:val="28"/>
          <w:szCs w:val="28"/>
        </w:rPr>
      </w:pPr>
      <w:r w:rsidRPr="005C137E">
        <w:rPr>
          <w:rFonts w:ascii="Calibri" w:hAnsi="Calibri"/>
          <w:sz w:val="28"/>
          <w:szCs w:val="28"/>
        </w:rPr>
        <w:t>May 2016</w:t>
      </w:r>
    </w:p>
    <w:p w:rsidR="005C137E" w:rsidRPr="005C137E" w:rsidRDefault="005C137E" w:rsidP="005C137E"/>
    <w:p w:rsidR="00142954" w:rsidRPr="00142954" w:rsidRDefault="00142954" w:rsidP="00142954">
      <w:pPr>
        <w:sectPr w:rsidR="00142954" w:rsidRPr="00142954" w:rsidSect="00F87091">
          <w:headerReference w:type="default" r:id="rId9"/>
          <w:pgSz w:w="11907" w:h="16834" w:code="9"/>
          <w:pgMar w:top="3969" w:right="1276" w:bottom="851" w:left="6804" w:header="851" w:footer="851" w:gutter="0"/>
          <w:cols w:space="720"/>
        </w:sectPr>
      </w:pPr>
    </w:p>
    <w:p w:rsidR="00A80363" w:rsidRPr="00442C1C" w:rsidRDefault="00A80363" w:rsidP="006A7220">
      <w:pPr>
        <w:pStyle w:val="Imprint"/>
      </w:pPr>
      <w:r>
        <w:lastRenderedPageBreak/>
        <w:t xml:space="preserve">Citation: </w:t>
      </w:r>
      <w:r w:rsidR="00442C1C">
        <w:t>Minist</w:t>
      </w:r>
      <w:r w:rsidR="001344B9">
        <w:t>e</w:t>
      </w:r>
      <w:r w:rsidR="00442C1C">
        <w:t xml:space="preserve">r of </w:t>
      </w:r>
      <w:r w:rsidR="001344B9">
        <w:t xml:space="preserve">Science and Innovation and Minister of </w:t>
      </w:r>
      <w:r w:rsidR="00442C1C">
        <w:t xml:space="preserve">Health. </w:t>
      </w:r>
      <w:r w:rsidR="001344B9">
        <w:t>2016</w:t>
      </w:r>
      <w:r w:rsidR="00442C1C">
        <w:t xml:space="preserve">. </w:t>
      </w:r>
      <w:r w:rsidR="001344B9">
        <w:rPr>
          <w:i/>
        </w:rPr>
        <w:t>New Zealand Health Research Strategy: Public discussion document</w:t>
      </w:r>
      <w:r w:rsidR="00442C1C">
        <w:t>. Wellington: Ministry of Health.</w:t>
      </w:r>
    </w:p>
    <w:p w:rsidR="00C86248" w:rsidRDefault="00C86248" w:rsidP="006A7220">
      <w:pPr>
        <w:pStyle w:val="Imprint"/>
      </w:pPr>
      <w:r>
        <w:t xml:space="preserve">Published in </w:t>
      </w:r>
      <w:r w:rsidR="001344B9">
        <w:t>May 2016 by the</w:t>
      </w:r>
      <w:r w:rsidR="005019AE">
        <w:br/>
      </w:r>
      <w:r>
        <w:t>Ministry of Health</w:t>
      </w:r>
      <w:r w:rsidR="001344B9">
        <w:t xml:space="preserve">, </w:t>
      </w:r>
      <w:r>
        <w:t>PO Box 5013, Wellington</w:t>
      </w:r>
      <w:r w:rsidR="00A80363">
        <w:t xml:space="preserve"> 614</w:t>
      </w:r>
      <w:r w:rsidR="006041F0">
        <w:t>0</w:t>
      </w:r>
    </w:p>
    <w:p w:rsidR="001344B9" w:rsidRDefault="00D863D0" w:rsidP="006A7220">
      <w:pPr>
        <w:pStyle w:val="Imprint"/>
      </w:pPr>
      <w:r>
        <w:t>ISBN</w:t>
      </w:r>
      <w:r w:rsidR="00442C1C">
        <w:t xml:space="preserve">: </w:t>
      </w:r>
      <w:r w:rsidR="001344B9">
        <w:t>978-0-947515-10-2</w:t>
      </w:r>
      <w:r w:rsidR="00E37B94">
        <w:t xml:space="preserve"> (online</w:t>
      </w:r>
      <w:proofErr w:type="gramStart"/>
      <w:r w:rsidR="00E37B94">
        <w:t>)</w:t>
      </w:r>
      <w:proofErr w:type="gramEnd"/>
      <w:r w:rsidR="00E37B94">
        <w:br/>
        <w:t xml:space="preserve">ISBN: </w:t>
      </w:r>
      <w:r w:rsidR="00E37B94" w:rsidRPr="00E37B94">
        <w:t>978-0-947515-11-9</w:t>
      </w:r>
      <w:r w:rsidR="00E37B94">
        <w:t xml:space="preserve"> (print)</w:t>
      </w:r>
    </w:p>
    <w:p w:rsidR="00082CD6" w:rsidRPr="009C0F2D" w:rsidRDefault="00082CD6" w:rsidP="006A7220">
      <w:pPr>
        <w:pStyle w:val="Imprint"/>
      </w:pPr>
      <w:r w:rsidRPr="009C0F2D">
        <w:t xml:space="preserve">HP </w:t>
      </w:r>
      <w:r w:rsidR="001344B9">
        <w:t>6409</w:t>
      </w:r>
    </w:p>
    <w:p w:rsidR="007E74F1" w:rsidRPr="007E74F1" w:rsidRDefault="007E74F1" w:rsidP="008C5F82"/>
    <w:p w:rsidR="00C86248" w:rsidRDefault="00C86248">
      <w:pPr>
        <w:jc w:val="center"/>
        <w:sectPr w:rsidR="00C86248" w:rsidSect="001C3697">
          <w:footerReference w:type="even" r:id="rId10"/>
          <w:footerReference w:type="default" r:id="rId11"/>
          <w:pgSz w:w="11907" w:h="16834" w:code="9"/>
          <w:pgMar w:top="11340" w:right="1418" w:bottom="1418" w:left="1418" w:header="0" w:footer="0" w:gutter="0"/>
          <w:cols w:space="720"/>
        </w:sectPr>
      </w:pPr>
    </w:p>
    <w:p w:rsidR="00C86248" w:rsidRDefault="00C03C0F" w:rsidP="00C03C0F">
      <w:pPr>
        <w:pStyle w:val="Heading"/>
      </w:pPr>
      <w:bookmarkStart w:id="0" w:name="_Toc405792991"/>
      <w:bookmarkStart w:id="1" w:name="_Toc405793224"/>
      <w:r>
        <w:lastRenderedPageBreak/>
        <w:t xml:space="preserve">Table of </w:t>
      </w:r>
      <w:r w:rsidR="00C86248">
        <w:t>Contents</w:t>
      </w:r>
      <w:bookmarkEnd w:id="0"/>
      <w:bookmarkEnd w:id="1"/>
    </w:p>
    <w:p w:rsidR="007050EC" w:rsidRDefault="00517F02">
      <w:pPr>
        <w:pStyle w:val="TOC1"/>
        <w:rPr>
          <w:rFonts w:asciiTheme="minorHAnsi" w:eastAsiaTheme="minorEastAsia" w:hAnsiTheme="minorHAnsi"/>
          <w:noProof/>
          <w:lang w:eastAsia="en-NZ"/>
        </w:rPr>
      </w:pPr>
      <w:r>
        <w:fldChar w:fldCharType="begin"/>
      </w:r>
      <w:r>
        <w:instrText xml:space="preserve"> TOC \t "Heading 1,1" </w:instrText>
      </w:r>
      <w:r>
        <w:fldChar w:fldCharType="separate"/>
      </w:r>
      <w:r w:rsidR="007050EC">
        <w:rPr>
          <w:noProof/>
        </w:rPr>
        <w:t>Ministers’ foreword</w:t>
      </w:r>
      <w:r w:rsidR="007050EC">
        <w:rPr>
          <w:noProof/>
        </w:rPr>
        <w:tab/>
      </w:r>
      <w:r w:rsidR="007050EC">
        <w:rPr>
          <w:noProof/>
        </w:rPr>
        <w:fldChar w:fldCharType="begin"/>
      </w:r>
      <w:r w:rsidR="007050EC">
        <w:rPr>
          <w:noProof/>
        </w:rPr>
        <w:instrText xml:space="preserve"> PAGEREF _Toc450037042 \h </w:instrText>
      </w:r>
      <w:r w:rsidR="007050EC">
        <w:rPr>
          <w:noProof/>
        </w:rPr>
      </w:r>
      <w:r w:rsidR="007050EC">
        <w:rPr>
          <w:noProof/>
        </w:rPr>
        <w:fldChar w:fldCharType="separate"/>
      </w:r>
      <w:r w:rsidR="0035464D">
        <w:rPr>
          <w:noProof/>
        </w:rPr>
        <w:t>1</w:t>
      </w:r>
      <w:r w:rsidR="007050EC">
        <w:rPr>
          <w:noProof/>
        </w:rPr>
        <w:fldChar w:fldCharType="end"/>
      </w:r>
    </w:p>
    <w:p w:rsidR="007050EC" w:rsidRDefault="007050EC">
      <w:pPr>
        <w:pStyle w:val="TOC1"/>
        <w:tabs>
          <w:tab w:val="left" w:pos="440"/>
        </w:tabs>
        <w:rPr>
          <w:rFonts w:asciiTheme="minorHAnsi" w:eastAsiaTheme="minorEastAsia" w:hAnsiTheme="minorHAnsi"/>
          <w:noProof/>
          <w:lang w:eastAsia="en-NZ"/>
        </w:rPr>
      </w:pPr>
      <w:r>
        <w:rPr>
          <w:noProof/>
        </w:rPr>
        <w:t>1</w:t>
      </w:r>
      <w:r>
        <w:rPr>
          <w:rFonts w:asciiTheme="minorHAnsi" w:eastAsiaTheme="minorEastAsia" w:hAnsiTheme="minorHAnsi"/>
          <w:noProof/>
          <w:lang w:eastAsia="en-NZ"/>
        </w:rPr>
        <w:tab/>
      </w:r>
      <w:r>
        <w:rPr>
          <w:noProof/>
        </w:rPr>
        <w:t>Why does New Zealand need a health research strategy?</w:t>
      </w:r>
      <w:r>
        <w:rPr>
          <w:noProof/>
        </w:rPr>
        <w:tab/>
      </w:r>
      <w:r>
        <w:rPr>
          <w:noProof/>
        </w:rPr>
        <w:fldChar w:fldCharType="begin"/>
      </w:r>
      <w:r>
        <w:rPr>
          <w:noProof/>
        </w:rPr>
        <w:instrText xml:space="preserve"> PAGEREF _Toc450037043 \h </w:instrText>
      </w:r>
      <w:r>
        <w:rPr>
          <w:noProof/>
        </w:rPr>
      </w:r>
      <w:r>
        <w:rPr>
          <w:noProof/>
        </w:rPr>
        <w:fldChar w:fldCharType="separate"/>
      </w:r>
      <w:r w:rsidR="0035464D">
        <w:rPr>
          <w:noProof/>
        </w:rPr>
        <w:t>2</w:t>
      </w:r>
      <w:r>
        <w:rPr>
          <w:noProof/>
        </w:rPr>
        <w:fldChar w:fldCharType="end"/>
      </w:r>
    </w:p>
    <w:p w:rsidR="007050EC" w:rsidRDefault="007050EC">
      <w:pPr>
        <w:pStyle w:val="TOC1"/>
        <w:tabs>
          <w:tab w:val="left" w:pos="440"/>
        </w:tabs>
        <w:rPr>
          <w:rFonts w:asciiTheme="minorHAnsi" w:eastAsiaTheme="minorEastAsia" w:hAnsiTheme="minorHAnsi"/>
          <w:noProof/>
          <w:lang w:eastAsia="en-NZ"/>
        </w:rPr>
      </w:pPr>
      <w:r>
        <w:rPr>
          <w:noProof/>
        </w:rPr>
        <w:t>2</w:t>
      </w:r>
      <w:r>
        <w:rPr>
          <w:rFonts w:asciiTheme="minorHAnsi" w:eastAsiaTheme="minorEastAsia" w:hAnsiTheme="minorHAnsi"/>
          <w:noProof/>
          <w:lang w:eastAsia="en-NZ"/>
        </w:rPr>
        <w:tab/>
      </w:r>
      <w:r>
        <w:rPr>
          <w:noProof/>
        </w:rPr>
        <w:t>You can help shape the strategy</w:t>
      </w:r>
      <w:r>
        <w:rPr>
          <w:noProof/>
        </w:rPr>
        <w:tab/>
      </w:r>
      <w:r>
        <w:rPr>
          <w:noProof/>
        </w:rPr>
        <w:fldChar w:fldCharType="begin"/>
      </w:r>
      <w:r>
        <w:rPr>
          <w:noProof/>
        </w:rPr>
        <w:instrText xml:space="preserve"> PAGEREF _Toc450037044 \h </w:instrText>
      </w:r>
      <w:r>
        <w:rPr>
          <w:noProof/>
        </w:rPr>
      </w:r>
      <w:r>
        <w:rPr>
          <w:noProof/>
        </w:rPr>
        <w:fldChar w:fldCharType="separate"/>
      </w:r>
      <w:r w:rsidR="0035464D">
        <w:rPr>
          <w:noProof/>
        </w:rPr>
        <w:t>5</w:t>
      </w:r>
      <w:r>
        <w:rPr>
          <w:noProof/>
        </w:rPr>
        <w:fldChar w:fldCharType="end"/>
      </w:r>
    </w:p>
    <w:p w:rsidR="007050EC" w:rsidRDefault="007050EC">
      <w:pPr>
        <w:pStyle w:val="TOC1"/>
        <w:tabs>
          <w:tab w:val="left" w:pos="440"/>
        </w:tabs>
        <w:rPr>
          <w:rFonts w:asciiTheme="minorHAnsi" w:eastAsiaTheme="minorEastAsia" w:hAnsiTheme="minorHAnsi"/>
          <w:noProof/>
          <w:lang w:eastAsia="en-NZ"/>
        </w:rPr>
      </w:pPr>
      <w:r>
        <w:rPr>
          <w:noProof/>
        </w:rPr>
        <w:t>3</w:t>
      </w:r>
      <w:r>
        <w:rPr>
          <w:rFonts w:asciiTheme="minorHAnsi" w:eastAsiaTheme="minorEastAsia" w:hAnsiTheme="minorHAnsi"/>
          <w:noProof/>
          <w:lang w:eastAsia="en-NZ"/>
        </w:rPr>
        <w:tab/>
      </w:r>
      <w:r>
        <w:rPr>
          <w:noProof/>
        </w:rPr>
        <w:t>Setting the vision and direction for health research in New Zealand</w:t>
      </w:r>
      <w:r>
        <w:rPr>
          <w:noProof/>
        </w:rPr>
        <w:tab/>
      </w:r>
      <w:r>
        <w:rPr>
          <w:noProof/>
        </w:rPr>
        <w:fldChar w:fldCharType="begin"/>
      </w:r>
      <w:r>
        <w:rPr>
          <w:noProof/>
        </w:rPr>
        <w:instrText xml:space="preserve"> PAGEREF _Toc450037045 \h </w:instrText>
      </w:r>
      <w:r>
        <w:rPr>
          <w:noProof/>
        </w:rPr>
      </w:r>
      <w:r>
        <w:rPr>
          <w:noProof/>
        </w:rPr>
        <w:fldChar w:fldCharType="separate"/>
      </w:r>
      <w:r w:rsidR="0035464D">
        <w:rPr>
          <w:noProof/>
        </w:rPr>
        <w:t>7</w:t>
      </w:r>
      <w:r>
        <w:rPr>
          <w:noProof/>
        </w:rPr>
        <w:fldChar w:fldCharType="end"/>
      </w:r>
    </w:p>
    <w:p w:rsidR="007050EC" w:rsidRDefault="007050EC">
      <w:pPr>
        <w:pStyle w:val="TOC1"/>
        <w:tabs>
          <w:tab w:val="left" w:pos="440"/>
        </w:tabs>
        <w:rPr>
          <w:rFonts w:asciiTheme="minorHAnsi" w:eastAsiaTheme="minorEastAsia" w:hAnsiTheme="minorHAnsi"/>
          <w:noProof/>
          <w:lang w:eastAsia="en-NZ"/>
        </w:rPr>
      </w:pPr>
      <w:r>
        <w:rPr>
          <w:noProof/>
        </w:rPr>
        <w:t>4</w:t>
      </w:r>
      <w:r>
        <w:rPr>
          <w:rFonts w:asciiTheme="minorHAnsi" w:eastAsiaTheme="minorEastAsia" w:hAnsiTheme="minorHAnsi"/>
          <w:noProof/>
          <w:lang w:eastAsia="en-NZ"/>
        </w:rPr>
        <w:tab/>
      </w:r>
      <w:r>
        <w:rPr>
          <w:noProof/>
        </w:rPr>
        <w:t>Strategic priorities</w:t>
      </w:r>
      <w:r>
        <w:rPr>
          <w:noProof/>
        </w:rPr>
        <w:tab/>
      </w:r>
      <w:r>
        <w:rPr>
          <w:noProof/>
        </w:rPr>
        <w:fldChar w:fldCharType="begin"/>
      </w:r>
      <w:r>
        <w:rPr>
          <w:noProof/>
        </w:rPr>
        <w:instrText xml:space="preserve"> PAGEREF _Toc450037046 \h </w:instrText>
      </w:r>
      <w:r>
        <w:rPr>
          <w:noProof/>
        </w:rPr>
      </w:r>
      <w:r>
        <w:rPr>
          <w:noProof/>
        </w:rPr>
        <w:fldChar w:fldCharType="separate"/>
      </w:r>
      <w:r w:rsidR="0035464D">
        <w:rPr>
          <w:noProof/>
        </w:rPr>
        <w:t>9</w:t>
      </w:r>
      <w:r>
        <w:rPr>
          <w:noProof/>
        </w:rPr>
        <w:fldChar w:fldCharType="end"/>
      </w:r>
    </w:p>
    <w:p w:rsidR="007050EC" w:rsidRDefault="007050EC">
      <w:pPr>
        <w:pStyle w:val="TOC1"/>
        <w:tabs>
          <w:tab w:val="left" w:pos="440"/>
        </w:tabs>
        <w:rPr>
          <w:rFonts w:asciiTheme="minorHAnsi" w:eastAsiaTheme="minorEastAsia" w:hAnsiTheme="minorHAnsi"/>
          <w:noProof/>
          <w:lang w:eastAsia="en-NZ"/>
        </w:rPr>
      </w:pPr>
      <w:r>
        <w:rPr>
          <w:noProof/>
        </w:rPr>
        <w:t>5</w:t>
      </w:r>
      <w:r>
        <w:rPr>
          <w:rFonts w:asciiTheme="minorHAnsi" w:eastAsiaTheme="minorEastAsia" w:hAnsiTheme="minorHAnsi"/>
          <w:noProof/>
          <w:lang w:eastAsia="en-NZ"/>
        </w:rPr>
        <w:tab/>
      </w:r>
      <w:r>
        <w:rPr>
          <w:noProof/>
        </w:rPr>
        <w:t>More about health research</w:t>
      </w:r>
      <w:r>
        <w:rPr>
          <w:noProof/>
        </w:rPr>
        <w:tab/>
      </w:r>
      <w:r>
        <w:rPr>
          <w:noProof/>
        </w:rPr>
        <w:fldChar w:fldCharType="begin"/>
      </w:r>
      <w:r>
        <w:rPr>
          <w:noProof/>
        </w:rPr>
        <w:instrText xml:space="preserve"> PAGEREF _Toc450037047 \h </w:instrText>
      </w:r>
      <w:r>
        <w:rPr>
          <w:noProof/>
        </w:rPr>
      </w:r>
      <w:r>
        <w:rPr>
          <w:noProof/>
        </w:rPr>
        <w:fldChar w:fldCharType="separate"/>
      </w:r>
      <w:r w:rsidR="0035464D">
        <w:rPr>
          <w:noProof/>
        </w:rPr>
        <w:t>15</w:t>
      </w:r>
      <w:r>
        <w:rPr>
          <w:noProof/>
        </w:rPr>
        <w:fldChar w:fldCharType="end"/>
      </w:r>
    </w:p>
    <w:p w:rsidR="007050EC" w:rsidRDefault="007050EC">
      <w:pPr>
        <w:pStyle w:val="TOC1"/>
        <w:rPr>
          <w:rFonts w:asciiTheme="minorHAnsi" w:eastAsiaTheme="minorEastAsia" w:hAnsiTheme="minorHAnsi"/>
          <w:noProof/>
          <w:lang w:eastAsia="en-NZ"/>
        </w:rPr>
      </w:pPr>
      <w:r>
        <w:rPr>
          <w:noProof/>
        </w:rPr>
        <w:t>Appendix 1: List of consultation questions</w:t>
      </w:r>
      <w:r>
        <w:rPr>
          <w:noProof/>
        </w:rPr>
        <w:tab/>
      </w:r>
      <w:r>
        <w:rPr>
          <w:noProof/>
        </w:rPr>
        <w:fldChar w:fldCharType="begin"/>
      </w:r>
      <w:r>
        <w:rPr>
          <w:noProof/>
        </w:rPr>
        <w:instrText xml:space="preserve"> PAGEREF _Toc450037048 \h </w:instrText>
      </w:r>
      <w:r>
        <w:rPr>
          <w:noProof/>
        </w:rPr>
      </w:r>
      <w:r>
        <w:rPr>
          <w:noProof/>
        </w:rPr>
        <w:fldChar w:fldCharType="separate"/>
      </w:r>
      <w:r w:rsidR="0035464D">
        <w:rPr>
          <w:noProof/>
        </w:rPr>
        <w:t>18</w:t>
      </w:r>
      <w:r>
        <w:rPr>
          <w:noProof/>
        </w:rPr>
        <w:fldChar w:fldCharType="end"/>
      </w:r>
    </w:p>
    <w:p w:rsidR="00C86248" w:rsidRDefault="00517F02">
      <w:r>
        <w:fldChar w:fldCharType="end"/>
      </w:r>
    </w:p>
    <w:p w:rsidR="00C86248" w:rsidRDefault="00C86248" w:rsidP="0086388B"/>
    <w:p w:rsidR="00C86248" w:rsidRDefault="00C86248">
      <w:pPr>
        <w:sectPr w:rsidR="00C86248" w:rsidSect="00517F02">
          <w:headerReference w:type="even" r:id="rId12"/>
          <w:headerReference w:type="default" r:id="rId13"/>
          <w:footerReference w:type="even" r:id="rId14"/>
          <w:footerReference w:type="default" r:id="rId15"/>
          <w:pgSz w:w="11907" w:h="16840" w:code="9"/>
          <w:pgMar w:top="1418" w:right="1418" w:bottom="1418" w:left="1418" w:header="284" w:footer="567" w:gutter="0"/>
          <w:pgNumType w:fmt="lowerRoman"/>
          <w:cols w:space="720"/>
        </w:sectPr>
      </w:pPr>
    </w:p>
    <w:p w:rsidR="008C2973" w:rsidRDefault="001344B9" w:rsidP="00AD7DF3">
      <w:pPr>
        <w:pStyle w:val="Heading1"/>
        <w:numPr>
          <w:ilvl w:val="0"/>
          <w:numId w:val="0"/>
        </w:numPr>
        <w:spacing w:after="240"/>
      </w:pPr>
      <w:bookmarkStart w:id="2" w:name="_Toc450037042"/>
      <w:r>
        <w:lastRenderedPageBreak/>
        <w:t>Ministers’ foreword</w:t>
      </w:r>
      <w:bookmarkEnd w:id="2"/>
    </w:p>
    <w:p w:rsidR="001344B9" w:rsidRPr="00050283" w:rsidRDefault="001344B9" w:rsidP="0058446A">
      <w:pPr>
        <w:spacing w:before="200"/>
      </w:pPr>
      <w:r w:rsidRPr="00050283">
        <w:t>This discussion document seeks your views on informing New Zealand</w:t>
      </w:r>
      <w:r>
        <w:t>’</w:t>
      </w:r>
      <w:r w:rsidRPr="00050283">
        <w:t>s first health research strategy.</w:t>
      </w:r>
      <w:r>
        <w:t xml:space="preserve"> </w:t>
      </w:r>
      <w:r w:rsidRPr="00050283">
        <w:t>The strategy will set out a vision, mission, guiding principles and strategic priorities for health research for the next 10 years. It will also contain specific actions to ensure we collectively move towards achieving our vision.</w:t>
      </w:r>
      <w:r w:rsidR="00CF1B44" w:rsidRPr="00CF1B44">
        <w:t xml:space="preserve"> </w:t>
      </w:r>
      <w:r w:rsidR="00CF1B44" w:rsidRPr="00050283">
        <w:t>Your feedback will help inform and guide the development of the health research strategy.</w:t>
      </w:r>
    </w:p>
    <w:p w:rsidR="001344B9" w:rsidRPr="00050283" w:rsidRDefault="001344B9" w:rsidP="0058446A">
      <w:pPr>
        <w:spacing w:before="200"/>
      </w:pPr>
      <w:r w:rsidRPr="00050283">
        <w:t>New Zealand</w:t>
      </w:r>
      <w:r>
        <w:t>’</w:t>
      </w:r>
      <w:r w:rsidRPr="00050283">
        <w:t>s first health research strategy aims to generate more value from our investment in health research over the next 10 years. The recent review of the Health Research Council of New Zealand noted the lack of strategic direction for the health research and innovation system in New Zealand and the potential to generate more economic and health benefits for New Zealand. It also found that connections and coordination between the relevant government agencies, health researchers, end users and the commercial sector could be strengthened.</w:t>
      </w:r>
    </w:p>
    <w:p w:rsidR="001344B9" w:rsidRPr="00050283" w:rsidRDefault="001344B9" w:rsidP="0058446A">
      <w:pPr>
        <w:spacing w:before="200"/>
      </w:pPr>
      <w:r w:rsidRPr="00050283">
        <w:t xml:space="preserve">The health research strategy will seek to build excellence through a more cohesive and connected system. It will provide a clear strategic direction for research, including supporting progress towards the goals of the three health and wellbeing National Science Challenges: </w:t>
      </w:r>
      <w:r w:rsidRPr="00050283">
        <w:rPr>
          <w:i/>
        </w:rPr>
        <w:t xml:space="preserve">A Better Start, Ageing Well </w:t>
      </w:r>
      <w:r w:rsidRPr="00050283">
        <w:t xml:space="preserve">and </w:t>
      </w:r>
      <w:r w:rsidRPr="00050283">
        <w:rPr>
          <w:i/>
        </w:rPr>
        <w:t>Healthier Lives</w:t>
      </w:r>
      <w:r w:rsidRPr="00050283">
        <w:t>. The strategy will enhance the uptake of research results and maximise the economic and scientific benefits from our internationally recognised strengths in health research. It will also improve New Zealand</w:t>
      </w:r>
      <w:r>
        <w:t>’</w:t>
      </w:r>
      <w:r w:rsidRPr="00050283">
        <w:t>s ability to attract and retain health researchers, including clinicians with an interest in research.</w:t>
      </w:r>
    </w:p>
    <w:p w:rsidR="001344B9" w:rsidRPr="00050283" w:rsidRDefault="001344B9" w:rsidP="0058446A">
      <w:pPr>
        <w:spacing w:before="200"/>
      </w:pPr>
      <w:r w:rsidRPr="00050283">
        <w:t>Health research is an international endeavour, supported by governments, industry and philanthropic organisations around the world. Over many decades New Zealand researchers have made important contributions to this global effort. Importantly, our health research has also generated impacts of particular relevance to the health of New Zealanders. At the same time, health research has contributed to New Zealand</w:t>
      </w:r>
      <w:r>
        <w:t>’</w:t>
      </w:r>
      <w:r w:rsidRPr="00050283">
        <w:t xml:space="preserve">s fast-growing medical technology and biotechnology sectors, generated </w:t>
      </w:r>
      <w:proofErr w:type="spellStart"/>
      <w:r w:rsidRPr="00050283">
        <w:t>spillovers</w:t>
      </w:r>
      <w:proofErr w:type="spellEnd"/>
      <w:r w:rsidRPr="00050283">
        <w:t xml:space="preserve"> to our biological economy and enhanced our international profile through demonstrating scientific excellence.</w:t>
      </w:r>
    </w:p>
    <w:p w:rsidR="001344B9" w:rsidRPr="00050283" w:rsidRDefault="001344B9" w:rsidP="0058446A">
      <w:pPr>
        <w:spacing w:before="200"/>
      </w:pPr>
      <w:r w:rsidRPr="00050283">
        <w:t>As the Ministers responsible for health, science and innovation, we aim to support strong partnerships between health care providers, research organisations and industry to build an integrated, dynamic and adaptive health research and innovation system. The current landscape offers good opportunities to do this – but there are also potential barriers and missed opportunities. Objectives, priorities and mandates need to be clear to facilitate effective collaboration and maximise value.</w:t>
      </w:r>
    </w:p>
    <w:p w:rsidR="001344B9" w:rsidRPr="00050283" w:rsidRDefault="001344B9" w:rsidP="0058446A">
      <w:pPr>
        <w:spacing w:before="200"/>
      </w:pPr>
      <w:r w:rsidRPr="00050283">
        <w:t xml:space="preserve">The Government has an important leadership role in the health research and innovation system through setting </w:t>
      </w:r>
      <w:r>
        <w:t>the</w:t>
      </w:r>
      <w:r w:rsidRPr="00050283">
        <w:t xml:space="preserve"> overall direction. Given that much health research is for the public good, the public sector has an enduring role in funding and performing health research. The National Statement of Science Investment signalled that the </w:t>
      </w:r>
      <w:r>
        <w:t>G</w:t>
      </w:r>
      <w:r w:rsidRPr="00050283">
        <w:t>overnment will seek to increase investments in health research. We will invest in both short- and long-term research endeavours across the many fields of health research. A high-performing research and innovation system in New Zealand will be critical to achieving the outcomes sought in the New Zealand Health Strategy.</w:t>
      </w:r>
    </w:p>
    <w:p w:rsidR="001344B9" w:rsidRDefault="001344B9" w:rsidP="0058446A">
      <w:pPr>
        <w:spacing w:before="200"/>
      </w:pPr>
    </w:p>
    <w:tbl>
      <w:tblPr>
        <w:tblStyle w:val="TableGrid"/>
        <w:tblW w:w="0" w:type="auto"/>
        <w:tblLook w:val="04A0" w:firstRow="1" w:lastRow="0" w:firstColumn="1" w:lastColumn="0" w:noHBand="0" w:noVBand="1"/>
      </w:tblPr>
      <w:tblGrid>
        <w:gridCol w:w="5495"/>
        <w:gridCol w:w="3792"/>
      </w:tblGrid>
      <w:tr w:rsidR="00976CD0" w:rsidRPr="00976CD0" w:rsidTr="00CF1B44">
        <w:tc>
          <w:tcPr>
            <w:tcW w:w="5495" w:type="dxa"/>
            <w:tcBorders>
              <w:top w:val="nil"/>
              <w:left w:val="nil"/>
              <w:bottom w:val="nil"/>
              <w:right w:val="nil"/>
            </w:tcBorders>
            <w:vAlign w:val="center"/>
          </w:tcPr>
          <w:p w:rsidR="00976CD0" w:rsidRPr="00976CD0" w:rsidRDefault="00976CD0" w:rsidP="00CF1B44">
            <w:pPr>
              <w:spacing w:before="0" w:after="200" w:line="276" w:lineRule="auto"/>
            </w:pPr>
            <w:proofErr w:type="spellStart"/>
            <w:r w:rsidRPr="00976CD0">
              <w:t>Hon</w:t>
            </w:r>
            <w:proofErr w:type="spellEnd"/>
            <w:r w:rsidRPr="00976CD0">
              <w:t xml:space="preserve"> Steven Joyce</w:t>
            </w:r>
            <w:r w:rsidRPr="00976CD0">
              <w:br/>
              <w:t>Minister of Science and Innovation</w:t>
            </w:r>
          </w:p>
        </w:tc>
        <w:tc>
          <w:tcPr>
            <w:tcW w:w="3792" w:type="dxa"/>
            <w:tcBorders>
              <w:top w:val="nil"/>
              <w:left w:val="nil"/>
              <w:bottom w:val="nil"/>
              <w:right w:val="nil"/>
            </w:tcBorders>
            <w:vAlign w:val="center"/>
          </w:tcPr>
          <w:p w:rsidR="00976CD0" w:rsidRPr="00976CD0" w:rsidRDefault="00976CD0" w:rsidP="00976CD0">
            <w:pPr>
              <w:spacing w:before="0" w:after="200" w:line="276" w:lineRule="auto"/>
            </w:pPr>
            <w:proofErr w:type="spellStart"/>
            <w:r>
              <w:t>Hon</w:t>
            </w:r>
            <w:proofErr w:type="spellEnd"/>
            <w:r>
              <w:t xml:space="preserve"> Dr Jonathan Coleman</w:t>
            </w:r>
            <w:r>
              <w:br/>
              <w:t>Minister of Health</w:t>
            </w:r>
          </w:p>
        </w:tc>
      </w:tr>
    </w:tbl>
    <w:p w:rsidR="001344B9" w:rsidRPr="00050283" w:rsidRDefault="001344B9" w:rsidP="006A7FFA">
      <w:pPr>
        <w:pStyle w:val="Heading1"/>
      </w:pPr>
      <w:bookmarkStart w:id="3" w:name="_Toc449626663"/>
      <w:bookmarkStart w:id="4" w:name="_Toc450037043"/>
      <w:r w:rsidRPr="00050283">
        <w:lastRenderedPageBreak/>
        <w:t xml:space="preserve">Why does </w:t>
      </w:r>
      <w:r w:rsidRPr="006A7FFA">
        <w:t>New</w:t>
      </w:r>
      <w:r w:rsidRPr="00050283">
        <w:t xml:space="preserve"> Zealand need a health research strategy?</w:t>
      </w:r>
      <w:bookmarkEnd w:id="3"/>
      <w:bookmarkEnd w:id="4"/>
    </w:p>
    <w:p w:rsidR="001344B9" w:rsidRPr="00050283" w:rsidRDefault="001344B9" w:rsidP="00A65003">
      <w:r w:rsidRPr="00050283">
        <w:t>Health research is a global endeavour supported by governments, industry and philanthropic organisations around the world</w:t>
      </w:r>
      <w:r>
        <w:t>,</w:t>
      </w:r>
      <w:r w:rsidRPr="00050283">
        <w:t xml:space="preserve"> and New Zealand researchers are well connected to this international community. We benefit from being an active player in this global pursuit as it helps us address the health needs of our own populations and </w:t>
      </w:r>
      <w:r>
        <w:t>puts us in a better position</w:t>
      </w:r>
      <w:r w:rsidRPr="00050283">
        <w:t xml:space="preserve"> to adopt and contribute to the latest knowledge and innovations from offshore. At the same time, we have to ensure that research contributes to our understanding of how to address New Zealand-specific health issues, including </w:t>
      </w:r>
      <w:r>
        <w:t xml:space="preserve">how to </w:t>
      </w:r>
      <w:r w:rsidRPr="00050283">
        <w:t>achiev</w:t>
      </w:r>
      <w:r>
        <w:t>e</w:t>
      </w:r>
      <w:r w:rsidRPr="00050283">
        <w:t xml:space="preserve"> equity of health outcomes and meet the needs of our diverse and changing population.</w:t>
      </w:r>
    </w:p>
    <w:p w:rsidR="001344B9" w:rsidRPr="00050283" w:rsidRDefault="001344B9" w:rsidP="00A65003">
      <w:r w:rsidRPr="00050283">
        <w:t>Health research includes biomedical sciences, public health, clinical and health services research. Māori and Pacific health research are particularly important components of health research in New Zealand.</w:t>
      </w:r>
    </w:p>
    <w:p w:rsidR="001344B9" w:rsidRPr="00050283" w:rsidRDefault="001344B9" w:rsidP="00A65003">
      <w:r w:rsidRPr="00050283">
        <w:t>Health research contributes to improvements in the health, social and economic wellbeing of New Zealanders and is a large and high-performing part of New Zealand</w:t>
      </w:r>
      <w:r>
        <w:t>’</w:t>
      </w:r>
      <w:r w:rsidRPr="00050283">
        <w:t>s science system. Health research helps generate knowledge and evidence that lead to changes in clinical practice, new products and technologies, public health interventions, improved ways of delivering health services</w:t>
      </w:r>
      <w:r>
        <w:t>,</w:t>
      </w:r>
      <w:r w:rsidRPr="00050283">
        <w:t xml:space="preserve"> and changes in health, disability and social policy. Health research also results in broader benefits for the biological economy</w:t>
      </w:r>
      <w:r>
        <w:t xml:space="preserve"> and</w:t>
      </w:r>
      <w:r w:rsidRPr="00050283">
        <w:t xml:space="preserve"> manufacturing and food industries, and generates high-tech medical technology and biotechnology firms.</w:t>
      </w:r>
    </w:p>
    <w:p w:rsidR="001344B9" w:rsidRPr="00050283" w:rsidRDefault="001344B9" w:rsidP="00A65003">
      <w:r w:rsidRPr="00050283">
        <w:t xml:space="preserve">The vision of the New Zealand Health Strategy </w:t>
      </w:r>
      <w:r>
        <w:t>Future Direction</w:t>
      </w:r>
      <w:r w:rsidRPr="00050283">
        <w:t xml:space="preserve"> is that </w:t>
      </w:r>
      <w:r>
        <w:t>“</w:t>
      </w:r>
      <w:r w:rsidRPr="00050283">
        <w:rPr>
          <w:i/>
        </w:rPr>
        <w:t>All New Zealanders</w:t>
      </w:r>
      <w:r w:rsidRPr="00933E61">
        <w:rPr>
          <w:rStyle w:val="FootnoteReference"/>
        </w:rPr>
        <w:footnoteReference w:id="1"/>
      </w:r>
      <w:r w:rsidRPr="00050283">
        <w:rPr>
          <w:i/>
        </w:rPr>
        <w:t xml:space="preserve"> live well, stay well, get well</w:t>
      </w:r>
      <w:r>
        <w:t>”</w:t>
      </w:r>
      <w:r w:rsidRPr="00050283">
        <w:t xml:space="preserve">. Health research can make important contributions to delivering on the five strategic themes of the health strategy: people-powered, closer to home, value and high performance, one team and smart system. The National Statement of Science Investment </w:t>
      </w:r>
      <w:r>
        <w:t>(</w:t>
      </w:r>
      <w:r w:rsidRPr="00050283">
        <w:t>NSSI</w:t>
      </w:r>
      <w:r>
        <w:t>)</w:t>
      </w:r>
      <w:r w:rsidRPr="00050283">
        <w:t xml:space="preserve"> recognises that New Zealand has significant strengths in health research and that the </w:t>
      </w:r>
      <w:r>
        <w:t>G</w:t>
      </w:r>
      <w:r w:rsidRPr="00050283">
        <w:t>overnment will seek to increase funding to the sector over time. Investments will support short- and long-term research endeavours across the many fields of health research.</w:t>
      </w:r>
    </w:p>
    <w:p w:rsidR="001344B9" w:rsidRPr="00050283" w:rsidRDefault="001344B9" w:rsidP="00A65003">
      <w:r w:rsidRPr="00050283">
        <w:t>New Zealand</w:t>
      </w:r>
      <w:r>
        <w:t>’</w:t>
      </w:r>
      <w:r w:rsidRPr="00050283">
        <w:t>s system for health research and innovation is complex</w:t>
      </w:r>
      <w:r>
        <w:t>,</w:t>
      </w:r>
      <w:r w:rsidRPr="00050283">
        <w:t xml:space="preserve"> with multiple contributors and outcomes. </w:t>
      </w:r>
      <w:r>
        <w:t xml:space="preserve">The figure </w:t>
      </w:r>
      <w:r w:rsidRPr="00050283">
        <w:t xml:space="preserve">on the following page </w:t>
      </w:r>
      <w:r>
        <w:t>is</w:t>
      </w:r>
      <w:r w:rsidRPr="00050283">
        <w:t xml:space="preserve"> a visual representation of the system. As with any schematic, the diagram is a simplified version of reality and only show</w:t>
      </w:r>
      <w:r>
        <w:t>s</w:t>
      </w:r>
      <w:r w:rsidRPr="00050283">
        <w:t xml:space="preserve"> the main contributors and their predominant place in the system. The interconnections of health, economic and social outcomes and the multiple roles and relationships of institutions are difficult to capture fully in a two-dimensional diagram.</w:t>
      </w:r>
    </w:p>
    <w:p w:rsidR="001344B9" w:rsidRPr="00050283" w:rsidRDefault="001344B9" w:rsidP="00A65003">
      <w:r w:rsidRPr="00050283">
        <w:t>The recently completed review of the Health Research Council of New Zealand (HRC) found that stronger connections and coordination across contributors in the health sector and the science and innovation system would enhance the impact of the government</w:t>
      </w:r>
      <w:r>
        <w:t>’</w:t>
      </w:r>
      <w:r w:rsidRPr="00050283">
        <w:t xml:space="preserve">s investment in health research. The HRC review also highlighted </w:t>
      </w:r>
      <w:r>
        <w:t>the need to further</w:t>
      </w:r>
      <w:r w:rsidRPr="00050283">
        <w:t xml:space="preserve"> consider the role of the </w:t>
      </w:r>
      <w:r>
        <w:t>district health boards</w:t>
      </w:r>
      <w:r w:rsidRPr="00050283">
        <w:t xml:space="preserve"> in performing health research; how to improve the uptake of innovative solutions across the health sector; and the appropriate balance of investment across the various fields of health research.</w:t>
      </w:r>
    </w:p>
    <w:p w:rsidR="001344B9" w:rsidRPr="00050283" w:rsidRDefault="00FF7B4A" w:rsidP="00FF7B4A">
      <w:r w:rsidRPr="00FF7B4A">
        <w:rPr>
          <w:noProof/>
          <w:lang w:eastAsia="en-NZ"/>
        </w:rPr>
        <w:lastRenderedPageBreak/>
        <w:drawing>
          <wp:inline distT="0" distB="0" distL="0" distR="0" wp14:anchorId="5164F081" wp14:editId="286B77E1">
            <wp:extent cx="8368780" cy="5741913"/>
            <wp:effectExtent l="0" t="952" r="0" b="0"/>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8367858" cy="5741280"/>
                    </a:xfrm>
                    <a:prstGeom prst="rect">
                      <a:avLst/>
                    </a:prstGeom>
                    <a:noFill/>
                    <a:ln>
                      <a:noFill/>
                    </a:ln>
                    <a:effectLst/>
                    <a:extLst/>
                  </pic:spPr>
                </pic:pic>
              </a:graphicData>
            </a:graphic>
          </wp:inline>
        </w:drawing>
      </w:r>
    </w:p>
    <w:p w:rsidR="001344B9" w:rsidRPr="00050283" w:rsidRDefault="001344B9" w:rsidP="00FF7B4A">
      <w:r w:rsidRPr="00050283">
        <w:lastRenderedPageBreak/>
        <w:t xml:space="preserve">The development of a health research strategy is an opportunity to identify where New Zealand can add </w:t>
      </w:r>
      <w:r>
        <w:t xml:space="preserve">greatest </w:t>
      </w:r>
      <w:r w:rsidRPr="00050283">
        <w:t xml:space="preserve">value to the domestic and international body of health research by clearly identifying our unique knowledge needs, filling local and international knowledge gaps, building on our internationally recognised research strengths and responding to new and emerging opportunities. This work also enables us to take stock of our health research workforce, including clinicians with an interest in research, and identify areas </w:t>
      </w:r>
      <w:r>
        <w:t>that</w:t>
      </w:r>
      <w:r w:rsidRPr="00050283">
        <w:t xml:space="preserve"> may need strengthening to ensure researchers can meet our current and future needs.</w:t>
      </w:r>
    </w:p>
    <w:p w:rsidR="001344B9" w:rsidRPr="00FF7B4A" w:rsidRDefault="001344B9" w:rsidP="00FF7B4A">
      <w:r w:rsidRPr="00050283">
        <w:t>The health research strategy will support New Zealand</w:t>
      </w:r>
      <w:r>
        <w:t>’</w:t>
      </w:r>
      <w:r w:rsidRPr="00050283">
        <w:t>s health and disability system</w:t>
      </w:r>
      <w:r w:rsidRPr="00FF7B4A">
        <w:rPr>
          <w:rStyle w:val="FootnoteReference"/>
        </w:rPr>
        <w:footnoteReference w:id="2"/>
      </w:r>
      <w:r w:rsidRPr="00050283">
        <w:t xml:space="preserve"> and align with the NSSI, the New Zealand Health Strategy </w:t>
      </w:r>
      <w:r>
        <w:t>Future Direction</w:t>
      </w:r>
      <w:r w:rsidRPr="00050283">
        <w:t>, the National Science Challenges, other health strategies, the New Zealand Disability Strategy and government priorities.</w:t>
      </w:r>
    </w:p>
    <w:p w:rsidR="001344B9" w:rsidRPr="00050283" w:rsidRDefault="001344B9" w:rsidP="00FF7B4A">
      <w:pPr>
        <w:pStyle w:val="Bullet"/>
      </w:pPr>
      <w:r w:rsidRPr="00FF7B4A">
        <w:rPr>
          <w:b/>
        </w:rPr>
        <w:t>The National Statement of Science Investment</w:t>
      </w:r>
      <w:r w:rsidRPr="00FF7B4A">
        <w:t xml:space="preserve"> sets</w:t>
      </w:r>
      <w:r w:rsidRPr="00050283">
        <w:t xml:space="preserve"> out the vision for New Zealand</w:t>
      </w:r>
      <w:r>
        <w:t>’</w:t>
      </w:r>
      <w:r w:rsidRPr="00050283">
        <w:t xml:space="preserve">s science system. It recognises that New Zealand has significant strengths in health research and that the </w:t>
      </w:r>
      <w:r>
        <w:t>G</w:t>
      </w:r>
      <w:r w:rsidRPr="00050283">
        <w:t>overnment will seek to increase funding to the sector over time.</w:t>
      </w:r>
    </w:p>
    <w:p w:rsidR="001344B9" w:rsidRPr="00050283" w:rsidRDefault="001344B9" w:rsidP="00FF7B4A">
      <w:pPr>
        <w:pStyle w:val="Bullet"/>
      </w:pPr>
      <w:r w:rsidRPr="00FF7B4A">
        <w:rPr>
          <w:b/>
        </w:rPr>
        <w:t>The New Zealand Health Strategy Future Direction</w:t>
      </w:r>
      <w:r w:rsidRPr="00FF7B4A">
        <w:t xml:space="preserve"> signals</w:t>
      </w:r>
      <w:r w:rsidRPr="00050283">
        <w:t xml:space="preserve"> opportunities for the health sector to think and work differently. This includes working together to create a smart and high</w:t>
      </w:r>
      <w:r>
        <w:t>-</w:t>
      </w:r>
      <w:r w:rsidRPr="00050283">
        <w:t>performing health system. Findings from health research provide evidence to support this.</w:t>
      </w:r>
    </w:p>
    <w:p w:rsidR="001344B9" w:rsidRPr="00050283" w:rsidRDefault="001344B9" w:rsidP="00FF7B4A">
      <w:pPr>
        <w:pStyle w:val="Bullet"/>
      </w:pPr>
      <w:r w:rsidRPr="00FF7B4A">
        <w:rPr>
          <w:b/>
        </w:rPr>
        <w:t>The three health and wellbeing National Science Challenges are</w:t>
      </w:r>
      <w:r w:rsidRPr="00FF7B4A">
        <w:t xml:space="preserve"> </w:t>
      </w:r>
      <w:r w:rsidRPr="00FF7B4A">
        <w:rPr>
          <w:i/>
        </w:rPr>
        <w:t>A Better Start, Ageing</w:t>
      </w:r>
      <w:r w:rsidRPr="00050283">
        <w:rPr>
          <w:i/>
        </w:rPr>
        <w:t xml:space="preserve"> Well </w:t>
      </w:r>
      <w:r w:rsidRPr="00377D87">
        <w:t>and</w:t>
      </w:r>
      <w:r w:rsidRPr="00050283">
        <w:rPr>
          <w:i/>
        </w:rPr>
        <w:t xml:space="preserve"> Healthier Lives</w:t>
      </w:r>
      <w:r>
        <w:t>. These</w:t>
      </w:r>
      <w:r w:rsidRPr="00050283">
        <w:t xml:space="preserve"> fund research that addresses the complex, long-term, national-scale issues facing the health and wellbeing of New Zealanders.</w:t>
      </w:r>
    </w:p>
    <w:p w:rsidR="001344B9" w:rsidRPr="00050283" w:rsidRDefault="001344B9" w:rsidP="00FF7B4A">
      <w:pPr>
        <w:pStyle w:val="Bullet"/>
      </w:pPr>
      <w:r w:rsidRPr="00FF7B4A">
        <w:rPr>
          <w:b/>
        </w:rPr>
        <w:t>Other health strategies</w:t>
      </w:r>
      <w:r w:rsidRPr="00FF7B4A">
        <w:t xml:space="preserve"> include He</w:t>
      </w:r>
      <w:r w:rsidRPr="00050283">
        <w:t xml:space="preserve"> Korowai </w:t>
      </w:r>
      <w:proofErr w:type="spellStart"/>
      <w:r w:rsidRPr="00050283">
        <w:t>Oranga</w:t>
      </w:r>
      <w:proofErr w:type="spellEnd"/>
      <w:r>
        <w:t>:</w:t>
      </w:r>
      <w:r w:rsidRPr="00050283">
        <w:t xml:space="preserve"> Māori Health Strategy, </w:t>
      </w:r>
      <w:r>
        <w:t>‘</w:t>
      </w:r>
      <w:proofErr w:type="spellStart"/>
      <w:r w:rsidRPr="00050283">
        <w:t>Ala</w:t>
      </w:r>
      <w:proofErr w:type="spellEnd"/>
      <w:r w:rsidRPr="00050283">
        <w:t xml:space="preserve"> </w:t>
      </w:r>
      <w:proofErr w:type="spellStart"/>
      <w:r w:rsidRPr="00050283">
        <w:t>Mo</w:t>
      </w:r>
      <w:r>
        <w:t>’</w:t>
      </w:r>
      <w:r w:rsidRPr="00050283">
        <w:t>ui</w:t>
      </w:r>
      <w:proofErr w:type="spellEnd"/>
      <w:r>
        <w:t>:</w:t>
      </w:r>
      <w:r w:rsidRPr="00050283">
        <w:t xml:space="preserve"> Pathways to Pacific Health and Wellbeing, the Health of Older People Strategy,</w:t>
      </w:r>
      <w:r>
        <w:t xml:space="preserve"> and</w:t>
      </w:r>
      <w:r w:rsidRPr="00050283">
        <w:t xml:space="preserve"> Rising to the Challenge</w:t>
      </w:r>
      <w:r>
        <w:t xml:space="preserve">: The </w:t>
      </w:r>
      <w:r w:rsidRPr="00050283">
        <w:t>Mental Health and the Addiction Service Development Plan.</w:t>
      </w:r>
    </w:p>
    <w:p w:rsidR="001344B9" w:rsidRPr="00050283" w:rsidRDefault="001344B9" w:rsidP="00FF7B4A">
      <w:pPr>
        <w:pStyle w:val="Bullet"/>
      </w:pPr>
      <w:r w:rsidRPr="00FF7B4A">
        <w:rPr>
          <w:b/>
        </w:rPr>
        <w:t>The New Zealand Disability Strategy</w:t>
      </w:r>
      <w:r w:rsidRPr="00FF7B4A">
        <w:t xml:space="preserve"> has the vision</w:t>
      </w:r>
      <w:r w:rsidRPr="00050283">
        <w:t xml:space="preserve"> of a society that highly values the lives and continually enhances full participation of disabled people. The strategy is currently being updated. Research findings can provide the evidence to help achieve the vision of the updated strategy.</w:t>
      </w:r>
    </w:p>
    <w:p w:rsidR="001344B9" w:rsidRPr="00050283" w:rsidRDefault="001344B9" w:rsidP="00FF7B4A">
      <w:pPr>
        <w:pStyle w:val="Bullet"/>
      </w:pPr>
      <w:r w:rsidRPr="00FF7B4A">
        <w:rPr>
          <w:b/>
        </w:rPr>
        <w:t>The social investment approach</w:t>
      </w:r>
      <w:r w:rsidRPr="00FF7B4A">
        <w:t xml:space="preserve"> focuses</w:t>
      </w:r>
      <w:r w:rsidRPr="00050283">
        <w:t xml:space="preserve"> on identifying and understanding the needs of different groups of New Zealanders and finding ways to meet them more effectively. An example of this</w:t>
      </w:r>
      <w:r>
        <w:t xml:space="preserve"> approach</w:t>
      </w:r>
      <w:r w:rsidRPr="00050283">
        <w:t xml:space="preserve"> is the Children</w:t>
      </w:r>
      <w:r>
        <w:t>’</w:t>
      </w:r>
      <w:r w:rsidRPr="00050283">
        <w:t>s Action Plan.</w:t>
      </w:r>
    </w:p>
    <w:p w:rsidR="001344B9" w:rsidRPr="00050283" w:rsidRDefault="001344B9" w:rsidP="00FF7B4A">
      <w:pPr>
        <w:pStyle w:val="Bullet"/>
      </w:pPr>
      <w:r w:rsidRPr="00FF7B4A">
        <w:rPr>
          <w:b/>
        </w:rPr>
        <w:t>Government priorities:</w:t>
      </w:r>
      <w:r w:rsidRPr="00FF7B4A">
        <w:t xml:space="preserve"> Current</w:t>
      </w:r>
      <w:r w:rsidRPr="00050283">
        <w:t xml:space="preserve"> Government priorities are:</w:t>
      </w:r>
    </w:p>
    <w:p w:rsidR="001344B9" w:rsidRPr="00050283" w:rsidRDefault="001344B9" w:rsidP="00FF7B4A">
      <w:pPr>
        <w:pStyle w:val="Circle"/>
      </w:pPr>
      <w:r w:rsidRPr="001A3E2D">
        <w:rPr>
          <w:b/>
        </w:rPr>
        <w:t>delivering Better Public Services</w:t>
      </w:r>
      <w:r w:rsidRPr="00050283">
        <w:t>.</w:t>
      </w:r>
      <w:r>
        <w:t xml:space="preserve"> </w:t>
      </w:r>
      <w:r w:rsidRPr="00050283">
        <w:t>This includes:</w:t>
      </w:r>
    </w:p>
    <w:p w:rsidR="001344B9" w:rsidRPr="00050283" w:rsidRDefault="001344B9" w:rsidP="001A3E2D">
      <w:pPr>
        <w:pStyle w:val="Square"/>
      </w:pPr>
      <w:r w:rsidRPr="00050283">
        <w:t>Result 3: Increasing infant immunisation rates and reducing the incidence of rheumatic fever. The Ministry of Health leads</w:t>
      </w:r>
      <w:r>
        <w:t xml:space="preserve"> the work to achieve</w:t>
      </w:r>
      <w:r w:rsidRPr="00050283">
        <w:t xml:space="preserve"> this result</w:t>
      </w:r>
    </w:p>
    <w:p w:rsidR="001344B9" w:rsidRPr="00050283" w:rsidRDefault="001344B9" w:rsidP="001A3E2D">
      <w:pPr>
        <w:pStyle w:val="Square"/>
      </w:pPr>
      <w:r w:rsidRPr="00050283">
        <w:t>Result 2: Increasing the participation in quality early childhood education</w:t>
      </w:r>
    </w:p>
    <w:p w:rsidR="001344B9" w:rsidRPr="00050283" w:rsidRDefault="001344B9" w:rsidP="001A3E2D">
      <w:pPr>
        <w:pStyle w:val="Square"/>
      </w:pPr>
      <w:r w:rsidRPr="00050283">
        <w:t>Result 4: Reducing the number of assaults on children</w:t>
      </w:r>
    </w:p>
    <w:p w:rsidR="001344B9" w:rsidRPr="001A3E2D" w:rsidRDefault="001344B9" w:rsidP="00FF7B4A">
      <w:pPr>
        <w:pStyle w:val="Circle"/>
      </w:pPr>
      <w:r w:rsidRPr="001A3E2D">
        <w:rPr>
          <w:b/>
        </w:rPr>
        <w:t>responsibly managing Government’s finances</w:t>
      </w:r>
    </w:p>
    <w:p w:rsidR="001344B9" w:rsidRPr="001A3E2D" w:rsidRDefault="001344B9" w:rsidP="001A3E2D">
      <w:pPr>
        <w:pStyle w:val="Circle"/>
      </w:pPr>
      <w:r w:rsidRPr="001A3E2D">
        <w:rPr>
          <w:b/>
        </w:rPr>
        <w:t>rebuilding Christchurch</w:t>
      </w:r>
    </w:p>
    <w:p w:rsidR="001344B9" w:rsidRPr="001A3E2D" w:rsidRDefault="001344B9" w:rsidP="001A3E2D">
      <w:pPr>
        <w:pStyle w:val="Circle"/>
      </w:pPr>
      <w:r w:rsidRPr="001A3E2D">
        <w:rPr>
          <w:b/>
        </w:rPr>
        <w:t>building a more competitive and productive economy</w:t>
      </w:r>
      <w:r w:rsidRPr="001A3E2D">
        <w:t>.</w:t>
      </w:r>
    </w:p>
    <w:p w:rsidR="001344B9" w:rsidRPr="00050283" w:rsidRDefault="001344B9" w:rsidP="001A3E2D">
      <w:pPr>
        <w:pStyle w:val="Heading1"/>
      </w:pPr>
      <w:bookmarkStart w:id="5" w:name="_Toc449626664"/>
      <w:bookmarkStart w:id="6" w:name="_Toc450037044"/>
      <w:r w:rsidRPr="00050283">
        <w:lastRenderedPageBreak/>
        <w:t>You can help shape the strategy</w:t>
      </w:r>
      <w:bookmarkEnd w:id="5"/>
      <w:bookmarkEnd w:id="6"/>
    </w:p>
    <w:p w:rsidR="001344B9" w:rsidRPr="00050283" w:rsidRDefault="001344B9" w:rsidP="0058446A">
      <w:r w:rsidRPr="00050283">
        <w:t>Your views on the future direction of health research in New Zealand are needed to help us develop a meaningful strategy that will guide the health research sector over the next 10 years.</w:t>
      </w:r>
    </w:p>
    <w:p w:rsidR="001344B9" w:rsidRPr="00050283" w:rsidRDefault="001344B9" w:rsidP="0058446A">
      <w:r w:rsidRPr="00050283">
        <w:t xml:space="preserve">This document provides a starting point for discussion by setting out a proposed vision, mission and guiding principles for health research in New Zealand over the next </w:t>
      </w:r>
      <w:r>
        <w:t>10</w:t>
      </w:r>
      <w:r w:rsidRPr="00050283">
        <w:t xml:space="preserve"> years (Section </w:t>
      </w:r>
      <w:r w:rsidRPr="00050283">
        <w:fldChar w:fldCharType="begin"/>
      </w:r>
      <w:r w:rsidRPr="00050283">
        <w:instrText xml:space="preserve"> REF _Ref444098726 \r \h </w:instrText>
      </w:r>
      <w:r w:rsidRPr="00050283">
        <w:fldChar w:fldCharType="separate"/>
      </w:r>
      <w:r w:rsidR="00EC5B2D">
        <w:t>3</w:t>
      </w:r>
      <w:r w:rsidRPr="00050283">
        <w:fldChar w:fldCharType="end"/>
      </w:r>
      <w:r w:rsidRPr="00050283">
        <w:t>). We are seeking your views on these.</w:t>
      </w:r>
    </w:p>
    <w:p w:rsidR="001344B9" w:rsidRPr="00050283" w:rsidRDefault="001344B9" w:rsidP="0058446A">
      <w:r w:rsidRPr="00050283">
        <w:t>We would also like to hear your suggestions about the strategic priorities and actions you consider necessary to get the best value out of New Zealand</w:t>
      </w:r>
      <w:r>
        <w:t>’</w:t>
      </w:r>
      <w:r w:rsidRPr="00050283">
        <w:t>s investment in health research and create a more effective and sustainable health research and innovation system. The document provides some example</w:t>
      </w:r>
      <w:r>
        <w:t>s of</w:t>
      </w:r>
      <w:r w:rsidRPr="00050283">
        <w:t xml:space="preserve"> strategic priorities to spur discussion.</w:t>
      </w:r>
    </w:p>
    <w:p w:rsidR="001344B9" w:rsidRDefault="001344B9" w:rsidP="000312D7">
      <w:pPr>
        <w:spacing w:after="240"/>
      </w:pPr>
      <w:r>
        <w:t>Sections 3 and 4 contain</w:t>
      </w:r>
      <w:r w:rsidRPr="00050283">
        <w:t xml:space="preserve"> specific questions to guide your input and feedback. We are particularly interested in your responses to these questions as they will help in the design of the strategy.</w:t>
      </w:r>
    </w:p>
    <w:tbl>
      <w:tblPr>
        <w:tblStyle w:val="TableGrid"/>
        <w:tblW w:w="9072" w:type="dxa"/>
        <w:tblInd w:w="142"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left w:w="142" w:type="dxa"/>
          <w:right w:w="142" w:type="dxa"/>
        </w:tblCellMar>
        <w:tblLook w:val="04A0" w:firstRow="1" w:lastRow="0" w:firstColumn="1" w:lastColumn="0" w:noHBand="0" w:noVBand="1"/>
      </w:tblPr>
      <w:tblGrid>
        <w:gridCol w:w="5103"/>
        <w:gridCol w:w="3544"/>
        <w:gridCol w:w="425"/>
      </w:tblGrid>
      <w:tr w:rsidR="007D679D" w:rsidTr="00863AA8">
        <w:trPr>
          <w:cantSplit/>
        </w:trPr>
        <w:tc>
          <w:tcPr>
            <w:tcW w:w="5103" w:type="dxa"/>
            <w:tcBorders>
              <w:top w:val="nil"/>
              <w:left w:val="nil"/>
              <w:bottom w:val="single" w:sz="12" w:space="0" w:color="002060"/>
            </w:tcBorders>
          </w:tcPr>
          <w:p w:rsidR="007D679D" w:rsidRDefault="007D679D" w:rsidP="000312D7">
            <w:pPr>
              <w:pStyle w:val="TableText"/>
            </w:pPr>
          </w:p>
        </w:tc>
        <w:tc>
          <w:tcPr>
            <w:tcW w:w="3969" w:type="dxa"/>
            <w:gridSpan w:val="2"/>
            <w:vMerge w:val="restart"/>
            <w:shd w:val="clear" w:color="auto" w:fill="DBE5F1" w:themeFill="accent1" w:themeFillTint="33"/>
            <w:vAlign w:val="center"/>
          </w:tcPr>
          <w:p w:rsidR="007D679D" w:rsidRPr="007D679D" w:rsidRDefault="007D679D" w:rsidP="000312D7">
            <w:pPr>
              <w:pStyle w:val="TableText"/>
              <w:spacing w:before="60" w:after="60"/>
              <w:jc w:val="center"/>
              <w:rPr>
                <w:color w:val="002060"/>
                <w:sz w:val="24"/>
                <w:szCs w:val="24"/>
              </w:rPr>
            </w:pPr>
            <w:r w:rsidRPr="007D679D">
              <w:rPr>
                <w:color w:val="002060"/>
                <w:sz w:val="24"/>
                <w:szCs w:val="24"/>
              </w:rPr>
              <w:t>Who we are seeking views from</w:t>
            </w:r>
          </w:p>
        </w:tc>
      </w:tr>
      <w:tr w:rsidR="007D679D" w:rsidTr="00863AA8">
        <w:trPr>
          <w:cantSplit/>
        </w:trPr>
        <w:tc>
          <w:tcPr>
            <w:tcW w:w="5103" w:type="dxa"/>
            <w:tcBorders>
              <w:bottom w:val="nil"/>
            </w:tcBorders>
          </w:tcPr>
          <w:p w:rsidR="007D679D" w:rsidRDefault="007D679D" w:rsidP="00863AA8">
            <w:pPr>
              <w:pStyle w:val="TableText"/>
            </w:pPr>
          </w:p>
        </w:tc>
        <w:tc>
          <w:tcPr>
            <w:tcW w:w="3969" w:type="dxa"/>
            <w:gridSpan w:val="2"/>
            <w:vMerge/>
            <w:tcBorders>
              <w:bottom w:val="single" w:sz="12" w:space="0" w:color="002060"/>
            </w:tcBorders>
            <w:shd w:val="clear" w:color="auto" w:fill="DBE5F1" w:themeFill="accent1" w:themeFillTint="33"/>
          </w:tcPr>
          <w:p w:rsidR="007D679D" w:rsidRPr="000312D7" w:rsidRDefault="007D679D" w:rsidP="000312D7">
            <w:pPr>
              <w:pStyle w:val="TableText"/>
              <w:jc w:val="center"/>
              <w:rPr>
                <w:sz w:val="24"/>
                <w:szCs w:val="24"/>
              </w:rPr>
            </w:pPr>
          </w:p>
        </w:tc>
      </w:tr>
      <w:tr w:rsidR="007D679D" w:rsidTr="007D679D">
        <w:trPr>
          <w:cantSplit/>
        </w:trPr>
        <w:tc>
          <w:tcPr>
            <w:tcW w:w="8647" w:type="dxa"/>
            <w:gridSpan w:val="2"/>
            <w:tcBorders>
              <w:top w:val="nil"/>
            </w:tcBorders>
          </w:tcPr>
          <w:p w:rsidR="00863AA8" w:rsidRDefault="00863AA8" w:rsidP="00B40E8F">
            <w:pPr>
              <w:pStyle w:val="TableBullet"/>
              <w:numPr>
                <w:ilvl w:val="0"/>
                <w:numId w:val="25"/>
              </w:numPr>
              <w:ind w:left="284" w:hanging="284"/>
            </w:pPr>
            <w:r>
              <w:t>Researchers and research teams</w:t>
            </w:r>
          </w:p>
          <w:p w:rsidR="007D679D" w:rsidRDefault="007D679D" w:rsidP="00B40E8F">
            <w:pPr>
              <w:pStyle w:val="TableBullet"/>
              <w:numPr>
                <w:ilvl w:val="0"/>
                <w:numId w:val="25"/>
              </w:numPr>
              <w:ind w:left="284" w:hanging="284"/>
            </w:pPr>
            <w:r>
              <w:t>Universities, including faculties and research offices</w:t>
            </w:r>
          </w:p>
          <w:p w:rsidR="007D679D" w:rsidRDefault="007D679D" w:rsidP="00B40E8F">
            <w:pPr>
              <w:pStyle w:val="TableBullet"/>
              <w:numPr>
                <w:ilvl w:val="0"/>
                <w:numId w:val="25"/>
              </w:numPr>
              <w:ind w:left="284" w:hanging="284"/>
            </w:pPr>
            <w:r>
              <w:t>Health care provider organisations, district health boards, primary health organisations and private health providers</w:t>
            </w:r>
          </w:p>
          <w:p w:rsidR="007D679D" w:rsidRDefault="007D679D" w:rsidP="00B40E8F">
            <w:pPr>
              <w:pStyle w:val="TableBullet"/>
              <w:numPr>
                <w:ilvl w:val="0"/>
                <w:numId w:val="25"/>
              </w:numPr>
              <w:ind w:left="284" w:hanging="284"/>
            </w:pPr>
            <w:r>
              <w:t>Health sector agencies, including regulatory bodies</w:t>
            </w:r>
          </w:p>
          <w:p w:rsidR="007D679D" w:rsidRDefault="007D679D" w:rsidP="00B40E8F">
            <w:pPr>
              <w:pStyle w:val="TableBullet"/>
              <w:numPr>
                <w:ilvl w:val="0"/>
                <w:numId w:val="25"/>
              </w:numPr>
              <w:ind w:left="284" w:hanging="284"/>
            </w:pPr>
            <w:r>
              <w:t>Clinical staff, clinical colleges and professional associations</w:t>
            </w:r>
          </w:p>
          <w:p w:rsidR="007D679D" w:rsidRDefault="007D679D" w:rsidP="00B40E8F">
            <w:pPr>
              <w:pStyle w:val="TableBullet"/>
              <w:numPr>
                <w:ilvl w:val="0"/>
                <w:numId w:val="25"/>
              </w:numPr>
              <w:ind w:left="284" w:hanging="284"/>
            </w:pPr>
            <w:r>
              <w:t>Disabled people’s organisations and the wider disability sector</w:t>
            </w:r>
          </w:p>
          <w:p w:rsidR="007D679D" w:rsidRDefault="007D679D" w:rsidP="00B40E8F">
            <w:pPr>
              <w:pStyle w:val="TableBullet"/>
              <w:numPr>
                <w:ilvl w:val="0"/>
                <w:numId w:val="25"/>
              </w:numPr>
              <w:ind w:left="284" w:hanging="284"/>
            </w:pPr>
            <w:r>
              <w:t>Independent research organisations</w:t>
            </w:r>
          </w:p>
          <w:p w:rsidR="007D679D" w:rsidRDefault="007D679D" w:rsidP="00B40E8F">
            <w:pPr>
              <w:pStyle w:val="TableBullet"/>
              <w:numPr>
                <w:ilvl w:val="0"/>
                <w:numId w:val="25"/>
              </w:numPr>
              <w:ind w:left="284" w:hanging="284"/>
            </w:pPr>
            <w:r>
              <w:t>Industry</w:t>
            </w:r>
          </w:p>
          <w:p w:rsidR="007D679D" w:rsidRDefault="007D679D" w:rsidP="00B40E8F">
            <w:pPr>
              <w:pStyle w:val="TableBullet"/>
              <w:numPr>
                <w:ilvl w:val="0"/>
                <w:numId w:val="25"/>
              </w:numPr>
              <w:ind w:left="284" w:hanging="284"/>
            </w:pPr>
            <w:r>
              <w:t>Non-profit organisations</w:t>
            </w:r>
          </w:p>
          <w:p w:rsidR="007D679D" w:rsidRDefault="007D679D" w:rsidP="00B40E8F">
            <w:pPr>
              <w:pStyle w:val="TableBullet"/>
              <w:numPr>
                <w:ilvl w:val="0"/>
                <w:numId w:val="25"/>
              </w:numPr>
              <w:ind w:left="284" w:hanging="284"/>
            </w:pPr>
            <w:r>
              <w:t>Community groups, including Māori and Pacific organisations</w:t>
            </w:r>
          </w:p>
          <w:p w:rsidR="007D679D" w:rsidRDefault="007D679D" w:rsidP="00B40E8F">
            <w:pPr>
              <w:pStyle w:val="TableBullet"/>
              <w:numPr>
                <w:ilvl w:val="0"/>
                <w:numId w:val="25"/>
              </w:numPr>
              <w:ind w:left="284" w:hanging="284"/>
            </w:pPr>
            <w:r>
              <w:t>Iwi</w:t>
            </w:r>
          </w:p>
          <w:p w:rsidR="007D679D" w:rsidRDefault="007D679D" w:rsidP="00B40E8F">
            <w:pPr>
              <w:pStyle w:val="TableBullet"/>
              <w:numPr>
                <w:ilvl w:val="0"/>
                <w:numId w:val="25"/>
              </w:numPr>
              <w:ind w:left="284" w:hanging="284"/>
            </w:pPr>
            <w:r>
              <w:t>Funding agencies</w:t>
            </w:r>
          </w:p>
          <w:p w:rsidR="007D679D" w:rsidRPr="007D679D" w:rsidRDefault="007D679D" w:rsidP="007D679D">
            <w:pPr>
              <w:pStyle w:val="TableBullet"/>
              <w:numPr>
                <w:ilvl w:val="0"/>
                <w:numId w:val="23"/>
              </w:numPr>
              <w:spacing w:after="120"/>
              <w:ind w:left="284" w:hanging="284"/>
            </w:pPr>
            <w:r>
              <w:t>The general public</w:t>
            </w:r>
          </w:p>
        </w:tc>
        <w:tc>
          <w:tcPr>
            <w:tcW w:w="425" w:type="dxa"/>
            <w:tcBorders>
              <w:top w:val="nil"/>
              <w:bottom w:val="nil"/>
              <w:right w:val="nil"/>
            </w:tcBorders>
          </w:tcPr>
          <w:p w:rsidR="007D679D" w:rsidRDefault="007D679D" w:rsidP="007D679D">
            <w:pPr>
              <w:pStyle w:val="TableText"/>
            </w:pPr>
          </w:p>
        </w:tc>
      </w:tr>
    </w:tbl>
    <w:p w:rsidR="000312D7" w:rsidRDefault="000312D7" w:rsidP="00863AA8">
      <w:pPr>
        <w:spacing w:before="120"/>
      </w:pPr>
    </w:p>
    <w:tbl>
      <w:tblPr>
        <w:tblStyle w:val="TableGrid"/>
        <w:tblW w:w="9072" w:type="dxa"/>
        <w:tblInd w:w="142"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left w:w="142" w:type="dxa"/>
          <w:right w:w="142" w:type="dxa"/>
        </w:tblCellMar>
        <w:tblLook w:val="04A0" w:firstRow="1" w:lastRow="0" w:firstColumn="1" w:lastColumn="0" w:noHBand="0" w:noVBand="1"/>
      </w:tblPr>
      <w:tblGrid>
        <w:gridCol w:w="5103"/>
        <w:gridCol w:w="3544"/>
        <w:gridCol w:w="425"/>
      </w:tblGrid>
      <w:tr w:rsidR="00863AA8" w:rsidRPr="007D679D" w:rsidTr="00863AA8">
        <w:trPr>
          <w:cantSplit/>
        </w:trPr>
        <w:tc>
          <w:tcPr>
            <w:tcW w:w="5103" w:type="dxa"/>
            <w:tcBorders>
              <w:top w:val="nil"/>
              <w:left w:val="nil"/>
              <w:bottom w:val="single" w:sz="12" w:space="0" w:color="002060"/>
            </w:tcBorders>
          </w:tcPr>
          <w:p w:rsidR="00863AA8" w:rsidRDefault="00863AA8" w:rsidP="00CF69E8">
            <w:pPr>
              <w:pStyle w:val="TableText"/>
            </w:pPr>
          </w:p>
        </w:tc>
        <w:tc>
          <w:tcPr>
            <w:tcW w:w="3969" w:type="dxa"/>
            <w:gridSpan w:val="2"/>
            <w:vMerge w:val="restart"/>
            <w:shd w:val="clear" w:color="auto" w:fill="DBE5F1" w:themeFill="accent1" w:themeFillTint="33"/>
            <w:vAlign w:val="center"/>
          </w:tcPr>
          <w:p w:rsidR="00863AA8" w:rsidRPr="007D679D" w:rsidRDefault="00863AA8" w:rsidP="00CF69E8">
            <w:pPr>
              <w:pStyle w:val="TableText"/>
              <w:spacing w:before="60" w:after="60"/>
              <w:jc w:val="center"/>
              <w:rPr>
                <w:color w:val="002060"/>
                <w:sz w:val="24"/>
                <w:szCs w:val="24"/>
              </w:rPr>
            </w:pPr>
            <w:r>
              <w:rPr>
                <w:color w:val="002060"/>
                <w:sz w:val="24"/>
                <w:szCs w:val="24"/>
              </w:rPr>
              <w:t>How you can help shape the strategy</w:t>
            </w:r>
          </w:p>
        </w:tc>
      </w:tr>
      <w:tr w:rsidR="00863AA8" w:rsidRPr="000312D7" w:rsidTr="00863AA8">
        <w:trPr>
          <w:cantSplit/>
        </w:trPr>
        <w:tc>
          <w:tcPr>
            <w:tcW w:w="5103" w:type="dxa"/>
            <w:tcBorders>
              <w:bottom w:val="nil"/>
            </w:tcBorders>
          </w:tcPr>
          <w:p w:rsidR="00863AA8" w:rsidRDefault="00863AA8" w:rsidP="00863AA8">
            <w:pPr>
              <w:pStyle w:val="TableText"/>
            </w:pPr>
          </w:p>
        </w:tc>
        <w:tc>
          <w:tcPr>
            <w:tcW w:w="3969" w:type="dxa"/>
            <w:gridSpan w:val="2"/>
            <w:vMerge/>
            <w:tcBorders>
              <w:bottom w:val="single" w:sz="12" w:space="0" w:color="002060"/>
            </w:tcBorders>
            <w:shd w:val="clear" w:color="auto" w:fill="DBE5F1" w:themeFill="accent1" w:themeFillTint="33"/>
          </w:tcPr>
          <w:p w:rsidR="00863AA8" w:rsidRPr="000312D7" w:rsidRDefault="00863AA8" w:rsidP="00CF69E8">
            <w:pPr>
              <w:pStyle w:val="TableText"/>
              <w:jc w:val="center"/>
              <w:rPr>
                <w:sz w:val="24"/>
                <w:szCs w:val="24"/>
              </w:rPr>
            </w:pPr>
          </w:p>
        </w:tc>
      </w:tr>
      <w:tr w:rsidR="00863AA8" w:rsidTr="00CF69E8">
        <w:trPr>
          <w:cantSplit/>
        </w:trPr>
        <w:tc>
          <w:tcPr>
            <w:tcW w:w="8647" w:type="dxa"/>
            <w:gridSpan w:val="2"/>
            <w:tcBorders>
              <w:top w:val="nil"/>
            </w:tcBorders>
          </w:tcPr>
          <w:p w:rsidR="00863AA8" w:rsidRDefault="00863AA8" w:rsidP="00863AA8">
            <w:pPr>
              <w:pStyle w:val="TableText"/>
              <w:spacing w:before="90"/>
              <w:ind w:left="284" w:hanging="284"/>
            </w:pPr>
            <w:r>
              <w:t>1</w:t>
            </w:r>
            <w:r>
              <w:tab/>
              <w:t>Return your responses to the list of questions in Appendix 1 by 29 July 2016.</w:t>
            </w:r>
          </w:p>
          <w:p w:rsidR="00863AA8" w:rsidRDefault="00863AA8" w:rsidP="00863AA8">
            <w:pPr>
              <w:pStyle w:val="TableText"/>
              <w:spacing w:before="90"/>
              <w:ind w:left="284" w:hanging="284"/>
            </w:pPr>
            <w:r>
              <w:t>2</w:t>
            </w:r>
            <w:r>
              <w:tab/>
              <w:t>Write a submission in response to the issues and questions raised in this document by 29 July 2016.</w:t>
            </w:r>
          </w:p>
          <w:p w:rsidR="00863AA8" w:rsidRDefault="00863AA8" w:rsidP="00863AA8">
            <w:pPr>
              <w:pStyle w:val="TableText"/>
              <w:spacing w:before="90"/>
              <w:ind w:left="284" w:hanging="284"/>
            </w:pPr>
            <w:r>
              <w:t>3</w:t>
            </w:r>
            <w:r>
              <w:tab/>
              <w:t>Participate in a focus group discussion in June or July 2016.</w:t>
            </w:r>
          </w:p>
          <w:p w:rsidR="00863AA8" w:rsidRPr="007D679D" w:rsidRDefault="00863AA8" w:rsidP="00863AA8">
            <w:pPr>
              <w:pStyle w:val="TableText"/>
              <w:spacing w:before="120" w:after="120"/>
            </w:pPr>
            <w:r>
              <w:t>For more information about how to share your views, visit:</w:t>
            </w:r>
            <w:r>
              <w:br/>
              <w:t>www.health.govt.nz/publication/nz-health-research-strategy-consultation</w:t>
            </w:r>
          </w:p>
        </w:tc>
        <w:tc>
          <w:tcPr>
            <w:tcW w:w="425" w:type="dxa"/>
            <w:tcBorders>
              <w:top w:val="nil"/>
              <w:bottom w:val="nil"/>
              <w:right w:val="nil"/>
            </w:tcBorders>
          </w:tcPr>
          <w:p w:rsidR="00863AA8" w:rsidRDefault="00863AA8" w:rsidP="00CF69E8">
            <w:pPr>
              <w:pStyle w:val="TableText"/>
            </w:pPr>
          </w:p>
        </w:tc>
      </w:tr>
    </w:tbl>
    <w:p w:rsidR="001344B9" w:rsidRDefault="001344B9" w:rsidP="0058446A">
      <w:r w:rsidRPr="00050283">
        <w:lastRenderedPageBreak/>
        <w:t xml:space="preserve">The Ministry of Health, </w:t>
      </w:r>
      <w:r>
        <w:t>Ministry of Business, Innovation and Employment (</w:t>
      </w:r>
      <w:r w:rsidRPr="00050283">
        <w:t>MBIE</w:t>
      </w:r>
      <w:r>
        <w:t>)</w:t>
      </w:r>
      <w:r w:rsidRPr="00050283">
        <w:t xml:space="preserve"> and the HRC will analyse the information gathered from the focus groups and the submissions. This </w:t>
      </w:r>
      <w:r>
        <w:t xml:space="preserve">input </w:t>
      </w:r>
      <w:r w:rsidRPr="00050283">
        <w:t>will inform the development of the health research strategy, in particular the strategic priorities and action areas.</w:t>
      </w:r>
    </w:p>
    <w:p w:rsidR="001344B9" w:rsidRDefault="001344B9" w:rsidP="0058446A">
      <w:r w:rsidRPr="007A0999">
        <w:t>Submissions and other responses to the discussion document may be the subject of requests for information under the Official Information Act (1982). If this happens the Ministries will release the information to the person who requested it. However, if you are an individual, rather than an organisation, the Ministries will remove your personal details from the submission if you check the following</w:t>
      </w:r>
      <w:r>
        <w:t xml:space="preserve"> box:</w:t>
      </w:r>
    </w:p>
    <w:p w:rsidR="001344B9" w:rsidRPr="00050283" w:rsidRDefault="0058446A" w:rsidP="0058446A">
      <w:pPr>
        <w:ind w:left="567" w:hanging="567"/>
      </w:pPr>
      <w:r>
        <w:sym w:font="Webdings" w:char="F063"/>
      </w:r>
      <w:r>
        <w:tab/>
      </w:r>
      <w:r w:rsidR="001344B9" w:rsidRPr="007A0999">
        <w:t>I do not give permission for my personal details to be released under the Official Information Act 1982</w:t>
      </w:r>
      <w:r>
        <w:t>.</w:t>
      </w:r>
    </w:p>
    <w:p w:rsidR="001344B9" w:rsidRPr="00050283" w:rsidRDefault="001344B9" w:rsidP="0058446A">
      <w:pPr>
        <w:pStyle w:val="Heading1"/>
      </w:pPr>
      <w:bookmarkStart w:id="7" w:name="_Ref444098726"/>
      <w:bookmarkStart w:id="8" w:name="_Toc449626665"/>
      <w:bookmarkStart w:id="9" w:name="_Toc450037045"/>
      <w:bookmarkStart w:id="10" w:name="_Ref436145329"/>
      <w:r w:rsidRPr="00050283">
        <w:lastRenderedPageBreak/>
        <w:t>Setting the vision and direction for health research in New</w:t>
      </w:r>
      <w:r w:rsidR="0058446A">
        <w:t> </w:t>
      </w:r>
      <w:r w:rsidRPr="00050283">
        <w:t>Zealand</w:t>
      </w:r>
      <w:bookmarkEnd w:id="7"/>
      <w:bookmarkEnd w:id="8"/>
      <w:bookmarkEnd w:id="9"/>
    </w:p>
    <w:p w:rsidR="001344B9" w:rsidRDefault="001344B9" w:rsidP="00A051AD">
      <w:pPr>
        <w:spacing w:after="240"/>
      </w:pPr>
      <w:r w:rsidRPr="00050283">
        <w:t xml:space="preserve">The health research strategy will guide decisions on health research in New Zealand over the next </w:t>
      </w:r>
      <w:r>
        <w:t>10</w:t>
      </w:r>
      <w:r w:rsidR="0058446A">
        <w:t> </w:t>
      </w:r>
      <w:r w:rsidRPr="00050283">
        <w:t>years. It is proposed the strategy will contain a vision, mission, guiding principles, strategic priorities and actions. The box below describes each of these key components.</w:t>
      </w:r>
    </w:p>
    <w:tbl>
      <w:tblPr>
        <w:tblStyle w:val="TableGrid"/>
        <w:tblW w:w="9072" w:type="dxa"/>
        <w:tblInd w:w="142"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left w:w="142" w:type="dxa"/>
          <w:right w:w="142" w:type="dxa"/>
        </w:tblCellMar>
        <w:tblLook w:val="04A0" w:firstRow="1" w:lastRow="0" w:firstColumn="1" w:lastColumn="0" w:noHBand="0" w:noVBand="1"/>
      </w:tblPr>
      <w:tblGrid>
        <w:gridCol w:w="5103"/>
        <w:gridCol w:w="3544"/>
        <w:gridCol w:w="425"/>
      </w:tblGrid>
      <w:tr w:rsidR="00A051AD" w:rsidRPr="007D679D" w:rsidTr="00CF69E8">
        <w:trPr>
          <w:cantSplit/>
        </w:trPr>
        <w:tc>
          <w:tcPr>
            <w:tcW w:w="5103" w:type="dxa"/>
            <w:tcBorders>
              <w:top w:val="nil"/>
              <w:left w:val="nil"/>
              <w:bottom w:val="single" w:sz="12" w:space="0" w:color="002060"/>
            </w:tcBorders>
          </w:tcPr>
          <w:p w:rsidR="00A051AD" w:rsidRDefault="00A051AD" w:rsidP="00CF69E8">
            <w:pPr>
              <w:pStyle w:val="TableText"/>
            </w:pPr>
          </w:p>
        </w:tc>
        <w:tc>
          <w:tcPr>
            <w:tcW w:w="3969" w:type="dxa"/>
            <w:gridSpan w:val="2"/>
            <w:vMerge w:val="restart"/>
            <w:shd w:val="clear" w:color="auto" w:fill="DBE5F1" w:themeFill="accent1" w:themeFillTint="33"/>
            <w:vAlign w:val="center"/>
          </w:tcPr>
          <w:p w:rsidR="00A051AD" w:rsidRPr="007D679D" w:rsidRDefault="00A051AD" w:rsidP="00CF69E8">
            <w:pPr>
              <w:pStyle w:val="TableText"/>
              <w:spacing w:before="60" w:after="60"/>
              <w:jc w:val="center"/>
              <w:rPr>
                <w:color w:val="002060"/>
                <w:sz w:val="24"/>
                <w:szCs w:val="24"/>
              </w:rPr>
            </w:pPr>
            <w:r>
              <w:rPr>
                <w:color w:val="002060"/>
                <w:sz w:val="24"/>
                <w:szCs w:val="24"/>
              </w:rPr>
              <w:t>Key components of the strategy</w:t>
            </w:r>
          </w:p>
        </w:tc>
      </w:tr>
      <w:tr w:rsidR="00A051AD" w:rsidRPr="000312D7" w:rsidTr="00CF69E8">
        <w:trPr>
          <w:cantSplit/>
        </w:trPr>
        <w:tc>
          <w:tcPr>
            <w:tcW w:w="5103" w:type="dxa"/>
            <w:tcBorders>
              <w:bottom w:val="nil"/>
            </w:tcBorders>
          </w:tcPr>
          <w:p w:rsidR="00A051AD" w:rsidRDefault="00A051AD" w:rsidP="00CF69E8">
            <w:pPr>
              <w:pStyle w:val="TableText"/>
            </w:pPr>
          </w:p>
        </w:tc>
        <w:tc>
          <w:tcPr>
            <w:tcW w:w="3969" w:type="dxa"/>
            <w:gridSpan w:val="2"/>
            <w:vMerge/>
            <w:tcBorders>
              <w:bottom w:val="single" w:sz="12" w:space="0" w:color="002060"/>
            </w:tcBorders>
            <w:shd w:val="clear" w:color="auto" w:fill="DBE5F1" w:themeFill="accent1" w:themeFillTint="33"/>
          </w:tcPr>
          <w:p w:rsidR="00A051AD" w:rsidRPr="000312D7" w:rsidRDefault="00A051AD" w:rsidP="00CF69E8">
            <w:pPr>
              <w:pStyle w:val="TableText"/>
              <w:jc w:val="center"/>
              <w:rPr>
                <w:sz w:val="24"/>
                <w:szCs w:val="24"/>
              </w:rPr>
            </w:pPr>
          </w:p>
        </w:tc>
      </w:tr>
      <w:tr w:rsidR="00A051AD" w:rsidTr="00CF69E8">
        <w:trPr>
          <w:cantSplit/>
        </w:trPr>
        <w:tc>
          <w:tcPr>
            <w:tcW w:w="8647" w:type="dxa"/>
            <w:gridSpan w:val="2"/>
            <w:tcBorders>
              <w:top w:val="nil"/>
            </w:tcBorders>
          </w:tcPr>
          <w:p w:rsidR="00A051AD" w:rsidRDefault="00A051AD" w:rsidP="00A051AD">
            <w:pPr>
              <w:pStyle w:val="TableText"/>
              <w:spacing w:before="120"/>
            </w:pPr>
            <w:r w:rsidRPr="003D2194">
              <w:rPr>
                <w:b/>
                <w:color w:val="0070C0"/>
              </w:rPr>
              <w:t>Vision</w:t>
            </w:r>
            <w:r>
              <w:t xml:space="preserve"> – our desired future state for health research in New Zealand in 10 years’ time </w:t>
            </w:r>
          </w:p>
          <w:p w:rsidR="00A051AD" w:rsidRDefault="00A051AD" w:rsidP="00A051AD">
            <w:pPr>
              <w:pStyle w:val="TableText"/>
              <w:spacing w:before="120"/>
            </w:pPr>
            <w:r w:rsidRPr="003D2194">
              <w:rPr>
                <w:b/>
                <w:color w:val="0070C0"/>
              </w:rPr>
              <w:t>Mission</w:t>
            </w:r>
            <w:r>
              <w:t xml:space="preserve"> – the contribution and main roles of the various contributors to the health research system in working towards the vision</w:t>
            </w:r>
          </w:p>
          <w:p w:rsidR="00A051AD" w:rsidRDefault="00A051AD" w:rsidP="00A051AD">
            <w:pPr>
              <w:pStyle w:val="TableText"/>
              <w:spacing w:before="120"/>
            </w:pPr>
            <w:r w:rsidRPr="003D2194">
              <w:rPr>
                <w:b/>
                <w:color w:val="0070C0"/>
              </w:rPr>
              <w:t>Guiding principles</w:t>
            </w:r>
            <w:r>
              <w:t xml:space="preserve"> – operating parameters and ways in which contributors to the system will work in order to achieve the vision and mission </w:t>
            </w:r>
          </w:p>
          <w:p w:rsidR="00A051AD" w:rsidRDefault="00A051AD" w:rsidP="00A051AD">
            <w:pPr>
              <w:pStyle w:val="TableText"/>
              <w:spacing w:before="120"/>
            </w:pPr>
            <w:r w:rsidRPr="003D2194">
              <w:rPr>
                <w:b/>
                <w:color w:val="0070C0"/>
              </w:rPr>
              <w:t>Strategic priorities</w:t>
            </w:r>
            <w:r>
              <w:t xml:space="preserve"> – what priority directional pathways are needed to achieve changes in the work and interactions of the contributors </w:t>
            </w:r>
          </w:p>
          <w:p w:rsidR="00A051AD" w:rsidRPr="007D679D" w:rsidRDefault="00A051AD" w:rsidP="00A051AD">
            <w:pPr>
              <w:pStyle w:val="TableText"/>
              <w:spacing w:before="120" w:after="120"/>
            </w:pPr>
            <w:r w:rsidRPr="003D2194">
              <w:rPr>
                <w:b/>
                <w:color w:val="0070C0"/>
              </w:rPr>
              <w:t>Actions</w:t>
            </w:r>
            <w:r>
              <w:t xml:space="preserve"> – specific sets of activity that are aimed at realising the strategic priorities</w:t>
            </w:r>
          </w:p>
        </w:tc>
        <w:tc>
          <w:tcPr>
            <w:tcW w:w="425" w:type="dxa"/>
            <w:tcBorders>
              <w:top w:val="nil"/>
              <w:bottom w:val="nil"/>
              <w:right w:val="nil"/>
            </w:tcBorders>
          </w:tcPr>
          <w:p w:rsidR="00A051AD" w:rsidRDefault="00A051AD" w:rsidP="00CF69E8">
            <w:pPr>
              <w:pStyle w:val="TableText"/>
            </w:pPr>
          </w:p>
        </w:tc>
      </w:tr>
    </w:tbl>
    <w:p w:rsidR="001344B9" w:rsidRPr="00050283" w:rsidRDefault="001344B9" w:rsidP="0058446A">
      <w:r w:rsidRPr="00050283">
        <w:t xml:space="preserve">As a starting point for discussion, the </w:t>
      </w:r>
      <w:r>
        <w:t>next</w:t>
      </w:r>
      <w:r w:rsidRPr="00050283">
        <w:t xml:space="preserve"> page shows a proposed vision, mission and guiding principles for the strategy. </w:t>
      </w:r>
      <w:r>
        <w:t>The following</w:t>
      </w:r>
      <w:r w:rsidRPr="00050283">
        <w:t xml:space="preserve"> sources informed the draft proposal:</w:t>
      </w:r>
    </w:p>
    <w:p w:rsidR="001344B9" w:rsidRPr="00050283" w:rsidRDefault="001344B9" w:rsidP="0058446A">
      <w:pPr>
        <w:pStyle w:val="Bullet"/>
      </w:pPr>
      <w:r>
        <w:t>i</w:t>
      </w:r>
      <w:r w:rsidRPr="00050283">
        <w:t>nternational and local health literature and strategies on health research and innovation</w:t>
      </w:r>
    </w:p>
    <w:p w:rsidR="001344B9" w:rsidRPr="00050283" w:rsidRDefault="001344B9" w:rsidP="0058446A">
      <w:pPr>
        <w:pStyle w:val="Bullet"/>
      </w:pPr>
      <w:r>
        <w:t>c</w:t>
      </w:r>
      <w:r w:rsidRPr="00050283">
        <w:t>haracteristics of high-performing research and innovation systems</w:t>
      </w:r>
    </w:p>
    <w:p w:rsidR="001344B9" w:rsidRPr="00050283" w:rsidRDefault="001344B9" w:rsidP="0058446A">
      <w:pPr>
        <w:pStyle w:val="Bullet"/>
      </w:pPr>
      <w:r>
        <w:t>t</w:t>
      </w:r>
      <w:r w:rsidRPr="00050283">
        <w:t>he strategic refresh of the Health Research Council</w:t>
      </w:r>
    </w:p>
    <w:p w:rsidR="001344B9" w:rsidRPr="00050283" w:rsidRDefault="001344B9" w:rsidP="0058446A">
      <w:pPr>
        <w:pStyle w:val="Bullet"/>
      </w:pPr>
      <w:r>
        <w:t>a</w:t>
      </w:r>
      <w:r w:rsidRPr="00050283">
        <w:t>nalysis of New Zealand health sector and health research issues</w:t>
      </w:r>
    </w:p>
    <w:p w:rsidR="001344B9" w:rsidRDefault="001344B9" w:rsidP="003D2194">
      <w:pPr>
        <w:pStyle w:val="Bullet"/>
        <w:spacing w:after="240"/>
      </w:pPr>
      <w:proofErr w:type="gramStart"/>
      <w:r>
        <w:t>g</w:t>
      </w:r>
      <w:r w:rsidRPr="00050283">
        <w:t>lobal</w:t>
      </w:r>
      <w:proofErr w:type="gramEnd"/>
      <w:r w:rsidRPr="00050283">
        <w:t xml:space="preserve"> advancements in science and technology.</w:t>
      </w:r>
    </w:p>
    <w:tbl>
      <w:tblPr>
        <w:tblStyle w:val="TableGrid"/>
        <w:tblW w:w="9072" w:type="dxa"/>
        <w:tblInd w:w="142"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ayout w:type="fixed"/>
        <w:tblCellMar>
          <w:left w:w="142" w:type="dxa"/>
          <w:right w:w="142" w:type="dxa"/>
        </w:tblCellMar>
        <w:tblLook w:val="04A0" w:firstRow="1" w:lastRow="0" w:firstColumn="1" w:lastColumn="0" w:noHBand="0" w:noVBand="1"/>
      </w:tblPr>
      <w:tblGrid>
        <w:gridCol w:w="5103"/>
        <w:gridCol w:w="3544"/>
        <w:gridCol w:w="425"/>
      </w:tblGrid>
      <w:tr w:rsidR="003D2194" w:rsidRPr="007D679D" w:rsidTr="003D2194">
        <w:trPr>
          <w:cantSplit/>
        </w:trPr>
        <w:tc>
          <w:tcPr>
            <w:tcW w:w="5103" w:type="dxa"/>
            <w:tcBorders>
              <w:top w:val="nil"/>
              <w:left w:val="nil"/>
              <w:bottom w:val="single" w:sz="12" w:space="0" w:color="C00000"/>
            </w:tcBorders>
          </w:tcPr>
          <w:p w:rsidR="003D2194" w:rsidRDefault="003D2194" w:rsidP="00CF69E8">
            <w:pPr>
              <w:pStyle w:val="TableText"/>
            </w:pPr>
          </w:p>
        </w:tc>
        <w:tc>
          <w:tcPr>
            <w:tcW w:w="3969" w:type="dxa"/>
            <w:gridSpan w:val="2"/>
            <w:vMerge w:val="restart"/>
            <w:shd w:val="clear" w:color="auto" w:fill="DBE5F1" w:themeFill="accent1" w:themeFillTint="33"/>
            <w:vAlign w:val="center"/>
          </w:tcPr>
          <w:p w:rsidR="003D2194" w:rsidRPr="007D679D" w:rsidRDefault="003D2194" w:rsidP="00CF69E8">
            <w:pPr>
              <w:pStyle w:val="TableText"/>
              <w:spacing w:before="60" w:after="60"/>
              <w:jc w:val="center"/>
              <w:rPr>
                <w:color w:val="002060"/>
                <w:sz w:val="24"/>
                <w:szCs w:val="24"/>
              </w:rPr>
            </w:pPr>
            <w:r>
              <w:rPr>
                <w:color w:val="002060"/>
                <w:sz w:val="24"/>
                <w:szCs w:val="24"/>
              </w:rPr>
              <w:t>Questions we are seeking views on</w:t>
            </w:r>
          </w:p>
        </w:tc>
      </w:tr>
      <w:tr w:rsidR="003D2194" w:rsidRPr="000312D7" w:rsidTr="003D2194">
        <w:trPr>
          <w:cantSplit/>
        </w:trPr>
        <w:tc>
          <w:tcPr>
            <w:tcW w:w="5103" w:type="dxa"/>
            <w:tcBorders>
              <w:top w:val="single" w:sz="12" w:space="0" w:color="C00000"/>
              <w:left w:val="single" w:sz="12" w:space="0" w:color="C00000"/>
              <w:bottom w:val="nil"/>
            </w:tcBorders>
          </w:tcPr>
          <w:p w:rsidR="003D2194" w:rsidRDefault="003D2194" w:rsidP="00CF69E8">
            <w:pPr>
              <w:pStyle w:val="TableText"/>
            </w:pPr>
          </w:p>
        </w:tc>
        <w:tc>
          <w:tcPr>
            <w:tcW w:w="3969" w:type="dxa"/>
            <w:gridSpan w:val="2"/>
            <w:vMerge/>
            <w:shd w:val="clear" w:color="auto" w:fill="DBE5F1" w:themeFill="accent1" w:themeFillTint="33"/>
          </w:tcPr>
          <w:p w:rsidR="003D2194" w:rsidRPr="000312D7" w:rsidRDefault="003D2194" w:rsidP="00CF69E8">
            <w:pPr>
              <w:pStyle w:val="TableText"/>
              <w:jc w:val="center"/>
              <w:rPr>
                <w:sz w:val="24"/>
                <w:szCs w:val="24"/>
              </w:rPr>
            </w:pPr>
          </w:p>
        </w:tc>
      </w:tr>
      <w:tr w:rsidR="003D2194" w:rsidTr="003D2194">
        <w:trPr>
          <w:cantSplit/>
        </w:trPr>
        <w:tc>
          <w:tcPr>
            <w:tcW w:w="8647" w:type="dxa"/>
            <w:gridSpan w:val="2"/>
            <w:tcBorders>
              <w:top w:val="nil"/>
            </w:tcBorders>
          </w:tcPr>
          <w:p w:rsidR="003D2194" w:rsidRDefault="003D2194" w:rsidP="003D2194">
            <w:pPr>
              <w:pStyle w:val="TableText"/>
              <w:spacing w:before="120"/>
              <w:ind w:left="567" w:hanging="567"/>
            </w:pPr>
            <w:r>
              <w:t>1</w:t>
            </w:r>
            <w:r>
              <w:tab/>
              <w:t>Does the proposed vision capture what you see as the desirable future state for health research in New Zealand by 2026?</w:t>
            </w:r>
          </w:p>
          <w:p w:rsidR="003D2194" w:rsidRDefault="003D2194" w:rsidP="003D2194">
            <w:pPr>
              <w:pStyle w:val="TableText"/>
              <w:spacing w:before="120"/>
              <w:ind w:left="567" w:hanging="567"/>
            </w:pPr>
            <w:r>
              <w:t>2</w:t>
            </w:r>
            <w:r>
              <w:tab/>
              <w:t>Are there additional aspects that you think should be included in the vision?</w:t>
            </w:r>
          </w:p>
          <w:p w:rsidR="003D2194" w:rsidRDefault="003D2194" w:rsidP="003D2194">
            <w:pPr>
              <w:pStyle w:val="TableText"/>
              <w:spacing w:before="120"/>
              <w:ind w:left="567" w:hanging="567"/>
            </w:pPr>
            <w:r>
              <w:t>3</w:t>
            </w:r>
            <w:r>
              <w:tab/>
              <w:t>Does the proposed mission capture key contributions and roles that are needed to achieve the vision – if not, what do you think should be included?</w:t>
            </w:r>
          </w:p>
          <w:p w:rsidR="003D2194" w:rsidRDefault="003D2194" w:rsidP="003D2194">
            <w:pPr>
              <w:pStyle w:val="TableText"/>
              <w:spacing w:before="120"/>
              <w:ind w:left="567" w:hanging="567"/>
            </w:pPr>
            <w:r>
              <w:t>4</w:t>
            </w:r>
            <w:r>
              <w:tab/>
              <w:t>Do these proposed guiding principles clearly state the operating principles and values that are needed to achieve change over the next 10 years?</w:t>
            </w:r>
          </w:p>
          <w:p w:rsidR="003D2194" w:rsidRDefault="003D2194" w:rsidP="003D2194">
            <w:pPr>
              <w:pStyle w:val="TableText"/>
              <w:spacing w:before="120"/>
              <w:ind w:left="567" w:hanging="567"/>
            </w:pPr>
            <w:r>
              <w:t>5</w:t>
            </w:r>
            <w:r>
              <w:tab/>
              <w:t>Do you think additional guiding principles are needed?</w:t>
            </w:r>
          </w:p>
          <w:p w:rsidR="003D2194" w:rsidRPr="007D679D" w:rsidRDefault="003D2194" w:rsidP="003D2194">
            <w:pPr>
              <w:pStyle w:val="TableText"/>
              <w:spacing w:before="120" w:after="120"/>
              <w:ind w:left="567" w:hanging="567"/>
            </w:pPr>
            <w:r>
              <w:t>6</w:t>
            </w:r>
            <w:r>
              <w:tab/>
              <w:t>Taken together, do you think the proposed vision, mission and guiding principles will set the framework for a more cohesive and connected health research and innovation system?</w:t>
            </w:r>
          </w:p>
        </w:tc>
        <w:tc>
          <w:tcPr>
            <w:tcW w:w="425" w:type="dxa"/>
            <w:tcBorders>
              <w:bottom w:val="nil"/>
              <w:right w:val="nil"/>
            </w:tcBorders>
          </w:tcPr>
          <w:p w:rsidR="003D2194" w:rsidRDefault="003D2194" w:rsidP="00CF69E8">
            <w:pPr>
              <w:pStyle w:val="TableText"/>
            </w:pPr>
          </w:p>
        </w:tc>
      </w:tr>
    </w:tbl>
    <w:p w:rsidR="007575F7" w:rsidRDefault="007575F7" w:rsidP="001344B9">
      <w:pPr>
        <w:spacing w:after="120" w:line="240" w:lineRule="auto"/>
      </w:pPr>
    </w:p>
    <w:p w:rsidR="007575F7" w:rsidRDefault="007575F7" w:rsidP="001344B9">
      <w:pPr>
        <w:spacing w:after="120" w:line="240" w:lineRule="auto"/>
        <w:sectPr w:rsidR="007575F7" w:rsidSect="006A7FFA">
          <w:headerReference w:type="default" r:id="rId17"/>
          <w:pgSz w:w="11907" w:h="16834" w:code="9"/>
          <w:pgMar w:top="1418" w:right="1418" w:bottom="1418" w:left="1418" w:header="284" w:footer="567" w:gutter="0"/>
          <w:pgNumType w:start="1"/>
          <w:cols w:space="720"/>
        </w:sectPr>
      </w:pPr>
    </w:p>
    <w:tbl>
      <w:tblPr>
        <w:tblStyle w:val="TableGrid"/>
        <w:tblW w:w="15451" w:type="dxa"/>
        <w:tblInd w:w="142"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left w:w="142" w:type="dxa"/>
          <w:right w:w="142" w:type="dxa"/>
        </w:tblCellMar>
        <w:tblLook w:val="04A0" w:firstRow="1" w:lastRow="0" w:firstColumn="1" w:lastColumn="0" w:noHBand="0" w:noVBand="1"/>
      </w:tblPr>
      <w:tblGrid>
        <w:gridCol w:w="304"/>
        <w:gridCol w:w="3240"/>
        <w:gridCol w:w="304"/>
        <w:gridCol w:w="1201"/>
        <w:gridCol w:w="1168"/>
        <w:gridCol w:w="304"/>
        <w:gridCol w:w="1134"/>
        <w:gridCol w:w="1964"/>
        <w:gridCol w:w="162"/>
        <w:gridCol w:w="142"/>
        <w:gridCol w:w="175"/>
        <w:gridCol w:w="2214"/>
        <w:gridCol w:w="304"/>
        <w:gridCol w:w="2227"/>
        <w:gridCol w:w="304"/>
        <w:gridCol w:w="304"/>
      </w:tblGrid>
      <w:tr w:rsidR="007575F7" w:rsidRPr="007D679D" w:rsidTr="006B59CC">
        <w:trPr>
          <w:cantSplit/>
        </w:trPr>
        <w:tc>
          <w:tcPr>
            <w:tcW w:w="9781" w:type="dxa"/>
            <w:gridSpan w:val="9"/>
            <w:tcBorders>
              <w:top w:val="nil"/>
              <w:left w:val="nil"/>
              <w:bottom w:val="single" w:sz="12" w:space="0" w:color="002060"/>
              <w:right w:val="single" w:sz="12" w:space="0" w:color="002060"/>
            </w:tcBorders>
          </w:tcPr>
          <w:p w:rsidR="007575F7" w:rsidRPr="001034A2" w:rsidRDefault="007575F7" w:rsidP="006A7220">
            <w:pPr>
              <w:pStyle w:val="TableText"/>
              <w:rPr>
                <w:sz w:val="20"/>
              </w:rPr>
            </w:pPr>
          </w:p>
        </w:tc>
        <w:tc>
          <w:tcPr>
            <w:tcW w:w="5670" w:type="dxa"/>
            <w:gridSpan w:val="7"/>
            <w:vMerge w:val="restart"/>
            <w:tcBorders>
              <w:left w:val="single" w:sz="12" w:space="0" w:color="002060"/>
            </w:tcBorders>
            <w:shd w:val="clear" w:color="auto" w:fill="DBE5F1" w:themeFill="accent1" w:themeFillTint="33"/>
            <w:vAlign w:val="center"/>
          </w:tcPr>
          <w:p w:rsidR="007575F7" w:rsidRPr="007D679D" w:rsidRDefault="007575F7" w:rsidP="006A7220">
            <w:pPr>
              <w:pStyle w:val="TableText"/>
              <w:spacing w:before="60" w:after="60"/>
              <w:jc w:val="center"/>
              <w:rPr>
                <w:color w:val="002060"/>
                <w:sz w:val="24"/>
                <w:szCs w:val="24"/>
              </w:rPr>
            </w:pPr>
            <w:r>
              <w:rPr>
                <w:color w:val="002060"/>
                <w:sz w:val="24"/>
                <w:szCs w:val="24"/>
              </w:rPr>
              <w:t>Proposed vision, mission and guiding principles</w:t>
            </w:r>
          </w:p>
        </w:tc>
      </w:tr>
      <w:tr w:rsidR="007575F7" w:rsidRPr="001034A2" w:rsidTr="006B59CC">
        <w:trPr>
          <w:cantSplit/>
        </w:trPr>
        <w:tc>
          <w:tcPr>
            <w:tcW w:w="9781" w:type="dxa"/>
            <w:gridSpan w:val="9"/>
            <w:tcBorders>
              <w:top w:val="single" w:sz="12" w:space="0" w:color="002060"/>
              <w:left w:val="single" w:sz="12" w:space="0" w:color="002060"/>
              <w:bottom w:val="nil"/>
              <w:right w:val="single" w:sz="12" w:space="0" w:color="002060"/>
            </w:tcBorders>
          </w:tcPr>
          <w:p w:rsidR="007575F7" w:rsidRPr="001034A2" w:rsidRDefault="007575F7" w:rsidP="006A7220">
            <w:pPr>
              <w:pStyle w:val="TableText"/>
              <w:rPr>
                <w:sz w:val="20"/>
              </w:rPr>
            </w:pPr>
          </w:p>
        </w:tc>
        <w:tc>
          <w:tcPr>
            <w:tcW w:w="5670" w:type="dxa"/>
            <w:gridSpan w:val="7"/>
            <w:vMerge/>
            <w:tcBorders>
              <w:left w:val="single" w:sz="12" w:space="0" w:color="002060"/>
              <w:bottom w:val="single" w:sz="12" w:space="0" w:color="002060"/>
            </w:tcBorders>
            <w:shd w:val="clear" w:color="auto" w:fill="DBE5F1" w:themeFill="accent1" w:themeFillTint="33"/>
          </w:tcPr>
          <w:p w:rsidR="007575F7" w:rsidRPr="001034A2" w:rsidRDefault="007575F7" w:rsidP="006A7220">
            <w:pPr>
              <w:pStyle w:val="TableText"/>
              <w:jc w:val="center"/>
              <w:rPr>
                <w:sz w:val="20"/>
              </w:rPr>
            </w:pPr>
          </w:p>
        </w:tc>
      </w:tr>
      <w:tr w:rsidR="007575F7" w:rsidRPr="00EC5B2D" w:rsidTr="006B59CC">
        <w:trPr>
          <w:cantSplit/>
        </w:trPr>
        <w:tc>
          <w:tcPr>
            <w:tcW w:w="15147" w:type="dxa"/>
            <w:gridSpan w:val="15"/>
            <w:tcBorders>
              <w:top w:val="nil"/>
              <w:left w:val="single" w:sz="12" w:space="0" w:color="002060"/>
              <w:bottom w:val="nil"/>
              <w:right w:val="single" w:sz="12" w:space="0" w:color="002060"/>
            </w:tcBorders>
          </w:tcPr>
          <w:p w:rsidR="007575F7" w:rsidRPr="00EC5B2D" w:rsidRDefault="007575F7" w:rsidP="006A7220">
            <w:pPr>
              <w:pStyle w:val="TableText"/>
              <w:rPr>
                <w:sz w:val="12"/>
                <w:szCs w:val="12"/>
              </w:rPr>
            </w:pPr>
          </w:p>
        </w:tc>
        <w:tc>
          <w:tcPr>
            <w:tcW w:w="304" w:type="dxa"/>
            <w:tcBorders>
              <w:top w:val="nil"/>
              <w:left w:val="single" w:sz="12" w:space="0" w:color="002060"/>
              <w:bottom w:val="nil"/>
              <w:right w:val="nil"/>
            </w:tcBorders>
          </w:tcPr>
          <w:p w:rsidR="007575F7" w:rsidRPr="00EC5B2D" w:rsidRDefault="007575F7" w:rsidP="006A7220">
            <w:pPr>
              <w:pStyle w:val="TableText"/>
              <w:rPr>
                <w:sz w:val="12"/>
                <w:szCs w:val="12"/>
              </w:rPr>
            </w:pPr>
          </w:p>
        </w:tc>
      </w:tr>
      <w:tr w:rsidR="00DF66B6" w:rsidRPr="006B59CC" w:rsidTr="006B59CC">
        <w:trPr>
          <w:cantSplit/>
        </w:trPr>
        <w:tc>
          <w:tcPr>
            <w:tcW w:w="304" w:type="dxa"/>
            <w:tcBorders>
              <w:top w:val="nil"/>
              <w:left w:val="single" w:sz="12" w:space="0" w:color="002060"/>
              <w:bottom w:val="nil"/>
              <w:right w:val="nil"/>
            </w:tcBorders>
          </w:tcPr>
          <w:p w:rsidR="007575F7" w:rsidRPr="006B59CC" w:rsidRDefault="007575F7" w:rsidP="006B59CC">
            <w:pPr>
              <w:pStyle w:val="TableText"/>
              <w:spacing w:before="40" w:after="40"/>
              <w:rPr>
                <w:sz w:val="26"/>
                <w:szCs w:val="26"/>
              </w:rPr>
            </w:pPr>
          </w:p>
        </w:tc>
        <w:tc>
          <w:tcPr>
            <w:tcW w:w="14539" w:type="dxa"/>
            <w:gridSpan w:val="13"/>
            <w:tcBorders>
              <w:top w:val="nil"/>
              <w:left w:val="nil"/>
              <w:bottom w:val="nil"/>
              <w:right w:val="nil"/>
            </w:tcBorders>
            <w:shd w:val="clear" w:color="auto" w:fill="B8CCE4" w:themeFill="accent1" w:themeFillTint="66"/>
          </w:tcPr>
          <w:p w:rsidR="007575F7" w:rsidRPr="006B59CC" w:rsidRDefault="007575F7" w:rsidP="006B59CC">
            <w:pPr>
              <w:pStyle w:val="TableText"/>
              <w:spacing w:before="40" w:after="40"/>
              <w:jc w:val="center"/>
              <w:rPr>
                <w:b/>
                <w:color w:val="002060"/>
                <w:sz w:val="26"/>
                <w:szCs w:val="26"/>
              </w:rPr>
            </w:pPr>
            <w:r w:rsidRPr="006B59CC">
              <w:rPr>
                <w:b/>
                <w:color w:val="002060"/>
                <w:sz w:val="26"/>
                <w:szCs w:val="26"/>
              </w:rPr>
              <w:t>PROPOSED VISION FOR 2026</w:t>
            </w:r>
          </w:p>
        </w:tc>
        <w:tc>
          <w:tcPr>
            <w:tcW w:w="304" w:type="dxa"/>
            <w:tcBorders>
              <w:top w:val="nil"/>
              <w:left w:val="nil"/>
              <w:bottom w:val="nil"/>
              <w:right w:val="single" w:sz="12" w:space="0" w:color="002060"/>
            </w:tcBorders>
          </w:tcPr>
          <w:p w:rsidR="007575F7" w:rsidRPr="006B59CC" w:rsidRDefault="007575F7" w:rsidP="006B59CC">
            <w:pPr>
              <w:pStyle w:val="TableText"/>
              <w:spacing w:before="40" w:after="40"/>
              <w:rPr>
                <w:sz w:val="26"/>
                <w:szCs w:val="26"/>
              </w:rPr>
            </w:pPr>
          </w:p>
        </w:tc>
        <w:tc>
          <w:tcPr>
            <w:tcW w:w="304" w:type="dxa"/>
            <w:tcBorders>
              <w:top w:val="nil"/>
              <w:left w:val="single" w:sz="12" w:space="0" w:color="002060"/>
              <w:bottom w:val="nil"/>
              <w:right w:val="nil"/>
            </w:tcBorders>
          </w:tcPr>
          <w:p w:rsidR="007575F7" w:rsidRPr="006B59CC" w:rsidRDefault="007575F7" w:rsidP="006B59CC">
            <w:pPr>
              <w:pStyle w:val="TableText"/>
              <w:spacing w:before="40" w:after="40"/>
              <w:rPr>
                <w:sz w:val="26"/>
                <w:szCs w:val="26"/>
              </w:rPr>
            </w:pPr>
          </w:p>
        </w:tc>
      </w:tr>
      <w:tr w:rsidR="007575F7" w:rsidTr="006B59CC">
        <w:trPr>
          <w:cantSplit/>
        </w:trPr>
        <w:tc>
          <w:tcPr>
            <w:tcW w:w="304" w:type="dxa"/>
            <w:tcBorders>
              <w:top w:val="nil"/>
              <w:left w:val="single" w:sz="12" w:space="0" w:color="002060"/>
              <w:bottom w:val="nil"/>
              <w:right w:val="nil"/>
            </w:tcBorders>
          </w:tcPr>
          <w:p w:rsidR="007575F7" w:rsidRPr="00EC5B2D" w:rsidRDefault="007575F7" w:rsidP="006A7220">
            <w:pPr>
              <w:pStyle w:val="TableText"/>
              <w:rPr>
                <w:sz w:val="20"/>
              </w:rPr>
            </w:pPr>
          </w:p>
        </w:tc>
        <w:tc>
          <w:tcPr>
            <w:tcW w:w="14539" w:type="dxa"/>
            <w:gridSpan w:val="13"/>
            <w:tcBorders>
              <w:top w:val="nil"/>
              <w:left w:val="nil"/>
              <w:bottom w:val="nil"/>
              <w:right w:val="nil"/>
            </w:tcBorders>
            <w:shd w:val="clear" w:color="auto" w:fill="DBE5F1" w:themeFill="accent1" w:themeFillTint="33"/>
          </w:tcPr>
          <w:p w:rsidR="007575F7" w:rsidRPr="00DF66B6" w:rsidRDefault="007575F7" w:rsidP="006B59CC">
            <w:pPr>
              <w:pStyle w:val="TableText"/>
              <w:spacing w:before="60" w:after="60"/>
              <w:rPr>
                <w:sz w:val="20"/>
              </w:rPr>
            </w:pPr>
            <w:r w:rsidRPr="00DF66B6">
              <w:rPr>
                <w:sz w:val="20"/>
              </w:rPr>
              <w:t>New Zealand will have a more dynamic, well connected and world-leading health research and innovation system that markedly improves the health, social and economic wellbeing, of all New Zealanders.</w:t>
            </w:r>
          </w:p>
          <w:p w:rsidR="007575F7" w:rsidRPr="007575F7" w:rsidRDefault="007575F7" w:rsidP="007575F7">
            <w:pPr>
              <w:pStyle w:val="TableText"/>
              <w:rPr>
                <w:b/>
                <w:sz w:val="19"/>
                <w:szCs w:val="19"/>
              </w:rPr>
            </w:pPr>
            <w:r w:rsidRPr="007575F7">
              <w:rPr>
                <w:b/>
                <w:color w:val="0070C0"/>
                <w:sz w:val="19"/>
                <w:szCs w:val="19"/>
              </w:rPr>
              <w:t>BY 2026, WE WANT TO SEE:</w:t>
            </w:r>
          </w:p>
        </w:tc>
        <w:tc>
          <w:tcPr>
            <w:tcW w:w="304" w:type="dxa"/>
            <w:tcBorders>
              <w:top w:val="nil"/>
              <w:left w:val="nil"/>
              <w:bottom w:val="nil"/>
              <w:right w:val="single" w:sz="12" w:space="0" w:color="002060"/>
            </w:tcBorders>
          </w:tcPr>
          <w:p w:rsidR="007575F7" w:rsidRPr="00EC5B2D" w:rsidRDefault="007575F7" w:rsidP="006A7220">
            <w:pPr>
              <w:pStyle w:val="TableText"/>
              <w:rPr>
                <w:sz w:val="20"/>
              </w:rPr>
            </w:pPr>
          </w:p>
        </w:tc>
        <w:tc>
          <w:tcPr>
            <w:tcW w:w="304" w:type="dxa"/>
            <w:tcBorders>
              <w:top w:val="nil"/>
              <w:left w:val="single" w:sz="12" w:space="0" w:color="002060"/>
              <w:bottom w:val="nil"/>
              <w:right w:val="nil"/>
            </w:tcBorders>
          </w:tcPr>
          <w:p w:rsidR="007575F7" w:rsidRDefault="007575F7" w:rsidP="006A7220">
            <w:pPr>
              <w:pStyle w:val="TableText"/>
            </w:pPr>
          </w:p>
        </w:tc>
      </w:tr>
      <w:tr w:rsidR="007575F7" w:rsidRPr="006B59CC" w:rsidTr="006B59CC">
        <w:trPr>
          <w:cantSplit/>
        </w:trPr>
        <w:tc>
          <w:tcPr>
            <w:tcW w:w="304" w:type="dxa"/>
            <w:tcBorders>
              <w:top w:val="nil"/>
              <w:left w:val="single" w:sz="12" w:space="0" w:color="002060"/>
              <w:bottom w:val="nil"/>
              <w:right w:val="nil"/>
            </w:tcBorders>
          </w:tcPr>
          <w:p w:rsidR="007575F7" w:rsidRPr="006B59CC" w:rsidRDefault="007575F7" w:rsidP="006A7220">
            <w:pPr>
              <w:pStyle w:val="TableText"/>
              <w:rPr>
                <w:sz w:val="18"/>
                <w:szCs w:val="18"/>
              </w:rPr>
            </w:pPr>
          </w:p>
        </w:tc>
        <w:tc>
          <w:tcPr>
            <w:tcW w:w="7351" w:type="dxa"/>
            <w:gridSpan w:val="6"/>
            <w:tcBorders>
              <w:top w:val="nil"/>
              <w:left w:val="nil"/>
              <w:bottom w:val="nil"/>
              <w:right w:val="nil"/>
            </w:tcBorders>
            <w:shd w:val="clear" w:color="auto" w:fill="DBE5F1" w:themeFill="accent1" w:themeFillTint="33"/>
          </w:tcPr>
          <w:p w:rsidR="007575F7" w:rsidRPr="006B59CC" w:rsidRDefault="007575F7" w:rsidP="006B59CC">
            <w:pPr>
              <w:pStyle w:val="TableBullet"/>
              <w:numPr>
                <w:ilvl w:val="0"/>
                <w:numId w:val="38"/>
              </w:numPr>
              <w:spacing w:before="40"/>
              <w:ind w:left="284" w:hanging="284"/>
              <w:rPr>
                <w:sz w:val="18"/>
                <w:szCs w:val="18"/>
              </w:rPr>
            </w:pPr>
            <w:r w:rsidRPr="006B59CC">
              <w:rPr>
                <w:sz w:val="18"/>
                <w:szCs w:val="18"/>
              </w:rPr>
              <w:t>a highly integrated, dynamic and adaptive health research system making a meaningful contribution to a smart health system and to social policy and practice</w:t>
            </w:r>
          </w:p>
          <w:p w:rsidR="007575F7" w:rsidRPr="006B59CC" w:rsidRDefault="007575F7" w:rsidP="006B59CC">
            <w:pPr>
              <w:pStyle w:val="TableBullet"/>
              <w:numPr>
                <w:ilvl w:val="0"/>
                <w:numId w:val="38"/>
              </w:numPr>
              <w:spacing w:before="40"/>
              <w:ind w:left="284" w:hanging="284"/>
              <w:rPr>
                <w:spacing w:val="-2"/>
                <w:sz w:val="18"/>
                <w:szCs w:val="18"/>
              </w:rPr>
            </w:pPr>
            <w:r w:rsidRPr="006B59CC">
              <w:rPr>
                <w:spacing w:val="-2"/>
                <w:sz w:val="18"/>
                <w:szCs w:val="18"/>
              </w:rPr>
              <w:t>clinicians actively involved in health research, enabling effective translation of research results</w:t>
            </w:r>
          </w:p>
          <w:p w:rsidR="007575F7" w:rsidRPr="006B59CC" w:rsidRDefault="007575F7" w:rsidP="00363917">
            <w:pPr>
              <w:pStyle w:val="TableBullet"/>
              <w:numPr>
                <w:ilvl w:val="0"/>
                <w:numId w:val="38"/>
              </w:numPr>
              <w:spacing w:before="40" w:after="40"/>
              <w:ind w:left="284" w:hanging="284"/>
              <w:rPr>
                <w:sz w:val="18"/>
                <w:szCs w:val="18"/>
              </w:rPr>
            </w:pPr>
            <w:r w:rsidRPr="006B59CC">
              <w:rPr>
                <w:sz w:val="18"/>
                <w:szCs w:val="18"/>
              </w:rPr>
              <w:t>widespread use and adoption of new and emerging technologies and innovations, such as genomics, epigenetics, nanotechnology and robotics</w:t>
            </w:r>
          </w:p>
        </w:tc>
        <w:tc>
          <w:tcPr>
            <w:tcW w:w="7188" w:type="dxa"/>
            <w:gridSpan w:val="7"/>
            <w:tcBorders>
              <w:top w:val="nil"/>
              <w:left w:val="nil"/>
              <w:bottom w:val="nil"/>
              <w:right w:val="nil"/>
            </w:tcBorders>
            <w:shd w:val="clear" w:color="auto" w:fill="DBE5F1" w:themeFill="accent1" w:themeFillTint="33"/>
          </w:tcPr>
          <w:p w:rsidR="007575F7" w:rsidRPr="006B59CC" w:rsidRDefault="007575F7" w:rsidP="006B59CC">
            <w:pPr>
              <w:pStyle w:val="TableBullet"/>
              <w:numPr>
                <w:ilvl w:val="0"/>
                <w:numId w:val="38"/>
              </w:numPr>
              <w:spacing w:before="40"/>
              <w:ind w:left="284" w:hanging="284"/>
              <w:rPr>
                <w:sz w:val="18"/>
                <w:szCs w:val="18"/>
              </w:rPr>
            </w:pPr>
            <w:r w:rsidRPr="006B59CC">
              <w:rPr>
                <w:sz w:val="18"/>
                <w:szCs w:val="18"/>
              </w:rPr>
              <w:t>excellent science and more domains of high-impact and world-leading research</w:t>
            </w:r>
          </w:p>
          <w:p w:rsidR="007575F7" w:rsidRPr="006B59CC" w:rsidRDefault="007575F7" w:rsidP="006B59CC">
            <w:pPr>
              <w:pStyle w:val="TableBullet"/>
              <w:numPr>
                <w:ilvl w:val="0"/>
                <w:numId w:val="38"/>
              </w:numPr>
              <w:spacing w:before="40"/>
              <w:ind w:left="284" w:hanging="284"/>
              <w:rPr>
                <w:sz w:val="18"/>
                <w:szCs w:val="18"/>
              </w:rPr>
            </w:pPr>
            <w:r w:rsidRPr="006B59CC">
              <w:rPr>
                <w:sz w:val="18"/>
                <w:szCs w:val="18"/>
              </w:rPr>
              <w:t>meaningful collaborations across the life and social sciences and with engineering</w:t>
            </w:r>
          </w:p>
          <w:p w:rsidR="007575F7" w:rsidRPr="006B59CC" w:rsidRDefault="007575F7" w:rsidP="006B59CC">
            <w:pPr>
              <w:pStyle w:val="TableBullet"/>
              <w:numPr>
                <w:ilvl w:val="0"/>
                <w:numId w:val="38"/>
              </w:numPr>
              <w:spacing w:before="40"/>
              <w:ind w:left="284" w:hanging="284"/>
              <w:rPr>
                <w:spacing w:val="-2"/>
                <w:sz w:val="18"/>
                <w:szCs w:val="18"/>
              </w:rPr>
            </w:pPr>
            <w:r w:rsidRPr="006B59CC">
              <w:rPr>
                <w:spacing w:val="-2"/>
                <w:sz w:val="18"/>
                <w:szCs w:val="18"/>
              </w:rPr>
              <w:t>strong connections to the biological economy, the manufacturing sector and food industries</w:t>
            </w:r>
          </w:p>
          <w:p w:rsidR="007575F7" w:rsidRPr="006B59CC" w:rsidRDefault="007575F7" w:rsidP="006B59CC">
            <w:pPr>
              <w:pStyle w:val="TableBullet"/>
              <w:numPr>
                <w:ilvl w:val="0"/>
                <w:numId w:val="38"/>
              </w:numPr>
              <w:spacing w:before="40"/>
              <w:ind w:left="284" w:hanging="284"/>
              <w:rPr>
                <w:sz w:val="18"/>
                <w:szCs w:val="18"/>
              </w:rPr>
            </w:pPr>
            <w:proofErr w:type="gramStart"/>
            <w:r w:rsidRPr="006B59CC">
              <w:rPr>
                <w:sz w:val="18"/>
                <w:szCs w:val="18"/>
              </w:rPr>
              <w:t>a</w:t>
            </w:r>
            <w:proofErr w:type="gramEnd"/>
            <w:r w:rsidRPr="006B59CC">
              <w:rPr>
                <w:sz w:val="18"/>
                <w:szCs w:val="18"/>
              </w:rPr>
              <w:t xml:space="preserve"> stronger health-related commercial sector with growing high-value exports.</w:t>
            </w:r>
          </w:p>
        </w:tc>
        <w:tc>
          <w:tcPr>
            <w:tcW w:w="304" w:type="dxa"/>
            <w:tcBorders>
              <w:top w:val="nil"/>
              <w:left w:val="nil"/>
              <w:bottom w:val="nil"/>
              <w:right w:val="single" w:sz="12" w:space="0" w:color="002060"/>
            </w:tcBorders>
          </w:tcPr>
          <w:p w:rsidR="007575F7" w:rsidRPr="006B59CC" w:rsidRDefault="007575F7" w:rsidP="006A7220">
            <w:pPr>
              <w:pStyle w:val="TableText"/>
              <w:rPr>
                <w:sz w:val="18"/>
                <w:szCs w:val="18"/>
              </w:rPr>
            </w:pPr>
          </w:p>
        </w:tc>
        <w:tc>
          <w:tcPr>
            <w:tcW w:w="304" w:type="dxa"/>
            <w:tcBorders>
              <w:top w:val="nil"/>
              <w:left w:val="single" w:sz="12" w:space="0" w:color="002060"/>
              <w:bottom w:val="nil"/>
              <w:right w:val="nil"/>
            </w:tcBorders>
          </w:tcPr>
          <w:p w:rsidR="007575F7" w:rsidRPr="006B59CC" w:rsidRDefault="007575F7" w:rsidP="006A7220">
            <w:pPr>
              <w:pStyle w:val="TableText"/>
              <w:rPr>
                <w:sz w:val="18"/>
                <w:szCs w:val="18"/>
              </w:rPr>
            </w:pPr>
          </w:p>
        </w:tc>
      </w:tr>
      <w:tr w:rsidR="007575F7" w:rsidRPr="006B59CC" w:rsidTr="006B59CC">
        <w:trPr>
          <w:cantSplit/>
        </w:trPr>
        <w:tc>
          <w:tcPr>
            <w:tcW w:w="15147" w:type="dxa"/>
            <w:gridSpan w:val="15"/>
            <w:tcBorders>
              <w:top w:val="nil"/>
              <w:left w:val="single" w:sz="12" w:space="0" w:color="002060"/>
              <w:bottom w:val="nil"/>
              <w:right w:val="single" w:sz="12" w:space="0" w:color="002060"/>
            </w:tcBorders>
          </w:tcPr>
          <w:p w:rsidR="007575F7" w:rsidRPr="006B59CC" w:rsidRDefault="007575F7" w:rsidP="006B59CC">
            <w:pPr>
              <w:pStyle w:val="TableText"/>
              <w:spacing w:line="216" w:lineRule="auto"/>
              <w:jc w:val="center"/>
              <w:rPr>
                <w:sz w:val="32"/>
                <w:szCs w:val="32"/>
              </w:rPr>
            </w:pPr>
            <w:r w:rsidRPr="006B59CC">
              <w:rPr>
                <w:sz w:val="32"/>
                <w:szCs w:val="32"/>
              </w:rPr>
              <w:sym w:font="Wingdings 3" w:char="F0C7"/>
            </w:r>
          </w:p>
        </w:tc>
        <w:tc>
          <w:tcPr>
            <w:tcW w:w="304" w:type="dxa"/>
            <w:tcBorders>
              <w:top w:val="nil"/>
              <w:left w:val="single" w:sz="12" w:space="0" w:color="002060"/>
              <w:bottom w:val="nil"/>
              <w:right w:val="nil"/>
            </w:tcBorders>
          </w:tcPr>
          <w:p w:rsidR="007575F7" w:rsidRPr="006B59CC" w:rsidRDefault="007575F7" w:rsidP="006B59CC">
            <w:pPr>
              <w:pStyle w:val="TableText"/>
              <w:spacing w:line="216" w:lineRule="auto"/>
              <w:rPr>
                <w:sz w:val="32"/>
                <w:szCs w:val="32"/>
              </w:rPr>
            </w:pPr>
          </w:p>
        </w:tc>
      </w:tr>
      <w:tr w:rsidR="00DF66B6" w:rsidRPr="006B59CC" w:rsidTr="006B59CC">
        <w:trPr>
          <w:cantSplit/>
        </w:trPr>
        <w:tc>
          <w:tcPr>
            <w:tcW w:w="304" w:type="dxa"/>
            <w:tcBorders>
              <w:top w:val="nil"/>
              <w:left w:val="single" w:sz="12" w:space="0" w:color="002060"/>
              <w:bottom w:val="nil"/>
              <w:right w:val="nil"/>
            </w:tcBorders>
          </w:tcPr>
          <w:p w:rsidR="007575F7" w:rsidRPr="006B59CC" w:rsidRDefault="007575F7" w:rsidP="006B59CC">
            <w:pPr>
              <w:pStyle w:val="TableText"/>
              <w:spacing w:before="40" w:after="40"/>
              <w:rPr>
                <w:sz w:val="26"/>
                <w:szCs w:val="26"/>
              </w:rPr>
            </w:pPr>
          </w:p>
        </w:tc>
        <w:tc>
          <w:tcPr>
            <w:tcW w:w="14539" w:type="dxa"/>
            <w:gridSpan w:val="13"/>
            <w:tcBorders>
              <w:top w:val="nil"/>
              <w:left w:val="nil"/>
              <w:bottom w:val="nil"/>
              <w:right w:val="nil"/>
            </w:tcBorders>
            <w:shd w:val="clear" w:color="auto" w:fill="B8CCE4" w:themeFill="accent1" w:themeFillTint="66"/>
          </w:tcPr>
          <w:p w:rsidR="007575F7" w:rsidRPr="006B59CC" w:rsidRDefault="007575F7" w:rsidP="006B59CC">
            <w:pPr>
              <w:pStyle w:val="TableText"/>
              <w:spacing w:before="40" w:after="40"/>
              <w:jc w:val="center"/>
              <w:rPr>
                <w:b/>
                <w:color w:val="002060"/>
                <w:sz w:val="26"/>
                <w:szCs w:val="26"/>
              </w:rPr>
            </w:pPr>
            <w:r w:rsidRPr="006B59CC">
              <w:rPr>
                <w:b/>
                <w:color w:val="002060"/>
                <w:sz w:val="26"/>
                <w:szCs w:val="26"/>
              </w:rPr>
              <w:t>PROPOSED MISSION</w:t>
            </w:r>
          </w:p>
        </w:tc>
        <w:tc>
          <w:tcPr>
            <w:tcW w:w="304" w:type="dxa"/>
            <w:tcBorders>
              <w:top w:val="nil"/>
              <w:left w:val="nil"/>
              <w:bottom w:val="nil"/>
              <w:right w:val="single" w:sz="12" w:space="0" w:color="002060"/>
            </w:tcBorders>
          </w:tcPr>
          <w:p w:rsidR="007575F7" w:rsidRPr="006B59CC" w:rsidRDefault="007575F7" w:rsidP="006B59CC">
            <w:pPr>
              <w:pStyle w:val="TableText"/>
              <w:spacing w:before="40" w:after="40"/>
              <w:rPr>
                <w:sz w:val="26"/>
                <w:szCs w:val="26"/>
              </w:rPr>
            </w:pPr>
          </w:p>
        </w:tc>
        <w:tc>
          <w:tcPr>
            <w:tcW w:w="304" w:type="dxa"/>
            <w:tcBorders>
              <w:top w:val="nil"/>
              <w:left w:val="single" w:sz="12" w:space="0" w:color="002060"/>
              <w:bottom w:val="nil"/>
              <w:right w:val="nil"/>
            </w:tcBorders>
          </w:tcPr>
          <w:p w:rsidR="007575F7" w:rsidRPr="006B59CC" w:rsidRDefault="007575F7" w:rsidP="006B59CC">
            <w:pPr>
              <w:pStyle w:val="TableText"/>
              <w:spacing w:before="40" w:after="40"/>
              <w:rPr>
                <w:sz w:val="26"/>
                <w:szCs w:val="26"/>
              </w:rPr>
            </w:pPr>
          </w:p>
        </w:tc>
      </w:tr>
      <w:tr w:rsidR="007575F7" w:rsidTr="006B59CC">
        <w:trPr>
          <w:cantSplit/>
        </w:trPr>
        <w:tc>
          <w:tcPr>
            <w:tcW w:w="304" w:type="dxa"/>
            <w:tcBorders>
              <w:top w:val="nil"/>
              <w:left w:val="single" w:sz="12" w:space="0" w:color="002060"/>
              <w:bottom w:val="nil"/>
              <w:right w:val="nil"/>
            </w:tcBorders>
          </w:tcPr>
          <w:p w:rsidR="007575F7" w:rsidRPr="00EC5B2D" w:rsidRDefault="007575F7" w:rsidP="006A7220">
            <w:pPr>
              <w:pStyle w:val="TableText"/>
              <w:rPr>
                <w:sz w:val="20"/>
              </w:rPr>
            </w:pPr>
          </w:p>
        </w:tc>
        <w:tc>
          <w:tcPr>
            <w:tcW w:w="14539" w:type="dxa"/>
            <w:gridSpan w:val="13"/>
            <w:tcBorders>
              <w:top w:val="nil"/>
              <w:left w:val="nil"/>
              <w:bottom w:val="nil"/>
              <w:right w:val="nil"/>
            </w:tcBorders>
            <w:shd w:val="clear" w:color="auto" w:fill="DBE5F1" w:themeFill="accent1" w:themeFillTint="33"/>
          </w:tcPr>
          <w:p w:rsidR="007575F7" w:rsidRPr="00DF66B6" w:rsidRDefault="007575F7" w:rsidP="00DF66B6">
            <w:pPr>
              <w:pStyle w:val="TableText"/>
              <w:spacing w:before="60" w:after="60"/>
              <w:rPr>
                <w:sz w:val="20"/>
              </w:rPr>
            </w:pPr>
            <w:r w:rsidRPr="00DF66B6">
              <w:rPr>
                <w:sz w:val="20"/>
              </w:rPr>
              <w:t>Develop strong partnerships to build an integrated, dynamic and adaptive health research and innovation system based on excellence and impact.</w:t>
            </w:r>
          </w:p>
        </w:tc>
        <w:tc>
          <w:tcPr>
            <w:tcW w:w="304" w:type="dxa"/>
            <w:tcBorders>
              <w:top w:val="nil"/>
              <w:left w:val="nil"/>
              <w:bottom w:val="nil"/>
              <w:right w:val="single" w:sz="12" w:space="0" w:color="002060"/>
            </w:tcBorders>
          </w:tcPr>
          <w:p w:rsidR="007575F7" w:rsidRPr="00EC5B2D" w:rsidRDefault="007575F7" w:rsidP="006A7220">
            <w:pPr>
              <w:pStyle w:val="TableText"/>
              <w:rPr>
                <w:sz w:val="20"/>
              </w:rPr>
            </w:pPr>
          </w:p>
        </w:tc>
        <w:tc>
          <w:tcPr>
            <w:tcW w:w="304" w:type="dxa"/>
            <w:tcBorders>
              <w:top w:val="nil"/>
              <w:left w:val="single" w:sz="12" w:space="0" w:color="002060"/>
              <w:bottom w:val="nil"/>
              <w:right w:val="nil"/>
            </w:tcBorders>
          </w:tcPr>
          <w:p w:rsidR="007575F7" w:rsidRDefault="007575F7" w:rsidP="006A7220">
            <w:pPr>
              <w:pStyle w:val="TableText"/>
            </w:pPr>
          </w:p>
        </w:tc>
      </w:tr>
      <w:tr w:rsidR="006B59CC" w:rsidRPr="006B59CC" w:rsidTr="006B59CC">
        <w:trPr>
          <w:cantSplit/>
        </w:trPr>
        <w:tc>
          <w:tcPr>
            <w:tcW w:w="304" w:type="dxa"/>
            <w:tcBorders>
              <w:top w:val="nil"/>
              <w:left w:val="single" w:sz="12" w:space="0" w:color="002060"/>
              <w:bottom w:val="nil"/>
              <w:right w:val="nil"/>
            </w:tcBorders>
          </w:tcPr>
          <w:p w:rsidR="007575F7" w:rsidRPr="006B59CC" w:rsidRDefault="007575F7" w:rsidP="006A7220">
            <w:pPr>
              <w:pStyle w:val="TableText"/>
              <w:rPr>
                <w:sz w:val="18"/>
                <w:szCs w:val="18"/>
              </w:rPr>
            </w:pPr>
          </w:p>
        </w:tc>
        <w:tc>
          <w:tcPr>
            <w:tcW w:w="3240" w:type="dxa"/>
            <w:tcBorders>
              <w:top w:val="nil"/>
              <w:left w:val="nil"/>
              <w:bottom w:val="nil"/>
              <w:right w:val="nil"/>
            </w:tcBorders>
            <w:shd w:val="clear" w:color="auto" w:fill="B8CCE4" w:themeFill="accent1" w:themeFillTint="66"/>
          </w:tcPr>
          <w:p w:rsidR="003D55BE" w:rsidRPr="006B59CC" w:rsidRDefault="003D55BE" w:rsidP="006121B1">
            <w:pPr>
              <w:pStyle w:val="TableText"/>
              <w:spacing w:before="60"/>
              <w:rPr>
                <w:b/>
                <w:sz w:val="18"/>
                <w:szCs w:val="18"/>
              </w:rPr>
            </w:pPr>
            <w:r w:rsidRPr="006B59CC">
              <w:rPr>
                <w:b/>
                <w:sz w:val="18"/>
                <w:szCs w:val="18"/>
              </w:rPr>
              <w:t>Researchers:</w:t>
            </w:r>
          </w:p>
          <w:p w:rsidR="003D55BE" w:rsidRPr="006B59CC" w:rsidRDefault="003D55BE" w:rsidP="006B59CC">
            <w:pPr>
              <w:pStyle w:val="TableBullet"/>
              <w:numPr>
                <w:ilvl w:val="0"/>
                <w:numId w:val="40"/>
              </w:numPr>
              <w:spacing w:before="20"/>
              <w:ind w:left="284" w:hanging="284"/>
              <w:rPr>
                <w:spacing w:val="-2"/>
                <w:sz w:val="18"/>
                <w:szCs w:val="18"/>
              </w:rPr>
            </w:pPr>
            <w:r w:rsidRPr="006B59CC">
              <w:rPr>
                <w:spacing w:val="-2"/>
                <w:sz w:val="18"/>
                <w:szCs w:val="18"/>
              </w:rPr>
              <w:t>undertake more world-class research</w:t>
            </w:r>
          </w:p>
          <w:p w:rsidR="003D55BE" w:rsidRPr="006B59CC" w:rsidRDefault="003D55BE" w:rsidP="006B59CC">
            <w:pPr>
              <w:pStyle w:val="TableBullet"/>
              <w:numPr>
                <w:ilvl w:val="0"/>
                <w:numId w:val="40"/>
              </w:numPr>
              <w:spacing w:before="0"/>
              <w:ind w:left="284" w:hanging="284"/>
              <w:rPr>
                <w:sz w:val="18"/>
                <w:szCs w:val="18"/>
              </w:rPr>
            </w:pPr>
            <w:r w:rsidRPr="006B59CC">
              <w:rPr>
                <w:sz w:val="18"/>
                <w:szCs w:val="18"/>
              </w:rPr>
              <w:t>use cutting edge approaches and techniques</w:t>
            </w:r>
          </w:p>
          <w:p w:rsidR="003D55BE" w:rsidRPr="006B59CC" w:rsidRDefault="003D55BE" w:rsidP="006B59CC">
            <w:pPr>
              <w:pStyle w:val="TableBullet"/>
              <w:numPr>
                <w:ilvl w:val="0"/>
                <w:numId w:val="40"/>
              </w:numPr>
              <w:spacing w:before="0"/>
              <w:ind w:left="284" w:hanging="284"/>
              <w:rPr>
                <w:sz w:val="18"/>
                <w:szCs w:val="18"/>
              </w:rPr>
            </w:pPr>
            <w:r w:rsidRPr="006B59CC">
              <w:rPr>
                <w:sz w:val="18"/>
                <w:szCs w:val="18"/>
              </w:rPr>
              <w:t>fill key gaps in knowledge on the health of New Zealanders</w:t>
            </w:r>
          </w:p>
          <w:p w:rsidR="003D55BE" w:rsidRPr="006B59CC" w:rsidRDefault="003D55BE" w:rsidP="006B59CC">
            <w:pPr>
              <w:pStyle w:val="TableBullet"/>
              <w:numPr>
                <w:ilvl w:val="0"/>
                <w:numId w:val="40"/>
              </w:numPr>
              <w:spacing w:before="0"/>
              <w:ind w:left="284" w:hanging="284"/>
              <w:rPr>
                <w:sz w:val="18"/>
                <w:szCs w:val="18"/>
              </w:rPr>
            </w:pPr>
            <w:r w:rsidRPr="006B59CC">
              <w:rPr>
                <w:sz w:val="18"/>
                <w:szCs w:val="18"/>
              </w:rPr>
              <w:t>contribute to the international knowledge pool for health research and life and social sciences</w:t>
            </w:r>
          </w:p>
          <w:p w:rsidR="007575F7" w:rsidRPr="006B59CC" w:rsidRDefault="003D55BE" w:rsidP="00363917">
            <w:pPr>
              <w:pStyle w:val="TableBullet"/>
              <w:numPr>
                <w:ilvl w:val="0"/>
                <w:numId w:val="40"/>
              </w:numPr>
              <w:spacing w:before="0" w:after="40"/>
              <w:ind w:left="284" w:hanging="284"/>
              <w:rPr>
                <w:sz w:val="18"/>
                <w:szCs w:val="18"/>
              </w:rPr>
            </w:pPr>
            <w:proofErr w:type="gramStart"/>
            <w:r w:rsidRPr="006B59CC">
              <w:rPr>
                <w:sz w:val="18"/>
                <w:szCs w:val="18"/>
              </w:rPr>
              <w:t>foster</w:t>
            </w:r>
            <w:proofErr w:type="gramEnd"/>
            <w:r w:rsidRPr="006B59CC">
              <w:rPr>
                <w:sz w:val="18"/>
                <w:szCs w:val="18"/>
              </w:rPr>
              <w:t xml:space="preserve"> the uptake of research findings.</w:t>
            </w:r>
          </w:p>
        </w:tc>
        <w:tc>
          <w:tcPr>
            <w:tcW w:w="304" w:type="dxa"/>
            <w:tcBorders>
              <w:top w:val="nil"/>
              <w:left w:val="nil"/>
              <w:bottom w:val="nil"/>
              <w:right w:val="nil"/>
            </w:tcBorders>
            <w:shd w:val="clear" w:color="auto" w:fill="auto"/>
          </w:tcPr>
          <w:p w:rsidR="007575F7" w:rsidRPr="006B59CC" w:rsidRDefault="007575F7" w:rsidP="007575F7">
            <w:pPr>
              <w:pStyle w:val="TableText"/>
              <w:rPr>
                <w:sz w:val="18"/>
                <w:szCs w:val="18"/>
              </w:rPr>
            </w:pPr>
          </w:p>
        </w:tc>
        <w:tc>
          <w:tcPr>
            <w:tcW w:w="2369" w:type="dxa"/>
            <w:gridSpan w:val="2"/>
            <w:tcBorders>
              <w:top w:val="nil"/>
              <w:left w:val="nil"/>
              <w:bottom w:val="nil"/>
              <w:right w:val="nil"/>
            </w:tcBorders>
            <w:shd w:val="clear" w:color="auto" w:fill="B8CCE4" w:themeFill="accent1" w:themeFillTint="66"/>
          </w:tcPr>
          <w:p w:rsidR="003D55BE" w:rsidRPr="006B59CC" w:rsidRDefault="003D55BE" w:rsidP="006121B1">
            <w:pPr>
              <w:pStyle w:val="TableText"/>
              <w:spacing w:before="60"/>
              <w:rPr>
                <w:b/>
                <w:sz w:val="18"/>
                <w:szCs w:val="18"/>
              </w:rPr>
            </w:pPr>
            <w:r w:rsidRPr="006B59CC">
              <w:rPr>
                <w:b/>
                <w:sz w:val="18"/>
                <w:szCs w:val="18"/>
              </w:rPr>
              <w:t>Entities performing research:</w:t>
            </w:r>
          </w:p>
          <w:p w:rsidR="003D55BE" w:rsidRPr="006B59CC" w:rsidRDefault="003D55BE" w:rsidP="006B59CC">
            <w:pPr>
              <w:pStyle w:val="TableBullet"/>
              <w:numPr>
                <w:ilvl w:val="0"/>
                <w:numId w:val="41"/>
              </w:numPr>
              <w:spacing w:before="20"/>
              <w:ind w:left="284" w:hanging="284"/>
              <w:rPr>
                <w:sz w:val="18"/>
                <w:szCs w:val="18"/>
              </w:rPr>
            </w:pPr>
            <w:r w:rsidRPr="006B59CC">
              <w:rPr>
                <w:sz w:val="18"/>
                <w:szCs w:val="18"/>
              </w:rPr>
              <w:t>sustain high-performing teams of researchers</w:t>
            </w:r>
          </w:p>
          <w:p w:rsidR="003D55BE" w:rsidRPr="006B59CC" w:rsidRDefault="003D55BE" w:rsidP="006B59CC">
            <w:pPr>
              <w:pStyle w:val="TableBullet"/>
              <w:numPr>
                <w:ilvl w:val="0"/>
                <w:numId w:val="41"/>
              </w:numPr>
              <w:spacing w:before="0"/>
              <w:ind w:left="284" w:hanging="284"/>
              <w:rPr>
                <w:sz w:val="18"/>
                <w:szCs w:val="18"/>
              </w:rPr>
            </w:pPr>
            <w:r w:rsidRPr="006B59CC">
              <w:rPr>
                <w:sz w:val="18"/>
                <w:szCs w:val="18"/>
              </w:rPr>
              <w:t>provide excellent facilities and support services</w:t>
            </w:r>
          </w:p>
          <w:p w:rsidR="007575F7" w:rsidRPr="006B59CC" w:rsidRDefault="003D55BE" w:rsidP="006B59CC">
            <w:pPr>
              <w:pStyle w:val="TableBullet"/>
              <w:numPr>
                <w:ilvl w:val="0"/>
                <w:numId w:val="41"/>
              </w:numPr>
              <w:spacing w:before="0" w:after="60"/>
              <w:ind w:left="284" w:hanging="284"/>
              <w:rPr>
                <w:sz w:val="18"/>
                <w:szCs w:val="18"/>
              </w:rPr>
            </w:pPr>
            <w:proofErr w:type="gramStart"/>
            <w:r w:rsidRPr="006B59CC">
              <w:rPr>
                <w:sz w:val="18"/>
                <w:szCs w:val="18"/>
              </w:rPr>
              <w:t>foster</w:t>
            </w:r>
            <w:proofErr w:type="gramEnd"/>
            <w:r w:rsidRPr="006B59CC">
              <w:rPr>
                <w:sz w:val="18"/>
                <w:szCs w:val="18"/>
              </w:rPr>
              <w:t xml:space="preserve"> close relationships with world-leading research institutes and the health sector.</w:t>
            </w:r>
          </w:p>
        </w:tc>
        <w:tc>
          <w:tcPr>
            <w:tcW w:w="304" w:type="dxa"/>
            <w:tcBorders>
              <w:top w:val="nil"/>
              <w:left w:val="nil"/>
              <w:bottom w:val="nil"/>
              <w:right w:val="nil"/>
            </w:tcBorders>
            <w:shd w:val="clear" w:color="auto" w:fill="auto"/>
          </w:tcPr>
          <w:p w:rsidR="007575F7" w:rsidRPr="006B59CC" w:rsidRDefault="007575F7" w:rsidP="007575F7">
            <w:pPr>
              <w:pStyle w:val="TableText"/>
              <w:rPr>
                <w:sz w:val="18"/>
                <w:szCs w:val="18"/>
              </w:rPr>
            </w:pPr>
          </w:p>
        </w:tc>
        <w:tc>
          <w:tcPr>
            <w:tcW w:w="3098" w:type="dxa"/>
            <w:gridSpan w:val="2"/>
            <w:tcBorders>
              <w:top w:val="nil"/>
              <w:left w:val="nil"/>
              <w:bottom w:val="nil"/>
              <w:right w:val="nil"/>
            </w:tcBorders>
            <w:shd w:val="clear" w:color="auto" w:fill="B8CCE4" w:themeFill="accent1" w:themeFillTint="66"/>
          </w:tcPr>
          <w:p w:rsidR="003D55BE" w:rsidRPr="006B59CC" w:rsidRDefault="003D55BE" w:rsidP="006121B1">
            <w:pPr>
              <w:pStyle w:val="TableText"/>
              <w:spacing w:before="60"/>
              <w:rPr>
                <w:b/>
                <w:spacing w:val="-2"/>
                <w:sz w:val="18"/>
                <w:szCs w:val="18"/>
              </w:rPr>
            </w:pPr>
            <w:r w:rsidRPr="006B59CC">
              <w:rPr>
                <w:b/>
                <w:spacing w:val="-2"/>
                <w:sz w:val="18"/>
                <w:szCs w:val="18"/>
              </w:rPr>
              <w:t>Health and social sector agencies, communities, participants and users</w:t>
            </w:r>
          </w:p>
          <w:p w:rsidR="003D55BE" w:rsidRPr="006B59CC" w:rsidRDefault="003D55BE" w:rsidP="006B59CC">
            <w:pPr>
              <w:pStyle w:val="TableBullet"/>
              <w:numPr>
                <w:ilvl w:val="0"/>
                <w:numId w:val="42"/>
              </w:numPr>
              <w:spacing w:before="20"/>
              <w:ind w:left="284" w:hanging="284"/>
              <w:rPr>
                <w:sz w:val="18"/>
                <w:szCs w:val="18"/>
              </w:rPr>
            </w:pPr>
            <w:r w:rsidRPr="006B59CC">
              <w:rPr>
                <w:sz w:val="18"/>
                <w:szCs w:val="18"/>
              </w:rPr>
              <w:t>participate in setting the research agenda</w:t>
            </w:r>
          </w:p>
          <w:p w:rsidR="003D55BE" w:rsidRPr="006B59CC" w:rsidRDefault="003D55BE" w:rsidP="006B59CC">
            <w:pPr>
              <w:pStyle w:val="TableBullet"/>
              <w:numPr>
                <w:ilvl w:val="0"/>
                <w:numId w:val="42"/>
              </w:numPr>
              <w:spacing w:before="0"/>
              <w:ind w:left="284" w:hanging="284"/>
              <w:rPr>
                <w:sz w:val="18"/>
                <w:szCs w:val="18"/>
              </w:rPr>
            </w:pPr>
            <w:r w:rsidRPr="006B59CC">
              <w:rPr>
                <w:sz w:val="18"/>
                <w:szCs w:val="18"/>
              </w:rPr>
              <w:t>co-innovate with researchers</w:t>
            </w:r>
          </w:p>
          <w:p w:rsidR="003D55BE" w:rsidRPr="006B59CC" w:rsidRDefault="003D55BE" w:rsidP="006B59CC">
            <w:pPr>
              <w:pStyle w:val="TableBullet"/>
              <w:numPr>
                <w:ilvl w:val="0"/>
                <w:numId w:val="42"/>
              </w:numPr>
              <w:spacing w:before="0"/>
              <w:ind w:left="284" w:hanging="284"/>
              <w:rPr>
                <w:sz w:val="18"/>
                <w:szCs w:val="18"/>
              </w:rPr>
            </w:pPr>
            <w:r w:rsidRPr="006B59CC">
              <w:rPr>
                <w:sz w:val="18"/>
                <w:szCs w:val="18"/>
              </w:rPr>
              <w:t>rapidly adopt cost-effective and appropriate knowledge and innovations emerging from health research</w:t>
            </w:r>
          </w:p>
          <w:p w:rsidR="007575F7" w:rsidRPr="006B59CC" w:rsidRDefault="003D55BE" w:rsidP="00363917">
            <w:pPr>
              <w:pStyle w:val="TableBullet"/>
              <w:numPr>
                <w:ilvl w:val="0"/>
                <w:numId w:val="42"/>
              </w:numPr>
              <w:spacing w:before="0" w:after="40"/>
              <w:ind w:left="284" w:right="-113" w:hanging="284"/>
              <w:rPr>
                <w:spacing w:val="-4"/>
                <w:sz w:val="18"/>
                <w:szCs w:val="18"/>
              </w:rPr>
            </w:pPr>
            <w:proofErr w:type="gramStart"/>
            <w:r w:rsidRPr="006B59CC">
              <w:rPr>
                <w:spacing w:val="-4"/>
                <w:sz w:val="18"/>
                <w:szCs w:val="18"/>
              </w:rPr>
              <w:t>engage</w:t>
            </w:r>
            <w:proofErr w:type="gramEnd"/>
            <w:r w:rsidRPr="006B59CC">
              <w:rPr>
                <w:spacing w:val="-4"/>
                <w:sz w:val="18"/>
                <w:szCs w:val="18"/>
              </w:rPr>
              <w:t xml:space="preserve"> in reciprocal relationships with other contributors to the system.</w:t>
            </w:r>
          </w:p>
        </w:tc>
        <w:tc>
          <w:tcPr>
            <w:tcW w:w="304" w:type="dxa"/>
            <w:gridSpan w:val="2"/>
            <w:tcBorders>
              <w:top w:val="nil"/>
              <w:left w:val="nil"/>
              <w:bottom w:val="nil"/>
              <w:right w:val="nil"/>
            </w:tcBorders>
            <w:shd w:val="clear" w:color="auto" w:fill="auto"/>
          </w:tcPr>
          <w:p w:rsidR="007575F7" w:rsidRPr="006B59CC" w:rsidRDefault="007575F7" w:rsidP="007575F7">
            <w:pPr>
              <w:pStyle w:val="TableText"/>
              <w:rPr>
                <w:sz w:val="18"/>
                <w:szCs w:val="18"/>
              </w:rPr>
            </w:pPr>
          </w:p>
        </w:tc>
        <w:tc>
          <w:tcPr>
            <w:tcW w:w="2389" w:type="dxa"/>
            <w:gridSpan w:val="2"/>
            <w:tcBorders>
              <w:top w:val="nil"/>
              <w:left w:val="nil"/>
              <w:bottom w:val="nil"/>
              <w:right w:val="nil"/>
            </w:tcBorders>
            <w:shd w:val="clear" w:color="auto" w:fill="B8CCE4" w:themeFill="accent1" w:themeFillTint="66"/>
          </w:tcPr>
          <w:p w:rsidR="003D55BE" w:rsidRPr="006B59CC" w:rsidRDefault="003D55BE" w:rsidP="006121B1">
            <w:pPr>
              <w:pStyle w:val="TableText"/>
              <w:spacing w:before="60"/>
              <w:rPr>
                <w:b/>
                <w:sz w:val="18"/>
                <w:szCs w:val="18"/>
              </w:rPr>
            </w:pPr>
            <w:r w:rsidRPr="006B59CC">
              <w:rPr>
                <w:b/>
                <w:sz w:val="18"/>
                <w:szCs w:val="18"/>
              </w:rPr>
              <w:t>Government and funding agencies:</w:t>
            </w:r>
          </w:p>
          <w:p w:rsidR="003D55BE" w:rsidRPr="006B59CC" w:rsidRDefault="003D55BE" w:rsidP="006B59CC">
            <w:pPr>
              <w:pStyle w:val="TableBullet"/>
              <w:numPr>
                <w:ilvl w:val="0"/>
                <w:numId w:val="43"/>
              </w:numPr>
              <w:spacing w:before="20"/>
              <w:ind w:left="284" w:hanging="284"/>
              <w:rPr>
                <w:sz w:val="18"/>
                <w:szCs w:val="18"/>
              </w:rPr>
            </w:pPr>
            <w:r w:rsidRPr="006B59CC">
              <w:rPr>
                <w:sz w:val="18"/>
                <w:szCs w:val="18"/>
              </w:rPr>
              <w:t>provide strategic leadership, coordination and alignment within stable policy settings</w:t>
            </w:r>
          </w:p>
          <w:p w:rsidR="003D55BE" w:rsidRPr="006B59CC" w:rsidRDefault="003D55BE" w:rsidP="006B59CC">
            <w:pPr>
              <w:pStyle w:val="TableBullet"/>
              <w:numPr>
                <w:ilvl w:val="0"/>
                <w:numId w:val="43"/>
              </w:numPr>
              <w:spacing w:before="0"/>
              <w:ind w:left="284" w:hanging="284"/>
              <w:rPr>
                <w:sz w:val="18"/>
                <w:szCs w:val="18"/>
              </w:rPr>
            </w:pPr>
            <w:r w:rsidRPr="006B59CC">
              <w:rPr>
                <w:sz w:val="18"/>
                <w:szCs w:val="18"/>
              </w:rPr>
              <w:t>support necessary infrastructure</w:t>
            </w:r>
          </w:p>
          <w:p w:rsidR="007575F7" w:rsidRPr="006B59CC" w:rsidRDefault="003D55BE" w:rsidP="006B59CC">
            <w:pPr>
              <w:pStyle w:val="TableBullet"/>
              <w:numPr>
                <w:ilvl w:val="0"/>
                <w:numId w:val="43"/>
              </w:numPr>
              <w:spacing w:before="0" w:after="60"/>
              <w:ind w:left="284" w:hanging="284"/>
              <w:rPr>
                <w:sz w:val="18"/>
                <w:szCs w:val="18"/>
              </w:rPr>
            </w:pPr>
            <w:proofErr w:type="gramStart"/>
            <w:r w:rsidRPr="006B59CC">
              <w:rPr>
                <w:sz w:val="18"/>
                <w:szCs w:val="18"/>
              </w:rPr>
              <w:t>incentivise</w:t>
            </w:r>
            <w:proofErr w:type="gramEnd"/>
            <w:r w:rsidRPr="006B59CC">
              <w:rPr>
                <w:sz w:val="18"/>
                <w:szCs w:val="18"/>
              </w:rPr>
              <w:t xml:space="preserve"> excellent research and pathways to impact.</w:t>
            </w:r>
          </w:p>
        </w:tc>
        <w:tc>
          <w:tcPr>
            <w:tcW w:w="304" w:type="dxa"/>
            <w:tcBorders>
              <w:top w:val="nil"/>
              <w:left w:val="nil"/>
              <w:bottom w:val="nil"/>
              <w:right w:val="nil"/>
            </w:tcBorders>
            <w:shd w:val="clear" w:color="auto" w:fill="auto"/>
          </w:tcPr>
          <w:p w:rsidR="007575F7" w:rsidRPr="006B59CC" w:rsidRDefault="007575F7" w:rsidP="007575F7">
            <w:pPr>
              <w:pStyle w:val="TableText"/>
              <w:rPr>
                <w:sz w:val="18"/>
                <w:szCs w:val="18"/>
              </w:rPr>
            </w:pPr>
          </w:p>
        </w:tc>
        <w:tc>
          <w:tcPr>
            <w:tcW w:w="2227" w:type="dxa"/>
            <w:tcBorders>
              <w:top w:val="nil"/>
              <w:left w:val="nil"/>
              <w:bottom w:val="nil"/>
              <w:right w:val="nil"/>
            </w:tcBorders>
            <w:shd w:val="clear" w:color="auto" w:fill="B8CCE4" w:themeFill="accent1" w:themeFillTint="66"/>
          </w:tcPr>
          <w:p w:rsidR="003D55BE" w:rsidRPr="006B59CC" w:rsidRDefault="003D55BE" w:rsidP="006121B1">
            <w:pPr>
              <w:pStyle w:val="TableText"/>
              <w:spacing w:before="60"/>
              <w:rPr>
                <w:b/>
                <w:sz w:val="18"/>
                <w:szCs w:val="18"/>
              </w:rPr>
            </w:pPr>
            <w:r w:rsidRPr="006B59CC">
              <w:rPr>
                <w:b/>
                <w:sz w:val="18"/>
                <w:szCs w:val="18"/>
              </w:rPr>
              <w:t>The commercial sector:</w:t>
            </w:r>
          </w:p>
          <w:p w:rsidR="003D55BE" w:rsidRPr="006B59CC" w:rsidRDefault="003D55BE" w:rsidP="006B59CC">
            <w:pPr>
              <w:pStyle w:val="TableBullet"/>
              <w:numPr>
                <w:ilvl w:val="0"/>
                <w:numId w:val="44"/>
              </w:numPr>
              <w:spacing w:before="20"/>
              <w:ind w:left="284" w:hanging="284"/>
              <w:rPr>
                <w:sz w:val="18"/>
                <w:szCs w:val="18"/>
              </w:rPr>
            </w:pPr>
            <w:r w:rsidRPr="006B59CC">
              <w:rPr>
                <w:sz w:val="18"/>
                <w:szCs w:val="18"/>
              </w:rPr>
              <w:t>develops technologies and solutions in partnership with health sector agencies</w:t>
            </w:r>
          </w:p>
          <w:p w:rsidR="007575F7" w:rsidRPr="006B59CC" w:rsidRDefault="003D55BE" w:rsidP="006B59CC">
            <w:pPr>
              <w:pStyle w:val="TableBullet"/>
              <w:numPr>
                <w:ilvl w:val="0"/>
                <w:numId w:val="44"/>
              </w:numPr>
              <w:spacing w:before="0"/>
              <w:ind w:left="284" w:hanging="284"/>
              <w:rPr>
                <w:sz w:val="18"/>
                <w:szCs w:val="18"/>
              </w:rPr>
            </w:pPr>
            <w:proofErr w:type="gramStart"/>
            <w:r w:rsidRPr="006B59CC">
              <w:rPr>
                <w:sz w:val="18"/>
                <w:szCs w:val="18"/>
              </w:rPr>
              <w:t>works</w:t>
            </w:r>
            <w:proofErr w:type="gramEnd"/>
            <w:r w:rsidRPr="006B59CC">
              <w:rPr>
                <w:sz w:val="18"/>
                <w:szCs w:val="18"/>
              </w:rPr>
              <w:t xml:space="preserve"> with the research sector and health system to take validated and cost-effective innovations to market.</w:t>
            </w:r>
          </w:p>
        </w:tc>
        <w:tc>
          <w:tcPr>
            <w:tcW w:w="304" w:type="dxa"/>
            <w:tcBorders>
              <w:top w:val="nil"/>
              <w:left w:val="nil"/>
              <w:bottom w:val="nil"/>
              <w:right w:val="single" w:sz="12" w:space="0" w:color="002060"/>
            </w:tcBorders>
          </w:tcPr>
          <w:p w:rsidR="007575F7" w:rsidRPr="006B59CC" w:rsidRDefault="007575F7" w:rsidP="006A7220">
            <w:pPr>
              <w:pStyle w:val="TableText"/>
              <w:rPr>
                <w:sz w:val="18"/>
                <w:szCs w:val="18"/>
              </w:rPr>
            </w:pPr>
          </w:p>
        </w:tc>
        <w:tc>
          <w:tcPr>
            <w:tcW w:w="304" w:type="dxa"/>
            <w:tcBorders>
              <w:top w:val="nil"/>
              <w:left w:val="single" w:sz="12" w:space="0" w:color="002060"/>
              <w:bottom w:val="nil"/>
              <w:right w:val="nil"/>
            </w:tcBorders>
          </w:tcPr>
          <w:p w:rsidR="007575F7" w:rsidRPr="006B59CC" w:rsidRDefault="007575F7" w:rsidP="006A7220">
            <w:pPr>
              <w:pStyle w:val="TableText"/>
              <w:rPr>
                <w:sz w:val="18"/>
                <w:szCs w:val="18"/>
              </w:rPr>
            </w:pPr>
          </w:p>
        </w:tc>
      </w:tr>
      <w:tr w:rsidR="003057D4" w:rsidRPr="006B59CC" w:rsidTr="006B59CC">
        <w:trPr>
          <w:cantSplit/>
        </w:trPr>
        <w:tc>
          <w:tcPr>
            <w:tcW w:w="5049" w:type="dxa"/>
            <w:gridSpan w:val="4"/>
            <w:tcBorders>
              <w:top w:val="nil"/>
              <w:left w:val="single" w:sz="12" w:space="0" w:color="002060"/>
              <w:bottom w:val="nil"/>
              <w:right w:val="nil"/>
            </w:tcBorders>
          </w:tcPr>
          <w:p w:rsidR="003057D4" w:rsidRPr="006B59CC" w:rsidRDefault="003057D4" w:rsidP="006B59CC">
            <w:pPr>
              <w:pStyle w:val="TableText"/>
              <w:spacing w:line="216" w:lineRule="auto"/>
              <w:jc w:val="center"/>
              <w:rPr>
                <w:sz w:val="32"/>
                <w:szCs w:val="32"/>
              </w:rPr>
            </w:pPr>
            <w:r w:rsidRPr="006B59CC">
              <w:rPr>
                <w:sz w:val="32"/>
                <w:szCs w:val="32"/>
              </w:rPr>
              <w:sym w:font="Wingdings 3" w:char="F0C7"/>
            </w:r>
          </w:p>
        </w:tc>
        <w:tc>
          <w:tcPr>
            <w:tcW w:w="5049" w:type="dxa"/>
            <w:gridSpan w:val="7"/>
            <w:tcBorders>
              <w:top w:val="nil"/>
              <w:left w:val="nil"/>
              <w:bottom w:val="nil"/>
              <w:right w:val="nil"/>
            </w:tcBorders>
          </w:tcPr>
          <w:p w:rsidR="003057D4" w:rsidRPr="006B59CC" w:rsidRDefault="003057D4" w:rsidP="006B59CC">
            <w:pPr>
              <w:pStyle w:val="TableText"/>
              <w:spacing w:line="216" w:lineRule="auto"/>
              <w:jc w:val="center"/>
              <w:rPr>
                <w:sz w:val="32"/>
                <w:szCs w:val="32"/>
              </w:rPr>
            </w:pPr>
            <w:r w:rsidRPr="006B59CC">
              <w:rPr>
                <w:sz w:val="32"/>
                <w:szCs w:val="32"/>
              </w:rPr>
              <w:sym w:font="Wingdings 3" w:char="F0C7"/>
            </w:r>
          </w:p>
        </w:tc>
        <w:tc>
          <w:tcPr>
            <w:tcW w:w="5049" w:type="dxa"/>
            <w:gridSpan w:val="4"/>
            <w:tcBorders>
              <w:top w:val="nil"/>
              <w:left w:val="nil"/>
              <w:bottom w:val="nil"/>
              <w:right w:val="single" w:sz="12" w:space="0" w:color="002060"/>
            </w:tcBorders>
          </w:tcPr>
          <w:p w:rsidR="003057D4" w:rsidRPr="006B59CC" w:rsidRDefault="003057D4" w:rsidP="006B59CC">
            <w:pPr>
              <w:pStyle w:val="TableText"/>
              <w:spacing w:line="216" w:lineRule="auto"/>
              <w:jc w:val="center"/>
              <w:rPr>
                <w:sz w:val="32"/>
                <w:szCs w:val="32"/>
              </w:rPr>
            </w:pPr>
            <w:r w:rsidRPr="006B59CC">
              <w:rPr>
                <w:sz w:val="32"/>
                <w:szCs w:val="32"/>
              </w:rPr>
              <w:sym w:font="Wingdings 3" w:char="F0C7"/>
            </w:r>
          </w:p>
        </w:tc>
        <w:tc>
          <w:tcPr>
            <w:tcW w:w="304" w:type="dxa"/>
            <w:tcBorders>
              <w:top w:val="nil"/>
              <w:left w:val="single" w:sz="12" w:space="0" w:color="002060"/>
              <w:bottom w:val="nil"/>
              <w:right w:val="nil"/>
            </w:tcBorders>
          </w:tcPr>
          <w:p w:rsidR="003057D4" w:rsidRPr="006B59CC" w:rsidRDefault="003057D4" w:rsidP="006B59CC">
            <w:pPr>
              <w:pStyle w:val="TableText"/>
              <w:spacing w:line="216" w:lineRule="auto"/>
              <w:jc w:val="center"/>
              <w:rPr>
                <w:sz w:val="32"/>
                <w:szCs w:val="32"/>
              </w:rPr>
            </w:pPr>
          </w:p>
        </w:tc>
      </w:tr>
      <w:tr w:rsidR="00DF66B6" w:rsidRPr="006B59CC" w:rsidTr="006B59CC">
        <w:trPr>
          <w:cantSplit/>
        </w:trPr>
        <w:tc>
          <w:tcPr>
            <w:tcW w:w="304" w:type="dxa"/>
            <w:tcBorders>
              <w:top w:val="nil"/>
              <w:left w:val="single" w:sz="12" w:space="0" w:color="002060"/>
              <w:bottom w:val="nil"/>
              <w:right w:val="nil"/>
            </w:tcBorders>
          </w:tcPr>
          <w:p w:rsidR="007575F7" w:rsidRPr="006B59CC" w:rsidRDefault="007575F7" w:rsidP="006B59CC">
            <w:pPr>
              <w:pStyle w:val="TableText"/>
              <w:spacing w:before="40" w:after="40"/>
              <w:rPr>
                <w:sz w:val="26"/>
                <w:szCs w:val="26"/>
              </w:rPr>
            </w:pPr>
          </w:p>
        </w:tc>
        <w:tc>
          <w:tcPr>
            <w:tcW w:w="14539" w:type="dxa"/>
            <w:gridSpan w:val="13"/>
            <w:tcBorders>
              <w:top w:val="nil"/>
              <w:left w:val="nil"/>
              <w:bottom w:val="nil"/>
              <w:right w:val="nil"/>
            </w:tcBorders>
            <w:shd w:val="clear" w:color="auto" w:fill="B8CCE4" w:themeFill="accent1" w:themeFillTint="66"/>
          </w:tcPr>
          <w:p w:rsidR="007575F7" w:rsidRPr="006B59CC" w:rsidRDefault="007575F7" w:rsidP="006B59CC">
            <w:pPr>
              <w:pStyle w:val="TableText"/>
              <w:spacing w:before="40" w:after="40"/>
              <w:jc w:val="center"/>
              <w:rPr>
                <w:b/>
                <w:color w:val="002060"/>
                <w:sz w:val="26"/>
                <w:szCs w:val="26"/>
              </w:rPr>
            </w:pPr>
            <w:r w:rsidRPr="006B59CC">
              <w:rPr>
                <w:b/>
                <w:color w:val="002060"/>
                <w:sz w:val="26"/>
                <w:szCs w:val="26"/>
              </w:rPr>
              <w:t>PROPOSED GUIDING PRINCIPLES</w:t>
            </w:r>
          </w:p>
        </w:tc>
        <w:tc>
          <w:tcPr>
            <w:tcW w:w="304" w:type="dxa"/>
            <w:tcBorders>
              <w:top w:val="nil"/>
              <w:left w:val="nil"/>
              <w:bottom w:val="nil"/>
              <w:right w:val="single" w:sz="12" w:space="0" w:color="002060"/>
            </w:tcBorders>
          </w:tcPr>
          <w:p w:rsidR="007575F7" w:rsidRPr="006B59CC" w:rsidRDefault="007575F7" w:rsidP="006B59CC">
            <w:pPr>
              <w:pStyle w:val="TableText"/>
              <w:spacing w:before="40" w:after="40"/>
              <w:rPr>
                <w:sz w:val="26"/>
                <w:szCs w:val="26"/>
              </w:rPr>
            </w:pPr>
          </w:p>
        </w:tc>
        <w:tc>
          <w:tcPr>
            <w:tcW w:w="304" w:type="dxa"/>
            <w:tcBorders>
              <w:top w:val="nil"/>
              <w:left w:val="single" w:sz="12" w:space="0" w:color="002060"/>
              <w:bottom w:val="nil"/>
              <w:right w:val="nil"/>
            </w:tcBorders>
          </w:tcPr>
          <w:p w:rsidR="007575F7" w:rsidRPr="006B59CC" w:rsidRDefault="007575F7" w:rsidP="006B59CC">
            <w:pPr>
              <w:pStyle w:val="TableText"/>
              <w:spacing w:before="40" w:after="40"/>
              <w:rPr>
                <w:sz w:val="26"/>
                <w:szCs w:val="26"/>
              </w:rPr>
            </w:pPr>
          </w:p>
        </w:tc>
      </w:tr>
      <w:tr w:rsidR="006B59CC" w:rsidRPr="006B59CC" w:rsidTr="006B59CC">
        <w:trPr>
          <w:cantSplit/>
        </w:trPr>
        <w:tc>
          <w:tcPr>
            <w:tcW w:w="304" w:type="dxa"/>
            <w:tcBorders>
              <w:top w:val="nil"/>
              <w:left w:val="single" w:sz="12" w:space="0" w:color="002060"/>
              <w:bottom w:val="nil"/>
              <w:right w:val="nil"/>
            </w:tcBorders>
          </w:tcPr>
          <w:p w:rsidR="007575F7" w:rsidRPr="006B59CC" w:rsidRDefault="007575F7" w:rsidP="006A7220">
            <w:pPr>
              <w:pStyle w:val="TableText"/>
              <w:rPr>
                <w:sz w:val="18"/>
                <w:szCs w:val="18"/>
              </w:rPr>
            </w:pPr>
          </w:p>
        </w:tc>
        <w:tc>
          <w:tcPr>
            <w:tcW w:w="14539" w:type="dxa"/>
            <w:gridSpan w:val="13"/>
            <w:tcBorders>
              <w:top w:val="nil"/>
              <w:left w:val="nil"/>
              <w:bottom w:val="nil"/>
              <w:right w:val="nil"/>
            </w:tcBorders>
            <w:shd w:val="clear" w:color="auto" w:fill="DBE5F1" w:themeFill="accent1" w:themeFillTint="33"/>
          </w:tcPr>
          <w:p w:rsidR="007575F7" w:rsidRPr="006B59CC" w:rsidRDefault="007575F7" w:rsidP="007575F7">
            <w:pPr>
              <w:pStyle w:val="TableBullet"/>
              <w:numPr>
                <w:ilvl w:val="0"/>
                <w:numId w:val="39"/>
              </w:numPr>
              <w:ind w:left="284" w:hanging="284"/>
              <w:rPr>
                <w:sz w:val="18"/>
                <w:szCs w:val="18"/>
              </w:rPr>
            </w:pPr>
            <w:r w:rsidRPr="006B59CC">
              <w:rPr>
                <w:sz w:val="18"/>
                <w:szCs w:val="18"/>
              </w:rPr>
              <w:t>System-wide health research priorities are established using transparent processes, are clearly communicated and revised periodically.</w:t>
            </w:r>
          </w:p>
          <w:p w:rsidR="007575F7" w:rsidRPr="006B59CC" w:rsidRDefault="007575F7" w:rsidP="006B59CC">
            <w:pPr>
              <w:pStyle w:val="TableBullet"/>
              <w:numPr>
                <w:ilvl w:val="0"/>
                <w:numId w:val="39"/>
              </w:numPr>
              <w:spacing w:before="0"/>
              <w:ind w:left="284" w:hanging="284"/>
              <w:rPr>
                <w:spacing w:val="-2"/>
                <w:sz w:val="18"/>
                <w:szCs w:val="18"/>
              </w:rPr>
            </w:pPr>
            <w:r w:rsidRPr="006B59CC">
              <w:rPr>
                <w:spacing w:val="-2"/>
                <w:sz w:val="18"/>
                <w:szCs w:val="18"/>
              </w:rPr>
              <w:t>Investment is based on agreed priorities which support the excellence and impact pillars of the National Statement of Science Investment and the directions of the NZ Health Strategy.</w:t>
            </w:r>
          </w:p>
          <w:p w:rsidR="007575F7" w:rsidRPr="006B59CC" w:rsidRDefault="007575F7" w:rsidP="006B59CC">
            <w:pPr>
              <w:pStyle w:val="TableBullet"/>
              <w:numPr>
                <w:ilvl w:val="0"/>
                <w:numId w:val="39"/>
              </w:numPr>
              <w:spacing w:before="0"/>
              <w:ind w:left="284" w:hanging="284"/>
              <w:rPr>
                <w:sz w:val="18"/>
                <w:szCs w:val="18"/>
              </w:rPr>
            </w:pPr>
            <w:r w:rsidRPr="006B59CC">
              <w:rPr>
                <w:sz w:val="18"/>
                <w:szCs w:val="18"/>
              </w:rPr>
              <w:t>Investment decisions are transparent, complementary and informed by specialist expert advice and end users.</w:t>
            </w:r>
          </w:p>
          <w:p w:rsidR="007575F7" w:rsidRPr="006B59CC" w:rsidRDefault="007575F7" w:rsidP="006B59CC">
            <w:pPr>
              <w:pStyle w:val="TableBullet"/>
              <w:numPr>
                <w:ilvl w:val="0"/>
                <w:numId w:val="39"/>
              </w:numPr>
              <w:spacing w:before="0"/>
              <w:ind w:left="284" w:hanging="284"/>
              <w:rPr>
                <w:sz w:val="18"/>
                <w:szCs w:val="18"/>
              </w:rPr>
            </w:pPr>
            <w:r w:rsidRPr="006B59CC">
              <w:rPr>
                <w:sz w:val="18"/>
                <w:szCs w:val="18"/>
              </w:rPr>
              <w:t>Funding arrangements drive excellent and collaborative research, break down interdisciplinary barriers and encourage innovative methodologies and use of big data.</w:t>
            </w:r>
          </w:p>
          <w:p w:rsidR="007575F7" w:rsidRPr="006B59CC" w:rsidRDefault="007575F7" w:rsidP="006B59CC">
            <w:pPr>
              <w:pStyle w:val="TableBullet"/>
              <w:numPr>
                <w:ilvl w:val="0"/>
                <w:numId w:val="39"/>
              </w:numPr>
              <w:spacing w:before="0"/>
              <w:ind w:left="284" w:hanging="284"/>
              <w:rPr>
                <w:sz w:val="18"/>
                <w:szCs w:val="18"/>
              </w:rPr>
            </w:pPr>
            <w:r w:rsidRPr="006B59CC">
              <w:rPr>
                <w:sz w:val="18"/>
                <w:szCs w:val="18"/>
              </w:rPr>
              <w:t>Decision-making acknowledges the special relationship between Māori and the Crown under the Treaty of Waitangi.</w:t>
            </w:r>
          </w:p>
          <w:p w:rsidR="007575F7" w:rsidRPr="006B59CC" w:rsidRDefault="007575F7" w:rsidP="006B59CC">
            <w:pPr>
              <w:pStyle w:val="TableBullet"/>
              <w:numPr>
                <w:ilvl w:val="0"/>
                <w:numId w:val="39"/>
              </w:numPr>
              <w:spacing w:before="0"/>
              <w:ind w:left="284" w:hanging="284"/>
              <w:rPr>
                <w:sz w:val="18"/>
                <w:szCs w:val="18"/>
              </w:rPr>
            </w:pPr>
            <w:r w:rsidRPr="006B59CC">
              <w:rPr>
                <w:sz w:val="18"/>
                <w:szCs w:val="18"/>
              </w:rPr>
              <w:t xml:space="preserve">Research approaches and methodologies give effect to the Vision </w:t>
            </w:r>
            <w:proofErr w:type="spellStart"/>
            <w:r w:rsidRPr="006B59CC">
              <w:rPr>
                <w:sz w:val="18"/>
                <w:szCs w:val="18"/>
              </w:rPr>
              <w:t>Mātauranga</w:t>
            </w:r>
            <w:proofErr w:type="spellEnd"/>
            <w:r w:rsidRPr="006B59CC">
              <w:rPr>
                <w:sz w:val="18"/>
                <w:szCs w:val="18"/>
              </w:rPr>
              <w:t xml:space="preserve"> policy and acknowledge different worldviews including Pacific research frameworks.</w:t>
            </w:r>
          </w:p>
          <w:p w:rsidR="007575F7" w:rsidRPr="006B59CC" w:rsidRDefault="007575F7" w:rsidP="00363917">
            <w:pPr>
              <w:pStyle w:val="TableBullet"/>
              <w:numPr>
                <w:ilvl w:val="0"/>
                <w:numId w:val="39"/>
              </w:numPr>
              <w:spacing w:before="0" w:after="60"/>
              <w:ind w:left="284" w:hanging="284"/>
              <w:rPr>
                <w:sz w:val="18"/>
                <w:szCs w:val="18"/>
              </w:rPr>
            </w:pPr>
            <w:r w:rsidRPr="006B59CC">
              <w:rPr>
                <w:sz w:val="18"/>
                <w:szCs w:val="18"/>
              </w:rPr>
              <w:t>Activities and outputs are monitored regularly and evaluations of their short, medium and long-term impact routinely undertaken.</w:t>
            </w:r>
          </w:p>
        </w:tc>
        <w:tc>
          <w:tcPr>
            <w:tcW w:w="304" w:type="dxa"/>
            <w:tcBorders>
              <w:top w:val="nil"/>
              <w:left w:val="nil"/>
              <w:bottom w:val="nil"/>
              <w:right w:val="single" w:sz="12" w:space="0" w:color="002060"/>
            </w:tcBorders>
          </w:tcPr>
          <w:p w:rsidR="007575F7" w:rsidRPr="006B59CC" w:rsidRDefault="007575F7" w:rsidP="006A7220">
            <w:pPr>
              <w:pStyle w:val="TableText"/>
              <w:rPr>
                <w:sz w:val="18"/>
                <w:szCs w:val="18"/>
              </w:rPr>
            </w:pPr>
          </w:p>
        </w:tc>
        <w:tc>
          <w:tcPr>
            <w:tcW w:w="304" w:type="dxa"/>
            <w:tcBorders>
              <w:top w:val="nil"/>
              <w:left w:val="single" w:sz="12" w:space="0" w:color="002060"/>
              <w:bottom w:val="nil"/>
              <w:right w:val="nil"/>
            </w:tcBorders>
          </w:tcPr>
          <w:p w:rsidR="007575F7" w:rsidRPr="006B59CC" w:rsidRDefault="007575F7" w:rsidP="006A7220">
            <w:pPr>
              <w:pStyle w:val="TableText"/>
              <w:rPr>
                <w:sz w:val="18"/>
                <w:szCs w:val="18"/>
              </w:rPr>
            </w:pPr>
          </w:p>
        </w:tc>
      </w:tr>
      <w:tr w:rsidR="007575F7" w:rsidRPr="00736809" w:rsidTr="006B59CC">
        <w:trPr>
          <w:cantSplit/>
        </w:trPr>
        <w:tc>
          <w:tcPr>
            <w:tcW w:w="15147" w:type="dxa"/>
            <w:gridSpan w:val="15"/>
            <w:tcBorders>
              <w:top w:val="nil"/>
              <w:left w:val="single" w:sz="12" w:space="0" w:color="002060"/>
              <w:bottom w:val="single" w:sz="12" w:space="0" w:color="002060"/>
              <w:right w:val="single" w:sz="12" w:space="0" w:color="002060"/>
            </w:tcBorders>
          </w:tcPr>
          <w:p w:rsidR="007575F7" w:rsidRPr="00736809" w:rsidRDefault="007575F7" w:rsidP="006A7220">
            <w:pPr>
              <w:pStyle w:val="TableText"/>
              <w:rPr>
                <w:sz w:val="12"/>
                <w:szCs w:val="12"/>
              </w:rPr>
            </w:pPr>
          </w:p>
        </w:tc>
        <w:tc>
          <w:tcPr>
            <w:tcW w:w="304" w:type="dxa"/>
            <w:tcBorders>
              <w:top w:val="nil"/>
              <w:left w:val="single" w:sz="12" w:space="0" w:color="002060"/>
              <w:bottom w:val="nil"/>
              <w:right w:val="nil"/>
            </w:tcBorders>
          </w:tcPr>
          <w:p w:rsidR="007575F7" w:rsidRPr="00736809" w:rsidRDefault="007575F7" w:rsidP="006A7220">
            <w:pPr>
              <w:pStyle w:val="TableText"/>
              <w:rPr>
                <w:sz w:val="12"/>
                <w:szCs w:val="12"/>
              </w:rPr>
            </w:pPr>
          </w:p>
        </w:tc>
      </w:tr>
    </w:tbl>
    <w:p w:rsidR="007575F7" w:rsidRPr="00363917" w:rsidRDefault="007575F7" w:rsidP="006B59CC">
      <w:pPr>
        <w:spacing w:before="0" w:line="240" w:lineRule="auto"/>
        <w:rPr>
          <w:sz w:val="2"/>
          <w:szCs w:val="2"/>
        </w:rPr>
      </w:pPr>
    </w:p>
    <w:p w:rsidR="007575F7" w:rsidRDefault="007575F7" w:rsidP="001344B9">
      <w:pPr>
        <w:spacing w:after="120" w:line="240" w:lineRule="auto"/>
        <w:sectPr w:rsidR="007575F7" w:rsidSect="006B59CC">
          <w:pgSz w:w="16834" w:h="11907" w:orient="landscape" w:code="9"/>
          <w:pgMar w:top="709" w:right="709" w:bottom="709" w:left="709" w:header="284" w:footer="567" w:gutter="0"/>
          <w:cols w:space="720"/>
        </w:sectPr>
      </w:pPr>
    </w:p>
    <w:p w:rsidR="001344B9" w:rsidRPr="00050283" w:rsidRDefault="001344B9" w:rsidP="0058446A">
      <w:pPr>
        <w:pStyle w:val="Heading1"/>
      </w:pPr>
      <w:bookmarkStart w:id="11" w:name="_Toc449626666"/>
      <w:bookmarkStart w:id="12" w:name="_Toc450037046"/>
      <w:r w:rsidRPr="00050283">
        <w:lastRenderedPageBreak/>
        <w:t>Strategic priorities</w:t>
      </w:r>
      <w:bookmarkEnd w:id="11"/>
      <w:bookmarkEnd w:id="12"/>
    </w:p>
    <w:p w:rsidR="001344B9" w:rsidRDefault="001344B9" w:rsidP="0058446A">
      <w:r w:rsidRPr="00050283">
        <w:t xml:space="preserve">The strategy will include a number of strategic priorities. These will inform policy settings and government investment in the health research and innovation system over the next </w:t>
      </w:r>
      <w:r>
        <w:t>10</w:t>
      </w:r>
      <w:r w:rsidRPr="00050283">
        <w:t xml:space="preserve"> years.</w:t>
      </w:r>
    </w:p>
    <w:p w:rsidR="001344B9" w:rsidRPr="00050283" w:rsidRDefault="001344B9" w:rsidP="0058446A">
      <w:r w:rsidRPr="00050283">
        <w:t>The strategic priorities will turn the vision and mission into specific goals and areas of work. Each strategic priority will therefore be clearly linked to the strategy</w:t>
      </w:r>
      <w:r>
        <w:t>’</w:t>
      </w:r>
      <w:r w:rsidRPr="00050283">
        <w:t>s vision and mission. Strategic priorities are not limited to a particular institution or part of the system, but point to effort required from across the various parts of the system. Quantifiable targets may be developed for the strategic priorities and progress tracked.</w:t>
      </w:r>
    </w:p>
    <w:p w:rsidR="001344B9" w:rsidRPr="00050283" w:rsidRDefault="001344B9" w:rsidP="0058446A">
      <w:r w:rsidRPr="00050283">
        <w:t xml:space="preserve">The essence of a strategic priority is to </w:t>
      </w:r>
      <w:r>
        <w:t xml:space="preserve">answer </w:t>
      </w:r>
      <w:r w:rsidRPr="00050283">
        <w:t>two</w:t>
      </w:r>
      <w:r>
        <w:t xml:space="preserve"> questions.</w:t>
      </w:r>
    </w:p>
    <w:p w:rsidR="001344B9" w:rsidRPr="00050283" w:rsidRDefault="0058446A" w:rsidP="0058446A">
      <w:pPr>
        <w:spacing w:before="120"/>
        <w:ind w:left="1134" w:hanging="567"/>
      </w:pPr>
      <w:r>
        <w:t>1</w:t>
      </w:r>
      <w:r>
        <w:tab/>
      </w:r>
      <w:r w:rsidR="001344B9" w:rsidRPr="00050283">
        <w:t>What are the things we want to do differently?</w:t>
      </w:r>
    </w:p>
    <w:p w:rsidR="001344B9" w:rsidRPr="00050283" w:rsidRDefault="0058446A" w:rsidP="0058446A">
      <w:pPr>
        <w:spacing w:before="120"/>
        <w:ind w:left="1134" w:hanging="567"/>
      </w:pPr>
      <w:r>
        <w:t>2</w:t>
      </w:r>
      <w:r>
        <w:tab/>
      </w:r>
      <w:r w:rsidR="001344B9" w:rsidRPr="00050283">
        <w:t>What do we want more or less of?</w:t>
      </w:r>
    </w:p>
    <w:p w:rsidR="001344B9" w:rsidRPr="00050283" w:rsidRDefault="001344B9" w:rsidP="0058446A">
      <w:r>
        <w:t>On the following pages</w:t>
      </w:r>
      <w:r w:rsidRPr="00050283">
        <w:t xml:space="preserve"> are five examples of possible strategic priorities. They are intended to indicat</w:t>
      </w:r>
      <w:r>
        <w:t>e</w:t>
      </w:r>
      <w:r w:rsidRPr="00050283">
        <w:t xml:space="preserve"> what is meant by a strategic priority and to spur discussion on priorities for New Zealand</w:t>
      </w:r>
      <w:r>
        <w:t>’</w:t>
      </w:r>
      <w:r w:rsidRPr="00050283">
        <w:t>s health research and innovation system.</w:t>
      </w:r>
    </w:p>
    <w:p w:rsidR="0058446A" w:rsidRDefault="001344B9" w:rsidP="003D2194">
      <w:pPr>
        <w:spacing w:after="240"/>
      </w:pPr>
      <w:r w:rsidRPr="00050283">
        <w:t>We want to hear what you think should be the strategic priorities for health research in New Zealand.</w:t>
      </w:r>
      <w:r>
        <w:t xml:space="preserve"> </w:t>
      </w:r>
      <w:r w:rsidRPr="00050283">
        <w:t>The questions in the box below have been provided to stimulate discussion about what could be included in the strategic priorities for the strategy. You may also wish to comment on the focus and content of the five example</w:t>
      </w:r>
      <w:r>
        <w:t>s of</w:t>
      </w:r>
      <w:r w:rsidRPr="00050283">
        <w:t xml:space="preserve"> strategic priorities.</w:t>
      </w:r>
    </w:p>
    <w:tbl>
      <w:tblPr>
        <w:tblStyle w:val="TableGrid"/>
        <w:tblW w:w="9072" w:type="dxa"/>
        <w:tblInd w:w="142"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ayout w:type="fixed"/>
        <w:tblCellMar>
          <w:left w:w="142" w:type="dxa"/>
          <w:right w:w="142" w:type="dxa"/>
        </w:tblCellMar>
        <w:tblLook w:val="04A0" w:firstRow="1" w:lastRow="0" w:firstColumn="1" w:lastColumn="0" w:noHBand="0" w:noVBand="1"/>
      </w:tblPr>
      <w:tblGrid>
        <w:gridCol w:w="5103"/>
        <w:gridCol w:w="3544"/>
        <w:gridCol w:w="425"/>
      </w:tblGrid>
      <w:tr w:rsidR="003D2194" w:rsidRPr="007D679D" w:rsidTr="00CF69E8">
        <w:trPr>
          <w:cantSplit/>
        </w:trPr>
        <w:tc>
          <w:tcPr>
            <w:tcW w:w="5103" w:type="dxa"/>
            <w:tcBorders>
              <w:top w:val="nil"/>
              <w:left w:val="nil"/>
              <w:bottom w:val="single" w:sz="12" w:space="0" w:color="C00000"/>
            </w:tcBorders>
          </w:tcPr>
          <w:p w:rsidR="003D2194" w:rsidRDefault="003D2194" w:rsidP="00CF69E8">
            <w:pPr>
              <w:pStyle w:val="TableText"/>
            </w:pPr>
          </w:p>
        </w:tc>
        <w:tc>
          <w:tcPr>
            <w:tcW w:w="3969" w:type="dxa"/>
            <w:gridSpan w:val="2"/>
            <w:vMerge w:val="restart"/>
            <w:shd w:val="clear" w:color="auto" w:fill="DBE5F1" w:themeFill="accent1" w:themeFillTint="33"/>
            <w:vAlign w:val="center"/>
          </w:tcPr>
          <w:p w:rsidR="003D2194" w:rsidRPr="007D679D" w:rsidRDefault="003D2194" w:rsidP="00CF69E8">
            <w:pPr>
              <w:pStyle w:val="TableText"/>
              <w:spacing w:before="60" w:after="60"/>
              <w:jc w:val="center"/>
              <w:rPr>
                <w:color w:val="002060"/>
                <w:sz w:val="24"/>
                <w:szCs w:val="24"/>
              </w:rPr>
            </w:pPr>
            <w:r>
              <w:rPr>
                <w:color w:val="002060"/>
                <w:sz w:val="24"/>
                <w:szCs w:val="24"/>
              </w:rPr>
              <w:t>Questions we are seeking views on</w:t>
            </w:r>
          </w:p>
        </w:tc>
      </w:tr>
      <w:tr w:rsidR="003D2194" w:rsidRPr="000312D7" w:rsidTr="00CF69E8">
        <w:trPr>
          <w:cantSplit/>
        </w:trPr>
        <w:tc>
          <w:tcPr>
            <w:tcW w:w="5103" w:type="dxa"/>
            <w:tcBorders>
              <w:top w:val="single" w:sz="12" w:space="0" w:color="C00000"/>
              <w:left w:val="single" w:sz="12" w:space="0" w:color="C00000"/>
              <w:bottom w:val="nil"/>
            </w:tcBorders>
          </w:tcPr>
          <w:p w:rsidR="003D2194" w:rsidRDefault="003D2194" w:rsidP="00CF69E8">
            <w:pPr>
              <w:pStyle w:val="TableText"/>
            </w:pPr>
          </w:p>
        </w:tc>
        <w:tc>
          <w:tcPr>
            <w:tcW w:w="3969" w:type="dxa"/>
            <w:gridSpan w:val="2"/>
            <w:vMerge/>
            <w:shd w:val="clear" w:color="auto" w:fill="DBE5F1" w:themeFill="accent1" w:themeFillTint="33"/>
          </w:tcPr>
          <w:p w:rsidR="003D2194" w:rsidRPr="000312D7" w:rsidRDefault="003D2194" w:rsidP="00CF69E8">
            <w:pPr>
              <w:pStyle w:val="TableText"/>
              <w:jc w:val="center"/>
              <w:rPr>
                <w:sz w:val="24"/>
                <w:szCs w:val="24"/>
              </w:rPr>
            </w:pPr>
          </w:p>
        </w:tc>
      </w:tr>
      <w:tr w:rsidR="003D2194" w:rsidTr="00CF69E8">
        <w:trPr>
          <w:cantSplit/>
        </w:trPr>
        <w:tc>
          <w:tcPr>
            <w:tcW w:w="8647" w:type="dxa"/>
            <w:gridSpan w:val="2"/>
            <w:tcBorders>
              <w:top w:val="nil"/>
            </w:tcBorders>
          </w:tcPr>
          <w:p w:rsidR="003D2194" w:rsidRDefault="003D2194" w:rsidP="003D2194">
            <w:pPr>
              <w:pStyle w:val="TableText"/>
              <w:spacing w:before="120"/>
              <w:ind w:left="567" w:hanging="567"/>
            </w:pPr>
            <w:r>
              <w:t>7</w:t>
            </w:r>
            <w:r>
              <w:tab/>
              <w:t>What do you think should be the focus of the strategic priorities in the health research strategy?</w:t>
            </w:r>
          </w:p>
          <w:p w:rsidR="003D2194" w:rsidRDefault="003D2194" w:rsidP="003D2194">
            <w:pPr>
              <w:pStyle w:val="TableText"/>
              <w:spacing w:before="120"/>
              <w:ind w:left="567" w:hanging="567"/>
            </w:pPr>
            <w:r>
              <w:t>8</w:t>
            </w:r>
            <w:r>
              <w:tab/>
              <w:t>What do you think of the example strategic priorities?</w:t>
            </w:r>
          </w:p>
          <w:p w:rsidR="003D2194" w:rsidRDefault="003D2194" w:rsidP="003D2194">
            <w:pPr>
              <w:pStyle w:val="TableText"/>
              <w:spacing w:before="120"/>
              <w:ind w:left="567" w:hanging="567"/>
            </w:pPr>
            <w:r>
              <w:t>9</w:t>
            </w:r>
            <w:r>
              <w:tab/>
              <w:t>What specific actions could help us achieve the strategic priorities you have identified?</w:t>
            </w:r>
          </w:p>
          <w:p w:rsidR="003D2194" w:rsidRDefault="003D2194" w:rsidP="003D2194">
            <w:pPr>
              <w:pStyle w:val="TableText"/>
              <w:spacing w:before="120"/>
              <w:ind w:left="567" w:hanging="567"/>
            </w:pPr>
            <w:r>
              <w:t>10</w:t>
            </w:r>
            <w:r>
              <w:tab/>
              <w:t>How could health research best support the directions of the New Zealand Health Strategy 2016?</w:t>
            </w:r>
          </w:p>
          <w:p w:rsidR="003D2194" w:rsidRDefault="003D2194" w:rsidP="003D2194">
            <w:pPr>
              <w:pStyle w:val="TableText"/>
              <w:spacing w:before="120"/>
              <w:ind w:left="567" w:hanging="567"/>
            </w:pPr>
            <w:r>
              <w:t>11</w:t>
            </w:r>
            <w:r>
              <w:tab/>
              <w:t>Where do the challenges and opportunities lie for health research in New Zealand?</w:t>
            </w:r>
          </w:p>
          <w:p w:rsidR="003D2194" w:rsidRDefault="003D2194" w:rsidP="003D2194">
            <w:pPr>
              <w:pStyle w:val="TableText"/>
              <w:spacing w:before="120"/>
              <w:ind w:left="567" w:hanging="567"/>
            </w:pPr>
            <w:r>
              <w:t>12</w:t>
            </w:r>
            <w:r>
              <w:tab/>
              <w:t>How can we build a more cohesive and connected system?</w:t>
            </w:r>
          </w:p>
          <w:p w:rsidR="003D2194" w:rsidRDefault="003D2194" w:rsidP="003D2194">
            <w:pPr>
              <w:pStyle w:val="TableText"/>
              <w:spacing w:before="120"/>
              <w:ind w:left="567" w:hanging="567"/>
            </w:pPr>
            <w:r>
              <w:t>13</w:t>
            </w:r>
            <w:r>
              <w:tab/>
              <w:t>In what areas could health research in New Zealand make the greatest difference to the health and wellbeing of all New Zealanders over the short term and into the longer term?</w:t>
            </w:r>
          </w:p>
          <w:p w:rsidR="003D2194" w:rsidRDefault="003D2194" w:rsidP="003D2194">
            <w:pPr>
              <w:pStyle w:val="TableText"/>
              <w:spacing w:before="120"/>
              <w:ind w:left="567" w:hanging="567"/>
            </w:pPr>
            <w:r>
              <w:t>14</w:t>
            </w:r>
            <w:r>
              <w:tab/>
              <w:t>How can we ensure health research generates knowledge and understanding that can help address the health needs of all New Zealanders?</w:t>
            </w:r>
          </w:p>
          <w:p w:rsidR="003D2194" w:rsidRDefault="003D2194" w:rsidP="003D2194">
            <w:pPr>
              <w:pStyle w:val="TableText"/>
              <w:spacing w:before="120"/>
              <w:ind w:left="567" w:hanging="567"/>
            </w:pPr>
            <w:r>
              <w:t>15</w:t>
            </w:r>
            <w:r>
              <w:tab/>
              <w:t>How can we get more excellent science and high-impact research?</w:t>
            </w:r>
          </w:p>
          <w:p w:rsidR="003D2194" w:rsidRPr="007D679D" w:rsidRDefault="003D2194" w:rsidP="003D2194">
            <w:pPr>
              <w:pStyle w:val="TableText"/>
              <w:spacing w:before="120" w:after="120"/>
              <w:ind w:left="567" w:hanging="567"/>
            </w:pPr>
            <w:r>
              <w:t>16</w:t>
            </w:r>
            <w:r>
              <w:tab/>
              <w:t>How can we improve the uptake of research results and innovations?</w:t>
            </w:r>
          </w:p>
        </w:tc>
        <w:tc>
          <w:tcPr>
            <w:tcW w:w="425" w:type="dxa"/>
            <w:tcBorders>
              <w:bottom w:val="nil"/>
              <w:right w:val="nil"/>
            </w:tcBorders>
          </w:tcPr>
          <w:p w:rsidR="003D2194" w:rsidRDefault="003D2194" w:rsidP="00CF69E8">
            <w:pPr>
              <w:pStyle w:val="TableText"/>
            </w:pPr>
          </w:p>
        </w:tc>
      </w:tr>
    </w:tbl>
    <w:p w:rsidR="00B40E8F" w:rsidRDefault="00B40E8F" w:rsidP="0058446A"/>
    <w:tbl>
      <w:tblPr>
        <w:tblStyle w:val="TableGrid"/>
        <w:tblW w:w="9072" w:type="dxa"/>
        <w:tblInd w:w="142"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left w:w="142" w:type="dxa"/>
          <w:right w:w="142" w:type="dxa"/>
        </w:tblCellMar>
        <w:tblLook w:val="04A0" w:firstRow="1" w:lastRow="0" w:firstColumn="1" w:lastColumn="0" w:noHBand="0" w:noVBand="1"/>
      </w:tblPr>
      <w:tblGrid>
        <w:gridCol w:w="304"/>
        <w:gridCol w:w="5508"/>
        <w:gridCol w:w="2531"/>
        <w:gridCol w:w="304"/>
        <w:gridCol w:w="425"/>
      </w:tblGrid>
      <w:tr w:rsidR="00B40E8F" w:rsidRPr="001034A2" w:rsidTr="00EC5B2D">
        <w:trPr>
          <w:cantSplit/>
        </w:trPr>
        <w:tc>
          <w:tcPr>
            <w:tcW w:w="5812" w:type="dxa"/>
            <w:gridSpan w:val="2"/>
            <w:tcBorders>
              <w:top w:val="nil"/>
              <w:left w:val="nil"/>
              <w:bottom w:val="dotted" w:sz="24" w:space="0" w:color="002060"/>
              <w:right w:val="single" w:sz="12" w:space="0" w:color="002060"/>
            </w:tcBorders>
          </w:tcPr>
          <w:p w:rsidR="00B40E8F" w:rsidRPr="001034A2" w:rsidRDefault="00B40E8F" w:rsidP="00CF69E8">
            <w:pPr>
              <w:pStyle w:val="TableText"/>
              <w:rPr>
                <w:sz w:val="20"/>
              </w:rPr>
            </w:pPr>
          </w:p>
        </w:tc>
        <w:tc>
          <w:tcPr>
            <w:tcW w:w="3260" w:type="dxa"/>
            <w:gridSpan w:val="3"/>
            <w:vMerge w:val="restart"/>
            <w:tcBorders>
              <w:left w:val="single" w:sz="12" w:space="0" w:color="002060"/>
            </w:tcBorders>
            <w:shd w:val="clear" w:color="auto" w:fill="DBE5F1" w:themeFill="accent1" w:themeFillTint="33"/>
            <w:vAlign w:val="center"/>
          </w:tcPr>
          <w:p w:rsidR="00B40E8F" w:rsidRPr="007D679D" w:rsidRDefault="00B40E8F" w:rsidP="00CF69E8">
            <w:pPr>
              <w:pStyle w:val="TableText"/>
              <w:spacing w:before="60" w:after="60"/>
              <w:jc w:val="center"/>
              <w:rPr>
                <w:color w:val="002060"/>
                <w:sz w:val="24"/>
                <w:szCs w:val="24"/>
              </w:rPr>
            </w:pPr>
            <w:r>
              <w:rPr>
                <w:color w:val="002060"/>
                <w:sz w:val="24"/>
                <w:szCs w:val="24"/>
              </w:rPr>
              <w:t>Strategic Priority Example One</w:t>
            </w:r>
          </w:p>
        </w:tc>
      </w:tr>
      <w:tr w:rsidR="00B40E8F" w:rsidRPr="001034A2" w:rsidTr="00EC5B2D">
        <w:trPr>
          <w:cantSplit/>
        </w:trPr>
        <w:tc>
          <w:tcPr>
            <w:tcW w:w="5812" w:type="dxa"/>
            <w:gridSpan w:val="2"/>
            <w:tcBorders>
              <w:top w:val="dotted" w:sz="24" w:space="0" w:color="002060"/>
              <w:left w:val="dotted" w:sz="24" w:space="0" w:color="002060"/>
              <w:bottom w:val="nil"/>
              <w:right w:val="single" w:sz="12" w:space="0" w:color="002060"/>
            </w:tcBorders>
          </w:tcPr>
          <w:p w:rsidR="00B40E8F" w:rsidRPr="001034A2" w:rsidRDefault="00B40E8F" w:rsidP="00CF69E8">
            <w:pPr>
              <w:pStyle w:val="TableText"/>
              <w:rPr>
                <w:sz w:val="20"/>
              </w:rPr>
            </w:pPr>
          </w:p>
        </w:tc>
        <w:tc>
          <w:tcPr>
            <w:tcW w:w="3260" w:type="dxa"/>
            <w:gridSpan w:val="3"/>
            <w:vMerge/>
            <w:tcBorders>
              <w:left w:val="single" w:sz="12" w:space="0" w:color="002060"/>
              <w:bottom w:val="single" w:sz="12" w:space="0" w:color="002060"/>
            </w:tcBorders>
            <w:shd w:val="clear" w:color="auto" w:fill="DBE5F1" w:themeFill="accent1" w:themeFillTint="33"/>
          </w:tcPr>
          <w:p w:rsidR="00B40E8F" w:rsidRPr="001034A2" w:rsidRDefault="00B40E8F" w:rsidP="00CF69E8">
            <w:pPr>
              <w:pStyle w:val="TableText"/>
              <w:jc w:val="center"/>
              <w:rPr>
                <w:sz w:val="20"/>
              </w:rPr>
            </w:pPr>
          </w:p>
        </w:tc>
      </w:tr>
      <w:tr w:rsidR="00B40E8F" w:rsidRPr="00EC5B2D" w:rsidTr="00EC5B2D">
        <w:trPr>
          <w:cantSplit/>
        </w:trPr>
        <w:tc>
          <w:tcPr>
            <w:tcW w:w="8647" w:type="dxa"/>
            <w:gridSpan w:val="4"/>
            <w:tcBorders>
              <w:top w:val="nil"/>
              <w:left w:val="dotted" w:sz="24" w:space="0" w:color="002060"/>
              <w:bottom w:val="nil"/>
              <w:right w:val="dotted" w:sz="24" w:space="0" w:color="002060"/>
            </w:tcBorders>
          </w:tcPr>
          <w:p w:rsidR="00B40E8F" w:rsidRPr="00EC5B2D" w:rsidRDefault="00B40E8F" w:rsidP="00B40E8F">
            <w:pPr>
              <w:pStyle w:val="TableText"/>
              <w:rPr>
                <w:sz w:val="12"/>
                <w:szCs w:val="12"/>
              </w:rPr>
            </w:pPr>
          </w:p>
        </w:tc>
        <w:tc>
          <w:tcPr>
            <w:tcW w:w="425" w:type="dxa"/>
            <w:tcBorders>
              <w:top w:val="nil"/>
              <w:left w:val="dotted" w:sz="24" w:space="0" w:color="002060"/>
              <w:bottom w:val="nil"/>
              <w:right w:val="nil"/>
            </w:tcBorders>
          </w:tcPr>
          <w:p w:rsidR="00B40E8F" w:rsidRPr="00EC5B2D" w:rsidRDefault="00B40E8F" w:rsidP="00CF69E8">
            <w:pPr>
              <w:pStyle w:val="TableText"/>
              <w:rPr>
                <w:sz w:val="12"/>
                <w:szCs w:val="12"/>
              </w:rPr>
            </w:pPr>
          </w:p>
        </w:tc>
      </w:tr>
      <w:tr w:rsidR="00B40E8F" w:rsidRPr="001034A2" w:rsidTr="00EC5B2D">
        <w:trPr>
          <w:cantSplit/>
        </w:trPr>
        <w:tc>
          <w:tcPr>
            <w:tcW w:w="304" w:type="dxa"/>
            <w:tcBorders>
              <w:top w:val="nil"/>
              <w:left w:val="dotted" w:sz="24" w:space="0" w:color="002060"/>
              <w:bottom w:val="nil"/>
              <w:right w:val="nil"/>
            </w:tcBorders>
          </w:tcPr>
          <w:p w:rsidR="00B40E8F" w:rsidRPr="007D679D" w:rsidRDefault="00B40E8F" w:rsidP="00B40E8F">
            <w:pPr>
              <w:pStyle w:val="TableText"/>
            </w:pPr>
          </w:p>
        </w:tc>
        <w:tc>
          <w:tcPr>
            <w:tcW w:w="8039" w:type="dxa"/>
            <w:gridSpan w:val="2"/>
            <w:tcBorders>
              <w:top w:val="nil"/>
              <w:left w:val="nil"/>
              <w:bottom w:val="nil"/>
              <w:right w:val="nil"/>
            </w:tcBorders>
            <w:shd w:val="clear" w:color="auto" w:fill="31849B" w:themeFill="accent5" w:themeFillShade="BF"/>
          </w:tcPr>
          <w:p w:rsidR="00B40E8F" w:rsidRPr="00B40E8F" w:rsidRDefault="00B40E8F" w:rsidP="00B40E8F">
            <w:pPr>
              <w:pStyle w:val="TableText"/>
              <w:spacing w:before="60" w:after="60"/>
              <w:rPr>
                <w:b/>
                <w:color w:val="FFFFFF" w:themeColor="background1"/>
                <w:sz w:val="24"/>
                <w:szCs w:val="24"/>
              </w:rPr>
            </w:pPr>
            <w:r w:rsidRPr="00B40E8F">
              <w:rPr>
                <w:b/>
                <w:color w:val="FFFFFF" w:themeColor="background1"/>
                <w:sz w:val="24"/>
                <w:szCs w:val="24"/>
              </w:rPr>
              <w:t>Example One: Improving investment settings and processes of health research</w:t>
            </w:r>
          </w:p>
        </w:tc>
        <w:tc>
          <w:tcPr>
            <w:tcW w:w="304" w:type="dxa"/>
            <w:tcBorders>
              <w:top w:val="nil"/>
              <w:left w:val="nil"/>
              <w:bottom w:val="nil"/>
              <w:right w:val="dotted" w:sz="24" w:space="0" w:color="auto"/>
            </w:tcBorders>
          </w:tcPr>
          <w:p w:rsidR="00B40E8F" w:rsidRPr="001034A2" w:rsidRDefault="00B40E8F" w:rsidP="00B40E8F">
            <w:pPr>
              <w:pStyle w:val="TableText"/>
              <w:rPr>
                <w:sz w:val="20"/>
              </w:rPr>
            </w:pPr>
          </w:p>
        </w:tc>
        <w:tc>
          <w:tcPr>
            <w:tcW w:w="425" w:type="dxa"/>
            <w:tcBorders>
              <w:top w:val="nil"/>
              <w:left w:val="dotted" w:sz="24" w:space="0" w:color="auto"/>
              <w:bottom w:val="nil"/>
              <w:right w:val="nil"/>
            </w:tcBorders>
          </w:tcPr>
          <w:p w:rsidR="00B40E8F" w:rsidRPr="001034A2" w:rsidRDefault="00B40E8F" w:rsidP="00CF69E8">
            <w:pPr>
              <w:pStyle w:val="TableText"/>
              <w:rPr>
                <w:sz w:val="20"/>
              </w:rPr>
            </w:pPr>
          </w:p>
        </w:tc>
      </w:tr>
      <w:tr w:rsidR="00B40E8F" w:rsidRPr="001034A2" w:rsidTr="00EC5B2D">
        <w:trPr>
          <w:cantSplit/>
        </w:trPr>
        <w:tc>
          <w:tcPr>
            <w:tcW w:w="8647" w:type="dxa"/>
            <w:gridSpan w:val="4"/>
            <w:tcBorders>
              <w:top w:val="nil"/>
              <w:left w:val="dotted" w:sz="24" w:space="0" w:color="002060"/>
              <w:bottom w:val="nil"/>
              <w:right w:val="dotted" w:sz="24" w:space="0" w:color="002060"/>
            </w:tcBorders>
          </w:tcPr>
          <w:p w:rsidR="00B40E8F" w:rsidRPr="004D2799" w:rsidRDefault="00B40E8F" w:rsidP="00736809">
            <w:pPr>
              <w:pStyle w:val="TableText"/>
              <w:spacing w:before="120"/>
              <w:ind w:left="142" w:right="142"/>
              <w:rPr>
                <w:sz w:val="19"/>
                <w:szCs w:val="19"/>
              </w:rPr>
            </w:pPr>
            <w:r w:rsidRPr="004D2799">
              <w:rPr>
                <w:sz w:val="19"/>
                <w:szCs w:val="19"/>
              </w:rPr>
              <w:t>The National Statement of Science Investment recognises the significant strengths New Zealand has in health research. It also makes a commitment to increase funding for health research over time and to consider how to leverage the results for greater economic benefit, in addition to the social and health benefits. The Government will ensure funding levels correspond to the impacts health research is delivering for New Zealand, mindful of the fact that health research is a global endeavour. The challenge over the next 10 years is to ensure funding priorities, settings and processes achieve maximum value for money and support an effective and sustainable health research and innovation system.</w:t>
            </w:r>
          </w:p>
          <w:p w:rsidR="00B40E8F" w:rsidRPr="004D2799" w:rsidRDefault="00B40E8F" w:rsidP="00736809">
            <w:pPr>
              <w:pStyle w:val="TableText"/>
              <w:spacing w:before="60" w:after="120"/>
              <w:ind w:left="142" w:right="142"/>
              <w:rPr>
                <w:spacing w:val="-2"/>
                <w:sz w:val="19"/>
                <w:szCs w:val="19"/>
              </w:rPr>
            </w:pPr>
            <w:r w:rsidRPr="004D2799">
              <w:rPr>
                <w:spacing w:val="-2"/>
                <w:sz w:val="19"/>
                <w:szCs w:val="19"/>
              </w:rPr>
              <w:t>Improving investment settings and processes of health research could focus on areas such as the following:</w:t>
            </w:r>
          </w:p>
        </w:tc>
        <w:tc>
          <w:tcPr>
            <w:tcW w:w="425" w:type="dxa"/>
            <w:tcBorders>
              <w:top w:val="nil"/>
              <w:left w:val="dotted" w:sz="24" w:space="0" w:color="002060"/>
              <w:bottom w:val="nil"/>
              <w:right w:val="nil"/>
            </w:tcBorders>
          </w:tcPr>
          <w:p w:rsidR="00B40E8F" w:rsidRPr="001034A2" w:rsidRDefault="00B40E8F" w:rsidP="00CF69E8">
            <w:pPr>
              <w:pStyle w:val="TableText"/>
              <w:rPr>
                <w:sz w:val="20"/>
              </w:rPr>
            </w:pPr>
          </w:p>
        </w:tc>
      </w:tr>
      <w:tr w:rsidR="00CF69E8" w:rsidTr="001A69B5">
        <w:trPr>
          <w:cantSplit/>
        </w:trPr>
        <w:tc>
          <w:tcPr>
            <w:tcW w:w="304" w:type="dxa"/>
            <w:tcBorders>
              <w:top w:val="nil"/>
              <w:left w:val="dotted" w:sz="24" w:space="0" w:color="002060"/>
              <w:bottom w:val="nil"/>
              <w:right w:val="nil"/>
            </w:tcBorders>
          </w:tcPr>
          <w:p w:rsidR="00CF69E8" w:rsidRPr="00EC5B2D" w:rsidRDefault="00CF69E8" w:rsidP="00CF69E8">
            <w:pPr>
              <w:pStyle w:val="TableText"/>
              <w:rPr>
                <w:sz w:val="20"/>
              </w:rPr>
            </w:pPr>
          </w:p>
        </w:tc>
        <w:tc>
          <w:tcPr>
            <w:tcW w:w="8039" w:type="dxa"/>
            <w:gridSpan w:val="2"/>
            <w:tcBorders>
              <w:top w:val="nil"/>
              <w:left w:val="nil"/>
              <w:bottom w:val="nil"/>
              <w:right w:val="nil"/>
            </w:tcBorders>
            <w:shd w:val="clear" w:color="auto" w:fill="DBE5F1" w:themeFill="accent1" w:themeFillTint="33"/>
          </w:tcPr>
          <w:p w:rsidR="00CF69E8" w:rsidRPr="004D2799" w:rsidRDefault="00CF69E8" w:rsidP="00736809">
            <w:pPr>
              <w:pStyle w:val="TableText"/>
              <w:tabs>
                <w:tab w:val="left" w:pos="284"/>
              </w:tabs>
              <w:spacing w:before="60"/>
              <w:rPr>
                <w:color w:val="000000" w:themeColor="text1"/>
                <w:sz w:val="19"/>
                <w:szCs w:val="19"/>
              </w:rPr>
            </w:pPr>
            <w:r w:rsidRPr="004D2799">
              <w:rPr>
                <w:b/>
                <w:color w:val="000000" w:themeColor="text1"/>
                <w:sz w:val="19"/>
                <w:szCs w:val="19"/>
              </w:rPr>
              <w:t>1</w:t>
            </w:r>
            <w:r w:rsidR="001C685B" w:rsidRPr="004D2799">
              <w:rPr>
                <w:b/>
                <w:color w:val="000000" w:themeColor="text1"/>
                <w:sz w:val="19"/>
                <w:szCs w:val="19"/>
              </w:rPr>
              <w:tab/>
            </w:r>
            <w:r w:rsidRPr="004D2799">
              <w:rPr>
                <w:b/>
                <w:color w:val="000000" w:themeColor="text1"/>
                <w:sz w:val="19"/>
                <w:szCs w:val="19"/>
              </w:rPr>
              <w:t>Setting health research priorities through robust and transparent processes involving more partnerships with those who have a stake in health research</w:t>
            </w:r>
            <w:r w:rsidRPr="004D2799">
              <w:rPr>
                <w:color w:val="000000" w:themeColor="text1"/>
                <w:sz w:val="19"/>
                <w:szCs w:val="19"/>
              </w:rPr>
              <w:t>. In addition to the final health research strategy, the key mechanism for this will be the HRC’s three-year investment plan which will take into account the research funded through other mechanisms supporting health research. Processes will balance multiple and at times competing interests such as:</w:t>
            </w:r>
          </w:p>
          <w:p w:rsidR="00CF69E8" w:rsidRPr="004D2799" w:rsidRDefault="00CF69E8" w:rsidP="0060111F">
            <w:pPr>
              <w:pStyle w:val="TableBullet"/>
              <w:spacing w:before="40"/>
              <w:ind w:left="284" w:hanging="284"/>
              <w:rPr>
                <w:sz w:val="19"/>
                <w:szCs w:val="19"/>
              </w:rPr>
            </w:pPr>
            <w:r w:rsidRPr="004D2799">
              <w:rPr>
                <w:sz w:val="19"/>
                <w:szCs w:val="19"/>
              </w:rPr>
              <w:t>meeting current health and health system information needs</w:t>
            </w:r>
          </w:p>
          <w:p w:rsidR="00CF69E8" w:rsidRPr="004D2799" w:rsidRDefault="00CF69E8" w:rsidP="00736809">
            <w:pPr>
              <w:pStyle w:val="TableBullet"/>
              <w:spacing w:before="0"/>
              <w:ind w:left="284" w:hanging="284"/>
              <w:rPr>
                <w:sz w:val="19"/>
                <w:szCs w:val="19"/>
              </w:rPr>
            </w:pPr>
            <w:r w:rsidRPr="004D2799">
              <w:rPr>
                <w:sz w:val="19"/>
                <w:szCs w:val="19"/>
              </w:rPr>
              <w:t>addressing the social, environmental and community dimensions of New Zealanders’ health</w:t>
            </w:r>
          </w:p>
          <w:p w:rsidR="00CF69E8" w:rsidRPr="004D2799" w:rsidRDefault="00CF69E8" w:rsidP="00736809">
            <w:pPr>
              <w:pStyle w:val="TableBullet"/>
              <w:spacing w:before="0"/>
              <w:ind w:left="284" w:hanging="284"/>
              <w:rPr>
                <w:sz w:val="19"/>
                <w:szCs w:val="19"/>
              </w:rPr>
            </w:pPr>
            <w:r w:rsidRPr="004D2799">
              <w:rPr>
                <w:sz w:val="19"/>
                <w:szCs w:val="19"/>
              </w:rPr>
              <w:t xml:space="preserve">addressing the health needs of specific populations, in particular Māori health </w:t>
            </w:r>
          </w:p>
          <w:p w:rsidR="00CF69E8" w:rsidRPr="004D2799" w:rsidRDefault="00CF69E8" w:rsidP="00736809">
            <w:pPr>
              <w:pStyle w:val="TableBullet"/>
              <w:spacing w:before="0"/>
              <w:ind w:left="284" w:hanging="284"/>
              <w:rPr>
                <w:sz w:val="19"/>
                <w:szCs w:val="19"/>
              </w:rPr>
            </w:pPr>
            <w:r w:rsidRPr="004D2799">
              <w:rPr>
                <w:sz w:val="19"/>
                <w:szCs w:val="19"/>
              </w:rPr>
              <w:t>responding to new and emerging health threats</w:t>
            </w:r>
          </w:p>
          <w:p w:rsidR="00CF69E8" w:rsidRPr="004D2799" w:rsidRDefault="00CF69E8" w:rsidP="00736809">
            <w:pPr>
              <w:pStyle w:val="TableBullet"/>
              <w:spacing w:before="0"/>
              <w:ind w:left="284" w:hanging="284"/>
              <w:rPr>
                <w:sz w:val="19"/>
                <w:szCs w:val="19"/>
              </w:rPr>
            </w:pPr>
            <w:r w:rsidRPr="004D2799">
              <w:rPr>
                <w:sz w:val="19"/>
                <w:szCs w:val="19"/>
              </w:rPr>
              <w:t>building on existing research strengths and capabilities</w:t>
            </w:r>
          </w:p>
          <w:p w:rsidR="00CF69E8" w:rsidRPr="00EC5B2D" w:rsidRDefault="00CF69E8" w:rsidP="00736809">
            <w:pPr>
              <w:pStyle w:val="TableBullet"/>
              <w:spacing w:before="0" w:after="60"/>
              <w:ind w:left="284" w:hanging="284"/>
              <w:rPr>
                <w:sz w:val="20"/>
              </w:rPr>
            </w:pPr>
            <w:proofErr w:type="gramStart"/>
            <w:r w:rsidRPr="004D2799">
              <w:rPr>
                <w:sz w:val="19"/>
                <w:szCs w:val="19"/>
              </w:rPr>
              <w:t>supporting</w:t>
            </w:r>
            <w:proofErr w:type="gramEnd"/>
            <w:r w:rsidRPr="004D2799">
              <w:rPr>
                <w:sz w:val="19"/>
                <w:szCs w:val="19"/>
              </w:rPr>
              <w:t xml:space="preserve"> inquiry, exploration and excellence.</w:t>
            </w:r>
          </w:p>
        </w:tc>
        <w:tc>
          <w:tcPr>
            <w:tcW w:w="304" w:type="dxa"/>
            <w:tcBorders>
              <w:top w:val="nil"/>
              <w:left w:val="nil"/>
              <w:bottom w:val="nil"/>
              <w:right w:val="dotted" w:sz="24" w:space="0" w:color="002060"/>
            </w:tcBorders>
          </w:tcPr>
          <w:p w:rsidR="00CF69E8" w:rsidRPr="00EC5B2D" w:rsidRDefault="00CF69E8" w:rsidP="00CF69E8">
            <w:pPr>
              <w:pStyle w:val="TableText"/>
              <w:rPr>
                <w:sz w:val="20"/>
              </w:rPr>
            </w:pPr>
          </w:p>
        </w:tc>
        <w:tc>
          <w:tcPr>
            <w:tcW w:w="425" w:type="dxa"/>
            <w:tcBorders>
              <w:top w:val="nil"/>
              <w:left w:val="dotted" w:sz="24" w:space="0" w:color="002060"/>
              <w:bottom w:val="nil"/>
              <w:right w:val="nil"/>
            </w:tcBorders>
          </w:tcPr>
          <w:p w:rsidR="00CF69E8" w:rsidRDefault="00CF69E8" w:rsidP="00CF69E8">
            <w:pPr>
              <w:pStyle w:val="TableText"/>
            </w:pPr>
          </w:p>
        </w:tc>
      </w:tr>
      <w:tr w:rsidR="00B40E8F" w:rsidRPr="00736809" w:rsidTr="00EC5B2D">
        <w:trPr>
          <w:cantSplit/>
        </w:trPr>
        <w:tc>
          <w:tcPr>
            <w:tcW w:w="8647" w:type="dxa"/>
            <w:gridSpan w:val="4"/>
            <w:tcBorders>
              <w:top w:val="nil"/>
              <w:left w:val="dotted" w:sz="24" w:space="0" w:color="002060"/>
              <w:bottom w:val="nil"/>
              <w:right w:val="dotted" w:sz="24" w:space="0" w:color="002060"/>
            </w:tcBorders>
          </w:tcPr>
          <w:p w:rsidR="00B40E8F" w:rsidRPr="00736809" w:rsidRDefault="00B40E8F" w:rsidP="00B40E8F">
            <w:pPr>
              <w:pStyle w:val="TableText"/>
              <w:rPr>
                <w:sz w:val="12"/>
                <w:szCs w:val="12"/>
              </w:rPr>
            </w:pPr>
          </w:p>
        </w:tc>
        <w:tc>
          <w:tcPr>
            <w:tcW w:w="425" w:type="dxa"/>
            <w:tcBorders>
              <w:top w:val="nil"/>
              <w:left w:val="dotted" w:sz="24" w:space="0" w:color="002060"/>
              <w:bottom w:val="nil"/>
              <w:right w:val="nil"/>
            </w:tcBorders>
          </w:tcPr>
          <w:p w:rsidR="00B40E8F" w:rsidRPr="00736809" w:rsidRDefault="00B40E8F" w:rsidP="00CF69E8">
            <w:pPr>
              <w:pStyle w:val="TableText"/>
              <w:rPr>
                <w:sz w:val="12"/>
                <w:szCs w:val="12"/>
              </w:rPr>
            </w:pPr>
          </w:p>
        </w:tc>
      </w:tr>
      <w:tr w:rsidR="00CF69E8" w:rsidRPr="001034A2" w:rsidTr="001A69B5">
        <w:trPr>
          <w:cantSplit/>
        </w:trPr>
        <w:tc>
          <w:tcPr>
            <w:tcW w:w="304" w:type="dxa"/>
            <w:tcBorders>
              <w:top w:val="nil"/>
              <w:left w:val="dotted" w:sz="24" w:space="0" w:color="002060"/>
              <w:bottom w:val="nil"/>
              <w:right w:val="nil"/>
            </w:tcBorders>
          </w:tcPr>
          <w:p w:rsidR="00CF69E8" w:rsidRPr="00EC5B2D" w:rsidRDefault="00CF69E8" w:rsidP="00CF69E8">
            <w:pPr>
              <w:pStyle w:val="TableText"/>
              <w:rPr>
                <w:sz w:val="20"/>
              </w:rPr>
            </w:pPr>
          </w:p>
        </w:tc>
        <w:tc>
          <w:tcPr>
            <w:tcW w:w="8039" w:type="dxa"/>
            <w:gridSpan w:val="2"/>
            <w:tcBorders>
              <w:top w:val="nil"/>
              <w:left w:val="nil"/>
              <w:bottom w:val="nil"/>
              <w:right w:val="nil"/>
            </w:tcBorders>
            <w:shd w:val="clear" w:color="auto" w:fill="DBE5F1" w:themeFill="accent1" w:themeFillTint="33"/>
          </w:tcPr>
          <w:p w:rsidR="00CF69E8" w:rsidRPr="004D2799" w:rsidRDefault="00CF69E8" w:rsidP="00736809">
            <w:pPr>
              <w:pStyle w:val="TableText"/>
              <w:tabs>
                <w:tab w:val="left" w:pos="284"/>
              </w:tabs>
              <w:spacing w:before="60"/>
              <w:rPr>
                <w:spacing w:val="-2"/>
                <w:sz w:val="19"/>
                <w:szCs w:val="19"/>
              </w:rPr>
            </w:pPr>
            <w:r w:rsidRPr="004D2799">
              <w:rPr>
                <w:b/>
                <w:spacing w:val="-2"/>
                <w:sz w:val="19"/>
                <w:szCs w:val="19"/>
              </w:rPr>
              <w:t>2</w:t>
            </w:r>
            <w:r w:rsidR="001C685B" w:rsidRPr="004D2799">
              <w:rPr>
                <w:b/>
                <w:spacing w:val="-2"/>
                <w:sz w:val="19"/>
                <w:szCs w:val="19"/>
              </w:rPr>
              <w:tab/>
            </w:r>
            <w:r w:rsidRPr="004D2799">
              <w:rPr>
                <w:b/>
                <w:spacing w:val="-2"/>
                <w:sz w:val="19"/>
                <w:szCs w:val="19"/>
              </w:rPr>
              <w:t>Incentivising excellence and impact of government investment in health research</w:t>
            </w:r>
            <w:r w:rsidRPr="004D2799">
              <w:rPr>
                <w:spacing w:val="-2"/>
                <w:sz w:val="19"/>
                <w:szCs w:val="19"/>
              </w:rPr>
              <w:t>. This might include:</w:t>
            </w:r>
          </w:p>
          <w:p w:rsidR="00CF69E8" w:rsidRPr="004D2799" w:rsidRDefault="00CF69E8" w:rsidP="0060111F">
            <w:pPr>
              <w:pStyle w:val="TableBullet"/>
              <w:spacing w:before="40"/>
              <w:ind w:left="284" w:hanging="284"/>
              <w:rPr>
                <w:sz w:val="19"/>
                <w:szCs w:val="19"/>
              </w:rPr>
            </w:pPr>
            <w:r w:rsidRPr="004D2799">
              <w:rPr>
                <w:sz w:val="19"/>
                <w:szCs w:val="19"/>
              </w:rPr>
              <w:t>funding those opportunities that are more responsive to strategic directions and priorities and that bring together the best minds to focus on these priorities</w:t>
            </w:r>
          </w:p>
          <w:p w:rsidR="00CF69E8" w:rsidRPr="004D2799" w:rsidRDefault="00CF69E8" w:rsidP="00736809">
            <w:pPr>
              <w:pStyle w:val="TableBullet"/>
              <w:spacing w:before="0"/>
              <w:ind w:left="284" w:hanging="284"/>
              <w:rPr>
                <w:sz w:val="19"/>
                <w:szCs w:val="19"/>
              </w:rPr>
            </w:pPr>
            <w:r w:rsidRPr="004D2799">
              <w:rPr>
                <w:sz w:val="19"/>
                <w:szCs w:val="19"/>
              </w:rPr>
              <w:t>assessment criteria that reward excellent</w:t>
            </w:r>
            <w:r w:rsidR="001C685B" w:rsidRPr="004D2799">
              <w:rPr>
                <w:sz w:val="19"/>
                <w:szCs w:val="19"/>
              </w:rPr>
              <w:t xml:space="preserve"> science and pathways to impact</w:t>
            </w:r>
          </w:p>
          <w:p w:rsidR="00CF69E8" w:rsidRPr="004D2799" w:rsidRDefault="00CF69E8" w:rsidP="00736809">
            <w:pPr>
              <w:pStyle w:val="TableBullet"/>
              <w:spacing w:before="0"/>
              <w:ind w:left="284" w:hanging="284"/>
              <w:rPr>
                <w:sz w:val="19"/>
                <w:szCs w:val="19"/>
              </w:rPr>
            </w:pPr>
            <w:r w:rsidRPr="004D2799">
              <w:rPr>
                <w:sz w:val="19"/>
                <w:szCs w:val="19"/>
              </w:rPr>
              <w:t>assessment processes that incentivise collaboration, multidisciplinary approaches and engagement with end users</w:t>
            </w:r>
          </w:p>
          <w:p w:rsidR="00CF69E8" w:rsidRPr="004D2799" w:rsidRDefault="00CF69E8" w:rsidP="00736809">
            <w:pPr>
              <w:pStyle w:val="TableBullet"/>
              <w:spacing w:before="0"/>
              <w:ind w:left="284" w:hanging="284"/>
              <w:rPr>
                <w:sz w:val="19"/>
                <w:szCs w:val="19"/>
              </w:rPr>
            </w:pPr>
            <w:r w:rsidRPr="004D2799">
              <w:rPr>
                <w:sz w:val="19"/>
                <w:szCs w:val="19"/>
              </w:rPr>
              <w:t>funding research that uses innovative research methods, new analytical tools and linked large datasets</w:t>
            </w:r>
          </w:p>
          <w:p w:rsidR="00CF69E8" w:rsidRPr="004D2799" w:rsidRDefault="00CF69E8" w:rsidP="00736809">
            <w:pPr>
              <w:pStyle w:val="TableBullet"/>
              <w:spacing w:before="0"/>
              <w:ind w:left="284" w:hanging="284"/>
              <w:rPr>
                <w:sz w:val="19"/>
                <w:szCs w:val="19"/>
              </w:rPr>
            </w:pPr>
            <w:r w:rsidRPr="004D2799">
              <w:rPr>
                <w:sz w:val="19"/>
                <w:szCs w:val="19"/>
              </w:rPr>
              <w:t>funding mechanisms that are flexible enough to respond to emerging opportunities</w:t>
            </w:r>
          </w:p>
          <w:p w:rsidR="00CF69E8" w:rsidRPr="00EC5B2D" w:rsidRDefault="00CF69E8" w:rsidP="00736809">
            <w:pPr>
              <w:pStyle w:val="TableBullet"/>
              <w:spacing w:before="0" w:after="60"/>
              <w:ind w:left="284" w:hanging="284"/>
              <w:rPr>
                <w:sz w:val="20"/>
              </w:rPr>
            </w:pPr>
            <w:proofErr w:type="gramStart"/>
            <w:r w:rsidRPr="004D2799">
              <w:rPr>
                <w:sz w:val="19"/>
                <w:szCs w:val="19"/>
              </w:rPr>
              <w:t>processes</w:t>
            </w:r>
            <w:proofErr w:type="gramEnd"/>
            <w:r w:rsidRPr="004D2799">
              <w:rPr>
                <w:sz w:val="19"/>
                <w:szCs w:val="19"/>
              </w:rPr>
              <w:t xml:space="preserve"> that are trusted and transparent with high standards of peer-review, that reduce complexity and transaction costs, deliver value for money, and are underpinned by a continuous quality improvement approach.</w:t>
            </w:r>
          </w:p>
        </w:tc>
        <w:tc>
          <w:tcPr>
            <w:tcW w:w="304" w:type="dxa"/>
            <w:tcBorders>
              <w:top w:val="nil"/>
              <w:left w:val="nil"/>
              <w:bottom w:val="nil"/>
              <w:right w:val="dotted" w:sz="24" w:space="0" w:color="002060"/>
            </w:tcBorders>
          </w:tcPr>
          <w:p w:rsidR="00CF69E8" w:rsidRPr="00EC5B2D" w:rsidRDefault="00CF69E8" w:rsidP="00CF69E8">
            <w:pPr>
              <w:pStyle w:val="TableText"/>
              <w:rPr>
                <w:sz w:val="20"/>
              </w:rPr>
            </w:pPr>
          </w:p>
        </w:tc>
        <w:tc>
          <w:tcPr>
            <w:tcW w:w="425" w:type="dxa"/>
            <w:tcBorders>
              <w:top w:val="nil"/>
              <w:left w:val="dotted" w:sz="24" w:space="0" w:color="002060"/>
              <w:bottom w:val="nil"/>
              <w:right w:val="nil"/>
            </w:tcBorders>
          </w:tcPr>
          <w:p w:rsidR="00CF69E8" w:rsidRPr="001034A2" w:rsidRDefault="00CF69E8" w:rsidP="00CF69E8">
            <w:pPr>
              <w:pStyle w:val="TableText"/>
              <w:rPr>
                <w:sz w:val="20"/>
              </w:rPr>
            </w:pPr>
          </w:p>
        </w:tc>
      </w:tr>
      <w:tr w:rsidR="00EC5B2D" w:rsidRPr="00736809" w:rsidTr="00EC5B2D">
        <w:trPr>
          <w:cantSplit/>
        </w:trPr>
        <w:tc>
          <w:tcPr>
            <w:tcW w:w="8647" w:type="dxa"/>
            <w:gridSpan w:val="4"/>
            <w:tcBorders>
              <w:top w:val="nil"/>
              <w:left w:val="dotted" w:sz="24" w:space="0" w:color="002060"/>
              <w:bottom w:val="nil"/>
              <w:right w:val="dotted" w:sz="24" w:space="0" w:color="002060"/>
            </w:tcBorders>
          </w:tcPr>
          <w:p w:rsidR="00EC5B2D" w:rsidRPr="00736809" w:rsidRDefault="00EC5B2D" w:rsidP="006A7220">
            <w:pPr>
              <w:pStyle w:val="TableText"/>
              <w:rPr>
                <w:sz w:val="12"/>
                <w:szCs w:val="12"/>
              </w:rPr>
            </w:pPr>
          </w:p>
        </w:tc>
        <w:tc>
          <w:tcPr>
            <w:tcW w:w="425" w:type="dxa"/>
            <w:tcBorders>
              <w:top w:val="nil"/>
              <w:left w:val="dotted" w:sz="24" w:space="0" w:color="002060"/>
              <w:bottom w:val="nil"/>
              <w:right w:val="nil"/>
            </w:tcBorders>
          </w:tcPr>
          <w:p w:rsidR="00EC5B2D" w:rsidRPr="00736809" w:rsidRDefault="00EC5B2D" w:rsidP="006A7220">
            <w:pPr>
              <w:pStyle w:val="TableText"/>
              <w:rPr>
                <w:sz w:val="12"/>
                <w:szCs w:val="12"/>
              </w:rPr>
            </w:pPr>
          </w:p>
        </w:tc>
      </w:tr>
      <w:tr w:rsidR="00EC5B2D" w:rsidTr="001A69B5">
        <w:trPr>
          <w:cantSplit/>
        </w:trPr>
        <w:tc>
          <w:tcPr>
            <w:tcW w:w="304" w:type="dxa"/>
            <w:tcBorders>
              <w:top w:val="nil"/>
              <w:left w:val="dotted" w:sz="24" w:space="0" w:color="002060"/>
              <w:bottom w:val="nil"/>
              <w:right w:val="nil"/>
            </w:tcBorders>
          </w:tcPr>
          <w:p w:rsidR="00EC5B2D" w:rsidRPr="00EC5B2D" w:rsidRDefault="00EC5B2D" w:rsidP="006A7220">
            <w:pPr>
              <w:pStyle w:val="TableText"/>
              <w:rPr>
                <w:sz w:val="20"/>
              </w:rPr>
            </w:pPr>
          </w:p>
        </w:tc>
        <w:tc>
          <w:tcPr>
            <w:tcW w:w="8039" w:type="dxa"/>
            <w:gridSpan w:val="2"/>
            <w:tcBorders>
              <w:top w:val="nil"/>
              <w:left w:val="nil"/>
              <w:bottom w:val="nil"/>
              <w:right w:val="nil"/>
            </w:tcBorders>
            <w:shd w:val="clear" w:color="auto" w:fill="DBE5F1" w:themeFill="accent1" w:themeFillTint="33"/>
          </w:tcPr>
          <w:p w:rsidR="00EC5B2D" w:rsidRPr="004D2799" w:rsidRDefault="00EC5B2D" w:rsidP="00736809">
            <w:pPr>
              <w:pStyle w:val="TableText"/>
              <w:tabs>
                <w:tab w:val="left" w:pos="284"/>
              </w:tabs>
              <w:spacing w:before="60" w:after="60"/>
              <w:rPr>
                <w:sz w:val="19"/>
                <w:szCs w:val="19"/>
              </w:rPr>
            </w:pPr>
            <w:r w:rsidRPr="004D2799">
              <w:rPr>
                <w:b/>
                <w:sz w:val="19"/>
                <w:szCs w:val="19"/>
              </w:rPr>
              <w:t>3</w:t>
            </w:r>
            <w:r w:rsidRPr="004D2799">
              <w:rPr>
                <w:b/>
                <w:sz w:val="19"/>
                <w:szCs w:val="19"/>
              </w:rPr>
              <w:tab/>
              <w:t>Improving alignment and coordination across the funding landscape</w:t>
            </w:r>
            <w:r w:rsidRPr="004D2799">
              <w:rPr>
                <w:sz w:val="19"/>
                <w:szCs w:val="19"/>
              </w:rPr>
              <w:t>. Currently the funding of health research is relatively complex with various funds and programmes, but the majority of public funding originates from two sources: (1) MBIE which provides funding to the HRC, National Science Challenges, the Marsden Fund and Callaghan Innovation; and (2) the Tertiary Education Commission which provides institutional funding to universities and funds the Centres of Research Excellence, several of which have significant health research components. We need to establish clearer boundaries and responsibilities to improve alignment, remove duplication, fill critical gaps in funding and be clearer about the degree of alignment with the National Science Challenges.</w:t>
            </w:r>
          </w:p>
        </w:tc>
        <w:tc>
          <w:tcPr>
            <w:tcW w:w="304" w:type="dxa"/>
            <w:tcBorders>
              <w:top w:val="nil"/>
              <w:left w:val="nil"/>
              <w:bottom w:val="nil"/>
              <w:right w:val="dotted" w:sz="24" w:space="0" w:color="002060"/>
            </w:tcBorders>
          </w:tcPr>
          <w:p w:rsidR="00EC5B2D" w:rsidRPr="00EC5B2D" w:rsidRDefault="00EC5B2D" w:rsidP="006A7220">
            <w:pPr>
              <w:pStyle w:val="TableText"/>
              <w:rPr>
                <w:sz w:val="20"/>
              </w:rPr>
            </w:pPr>
          </w:p>
        </w:tc>
        <w:tc>
          <w:tcPr>
            <w:tcW w:w="425" w:type="dxa"/>
            <w:tcBorders>
              <w:top w:val="nil"/>
              <w:left w:val="dotted" w:sz="24" w:space="0" w:color="002060"/>
              <w:bottom w:val="nil"/>
              <w:right w:val="nil"/>
            </w:tcBorders>
          </w:tcPr>
          <w:p w:rsidR="00EC5B2D" w:rsidRPr="00EC5B2D" w:rsidRDefault="00EC5B2D" w:rsidP="006A7220">
            <w:pPr>
              <w:pStyle w:val="TableText"/>
              <w:rPr>
                <w:sz w:val="20"/>
              </w:rPr>
            </w:pPr>
          </w:p>
        </w:tc>
      </w:tr>
      <w:tr w:rsidR="00EC5B2D" w:rsidRPr="00736809" w:rsidTr="00EC5B2D">
        <w:trPr>
          <w:cantSplit/>
        </w:trPr>
        <w:tc>
          <w:tcPr>
            <w:tcW w:w="8647" w:type="dxa"/>
            <w:gridSpan w:val="4"/>
            <w:tcBorders>
              <w:top w:val="nil"/>
              <w:left w:val="dotted" w:sz="24" w:space="0" w:color="002060"/>
              <w:bottom w:val="nil"/>
              <w:right w:val="dotted" w:sz="24" w:space="0" w:color="002060"/>
            </w:tcBorders>
          </w:tcPr>
          <w:p w:rsidR="00EC5B2D" w:rsidRPr="00736809" w:rsidRDefault="00EC5B2D" w:rsidP="006A7220">
            <w:pPr>
              <w:pStyle w:val="TableText"/>
              <w:rPr>
                <w:sz w:val="12"/>
                <w:szCs w:val="12"/>
              </w:rPr>
            </w:pPr>
          </w:p>
        </w:tc>
        <w:tc>
          <w:tcPr>
            <w:tcW w:w="425" w:type="dxa"/>
            <w:tcBorders>
              <w:top w:val="nil"/>
              <w:left w:val="dotted" w:sz="24" w:space="0" w:color="002060"/>
              <w:bottom w:val="nil"/>
              <w:right w:val="nil"/>
            </w:tcBorders>
          </w:tcPr>
          <w:p w:rsidR="00EC5B2D" w:rsidRPr="00736809" w:rsidRDefault="00EC5B2D" w:rsidP="006A7220">
            <w:pPr>
              <w:pStyle w:val="TableText"/>
              <w:rPr>
                <w:sz w:val="12"/>
                <w:szCs w:val="12"/>
              </w:rPr>
            </w:pPr>
          </w:p>
        </w:tc>
      </w:tr>
      <w:tr w:rsidR="00EC5B2D" w:rsidTr="001A69B5">
        <w:trPr>
          <w:cantSplit/>
        </w:trPr>
        <w:tc>
          <w:tcPr>
            <w:tcW w:w="304" w:type="dxa"/>
            <w:tcBorders>
              <w:top w:val="nil"/>
              <w:left w:val="dotted" w:sz="24" w:space="0" w:color="002060"/>
              <w:bottom w:val="nil"/>
              <w:right w:val="nil"/>
            </w:tcBorders>
          </w:tcPr>
          <w:p w:rsidR="00EC5B2D" w:rsidRPr="00EC5B2D" w:rsidRDefault="00EC5B2D" w:rsidP="006A7220">
            <w:pPr>
              <w:pStyle w:val="TableText"/>
              <w:rPr>
                <w:sz w:val="20"/>
              </w:rPr>
            </w:pPr>
          </w:p>
        </w:tc>
        <w:tc>
          <w:tcPr>
            <w:tcW w:w="8039" w:type="dxa"/>
            <w:gridSpan w:val="2"/>
            <w:tcBorders>
              <w:top w:val="nil"/>
              <w:left w:val="nil"/>
              <w:bottom w:val="nil"/>
              <w:right w:val="nil"/>
            </w:tcBorders>
            <w:shd w:val="clear" w:color="auto" w:fill="DBE5F1" w:themeFill="accent1" w:themeFillTint="33"/>
          </w:tcPr>
          <w:p w:rsidR="00EC5B2D" w:rsidRPr="004D2799" w:rsidRDefault="00EC5B2D" w:rsidP="00736809">
            <w:pPr>
              <w:pStyle w:val="TableText"/>
              <w:tabs>
                <w:tab w:val="left" w:pos="284"/>
              </w:tabs>
              <w:spacing w:before="60"/>
              <w:rPr>
                <w:sz w:val="19"/>
                <w:szCs w:val="19"/>
              </w:rPr>
            </w:pPr>
            <w:r w:rsidRPr="004D2799">
              <w:rPr>
                <w:b/>
                <w:sz w:val="19"/>
                <w:szCs w:val="19"/>
              </w:rPr>
              <w:t>4</w:t>
            </w:r>
            <w:r w:rsidRPr="004D2799">
              <w:rPr>
                <w:b/>
                <w:sz w:val="19"/>
                <w:szCs w:val="19"/>
              </w:rPr>
              <w:tab/>
              <w:t>Strengthening international collaboration of New Zealand researchers</w:t>
            </w:r>
            <w:r w:rsidRPr="004D2799">
              <w:rPr>
                <w:sz w:val="19"/>
                <w:szCs w:val="19"/>
              </w:rPr>
              <w:t>. Working with international partners and researchers:</w:t>
            </w:r>
          </w:p>
          <w:p w:rsidR="00EC5B2D" w:rsidRPr="004D2799" w:rsidRDefault="00EC5B2D" w:rsidP="0060111F">
            <w:pPr>
              <w:pStyle w:val="TableBullet"/>
              <w:spacing w:before="40"/>
              <w:ind w:left="284" w:hanging="284"/>
              <w:rPr>
                <w:sz w:val="19"/>
                <w:szCs w:val="19"/>
              </w:rPr>
            </w:pPr>
            <w:r w:rsidRPr="004D2799">
              <w:rPr>
                <w:sz w:val="19"/>
                <w:szCs w:val="19"/>
              </w:rPr>
              <w:t>increases our ability to address health challenges and improve the health of indigenous populations</w:t>
            </w:r>
          </w:p>
          <w:p w:rsidR="00EC5B2D" w:rsidRPr="004D2799" w:rsidRDefault="00EC5B2D" w:rsidP="00736809">
            <w:pPr>
              <w:pStyle w:val="TableBullet"/>
              <w:spacing w:before="0"/>
              <w:ind w:left="284" w:hanging="284"/>
              <w:rPr>
                <w:sz w:val="19"/>
                <w:szCs w:val="19"/>
              </w:rPr>
            </w:pPr>
            <w:r w:rsidRPr="004D2799">
              <w:rPr>
                <w:sz w:val="19"/>
                <w:szCs w:val="19"/>
              </w:rPr>
              <w:t>facilitates our access to valuable international research infrastructure</w:t>
            </w:r>
          </w:p>
          <w:p w:rsidR="00EC5B2D" w:rsidRPr="004D2799" w:rsidRDefault="00EC5B2D" w:rsidP="00736809">
            <w:pPr>
              <w:pStyle w:val="TableBullet"/>
              <w:spacing w:before="0"/>
              <w:ind w:left="284" w:hanging="284"/>
              <w:rPr>
                <w:sz w:val="19"/>
                <w:szCs w:val="19"/>
              </w:rPr>
            </w:pPr>
            <w:r w:rsidRPr="004D2799">
              <w:rPr>
                <w:sz w:val="19"/>
                <w:szCs w:val="19"/>
              </w:rPr>
              <w:t>provides collaborative opportunities for our researchers to work with the best in their field</w:t>
            </w:r>
          </w:p>
          <w:p w:rsidR="00EC5B2D" w:rsidRPr="00EC5B2D" w:rsidRDefault="00EC5B2D" w:rsidP="00736809">
            <w:pPr>
              <w:pStyle w:val="TableBullet"/>
              <w:spacing w:before="0" w:after="60"/>
              <w:ind w:left="284" w:hanging="284"/>
              <w:rPr>
                <w:sz w:val="20"/>
              </w:rPr>
            </w:pPr>
            <w:proofErr w:type="gramStart"/>
            <w:r w:rsidRPr="004D2799">
              <w:rPr>
                <w:sz w:val="19"/>
                <w:szCs w:val="19"/>
              </w:rPr>
              <w:t>attracts</w:t>
            </w:r>
            <w:proofErr w:type="gramEnd"/>
            <w:r w:rsidRPr="004D2799">
              <w:rPr>
                <w:sz w:val="19"/>
                <w:szCs w:val="19"/>
              </w:rPr>
              <w:t xml:space="preserve"> international investment to New Zealand.</w:t>
            </w:r>
          </w:p>
        </w:tc>
        <w:tc>
          <w:tcPr>
            <w:tcW w:w="304" w:type="dxa"/>
            <w:tcBorders>
              <w:top w:val="nil"/>
              <w:left w:val="nil"/>
              <w:bottom w:val="nil"/>
              <w:right w:val="dotted" w:sz="24" w:space="0" w:color="002060"/>
            </w:tcBorders>
          </w:tcPr>
          <w:p w:rsidR="00EC5B2D" w:rsidRPr="00EC5B2D" w:rsidRDefault="00EC5B2D" w:rsidP="006A7220">
            <w:pPr>
              <w:pStyle w:val="TableText"/>
              <w:rPr>
                <w:sz w:val="20"/>
              </w:rPr>
            </w:pPr>
          </w:p>
        </w:tc>
        <w:tc>
          <w:tcPr>
            <w:tcW w:w="425" w:type="dxa"/>
            <w:tcBorders>
              <w:top w:val="nil"/>
              <w:left w:val="dotted" w:sz="24" w:space="0" w:color="002060"/>
              <w:bottom w:val="nil"/>
              <w:right w:val="nil"/>
            </w:tcBorders>
          </w:tcPr>
          <w:p w:rsidR="00EC5B2D" w:rsidRPr="00EC5B2D" w:rsidRDefault="00EC5B2D" w:rsidP="006A7220">
            <w:pPr>
              <w:pStyle w:val="TableText"/>
              <w:rPr>
                <w:sz w:val="20"/>
              </w:rPr>
            </w:pPr>
          </w:p>
        </w:tc>
      </w:tr>
      <w:tr w:rsidR="00CF69E8" w:rsidRPr="00736809" w:rsidTr="00EC5B2D">
        <w:trPr>
          <w:cantSplit/>
        </w:trPr>
        <w:tc>
          <w:tcPr>
            <w:tcW w:w="8647" w:type="dxa"/>
            <w:gridSpan w:val="4"/>
            <w:tcBorders>
              <w:top w:val="nil"/>
              <w:left w:val="dotted" w:sz="24" w:space="0" w:color="002060"/>
              <w:bottom w:val="dotted" w:sz="24" w:space="0" w:color="002060"/>
              <w:right w:val="dotted" w:sz="24" w:space="0" w:color="002060"/>
            </w:tcBorders>
          </w:tcPr>
          <w:p w:rsidR="00CF69E8" w:rsidRPr="00736809" w:rsidRDefault="00CF69E8" w:rsidP="00B40E8F">
            <w:pPr>
              <w:pStyle w:val="TableText"/>
              <w:rPr>
                <w:sz w:val="12"/>
                <w:szCs w:val="12"/>
              </w:rPr>
            </w:pPr>
          </w:p>
        </w:tc>
        <w:tc>
          <w:tcPr>
            <w:tcW w:w="425" w:type="dxa"/>
            <w:tcBorders>
              <w:top w:val="nil"/>
              <w:left w:val="dotted" w:sz="24" w:space="0" w:color="002060"/>
              <w:bottom w:val="nil"/>
              <w:right w:val="nil"/>
            </w:tcBorders>
          </w:tcPr>
          <w:p w:rsidR="00CF69E8" w:rsidRPr="00736809" w:rsidRDefault="00CF69E8" w:rsidP="00CF69E8">
            <w:pPr>
              <w:pStyle w:val="TableText"/>
              <w:rPr>
                <w:sz w:val="12"/>
                <w:szCs w:val="12"/>
              </w:rPr>
            </w:pPr>
          </w:p>
        </w:tc>
      </w:tr>
    </w:tbl>
    <w:p w:rsidR="00B40E8F" w:rsidRPr="00162524" w:rsidRDefault="00B40E8F" w:rsidP="0058446A">
      <w:pPr>
        <w:rPr>
          <w:sz w:val="2"/>
          <w:szCs w:val="2"/>
        </w:rPr>
      </w:pPr>
    </w:p>
    <w:tbl>
      <w:tblPr>
        <w:tblStyle w:val="TableGrid"/>
        <w:tblW w:w="9072" w:type="dxa"/>
        <w:tblInd w:w="142"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left w:w="142" w:type="dxa"/>
          <w:right w:w="142" w:type="dxa"/>
        </w:tblCellMar>
        <w:tblLook w:val="04A0" w:firstRow="1" w:lastRow="0" w:firstColumn="1" w:lastColumn="0" w:noHBand="0" w:noVBand="1"/>
      </w:tblPr>
      <w:tblGrid>
        <w:gridCol w:w="304"/>
        <w:gridCol w:w="5508"/>
        <w:gridCol w:w="2531"/>
        <w:gridCol w:w="304"/>
        <w:gridCol w:w="425"/>
      </w:tblGrid>
      <w:tr w:rsidR="001A69B5" w:rsidRPr="007D679D" w:rsidTr="006A7220">
        <w:trPr>
          <w:cantSplit/>
        </w:trPr>
        <w:tc>
          <w:tcPr>
            <w:tcW w:w="5812" w:type="dxa"/>
            <w:gridSpan w:val="2"/>
            <w:tcBorders>
              <w:top w:val="nil"/>
              <w:left w:val="nil"/>
              <w:bottom w:val="dotted" w:sz="24" w:space="0" w:color="002060"/>
              <w:right w:val="single" w:sz="12" w:space="0" w:color="002060"/>
            </w:tcBorders>
          </w:tcPr>
          <w:p w:rsidR="001A69B5" w:rsidRPr="001034A2" w:rsidRDefault="001A69B5" w:rsidP="006A7220">
            <w:pPr>
              <w:pStyle w:val="TableText"/>
              <w:rPr>
                <w:sz w:val="20"/>
              </w:rPr>
            </w:pPr>
          </w:p>
        </w:tc>
        <w:tc>
          <w:tcPr>
            <w:tcW w:w="3260" w:type="dxa"/>
            <w:gridSpan w:val="3"/>
            <w:vMerge w:val="restart"/>
            <w:tcBorders>
              <w:left w:val="single" w:sz="12" w:space="0" w:color="002060"/>
            </w:tcBorders>
            <w:shd w:val="clear" w:color="auto" w:fill="DBE5F1" w:themeFill="accent1" w:themeFillTint="33"/>
            <w:vAlign w:val="center"/>
          </w:tcPr>
          <w:p w:rsidR="001A69B5" w:rsidRPr="007D679D" w:rsidRDefault="001A69B5" w:rsidP="00DD7401">
            <w:pPr>
              <w:pStyle w:val="TableText"/>
              <w:spacing w:before="60" w:after="60"/>
              <w:jc w:val="center"/>
              <w:rPr>
                <w:color w:val="002060"/>
                <w:sz w:val="24"/>
                <w:szCs w:val="24"/>
              </w:rPr>
            </w:pPr>
            <w:r>
              <w:rPr>
                <w:color w:val="002060"/>
                <w:sz w:val="24"/>
                <w:szCs w:val="24"/>
              </w:rPr>
              <w:t xml:space="preserve">Strategic Priority Example </w:t>
            </w:r>
            <w:r w:rsidR="00DD7401">
              <w:rPr>
                <w:color w:val="002060"/>
                <w:sz w:val="24"/>
                <w:szCs w:val="24"/>
              </w:rPr>
              <w:t>Two</w:t>
            </w:r>
          </w:p>
        </w:tc>
      </w:tr>
      <w:tr w:rsidR="001A69B5" w:rsidRPr="001034A2" w:rsidTr="006A7220">
        <w:trPr>
          <w:cantSplit/>
        </w:trPr>
        <w:tc>
          <w:tcPr>
            <w:tcW w:w="5812" w:type="dxa"/>
            <w:gridSpan w:val="2"/>
            <w:tcBorders>
              <w:top w:val="dotted" w:sz="24" w:space="0" w:color="002060"/>
              <w:left w:val="dotted" w:sz="24" w:space="0" w:color="002060"/>
              <w:bottom w:val="nil"/>
              <w:right w:val="single" w:sz="12" w:space="0" w:color="002060"/>
            </w:tcBorders>
          </w:tcPr>
          <w:p w:rsidR="001A69B5" w:rsidRPr="001034A2" w:rsidRDefault="001A69B5" w:rsidP="006A7220">
            <w:pPr>
              <w:pStyle w:val="TableText"/>
              <w:rPr>
                <w:sz w:val="20"/>
              </w:rPr>
            </w:pPr>
          </w:p>
        </w:tc>
        <w:tc>
          <w:tcPr>
            <w:tcW w:w="3260" w:type="dxa"/>
            <w:gridSpan w:val="3"/>
            <w:vMerge/>
            <w:tcBorders>
              <w:left w:val="single" w:sz="12" w:space="0" w:color="002060"/>
              <w:bottom w:val="single" w:sz="12" w:space="0" w:color="002060"/>
            </w:tcBorders>
            <w:shd w:val="clear" w:color="auto" w:fill="DBE5F1" w:themeFill="accent1" w:themeFillTint="33"/>
          </w:tcPr>
          <w:p w:rsidR="001A69B5" w:rsidRPr="001034A2" w:rsidRDefault="001A69B5" w:rsidP="006A7220">
            <w:pPr>
              <w:pStyle w:val="TableText"/>
              <w:jc w:val="center"/>
              <w:rPr>
                <w:sz w:val="20"/>
              </w:rPr>
            </w:pPr>
          </w:p>
        </w:tc>
      </w:tr>
      <w:tr w:rsidR="001A69B5" w:rsidRPr="00EC5B2D" w:rsidTr="006A7220">
        <w:trPr>
          <w:cantSplit/>
        </w:trPr>
        <w:tc>
          <w:tcPr>
            <w:tcW w:w="8647" w:type="dxa"/>
            <w:gridSpan w:val="4"/>
            <w:tcBorders>
              <w:top w:val="nil"/>
              <w:left w:val="dotted" w:sz="24" w:space="0" w:color="002060"/>
              <w:bottom w:val="nil"/>
              <w:right w:val="dotted" w:sz="24" w:space="0" w:color="002060"/>
            </w:tcBorders>
          </w:tcPr>
          <w:p w:rsidR="001A69B5" w:rsidRPr="00EC5B2D" w:rsidRDefault="001A69B5" w:rsidP="006A7220">
            <w:pPr>
              <w:pStyle w:val="TableText"/>
              <w:rPr>
                <w:sz w:val="12"/>
                <w:szCs w:val="12"/>
              </w:rPr>
            </w:pPr>
          </w:p>
        </w:tc>
        <w:tc>
          <w:tcPr>
            <w:tcW w:w="425" w:type="dxa"/>
            <w:tcBorders>
              <w:top w:val="nil"/>
              <w:left w:val="dotted" w:sz="24" w:space="0" w:color="002060"/>
              <w:bottom w:val="nil"/>
              <w:right w:val="nil"/>
            </w:tcBorders>
          </w:tcPr>
          <w:p w:rsidR="001A69B5" w:rsidRPr="00EC5B2D" w:rsidRDefault="001A69B5" w:rsidP="006A7220">
            <w:pPr>
              <w:pStyle w:val="TableText"/>
              <w:rPr>
                <w:sz w:val="12"/>
                <w:szCs w:val="12"/>
              </w:rPr>
            </w:pPr>
          </w:p>
        </w:tc>
      </w:tr>
      <w:tr w:rsidR="001A69B5" w:rsidRPr="001034A2" w:rsidTr="006A7220">
        <w:trPr>
          <w:cantSplit/>
        </w:trPr>
        <w:tc>
          <w:tcPr>
            <w:tcW w:w="304" w:type="dxa"/>
            <w:tcBorders>
              <w:top w:val="nil"/>
              <w:left w:val="dotted" w:sz="24" w:space="0" w:color="002060"/>
              <w:bottom w:val="nil"/>
              <w:right w:val="nil"/>
            </w:tcBorders>
          </w:tcPr>
          <w:p w:rsidR="001A69B5" w:rsidRPr="007D679D" w:rsidRDefault="001A69B5" w:rsidP="006A7220">
            <w:pPr>
              <w:pStyle w:val="TableText"/>
            </w:pPr>
          </w:p>
        </w:tc>
        <w:tc>
          <w:tcPr>
            <w:tcW w:w="8039" w:type="dxa"/>
            <w:gridSpan w:val="2"/>
            <w:tcBorders>
              <w:top w:val="nil"/>
              <w:left w:val="nil"/>
              <w:bottom w:val="nil"/>
              <w:right w:val="nil"/>
            </w:tcBorders>
            <w:shd w:val="clear" w:color="auto" w:fill="31849B" w:themeFill="accent5" w:themeFillShade="BF"/>
          </w:tcPr>
          <w:p w:rsidR="001A69B5" w:rsidRPr="00B40E8F" w:rsidRDefault="001A69B5" w:rsidP="00DD7401">
            <w:pPr>
              <w:pStyle w:val="TableText"/>
              <w:spacing w:before="60" w:after="60"/>
              <w:rPr>
                <w:b/>
                <w:color w:val="FFFFFF" w:themeColor="background1"/>
                <w:sz w:val="24"/>
                <w:szCs w:val="24"/>
              </w:rPr>
            </w:pPr>
            <w:r w:rsidRPr="00B40E8F">
              <w:rPr>
                <w:b/>
                <w:color w:val="FFFFFF" w:themeColor="background1"/>
                <w:sz w:val="24"/>
                <w:szCs w:val="24"/>
              </w:rPr>
              <w:t xml:space="preserve">Example </w:t>
            </w:r>
            <w:r w:rsidR="00DD7401">
              <w:rPr>
                <w:b/>
                <w:color w:val="FFFFFF" w:themeColor="background1"/>
                <w:sz w:val="24"/>
                <w:szCs w:val="24"/>
              </w:rPr>
              <w:t>Two</w:t>
            </w:r>
            <w:r w:rsidRPr="00B40E8F">
              <w:rPr>
                <w:b/>
                <w:color w:val="FFFFFF" w:themeColor="background1"/>
                <w:sz w:val="24"/>
                <w:szCs w:val="24"/>
              </w:rPr>
              <w:t xml:space="preserve">: </w:t>
            </w:r>
            <w:r w:rsidR="00DD7401">
              <w:rPr>
                <w:b/>
                <w:color w:val="FFFFFF" w:themeColor="background1"/>
                <w:sz w:val="24"/>
                <w:szCs w:val="24"/>
              </w:rPr>
              <w:t>Unlocking the factors determining health and wellbeing for New Zealanders now and into the future</w:t>
            </w:r>
          </w:p>
        </w:tc>
        <w:tc>
          <w:tcPr>
            <w:tcW w:w="304" w:type="dxa"/>
            <w:tcBorders>
              <w:top w:val="nil"/>
              <w:left w:val="nil"/>
              <w:bottom w:val="nil"/>
              <w:right w:val="dotted" w:sz="24" w:space="0" w:color="auto"/>
            </w:tcBorders>
          </w:tcPr>
          <w:p w:rsidR="001A69B5" w:rsidRPr="001034A2" w:rsidRDefault="001A69B5" w:rsidP="006A7220">
            <w:pPr>
              <w:pStyle w:val="TableText"/>
              <w:rPr>
                <w:sz w:val="20"/>
              </w:rPr>
            </w:pPr>
          </w:p>
        </w:tc>
        <w:tc>
          <w:tcPr>
            <w:tcW w:w="425" w:type="dxa"/>
            <w:tcBorders>
              <w:top w:val="nil"/>
              <w:left w:val="dotted" w:sz="24" w:space="0" w:color="auto"/>
              <w:bottom w:val="nil"/>
              <w:right w:val="nil"/>
            </w:tcBorders>
          </w:tcPr>
          <w:p w:rsidR="001A69B5" w:rsidRPr="001034A2" w:rsidRDefault="001A69B5" w:rsidP="006A7220">
            <w:pPr>
              <w:pStyle w:val="TableText"/>
              <w:rPr>
                <w:sz w:val="20"/>
              </w:rPr>
            </w:pPr>
          </w:p>
        </w:tc>
      </w:tr>
      <w:tr w:rsidR="001A69B5" w:rsidRPr="001034A2" w:rsidTr="006A7220">
        <w:trPr>
          <w:cantSplit/>
        </w:trPr>
        <w:tc>
          <w:tcPr>
            <w:tcW w:w="8647" w:type="dxa"/>
            <w:gridSpan w:val="4"/>
            <w:tcBorders>
              <w:top w:val="nil"/>
              <w:left w:val="dotted" w:sz="24" w:space="0" w:color="002060"/>
              <w:bottom w:val="nil"/>
              <w:right w:val="dotted" w:sz="24" w:space="0" w:color="002060"/>
            </w:tcBorders>
          </w:tcPr>
          <w:p w:rsidR="00452698" w:rsidRPr="00452698" w:rsidRDefault="00452698" w:rsidP="00452698">
            <w:pPr>
              <w:pStyle w:val="TableText"/>
              <w:spacing w:before="120"/>
              <w:ind w:left="142" w:right="142"/>
              <w:rPr>
                <w:sz w:val="19"/>
                <w:szCs w:val="19"/>
              </w:rPr>
            </w:pPr>
            <w:r w:rsidRPr="00452698">
              <w:rPr>
                <w:sz w:val="19"/>
                <w:szCs w:val="19"/>
              </w:rPr>
              <w:t>Genetics, environment and circumstances determine our health and wellbeing. The factors determining health include our social and economic environment, our physical environment, human biology and our individual characteristics and behaviours.</w:t>
            </w:r>
          </w:p>
          <w:p w:rsidR="00452698" w:rsidRPr="00452698" w:rsidRDefault="00452698" w:rsidP="00452698">
            <w:pPr>
              <w:pStyle w:val="TableText"/>
              <w:spacing w:before="120"/>
              <w:ind w:left="142" w:right="142"/>
              <w:rPr>
                <w:sz w:val="19"/>
                <w:szCs w:val="19"/>
              </w:rPr>
            </w:pPr>
            <w:r w:rsidRPr="00452698">
              <w:rPr>
                <w:sz w:val="19"/>
                <w:szCs w:val="19"/>
              </w:rPr>
              <w:t>These conditions have resulted in the persistent health disparities and inequalities in health outcomes experienced by many New Zealanders, especially Māori and Pacific populations, some Asian subgroups, refugees, migrants, people with mental health conditions, disabled people and frail older people.</w:t>
            </w:r>
          </w:p>
          <w:p w:rsidR="00452698" w:rsidRPr="00452698" w:rsidRDefault="00452698" w:rsidP="00452698">
            <w:pPr>
              <w:pStyle w:val="TableText"/>
              <w:spacing w:before="120"/>
              <w:ind w:left="142" w:right="142"/>
              <w:rPr>
                <w:sz w:val="19"/>
                <w:szCs w:val="19"/>
              </w:rPr>
            </w:pPr>
            <w:r w:rsidRPr="00452698">
              <w:rPr>
                <w:sz w:val="19"/>
                <w:szCs w:val="19"/>
              </w:rPr>
              <w:t xml:space="preserve">Research can help us better understand and respond to the complex set of conditions that determine our health and wellbeing at an individual, </w:t>
            </w:r>
            <w:proofErr w:type="spellStart"/>
            <w:r w:rsidRPr="00452698">
              <w:rPr>
                <w:sz w:val="19"/>
                <w:szCs w:val="19"/>
              </w:rPr>
              <w:t>whānau</w:t>
            </w:r>
            <w:proofErr w:type="spellEnd"/>
            <w:r w:rsidRPr="00452698">
              <w:rPr>
                <w:sz w:val="19"/>
                <w:szCs w:val="19"/>
              </w:rPr>
              <w:t>, community and population level.</w:t>
            </w:r>
          </w:p>
          <w:p w:rsidR="00452698" w:rsidRPr="00452698" w:rsidRDefault="00452698" w:rsidP="00452698">
            <w:pPr>
              <w:pStyle w:val="TableText"/>
              <w:spacing w:before="120"/>
              <w:ind w:left="142" w:right="142"/>
              <w:rPr>
                <w:sz w:val="19"/>
                <w:szCs w:val="19"/>
              </w:rPr>
            </w:pPr>
            <w:r w:rsidRPr="00452698">
              <w:rPr>
                <w:sz w:val="19"/>
                <w:szCs w:val="19"/>
              </w:rPr>
              <w:t xml:space="preserve">A range of funding mechanisms support health research in New Zealand. The three </w:t>
            </w:r>
            <w:proofErr w:type="gramStart"/>
            <w:r w:rsidRPr="00452698">
              <w:rPr>
                <w:sz w:val="19"/>
                <w:szCs w:val="19"/>
              </w:rPr>
              <w:t>health</w:t>
            </w:r>
            <w:proofErr w:type="gramEnd"/>
            <w:r w:rsidRPr="00452698">
              <w:rPr>
                <w:sz w:val="19"/>
                <w:szCs w:val="19"/>
              </w:rPr>
              <w:t xml:space="preserve"> and wellbeing National Science Challenges are tackling the biggest science-based issues and opportunities facing New Zealanders.</w:t>
            </w:r>
          </w:p>
          <w:p w:rsidR="001A69B5" w:rsidRPr="004D2799" w:rsidRDefault="00452698" w:rsidP="00452698">
            <w:pPr>
              <w:pStyle w:val="TableText"/>
              <w:spacing w:before="120" w:after="120"/>
              <w:ind w:left="142" w:right="142"/>
              <w:rPr>
                <w:spacing w:val="-2"/>
                <w:sz w:val="19"/>
                <w:szCs w:val="19"/>
              </w:rPr>
            </w:pPr>
            <w:r w:rsidRPr="00452698">
              <w:rPr>
                <w:sz w:val="19"/>
                <w:szCs w:val="19"/>
              </w:rPr>
              <w:t>Unlocking the factors determining health and wellbeing for New Zealanders now and into the future could focus on the following:</w:t>
            </w:r>
          </w:p>
        </w:tc>
        <w:tc>
          <w:tcPr>
            <w:tcW w:w="425" w:type="dxa"/>
            <w:tcBorders>
              <w:top w:val="nil"/>
              <w:left w:val="dotted" w:sz="24" w:space="0" w:color="002060"/>
              <w:bottom w:val="nil"/>
              <w:right w:val="nil"/>
            </w:tcBorders>
          </w:tcPr>
          <w:p w:rsidR="001A69B5" w:rsidRPr="001034A2" w:rsidRDefault="001A69B5" w:rsidP="006A7220">
            <w:pPr>
              <w:pStyle w:val="TableText"/>
              <w:rPr>
                <w:sz w:val="20"/>
              </w:rPr>
            </w:pPr>
          </w:p>
        </w:tc>
      </w:tr>
      <w:tr w:rsidR="001A69B5" w:rsidTr="001A69B5">
        <w:trPr>
          <w:cantSplit/>
        </w:trPr>
        <w:tc>
          <w:tcPr>
            <w:tcW w:w="304" w:type="dxa"/>
            <w:tcBorders>
              <w:top w:val="nil"/>
              <w:left w:val="dotted" w:sz="24" w:space="0" w:color="002060"/>
              <w:bottom w:val="nil"/>
              <w:right w:val="nil"/>
            </w:tcBorders>
          </w:tcPr>
          <w:p w:rsidR="001A69B5" w:rsidRPr="00EC5B2D" w:rsidRDefault="001A69B5" w:rsidP="006A7220">
            <w:pPr>
              <w:pStyle w:val="TableText"/>
              <w:rPr>
                <w:sz w:val="20"/>
              </w:rPr>
            </w:pPr>
          </w:p>
        </w:tc>
        <w:tc>
          <w:tcPr>
            <w:tcW w:w="8039" w:type="dxa"/>
            <w:gridSpan w:val="2"/>
            <w:tcBorders>
              <w:top w:val="nil"/>
              <w:left w:val="nil"/>
              <w:bottom w:val="nil"/>
              <w:right w:val="nil"/>
            </w:tcBorders>
            <w:shd w:val="clear" w:color="auto" w:fill="DBE5F1" w:themeFill="accent1" w:themeFillTint="33"/>
          </w:tcPr>
          <w:p w:rsidR="00452698" w:rsidRPr="00452698" w:rsidRDefault="00452698" w:rsidP="00970045">
            <w:pPr>
              <w:pStyle w:val="TableText"/>
              <w:tabs>
                <w:tab w:val="left" w:pos="284"/>
              </w:tabs>
              <w:spacing w:before="120"/>
              <w:rPr>
                <w:sz w:val="19"/>
                <w:szCs w:val="19"/>
              </w:rPr>
            </w:pPr>
            <w:r w:rsidRPr="00452698">
              <w:rPr>
                <w:b/>
                <w:sz w:val="19"/>
                <w:szCs w:val="19"/>
              </w:rPr>
              <w:t>1.</w:t>
            </w:r>
            <w:r w:rsidRPr="00452698">
              <w:rPr>
                <w:b/>
                <w:sz w:val="19"/>
                <w:szCs w:val="19"/>
              </w:rPr>
              <w:tab/>
              <w:t>Giving greater priority to support the research that addresses the greatest gaps in our knowledge</w:t>
            </w:r>
            <w:r w:rsidRPr="00452698">
              <w:rPr>
                <w:sz w:val="19"/>
                <w:szCs w:val="19"/>
              </w:rPr>
              <w:t>. This might include:</w:t>
            </w:r>
          </w:p>
          <w:p w:rsidR="00452698" w:rsidRPr="00452698" w:rsidRDefault="00452698" w:rsidP="00970045">
            <w:pPr>
              <w:pStyle w:val="TableBullet"/>
              <w:numPr>
                <w:ilvl w:val="0"/>
                <w:numId w:val="27"/>
              </w:numPr>
              <w:ind w:left="357" w:hanging="357"/>
              <w:rPr>
                <w:sz w:val="19"/>
                <w:szCs w:val="19"/>
              </w:rPr>
            </w:pPr>
            <w:r w:rsidRPr="00452698">
              <w:rPr>
                <w:sz w:val="19"/>
                <w:szCs w:val="19"/>
              </w:rPr>
              <w:t>domestically: research to enable equity of health outcomes for all ethnicities and demographics across a changing population, with changing expectations and demands</w:t>
            </w:r>
          </w:p>
          <w:p w:rsidR="00452698" w:rsidRPr="00452698" w:rsidRDefault="00452698" w:rsidP="00970045">
            <w:pPr>
              <w:pStyle w:val="TableBullet"/>
              <w:numPr>
                <w:ilvl w:val="0"/>
                <w:numId w:val="27"/>
              </w:numPr>
              <w:rPr>
                <w:sz w:val="19"/>
                <w:szCs w:val="19"/>
              </w:rPr>
            </w:pPr>
            <w:r w:rsidRPr="00452698">
              <w:rPr>
                <w:sz w:val="19"/>
                <w:szCs w:val="19"/>
              </w:rPr>
              <w:t>internationally: research where we can add to the knowledge base</w:t>
            </w:r>
          </w:p>
          <w:p w:rsidR="001A69B5" w:rsidRPr="00EC5B2D" w:rsidRDefault="00452698" w:rsidP="00970045">
            <w:pPr>
              <w:pStyle w:val="TableBullet"/>
              <w:numPr>
                <w:ilvl w:val="0"/>
                <w:numId w:val="27"/>
              </w:numPr>
              <w:spacing w:after="120"/>
              <w:ind w:left="357" w:hanging="357"/>
            </w:pPr>
            <w:proofErr w:type="gramStart"/>
            <w:r w:rsidRPr="00452698">
              <w:rPr>
                <w:sz w:val="19"/>
                <w:szCs w:val="19"/>
              </w:rPr>
              <w:t>commercially</w:t>
            </w:r>
            <w:proofErr w:type="gramEnd"/>
            <w:r w:rsidRPr="00452698">
              <w:rPr>
                <w:sz w:val="19"/>
                <w:szCs w:val="19"/>
              </w:rPr>
              <w:t>: research to seek commercial opportunities for research.</w:t>
            </w:r>
          </w:p>
        </w:tc>
        <w:tc>
          <w:tcPr>
            <w:tcW w:w="304" w:type="dxa"/>
            <w:tcBorders>
              <w:top w:val="nil"/>
              <w:left w:val="nil"/>
              <w:bottom w:val="nil"/>
              <w:right w:val="dotted" w:sz="24" w:space="0" w:color="002060"/>
            </w:tcBorders>
          </w:tcPr>
          <w:p w:rsidR="001A69B5" w:rsidRPr="00EC5B2D" w:rsidRDefault="001A69B5" w:rsidP="006A7220">
            <w:pPr>
              <w:pStyle w:val="TableText"/>
              <w:rPr>
                <w:sz w:val="20"/>
              </w:rPr>
            </w:pPr>
          </w:p>
        </w:tc>
        <w:tc>
          <w:tcPr>
            <w:tcW w:w="425" w:type="dxa"/>
            <w:tcBorders>
              <w:top w:val="nil"/>
              <w:left w:val="dotted" w:sz="24" w:space="0" w:color="002060"/>
              <w:bottom w:val="nil"/>
              <w:right w:val="nil"/>
            </w:tcBorders>
          </w:tcPr>
          <w:p w:rsidR="001A69B5" w:rsidRDefault="001A69B5" w:rsidP="006A7220">
            <w:pPr>
              <w:pStyle w:val="TableText"/>
            </w:pPr>
          </w:p>
        </w:tc>
      </w:tr>
      <w:tr w:rsidR="001A69B5" w:rsidRPr="00736809" w:rsidTr="006A7220">
        <w:trPr>
          <w:cantSplit/>
        </w:trPr>
        <w:tc>
          <w:tcPr>
            <w:tcW w:w="8647" w:type="dxa"/>
            <w:gridSpan w:val="4"/>
            <w:tcBorders>
              <w:top w:val="nil"/>
              <w:left w:val="dotted" w:sz="24" w:space="0" w:color="002060"/>
              <w:bottom w:val="nil"/>
              <w:right w:val="dotted" w:sz="24" w:space="0" w:color="002060"/>
            </w:tcBorders>
          </w:tcPr>
          <w:p w:rsidR="001A69B5" w:rsidRPr="00736809" w:rsidRDefault="001A69B5" w:rsidP="006A7220">
            <w:pPr>
              <w:pStyle w:val="TableText"/>
              <w:rPr>
                <w:sz w:val="12"/>
                <w:szCs w:val="12"/>
              </w:rPr>
            </w:pPr>
          </w:p>
        </w:tc>
        <w:tc>
          <w:tcPr>
            <w:tcW w:w="425" w:type="dxa"/>
            <w:tcBorders>
              <w:top w:val="nil"/>
              <w:left w:val="dotted" w:sz="24" w:space="0" w:color="002060"/>
              <w:bottom w:val="nil"/>
              <w:right w:val="nil"/>
            </w:tcBorders>
          </w:tcPr>
          <w:p w:rsidR="001A69B5" w:rsidRPr="00736809" w:rsidRDefault="001A69B5" w:rsidP="006A7220">
            <w:pPr>
              <w:pStyle w:val="TableText"/>
              <w:rPr>
                <w:sz w:val="12"/>
                <w:szCs w:val="12"/>
              </w:rPr>
            </w:pPr>
          </w:p>
        </w:tc>
      </w:tr>
      <w:tr w:rsidR="001A69B5" w:rsidRPr="001034A2" w:rsidTr="001A69B5">
        <w:trPr>
          <w:cantSplit/>
        </w:trPr>
        <w:tc>
          <w:tcPr>
            <w:tcW w:w="304" w:type="dxa"/>
            <w:tcBorders>
              <w:top w:val="nil"/>
              <w:left w:val="dotted" w:sz="24" w:space="0" w:color="002060"/>
              <w:bottom w:val="nil"/>
              <w:right w:val="nil"/>
            </w:tcBorders>
          </w:tcPr>
          <w:p w:rsidR="001A69B5" w:rsidRPr="00EC5B2D" w:rsidRDefault="001A69B5" w:rsidP="006A7220">
            <w:pPr>
              <w:pStyle w:val="TableText"/>
              <w:rPr>
                <w:sz w:val="20"/>
              </w:rPr>
            </w:pPr>
          </w:p>
        </w:tc>
        <w:tc>
          <w:tcPr>
            <w:tcW w:w="8039" w:type="dxa"/>
            <w:gridSpan w:val="2"/>
            <w:tcBorders>
              <w:top w:val="nil"/>
              <w:left w:val="nil"/>
              <w:bottom w:val="nil"/>
              <w:right w:val="nil"/>
            </w:tcBorders>
            <w:shd w:val="clear" w:color="auto" w:fill="DBE5F1" w:themeFill="accent1" w:themeFillTint="33"/>
          </w:tcPr>
          <w:p w:rsidR="00452698" w:rsidRPr="00452698" w:rsidRDefault="00452698" w:rsidP="00970045">
            <w:pPr>
              <w:pStyle w:val="TableText"/>
              <w:tabs>
                <w:tab w:val="left" w:pos="284"/>
              </w:tabs>
              <w:spacing w:before="120"/>
              <w:rPr>
                <w:sz w:val="19"/>
                <w:szCs w:val="19"/>
              </w:rPr>
            </w:pPr>
            <w:r w:rsidRPr="00970045">
              <w:rPr>
                <w:b/>
                <w:sz w:val="19"/>
                <w:szCs w:val="19"/>
              </w:rPr>
              <w:t>2.</w:t>
            </w:r>
            <w:r w:rsidRPr="00970045">
              <w:rPr>
                <w:b/>
                <w:sz w:val="19"/>
                <w:szCs w:val="19"/>
              </w:rPr>
              <w:tab/>
              <w:t>Funding more research of particular relevance to New Zealand</w:t>
            </w:r>
            <w:r w:rsidRPr="00452698">
              <w:rPr>
                <w:sz w:val="19"/>
                <w:szCs w:val="19"/>
              </w:rPr>
              <w:t>. This might include:</w:t>
            </w:r>
          </w:p>
          <w:p w:rsidR="00452698" w:rsidRPr="00452698" w:rsidRDefault="00452698" w:rsidP="00452698">
            <w:pPr>
              <w:pStyle w:val="TableBullet"/>
              <w:numPr>
                <w:ilvl w:val="0"/>
                <w:numId w:val="28"/>
              </w:numPr>
              <w:rPr>
                <w:sz w:val="19"/>
                <w:szCs w:val="19"/>
              </w:rPr>
            </w:pPr>
            <w:r w:rsidRPr="00452698">
              <w:rPr>
                <w:sz w:val="19"/>
                <w:szCs w:val="19"/>
              </w:rPr>
              <w:t>biomedical and public health research that could help reduce the impact of health conditions that currently cause a large burden of ill health and disability in New Zealand, for example long-term conditions</w:t>
            </w:r>
          </w:p>
          <w:p w:rsidR="00452698" w:rsidRPr="00452698" w:rsidRDefault="00452698" w:rsidP="00452698">
            <w:pPr>
              <w:pStyle w:val="TableBullet"/>
              <w:numPr>
                <w:ilvl w:val="0"/>
                <w:numId w:val="28"/>
              </w:numPr>
              <w:rPr>
                <w:sz w:val="19"/>
                <w:szCs w:val="19"/>
              </w:rPr>
            </w:pPr>
            <w:r w:rsidRPr="00452698">
              <w:rPr>
                <w:sz w:val="19"/>
                <w:szCs w:val="19"/>
              </w:rPr>
              <w:t>biomedical research of particular relevance to Māori and Pacific populations</w:t>
            </w:r>
          </w:p>
          <w:p w:rsidR="00452698" w:rsidRPr="00452698" w:rsidRDefault="00452698" w:rsidP="00452698">
            <w:pPr>
              <w:pStyle w:val="TableBullet"/>
              <w:numPr>
                <w:ilvl w:val="0"/>
                <w:numId w:val="28"/>
              </w:numPr>
              <w:rPr>
                <w:sz w:val="19"/>
                <w:szCs w:val="19"/>
              </w:rPr>
            </w:pPr>
            <w:r w:rsidRPr="00452698">
              <w:rPr>
                <w:sz w:val="19"/>
                <w:szCs w:val="19"/>
              </w:rPr>
              <w:t>public health research that considers New Zealand’s particular environment and social context, including research on family violence, substance abuse and mental health</w:t>
            </w:r>
          </w:p>
          <w:p w:rsidR="00452698" w:rsidRPr="00452698" w:rsidRDefault="00452698" w:rsidP="00452698">
            <w:pPr>
              <w:pStyle w:val="TableBullet"/>
              <w:numPr>
                <w:ilvl w:val="0"/>
                <w:numId w:val="28"/>
              </w:numPr>
              <w:rPr>
                <w:sz w:val="19"/>
                <w:szCs w:val="19"/>
              </w:rPr>
            </w:pPr>
            <w:r w:rsidRPr="00452698">
              <w:rPr>
                <w:sz w:val="19"/>
                <w:szCs w:val="19"/>
              </w:rPr>
              <w:t>research with the potential to reduce health inequalities and disparities across New Zealand’s diverse demographic and population groups, paying particular attention to the needs of the Māori and Pacific populations and the disabled population</w:t>
            </w:r>
          </w:p>
          <w:p w:rsidR="00452698" w:rsidRPr="00452698" w:rsidRDefault="00452698" w:rsidP="00452698">
            <w:pPr>
              <w:pStyle w:val="TableBullet"/>
              <w:numPr>
                <w:ilvl w:val="0"/>
                <w:numId w:val="28"/>
              </w:numPr>
              <w:rPr>
                <w:sz w:val="19"/>
                <w:szCs w:val="19"/>
              </w:rPr>
            </w:pPr>
            <w:r w:rsidRPr="00452698">
              <w:rPr>
                <w:sz w:val="19"/>
                <w:szCs w:val="19"/>
              </w:rPr>
              <w:t>research with the potential to improve New Zealand’s health system and health service delivery, making better use of routine data held by the health system</w:t>
            </w:r>
          </w:p>
          <w:p w:rsidR="00452698" w:rsidRPr="00452698" w:rsidRDefault="00452698" w:rsidP="00452698">
            <w:pPr>
              <w:pStyle w:val="TableBullet"/>
              <w:numPr>
                <w:ilvl w:val="0"/>
                <w:numId w:val="28"/>
              </w:numPr>
              <w:rPr>
                <w:sz w:val="19"/>
                <w:szCs w:val="19"/>
              </w:rPr>
            </w:pPr>
            <w:r w:rsidRPr="00452698">
              <w:rPr>
                <w:sz w:val="19"/>
                <w:szCs w:val="19"/>
              </w:rPr>
              <w:t>research niches that New Zealand can exploit because of its size and unique characteristics, such as demographic composition and good health data</w:t>
            </w:r>
          </w:p>
          <w:p w:rsidR="001A69B5" w:rsidRPr="00452698" w:rsidRDefault="00452698" w:rsidP="00970045">
            <w:pPr>
              <w:pStyle w:val="TableBullet"/>
              <w:numPr>
                <w:ilvl w:val="0"/>
                <w:numId w:val="28"/>
              </w:numPr>
              <w:spacing w:after="120"/>
              <w:ind w:left="357" w:hanging="357"/>
              <w:rPr>
                <w:sz w:val="19"/>
                <w:szCs w:val="19"/>
              </w:rPr>
            </w:pPr>
            <w:proofErr w:type="gramStart"/>
            <w:r w:rsidRPr="00452698">
              <w:rPr>
                <w:sz w:val="19"/>
                <w:szCs w:val="19"/>
              </w:rPr>
              <w:t>research</w:t>
            </w:r>
            <w:proofErr w:type="gramEnd"/>
            <w:r w:rsidRPr="00452698">
              <w:rPr>
                <w:sz w:val="19"/>
                <w:szCs w:val="19"/>
              </w:rPr>
              <w:t xml:space="preserve"> into preventative health measures, including injury prevention.</w:t>
            </w:r>
          </w:p>
        </w:tc>
        <w:tc>
          <w:tcPr>
            <w:tcW w:w="304" w:type="dxa"/>
            <w:tcBorders>
              <w:top w:val="nil"/>
              <w:left w:val="nil"/>
              <w:bottom w:val="nil"/>
              <w:right w:val="dotted" w:sz="24" w:space="0" w:color="002060"/>
            </w:tcBorders>
          </w:tcPr>
          <w:p w:rsidR="001A69B5" w:rsidRPr="00EC5B2D" w:rsidRDefault="001A69B5" w:rsidP="006A7220">
            <w:pPr>
              <w:pStyle w:val="TableText"/>
              <w:rPr>
                <w:sz w:val="20"/>
              </w:rPr>
            </w:pPr>
          </w:p>
        </w:tc>
        <w:tc>
          <w:tcPr>
            <w:tcW w:w="425" w:type="dxa"/>
            <w:tcBorders>
              <w:top w:val="nil"/>
              <w:left w:val="dotted" w:sz="24" w:space="0" w:color="002060"/>
              <w:bottom w:val="nil"/>
              <w:right w:val="nil"/>
            </w:tcBorders>
          </w:tcPr>
          <w:p w:rsidR="001A69B5" w:rsidRPr="001034A2" w:rsidRDefault="001A69B5" w:rsidP="006A7220">
            <w:pPr>
              <w:pStyle w:val="TableText"/>
              <w:rPr>
                <w:sz w:val="20"/>
              </w:rPr>
            </w:pPr>
          </w:p>
        </w:tc>
      </w:tr>
      <w:tr w:rsidR="001A69B5" w:rsidRPr="00736809" w:rsidTr="006A7220">
        <w:trPr>
          <w:cantSplit/>
        </w:trPr>
        <w:tc>
          <w:tcPr>
            <w:tcW w:w="8647" w:type="dxa"/>
            <w:gridSpan w:val="4"/>
            <w:tcBorders>
              <w:top w:val="nil"/>
              <w:left w:val="dotted" w:sz="24" w:space="0" w:color="002060"/>
              <w:bottom w:val="dotted" w:sz="24" w:space="0" w:color="002060"/>
              <w:right w:val="dotted" w:sz="24" w:space="0" w:color="002060"/>
            </w:tcBorders>
          </w:tcPr>
          <w:p w:rsidR="001A69B5" w:rsidRPr="00736809" w:rsidRDefault="001A69B5" w:rsidP="006A7220">
            <w:pPr>
              <w:pStyle w:val="TableText"/>
              <w:rPr>
                <w:sz w:val="12"/>
                <w:szCs w:val="12"/>
              </w:rPr>
            </w:pPr>
          </w:p>
        </w:tc>
        <w:tc>
          <w:tcPr>
            <w:tcW w:w="425" w:type="dxa"/>
            <w:tcBorders>
              <w:top w:val="nil"/>
              <w:left w:val="dotted" w:sz="24" w:space="0" w:color="002060"/>
              <w:bottom w:val="nil"/>
              <w:right w:val="nil"/>
            </w:tcBorders>
          </w:tcPr>
          <w:p w:rsidR="001A69B5" w:rsidRPr="00736809" w:rsidRDefault="001A69B5" w:rsidP="006A7220">
            <w:pPr>
              <w:pStyle w:val="TableText"/>
              <w:rPr>
                <w:sz w:val="12"/>
                <w:szCs w:val="12"/>
              </w:rPr>
            </w:pPr>
          </w:p>
        </w:tc>
      </w:tr>
    </w:tbl>
    <w:p w:rsidR="001A69B5" w:rsidRDefault="001A69B5" w:rsidP="00970045"/>
    <w:tbl>
      <w:tblPr>
        <w:tblStyle w:val="TableGrid"/>
        <w:tblW w:w="9072" w:type="dxa"/>
        <w:tblInd w:w="142"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left w:w="142" w:type="dxa"/>
          <w:right w:w="142" w:type="dxa"/>
        </w:tblCellMar>
        <w:tblLook w:val="04A0" w:firstRow="1" w:lastRow="0" w:firstColumn="1" w:lastColumn="0" w:noHBand="0" w:noVBand="1"/>
      </w:tblPr>
      <w:tblGrid>
        <w:gridCol w:w="304"/>
        <w:gridCol w:w="5366"/>
        <w:gridCol w:w="2673"/>
        <w:gridCol w:w="304"/>
        <w:gridCol w:w="425"/>
      </w:tblGrid>
      <w:tr w:rsidR="00970045" w:rsidRPr="007D679D" w:rsidTr="00970045">
        <w:trPr>
          <w:cantSplit/>
        </w:trPr>
        <w:tc>
          <w:tcPr>
            <w:tcW w:w="5670" w:type="dxa"/>
            <w:gridSpan w:val="2"/>
            <w:tcBorders>
              <w:top w:val="nil"/>
              <w:left w:val="nil"/>
              <w:bottom w:val="dotted" w:sz="24" w:space="0" w:color="002060"/>
              <w:right w:val="single" w:sz="12" w:space="0" w:color="002060"/>
            </w:tcBorders>
          </w:tcPr>
          <w:p w:rsidR="00970045" w:rsidRPr="001034A2" w:rsidRDefault="00970045" w:rsidP="00970045">
            <w:pPr>
              <w:pStyle w:val="TableText"/>
              <w:keepNext/>
              <w:rPr>
                <w:sz w:val="20"/>
              </w:rPr>
            </w:pPr>
          </w:p>
        </w:tc>
        <w:tc>
          <w:tcPr>
            <w:tcW w:w="3402" w:type="dxa"/>
            <w:gridSpan w:val="3"/>
            <w:vMerge w:val="restart"/>
            <w:tcBorders>
              <w:left w:val="single" w:sz="12" w:space="0" w:color="002060"/>
            </w:tcBorders>
            <w:shd w:val="clear" w:color="auto" w:fill="DBE5F1" w:themeFill="accent1" w:themeFillTint="33"/>
            <w:vAlign w:val="center"/>
          </w:tcPr>
          <w:p w:rsidR="00970045" w:rsidRPr="007D679D" w:rsidRDefault="00970045" w:rsidP="00970045">
            <w:pPr>
              <w:pStyle w:val="TableText"/>
              <w:keepNext/>
              <w:spacing w:before="60" w:after="60"/>
              <w:jc w:val="center"/>
              <w:rPr>
                <w:color w:val="002060"/>
                <w:sz w:val="24"/>
                <w:szCs w:val="24"/>
              </w:rPr>
            </w:pPr>
            <w:r>
              <w:rPr>
                <w:color w:val="002060"/>
                <w:sz w:val="24"/>
                <w:szCs w:val="24"/>
              </w:rPr>
              <w:t>Strategic Priority Example Three</w:t>
            </w:r>
          </w:p>
        </w:tc>
      </w:tr>
      <w:tr w:rsidR="00970045" w:rsidRPr="001034A2" w:rsidTr="00970045">
        <w:trPr>
          <w:cantSplit/>
        </w:trPr>
        <w:tc>
          <w:tcPr>
            <w:tcW w:w="5670" w:type="dxa"/>
            <w:gridSpan w:val="2"/>
            <w:tcBorders>
              <w:top w:val="dotted" w:sz="24" w:space="0" w:color="002060"/>
              <w:left w:val="dotted" w:sz="24" w:space="0" w:color="002060"/>
              <w:bottom w:val="nil"/>
              <w:right w:val="single" w:sz="12" w:space="0" w:color="002060"/>
            </w:tcBorders>
          </w:tcPr>
          <w:p w:rsidR="00970045" w:rsidRPr="001034A2" w:rsidRDefault="00970045" w:rsidP="00970045">
            <w:pPr>
              <w:pStyle w:val="TableText"/>
              <w:keepNext/>
              <w:rPr>
                <w:sz w:val="20"/>
              </w:rPr>
            </w:pPr>
          </w:p>
        </w:tc>
        <w:tc>
          <w:tcPr>
            <w:tcW w:w="3402" w:type="dxa"/>
            <w:gridSpan w:val="3"/>
            <w:vMerge/>
            <w:tcBorders>
              <w:left w:val="single" w:sz="12" w:space="0" w:color="002060"/>
              <w:bottom w:val="single" w:sz="12" w:space="0" w:color="002060"/>
            </w:tcBorders>
            <w:shd w:val="clear" w:color="auto" w:fill="DBE5F1" w:themeFill="accent1" w:themeFillTint="33"/>
          </w:tcPr>
          <w:p w:rsidR="00970045" w:rsidRPr="001034A2" w:rsidRDefault="00970045" w:rsidP="00970045">
            <w:pPr>
              <w:pStyle w:val="TableText"/>
              <w:keepNext/>
              <w:jc w:val="center"/>
              <w:rPr>
                <w:sz w:val="20"/>
              </w:rPr>
            </w:pPr>
          </w:p>
        </w:tc>
      </w:tr>
      <w:tr w:rsidR="00970045" w:rsidRPr="00EC5B2D" w:rsidTr="006A7220">
        <w:trPr>
          <w:cantSplit/>
        </w:trPr>
        <w:tc>
          <w:tcPr>
            <w:tcW w:w="8647" w:type="dxa"/>
            <w:gridSpan w:val="4"/>
            <w:tcBorders>
              <w:top w:val="nil"/>
              <w:left w:val="dotted" w:sz="24" w:space="0" w:color="002060"/>
              <w:bottom w:val="nil"/>
              <w:right w:val="dotted" w:sz="24" w:space="0" w:color="002060"/>
            </w:tcBorders>
          </w:tcPr>
          <w:p w:rsidR="00970045" w:rsidRPr="00EC5B2D" w:rsidRDefault="00970045" w:rsidP="00970045">
            <w:pPr>
              <w:pStyle w:val="TableText"/>
              <w:keepNext/>
              <w:rPr>
                <w:sz w:val="12"/>
                <w:szCs w:val="12"/>
              </w:rPr>
            </w:pPr>
          </w:p>
        </w:tc>
        <w:tc>
          <w:tcPr>
            <w:tcW w:w="425" w:type="dxa"/>
            <w:tcBorders>
              <w:top w:val="nil"/>
              <w:left w:val="dotted" w:sz="24" w:space="0" w:color="002060"/>
              <w:bottom w:val="nil"/>
              <w:right w:val="nil"/>
            </w:tcBorders>
          </w:tcPr>
          <w:p w:rsidR="00970045" w:rsidRPr="00EC5B2D" w:rsidRDefault="00970045" w:rsidP="00970045">
            <w:pPr>
              <w:pStyle w:val="TableText"/>
              <w:keepNext/>
              <w:rPr>
                <w:sz w:val="12"/>
                <w:szCs w:val="12"/>
              </w:rPr>
            </w:pPr>
          </w:p>
        </w:tc>
      </w:tr>
      <w:tr w:rsidR="00970045" w:rsidRPr="001034A2" w:rsidTr="006A7220">
        <w:trPr>
          <w:cantSplit/>
        </w:trPr>
        <w:tc>
          <w:tcPr>
            <w:tcW w:w="304" w:type="dxa"/>
            <w:tcBorders>
              <w:top w:val="nil"/>
              <w:left w:val="dotted" w:sz="24" w:space="0" w:color="002060"/>
              <w:bottom w:val="nil"/>
              <w:right w:val="nil"/>
            </w:tcBorders>
          </w:tcPr>
          <w:p w:rsidR="00970045" w:rsidRPr="007D679D" w:rsidRDefault="00970045" w:rsidP="00162524">
            <w:pPr>
              <w:pStyle w:val="TableText"/>
              <w:keepNext/>
            </w:pPr>
          </w:p>
        </w:tc>
        <w:tc>
          <w:tcPr>
            <w:tcW w:w="8039" w:type="dxa"/>
            <w:gridSpan w:val="2"/>
            <w:tcBorders>
              <w:top w:val="nil"/>
              <w:left w:val="nil"/>
              <w:bottom w:val="nil"/>
              <w:right w:val="nil"/>
            </w:tcBorders>
            <w:shd w:val="clear" w:color="auto" w:fill="31849B" w:themeFill="accent5" w:themeFillShade="BF"/>
          </w:tcPr>
          <w:p w:rsidR="00970045" w:rsidRPr="00B40E8F" w:rsidRDefault="00970045" w:rsidP="00162524">
            <w:pPr>
              <w:pStyle w:val="TableText"/>
              <w:keepNext/>
              <w:spacing w:before="60" w:after="60"/>
              <w:rPr>
                <w:b/>
                <w:color w:val="FFFFFF" w:themeColor="background1"/>
                <w:sz w:val="24"/>
                <w:szCs w:val="24"/>
              </w:rPr>
            </w:pPr>
            <w:r w:rsidRPr="00B40E8F">
              <w:rPr>
                <w:b/>
                <w:color w:val="FFFFFF" w:themeColor="background1"/>
                <w:sz w:val="24"/>
                <w:szCs w:val="24"/>
              </w:rPr>
              <w:t xml:space="preserve">Example </w:t>
            </w:r>
            <w:r>
              <w:rPr>
                <w:b/>
                <w:color w:val="FFFFFF" w:themeColor="background1"/>
                <w:sz w:val="24"/>
                <w:szCs w:val="24"/>
              </w:rPr>
              <w:t>Three</w:t>
            </w:r>
            <w:r w:rsidRPr="00B40E8F">
              <w:rPr>
                <w:b/>
                <w:color w:val="FFFFFF" w:themeColor="background1"/>
                <w:sz w:val="24"/>
                <w:szCs w:val="24"/>
              </w:rPr>
              <w:t xml:space="preserve">: </w:t>
            </w:r>
            <w:r>
              <w:rPr>
                <w:b/>
                <w:color w:val="FFFFFF" w:themeColor="background1"/>
                <w:sz w:val="24"/>
                <w:szCs w:val="24"/>
              </w:rPr>
              <w:t xml:space="preserve">Improving </w:t>
            </w:r>
            <w:r w:rsidR="007955B7">
              <w:rPr>
                <w:b/>
                <w:color w:val="FFFFFF" w:themeColor="background1"/>
                <w:sz w:val="24"/>
                <w:szCs w:val="24"/>
              </w:rPr>
              <w:t>connections</w:t>
            </w:r>
            <w:r>
              <w:rPr>
                <w:b/>
                <w:color w:val="FFFFFF" w:themeColor="background1"/>
                <w:sz w:val="24"/>
                <w:szCs w:val="24"/>
              </w:rPr>
              <w:t xml:space="preserve"> across the health research and innovation system</w:t>
            </w:r>
          </w:p>
        </w:tc>
        <w:tc>
          <w:tcPr>
            <w:tcW w:w="304" w:type="dxa"/>
            <w:tcBorders>
              <w:top w:val="nil"/>
              <w:left w:val="nil"/>
              <w:bottom w:val="nil"/>
              <w:right w:val="dotted" w:sz="24" w:space="0" w:color="auto"/>
            </w:tcBorders>
          </w:tcPr>
          <w:p w:rsidR="00970045" w:rsidRPr="001034A2" w:rsidRDefault="00970045" w:rsidP="00162524">
            <w:pPr>
              <w:pStyle w:val="TableText"/>
              <w:keepNext/>
              <w:rPr>
                <w:sz w:val="20"/>
              </w:rPr>
            </w:pPr>
          </w:p>
        </w:tc>
        <w:tc>
          <w:tcPr>
            <w:tcW w:w="425" w:type="dxa"/>
            <w:tcBorders>
              <w:top w:val="nil"/>
              <w:left w:val="dotted" w:sz="24" w:space="0" w:color="auto"/>
              <w:bottom w:val="nil"/>
              <w:right w:val="nil"/>
            </w:tcBorders>
          </w:tcPr>
          <w:p w:rsidR="00970045" w:rsidRPr="001034A2" w:rsidRDefault="00970045" w:rsidP="00162524">
            <w:pPr>
              <w:pStyle w:val="TableText"/>
              <w:keepNext/>
              <w:rPr>
                <w:sz w:val="20"/>
              </w:rPr>
            </w:pPr>
          </w:p>
        </w:tc>
      </w:tr>
      <w:tr w:rsidR="00970045" w:rsidRPr="001034A2" w:rsidTr="006A7220">
        <w:trPr>
          <w:cantSplit/>
        </w:trPr>
        <w:tc>
          <w:tcPr>
            <w:tcW w:w="8647" w:type="dxa"/>
            <w:gridSpan w:val="4"/>
            <w:tcBorders>
              <w:top w:val="nil"/>
              <w:left w:val="dotted" w:sz="24" w:space="0" w:color="002060"/>
              <w:bottom w:val="nil"/>
              <w:right w:val="dotted" w:sz="24" w:space="0" w:color="002060"/>
            </w:tcBorders>
          </w:tcPr>
          <w:p w:rsidR="005E1DF6" w:rsidRPr="005E1DF6" w:rsidRDefault="005E1DF6" w:rsidP="005E1DF6">
            <w:pPr>
              <w:pStyle w:val="TableText"/>
              <w:spacing w:before="120"/>
              <w:ind w:left="142" w:right="142"/>
              <w:rPr>
                <w:sz w:val="19"/>
                <w:szCs w:val="19"/>
              </w:rPr>
            </w:pPr>
            <w:r w:rsidRPr="005E1DF6">
              <w:rPr>
                <w:sz w:val="19"/>
                <w:szCs w:val="19"/>
              </w:rPr>
              <w:t>An integrated, dynamic and adaptive health research and innovation system requires strong connections across the institutions and contributors.  Strong connections can increase the quality of research, increase innovation and raise the impact of research.</w:t>
            </w:r>
          </w:p>
          <w:p w:rsidR="005E1DF6" w:rsidRPr="005E1DF6" w:rsidRDefault="005E1DF6" w:rsidP="005E1DF6">
            <w:pPr>
              <w:pStyle w:val="TableText"/>
              <w:spacing w:before="120"/>
              <w:ind w:left="142" w:right="142"/>
              <w:rPr>
                <w:sz w:val="19"/>
                <w:szCs w:val="19"/>
              </w:rPr>
            </w:pPr>
            <w:r w:rsidRPr="005E1DF6">
              <w:rPr>
                <w:sz w:val="19"/>
                <w:szCs w:val="19"/>
              </w:rPr>
              <w:t>Effective innovation systems exhibit a number of key characteristics, including:</w:t>
            </w:r>
          </w:p>
          <w:p w:rsidR="005E1DF6" w:rsidRPr="005E1DF6" w:rsidRDefault="005E1DF6" w:rsidP="005E1DF6">
            <w:pPr>
              <w:pStyle w:val="TableBullet"/>
              <w:numPr>
                <w:ilvl w:val="0"/>
                <w:numId w:val="29"/>
              </w:numPr>
              <w:ind w:left="426" w:right="142" w:hanging="284"/>
              <w:rPr>
                <w:sz w:val="19"/>
                <w:szCs w:val="19"/>
              </w:rPr>
            </w:pPr>
            <w:r w:rsidRPr="005E1DF6">
              <w:rPr>
                <w:sz w:val="19"/>
                <w:szCs w:val="19"/>
              </w:rPr>
              <w:t>excellent research and science that supports novelty and discovery and generates useful knowledge, evidence and innovation</w:t>
            </w:r>
          </w:p>
          <w:p w:rsidR="005E1DF6" w:rsidRPr="005E1DF6" w:rsidRDefault="005E1DF6" w:rsidP="005E1DF6">
            <w:pPr>
              <w:pStyle w:val="TableBullet"/>
              <w:numPr>
                <w:ilvl w:val="0"/>
                <w:numId w:val="29"/>
              </w:numPr>
              <w:ind w:left="426" w:right="142" w:hanging="284"/>
              <w:rPr>
                <w:sz w:val="19"/>
                <w:szCs w:val="19"/>
              </w:rPr>
            </w:pPr>
            <w:r w:rsidRPr="005E1DF6">
              <w:rPr>
                <w:sz w:val="19"/>
                <w:szCs w:val="19"/>
              </w:rPr>
              <w:t>collaborative research endeavours across disciplines, faculties, institutions, boundaries and borders</w:t>
            </w:r>
          </w:p>
          <w:p w:rsidR="005E1DF6" w:rsidRPr="005E1DF6" w:rsidRDefault="005E1DF6" w:rsidP="005E1DF6">
            <w:pPr>
              <w:pStyle w:val="TableBullet"/>
              <w:numPr>
                <w:ilvl w:val="0"/>
                <w:numId w:val="29"/>
              </w:numPr>
              <w:ind w:left="426" w:right="142" w:hanging="284"/>
              <w:rPr>
                <w:sz w:val="19"/>
                <w:szCs w:val="19"/>
              </w:rPr>
            </w:pPr>
            <w:r w:rsidRPr="005E1DF6">
              <w:rPr>
                <w:sz w:val="19"/>
                <w:szCs w:val="19"/>
              </w:rPr>
              <w:t>enduring ties between researchers and end users, which extend from setting the research agenda, to innovating together, to the application and uptake of research findings</w:t>
            </w:r>
          </w:p>
          <w:p w:rsidR="005E1DF6" w:rsidRPr="005E1DF6" w:rsidRDefault="005E1DF6" w:rsidP="005E1DF6">
            <w:pPr>
              <w:pStyle w:val="TableBullet"/>
              <w:numPr>
                <w:ilvl w:val="0"/>
                <w:numId w:val="29"/>
              </w:numPr>
              <w:ind w:left="426" w:right="142" w:hanging="284"/>
              <w:rPr>
                <w:sz w:val="19"/>
                <w:szCs w:val="19"/>
              </w:rPr>
            </w:pPr>
            <w:r w:rsidRPr="005E1DF6">
              <w:rPr>
                <w:sz w:val="19"/>
                <w:szCs w:val="19"/>
              </w:rPr>
              <w:t>effective uptake mechanisms to ensure research results are used by society and processes are in place to smooth bottlenecks</w:t>
            </w:r>
          </w:p>
          <w:p w:rsidR="00970045" w:rsidRPr="004D2799" w:rsidRDefault="005E1DF6" w:rsidP="005E1DF6">
            <w:pPr>
              <w:pStyle w:val="TableBullet"/>
              <w:numPr>
                <w:ilvl w:val="0"/>
                <w:numId w:val="29"/>
              </w:numPr>
              <w:spacing w:after="120"/>
              <w:ind w:left="426" w:right="142" w:hanging="284"/>
              <w:rPr>
                <w:spacing w:val="-2"/>
                <w:sz w:val="19"/>
                <w:szCs w:val="19"/>
              </w:rPr>
            </w:pPr>
            <w:proofErr w:type="gramStart"/>
            <w:r w:rsidRPr="005E1DF6">
              <w:rPr>
                <w:sz w:val="19"/>
                <w:szCs w:val="19"/>
              </w:rPr>
              <w:t>capturing</w:t>
            </w:r>
            <w:proofErr w:type="gramEnd"/>
            <w:r w:rsidRPr="005E1DF6">
              <w:rPr>
                <w:sz w:val="19"/>
                <w:szCs w:val="19"/>
              </w:rPr>
              <w:t xml:space="preserve"> the </w:t>
            </w:r>
            <w:proofErr w:type="spellStart"/>
            <w:r w:rsidRPr="005E1DF6">
              <w:rPr>
                <w:sz w:val="19"/>
                <w:szCs w:val="19"/>
              </w:rPr>
              <w:t>spillover</w:t>
            </w:r>
            <w:proofErr w:type="spellEnd"/>
            <w:r w:rsidRPr="005E1DF6">
              <w:rPr>
                <w:sz w:val="19"/>
                <w:szCs w:val="19"/>
              </w:rPr>
              <w:t xml:space="preserve"> benefits of research, such as commercialisation and creation of high-tech firms and industries.</w:t>
            </w:r>
          </w:p>
        </w:tc>
        <w:tc>
          <w:tcPr>
            <w:tcW w:w="425" w:type="dxa"/>
            <w:tcBorders>
              <w:top w:val="nil"/>
              <w:left w:val="dotted" w:sz="24" w:space="0" w:color="002060"/>
              <w:bottom w:val="nil"/>
              <w:right w:val="nil"/>
            </w:tcBorders>
          </w:tcPr>
          <w:p w:rsidR="00970045" w:rsidRPr="001034A2" w:rsidRDefault="00970045" w:rsidP="006A7220">
            <w:pPr>
              <w:pStyle w:val="TableText"/>
              <w:rPr>
                <w:sz w:val="20"/>
              </w:rPr>
            </w:pPr>
          </w:p>
        </w:tc>
      </w:tr>
      <w:tr w:rsidR="00970045" w:rsidTr="006A7220">
        <w:trPr>
          <w:cantSplit/>
        </w:trPr>
        <w:tc>
          <w:tcPr>
            <w:tcW w:w="304" w:type="dxa"/>
            <w:tcBorders>
              <w:top w:val="nil"/>
              <w:left w:val="dotted" w:sz="24" w:space="0" w:color="002060"/>
              <w:bottom w:val="nil"/>
              <w:right w:val="nil"/>
            </w:tcBorders>
          </w:tcPr>
          <w:p w:rsidR="00970045" w:rsidRPr="00EC5B2D" w:rsidRDefault="00970045" w:rsidP="006A7220">
            <w:pPr>
              <w:pStyle w:val="TableText"/>
              <w:rPr>
                <w:sz w:val="20"/>
              </w:rPr>
            </w:pPr>
          </w:p>
        </w:tc>
        <w:tc>
          <w:tcPr>
            <w:tcW w:w="8039" w:type="dxa"/>
            <w:gridSpan w:val="2"/>
            <w:tcBorders>
              <w:top w:val="nil"/>
              <w:left w:val="nil"/>
              <w:bottom w:val="nil"/>
              <w:right w:val="nil"/>
            </w:tcBorders>
            <w:shd w:val="clear" w:color="auto" w:fill="DBE5F1" w:themeFill="accent1" w:themeFillTint="33"/>
          </w:tcPr>
          <w:p w:rsidR="00970045" w:rsidRPr="005E1DF6" w:rsidRDefault="00970045" w:rsidP="005E1DF6">
            <w:pPr>
              <w:pStyle w:val="TableText"/>
              <w:tabs>
                <w:tab w:val="left" w:pos="284"/>
              </w:tabs>
              <w:spacing w:before="120" w:after="120"/>
              <w:rPr>
                <w:sz w:val="19"/>
                <w:szCs w:val="19"/>
              </w:rPr>
            </w:pPr>
            <w:r w:rsidRPr="005E1DF6">
              <w:rPr>
                <w:b/>
                <w:sz w:val="19"/>
                <w:szCs w:val="19"/>
              </w:rPr>
              <w:t>1</w:t>
            </w:r>
            <w:r w:rsidR="005E1DF6" w:rsidRPr="005E1DF6">
              <w:rPr>
                <w:b/>
                <w:sz w:val="19"/>
                <w:szCs w:val="19"/>
              </w:rPr>
              <w:tab/>
              <w:t>Encouraging more collaborative research that spans different disciplines and institutional boundaries</w:t>
            </w:r>
            <w:r w:rsidR="005E1DF6" w:rsidRPr="005E1DF6">
              <w:rPr>
                <w:sz w:val="19"/>
                <w:szCs w:val="19"/>
              </w:rPr>
              <w:t>. This is at the heart of the National Science Challenges.  Increasingly, breakthroughs are occurring across research areas and disciplines as science becomes more complex. Addressing societal challenges requires putting the best minds together from across disciplines, including biomedicine, public health, health services delivery, environmental research, engineering and other areas. Some projects require scale which means putting together research teams from across institutions and national borders, and complementary leading expertise is often found offshore.</w:t>
            </w:r>
          </w:p>
        </w:tc>
        <w:tc>
          <w:tcPr>
            <w:tcW w:w="304" w:type="dxa"/>
            <w:tcBorders>
              <w:top w:val="nil"/>
              <w:left w:val="nil"/>
              <w:bottom w:val="nil"/>
              <w:right w:val="dotted" w:sz="24" w:space="0" w:color="002060"/>
            </w:tcBorders>
          </w:tcPr>
          <w:p w:rsidR="00970045" w:rsidRPr="00EC5B2D" w:rsidRDefault="00970045" w:rsidP="006A7220">
            <w:pPr>
              <w:pStyle w:val="TableText"/>
              <w:rPr>
                <w:sz w:val="20"/>
              </w:rPr>
            </w:pPr>
          </w:p>
        </w:tc>
        <w:tc>
          <w:tcPr>
            <w:tcW w:w="425" w:type="dxa"/>
            <w:tcBorders>
              <w:top w:val="nil"/>
              <w:left w:val="dotted" w:sz="24" w:space="0" w:color="002060"/>
              <w:bottom w:val="nil"/>
              <w:right w:val="nil"/>
            </w:tcBorders>
          </w:tcPr>
          <w:p w:rsidR="00970045" w:rsidRDefault="00970045" w:rsidP="006A7220">
            <w:pPr>
              <w:pStyle w:val="TableText"/>
            </w:pPr>
          </w:p>
        </w:tc>
      </w:tr>
      <w:tr w:rsidR="00970045" w:rsidRPr="00736809" w:rsidTr="006A7220">
        <w:trPr>
          <w:cantSplit/>
        </w:trPr>
        <w:tc>
          <w:tcPr>
            <w:tcW w:w="8647" w:type="dxa"/>
            <w:gridSpan w:val="4"/>
            <w:tcBorders>
              <w:top w:val="nil"/>
              <w:left w:val="dotted" w:sz="24" w:space="0" w:color="002060"/>
              <w:bottom w:val="nil"/>
              <w:right w:val="dotted" w:sz="24" w:space="0" w:color="002060"/>
            </w:tcBorders>
          </w:tcPr>
          <w:p w:rsidR="00970045" w:rsidRPr="00736809" w:rsidRDefault="00970045" w:rsidP="006A7220">
            <w:pPr>
              <w:pStyle w:val="TableText"/>
              <w:rPr>
                <w:sz w:val="12"/>
                <w:szCs w:val="12"/>
              </w:rPr>
            </w:pPr>
          </w:p>
        </w:tc>
        <w:tc>
          <w:tcPr>
            <w:tcW w:w="425" w:type="dxa"/>
            <w:tcBorders>
              <w:top w:val="nil"/>
              <w:left w:val="dotted" w:sz="24" w:space="0" w:color="002060"/>
              <w:bottom w:val="nil"/>
              <w:right w:val="nil"/>
            </w:tcBorders>
          </w:tcPr>
          <w:p w:rsidR="00970045" w:rsidRPr="00736809" w:rsidRDefault="00970045" w:rsidP="006A7220">
            <w:pPr>
              <w:pStyle w:val="TableText"/>
              <w:rPr>
                <w:sz w:val="12"/>
                <w:szCs w:val="12"/>
              </w:rPr>
            </w:pPr>
          </w:p>
        </w:tc>
      </w:tr>
      <w:tr w:rsidR="00970045" w:rsidRPr="001034A2" w:rsidTr="006A7220">
        <w:trPr>
          <w:cantSplit/>
        </w:trPr>
        <w:tc>
          <w:tcPr>
            <w:tcW w:w="304" w:type="dxa"/>
            <w:tcBorders>
              <w:top w:val="nil"/>
              <w:left w:val="dotted" w:sz="24" w:space="0" w:color="002060"/>
              <w:bottom w:val="nil"/>
              <w:right w:val="nil"/>
            </w:tcBorders>
          </w:tcPr>
          <w:p w:rsidR="00970045" w:rsidRPr="00EC5B2D" w:rsidRDefault="00970045" w:rsidP="006A7220">
            <w:pPr>
              <w:pStyle w:val="TableText"/>
              <w:rPr>
                <w:sz w:val="20"/>
              </w:rPr>
            </w:pPr>
            <w:bookmarkStart w:id="13" w:name="_GoBack"/>
            <w:bookmarkEnd w:id="13"/>
          </w:p>
        </w:tc>
        <w:tc>
          <w:tcPr>
            <w:tcW w:w="8039" w:type="dxa"/>
            <w:gridSpan w:val="2"/>
            <w:tcBorders>
              <w:top w:val="nil"/>
              <w:left w:val="nil"/>
              <w:bottom w:val="nil"/>
              <w:right w:val="nil"/>
            </w:tcBorders>
            <w:shd w:val="clear" w:color="auto" w:fill="DBE5F1" w:themeFill="accent1" w:themeFillTint="33"/>
          </w:tcPr>
          <w:p w:rsidR="00970045" w:rsidRPr="005E1DF6" w:rsidRDefault="00970045" w:rsidP="005E1DF6">
            <w:pPr>
              <w:pStyle w:val="TableText"/>
              <w:tabs>
                <w:tab w:val="left" w:pos="284"/>
              </w:tabs>
              <w:spacing w:before="120" w:after="120"/>
              <w:rPr>
                <w:sz w:val="19"/>
                <w:szCs w:val="19"/>
              </w:rPr>
            </w:pPr>
            <w:r w:rsidRPr="005E1DF6">
              <w:rPr>
                <w:b/>
                <w:sz w:val="19"/>
                <w:szCs w:val="19"/>
              </w:rPr>
              <w:t>2</w:t>
            </w:r>
            <w:r w:rsidRPr="005E1DF6">
              <w:rPr>
                <w:b/>
                <w:sz w:val="19"/>
                <w:szCs w:val="19"/>
              </w:rPr>
              <w:tab/>
            </w:r>
            <w:r w:rsidR="005E1DF6" w:rsidRPr="005E1DF6">
              <w:rPr>
                <w:b/>
                <w:sz w:val="19"/>
                <w:szCs w:val="19"/>
              </w:rPr>
              <w:t>Fostering more co-innovation where researchers are working seamlessly with health care providers, patients, industry and communities</w:t>
            </w:r>
            <w:r w:rsidR="005E1DF6" w:rsidRPr="005E1DF6">
              <w:rPr>
                <w:sz w:val="19"/>
                <w:szCs w:val="19"/>
              </w:rPr>
              <w:t xml:space="preserve">. This covers setting the research agenda, conducting the research, and getting findings from the lab to the patient, </w:t>
            </w:r>
            <w:proofErr w:type="spellStart"/>
            <w:r w:rsidR="005E1DF6" w:rsidRPr="005E1DF6">
              <w:rPr>
                <w:sz w:val="19"/>
                <w:szCs w:val="19"/>
              </w:rPr>
              <w:t>whānau</w:t>
            </w:r>
            <w:proofErr w:type="spellEnd"/>
            <w:r w:rsidR="005E1DF6" w:rsidRPr="005E1DF6">
              <w:rPr>
                <w:sz w:val="19"/>
                <w:szCs w:val="19"/>
              </w:rPr>
              <w:t>, communities and health system. Joint appointments between universities and hospitals, and secondments to industry are critical and could receive particular attention.</w:t>
            </w:r>
          </w:p>
        </w:tc>
        <w:tc>
          <w:tcPr>
            <w:tcW w:w="304" w:type="dxa"/>
            <w:tcBorders>
              <w:top w:val="nil"/>
              <w:left w:val="nil"/>
              <w:bottom w:val="nil"/>
              <w:right w:val="dotted" w:sz="24" w:space="0" w:color="002060"/>
            </w:tcBorders>
          </w:tcPr>
          <w:p w:rsidR="00970045" w:rsidRPr="00EC5B2D" w:rsidRDefault="00970045" w:rsidP="006A7220">
            <w:pPr>
              <w:pStyle w:val="TableText"/>
              <w:rPr>
                <w:sz w:val="20"/>
              </w:rPr>
            </w:pPr>
          </w:p>
        </w:tc>
        <w:tc>
          <w:tcPr>
            <w:tcW w:w="425" w:type="dxa"/>
            <w:tcBorders>
              <w:top w:val="nil"/>
              <w:left w:val="dotted" w:sz="24" w:space="0" w:color="002060"/>
              <w:bottom w:val="nil"/>
              <w:right w:val="nil"/>
            </w:tcBorders>
          </w:tcPr>
          <w:p w:rsidR="00970045" w:rsidRPr="001034A2" w:rsidRDefault="00970045" w:rsidP="006A7220">
            <w:pPr>
              <w:pStyle w:val="TableText"/>
              <w:rPr>
                <w:sz w:val="20"/>
              </w:rPr>
            </w:pPr>
          </w:p>
        </w:tc>
      </w:tr>
      <w:tr w:rsidR="005E1DF6" w:rsidRPr="00736809" w:rsidTr="006A7220">
        <w:trPr>
          <w:cantSplit/>
        </w:trPr>
        <w:tc>
          <w:tcPr>
            <w:tcW w:w="8647" w:type="dxa"/>
            <w:gridSpan w:val="4"/>
            <w:tcBorders>
              <w:top w:val="nil"/>
              <w:left w:val="dotted" w:sz="24" w:space="0" w:color="002060"/>
              <w:bottom w:val="nil"/>
              <w:right w:val="dotted" w:sz="24" w:space="0" w:color="002060"/>
            </w:tcBorders>
          </w:tcPr>
          <w:p w:rsidR="005E1DF6" w:rsidRPr="00736809" w:rsidRDefault="005E1DF6" w:rsidP="006A7220">
            <w:pPr>
              <w:pStyle w:val="TableText"/>
              <w:rPr>
                <w:sz w:val="12"/>
                <w:szCs w:val="12"/>
              </w:rPr>
            </w:pPr>
          </w:p>
        </w:tc>
        <w:tc>
          <w:tcPr>
            <w:tcW w:w="425" w:type="dxa"/>
            <w:tcBorders>
              <w:top w:val="nil"/>
              <w:left w:val="dotted" w:sz="24" w:space="0" w:color="002060"/>
              <w:bottom w:val="nil"/>
              <w:right w:val="nil"/>
            </w:tcBorders>
          </w:tcPr>
          <w:p w:rsidR="005E1DF6" w:rsidRPr="00736809" w:rsidRDefault="005E1DF6" w:rsidP="006A7220">
            <w:pPr>
              <w:pStyle w:val="TableText"/>
              <w:rPr>
                <w:sz w:val="12"/>
                <w:szCs w:val="12"/>
              </w:rPr>
            </w:pPr>
          </w:p>
        </w:tc>
      </w:tr>
      <w:tr w:rsidR="005E1DF6" w:rsidRPr="001034A2" w:rsidTr="006A7220">
        <w:trPr>
          <w:cantSplit/>
        </w:trPr>
        <w:tc>
          <w:tcPr>
            <w:tcW w:w="304" w:type="dxa"/>
            <w:tcBorders>
              <w:top w:val="nil"/>
              <w:left w:val="dotted" w:sz="24" w:space="0" w:color="002060"/>
              <w:bottom w:val="nil"/>
              <w:right w:val="nil"/>
            </w:tcBorders>
          </w:tcPr>
          <w:p w:rsidR="005E1DF6" w:rsidRPr="00EC5B2D" w:rsidRDefault="005E1DF6" w:rsidP="006A7220">
            <w:pPr>
              <w:pStyle w:val="TableText"/>
              <w:rPr>
                <w:sz w:val="20"/>
              </w:rPr>
            </w:pPr>
          </w:p>
        </w:tc>
        <w:tc>
          <w:tcPr>
            <w:tcW w:w="8039" w:type="dxa"/>
            <w:gridSpan w:val="2"/>
            <w:tcBorders>
              <w:top w:val="nil"/>
              <w:left w:val="nil"/>
              <w:bottom w:val="nil"/>
              <w:right w:val="nil"/>
            </w:tcBorders>
            <w:shd w:val="clear" w:color="auto" w:fill="DBE5F1" w:themeFill="accent1" w:themeFillTint="33"/>
          </w:tcPr>
          <w:p w:rsidR="005E1DF6" w:rsidRPr="005E1DF6" w:rsidRDefault="005E1DF6" w:rsidP="005E1DF6">
            <w:pPr>
              <w:pStyle w:val="TableText"/>
              <w:tabs>
                <w:tab w:val="left" w:pos="284"/>
              </w:tabs>
              <w:spacing w:before="120" w:after="120"/>
              <w:rPr>
                <w:sz w:val="19"/>
                <w:szCs w:val="19"/>
              </w:rPr>
            </w:pPr>
            <w:r w:rsidRPr="005E1DF6">
              <w:rPr>
                <w:b/>
                <w:sz w:val="19"/>
                <w:szCs w:val="19"/>
              </w:rPr>
              <w:t>3</w:t>
            </w:r>
            <w:r w:rsidRPr="005E1DF6">
              <w:rPr>
                <w:b/>
                <w:sz w:val="19"/>
                <w:szCs w:val="19"/>
              </w:rPr>
              <w:tab/>
              <w:t>Turning our med-tech and biotech industries into a mainstay of the New Zealand economy</w:t>
            </w:r>
            <w:r w:rsidRPr="005E1DF6">
              <w:rPr>
                <w:sz w:val="19"/>
                <w:szCs w:val="19"/>
              </w:rPr>
              <w:t>. New Zealand’s health care firms are growing quickly and New Zealand has a thriving medical technology sector. Some biotech companies are born directly from biomedical research. Strengthening the commercialisation pipeline from health research into successful commercial ventures is critical to</w:t>
            </w:r>
            <w:r>
              <w:rPr>
                <w:sz w:val="19"/>
                <w:szCs w:val="19"/>
              </w:rPr>
              <w:t xml:space="preserve"> maximising economic benefits. </w:t>
            </w:r>
            <w:r w:rsidRPr="005E1DF6">
              <w:rPr>
                <w:sz w:val="19"/>
                <w:szCs w:val="19"/>
              </w:rPr>
              <w:t>An important consideration is ensuring appropriate mechanisms exist for capturing the commercial opportunities arising from innovations developed in district health boards.</w:t>
            </w:r>
          </w:p>
        </w:tc>
        <w:tc>
          <w:tcPr>
            <w:tcW w:w="304" w:type="dxa"/>
            <w:tcBorders>
              <w:top w:val="nil"/>
              <w:left w:val="nil"/>
              <w:bottom w:val="nil"/>
              <w:right w:val="dotted" w:sz="24" w:space="0" w:color="002060"/>
            </w:tcBorders>
          </w:tcPr>
          <w:p w:rsidR="005E1DF6" w:rsidRPr="00EC5B2D" w:rsidRDefault="005E1DF6" w:rsidP="006A7220">
            <w:pPr>
              <w:pStyle w:val="TableText"/>
              <w:rPr>
                <w:sz w:val="20"/>
              </w:rPr>
            </w:pPr>
          </w:p>
        </w:tc>
        <w:tc>
          <w:tcPr>
            <w:tcW w:w="425" w:type="dxa"/>
            <w:tcBorders>
              <w:top w:val="nil"/>
              <w:left w:val="dotted" w:sz="24" w:space="0" w:color="002060"/>
              <w:bottom w:val="nil"/>
              <w:right w:val="nil"/>
            </w:tcBorders>
          </w:tcPr>
          <w:p w:rsidR="005E1DF6" w:rsidRPr="001034A2" w:rsidRDefault="005E1DF6" w:rsidP="006A7220">
            <w:pPr>
              <w:pStyle w:val="TableText"/>
              <w:rPr>
                <w:sz w:val="20"/>
              </w:rPr>
            </w:pPr>
          </w:p>
        </w:tc>
      </w:tr>
      <w:tr w:rsidR="005E1DF6" w:rsidRPr="00736809" w:rsidTr="006A7220">
        <w:trPr>
          <w:cantSplit/>
        </w:trPr>
        <w:tc>
          <w:tcPr>
            <w:tcW w:w="8647" w:type="dxa"/>
            <w:gridSpan w:val="4"/>
            <w:tcBorders>
              <w:top w:val="nil"/>
              <w:left w:val="dotted" w:sz="24" w:space="0" w:color="002060"/>
              <w:bottom w:val="nil"/>
              <w:right w:val="dotted" w:sz="24" w:space="0" w:color="002060"/>
            </w:tcBorders>
          </w:tcPr>
          <w:p w:rsidR="005E1DF6" w:rsidRPr="00736809" w:rsidRDefault="005E1DF6" w:rsidP="006A7220">
            <w:pPr>
              <w:pStyle w:val="TableText"/>
              <w:rPr>
                <w:sz w:val="12"/>
                <w:szCs w:val="12"/>
              </w:rPr>
            </w:pPr>
          </w:p>
        </w:tc>
        <w:tc>
          <w:tcPr>
            <w:tcW w:w="425" w:type="dxa"/>
            <w:tcBorders>
              <w:top w:val="nil"/>
              <w:left w:val="dotted" w:sz="24" w:space="0" w:color="002060"/>
              <w:bottom w:val="nil"/>
              <w:right w:val="nil"/>
            </w:tcBorders>
          </w:tcPr>
          <w:p w:rsidR="005E1DF6" w:rsidRPr="00736809" w:rsidRDefault="005E1DF6" w:rsidP="006A7220">
            <w:pPr>
              <w:pStyle w:val="TableText"/>
              <w:rPr>
                <w:sz w:val="12"/>
                <w:szCs w:val="12"/>
              </w:rPr>
            </w:pPr>
          </w:p>
        </w:tc>
      </w:tr>
      <w:tr w:rsidR="005E1DF6" w:rsidRPr="001034A2" w:rsidTr="006A7220">
        <w:trPr>
          <w:cantSplit/>
        </w:trPr>
        <w:tc>
          <w:tcPr>
            <w:tcW w:w="304" w:type="dxa"/>
            <w:tcBorders>
              <w:top w:val="nil"/>
              <w:left w:val="dotted" w:sz="24" w:space="0" w:color="002060"/>
              <w:bottom w:val="nil"/>
              <w:right w:val="nil"/>
            </w:tcBorders>
          </w:tcPr>
          <w:p w:rsidR="005E1DF6" w:rsidRPr="00EC5B2D" w:rsidRDefault="005E1DF6" w:rsidP="006A7220">
            <w:pPr>
              <w:pStyle w:val="TableText"/>
              <w:rPr>
                <w:sz w:val="20"/>
              </w:rPr>
            </w:pPr>
          </w:p>
        </w:tc>
        <w:tc>
          <w:tcPr>
            <w:tcW w:w="8039" w:type="dxa"/>
            <w:gridSpan w:val="2"/>
            <w:tcBorders>
              <w:top w:val="nil"/>
              <w:left w:val="nil"/>
              <w:bottom w:val="nil"/>
              <w:right w:val="nil"/>
            </w:tcBorders>
            <w:shd w:val="clear" w:color="auto" w:fill="DBE5F1" w:themeFill="accent1" w:themeFillTint="33"/>
          </w:tcPr>
          <w:p w:rsidR="005E1DF6" w:rsidRPr="005E1DF6" w:rsidRDefault="005E1DF6" w:rsidP="005E1DF6">
            <w:pPr>
              <w:pStyle w:val="TableText"/>
              <w:tabs>
                <w:tab w:val="left" w:pos="284"/>
              </w:tabs>
              <w:spacing w:before="120" w:after="120"/>
              <w:rPr>
                <w:sz w:val="19"/>
                <w:szCs w:val="19"/>
              </w:rPr>
            </w:pPr>
            <w:r w:rsidRPr="005E1DF6">
              <w:rPr>
                <w:b/>
                <w:sz w:val="19"/>
                <w:szCs w:val="19"/>
              </w:rPr>
              <w:t>4</w:t>
            </w:r>
            <w:r w:rsidRPr="005E1DF6">
              <w:rPr>
                <w:b/>
                <w:sz w:val="19"/>
                <w:szCs w:val="19"/>
              </w:rPr>
              <w:tab/>
              <w:t>Improving connections across the life sciences</w:t>
            </w:r>
            <w:r w:rsidRPr="005E1DF6">
              <w:rPr>
                <w:sz w:val="19"/>
                <w:szCs w:val="19"/>
              </w:rPr>
              <w:t xml:space="preserve">. New Zealand has particular strengths in the life sciences which are important to the primary sector. Improving knowledge exchange across health research, agricultural science and other life sciences would maximise </w:t>
            </w:r>
            <w:proofErr w:type="spellStart"/>
            <w:r w:rsidRPr="005E1DF6">
              <w:rPr>
                <w:sz w:val="19"/>
                <w:szCs w:val="19"/>
              </w:rPr>
              <w:t>spillover</w:t>
            </w:r>
            <w:proofErr w:type="spellEnd"/>
            <w:r w:rsidRPr="005E1DF6">
              <w:rPr>
                <w:sz w:val="19"/>
                <w:szCs w:val="19"/>
              </w:rPr>
              <w:t xml:space="preserve"> benefits from investment in health research.</w:t>
            </w:r>
          </w:p>
        </w:tc>
        <w:tc>
          <w:tcPr>
            <w:tcW w:w="304" w:type="dxa"/>
            <w:tcBorders>
              <w:top w:val="nil"/>
              <w:left w:val="nil"/>
              <w:bottom w:val="nil"/>
              <w:right w:val="dotted" w:sz="24" w:space="0" w:color="002060"/>
            </w:tcBorders>
          </w:tcPr>
          <w:p w:rsidR="005E1DF6" w:rsidRPr="00EC5B2D" w:rsidRDefault="005E1DF6" w:rsidP="006A7220">
            <w:pPr>
              <w:pStyle w:val="TableText"/>
              <w:rPr>
                <w:sz w:val="20"/>
              </w:rPr>
            </w:pPr>
          </w:p>
        </w:tc>
        <w:tc>
          <w:tcPr>
            <w:tcW w:w="425" w:type="dxa"/>
            <w:tcBorders>
              <w:top w:val="nil"/>
              <w:left w:val="dotted" w:sz="24" w:space="0" w:color="002060"/>
              <w:bottom w:val="nil"/>
              <w:right w:val="nil"/>
            </w:tcBorders>
          </w:tcPr>
          <w:p w:rsidR="005E1DF6" w:rsidRPr="001034A2" w:rsidRDefault="005E1DF6" w:rsidP="006A7220">
            <w:pPr>
              <w:pStyle w:val="TableText"/>
              <w:rPr>
                <w:sz w:val="20"/>
              </w:rPr>
            </w:pPr>
          </w:p>
        </w:tc>
      </w:tr>
      <w:tr w:rsidR="00970045" w:rsidRPr="00736809" w:rsidTr="006A7220">
        <w:trPr>
          <w:cantSplit/>
        </w:trPr>
        <w:tc>
          <w:tcPr>
            <w:tcW w:w="8647" w:type="dxa"/>
            <w:gridSpan w:val="4"/>
            <w:tcBorders>
              <w:top w:val="nil"/>
              <w:left w:val="dotted" w:sz="24" w:space="0" w:color="002060"/>
              <w:bottom w:val="dotted" w:sz="24" w:space="0" w:color="002060"/>
              <w:right w:val="dotted" w:sz="24" w:space="0" w:color="002060"/>
            </w:tcBorders>
          </w:tcPr>
          <w:p w:rsidR="00970045" w:rsidRPr="00736809" w:rsidRDefault="00970045" w:rsidP="006A7220">
            <w:pPr>
              <w:pStyle w:val="TableText"/>
              <w:rPr>
                <w:sz w:val="12"/>
                <w:szCs w:val="12"/>
              </w:rPr>
            </w:pPr>
          </w:p>
        </w:tc>
        <w:tc>
          <w:tcPr>
            <w:tcW w:w="425" w:type="dxa"/>
            <w:tcBorders>
              <w:top w:val="nil"/>
              <w:left w:val="dotted" w:sz="24" w:space="0" w:color="002060"/>
              <w:bottom w:val="nil"/>
              <w:right w:val="nil"/>
            </w:tcBorders>
          </w:tcPr>
          <w:p w:rsidR="00970045" w:rsidRPr="00736809" w:rsidRDefault="00970045" w:rsidP="006A7220">
            <w:pPr>
              <w:pStyle w:val="TableText"/>
              <w:rPr>
                <w:sz w:val="12"/>
                <w:szCs w:val="12"/>
              </w:rPr>
            </w:pPr>
          </w:p>
        </w:tc>
      </w:tr>
    </w:tbl>
    <w:p w:rsidR="001344B9" w:rsidRPr="00050283" w:rsidRDefault="001344B9" w:rsidP="0058446A"/>
    <w:tbl>
      <w:tblPr>
        <w:tblStyle w:val="TableGrid"/>
        <w:tblW w:w="9072" w:type="dxa"/>
        <w:tblInd w:w="142"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left w:w="142" w:type="dxa"/>
          <w:right w:w="142" w:type="dxa"/>
        </w:tblCellMar>
        <w:tblLook w:val="04A0" w:firstRow="1" w:lastRow="0" w:firstColumn="1" w:lastColumn="0" w:noHBand="0" w:noVBand="1"/>
      </w:tblPr>
      <w:tblGrid>
        <w:gridCol w:w="304"/>
        <w:gridCol w:w="5508"/>
        <w:gridCol w:w="2531"/>
        <w:gridCol w:w="304"/>
        <w:gridCol w:w="425"/>
      </w:tblGrid>
      <w:tr w:rsidR="000E4899" w:rsidRPr="007D679D" w:rsidTr="006A7220">
        <w:trPr>
          <w:cantSplit/>
        </w:trPr>
        <w:tc>
          <w:tcPr>
            <w:tcW w:w="5812" w:type="dxa"/>
            <w:gridSpan w:val="2"/>
            <w:tcBorders>
              <w:top w:val="nil"/>
              <w:left w:val="nil"/>
              <w:bottom w:val="dotted" w:sz="24" w:space="0" w:color="002060"/>
              <w:right w:val="single" w:sz="12" w:space="0" w:color="002060"/>
            </w:tcBorders>
          </w:tcPr>
          <w:p w:rsidR="000E4899" w:rsidRPr="001034A2" w:rsidRDefault="000E4899" w:rsidP="000E4899">
            <w:pPr>
              <w:pStyle w:val="TableText"/>
              <w:keepNext/>
              <w:rPr>
                <w:sz w:val="20"/>
              </w:rPr>
            </w:pPr>
          </w:p>
        </w:tc>
        <w:tc>
          <w:tcPr>
            <w:tcW w:w="3260" w:type="dxa"/>
            <w:gridSpan w:val="3"/>
            <w:vMerge w:val="restart"/>
            <w:tcBorders>
              <w:left w:val="single" w:sz="12" w:space="0" w:color="002060"/>
            </w:tcBorders>
            <w:shd w:val="clear" w:color="auto" w:fill="DBE5F1" w:themeFill="accent1" w:themeFillTint="33"/>
            <w:vAlign w:val="center"/>
          </w:tcPr>
          <w:p w:rsidR="000E4899" w:rsidRPr="007D679D" w:rsidRDefault="000E4899" w:rsidP="000E4899">
            <w:pPr>
              <w:pStyle w:val="TableText"/>
              <w:keepNext/>
              <w:spacing w:before="60" w:after="60"/>
              <w:jc w:val="center"/>
              <w:rPr>
                <w:color w:val="002060"/>
                <w:sz w:val="24"/>
                <w:szCs w:val="24"/>
              </w:rPr>
            </w:pPr>
            <w:r>
              <w:rPr>
                <w:color w:val="002060"/>
                <w:sz w:val="24"/>
                <w:szCs w:val="24"/>
              </w:rPr>
              <w:t>Strategic Priority Example Four</w:t>
            </w:r>
          </w:p>
        </w:tc>
      </w:tr>
      <w:tr w:rsidR="000E4899" w:rsidRPr="001034A2" w:rsidTr="006A7220">
        <w:trPr>
          <w:cantSplit/>
        </w:trPr>
        <w:tc>
          <w:tcPr>
            <w:tcW w:w="5812" w:type="dxa"/>
            <w:gridSpan w:val="2"/>
            <w:tcBorders>
              <w:top w:val="dotted" w:sz="24" w:space="0" w:color="002060"/>
              <w:left w:val="dotted" w:sz="24" w:space="0" w:color="002060"/>
              <w:bottom w:val="nil"/>
              <w:right w:val="single" w:sz="12" w:space="0" w:color="002060"/>
            </w:tcBorders>
          </w:tcPr>
          <w:p w:rsidR="000E4899" w:rsidRPr="001034A2" w:rsidRDefault="000E4899" w:rsidP="000E4899">
            <w:pPr>
              <w:pStyle w:val="TableText"/>
              <w:keepNext/>
              <w:rPr>
                <w:sz w:val="20"/>
              </w:rPr>
            </w:pPr>
          </w:p>
        </w:tc>
        <w:tc>
          <w:tcPr>
            <w:tcW w:w="3260" w:type="dxa"/>
            <w:gridSpan w:val="3"/>
            <w:vMerge/>
            <w:tcBorders>
              <w:left w:val="single" w:sz="12" w:space="0" w:color="002060"/>
              <w:bottom w:val="single" w:sz="12" w:space="0" w:color="002060"/>
            </w:tcBorders>
            <w:shd w:val="clear" w:color="auto" w:fill="DBE5F1" w:themeFill="accent1" w:themeFillTint="33"/>
          </w:tcPr>
          <w:p w:rsidR="000E4899" w:rsidRPr="001034A2" w:rsidRDefault="000E4899" w:rsidP="000E4899">
            <w:pPr>
              <w:pStyle w:val="TableText"/>
              <w:keepNext/>
              <w:jc w:val="center"/>
              <w:rPr>
                <w:sz w:val="20"/>
              </w:rPr>
            </w:pPr>
          </w:p>
        </w:tc>
      </w:tr>
      <w:tr w:rsidR="000E4899" w:rsidRPr="00EC5B2D" w:rsidTr="006A7220">
        <w:trPr>
          <w:cantSplit/>
        </w:trPr>
        <w:tc>
          <w:tcPr>
            <w:tcW w:w="8647" w:type="dxa"/>
            <w:gridSpan w:val="4"/>
            <w:tcBorders>
              <w:top w:val="nil"/>
              <w:left w:val="dotted" w:sz="24" w:space="0" w:color="002060"/>
              <w:bottom w:val="nil"/>
              <w:right w:val="dotted" w:sz="24" w:space="0" w:color="002060"/>
            </w:tcBorders>
          </w:tcPr>
          <w:p w:rsidR="000E4899" w:rsidRPr="00EC5B2D" w:rsidRDefault="000E4899" w:rsidP="000E4899">
            <w:pPr>
              <w:pStyle w:val="TableText"/>
              <w:keepNext/>
              <w:rPr>
                <w:sz w:val="12"/>
                <w:szCs w:val="12"/>
              </w:rPr>
            </w:pPr>
          </w:p>
        </w:tc>
        <w:tc>
          <w:tcPr>
            <w:tcW w:w="425" w:type="dxa"/>
            <w:tcBorders>
              <w:top w:val="nil"/>
              <w:left w:val="dotted" w:sz="24" w:space="0" w:color="002060"/>
              <w:bottom w:val="nil"/>
              <w:right w:val="nil"/>
            </w:tcBorders>
          </w:tcPr>
          <w:p w:rsidR="000E4899" w:rsidRPr="00EC5B2D" w:rsidRDefault="000E4899" w:rsidP="000E4899">
            <w:pPr>
              <w:pStyle w:val="TableText"/>
              <w:keepNext/>
              <w:rPr>
                <w:sz w:val="12"/>
                <w:szCs w:val="12"/>
              </w:rPr>
            </w:pPr>
          </w:p>
        </w:tc>
      </w:tr>
      <w:tr w:rsidR="000E4899" w:rsidRPr="001034A2" w:rsidTr="006A7220">
        <w:trPr>
          <w:cantSplit/>
        </w:trPr>
        <w:tc>
          <w:tcPr>
            <w:tcW w:w="304" w:type="dxa"/>
            <w:tcBorders>
              <w:top w:val="nil"/>
              <w:left w:val="dotted" w:sz="24" w:space="0" w:color="002060"/>
              <w:bottom w:val="nil"/>
              <w:right w:val="nil"/>
            </w:tcBorders>
          </w:tcPr>
          <w:p w:rsidR="000E4899" w:rsidRPr="007D679D" w:rsidRDefault="000E4899" w:rsidP="006A7220">
            <w:pPr>
              <w:pStyle w:val="TableText"/>
            </w:pPr>
          </w:p>
        </w:tc>
        <w:tc>
          <w:tcPr>
            <w:tcW w:w="8039" w:type="dxa"/>
            <w:gridSpan w:val="2"/>
            <w:tcBorders>
              <w:top w:val="nil"/>
              <w:left w:val="nil"/>
              <w:bottom w:val="nil"/>
              <w:right w:val="nil"/>
            </w:tcBorders>
            <w:shd w:val="clear" w:color="auto" w:fill="31849B" w:themeFill="accent5" w:themeFillShade="BF"/>
          </w:tcPr>
          <w:p w:rsidR="000E4899" w:rsidRPr="00B40E8F" w:rsidRDefault="000E4899" w:rsidP="000E4899">
            <w:pPr>
              <w:pStyle w:val="TableText"/>
              <w:spacing w:before="60" w:after="60"/>
              <w:rPr>
                <w:b/>
                <w:color w:val="FFFFFF" w:themeColor="background1"/>
                <w:sz w:val="24"/>
                <w:szCs w:val="24"/>
              </w:rPr>
            </w:pPr>
            <w:r w:rsidRPr="00B40E8F">
              <w:rPr>
                <w:b/>
                <w:color w:val="FFFFFF" w:themeColor="background1"/>
                <w:sz w:val="24"/>
                <w:szCs w:val="24"/>
              </w:rPr>
              <w:t xml:space="preserve">Example </w:t>
            </w:r>
            <w:r>
              <w:rPr>
                <w:b/>
                <w:color w:val="FFFFFF" w:themeColor="background1"/>
                <w:sz w:val="24"/>
                <w:szCs w:val="24"/>
              </w:rPr>
              <w:t>Four</w:t>
            </w:r>
            <w:r w:rsidRPr="00B40E8F">
              <w:rPr>
                <w:b/>
                <w:color w:val="FFFFFF" w:themeColor="background1"/>
                <w:sz w:val="24"/>
                <w:szCs w:val="24"/>
              </w:rPr>
              <w:t xml:space="preserve">: </w:t>
            </w:r>
            <w:r>
              <w:rPr>
                <w:b/>
                <w:color w:val="FFFFFF" w:themeColor="background1"/>
                <w:sz w:val="24"/>
                <w:szCs w:val="24"/>
              </w:rPr>
              <w:t>Enhancing the uptake of health research results across the social and health sectors</w:t>
            </w:r>
          </w:p>
        </w:tc>
        <w:tc>
          <w:tcPr>
            <w:tcW w:w="304" w:type="dxa"/>
            <w:tcBorders>
              <w:top w:val="nil"/>
              <w:left w:val="nil"/>
              <w:bottom w:val="nil"/>
              <w:right w:val="dotted" w:sz="24" w:space="0" w:color="auto"/>
            </w:tcBorders>
          </w:tcPr>
          <w:p w:rsidR="000E4899" w:rsidRPr="001034A2" w:rsidRDefault="000E4899" w:rsidP="006A7220">
            <w:pPr>
              <w:pStyle w:val="TableText"/>
              <w:rPr>
                <w:sz w:val="20"/>
              </w:rPr>
            </w:pPr>
          </w:p>
        </w:tc>
        <w:tc>
          <w:tcPr>
            <w:tcW w:w="425" w:type="dxa"/>
            <w:tcBorders>
              <w:top w:val="nil"/>
              <w:left w:val="dotted" w:sz="24" w:space="0" w:color="auto"/>
              <w:bottom w:val="nil"/>
              <w:right w:val="nil"/>
            </w:tcBorders>
          </w:tcPr>
          <w:p w:rsidR="000E4899" w:rsidRPr="001034A2" w:rsidRDefault="000E4899" w:rsidP="006A7220">
            <w:pPr>
              <w:pStyle w:val="TableText"/>
              <w:rPr>
                <w:sz w:val="20"/>
              </w:rPr>
            </w:pPr>
          </w:p>
        </w:tc>
      </w:tr>
      <w:tr w:rsidR="000E4899" w:rsidRPr="001034A2" w:rsidTr="006A7220">
        <w:trPr>
          <w:cantSplit/>
        </w:trPr>
        <w:tc>
          <w:tcPr>
            <w:tcW w:w="8647" w:type="dxa"/>
            <w:gridSpan w:val="4"/>
            <w:tcBorders>
              <w:top w:val="nil"/>
              <w:left w:val="dotted" w:sz="24" w:space="0" w:color="002060"/>
              <w:bottom w:val="nil"/>
              <w:right w:val="dotted" w:sz="24" w:space="0" w:color="002060"/>
            </w:tcBorders>
          </w:tcPr>
          <w:p w:rsidR="00F24D44" w:rsidRDefault="000E4899" w:rsidP="000E4899">
            <w:pPr>
              <w:pStyle w:val="TableText"/>
              <w:spacing w:before="120"/>
              <w:ind w:left="142" w:right="142"/>
              <w:rPr>
                <w:sz w:val="19"/>
                <w:szCs w:val="19"/>
              </w:rPr>
            </w:pPr>
            <w:r w:rsidRPr="000E4899">
              <w:rPr>
                <w:sz w:val="19"/>
                <w:szCs w:val="19"/>
              </w:rPr>
              <w:t xml:space="preserve">Health research results can benefit the health of all New Zealand by informing changes to policies and practices. These may be changes to clinical practice, improvements to health or social policy, changing how health services are provided or the creation of new products or technologies. </w:t>
            </w:r>
          </w:p>
          <w:p w:rsidR="000E4899" w:rsidRPr="000E4899" w:rsidRDefault="000E4899" w:rsidP="000E4899">
            <w:pPr>
              <w:pStyle w:val="TableText"/>
              <w:spacing w:before="120"/>
              <w:ind w:left="142" w:right="142"/>
              <w:rPr>
                <w:sz w:val="19"/>
                <w:szCs w:val="19"/>
              </w:rPr>
            </w:pPr>
            <w:r w:rsidRPr="000E4899">
              <w:rPr>
                <w:sz w:val="19"/>
                <w:szCs w:val="19"/>
              </w:rPr>
              <w:t>A variety of factors influence the uptake of health research findings, including:</w:t>
            </w:r>
          </w:p>
          <w:p w:rsidR="000E4899" w:rsidRPr="000E4899" w:rsidRDefault="000E4899" w:rsidP="000E4899">
            <w:pPr>
              <w:pStyle w:val="TableBullet"/>
              <w:numPr>
                <w:ilvl w:val="0"/>
                <w:numId w:val="30"/>
              </w:numPr>
              <w:ind w:left="426" w:right="142" w:hanging="284"/>
              <w:rPr>
                <w:sz w:val="19"/>
                <w:szCs w:val="19"/>
              </w:rPr>
            </w:pPr>
            <w:proofErr w:type="gramStart"/>
            <w:r w:rsidRPr="000E4899">
              <w:rPr>
                <w:sz w:val="19"/>
                <w:szCs w:val="19"/>
              </w:rPr>
              <w:t>engagement</w:t>
            </w:r>
            <w:proofErr w:type="gramEnd"/>
            <w:r w:rsidRPr="000E4899">
              <w:rPr>
                <w:sz w:val="19"/>
                <w:szCs w:val="19"/>
              </w:rPr>
              <w:t xml:space="preserve"> with end users throughout the research process, which can make uptake smoother. This is a particular focus of the National Science Challenges. End users include health and social sector agencies, clinicians, community groups, iwi and not-for-profit organisations</w:t>
            </w:r>
          </w:p>
          <w:p w:rsidR="000E4899" w:rsidRPr="000E4899" w:rsidRDefault="000E4899" w:rsidP="000E4899">
            <w:pPr>
              <w:pStyle w:val="TableBullet"/>
              <w:numPr>
                <w:ilvl w:val="0"/>
                <w:numId w:val="30"/>
              </w:numPr>
              <w:ind w:left="426" w:right="142" w:hanging="284"/>
              <w:rPr>
                <w:sz w:val="19"/>
                <w:szCs w:val="19"/>
              </w:rPr>
            </w:pPr>
            <w:r w:rsidRPr="000E4899">
              <w:rPr>
                <w:sz w:val="19"/>
                <w:szCs w:val="19"/>
              </w:rPr>
              <w:t>whether further research or testing of the intervention is required, such as through clinical trials, feasibility studies or technology assessments</w:t>
            </w:r>
          </w:p>
          <w:p w:rsidR="000E4899" w:rsidRPr="000E4899" w:rsidRDefault="000E4899" w:rsidP="000E4899">
            <w:pPr>
              <w:pStyle w:val="TableBullet"/>
              <w:numPr>
                <w:ilvl w:val="0"/>
                <w:numId w:val="30"/>
              </w:numPr>
              <w:ind w:left="426" w:right="142" w:hanging="284"/>
              <w:rPr>
                <w:sz w:val="19"/>
                <w:szCs w:val="19"/>
              </w:rPr>
            </w:pPr>
            <w:proofErr w:type="gramStart"/>
            <w:r w:rsidRPr="000E4899">
              <w:rPr>
                <w:sz w:val="19"/>
                <w:szCs w:val="19"/>
              </w:rPr>
              <w:t>the</w:t>
            </w:r>
            <w:proofErr w:type="gramEnd"/>
            <w:r w:rsidRPr="000E4899">
              <w:rPr>
                <w:sz w:val="19"/>
                <w:szCs w:val="19"/>
              </w:rPr>
              <w:t xml:space="preserve"> cost of adopting new interventions and their affordability and suitability. Value for money, effectiveness, efficiency and suitability for New Zealand communities and our health system are all factors in determining which health interventions to adopt. Tools such as health technology assessment and systematic reviews can assist with these decisions.</w:t>
            </w:r>
          </w:p>
          <w:p w:rsidR="000E4899" w:rsidRPr="000E4899" w:rsidRDefault="000E4899" w:rsidP="000E4899">
            <w:pPr>
              <w:pStyle w:val="TableText"/>
              <w:spacing w:before="120"/>
              <w:ind w:left="142" w:right="142"/>
              <w:rPr>
                <w:sz w:val="19"/>
                <w:szCs w:val="19"/>
              </w:rPr>
            </w:pPr>
            <w:r w:rsidRPr="000E4899">
              <w:rPr>
                <w:sz w:val="19"/>
                <w:szCs w:val="19"/>
              </w:rPr>
              <w:t>Generally in New Zealand the uptake of health research results is relatively ad hoc and it can take a long period of time for research findings to inform our policies and practices. Regulatory settings may also affect the uptake of new knowledge and innovations.</w:t>
            </w:r>
          </w:p>
          <w:p w:rsidR="000E4899" w:rsidRPr="004D2799" w:rsidRDefault="000E4899" w:rsidP="000E4899">
            <w:pPr>
              <w:pStyle w:val="TableText"/>
              <w:spacing w:before="120" w:after="120"/>
              <w:ind w:left="142" w:right="142"/>
              <w:rPr>
                <w:spacing w:val="-2"/>
                <w:sz w:val="19"/>
                <w:szCs w:val="19"/>
              </w:rPr>
            </w:pPr>
            <w:r w:rsidRPr="000E4899">
              <w:rPr>
                <w:sz w:val="19"/>
                <w:szCs w:val="19"/>
              </w:rPr>
              <w:t>The uptake of health research results across the social and health sectors could be enhanced by focusing on the following:</w:t>
            </w:r>
          </w:p>
        </w:tc>
        <w:tc>
          <w:tcPr>
            <w:tcW w:w="425" w:type="dxa"/>
            <w:tcBorders>
              <w:top w:val="nil"/>
              <w:left w:val="dotted" w:sz="24" w:space="0" w:color="002060"/>
              <w:bottom w:val="nil"/>
              <w:right w:val="nil"/>
            </w:tcBorders>
          </w:tcPr>
          <w:p w:rsidR="000E4899" w:rsidRPr="001034A2" w:rsidRDefault="000E4899" w:rsidP="006A7220">
            <w:pPr>
              <w:pStyle w:val="TableText"/>
              <w:rPr>
                <w:sz w:val="20"/>
              </w:rPr>
            </w:pPr>
          </w:p>
        </w:tc>
      </w:tr>
      <w:tr w:rsidR="000E4899" w:rsidTr="006A7220">
        <w:trPr>
          <w:cantSplit/>
        </w:trPr>
        <w:tc>
          <w:tcPr>
            <w:tcW w:w="304" w:type="dxa"/>
            <w:tcBorders>
              <w:top w:val="nil"/>
              <w:left w:val="dotted" w:sz="24" w:space="0" w:color="002060"/>
              <w:bottom w:val="nil"/>
              <w:right w:val="nil"/>
            </w:tcBorders>
          </w:tcPr>
          <w:p w:rsidR="000E4899" w:rsidRPr="00EC5B2D" w:rsidRDefault="000E4899" w:rsidP="006A7220">
            <w:pPr>
              <w:pStyle w:val="TableText"/>
              <w:rPr>
                <w:sz w:val="20"/>
              </w:rPr>
            </w:pPr>
          </w:p>
        </w:tc>
        <w:tc>
          <w:tcPr>
            <w:tcW w:w="8039" w:type="dxa"/>
            <w:gridSpan w:val="2"/>
            <w:tcBorders>
              <w:top w:val="nil"/>
              <w:left w:val="nil"/>
              <w:bottom w:val="nil"/>
              <w:right w:val="nil"/>
            </w:tcBorders>
            <w:shd w:val="clear" w:color="auto" w:fill="DBE5F1" w:themeFill="accent1" w:themeFillTint="33"/>
          </w:tcPr>
          <w:p w:rsidR="000E4899" w:rsidRPr="000E4899" w:rsidRDefault="000E4899" w:rsidP="000E4899">
            <w:pPr>
              <w:pStyle w:val="TableText"/>
              <w:tabs>
                <w:tab w:val="left" w:pos="284"/>
              </w:tabs>
              <w:spacing w:before="120"/>
              <w:rPr>
                <w:sz w:val="19"/>
                <w:szCs w:val="19"/>
              </w:rPr>
            </w:pPr>
            <w:r w:rsidRPr="000E4899">
              <w:rPr>
                <w:b/>
                <w:sz w:val="19"/>
                <w:szCs w:val="19"/>
              </w:rPr>
              <w:t>1</w:t>
            </w:r>
            <w:r w:rsidRPr="000E4899">
              <w:rPr>
                <w:b/>
                <w:sz w:val="19"/>
                <w:szCs w:val="19"/>
              </w:rPr>
              <w:tab/>
              <w:t>Improving the relationships and engagement between those conducting research and end users.</w:t>
            </w:r>
            <w:r w:rsidRPr="000E4899">
              <w:rPr>
                <w:sz w:val="19"/>
                <w:szCs w:val="19"/>
              </w:rPr>
              <w:t xml:space="preserve"> Improved knowledge, skills, learning and other actions resulting from research can have impacts on multiple end users, including:</w:t>
            </w:r>
          </w:p>
          <w:p w:rsidR="000E4899" w:rsidRPr="000E4899" w:rsidRDefault="000E4899" w:rsidP="000E4899">
            <w:pPr>
              <w:pStyle w:val="TableBullet"/>
              <w:numPr>
                <w:ilvl w:val="0"/>
                <w:numId w:val="27"/>
              </w:numPr>
              <w:ind w:right="142"/>
              <w:rPr>
                <w:sz w:val="19"/>
                <w:szCs w:val="19"/>
              </w:rPr>
            </w:pPr>
            <w:r w:rsidRPr="000E4899">
              <w:rPr>
                <w:sz w:val="19"/>
                <w:szCs w:val="19"/>
              </w:rPr>
              <w:t>district health boards and other health funders and providers</w:t>
            </w:r>
          </w:p>
          <w:p w:rsidR="000E4899" w:rsidRPr="000E4899" w:rsidRDefault="000E4899" w:rsidP="000E4899">
            <w:pPr>
              <w:pStyle w:val="TableBullet"/>
              <w:numPr>
                <w:ilvl w:val="0"/>
                <w:numId w:val="27"/>
              </w:numPr>
              <w:spacing w:before="40"/>
              <w:ind w:right="142"/>
              <w:rPr>
                <w:sz w:val="19"/>
                <w:szCs w:val="19"/>
              </w:rPr>
            </w:pPr>
            <w:r w:rsidRPr="000E4899">
              <w:rPr>
                <w:sz w:val="19"/>
                <w:szCs w:val="19"/>
              </w:rPr>
              <w:t>central government</w:t>
            </w:r>
          </w:p>
          <w:p w:rsidR="000E4899" w:rsidRPr="000E4899" w:rsidRDefault="000E4899" w:rsidP="000E4899">
            <w:pPr>
              <w:pStyle w:val="TableBullet"/>
              <w:numPr>
                <w:ilvl w:val="0"/>
                <w:numId w:val="27"/>
              </w:numPr>
              <w:spacing w:before="40"/>
              <w:ind w:right="142"/>
              <w:rPr>
                <w:sz w:val="19"/>
                <w:szCs w:val="19"/>
              </w:rPr>
            </w:pPr>
            <w:r w:rsidRPr="000E4899">
              <w:rPr>
                <w:sz w:val="19"/>
                <w:szCs w:val="19"/>
              </w:rPr>
              <w:t>clinical organisations</w:t>
            </w:r>
          </w:p>
          <w:p w:rsidR="000E4899" w:rsidRPr="00EC5B2D" w:rsidRDefault="000E4899" w:rsidP="000E4899">
            <w:pPr>
              <w:pStyle w:val="TableBullet"/>
              <w:numPr>
                <w:ilvl w:val="0"/>
                <w:numId w:val="27"/>
              </w:numPr>
              <w:spacing w:before="40" w:after="120"/>
              <w:ind w:left="357" w:right="142" w:hanging="357"/>
            </w:pPr>
            <w:proofErr w:type="gramStart"/>
            <w:r w:rsidRPr="000E4899">
              <w:rPr>
                <w:sz w:val="19"/>
                <w:szCs w:val="19"/>
              </w:rPr>
              <w:t>patients</w:t>
            </w:r>
            <w:proofErr w:type="gramEnd"/>
            <w:r w:rsidRPr="000E4899">
              <w:rPr>
                <w:sz w:val="19"/>
                <w:szCs w:val="19"/>
              </w:rPr>
              <w:t xml:space="preserve">, </w:t>
            </w:r>
            <w:proofErr w:type="spellStart"/>
            <w:r w:rsidRPr="000E4899">
              <w:rPr>
                <w:sz w:val="19"/>
                <w:szCs w:val="19"/>
              </w:rPr>
              <w:t>whānau</w:t>
            </w:r>
            <w:proofErr w:type="spellEnd"/>
            <w:r w:rsidRPr="000E4899">
              <w:rPr>
                <w:sz w:val="19"/>
                <w:szCs w:val="19"/>
              </w:rPr>
              <w:t xml:space="preserve"> and communities.</w:t>
            </w:r>
          </w:p>
        </w:tc>
        <w:tc>
          <w:tcPr>
            <w:tcW w:w="304" w:type="dxa"/>
            <w:tcBorders>
              <w:top w:val="nil"/>
              <w:left w:val="nil"/>
              <w:bottom w:val="nil"/>
              <w:right w:val="dotted" w:sz="24" w:space="0" w:color="002060"/>
            </w:tcBorders>
          </w:tcPr>
          <w:p w:rsidR="000E4899" w:rsidRPr="00EC5B2D" w:rsidRDefault="000E4899" w:rsidP="006A7220">
            <w:pPr>
              <w:pStyle w:val="TableText"/>
              <w:rPr>
                <w:sz w:val="20"/>
              </w:rPr>
            </w:pPr>
          </w:p>
        </w:tc>
        <w:tc>
          <w:tcPr>
            <w:tcW w:w="425" w:type="dxa"/>
            <w:tcBorders>
              <w:top w:val="nil"/>
              <w:left w:val="dotted" w:sz="24" w:space="0" w:color="002060"/>
              <w:bottom w:val="nil"/>
              <w:right w:val="nil"/>
            </w:tcBorders>
          </w:tcPr>
          <w:p w:rsidR="000E4899" w:rsidRDefault="000E4899" w:rsidP="006A7220">
            <w:pPr>
              <w:pStyle w:val="TableText"/>
            </w:pPr>
          </w:p>
        </w:tc>
      </w:tr>
      <w:tr w:rsidR="000E4899" w:rsidRPr="00736809" w:rsidTr="006A7220">
        <w:trPr>
          <w:cantSplit/>
        </w:trPr>
        <w:tc>
          <w:tcPr>
            <w:tcW w:w="8647" w:type="dxa"/>
            <w:gridSpan w:val="4"/>
            <w:tcBorders>
              <w:top w:val="nil"/>
              <w:left w:val="dotted" w:sz="24" w:space="0" w:color="002060"/>
              <w:bottom w:val="nil"/>
              <w:right w:val="dotted" w:sz="24" w:space="0" w:color="002060"/>
            </w:tcBorders>
          </w:tcPr>
          <w:p w:rsidR="000E4899" w:rsidRPr="00736809" w:rsidRDefault="000E4899" w:rsidP="006A7220">
            <w:pPr>
              <w:pStyle w:val="TableText"/>
              <w:rPr>
                <w:sz w:val="12"/>
                <w:szCs w:val="12"/>
              </w:rPr>
            </w:pPr>
          </w:p>
        </w:tc>
        <w:tc>
          <w:tcPr>
            <w:tcW w:w="425" w:type="dxa"/>
            <w:tcBorders>
              <w:top w:val="nil"/>
              <w:left w:val="dotted" w:sz="24" w:space="0" w:color="002060"/>
              <w:bottom w:val="nil"/>
              <w:right w:val="nil"/>
            </w:tcBorders>
          </w:tcPr>
          <w:p w:rsidR="000E4899" w:rsidRPr="00736809" w:rsidRDefault="000E4899" w:rsidP="006A7220">
            <w:pPr>
              <w:pStyle w:val="TableText"/>
              <w:rPr>
                <w:sz w:val="12"/>
                <w:szCs w:val="12"/>
              </w:rPr>
            </w:pPr>
          </w:p>
        </w:tc>
      </w:tr>
      <w:tr w:rsidR="000E4899" w:rsidRPr="001034A2" w:rsidTr="006A7220">
        <w:trPr>
          <w:cantSplit/>
        </w:trPr>
        <w:tc>
          <w:tcPr>
            <w:tcW w:w="304" w:type="dxa"/>
            <w:tcBorders>
              <w:top w:val="nil"/>
              <w:left w:val="dotted" w:sz="24" w:space="0" w:color="002060"/>
              <w:bottom w:val="nil"/>
              <w:right w:val="nil"/>
            </w:tcBorders>
          </w:tcPr>
          <w:p w:rsidR="000E4899" w:rsidRPr="00EC5B2D" w:rsidRDefault="000E4899" w:rsidP="006A7220">
            <w:pPr>
              <w:pStyle w:val="TableText"/>
              <w:rPr>
                <w:sz w:val="20"/>
              </w:rPr>
            </w:pPr>
          </w:p>
        </w:tc>
        <w:tc>
          <w:tcPr>
            <w:tcW w:w="8039" w:type="dxa"/>
            <w:gridSpan w:val="2"/>
            <w:tcBorders>
              <w:top w:val="nil"/>
              <w:left w:val="nil"/>
              <w:bottom w:val="nil"/>
              <w:right w:val="nil"/>
            </w:tcBorders>
            <w:shd w:val="clear" w:color="auto" w:fill="DBE5F1" w:themeFill="accent1" w:themeFillTint="33"/>
          </w:tcPr>
          <w:p w:rsidR="000E4899" w:rsidRPr="000E4899" w:rsidRDefault="000E4899" w:rsidP="000E4899">
            <w:pPr>
              <w:pStyle w:val="TableText"/>
              <w:tabs>
                <w:tab w:val="left" w:pos="284"/>
              </w:tabs>
              <w:spacing w:before="120"/>
              <w:rPr>
                <w:sz w:val="19"/>
                <w:szCs w:val="19"/>
              </w:rPr>
            </w:pPr>
            <w:r w:rsidRPr="000E4899">
              <w:rPr>
                <w:b/>
                <w:sz w:val="19"/>
                <w:szCs w:val="19"/>
              </w:rPr>
              <w:t>2</w:t>
            </w:r>
            <w:r w:rsidRPr="000E4899">
              <w:rPr>
                <w:b/>
                <w:sz w:val="19"/>
                <w:szCs w:val="19"/>
              </w:rPr>
              <w:tab/>
              <w:t>Better access to, and dissemination of, research results</w:t>
            </w:r>
            <w:r w:rsidRPr="000E4899">
              <w:rPr>
                <w:sz w:val="19"/>
                <w:szCs w:val="19"/>
              </w:rPr>
              <w:t>. For example, through:</w:t>
            </w:r>
          </w:p>
          <w:p w:rsidR="000E4899" w:rsidRPr="000E4899" w:rsidRDefault="000E4899" w:rsidP="000E4899">
            <w:pPr>
              <w:pStyle w:val="TableBullet"/>
              <w:numPr>
                <w:ilvl w:val="0"/>
                <w:numId w:val="28"/>
              </w:numPr>
              <w:ind w:right="142"/>
              <w:rPr>
                <w:sz w:val="19"/>
                <w:szCs w:val="19"/>
              </w:rPr>
            </w:pPr>
            <w:r w:rsidRPr="000E4899">
              <w:rPr>
                <w:sz w:val="19"/>
                <w:szCs w:val="19"/>
              </w:rPr>
              <w:t>open access to research results</w:t>
            </w:r>
          </w:p>
          <w:p w:rsidR="000E4899" w:rsidRPr="000E4899" w:rsidRDefault="000E4899" w:rsidP="000E4899">
            <w:pPr>
              <w:pStyle w:val="TableBullet"/>
              <w:numPr>
                <w:ilvl w:val="0"/>
                <w:numId w:val="28"/>
              </w:numPr>
              <w:spacing w:before="40"/>
              <w:ind w:right="142"/>
              <w:rPr>
                <w:sz w:val="19"/>
                <w:szCs w:val="19"/>
              </w:rPr>
            </w:pPr>
            <w:r w:rsidRPr="000E4899">
              <w:rPr>
                <w:sz w:val="19"/>
                <w:szCs w:val="19"/>
              </w:rPr>
              <w:t>production of synthesis reports</w:t>
            </w:r>
          </w:p>
          <w:p w:rsidR="000E4899" w:rsidRPr="000E4899" w:rsidRDefault="000E4899" w:rsidP="000E4899">
            <w:pPr>
              <w:pStyle w:val="TableBullet"/>
              <w:numPr>
                <w:ilvl w:val="0"/>
                <w:numId w:val="28"/>
              </w:numPr>
              <w:spacing w:before="40" w:after="120"/>
              <w:ind w:left="357" w:right="142" w:hanging="357"/>
            </w:pPr>
            <w:proofErr w:type="gramStart"/>
            <w:r w:rsidRPr="000E4899">
              <w:rPr>
                <w:sz w:val="19"/>
                <w:szCs w:val="19"/>
              </w:rPr>
              <w:t>providing</w:t>
            </w:r>
            <w:proofErr w:type="gramEnd"/>
            <w:r w:rsidRPr="000E4899">
              <w:rPr>
                <w:sz w:val="19"/>
                <w:szCs w:val="19"/>
              </w:rPr>
              <w:t xml:space="preserve"> opportunities and resources for researchers to present and advocate for their findings, such as at conferences.</w:t>
            </w:r>
          </w:p>
        </w:tc>
        <w:tc>
          <w:tcPr>
            <w:tcW w:w="304" w:type="dxa"/>
            <w:tcBorders>
              <w:top w:val="nil"/>
              <w:left w:val="nil"/>
              <w:bottom w:val="nil"/>
              <w:right w:val="dotted" w:sz="24" w:space="0" w:color="002060"/>
            </w:tcBorders>
          </w:tcPr>
          <w:p w:rsidR="000E4899" w:rsidRPr="00EC5B2D" w:rsidRDefault="000E4899" w:rsidP="006A7220">
            <w:pPr>
              <w:pStyle w:val="TableText"/>
              <w:rPr>
                <w:sz w:val="20"/>
              </w:rPr>
            </w:pPr>
          </w:p>
        </w:tc>
        <w:tc>
          <w:tcPr>
            <w:tcW w:w="425" w:type="dxa"/>
            <w:tcBorders>
              <w:top w:val="nil"/>
              <w:left w:val="dotted" w:sz="24" w:space="0" w:color="002060"/>
              <w:bottom w:val="nil"/>
              <w:right w:val="nil"/>
            </w:tcBorders>
          </w:tcPr>
          <w:p w:rsidR="000E4899" w:rsidRPr="001034A2" w:rsidRDefault="000E4899" w:rsidP="006A7220">
            <w:pPr>
              <w:pStyle w:val="TableText"/>
              <w:rPr>
                <w:sz w:val="20"/>
              </w:rPr>
            </w:pPr>
          </w:p>
        </w:tc>
      </w:tr>
      <w:tr w:rsidR="000E4899" w:rsidRPr="00736809" w:rsidTr="006A7220">
        <w:trPr>
          <w:cantSplit/>
        </w:trPr>
        <w:tc>
          <w:tcPr>
            <w:tcW w:w="8647" w:type="dxa"/>
            <w:gridSpan w:val="4"/>
            <w:tcBorders>
              <w:top w:val="nil"/>
              <w:left w:val="dotted" w:sz="24" w:space="0" w:color="002060"/>
              <w:bottom w:val="nil"/>
              <w:right w:val="dotted" w:sz="24" w:space="0" w:color="002060"/>
            </w:tcBorders>
          </w:tcPr>
          <w:p w:rsidR="000E4899" w:rsidRPr="00736809" w:rsidRDefault="000E4899" w:rsidP="006A7220">
            <w:pPr>
              <w:pStyle w:val="TableText"/>
              <w:rPr>
                <w:sz w:val="12"/>
                <w:szCs w:val="12"/>
              </w:rPr>
            </w:pPr>
          </w:p>
        </w:tc>
        <w:tc>
          <w:tcPr>
            <w:tcW w:w="425" w:type="dxa"/>
            <w:tcBorders>
              <w:top w:val="nil"/>
              <w:left w:val="dotted" w:sz="24" w:space="0" w:color="002060"/>
              <w:bottom w:val="nil"/>
              <w:right w:val="nil"/>
            </w:tcBorders>
          </w:tcPr>
          <w:p w:rsidR="000E4899" w:rsidRPr="00736809" w:rsidRDefault="000E4899" w:rsidP="006A7220">
            <w:pPr>
              <w:pStyle w:val="TableText"/>
              <w:rPr>
                <w:sz w:val="12"/>
                <w:szCs w:val="12"/>
              </w:rPr>
            </w:pPr>
          </w:p>
        </w:tc>
      </w:tr>
      <w:tr w:rsidR="000E4899" w:rsidRPr="001034A2" w:rsidTr="006A7220">
        <w:trPr>
          <w:cantSplit/>
        </w:trPr>
        <w:tc>
          <w:tcPr>
            <w:tcW w:w="304" w:type="dxa"/>
            <w:tcBorders>
              <w:top w:val="nil"/>
              <w:left w:val="dotted" w:sz="24" w:space="0" w:color="002060"/>
              <w:bottom w:val="nil"/>
              <w:right w:val="nil"/>
            </w:tcBorders>
          </w:tcPr>
          <w:p w:rsidR="000E4899" w:rsidRPr="00EC5B2D" w:rsidRDefault="000E4899" w:rsidP="006A7220">
            <w:pPr>
              <w:pStyle w:val="TableText"/>
              <w:rPr>
                <w:sz w:val="20"/>
              </w:rPr>
            </w:pPr>
          </w:p>
        </w:tc>
        <w:tc>
          <w:tcPr>
            <w:tcW w:w="8039" w:type="dxa"/>
            <w:gridSpan w:val="2"/>
            <w:tcBorders>
              <w:top w:val="nil"/>
              <w:left w:val="nil"/>
              <w:bottom w:val="nil"/>
              <w:right w:val="nil"/>
            </w:tcBorders>
            <w:shd w:val="clear" w:color="auto" w:fill="DBE5F1" w:themeFill="accent1" w:themeFillTint="33"/>
          </w:tcPr>
          <w:p w:rsidR="000E4899" w:rsidRPr="000E4899" w:rsidRDefault="000E4899" w:rsidP="000E4899">
            <w:pPr>
              <w:pStyle w:val="TableText"/>
              <w:tabs>
                <w:tab w:val="left" w:pos="284"/>
              </w:tabs>
              <w:spacing w:before="120" w:after="120"/>
              <w:rPr>
                <w:b/>
                <w:sz w:val="19"/>
                <w:szCs w:val="19"/>
              </w:rPr>
            </w:pPr>
            <w:r w:rsidRPr="000E4899">
              <w:rPr>
                <w:b/>
                <w:sz w:val="19"/>
                <w:szCs w:val="19"/>
              </w:rPr>
              <w:t>3</w:t>
            </w:r>
            <w:r w:rsidRPr="000E4899">
              <w:rPr>
                <w:b/>
                <w:sz w:val="19"/>
                <w:szCs w:val="19"/>
              </w:rPr>
              <w:tab/>
              <w:t>Having a clear understanding about the role that district health boards play in performing and hosting research as well as in adopting new health interventions.</w:t>
            </w:r>
          </w:p>
        </w:tc>
        <w:tc>
          <w:tcPr>
            <w:tcW w:w="304" w:type="dxa"/>
            <w:tcBorders>
              <w:top w:val="nil"/>
              <w:left w:val="nil"/>
              <w:bottom w:val="nil"/>
              <w:right w:val="dotted" w:sz="24" w:space="0" w:color="002060"/>
            </w:tcBorders>
          </w:tcPr>
          <w:p w:rsidR="000E4899" w:rsidRPr="00EC5B2D" w:rsidRDefault="000E4899" w:rsidP="006A7220">
            <w:pPr>
              <w:pStyle w:val="TableText"/>
              <w:rPr>
                <w:sz w:val="20"/>
              </w:rPr>
            </w:pPr>
          </w:p>
        </w:tc>
        <w:tc>
          <w:tcPr>
            <w:tcW w:w="425" w:type="dxa"/>
            <w:tcBorders>
              <w:top w:val="nil"/>
              <w:left w:val="dotted" w:sz="24" w:space="0" w:color="002060"/>
              <w:bottom w:val="nil"/>
              <w:right w:val="nil"/>
            </w:tcBorders>
          </w:tcPr>
          <w:p w:rsidR="000E4899" w:rsidRPr="001034A2" w:rsidRDefault="000E4899" w:rsidP="006A7220">
            <w:pPr>
              <w:pStyle w:val="TableText"/>
              <w:rPr>
                <w:sz w:val="20"/>
              </w:rPr>
            </w:pPr>
          </w:p>
        </w:tc>
      </w:tr>
      <w:tr w:rsidR="000E4899" w:rsidRPr="00736809" w:rsidTr="006A7220">
        <w:trPr>
          <w:cantSplit/>
        </w:trPr>
        <w:tc>
          <w:tcPr>
            <w:tcW w:w="8647" w:type="dxa"/>
            <w:gridSpan w:val="4"/>
            <w:tcBorders>
              <w:top w:val="nil"/>
              <w:left w:val="dotted" w:sz="24" w:space="0" w:color="002060"/>
              <w:bottom w:val="nil"/>
              <w:right w:val="dotted" w:sz="24" w:space="0" w:color="002060"/>
            </w:tcBorders>
          </w:tcPr>
          <w:p w:rsidR="000E4899" w:rsidRPr="00736809" w:rsidRDefault="000E4899" w:rsidP="006A7220">
            <w:pPr>
              <w:pStyle w:val="TableText"/>
              <w:rPr>
                <w:sz w:val="12"/>
                <w:szCs w:val="12"/>
              </w:rPr>
            </w:pPr>
          </w:p>
        </w:tc>
        <w:tc>
          <w:tcPr>
            <w:tcW w:w="425" w:type="dxa"/>
            <w:tcBorders>
              <w:top w:val="nil"/>
              <w:left w:val="dotted" w:sz="24" w:space="0" w:color="002060"/>
              <w:bottom w:val="nil"/>
              <w:right w:val="nil"/>
            </w:tcBorders>
          </w:tcPr>
          <w:p w:rsidR="000E4899" w:rsidRPr="00736809" w:rsidRDefault="000E4899" w:rsidP="006A7220">
            <w:pPr>
              <w:pStyle w:val="TableText"/>
              <w:rPr>
                <w:sz w:val="12"/>
                <w:szCs w:val="12"/>
              </w:rPr>
            </w:pPr>
          </w:p>
        </w:tc>
      </w:tr>
      <w:tr w:rsidR="000E4899" w:rsidRPr="001034A2" w:rsidTr="006A7220">
        <w:trPr>
          <w:cantSplit/>
        </w:trPr>
        <w:tc>
          <w:tcPr>
            <w:tcW w:w="304" w:type="dxa"/>
            <w:tcBorders>
              <w:top w:val="nil"/>
              <w:left w:val="dotted" w:sz="24" w:space="0" w:color="002060"/>
              <w:bottom w:val="nil"/>
              <w:right w:val="nil"/>
            </w:tcBorders>
          </w:tcPr>
          <w:p w:rsidR="000E4899" w:rsidRPr="00EC5B2D" w:rsidRDefault="000E4899" w:rsidP="006A7220">
            <w:pPr>
              <w:pStyle w:val="TableText"/>
              <w:rPr>
                <w:sz w:val="20"/>
              </w:rPr>
            </w:pPr>
          </w:p>
        </w:tc>
        <w:tc>
          <w:tcPr>
            <w:tcW w:w="8039" w:type="dxa"/>
            <w:gridSpan w:val="2"/>
            <w:tcBorders>
              <w:top w:val="nil"/>
              <w:left w:val="nil"/>
              <w:bottom w:val="nil"/>
              <w:right w:val="nil"/>
            </w:tcBorders>
            <w:shd w:val="clear" w:color="auto" w:fill="DBE5F1" w:themeFill="accent1" w:themeFillTint="33"/>
          </w:tcPr>
          <w:p w:rsidR="000E4899" w:rsidRPr="000E4899" w:rsidRDefault="000E4899" w:rsidP="000E4899">
            <w:pPr>
              <w:pStyle w:val="TableText"/>
              <w:tabs>
                <w:tab w:val="left" w:pos="284"/>
              </w:tabs>
              <w:spacing w:before="120" w:after="120"/>
              <w:rPr>
                <w:b/>
                <w:sz w:val="19"/>
                <w:szCs w:val="19"/>
              </w:rPr>
            </w:pPr>
            <w:r w:rsidRPr="000E4899">
              <w:rPr>
                <w:b/>
                <w:sz w:val="19"/>
                <w:szCs w:val="19"/>
              </w:rPr>
              <w:t>4</w:t>
            </w:r>
            <w:r w:rsidRPr="000E4899">
              <w:rPr>
                <w:b/>
                <w:sz w:val="19"/>
                <w:szCs w:val="19"/>
              </w:rPr>
              <w:tab/>
              <w:t>Enhancing mechanisms for identifying and prioritising new health technologies.</w:t>
            </w:r>
          </w:p>
        </w:tc>
        <w:tc>
          <w:tcPr>
            <w:tcW w:w="304" w:type="dxa"/>
            <w:tcBorders>
              <w:top w:val="nil"/>
              <w:left w:val="nil"/>
              <w:bottom w:val="nil"/>
              <w:right w:val="dotted" w:sz="24" w:space="0" w:color="002060"/>
            </w:tcBorders>
          </w:tcPr>
          <w:p w:rsidR="000E4899" w:rsidRPr="00EC5B2D" w:rsidRDefault="000E4899" w:rsidP="006A7220">
            <w:pPr>
              <w:pStyle w:val="TableText"/>
              <w:rPr>
                <w:sz w:val="20"/>
              </w:rPr>
            </w:pPr>
          </w:p>
        </w:tc>
        <w:tc>
          <w:tcPr>
            <w:tcW w:w="425" w:type="dxa"/>
            <w:tcBorders>
              <w:top w:val="nil"/>
              <w:left w:val="dotted" w:sz="24" w:space="0" w:color="002060"/>
              <w:bottom w:val="nil"/>
              <w:right w:val="nil"/>
            </w:tcBorders>
          </w:tcPr>
          <w:p w:rsidR="000E4899" w:rsidRPr="001034A2" w:rsidRDefault="000E4899" w:rsidP="006A7220">
            <w:pPr>
              <w:pStyle w:val="TableText"/>
              <w:rPr>
                <w:sz w:val="20"/>
              </w:rPr>
            </w:pPr>
          </w:p>
        </w:tc>
      </w:tr>
      <w:tr w:rsidR="000E4899" w:rsidRPr="00736809" w:rsidTr="006A7220">
        <w:trPr>
          <w:cantSplit/>
        </w:trPr>
        <w:tc>
          <w:tcPr>
            <w:tcW w:w="8647" w:type="dxa"/>
            <w:gridSpan w:val="4"/>
            <w:tcBorders>
              <w:top w:val="nil"/>
              <w:left w:val="dotted" w:sz="24" w:space="0" w:color="002060"/>
              <w:bottom w:val="dotted" w:sz="24" w:space="0" w:color="002060"/>
              <w:right w:val="dotted" w:sz="24" w:space="0" w:color="002060"/>
            </w:tcBorders>
          </w:tcPr>
          <w:p w:rsidR="000E4899" w:rsidRPr="00736809" w:rsidRDefault="000E4899" w:rsidP="006A7220">
            <w:pPr>
              <w:pStyle w:val="TableText"/>
              <w:rPr>
                <w:sz w:val="12"/>
                <w:szCs w:val="12"/>
              </w:rPr>
            </w:pPr>
          </w:p>
        </w:tc>
        <w:tc>
          <w:tcPr>
            <w:tcW w:w="425" w:type="dxa"/>
            <w:tcBorders>
              <w:top w:val="nil"/>
              <w:left w:val="dotted" w:sz="24" w:space="0" w:color="002060"/>
              <w:bottom w:val="nil"/>
              <w:right w:val="nil"/>
            </w:tcBorders>
          </w:tcPr>
          <w:p w:rsidR="000E4899" w:rsidRPr="00736809" w:rsidRDefault="000E4899" w:rsidP="006A7220">
            <w:pPr>
              <w:pStyle w:val="TableText"/>
              <w:rPr>
                <w:sz w:val="12"/>
                <w:szCs w:val="12"/>
              </w:rPr>
            </w:pPr>
          </w:p>
        </w:tc>
      </w:tr>
    </w:tbl>
    <w:p w:rsidR="001344B9" w:rsidRDefault="001344B9" w:rsidP="0058446A"/>
    <w:tbl>
      <w:tblPr>
        <w:tblStyle w:val="TableGrid"/>
        <w:tblW w:w="9072" w:type="dxa"/>
        <w:tblInd w:w="142"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left w:w="142" w:type="dxa"/>
          <w:right w:w="142" w:type="dxa"/>
        </w:tblCellMar>
        <w:tblLook w:val="04A0" w:firstRow="1" w:lastRow="0" w:firstColumn="1" w:lastColumn="0" w:noHBand="0" w:noVBand="1"/>
      </w:tblPr>
      <w:tblGrid>
        <w:gridCol w:w="304"/>
        <w:gridCol w:w="5508"/>
        <w:gridCol w:w="2531"/>
        <w:gridCol w:w="304"/>
        <w:gridCol w:w="425"/>
      </w:tblGrid>
      <w:tr w:rsidR="000E4899" w:rsidRPr="007D679D" w:rsidTr="006A7220">
        <w:trPr>
          <w:cantSplit/>
        </w:trPr>
        <w:tc>
          <w:tcPr>
            <w:tcW w:w="5812" w:type="dxa"/>
            <w:gridSpan w:val="2"/>
            <w:tcBorders>
              <w:top w:val="nil"/>
              <w:left w:val="nil"/>
              <w:bottom w:val="dotted" w:sz="24" w:space="0" w:color="002060"/>
              <w:right w:val="single" w:sz="12" w:space="0" w:color="002060"/>
            </w:tcBorders>
          </w:tcPr>
          <w:p w:rsidR="000E4899" w:rsidRPr="001034A2" w:rsidRDefault="000E4899" w:rsidP="006A7220">
            <w:pPr>
              <w:pStyle w:val="TableText"/>
              <w:keepNext/>
              <w:rPr>
                <w:sz w:val="20"/>
              </w:rPr>
            </w:pPr>
          </w:p>
        </w:tc>
        <w:tc>
          <w:tcPr>
            <w:tcW w:w="3260" w:type="dxa"/>
            <w:gridSpan w:val="3"/>
            <w:vMerge w:val="restart"/>
            <w:tcBorders>
              <w:left w:val="single" w:sz="12" w:space="0" w:color="002060"/>
            </w:tcBorders>
            <w:shd w:val="clear" w:color="auto" w:fill="DBE5F1" w:themeFill="accent1" w:themeFillTint="33"/>
            <w:vAlign w:val="center"/>
          </w:tcPr>
          <w:p w:rsidR="000E4899" w:rsidRPr="007D679D" w:rsidRDefault="000E4899" w:rsidP="000E4899">
            <w:pPr>
              <w:pStyle w:val="TableText"/>
              <w:keepNext/>
              <w:spacing w:before="60" w:after="60"/>
              <w:jc w:val="center"/>
              <w:rPr>
                <w:color w:val="002060"/>
                <w:sz w:val="24"/>
                <w:szCs w:val="24"/>
              </w:rPr>
            </w:pPr>
            <w:r>
              <w:rPr>
                <w:color w:val="002060"/>
                <w:sz w:val="24"/>
                <w:szCs w:val="24"/>
              </w:rPr>
              <w:t>Strategic Priority Example Five</w:t>
            </w:r>
          </w:p>
        </w:tc>
      </w:tr>
      <w:tr w:rsidR="000E4899" w:rsidRPr="001034A2" w:rsidTr="006A7220">
        <w:trPr>
          <w:cantSplit/>
        </w:trPr>
        <w:tc>
          <w:tcPr>
            <w:tcW w:w="5812" w:type="dxa"/>
            <w:gridSpan w:val="2"/>
            <w:tcBorders>
              <w:top w:val="dotted" w:sz="24" w:space="0" w:color="002060"/>
              <w:left w:val="dotted" w:sz="24" w:space="0" w:color="002060"/>
              <w:bottom w:val="nil"/>
              <w:right w:val="single" w:sz="12" w:space="0" w:color="002060"/>
            </w:tcBorders>
          </w:tcPr>
          <w:p w:rsidR="000E4899" w:rsidRPr="001034A2" w:rsidRDefault="000E4899" w:rsidP="006A7220">
            <w:pPr>
              <w:pStyle w:val="TableText"/>
              <w:keepNext/>
              <w:rPr>
                <w:sz w:val="20"/>
              </w:rPr>
            </w:pPr>
          </w:p>
        </w:tc>
        <w:tc>
          <w:tcPr>
            <w:tcW w:w="3260" w:type="dxa"/>
            <w:gridSpan w:val="3"/>
            <w:vMerge/>
            <w:tcBorders>
              <w:left w:val="single" w:sz="12" w:space="0" w:color="002060"/>
              <w:bottom w:val="single" w:sz="12" w:space="0" w:color="002060"/>
            </w:tcBorders>
            <w:shd w:val="clear" w:color="auto" w:fill="DBE5F1" w:themeFill="accent1" w:themeFillTint="33"/>
          </w:tcPr>
          <w:p w:rsidR="000E4899" w:rsidRPr="001034A2" w:rsidRDefault="000E4899" w:rsidP="006A7220">
            <w:pPr>
              <w:pStyle w:val="TableText"/>
              <w:keepNext/>
              <w:jc w:val="center"/>
              <w:rPr>
                <w:sz w:val="20"/>
              </w:rPr>
            </w:pPr>
          </w:p>
        </w:tc>
      </w:tr>
      <w:tr w:rsidR="000E4899" w:rsidRPr="00EC5B2D" w:rsidTr="006A7220">
        <w:trPr>
          <w:cantSplit/>
        </w:trPr>
        <w:tc>
          <w:tcPr>
            <w:tcW w:w="8647" w:type="dxa"/>
            <w:gridSpan w:val="4"/>
            <w:tcBorders>
              <w:top w:val="nil"/>
              <w:left w:val="dotted" w:sz="24" w:space="0" w:color="002060"/>
              <w:bottom w:val="nil"/>
              <w:right w:val="dotted" w:sz="24" w:space="0" w:color="002060"/>
            </w:tcBorders>
          </w:tcPr>
          <w:p w:rsidR="000E4899" w:rsidRPr="00EC5B2D" w:rsidRDefault="000E4899" w:rsidP="006A7220">
            <w:pPr>
              <w:pStyle w:val="TableText"/>
              <w:keepNext/>
              <w:rPr>
                <w:sz w:val="12"/>
                <w:szCs w:val="12"/>
              </w:rPr>
            </w:pPr>
          </w:p>
        </w:tc>
        <w:tc>
          <w:tcPr>
            <w:tcW w:w="425" w:type="dxa"/>
            <w:tcBorders>
              <w:top w:val="nil"/>
              <w:left w:val="dotted" w:sz="24" w:space="0" w:color="002060"/>
              <w:bottom w:val="nil"/>
              <w:right w:val="nil"/>
            </w:tcBorders>
          </w:tcPr>
          <w:p w:rsidR="000E4899" w:rsidRPr="00EC5B2D" w:rsidRDefault="000E4899" w:rsidP="006A7220">
            <w:pPr>
              <w:pStyle w:val="TableText"/>
              <w:keepNext/>
              <w:rPr>
                <w:sz w:val="12"/>
                <w:szCs w:val="12"/>
              </w:rPr>
            </w:pPr>
          </w:p>
        </w:tc>
      </w:tr>
      <w:tr w:rsidR="000E4899" w:rsidRPr="001034A2" w:rsidTr="006A7220">
        <w:trPr>
          <w:cantSplit/>
        </w:trPr>
        <w:tc>
          <w:tcPr>
            <w:tcW w:w="304" w:type="dxa"/>
            <w:tcBorders>
              <w:top w:val="nil"/>
              <w:left w:val="dotted" w:sz="24" w:space="0" w:color="002060"/>
              <w:bottom w:val="nil"/>
              <w:right w:val="nil"/>
            </w:tcBorders>
          </w:tcPr>
          <w:p w:rsidR="000E4899" w:rsidRPr="007D679D" w:rsidRDefault="000E4899" w:rsidP="000E4899">
            <w:pPr>
              <w:pStyle w:val="TableText"/>
              <w:keepNext/>
            </w:pPr>
          </w:p>
        </w:tc>
        <w:tc>
          <w:tcPr>
            <w:tcW w:w="8039" w:type="dxa"/>
            <w:gridSpan w:val="2"/>
            <w:tcBorders>
              <w:top w:val="nil"/>
              <w:left w:val="nil"/>
              <w:bottom w:val="nil"/>
              <w:right w:val="nil"/>
            </w:tcBorders>
            <w:shd w:val="clear" w:color="auto" w:fill="31849B" w:themeFill="accent5" w:themeFillShade="BF"/>
          </w:tcPr>
          <w:p w:rsidR="000E4899" w:rsidRPr="00B40E8F" w:rsidRDefault="000E4899" w:rsidP="000E4899">
            <w:pPr>
              <w:pStyle w:val="TableText"/>
              <w:keepNext/>
              <w:spacing w:before="60" w:after="60"/>
              <w:rPr>
                <w:b/>
                <w:color w:val="FFFFFF" w:themeColor="background1"/>
                <w:sz w:val="24"/>
                <w:szCs w:val="24"/>
              </w:rPr>
            </w:pPr>
            <w:r w:rsidRPr="00B40E8F">
              <w:rPr>
                <w:b/>
                <w:color w:val="FFFFFF" w:themeColor="background1"/>
                <w:sz w:val="24"/>
                <w:szCs w:val="24"/>
              </w:rPr>
              <w:t xml:space="preserve">Example </w:t>
            </w:r>
            <w:r>
              <w:rPr>
                <w:b/>
                <w:color w:val="FFFFFF" w:themeColor="background1"/>
                <w:sz w:val="24"/>
                <w:szCs w:val="24"/>
              </w:rPr>
              <w:t>Five</w:t>
            </w:r>
            <w:r w:rsidRPr="00B40E8F">
              <w:rPr>
                <w:b/>
                <w:color w:val="FFFFFF" w:themeColor="background1"/>
                <w:sz w:val="24"/>
                <w:szCs w:val="24"/>
              </w:rPr>
              <w:t xml:space="preserve">: </w:t>
            </w:r>
            <w:r>
              <w:rPr>
                <w:b/>
                <w:color w:val="FFFFFF" w:themeColor="background1"/>
                <w:sz w:val="24"/>
                <w:szCs w:val="24"/>
              </w:rPr>
              <w:t>Providing research infrastructure and building skills</w:t>
            </w:r>
          </w:p>
        </w:tc>
        <w:tc>
          <w:tcPr>
            <w:tcW w:w="304" w:type="dxa"/>
            <w:tcBorders>
              <w:top w:val="nil"/>
              <w:left w:val="nil"/>
              <w:bottom w:val="nil"/>
              <w:right w:val="dotted" w:sz="24" w:space="0" w:color="auto"/>
            </w:tcBorders>
          </w:tcPr>
          <w:p w:rsidR="000E4899" w:rsidRPr="001034A2" w:rsidRDefault="000E4899" w:rsidP="000E4899">
            <w:pPr>
              <w:pStyle w:val="TableText"/>
              <w:keepNext/>
              <w:rPr>
                <w:sz w:val="20"/>
              </w:rPr>
            </w:pPr>
          </w:p>
        </w:tc>
        <w:tc>
          <w:tcPr>
            <w:tcW w:w="425" w:type="dxa"/>
            <w:tcBorders>
              <w:top w:val="nil"/>
              <w:left w:val="dotted" w:sz="24" w:space="0" w:color="auto"/>
              <w:bottom w:val="nil"/>
              <w:right w:val="nil"/>
            </w:tcBorders>
          </w:tcPr>
          <w:p w:rsidR="000E4899" w:rsidRPr="001034A2" w:rsidRDefault="000E4899" w:rsidP="000E4899">
            <w:pPr>
              <w:pStyle w:val="TableText"/>
              <w:keepNext/>
              <w:rPr>
                <w:sz w:val="20"/>
              </w:rPr>
            </w:pPr>
          </w:p>
        </w:tc>
      </w:tr>
      <w:tr w:rsidR="000E4899" w:rsidRPr="001034A2" w:rsidTr="006A7220">
        <w:trPr>
          <w:cantSplit/>
        </w:trPr>
        <w:tc>
          <w:tcPr>
            <w:tcW w:w="8647" w:type="dxa"/>
            <w:gridSpan w:val="4"/>
            <w:tcBorders>
              <w:top w:val="nil"/>
              <w:left w:val="dotted" w:sz="24" w:space="0" w:color="002060"/>
              <w:bottom w:val="nil"/>
              <w:right w:val="dotted" w:sz="24" w:space="0" w:color="002060"/>
            </w:tcBorders>
          </w:tcPr>
          <w:p w:rsidR="000E4899" w:rsidRPr="000E4899" w:rsidRDefault="000E4899" w:rsidP="000E4899">
            <w:pPr>
              <w:pStyle w:val="TableText"/>
              <w:spacing w:before="120"/>
              <w:ind w:left="142" w:right="142"/>
              <w:rPr>
                <w:sz w:val="19"/>
                <w:szCs w:val="19"/>
              </w:rPr>
            </w:pPr>
            <w:r w:rsidRPr="000E4899">
              <w:rPr>
                <w:sz w:val="19"/>
                <w:szCs w:val="19"/>
              </w:rPr>
              <w:t>A key part of enabling the delivery of high quality, high impact health research is providing access to the best infrastructure – the tools, techniques, technology platforms, databases and skills.</w:t>
            </w:r>
          </w:p>
          <w:p w:rsidR="000E4899" w:rsidRPr="000E4899" w:rsidRDefault="000E4899" w:rsidP="000E4899">
            <w:pPr>
              <w:pStyle w:val="TableText"/>
              <w:spacing w:before="120"/>
              <w:ind w:left="142" w:right="142"/>
              <w:rPr>
                <w:sz w:val="19"/>
                <w:szCs w:val="19"/>
              </w:rPr>
            </w:pPr>
            <w:r w:rsidRPr="000E4899">
              <w:rPr>
                <w:sz w:val="19"/>
                <w:szCs w:val="19"/>
              </w:rPr>
              <w:t>This strategic priority focuses on how best to build, facilitate access, share, maintain and sustain core infrastructure for health research. This will enable us to exploit advances in technology, the power of large and linked or integrated data, rapid changes in methodological approaches and techniques, and the emergence of new or converging disciplines. These advancements have the potential to transform health research and New Zealand’s health system.</w:t>
            </w:r>
          </w:p>
          <w:p w:rsidR="000E4899" w:rsidRPr="004D2799" w:rsidRDefault="000E4899" w:rsidP="000E4899">
            <w:pPr>
              <w:pStyle w:val="TableText"/>
              <w:spacing w:before="120" w:after="120"/>
              <w:ind w:left="142" w:right="142"/>
              <w:rPr>
                <w:spacing w:val="-2"/>
                <w:sz w:val="19"/>
                <w:szCs w:val="19"/>
              </w:rPr>
            </w:pPr>
            <w:r w:rsidRPr="000E4899">
              <w:rPr>
                <w:sz w:val="19"/>
                <w:szCs w:val="19"/>
              </w:rPr>
              <w:t>Providing research infrastructure and building skills could focus on:</w:t>
            </w:r>
          </w:p>
        </w:tc>
        <w:tc>
          <w:tcPr>
            <w:tcW w:w="425" w:type="dxa"/>
            <w:tcBorders>
              <w:top w:val="nil"/>
              <w:left w:val="dotted" w:sz="24" w:space="0" w:color="002060"/>
              <w:bottom w:val="nil"/>
              <w:right w:val="nil"/>
            </w:tcBorders>
          </w:tcPr>
          <w:p w:rsidR="000E4899" w:rsidRPr="001034A2" w:rsidRDefault="000E4899" w:rsidP="006A7220">
            <w:pPr>
              <w:pStyle w:val="TableText"/>
              <w:rPr>
                <w:sz w:val="20"/>
              </w:rPr>
            </w:pPr>
          </w:p>
        </w:tc>
      </w:tr>
      <w:tr w:rsidR="000E4899" w:rsidTr="006A7220">
        <w:trPr>
          <w:cantSplit/>
        </w:trPr>
        <w:tc>
          <w:tcPr>
            <w:tcW w:w="304" w:type="dxa"/>
            <w:tcBorders>
              <w:top w:val="nil"/>
              <w:left w:val="dotted" w:sz="24" w:space="0" w:color="002060"/>
              <w:bottom w:val="nil"/>
              <w:right w:val="nil"/>
            </w:tcBorders>
          </w:tcPr>
          <w:p w:rsidR="000E4899" w:rsidRPr="00EC5B2D" w:rsidRDefault="000E4899" w:rsidP="006A7220">
            <w:pPr>
              <w:pStyle w:val="TableText"/>
              <w:rPr>
                <w:sz w:val="20"/>
              </w:rPr>
            </w:pPr>
          </w:p>
        </w:tc>
        <w:tc>
          <w:tcPr>
            <w:tcW w:w="8039" w:type="dxa"/>
            <w:gridSpan w:val="2"/>
            <w:tcBorders>
              <w:top w:val="nil"/>
              <w:left w:val="nil"/>
              <w:bottom w:val="nil"/>
              <w:right w:val="nil"/>
            </w:tcBorders>
            <w:shd w:val="clear" w:color="auto" w:fill="DBE5F1" w:themeFill="accent1" w:themeFillTint="33"/>
          </w:tcPr>
          <w:p w:rsidR="00D41AC6" w:rsidRPr="00D41AC6" w:rsidRDefault="00D41AC6" w:rsidP="00D41AC6">
            <w:pPr>
              <w:pStyle w:val="TableText"/>
              <w:tabs>
                <w:tab w:val="left" w:pos="284"/>
              </w:tabs>
              <w:spacing w:before="120"/>
              <w:rPr>
                <w:sz w:val="19"/>
                <w:szCs w:val="19"/>
              </w:rPr>
            </w:pPr>
            <w:r w:rsidRPr="00D41AC6">
              <w:rPr>
                <w:b/>
                <w:sz w:val="19"/>
                <w:szCs w:val="19"/>
              </w:rPr>
              <w:t>1</w:t>
            </w:r>
            <w:r w:rsidRPr="00D41AC6">
              <w:rPr>
                <w:b/>
                <w:sz w:val="19"/>
                <w:szCs w:val="19"/>
              </w:rPr>
              <w:tab/>
              <w:t>Developing a strategic and coordinated approach to infrastructure resourcing and management</w:t>
            </w:r>
            <w:r w:rsidRPr="00D41AC6">
              <w:rPr>
                <w:sz w:val="19"/>
                <w:szCs w:val="19"/>
              </w:rPr>
              <w:t>. A</w:t>
            </w:r>
            <w:r>
              <w:rPr>
                <w:sz w:val="19"/>
                <w:szCs w:val="19"/>
              </w:rPr>
              <w:t> </w:t>
            </w:r>
            <w:r w:rsidRPr="00D41AC6">
              <w:rPr>
                <w:sz w:val="19"/>
                <w:szCs w:val="19"/>
              </w:rPr>
              <w:t>strategic approach would help us to:</w:t>
            </w:r>
          </w:p>
          <w:p w:rsidR="00D41AC6" w:rsidRPr="00D41AC6" w:rsidRDefault="00D41AC6" w:rsidP="00D41AC6">
            <w:pPr>
              <w:pStyle w:val="TableBullet"/>
              <w:numPr>
                <w:ilvl w:val="0"/>
                <w:numId w:val="33"/>
              </w:numPr>
              <w:ind w:left="284" w:hanging="284"/>
              <w:rPr>
                <w:sz w:val="19"/>
                <w:szCs w:val="19"/>
              </w:rPr>
            </w:pPr>
            <w:r w:rsidRPr="00D41AC6">
              <w:rPr>
                <w:sz w:val="19"/>
                <w:szCs w:val="19"/>
              </w:rPr>
              <w:t>identify our current and potential future infrastructure needs</w:t>
            </w:r>
          </w:p>
          <w:p w:rsidR="00D41AC6" w:rsidRPr="00D41AC6" w:rsidRDefault="00D41AC6" w:rsidP="00D41AC6">
            <w:pPr>
              <w:pStyle w:val="TableBullet"/>
              <w:numPr>
                <w:ilvl w:val="0"/>
                <w:numId w:val="33"/>
              </w:numPr>
              <w:ind w:left="284" w:hanging="284"/>
              <w:rPr>
                <w:sz w:val="19"/>
                <w:szCs w:val="19"/>
              </w:rPr>
            </w:pPr>
            <w:r w:rsidRPr="00D41AC6">
              <w:rPr>
                <w:sz w:val="19"/>
                <w:szCs w:val="19"/>
              </w:rPr>
              <w:t>consider investment in infrastructure from regional, national and international standpoints</w:t>
            </w:r>
          </w:p>
          <w:p w:rsidR="00D41AC6" w:rsidRPr="00D41AC6" w:rsidRDefault="00D41AC6" w:rsidP="00D41AC6">
            <w:pPr>
              <w:pStyle w:val="TableBullet"/>
              <w:numPr>
                <w:ilvl w:val="0"/>
                <w:numId w:val="33"/>
              </w:numPr>
              <w:ind w:left="284" w:hanging="284"/>
              <w:rPr>
                <w:sz w:val="19"/>
                <w:szCs w:val="19"/>
              </w:rPr>
            </w:pPr>
            <w:r w:rsidRPr="00D41AC6">
              <w:rPr>
                <w:sz w:val="19"/>
                <w:szCs w:val="19"/>
              </w:rPr>
              <w:t>provide the opportunity to ensure maximum access to infrastructure for the money invested</w:t>
            </w:r>
          </w:p>
          <w:p w:rsidR="000E4899" w:rsidRPr="00EC5B2D" w:rsidRDefault="00D41AC6" w:rsidP="00D41AC6">
            <w:pPr>
              <w:pStyle w:val="TableBullet"/>
              <w:numPr>
                <w:ilvl w:val="0"/>
                <w:numId w:val="33"/>
              </w:numPr>
              <w:spacing w:after="120"/>
              <w:ind w:left="284" w:hanging="284"/>
            </w:pPr>
            <w:proofErr w:type="gramStart"/>
            <w:r w:rsidRPr="00D41AC6">
              <w:rPr>
                <w:sz w:val="19"/>
                <w:szCs w:val="19"/>
              </w:rPr>
              <w:t>maximise</w:t>
            </w:r>
            <w:proofErr w:type="gramEnd"/>
            <w:r w:rsidRPr="00D41AC6">
              <w:rPr>
                <w:sz w:val="19"/>
                <w:szCs w:val="19"/>
              </w:rPr>
              <w:t xml:space="preserve"> the benefits and use of linked health datasets.</w:t>
            </w:r>
          </w:p>
        </w:tc>
        <w:tc>
          <w:tcPr>
            <w:tcW w:w="304" w:type="dxa"/>
            <w:tcBorders>
              <w:top w:val="nil"/>
              <w:left w:val="nil"/>
              <w:bottom w:val="nil"/>
              <w:right w:val="dotted" w:sz="24" w:space="0" w:color="002060"/>
            </w:tcBorders>
          </w:tcPr>
          <w:p w:rsidR="000E4899" w:rsidRPr="00EC5B2D" w:rsidRDefault="000E4899" w:rsidP="006A7220">
            <w:pPr>
              <w:pStyle w:val="TableText"/>
              <w:rPr>
                <w:sz w:val="20"/>
              </w:rPr>
            </w:pPr>
          </w:p>
        </w:tc>
        <w:tc>
          <w:tcPr>
            <w:tcW w:w="425" w:type="dxa"/>
            <w:tcBorders>
              <w:top w:val="nil"/>
              <w:left w:val="dotted" w:sz="24" w:space="0" w:color="002060"/>
              <w:bottom w:val="nil"/>
              <w:right w:val="nil"/>
            </w:tcBorders>
          </w:tcPr>
          <w:p w:rsidR="000E4899" w:rsidRDefault="000E4899" w:rsidP="006A7220">
            <w:pPr>
              <w:pStyle w:val="TableText"/>
            </w:pPr>
          </w:p>
        </w:tc>
      </w:tr>
      <w:tr w:rsidR="000E4899" w:rsidRPr="00736809" w:rsidTr="006A7220">
        <w:trPr>
          <w:cantSplit/>
        </w:trPr>
        <w:tc>
          <w:tcPr>
            <w:tcW w:w="8647" w:type="dxa"/>
            <w:gridSpan w:val="4"/>
            <w:tcBorders>
              <w:top w:val="nil"/>
              <w:left w:val="dotted" w:sz="24" w:space="0" w:color="002060"/>
              <w:bottom w:val="nil"/>
              <w:right w:val="dotted" w:sz="24" w:space="0" w:color="002060"/>
            </w:tcBorders>
          </w:tcPr>
          <w:p w:rsidR="000E4899" w:rsidRPr="00736809" w:rsidRDefault="000E4899" w:rsidP="006A7220">
            <w:pPr>
              <w:pStyle w:val="TableText"/>
              <w:rPr>
                <w:sz w:val="12"/>
                <w:szCs w:val="12"/>
              </w:rPr>
            </w:pPr>
          </w:p>
        </w:tc>
        <w:tc>
          <w:tcPr>
            <w:tcW w:w="425" w:type="dxa"/>
            <w:tcBorders>
              <w:top w:val="nil"/>
              <w:left w:val="dotted" w:sz="24" w:space="0" w:color="002060"/>
              <w:bottom w:val="nil"/>
              <w:right w:val="nil"/>
            </w:tcBorders>
          </w:tcPr>
          <w:p w:rsidR="000E4899" w:rsidRPr="00736809" w:rsidRDefault="000E4899" w:rsidP="006A7220">
            <w:pPr>
              <w:pStyle w:val="TableText"/>
              <w:rPr>
                <w:sz w:val="12"/>
                <w:szCs w:val="12"/>
              </w:rPr>
            </w:pPr>
          </w:p>
        </w:tc>
      </w:tr>
      <w:tr w:rsidR="000E4899" w:rsidRPr="001034A2" w:rsidTr="006A7220">
        <w:trPr>
          <w:cantSplit/>
        </w:trPr>
        <w:tc>
          <w:tcPr>
            <w:tcW w:w="304" w:type="dxa"/>
            <w:tcBorders>
              <w:top w:val="nil"/>
              <w:left w:val="dotted" w:sz="24" w:space="0" w:color="002060"/>
              <w:bottom w:val="nil"/>
              <w:right w:val="nil"/>
            </w:tcBorders>
          </w:tcPr>
          <w:p w:rsidR="000E4899" w:rsidRPr="00EC5B2D" w:rsidRDefault="000E4899" w:rsidP="006A7220">
            <w:pPr>
              <w:pStyle w:val="TableText"/>
              <w:rPr>
                <w:sz w:val="20"/>
              </w:rPr>
            </w:pPr>
          </w:p>
        </w:tc>
        <w:tc>
          <w:tcPr>
            <w:tcW w:w="8039" w:type="dxa"/>
            <w:gridSpan w:val="2"/>
            <w:tcBorders>
              <w:top w:val="nil"/>
              <w:left w:val="nil"/>
              <w:bottom w:val="nil"/>
              <w:right w:val="nil"/>
            </w:tcBorders>
            <w:shd w:val="clear" w:color="auto" w:fill="DBE5F1" w:themeFill="accent1" w:themeFillTint="33"/>
          </w:tcPr>
          <w:p w:rsidR="00D41AC6" w:rsidRPr="00D41AC6" w:rsidRDefault="00D41AC6" w:rsidP="00D41AC6">
            <w:pPr>
              <w:pStyle w:val="TableText"/>
              <w:tabs>
                <w:tab w:val="left" w:pos="284"/>
              </w:tabs>
              <w:spacing w:before="120"/>
              <w:rPr>
                <w:sz w:val="19"/>
                <w:szCs w:val="19"/>
              </w:rPr>
            </w:pPr>
            <w:r w:rsidRPr="00D41AC6">
              <w:rPr>
                <w:b/>
                <w:sz w:val="19"/>
                <w:szCs w:val="19"/>
              </w:rPr>
              <w:t>2</w:t>
            </w:r>
            <w:r w:rsidRPr="00D41AC6">
              <w:rPr>
                <w:b/>
                <w:sz w:val="19"/>
                <w:szCs w:val="19"/>
              </w:rPr>
              <w:tab/>
              <w:t>Providing access to cutting-edge technologies in a timely, sustainable and cost-effective way</w:t>
            </w:r>
            <w:r w:rsidRPr="00D41AC6">
              <w:rPr>
                <w:sz w:val="19"/>
                <w:szCs w:val="19"/>
              </w:rPr>
              <w:t>. Technology can dramatically increase both the reach and impact of health research.</w:t>
            </w:r>
          </w:p>
          <w:p w:rsidR="00D41AC6" w:rsidRPr="00D41AC6" w:rsidRDefault="00D41AC6" w:rsidP="00D41AC6">
            <w:pPr>
              <w:pStyle w:val="TableBullet"/>
              <w:numPr>
                <w:ilvl w:val="0"/>
                <w:numId w:val="34"/>
              </w:numPr>
              <w:ind w:left="284" w:hanging="284"/>
              <w:rPr>
                <w:sz w:val="19"/>
                <w:szCs w:val="19"/>
              </w:rPr>
            </w:pPr>
            <w:r w:rsidRPr="00D41AC6">
              <w:rPr>
                <w:sz w:val="19"/>
                <w:szCs w:val="19"/>
              </w:rPr>
              <w:t>Advances in the field of what is collectively known as ‘</w:t>
            </w:r>
            <w:proofErr w:type="spellStart"/>
            <w:r w:rsidRPr="00D41AC6">
              <w:rPr>
                <w:sz w:val="19"/>
                <w:szCs w:val="19"/>
              </w:rPr>
              <w:t>omics</w:t>
            </w:r>
            <w:proofErr w:type="spellEnd"/>
            <w:r w:rsidRPr="00D41AC6">
              <w:rPr>
                <w:sz w:val="19"/>
                <w:szCs w:val="19"/>
              </w:rPr>
              <w:t>’ (a field of study in biology such as genomics and proteomics) are changing how clinical services are delivered by making personalised medicine viable, with more person-specific tools for identifying, preventing, diagnosing and treating disease.</w:t>
            </w:r>
          </w:p>
          <w:p w:rsidR="00D41AC6" w:rsidRPr="00D41AC6" w:rsidRDefault="00D41AC6" w:rsidP="00D41AC6">
            <w:pPr>
              <w:pStyle w:val="TableBullet"/>
              <w:numPr>
                <w:ilvl w:val="0"/>
                <w:numId w:val="34"/>
              </w:numPr>
              <w:ind w:left="284" w:hanging="284"/>
              <w:rPr>
                <w:sz w:val="19"/>
                <w:szCs w:val="19"/>
              </w:rPr>
            </w:pPr>
            <w:r w:rsidRPr="00D41AC6">
              <w:rPr>
                <w:sz w:val="19"/>
                <w:szCs w:val="19"/>
              </w:rPr>
              <w:t>Advances in nanotechnology are leading to changes in diagnosing disease through developments such as the ‘lab-on-a-chip’ where one or several laboratory functions are integrated on a single chip.</w:t>
            </w:r>
          </w:p>
          <w:p w:rsidR="000E4899" w:rsidRPr="00D41AC6" w:rsidRDefault="00D41AC6" w:rsidP="00D41AC6">
            <w:pPr>
              <w:pStyle w:val="TableBullet"/>
              <w:numPr>
                <w:ilvl w:val="0"/>
                <w:numId w:val="34"/>
              </w:numPr>
              <w:spacing w:after="120"/>
              <w:ind w:left="284" w:hanging="284"/>
              <w:rPr>
                <w:sz w:val="19"/>
                <w:szCs w:val="19"/>
              </w:rPr>
            </w:pPr>
            <w:r w:rsidRPr="00D41AC6">
              <w:rPr>
                <w:sz w:val="19"/>
                <w:szCs w:val="19"/>
              </w:rPr>
              <w:t>Advances in ICT have led to (</w:t>
            </w:r>
            <w:proofErr w:type="spellStart"/>
            <w:r w:rsidRPr="00D41AC6">
              <w:rPr>
                <w:sz w:val="19"/>
                <w:szCs w:val="19"/>
              </w:rPr>
              <w:t>i</w:t>
            </w:r>
            <w:proofErr w:type="spellEnd"/>
            <w:r w:rsidRPr="00D41AC6">
              <w:rPr>
                <w:sz w:val="19"/>
                <w:szCs w:val="19"/>
              </w:rPr>
              <w:t xml:space="preserve">) the ability to link, interrogate and mine large datasets; and (ii) new ways of delivering health care, such as </w:t>
            </w:r>
            <w:proofErr w:type="spellStart"/>
            <w:r w:rsidRPr="00D41AC6">
              <w:rPr>
                <w:sz w:val="19"/>
                <w:szCs w:val="19"/>
              </w:rPr>
              <w:t>telehealth</w:t>
            </w:r>
            <w:proofErr w:type="spellEnd"/>
            <w:r w:rsidRPr="00D41AC6">
              <w:rPr>
                <w:sz w:val="19"/>
                <w:szCs w:val="19"/>
              </w:rPr>
              <w:t>, to rural and remote communities.</w:t>
            </w:r>
          </w:p>
        </w:tc>
        <w:tc>
          <w:tcPr>
            <w:tcW w:w="304" w:type="dxa"/>
            <w:tcBorders>
              <w:top w:val="nil"/>
              <w:left w:val="nil"/>
              <w:bottom w:val="nil"/>
              <w:right w:val="dotted" w:sz="24" w:space="0" w:color="002060"/>
            </w:tcBorders>
          </w:tcPr>
          <w:p w:rsidR="000E4899" w:rsidRPr="00EC5B2D" w:rsidRDefault="000E4899" w:rsidP="006A7220">
            <w:pPr>
              <w:pStyle w:val="TableText"/>
              <w:rPr>
                <w:sz w:val="20"/>
              </w:rPr>
            </w:pPr>
          </w:p>
        </w:tc>
        <w:tc>
          <w:tcPr>
            <w:tcW w:w="425" w:type="dxa"/>
            <w:tcBorders>
              <w:top w:val="nil"/>
              <w:left w:val="dotted" w:sz="24" w:space="0" w:color="002060"/>
              <w:bottom w:val="nil"/>
              <w:right w:val="nil"/>
            </w:tcBorders>
          </w:tcPr>
          <w:p w:rsidR="000E4899" w:rsidRPr="001034A2" w:rsidRDefault="000E4899" w:rsidP="006A7220">
            <w:pPr>
              <w:pStyle w:val="TableText"/>
              <w:rPr>
                <w:sz w:val="20"/>
              </w:rPr>
            </w:pPr>
          </w:p>
        </w:tc>
      </w:tr>
      <w:tr w:rsidR="000E4899" w:rsidRPr="00736809" w:rsidTr="006A7220">
        <w:trPr>
          <w:cantSplit/>
        </w:trPr>
        <w:tc>
          <w:tcPr>
            <w:tcW w:w="8647" w:type="dxa"/>
            <w:gridSpan w:val="4"/>
            <w:tcBorders>
              <w:top w:val="nil"/>
              <w:left w:val="dotted" w:sz="24" w:space="0" w:color="002060"/>
              <w:bottom w:val="nil"/>
              <w:right w:val="dotted" w:sz="24" w:space="0" w:color="002060"/>
            </w:tcBorders>
          </w:tcPr>
          <w:p w:rsidR="000E4899" w:rsidRPr="00736809" w:rsidRDefault="000E4899" w:rsidP="006A7220">
            <w:pPr>
              <w:pStyle w:val="TableText"/>
              <w:rPr>
                <w:sz w:val="12"/>
                <w:szCs w:val="12"/>
              </w:rPr>
            </w:pPr>
          </w:p>
        </w:tc>
        <w:tc>
          <w:tcPr>
            <w:tcW w:w="425" w:type="dxa"/>
            <w:tcBorders>
              <w:top w:val="nil"/>
              <w:left w:val="dotted" w:sz="24" w:space="0" w:color="002060"/>
              <w:bottom w:val="nil"/>
              <w:right w:val="nil"/>
            </w:tcBorders>
          </w:tcPr>
          <w:p w:rsidR="000E4899" w:rsidRPr="00736809" w:rsidRDefault="000E4899" w:rsidP="006A7220">
            <w:pPr>
              <w:pStyle w:val="TableText"/>
              <w:rPr>
                <w:sz w:val="12"/>
                <w:szCs w:val="12"/>
              </w:rPr>
            </w:pPr>
          </w:p>
        </w:tc>
      </w:tr>
      <w:tr w:rsidR="000E4899" w:rsidRPr="001034A2" w:rsidTr="006A7220">
        <w:trPr>
          <w:cantSplit/>
        </w:trPr>
        <w:tc>
          <w:tcPr>
            <w:tcW w:w="304" w:type="dxa"/>
            <w:tcBorders>
              <w:top w:val="nil"/>
              <w:left w:val="dotted" w:sz="24" w:space="0" w:color="002060"/>
              <w:bottom w:val="nil"/>
              <w:right w:val="nil"/>
            </w:tcBorders>
          </w:tcPr>
          <w:p w:rsidR="000E4899" w:rsidRPr="00EC5B2D" w:rsidRDefault="000E4899" w:rsidP="006A7220">
            <w:pPr>
              <w:pStyle w:val="TableText"/>
              <w:rPr>
                <w:sz w:val="20"/>
              </w:rPr>
            </w:pPr>
          </w:p>
        </w:tc>
        <w:tc>
          <w:tcPr>
            <w:tcW w:w="8039" w:type="dxa"/>
            <w:gridSpan w:val="2"/>
            <w:tcBorders>
              <w:top w:val="nil"/>
              <w:left w:val="nil"/>
              <w:bottom w:val="nil"/>
              <w:right w:val="nil"/>
            </w:tcBorders>
            <w:shd w:val="clear" w:color="auto" w:fill="DBE5F1" w:themeFill="accent1" w:themeFillTint="33"/>
          </w:tcPr>
          <w:p w:rsidR="00D41AC6" w:rsidRPr="00D41AC6" w:rsidRDefault="00D41AC6" w:rsidP="00D41AC6">
            <w:pPr>
              <w:pStyle w:val="TableText"/>
              <w:tabs>
                <w:tab w:val="left" w:pos="284"/>
              </w:tabs>
              <w:spacing w:before="120"/>
              <w:rPr>
                <w:sz w:val="19"/>
                <w:szCs w:val="19"/>
              </w:rPr>
            </w:pPr>
            <w:r w:rsidRPr="00D41AC6">
              <w:rPr>
                <w:b/>
                <w:sz w:val="19"/>
                <w:szCs w:val="19"/>
              </w:rPr>
              <w:t>3</w:t>
            </w:r>
            <w:r w:rsidRPr="00D41AC6">
              <w:rPr>
                <w:b/>
                <w:sz w:val="19"/>
                <w:szCs w:val="19"/>
              </w:rPr>
              <w:tab/>
              <w:t>Building the health research workforce, identifying the gaps and developing the skills</w:t>
            </w:r>
            <w:r w:rsidRPr="00D41AC6">
              <w:rPr>
                <w:sz w:val="19"/>
                <w:szCs w:val="19"/>
              </w:rPr>
              <w:t>. Particular focus could be on:</w:t>
            </w:r>
          </w:p>
          <w:p w:rsidR="00D41AC6" w:rsidRPr="00D41AC6" w:rsidRDefault="00D41AC6" w:rsidP="00D41AC6">
            <w:pPr>
              <w:pStyle w:val="TableBullet"/>
              <w:numPr>
                <w:ilvl w:val="0"/>
                <w:numId w:val="35"/>
              </w:numPr>
              <w:rPr>
                <w:sz w:val="19"/>
                <w:szCs w:val="19"/>
              </w:rPr>
            </w:pPr>
            <w:r w:rsidRPr="00D41AC6">
              <w:rPr>
                <w:sz w:val="19"/>
                <w:szCs w:val="19"/>
              </w:rPr>
              <w:t>attracting and retaining clinicians with an interest in health research</w:t>
            </w:r>
          </w:p>
          <w:p w:rsidR="00D41AC6" w:rsidRPr="00D41AC6" w:rsidRDefault="00D41AC6" w:rsidP="00D41AC6">
            <w:pPr>
              <w:pStyle w:val="TableBullet"/>
              <w:numPr>
                <w:ilvl w:val="0"/>
                <w:numId w:val="35"/>
              </w:numPr>
              <w:rPr>
                <w:sz w:val="19"/>
                <w:szCs w:val="19"/>
              </w:rPr>
            </w:pPr>
            <w:r w:rsidRPr="00D41AC6">
              <w:rPr>
                <w:sz w:val="19"/>
                <w:szCs w:val="19"/>
              </w:rPr>
              <w:t xml:space="preserve">investing in capacity and capability in Māori and Pacific health research, ICT, </w:t>
            </w:r>
            <w:proofErr w:type="spellStart"/>
            <w:r w:rsidRPr="00D41AC6">
              <w:rPr>
                <w:sz w:val="19"/>
                <w:szCs w:val="19"/>
              </w:rPr>
              <w:t>omics</w:t>
            </w:r>
            <w:proofErr w:type="spellEnd"/>
            <w:r w:rsidRPr="00D41AC6">
              <w:rPr>
                <w:sz w:val="19"/>
                <w:szCs w:val="19"/>
              </w:rPr>
              <w:t xml:space="preserve">, </w:t>
            </w:r>
            <w:proofErr w:type="spellStart"/>
            <w:r w:rsidRPr="00D41AC6">
              <w:rPr>
                <w:sz w:val="19"/>
                <w:szCs w:val="19"/>
              </w:rPr>
              <w:t>biocomputing</w:t>
            </w:r>
            <w:proofErr w:type="spellEnd"/>
            <w:r w:rsidRPr="00D41AC6">
              <w:rPr>
                <w:sz w:val="19"/>
                <w:szCs w:val="19"/>
              </w:rPr>
              <w:t>, health informatics and health economics</w:t>
            </w:r>
          </w:p>
          <w:p w:rsidR="000E4899" w:rsidRPr="00D41AC6" w:rsidRDefault="00D41AC6" w:rsidP="00D41AC6">
            <w:pPr>
              <w:pStyle w:val="TableBullet"/>
              <w:numPr>
                <w:ilvl w:val="0"/>
                <w:numId w:val="35"/>
              </w:numPr>
              <w:spacing w:after="120"/>
              <w:ind w:left="357" w:hanging="357"/>
              <w:rPr>
                <w:sz w:val="19"/>
                <w:szCs w:val="19"/>
              </w:rPr>
            </w:pPr>
            <w:proofErr w:type="gramStart"/>
            <w:r w:rsidRPr="00D41AC6">
              <w:rPr>
                <w:sz w:val="19"/>
                <w:szCs w:val="19"/>
              </w:rPr>
              <w:t>encouraging</w:t>
            </w:r>
            <w:proofErr w:type="gramEnd"/>
            <w:r w:rsidRPr="00D41AC6">
              <w:rPr>
                <w:sz w:val="19"/>
                <w:szCs w:val="19"/>
              </w:rPr>
              <w:t xml:space="preserve"> and supporting researchers to work across traditional boundaries and disciplines, and to adopt new approaches and innovative methodologies.</w:t>
            </w:r>
          </w:p>
        </w:tc>
        <w:tc>
          <w:tcPr>
            <w:tcW w:w="304" w:type="dxa"/>
            <w:tcBorders>
              <w:top w:val="nil"/>
              <w:left w:val="nil"/>
              <w:bottom w:val="nil"/>
              <w:right w:val="dotted" w:sz="24" w:space="0" w:color="002060"/>
            </w:tcBorders>
          </w:tcPr>
          <w:p w:rsidR="000E4899" w:rsidRPr="00EC5B2D" w:rsidRDefault="000E4899" w:rsidP="006A7220">
            <w:pPr>
              <w:pStyle w:val="TableText"/>
              <w:rPr>
                <w:sz w:val="20"/>
              </w:rPr>
            </w:pPr>
          </w:p>
        </w:tc>
        <w:tc>
          <w:tcPr>
            <w:tcW w:w="425" w:type="dxa"/>
            <w:tcBorders>
              <w:top w:val="nil"/>
              <w:left w:val="dotted" w:sz="24" w:space="0" w:color="002060"/>
              <w:bottom w:val="nil"/>
              <w:right w:val="nil"/>
            </w:tcBorders>
          </w:tcPr>
          <w:p w:rsidR="000E4899" w:rsidRPr="001034A2" w:rsidRDefault="000E4899" w:rsidP="006A7220">
            <w:pPr>
              <w:pStyle w:val="TableText"/>
              <w:rPr>
                <w:sz w:val="20"/>
              </w:rPr>
            </w:pPr>
          </w:p>
        </w:tc>
      </w:tr>
      <w:tr w:rsidR="000E4899" w:rsidRPr="00736809" w:rsidTr="006A7220">
        <w:trPr>
          <w:cantSplit/>
        </w:trPr>
        <w:tc>
          <w:tcPr>
            <w:tcW w:w="8647" w:type="dxa"/>
            <w:gridSpan w:val="4"/>
            <w:tcBorders>
              <w:top w:val="nil"/>
              <w:left w:val="dotted" w:sz="24" w:space="0" w:color="002060"/>
              <w:bottom w:val="nil"/>
              <w:right w:val="dotted" w:sz="24" w:space="0" w:color="002060"/>
            </w:tcBorders>
          </w:tcPr>
          <w:p w:rsidR="000E4899" w:rsidRPr="00736809" w:rsidRDefault="000E4899" w:rsidP="006A7220">
            <w:pPr>
              <w:pStyle w:val="TableText"/>
              <w:rPr>
                <w:sz w:val="12"/>
                <w:szCs w:val="12"/>
              </w:rPr>
            </w:pPr>
          </w:p>
        </w:tc>
        <w:tc>
          <w:tcPr>
            <w:tcW w:w="425" w:type="dxa"/>
            <w:tcBorders>
              <w:top w:val="nil"/>
              <w:left w:val="dotted" w:sz="24" w:space="0" w:color="002060"/>
              <w:bottom w:val="nil"/>
              <w:right w:val="nil"/>
            </w:tcBorders>
          </w:tcPr>
          <w:p w:rsidR="000E4899" w:rsidRPr="00736809" w:rsidRDefault="000E4899" w:rsidP="006A7220">
            <w:pPr>
              <w:pStyle w:val="TableText"/>
              <w:rPr>
                <w:sz w:val="12"/>
                <w:szCs w:val="12"/>
              </w:rPr>
            </w:pPr>
          </w:p>
        </w:tc>
      </w:tr>
      <w:tr w:rsidR="000E4899" w:rsidRPr="001034A2" w:rsidTr="006A7220">
        <w:trPr>
          <w:cantSplit/>
        </w:trPr>
        <w:tc>
          <w:tcPr>
            <w:tcW w:w="304" w:type="dxa"/>
            <w:tcBorders>
              <w:top w:val="nil"/>
              <w:left w:val="dotted" w:sz="24" w:space="0" w:color="002060"/>
              <w:bottom w:val="nil"/>
              <w:right w:val="nil"/>
            </w:tcBorders>
          </w:tcPr>
          <w:p w:rsidR="000E4899" w:rsidRPr="00EC5B2D" w:rsidRDefault="000E4899" w:rsidP="006A7220">
            <w:pPr>
              <w:pStyle w:val="TableText"/>
              <w:rPr>
                <w:sz w:val="20"/>
              </w:rPr>
            </w:pPr>
          </w:p>
        </w:tc>
        <w:tc>
          <w:tcPr>
            <w:tcW w:w="8039" w:type="dxa"/>
            <w:gridSpan w:val="2"/>
            <w:tcBorders>
              <w:top w:val="nil"/>
              <w:left w:val="nil"/>
              <w:bottom w:val="nil"/>
              <w:right w:val="nil"/>
            </w:tcBorders>
            <w:shd w:val="clear" w:color="auto" w:fill="DBE5F1" w:themeFill="accent1" w:themeFillTint="33"/>
          </w:tcPr>
          <w:p w:rsidR="000E4899" w:rsidRPr="00D41AC6" w:rsidRDefault="00D41AC6" w:rsidP="00D41AC6">
            <w:pPr>
              <w:pStyle w:val="TableText"/>
              <w:tabs>
                <w:tab w:val="left" w:pos="284"/>
              </w:tabs>
              <w:spacing w:before="120" w:after="120"/>
              <w:rPr>
                <w:sz w:val="19"/>
                <w:szCs w:val="19"/>
              </w:rPr>
            </w:pPr>
            <w:r w:rsidRPr="00D41AC6">
              <w:rPr>
                <w:b/>
                <w:sz w:val="19"/>
                <w:szCs w:val="19"/>
              </w:rPr>
              <w:t>4</w:t>
            </w:r>
            <w:r w:rsidRPr="00D41AC6">
              <w:rPr>
                <w:b/>
                <w:sz w:val="19"/>
                <w:szCs w:val="19"/>
              </w:rPr>
              <w:tab/>
              <w:t>Enhancing New Zealand’s ethics processes to ensure effective protection of research participants while operating an efficient process for approving research proposals</w:t>
            </w:r>
            <w:r w:rsidRPr="00D41AC6">
              <w:rPr>
                <w:sz w:val="19"/>
                <w:szCs w:val="19"/>
              </w:rPr>
              <w:t>. Protection of participants is particularly important for disadvantaged or vulnerable population groups, such as many disabled people.</w:t>
            </w:r>
          </w:p>
        </w:tc>
        <w:tc>
          <w:tcPr>
            <w:tcW w:w="304" w:type="dxa"/>
            <w:tcBorders>
              <w:top w:val="nil"/>
              <w:left w:val="nil"/>
              <w:bottom w:val="nil"/>
              <w:right w:val="dotted" w:sz="24" w:space="0" w:color="002060"/>
            </w:tcBorders>
          </w:tcPr>
          <w:p w:rsidR="000E4899" w:rsidRPr="00EC5B2D" w:rsidRDefault="000E4899" w:rsidP="006A7220">
            <w:pPr>
              <w:pStyle w:val="TableText"/>
              <w:rPr>
                <w:sz w:val="20"/>
              </w:rPr>
            </w:pPr>
          </w:p>
        </w:tc>
        <w:tc>
          <w:tcPr>
            <w:tcW w:w="425" w:type="dxa"/>
            <w:tcBorders>
              <w:top w:val="nil"/>
              <w:left w:val="dotted" w:sz="24" w:space="0" w:color="002060"/>
              <w:bottom w:val="nil"/>
              <w:right w:val="nil"/>
            </w:tcBorders>
          </w:tcPr>
          <w:p w:rsidR="000E4899" w:rsidRPr="001034A2" w:rsidRDefault="000E4899" w:rsidP="006A7220">
            <w:pPr>
              <w:pStyle w:val="TableText"/>
              <w:rPr>
                <w:sz w:val="20"/>
              </w:rPr>
            </w:pPr>
          </w:p>
        </w:tc>
      </w:tr>
      <w:tr w:rsidR="000E4899" w:rsidRPr="00736809" w:rsidTr="006A7220">
        <w:trPr>
          <w:cantSplit/>
        </w:trPr>
        <w:tc>
          <w:tcPr>
            <w:tcW w:w="8647" w:type="dxa"/>
            <w:gridSpan w:val="4"/>
            <w:tcBorders>
              <w:top w:val="nil"/>
              <w:left w:val="dotted" w:sz="24" w:space="0" w:color="002060"/>
              <w:bottom w:val="dotted" w:sz="24" w:space="0" w:color="002060"/>
              <w:right w:val="dotted" w:sz="24" w:space="0" w:color="002060"/>
            </w:tcBorders>
          </w:tcPr>
          <w:p w:rsidR="000E4899" w:rsidRPr="00736809" w:rsidRDefault="000E4899" w:rsidP="006A7220">
            <w:pPr>
              <w:pStyle w:val="TableText"/>
              <w:rPr>
                <w:sz w:val="12"/>
                <w:szCs w:val="12"/>
              </w:rPr>
            </w:pPr>
          </w:p>
        </w:tc>
        <w:tc>
          <w:tcPr>
            <w:tcW w:w="425" w:type="dxa"/>
            <w:tcBorders>
              <w:top w:val="nil"/>
              <w:left w:val="dotted" w:sz="24" w:space="0" w:color="002060"/>
              <w:bottom w:val="nil"/>
              <w:right w:val="nil"/>
            </w:tcBorders>
          </w:tcPr>
          <w:p w:rsidR="000E4899" w:rsidRPr="00736809" w:rsidRDefault="000E4899" w:rsidP="006A7220">
            <w:pPr>
              <w:pStyle w:val="TableText"/>
              <w:rPr>
                <w:sz w:val="12"/>
                <w:szCs w:val="12"/>
              </w:rPr>
            </w:pPr>
          </w:p>
        </w:tc>
      </w:tr>
    </w:tbl>
    <w:p w:rsidR="001344B9" w:rsidRPr="00050283" w:rsidRDefault="001344B9" w:rsidP="0058446A">
      <w:pPr>
        <w:pStyle w:val="Heading1"/>
      </w:pPr>
      <w:bookmarkStart w:id="14" w:name="_Toc449626667"/>
      <w:bookmarkStart w:id="15" w:name="_Toc450037047"/>
      <w:r w:rsidRPr="00050283">
        <w:lastRenderedPageBreak/>
        <w:t>More about health research</w:t>
      </w:r>
      <w:bookmarkEnd w:id="14"/>
      <w:bookmarkEnd w:id="15"/>
    </w:p>
    <w:p w:rsidR="001344B9" w:rsidRPr="00050283" w:rsidRDefault="001344B9" w:rsidP="0058446A">
      <w:r w:rsidRPr="00050283">
        <w:t>Health research has underpinned advances in human longevity, near</w:t>
      </w:r>
      <w:r>
        <w:t>ly</w:t>
      </w:r>
      <w:r w:rsidRPr="00050283">
        <w:t xml:space="preserve"> or complete</w:t>
      </w:r>
      <w:r>
        <w:t>ly</w:t>
      </w:r>
      <w:r w:rsidRPr="00050283">
        <w:t xml:space="preserve"> eradicat</w:t>
      </w:r>
      <w:r>
        <w:t>ed</w:t>
      </w:r>
      <w:r w:rsidRPr="00050283">
        <w:t xml:space="preserve"> previously crippling diseases, and generated whole new ways of treating illnesses and conditions. Health research has also identified how factors such as housing, passive smoking, air quality and access to health services influence health and wellbeing and the actions that can address these factors. Researchers have </w:t>
      </w:r>
      <w:r>
        <w:t>come up with</w:t>
      </w:r>
      <w:r w:rsidRPr="00050283">
        <w:t xml:space="preserve"> new approaches to health care and service delivery</w:t>
      </w:r>
      <w:r>
        <w:t xml:space="preserve"> as well</w:t>
      </w:r>
      <w:r w:rsidRPr="00050283">
        <w:t>.</w:t>
      </w:r>
    </w:p>
    <w:p w:rsidR="001344B9" w:rsidRPr="00050283" w:rsidRDefault="001344B9" w:rsidP="0058446A">
      <w:r w:rsidRPr="00050283">
        <w:t xml:space="preserve">Health research encompasses discovery in the fields of human health and wellbeing, and often draws on multiple perspectives. Interpreted broadly, it includes health aspects of nutrition and food hygiene. </w:t>
      </w:r>
      <w:r>
        <w:t>H</w:t>
      </w:r>
      <w:r w:rsidRPr="00050283">
        <w:t xml:space="preserve">ealth research </w:t>
      </w:r>
      <w:r>
        <w:t>across the four traditional areas of</w:t>
      </w:r>
      <w:r w:rsidRPr="00050283">
        <w:t xml:space="preserve"> biomedical, public health, clinical and health services research is intensifying</w:t>
      </w:r>
      <w:r>
        <w:t>. Moreover,</w:t>
      </w:r>
      <w:r w:rsidRPr="00050283">
        <w:t xml:space="preserve"> valuable contributions are increasingly found at the intersections of different fields and disciplines. Health research also encompasses research on disability and rehabilitation. This includes research on the lives of disabled people, how to address their health needs and improve their independence</w:t>
      </w:r>
      <w:r>
        <w:t>,</w:t>
      </w:r>
      <w:r w:rsidRPr="00050283">
        <w:t xml:space="preserve"> and </w:t>
      </w:r>
      <w:r>
        <w:t>the</w:t>
      </w:r>
      <w:r w:rsidRPr="00050283">
        <w:t xml:space="preserve"> factors that cause impairments.</w:t>
      </w:r>
    </w:p>
    <w:p w:rsidR="001344B9" w:rsidRPr="00050283" w:rsidRDefault="001344B9" w:rsidP="0058446A">
      <w:r w:rsidRPr="00050283">
        <w:t xml:space="preserve">To be effective, health research needs to be scientifically robust and usable, taking into account consumer and patient needs. </w:t>
      </w:r>
      <w:r>
        <w:t>It</w:t>
      </w:r>
      <w:r w:rsidRPr="00050283">
        <w:t xml:space="preserve"> also has important links to clinical teaching: it improves the quality of teaching and raises the skills of clinicians. Research that </w:t>
      </w:r>
      <w:r>
        <w:t>goes beyond</w:t>
      </w:r>
      <w:r w:rsidRPr="00050283">
        <w:t xml:space="preserve"> traditional domains or disciplines is increasingly needed to tackle today</w:t>
      </w:r>
      <w:r>
        <w:t>’</w:t>
      </w:r>
      <w:r w:rsidRPr="00050283">
        <w:t xml:space="preserve">s complex health challenges. High-quality </w:t>
      </w:r>
      <w:r w:rsidRPr="00050283">
        <w:rPr>
          <w:shd w:val="clear" w:color="auto" w:fill="FFFFFF" w:themeFill="background1"/>
        </w:rPr>
        <w:t>health research, particularly at the interface between biomedical, clinical and new technologies research,</w:t>
      </w:r>
      <w:r w:rsidRPr="00050283">
        <w:t xml:space="preserve"> can lead to</w:t>
      </w:r>
      <w:r>
        <w:t xml:space="preserve"> the creation of </w:t>
      </w:r>
      <w:r w:rsidRPr="00050283">
        <w:t>innovative medical technology and biotechnology firms.</w:t>
      </w:r>
    </w:p>
    <w:p w:rsidR="001344B9" w:rsidRPr="00050283" w:rsidRDefault="001344B9" w:rsidP="0058446A">
      <w:r w:rsidRPr="00050283">
        <w:t xml:space="preserve">Health research also intersects with other areas of research, particularly the life sciences. For instance, health research often feeds into the agricultural and biological sciences and vice versa. The results of public health research often inform social policy. Other research areas can </w:t>
      </w:r>
      <w:r>
        <w:t xml:space="preserve">apply to and have an impact on </w:t>
      </w:r>
      <w:r w:rsidRPr="00050283">
        <w:t>health. Th</w:t>
      </w:r>
      <w:r>
        <w:t>ese areas</w:t>
      </w:r>
      <w:r w:rsidRPr="00050283">
        <w:t xml:space="preserve"> include the social sciences, environmental protection, the biological sciences and biotechnology, various branches of engineering, nanotechnology, agriculture and food, and information and communications technologies (ICT).</w:t>
      </w:r>
    </w:p>
    <w:p w:rsidR="001344B9" w:rsidRPr="00050283" w:rsidRDefault="001344B9" w:rsidP="0058446A">
      <w:r w:rsidRPr="00050283">
        <w:t>Health research is a global endeavour, supported by governments, private companies and philanthropic organisations around the world. The knowledge generated by health researchers is not confined within national borders, but is increasingly shared internationally. Researchers are forming more extensive global networks, drawing on the work of their peers in other parts of the world and contributing to the development of global knowledge and innovation.</w:t>
      </w:r>
    </w:p>
    <w:p w:rsidR="001344B9" w:rsidRPr="00050283" w:rsidRDefault="001344B9" w:rsidP="0058446A">
      <w:r w:rsidRPr="00050283">
        <w:t xml:space="preserve">Research findings may inform further research, product development, clinical guidelines, social or health policy or changes in how health services are provided. </w:t>
      </w:r>
      <w:r>
        <w:t>After</w:t>
      </w:r>
      <w:r w:rsidRPr="00050283">
        <w:t xml:space="preserve"> the findings of a research project </w:t>
      </w:r>
      <w:r>
        <w:t>are published, a number of steps must often be taken before</w:t>
      </w:r>
      <w:r w:rsidRPr="00050283">
        <w:t xml:space="preserve"> a practical outcome</w:t>
      </w:r>
      <w:r>
        <w:t xml:space="preserve"> can be achieved</w:t>
      </w:r>
      <w:r w:rsidRPr="00050283">
        <w:t xml:space="preserve">. These steps are often envisaged as a pipeline that leads to outcomes such as a new or improved health intervention or marketing of a new product. These pipelines can be complex and spread over </w:t>
      </w:r>
      <w:r>
        <w:t>a long</w:t>
      </w:r>
      <w:r w:rsidRPr="00050283">
        <w:t xml:space="preserve"> period.</w:t>
      </w:r>
    </w:p>
    <w:p w:rsidR="001344B9" w:rsidRPr="0058446A" w:rsidRDefault="001344B9" w:rsidP="0058446A">
      <w:pPr>
        <w:pStyle w:val="Heading2"/>
      </w:pPr>
      <w:r w:rsidRPr="0058446A">
        <w:lastRenderedPageBreak/>
        <w:t>Health research in New Zealand</w:t>
      </w:r>
    </w:p>
    <w:p w:rsidR="001344B9" w:rsidRPr="00050283" w:rsidRDefault="001344B9" w:rsidP="0058446A">
      <w:pPr>
        <w:keepLines/>
      </w:pPr>
      <w:r w:rsidRPr="00050283">
        <w:t xml:space="preserve">Health research makes up a significant part of the science system in New Zealand. In 2014 health research accounted for 11% of all </w:t>
      </w:r>
      <w:r>
        <w:t>research and development</w:t>
      </w:r>
      <w:r w:rsidRPr="00050283">
        <w:t xml:space="preserve"> expenditure in New Zealand</w:t>
      </w:r>
      <w:r>
        <w:t>,</w:t>
      </w:r>
      <w:r w:rsidRPr="00050283">
        <w:t xml:space="preserve"> at $299</w:t>
      </w:r>
      <w:r w:rsidR="0058446A">
        <w:t> </w:t>
      </w:r>
      <w:r w:rsidRPr="00050283">
        <w:t>million</w:t>
      </w:r>
      <w:r>
        <w:t>,</w:t>
      </w:r>
      <w:r w:rsidRPr="00050283">
        <w:t xml:space="preserve"> and more than a third of New Zealand</w:t>
      </w:r>
      <w:r>
        <w:t>’</w:t>
      </w:r>
      <w:r w:rsidRPr="00050283">
        <w:t>s academic outputs.</w:t>
      </w:r>
      <w:r w:rsidRPr="0058446A">
        <w:rPr>
          <w:rStyle w:val="FootnoteReference"/>
        </w:rPr>
        <w:footnoteReference w:id="3"/>
      </w:r>
      <w:r w:rsidRPr="00050283">
        <w:t xml:space="preserve"> In terms of scientific quality, New Zealand</w:t>
      </w:r>
      <w:r>
        <w:t>’</w:t>
      </w:r>
      <w:r w:rsidRPr="00050283">
        <w:t>s health research compares well internationally. The average field weighted citation impact (FWCI) of New Zealand articles is above the</w:t>
      </w:r>
      <w:r>
        <w:t xml:space="preserve"> Organisation of Economic Co-operation and Development</w:t>
      </w:r>
      <w:r w:rsidRPr="00050283">
        <w:t xml:space="preserve"> </w:t>
      </w:r>
      <w:r>
        <w:t>(</w:t>
      </w:r>
      <w:r w:rsidRPr="00050283">
        <w:t>OECD</w:t>
      </w:r>
      <w:r>
        <w:t>)</w:t>
      </w:r>
      <w:r w:rsidRPr="00050283">
        <w:t xml:space="preserve"> average in six of the eight health research journal categories.</w:t>
      </w:r>
    </w:p>
    <w:p w:rsidR="001344B9" w:rsidRDefault="001344B9" w:rsidP="0058446A">
      <w:r w:rsidRPr="00050283">
        <w:t>Universities undertake the bulk of health research (60%) in New Zealand, but the private sector</w:t>
      </w:r>
      <w:r>
        <w:t>’s share</w:t>
      </w:r>
      <w:r w:rsidRPr="00050283">
        <w:t xml:space="preserve"> is increasing. In terms of funding, the </w:t>
      </w:r>
      <w:r>
        <w:t>G</w:t>
      </w:r>
      <w:r w:rsidRPr="00050283">
        <w:t xml:space="preserve">overnment is currently the primary investor in health research through the HRC, the Centres of Research Excellence, the National Science Challenges and institutional funding to the universities. Philanthropic funding for health research is growing, but is still very small compared </w:t>
      </w:r>
      <w:r>
        <w:t>with</w:t>
      </w:r>
      <w:r w:rsidRPr="00050283">
        <w:t xml:space="preserve"> other OECD countries.</w:t>
      </w:r>
      <w:bookmarkStart w:id="16" w:name="_Ref309326499"/>
      <w:r w:rsidRPr="00050283">
        <w:t xml:space="preserve"> </w:t>
      </w:r>
      <w:r>
        <w:t>Figure 2</w:t>
      </w:r>
      <w:r w:rsidRPr="00050283">
        <w:t xml:space="preserve"> below shows the funding landscape for health research in New Zealand. It includes those funds that are specifically designed </w:t>
      </w:r>
      <w:r>
        <w:t>for</w:t>
      </w:r>
      <w:r w:rsidRPr="00050283">
        <w:t xml:space="preserve"> health research and those funds </w:t>
      </w:r>
      <w:r>
        <w:t>available for</w:t>
      </w:r>
      <w:r w:rsidRPr="00050283">
        <w:t xml:space="preserve"> all areas of research, including health research. The figures are approximate only and are mostly for 2014.</w:t>
      </w:r>
    </w:p>
    <w:p w:rsidR="003521C3" w:rsidRPr="00050283" w:rsidRDefault="003521C3" w:rsidP="0058446A">
      <w:r>
        <w:object w:dxaOrig="21000" w:dyaOrig="15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25pt;height:331.85pt" o:ole="">
            <v:imagedata r:id="rId18" o:title=""/>
          </v:shape>
          <o:OLEObject Type="Embed" ProgID="Visio.Drawing.11" ShapeID="_x0000_i1025" DrawAspect="Content" ObjectID="_1524896490" r:id="rId19"/>
        </w:object>
      </w:r>
    </w:p>
    <w:bookmarkEnd w:id="16"/>
    <w:p w:rsidR="001344B9" w:rsidRPr="00050283" w:rsidRDefault="001344B9" w:rsidP="003521C3">
      <w:pPr>
        <w:keepLines/>
      </w:pPr>
      <w:r w:rsidRPr="00050283">
        <w:lastRenderedPageBreak/>
        <w:t xml:space="preserve">Māori health research is an important component of health research in New Zealand. It creates knowledge that is essential for improving the health of Māori and creating healthy Māori communities. Māori approaches and knowledge can also inform improvements to the health of all populations. In recent decades, the HRC has played a formative role in supporting the development of Māori health research centres and researchers. This </w:t>
      </w:r>
      <w:r>
        <w:t xml:space="preserve">support </w:t>
      </w:r>
      <w:r w:rsidRPr="00050283">
        <w:t xml:space="preserve">enabled some Māori communities to undertake their own health research. Māori health research encompasses Māori research methodologies such as </w:t>
      </w:r>
      <w:proofErr w:type="spellStart"/>
      <w:r w:rsidRPr="00050283">
        <w:t>kaupapa</w:t>
      </w:r>
      <w:proofErr w:type="spellEnd"/>
      <w:r w:rsidRPr="00050283">
        <w:t xml:space="preserve"> Māori research. The HRC has also taken a leadership role in developing a Pacific health workforce.</w:t>
      </w:r>
    </w:p>
    <w:p w:rsidR="001344B9" w:rsidRPr="00050283" w:rsidRDefault="001344B9" w:rsidP="003521C3">
      <w:r w:rsidRPr="00050283">
        <w:t xml:space="preserve">Pacific health research is a particularly important component of health research in New Zealand. Pacific research needs to encompass Pacific research frameworks, such as </w:t>
      </w:r>
      <w:proofErr w:type="spellStart"/>
      <w:r w:rsidRPr="00050283">
        <w:t>fonofale</w:t>
      </w:r>
      <w:proofErr w:type="spellEnd"/>
      <w:r w:rsidRPr="00050283">
        <w:t xml:space="preserve">, which is based on elements of a Samoan </w:t>
      </w:r>
      <w:proofErr w:type="spellStart"/>
      <w:r w:rsidRPr="00050283">
        <w:t>fale</w:t>
      </w:r>
      <w:proofErr w:type="spellEnd"/>
      <w:r w:rsidRPr="00050283">
        <w:t>. These research frameworks bring Pacific life and cultural dimensions to the research.</w:t>
      </w:r>
    </w:p>
    <w:p w:rsidR="001344B9" w:rsidRDefault="001344B9" w:rsidP="003521C3">
      <w:r w:rsidRPr="00050283">
        <w:t>A key reason for investing in health research in New Zealand is to raise our capacity to quickly tap into and use the latest findings, most of which are generated offshore. Health researchers in New Zealand can inform better decision-making by assisting in translating global knowledge into local settings. As a result of past investments in health research, New Zealand</w:t>
      </w:r>
      <w:r>
        <w:t>’</w:t>
      </w:r>
      <w:r w:rsidRPr="00050283">
        <w:t>s health researchers have made significant discoveries of benefit to New Zealanders, as well as to people around the world.</w:t>
      </w:r>
    </w:p>
    <w:p w:rsidR="001344B9" w:rsidRPr="00050283" w:rsidRDefault="001344B9" w:rsidP="003521C3">
      <w:r w:rsidRPr="00050283">
        <w:t xml:space="preserve">Health research also has the potential to create economic benefits for New Zealand. Health services and systems around the world are expanding, </w:t>
      </w:r>
      <w:r>
        <w:t>opening up</w:t>
      </w:r>
      <w:r w:rsidRPr="00050283">
        <w:t xml:space="preserve"> significant opportunities to New Zealand firms.</w:t>
      </w:r>
    </w:p>
    <w:p w:rsidR="001344B9" w:rsidRPr="00050283" w:rsidRDefault="001344B9" w:rsidP="003521C3">
      <w:r w:rsidRPr="00050283">
        <w:t>A number of factors raise the quality of health research and make New Zealand attractive as a health research destination.</w:t>
      </w:r>
      <w:r>
        <w:t xml:space="preserve"> For example, New Zealand has</w:t>
      </w:r>
      <w:r w:rsidRPr="00050283">
        <w:t>:</w:t>
      </w:r>
    </w:p>
    <w:p w:rsidR="001344B9" w:rsidRPr="00050283" w:rsidRDefault="001344B9" w:rsidP="003521C3">
      <w:pPr>
        <w:pStyle w:val="Bullet"/>
      </w:pPr>
      <w:r w:rsidRPr="00050283">
        <w:t>a small, geographically isolated population</w:t>
      </w:r>
    </w:p>
    <w:p w:rsidR="001344B9" w:rsidRPr="00050283" w:rsidRDefault="001344B9" w:rsidP="003521C3">
      <w:pPr>
        <w:pStyle w:val="Bullet"/>
      </w:pPr>
      <w:r w:rsidRPr="00050283">
        <w:t>a diverse demographic</w:t>
      </w:r>
    </w:p>
    <w:p w:rsidR="001344B9" w:rsidRPr="00050283" w:rsidRDefault="001344B9" w:rsidP="003521C3">
      <w:pPr>
        <w:pStyle w:val="Bullet"/>
      </w:pPr>
      <w:r w:rsidRPr="00050283">
        <w:t>an efficient ethics review process</w:t>
      </w:r>
    </w:p>
    <w:p w:rsidR="001344B9" w:rsidRPr="00050283" w:rsidRDefault="001344B9" w:rsidP="003521C3">
      <w:pPr>
        <w:pStyle w:val="Bullet"/>
      </w:pPr>
      <w:r w:rsidRPr="00050283">
        <w:t>rich health data, particularly patient-level information</w:t>
      </w:r>
    </w:p>
    <w:p w:rsidR="001344B9" w:rsidRPr="00050283" w:rsidRDefault="001344B9" w:rsidP="003521C3">
      <w:pPr>
        <w:pStyle w:val="Bullet"/>
      </w:pPr>
      <w:r>
        <w:t xml:space="preserve">health researchers with an </w:t>
      </w:r>
      <w:r w:rsidRPr="00050283">
        <w:t>international reputation</w:t>
      </w:r>
    </w:p>
    <w:p w:rsidR="001344B9" w:rsidRPr="00050283" w:rsidRDefault="001344B9" w:rsidP="003521C3">
      <w:pPr>
        <w:pStyle w:val="Bullet"/>
      </w:pPr>
      <w:proofErr w:type="gramStart"/>
      <w:r w:rsidRPr="00050283">
        <w:t>strong</w:t>
      </w:r>
      <w:proofErr w:type="gramEnd"/>
      <w:r w:rsidRPr="00050283">
        <w:t xml:space="preserve"> linkages between health research and the biological and agricultural sciences.</w:t>
      </w:r>
    </w:p>
    <w:p w:rsidR="001344B9" w:rsidRPr="00050283" w:rsidRDefault="001344B9" w:rsidP="003521C3">
      <w:r w:rsidRPr="00050283">
        <w:t>These factors provide researchers with an environment conducive to answering some of the more challenging questions in health research, such as how to reduce health inequalities between ethnic groups, or at what stage in the life course it is best to make specific health interventions. They also present New Zealand with the opportunity to attract international investors, researchers and companies seeking to undertake health research.</w:t>
      </w:r>
    </w:p>
    <w:p w:rsidR="001344B9" w:rsidRPr="00050283" w:rsidRDefault="001344B9" w:rsidP="003521C3">
      <w:pPr>
        <w:pStyle w:val="Heading1"/>
        <w:numPr>
          <w:ilvl w:val="0"/>
          <w:numId w:val="0"/>
        </w:numPr>
      </w:pPr>
      <w:bookmarkStart w:id="17" w:name="_Toc449626668"/>
      <w:bookmarkStart w:id="18" w:name="_Toc450037048"/>
      <w:r w:rsidRPr="00050283">
        <w:lastRenderedPageBreak/>
        <w:t>Appendix 1: List of consultation questions</w:t>
      </w:r>
      <w:bookmarkEnd w:id="17"/>
      <w:bookmarkEnd w:id="18"/>
    </w:p>
    <w:p w:rsidR="001344B9" w:rsidRPr="00050283" w:rsidRDefault="001344B9" w:rsidP="003521C3">
      <w:r>
        <w:t>T</w:t>
      </w:r>
      <w:r w:rsidRPr="00050283">
        <w:t>o develop a successful health research strategy, we will need your help to identify the challenges and opportunities for health research in New Zealand and how to respond to them.</w:t>
      </w:r>
    </w:p>
    <w:p w:rsidR="001344B9" w:rsidRPr="00050283" w:rsidRDefault="001344B9" w:rsidP="003521C3">
      <w:r w:rsidRPr="00050283">
        <w:t>This document provides a starting point for discussion by setting out a proposed vision, mission and guiding principles for health research in New Zealand over the next 10 years. It also provides several examples of strategic priorities.</w:t>
      </w:r>
    </w:p>
    <w:p w:rsidR="001344B9" w:rsidRDefault="001344B9" w:rsidP="003D2194">
      <w:pPr>
        <w:spacing w:after="240"/>
      </w:pPr>
      <w:r w:rsidRPr="00050283">
        <w:t>The specific questions below are designed to guide your input and feedback. We are interested in your responses to these particular questions, as they will inform the development of the strategy. The following diagram summarises the intention of the strategy.</w:t>
      </w:r>
    </w:p>
    <w:tbl>
      <w:tblPr>
        <w:tblStyle w:val="TableGrid"/>
        <w:tblW w:w="9072" w:type="dxa"/>
        <w:tblInd w:w="142"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left w:w="142" w:type="dxa"/>
          <w:right w:w="142" w:type="dxa"/>
        </w:tblCellMar>
        <w:tblLook w:val="04A0" w:firstRow="1" w:lastRow="0" w:firstColumn="1" w:lastColumn="0" w:noHBand="0" w:noVBand="1"/>
      </w:tblPr>
      <w:tblGrid>
        <w:gridCol w:w="304"/>
        <w:gridCol w:w="3524"/>
        <w:gridCol w:w="425"/>
        <w:gridCol w:w="304"/>
        <w:gridCol w:w="3786"/>
        <w:gridCol w:w="304"/>
        <w:gridCol w:w="425"/>
      </w:tblGrid>
      <w:tr w:rsidR="003D2194" w:rsidRPr="007D679D" w:rsidTr="003D2194">
        <w:trPr>
          <w:cantSplit/>
        </w:trPr>
        <w:tc>
          <w:tcPr>
            <w:tcW w:w="3828" w:type="dxa"/>
            <w:gridSpan w:val="2"/>
            <w:tcBorders>
              <w:top w:val="nil"/>
              <w:left w:val="nil"/>
              <w:bottom w:val="single" w:sz="12" w:space="0" w:color="002060"/>
            </w:tcBorders>
          </w:tcPr>
          <w:p w:rsidR="003D2194" w:rsidRDefault="003D2194" w:rsidP="00CF69E8">
            <w:pPr>
              <w:pStyle w:val="TableText"/>
            </w:pPr>
          </w:p>
        </w:tc>
        <w:tc>
          <w:tcPr>
            <w:tcW w:w="5244" w:type="dxa"/>
            <w:gridSpan w:val="5"/>
            <w:vMerge w:val="restart"/>
            <w:shd w:val="clear" w:color="auto" w:fill="DBE5F1" w:themeFill="accent1" w:themeFillTint="33"/>
            <w:vAlign w:val="center"/>
          </w:tcPr>
          <w:p w:rsidR="003D2194" w:rsidRPr="007D679D" w:rsidRDefault="003D2194" w:rsidP="00CF69E8">
            <w:pPr>
              <w:pStyle w:val="TableText"/>
              <w:spacing w:before="60" w:after="60"/>
              <w:jc w:val="center"/>
              <w:rPr>
                <w:color w:val="002060"/>
                <w:sz w:val="24"/>
                <w:szCs w:val="24"/>
              </w:rPr>
            </w:pPr>
            <w:r>
              <w:rPr>
                <w:color w:val="002060"/>
                <w:sz w:val="24"/>
                <w:szCs w:val="24"/>
              </w:rPr>
              <w:t>What the health research strategy seeks to achieve</w:t>
            </w:r>
          </w:p>
        </w:tc>
      </w:tr>
      <w:tr w:rsidR="003D2194" w:rsidRPr="000312D7" w:rsidTr="003D2194">
        <w:trPr>
          <w:cantSplit/>
        </w:trPr>
        <w:tc>
          <w:tcPr>
            <w:tcW w:w="3828" w:type="dxa"/>
            <w:gridSpan w:val="2"/>
            <w:tcBorders>
              <w:bottom w:val="nil"/>
            </w:tcBorders>
          </w:tcPr>
          <w:p w:rsidR="003D2194" w:rsidRDefault="003D2194" w:rsidP="00CF69E8">
            <w:pPr>
              <w:pStyle w:val="TableText"/>
            </w:pPr>
          </w:p>
        </w:tc>
        <w:tc>
          <w:tcPr>
            <w:tcW w:w="5244" w:type="dxa"/>
            <w:gridSpan w:val="5"/>
            <w:vMerge/>
            <w:tcBorders>
              <w:bottom w:val="single" w:sz="12" w:space="0" w:color="002060"/>
            </w:tcBorders>
            <w:shd w:val="clear" w:color="auto" w:fill="DBE5F1" w:themeFill="accent1" w:themeFillTint="33"/>
          </w:tcPr>
          <w:p w:rsidR="003D2194" w:rsidRPr="000312D7" w:rsidRDefault="003D2194" w:rsidP="00CF69E8">
            <w:pPr>
              <w:pStyle w:val="TableText"/>
              <w:jc w:val="center"/>
              <w:rPr>
                <w:sz w:val="24"/>
                <w:szCs w:val="24"/>
              </w:rPr>
            </w:pPr>
          </w:p>
        </w:tc>
      </w:tr>
      <w:tr w:rsidR="003D2194" w:rsidTr="003D2194">
        <w:trPr>
          <w:cantSplit/>
        </w:trPr>
        <w:tc>
          <w:tcPr>
            <w:tcW w:w="8647" w:type="dxa"/>
            <w:gridSpan w:val="6"/>
            <w:tcBorders>
              <w:top w:val="nil"/>
              <w:bottom w:val="nil"/>
            </w:tcBorders>
          </w:tcPr>
          <w:p w:rsidR="003D2194" w:rsidRPr="007D679D" w:rsidRDefault="003D2194" w:rsidP="003D2194">
            <w:pPr>
              <w:pStyle w:val="TableText"/>
            </w:pPr>
          </w:p>
        </w:tc>
        <w:tc>
          <w:tcPr>
            <w:tcW w:w="425" w:type="dxa"/>
            <w:tcBorders>
              <w:top w:val="nil"/>
              <w:bottom w:val="nil"/>
              <w:right w:val="nil"/>
            </w:tcBorders>
          </w:tcPr>
          <w:p w:rsidR="003D2194" w:rsidRDefault="003D2194" w:rsidP="00CF69E8">
            <w:pPr>
              <w:pStyle w:val="TableText"/>
            </w:pPr>
          </w:p>
        </w:tc>
      </w:tr>
      <w:tr w:rsidR="003D2194" w:rsidTr="00D36DA8">
        <w:trPr>
          <w:cantSplit/>
        </w:trPr>
        <w:tc>
          <w:tcPr>
            <w:tcW w:w="304" w:type="dxa"/>
            <w:tcBorders>
              <w:top w:val="nil"/>
              <w:bottom w:val="nil"/>
              <w:right w:val="nil"/>
            </w:tcBorders>
          </w:tcPr>
          <w:p w:rsidR="003D2194" w:rsidRPr="007D679D" w:rsidRDefault="003D2194" w:rsidP="003D2194">
            <w:pPr>
              <w:pStyle w:val="TableText"/>
            </w:pPr>
          </w:p>
        </w:tc>
        <w:tc>
          <w:tcPr>
            <w:tcW w:w="3949" w:type="dxa"/>
            <w:gridSpan w:val="2"/>
            <w:tcBorders>
              <w:top w:val="nil"/>
              <w:left w:val="nil"/>
              <w:bottom w:val="nil"/>
              <w:right w:val="nil"/>
            </w:tcBorders>
            <w:shd w:val="clear" w:color="auto" w:fill="365F91" w:themeFill="accent1" w:themeFillShade="BF"/>
          </w:tcPr>
          <w:p w:rsidR="00CE218F" w:rsidRPr="00CE218F" w:rsidRDefault="00CE218F" w:rsidP="00CE218F">
            <w:pPr>
              <w:pStyle w:val="TableText"/>
              <w:spacing w:before="120"/>
              <w:rPr>
                <w:color w:val="FFFFFF" w:themeColor="background1"/>
                <w:sz w:val="24"/>
                <w:szCs w:val="24"/>
              </w:rPr>
            </w:pPr>
            <w:r w:rsidRPr="00CE218F">
              <w:rPr>
                <w:color w:val="FFFFFF" w:themeColor="background1"/>
                <w:sz w:val="24"/>
                <w:szCs w:val="24"/>
              </w:rPr>
              <w:t>The strategy aims to:</w:t>
            </w:r>
          </w:p>
          <w:p w:rsidR="00CE218F" w:rsidRPr="00D36DA8" w:rsidRDefault="00CE218F" w:rsidP="00D36DA8">
            <w:pPr>
              <w:pStyle w:val="TableBullet"/>
              <w:numPr>
                <w:ilvl w:val="0"/>
                <w:numId w:val="36"/>
              </w:numPr>
              <w:ind w:left="284" w:hanging="284"/>
              <w:rPr>
                <w:color w:val="FFFFFF" w:themeColor="background1"/>
                <w:sz w:val="20"/>
              </w:rPr>
            </w:pPr>
            <w:r w:rsidRPr="00D36DA8">
              <w:rPr>
                <w:color w:val="FFFFFF" w:themeColor="background1"/>
                <w:sz w:val="20"/>
              </w:rPr>
              <w:t>get the best value from New Zealand’s investment in health research for the health, social and economic wellbeing of New Zealanders</w:t>
            </w:r>
          </w:p>
          <w:p w:rsidR="00CE218F" w:rsidRPr="00D36DA8" w:rsidRDefault="00CE218F" w:rsidP="00D36DA8">
            <w:pPr>
              <w:pStyle w:val="TableBullet"/>
              <w:numPr>
                <w:ilvl w:val="0"/>
                <w:numId w:val="36"/>
              </w:numPr>
              <w:ind w:left="284" w:hanging="284"/>
              <w:rPr>
                <w:color w:val="FFFFFF" w:themeColor="background1"/>
                <w:sz w:val="20"/>
              </w:rPr>
            </w:pPr>
            <w:r w:rsidRPr="00D36DA8">
              <w:rPr>
                <w:color w:val="FFFFFF" w:themeColor="background1"/>
                <w:sz w:val="20"/>
              </w:rPr>
              <w:t>create a more effective and sustainable health research and innovation system</w:t>
            </w:r>
          </w:p>
          <w:p w:rsidR="003D2194" w:rsidRPr="00CE218F" w:rsidRDefault="00CE218F" w:rsidP="00D36DA8">
            <w:pPr>
              <w:pStyle w:val="TableBullet"/>
              <w:numPr>
                <w:ilvl w:val="0"/>
                <w:numId w:val="36"/>
              </w:numPr>
              <w:ind w:left="284" w:hanging="284"/>
              <w:rPr>
                <w:color w:val="FFFFFF" w:themeColor="background1"/>
              </w:rPr>
            </w:pPr>
            <w:proofErr w:type="gramStart"/>
            <w:r w:rsidRPr="00D36DA8">
              <w:rPr>
                <w:color w:val="FFFFFF" w:themeColor="background1"/>
                <w:sz w:val="20"/>
              </w:rPr>
              <w:t>send</w:t>
            </w:r>
            <w:proofErr w:type="gramEnd"/>
            <w:r w:rsidRPr="00D36DA8">
              <w:rPr>
                <w:color w:val="FFFFFF" w:themeColor="background1"/>
                <w:sz w:val="20"/>
              </w:rPr>
              <w:t xml:space="preserve"> signals about priorities for health research in New Zealand, while ensuring the system is sufficiently responsive to global and local challenges and opportunities</w:t>
            </w:r>
            <w:r w:rsidR="00D36DA8">
              <w:rPr>
                <w:color w:val="FFFFFF" w:themeColor="background1"/>
                <w:sz w:val="20"/>
              </w:rPr>
              <w:t>.</w:t>
            </w:r>
          </w:p>
        </w:tc>
        <w:tc>
          <w:tcPr>
            <w:tcW w:w="304" w:type="dxa"/>
            <w:tcBorders>
              <w:top w:val="nil"/>
              <w:left w:val="nil"/>
              <w:bottom w:val="nil"/>
              <w:right w:val="nil"/>
            </w:tcBorders>
          </w:tcPr>
          <w:p w:rsidR="003D2194" w:rsidRPr="007D679D" w:rsidRDefault="003D2194" w:rsidP="003D2194">
            <w:pPr>
              <w:pStyle w:val="TableText"/>
            </w:pPr>
          </w:p>
        </w:tc>
        <w:tc>
          <w:tcPr>
            <w:tcW w:w="3786" w:type="dxa"/>
            <w:tcBorders>
              <w:top w:val="nil"/>
              <w:left w:val="nil"/>
              <w:bottom w:val="nil"/>
              <w:right w:val="nil"/>
            </w:tcBorders>
            <w:shd w:val="clear" w:color="auto" w:fill="365F91" w:themeFill="accent1" w:themeFillShade="BF"/>
          </w:tcPr>
          <w:p w:rsidR="003D2194" w:rsidRPr="00CE218F" w:rsidRDefault="003D2194" w:rsidP="003D2194">
            <w:pPr>
              <w:pStyle w:val="TableText"/>
              <w:spacing w:before="120"/>
              <w:rPr>
                <w:color w:val="FFFFFF" w:themeColor="background1"/>
                <w:sz w:val="24"/>
                <w:szCs w:val="24"/>
              </w:rPr>
            </w:pPr>
            <w:r w:rsidRPr="00CE218F">
              <w:rPr>
                <w:color w:val="FFFFFF" w:themeColor="background1"/>
                <w:sz w:val="24"/>
                <w:szCs w:val="24"/>
              </w:rPr>
              <w:t>The health research strategy will support the Government’s other strategic directions:</w:t>
            </w:r>
          </w:p>
          <w:p w:rsidR="003D2194" w:rsidRPr="00D36DA8" w:rsidRDefault="003D2194" w:rsidP="00D36DA8">
            <w:pPr>
              <w:pStyle w:val="TableBullet"/>
              <w:numPr>
                <w:ilvl w:val="0"/>
                <w:numId w:val="37"/>
              </w:numPr>
              <w:ind w:left="284" w:hanging="284"/>
              <w:rPr>
                <w:color w:val="FFFFFF" w:themeColor="background1"/>
                <w:sz w:val="20"/>
              </w:rPr>
            </w:pPr>
            <w:r w:rsidRPr="00D36DA8">
              <w:rPr>
                <w:color w:val="FFFFFF" w:themeColor="background1"/>
                <w:sz w:val="20"/>
              </w:rPr>
              <w:t>the National Statement of Science Investment</w:t>
            </w:r>
          </w:p>
          <w:p w:rsidR="003D2194" w:rsidRPr="00D36DA8" w:rsidRDefault="003D2194" w:rsidP="00D36DA8">
            <w:pPr>
              <w:pStyle w:val="TableBullet"/>
              <w:numPr>
                <w:ilvl w:val="0"/>
                <w:numId w:val="37"/>
              </w:numPr>
              <w:ind w:left="284" w:hanging="284"/>
              <w:rPr>
                <w:color w:val="FFFFFF" w:themeColor="background1"/>
                <w:sz w:val="20"/>
              </w:rPr>
            </w:pPr>
            <w:r w:rsidRPr="00D36DA8">
              <w:rPr>
                <w:color w:val="FFFFFF" w:themeColor="background1"/>
                <w:sz w:val="20"/>
              </w:rPr>
              <w:t>the New Zealand Health Strategy: Future direction</w:t>
            </w:r>
          </w:p>
          <w:p w:rsidR="003D2194" w:rsidRPr="00D36DA8" w:rsidRDefault="003D2194" w:rsidP="00D36DA8">
            <w:pPr>
              <w:pStyle w:val="TableBullet"/>
              <w:numPr>
                <w:ilvl w:val="0"/>
                <w:numId w:val="37"/>
              </w:numPr>
              <w:ind w:left="284" w:hanging="284"/>
              <w:rPr>
                <w:color w:val="FFFFFF" w:themeColor="background1"/>
                <w:sz w:val="20"/>
              </w:rPr>
            </w:pPr>
            <w:r w:rsidRPr="00D36DA8">
              <w:rPr>
                <w:color w:val="FFFFFF" w:themeColor="background1"/>
                <w:sz w:val="20"/>
              </w:rPr>
              <w:t>other health strategies</w:t>
            </w:r>
          </w:p>
          <w:p w:rsidR="003D2194" w:rsidRPr="00D36DA8" w:rsidRDefault="003D2194" w:rsidP="00D36DA8">
            <w:pPr>
              <w:pStyle w:val="TableBullet"/>
              <w:numPr>
                <w:ilvl w:val="0"/>
                <w:numId w:val="37"/>
              </w:numPr>
              <w:ind w:left="284" w:hanging="284"/>
              <w:rPr>
                <w:color w:val="FFFFFF" w:themeColor="background1"/>
                <w:sz w:val="20"/>
              </w:rPr>
            </w:pPr>
            <w:r w:rsidRPr="00D36DA8">
              <w:rPr>
                <w:color w:val="FFFFFF" w:themeColor="background1"/>
                <w:sz w:val="20"/>
              </w:rPr>
              <w:t>the New Zealand Disability Strategy</w:t>
            </w:r>
          </w:p>
          <w:p w:rsidR="003D2194" w:rsidRPr="00D36DA8" w:rsidRDefault="003D2194" w:rsidP="00D36DA8">
            <w:pPr>
              <w:pStyle w:val="TableBullet"/>
              <w:numPr>
                <w:ilvl w:val="0"/>
                <w:numId w:val="37"/>
              </w:numPr>
              <w:ind w:left="284" w:hanging="284"/>
              <w:rPr>
                <w:color w:val="FFFFFF" w:themeColor="background1"/>
                <w:sz w:val="20"/>
              </w:rPr>
            </w:pPr>
            <w:r w:rsidRPr="00D36DA8">
              <w:rPr>
                <w:color w:val="FFFFFF" w:themeColor="background1"/>
                <w:sz w:val="20"/>
              </w:rPr>
              <w:t>the social investment approach</w:t>
            </w:r>
          </w:p>
          <w:p w:rsidR="003D2194" w:rsidRPr="003D2194" w:rsidRDefault="003D2194" w:rsidP="00D36DA8">
            <w:pPr>
              <w:pStyle w:val="TableBullet"/>
              <w:numPr>
                <w:ilvl w:val="0"/>
                <w:numId w:val="37"/>
              </w:numPr>
              <w:spacing w:after="120"/>
              <w:ind w:left="284" w:hanging="284"/>
            </w:pPr>
            <w:proofErr w:type="gramStart"/>
            <w:r w:rsidRPr="00D36DA8">
              <w:rPr>
                <w:color w:val="FFFFFF" w:themeColor="background1"/>
                <w:sz w:val="20"/>
              </w:rPr>
              <w:t>other</w:t>
            </w:r>
            <w:proofErr w:type="gramEnd"/>
            <w:r w:rsidRPr="00D36DA8">
              <w:rPr>
                <w:color w:val="FFFFFF" w:themeColor="background1"/>
                <w:sz w:val="20"/>
              </w:rPr>
              <w:t xml:space="preserve"> Government priorities.</w:t>
            </w:r>
          </w:p>
        </w:tc>
        <w:tc>
          <w:tcPr>
            <w:tcW w:w="304" w:type="dxa"/>
            <w:tcBorders>
              <w:top w:val="nil"/>
              <w:left w:val="nil"/>
              <w:bottom w:val="nil"/>
            </w:tcBorders>
          </w:tcPr>
          <w:p w:rsidR="003D2194" w:rsidRPr="007D679D" w:rsidRDefault="003D2194" w:rsidP="003D2194">
            <w:pPr>
              <w:pStyle w:val="TableText"/>
            </w:pPr>
          </w:p>
        </w:tc>
        <w:tc>
          <w:tcPr>
            <w:tcW w:w="425" w:type="dxa"/>
            <w:tcBorders>
              <w:top w:val="nil"/>
              <w:bottom w:val="nil"/>
              <w:right w:val="nil"/>
            </w:tcBorders>
          </w:tcPr>
          <w:p w:rsidR="003D2194" w:rsidRDefault="003D2194" w:rsidP="00CF69E8">
            <w:pPr>
              <w:pStyle w:val="TableText"/>
            </w:pPr>
          </w:p>
        </w:tc>
      </w:tr>
      <w:tr w:rsidR="003D2194" w:rsidTr="00CF69E8">
        <w:trPr>
          <w:cantSplit/>
        </w:trPr>
        <w:tc>
          <w:tcPr>
            <w:tcW w:w="8647" w:type="dxa"/>
            <w:gridSpan w:val="6"/>
            <w:tcBorders>
              <w:top w:val="nil"/>
            </w:tcBorders>
          </w:tcPr>
          <w:p w:rsidR="003D2194" w:rsidRPr="007D679D" w:rsidRDefault="003D2194" w:rsidP="003D2194">
            <w:pPr>
              <w:pStyle w:val="TableText"/>
            </w:pPr>
          </w:p>
        </w:tc>
        <w:tc>
          <w:tcPr>
            <w:tcW w:w="425" w:type="dxa"/>
            <w:tcBorders>
              <w:top w:val="nil"/>
              <w:bottom w:val="nil"/>
              <w:right w:val="nil"/>
            </w:tcBorders>
          </w:tcPr>
          <w:p w:rsidR="003D2194" w:rsidRDefault="003D2194" w:rsidP="00CF69E8">
            <w:pPr>
              <w:pStyle w:val="TableText"/>
            </w:pPr>
          </w:p>
        </w:tc>
      </w:tr>
    </w:tbl>
    <w:p w:rsidR="001344B9" w:rsidRPr="00050283" w:rsidRDefault="001344B9" w:rsidP="003521C3">
      <w:r w:rsidRPr="00050283">
        <w:t>You can choose to engage by making a written submission before 29 July</w:t>
      </w:r>
      <w:r>
        <w:t xml:space="preserve"> 2016</w:t>
      </w:r>
      <w:r w:rsidRPr="00050283">
        <w:t>, having your say on the website of the health research strategy before 29 July</w:t>
      </w:r>
      <w:r>
        <w:t xml:space="preserve"> 2016</w:t>
      </w:r>
      <w:r w:rsidRPr="00050283">
        <w:t xml:space="preserve">, or engaging in one of the focus group discussions. </w:t>
      </w:r>
      <w:r>
        <w:t>For d</w:t>
      </w:r>
      <w:r w:rsidRPr="00050283">
        <w:t xml:space="preserve">etails </w:t>
      </w:r>
      <w:r>
        <w:t>on</w:t>
      </w:r>
      <w:r w:rsidRPr="00050283">
        <w:t xml:space="preserve"> these </w:t>
      </w:r>
      <w:r>
        <w:t>options, visit</w:t>
      </w:r>
      <w:r w:rsidRPr="00050283">
        <w:t xml:space="preserve"> the health research strategy website: </w:t>
      </w:r>
      <w:hyperlink r:id="rId20" w:history="1">
        <w:r w:rsidRPr="00050283">
          <w:t>www.health.govt.nz/publication/nz-health-research-strategy-consultation</w:t>
        </w:r>
      </w:hyperlink>
      <w:r w:rsidRPr="00050283">
        <w:t>.</w:t>
      </w:r>
    </w:p>
    <w:p w:rsidR="001344B9" w:rsidRPr="004C295F" w:rsidRDefault="001344B9" w:rsidP="003521C3">
      <w:pPr>
        <w:pStyle w:val="Heading2"/>
        <w:numPr>
          <w:ilvl w:val="0"/>
          <w:numId w:val="0"/>
        </w:numPr>
      </w:pPr>
      <w:r w:rsidRPr="004C295F">
        <w:lastRenderedPageBreak/>
        <w:t>Questions about the health research strategy</w:t>
      </w:r>
    </w:p>
    <w:p w:rsidR="001344B9" w:rsidRDefault="003521C3" w:rsidP="003521C3">
      <w:pPr>
        <w:keepNext/>
        <w:ind w:left="567" w:hanging="567"/>
      </w:pPr>
      <w:r>
        <w:t>1</w:t>
      </w:r>
      <w:r>
        <w:tab/>
      </w:r>
      <w:r w:rsidR="001344B9" w:rsidRPr="00050283">
        <w:t>Does the proposed vision capture what you see as the desirable future state for health research in New Zealand by 2026?</w:t>
      </w:r>
    </w:p>
    <w:p w:rsidR="00280322" w:rsidRDefault="00280322" w:rsidP="00280322">
      <w:pPr>
        <w:keepNext/>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E670D1">
        <w:rPr>
          <w:rFonts w:ascii="Arial" w:hAnsi="Arial" w:cs="Arial"/>
          <w:sz w:val="24"/>
          <w:szCs w:val="24"/>
        </w:rPr>
      </w:r>
      <w:r w:rsidR="00E670D1">
        <w:rPr>
          <w:rFonts w:ascii="Arial" w:hAnsi="Arial" w:cs="Arial"/>
          <w:sz w:val="24"/>
          <w:szCs w:val="24"/>
        </w:rPr>
        <w:fldChar w:fldCharType="separate"/>
      </w:r>
      <w:r w:rsidRPr="00BE297A">
        <w:rPr>
          <w:rFonts w:ascii="Arial" w:hAnsi="Arial" w:cs="Arial"/>
          <w:sz w:val="24"/>
          <w:szCs w:val="24"/>
        </w:rPr>
        <w:fldChar w:fldCharType="end"/>
      </w:r>
      <w:r>
        <w:tab/>
        <w:t>Yes</w:t>
      </w:r>
    </w:p>
    <w:p w:rsidR="00280322" w:rsidRDefault="00280322" w:rsidP="00280322">
      <w:pPr>
        <w:keepNext/>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E670D1">
        <w:rPr>
          <w:rFonts w:ascii="Arial" w:hAnsi="Arial" w:cs="Arial"/>
          <w:sz w:val="24"/>
          <w:szCs w:val="24"/>
        </w:rPr>
      </w:r>
      <w:r w:rsidR="00E670D1">
        <w:rPr>
          <w:rFonts w:ascii="Arial" w:hAnsi="Arial" w:cs="Arial"/>
          <w:sz w:val="24"/>
          <w:szCs w:val="24"/>
        </w:rPr>
        <w:fldChar w:fldCharType="separate"/>
      </w:r>
      <w:r w:rsidRPr="00BE297A">
        <w:rPr>
          <w:rFonts w:ascii="Arial" w:hAnsi="Arial" w:cs="Arial"/>
          <w:sz w:val="24"/>
          <w:szCs w:val="24"/>
        </w:rPr>
        <w:fldChar w:fldCharType="end"/>
      </w:r>
      <w:r>
        <w:tab/>
        <w:t>No</w:t>
      </w:r>
    </w:p>
    <w:p w:rsidR="00280322" w:rsidRPr="003B556A" w:rsidRDefault="00280322" w:rsidP="00280322">
      <w:pPr>
        <w:keepNext/>
        <w:spacing w:before="120"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280322" w:rsidRPr="00BE297A" w:rsidTr="00280322">
        <w:trPr>
          <w:cantSplit/>
          <w:trHeight w:val="2268"/>
        </w:trPr>
        <w:tc>
          <w:tcPr>
            <w:tcW w:w="8789" w:type="dxa"/>
          </w:tcPr>
          <w:p w:rsidR="00280322" w:rsidRPr="00BE297A" w:rsidRDefault="00280322" w:rsidP="00CE218F">
            <w:pPr>
              <w:pStyle w:val="TableText"/>
              <w:spacing w:before="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1344B9" w:rsidRDefault="003521C3" w:rsidP="00280322">
      <w:pPr>
        <w:spacing w:before="480"/>
        <w:ind w:left="567" w:hanging="567"/>
      </w:pPr>
      <w:r>
        <w:t>2</w:t>
      </w:r>
      <w:r>
        <w:tab/>
      </w:r>
      <w:r w:rsidR="001344B9" w:rsidRPr="00050283">
        <w:t>Are there additional aspects that you think should be included in the vision?</w:t>
      </w:r>
    </w:p>
    <w:p w:rsidR="00280322" w:rsidRDefault="00280322" w:rsidP="00280322">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E670D1">
        <w:rPr>
          <w:rFonts w:ascii="Arial" w:hAnsi="Arial" w:cs="Arial"/>
          <w:sz w:val="24"/>
          <w:szCs w:val="24"/>
        </w:rPr>
      </w:r>
      <w:r w:rsidR="00E670D1">
        <w:rPr>
          <w:rFonts w:ascii="Arial" w:hAnsi="Arial" w:cs="Arial"/>
          <w:sz w:val="24"/>
          <w:szCs w:val="24"/>
        </w:rPr>
        <w:fldChar w:fldCharType="separate"/>
      </w:r>
      <w:r w:rsidRPr="00BE297A">
        <w:rPr>
          <w:rFonts w:ascii="Arial" w:hAnsi="Arial" w:cs="Arial"/>
          <w:sz w:val="24"/>
          <w:szCs w:val="24"/>
        </w:rPr>
        <w:fldChar w:fldCharType="end"/>
      </w:r>
      <w:r>
        <w:tab/>
        <w:t>Yes</w:t>
      </w:r>
    </w:p>
    <w:p w:rsidR="00280322" w:rsidRDefault="00280322" w:rsidP="00280322">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E670D1">
        <w:rPr>
          <w:rFonts w:ascii="Arial" w:hAnsi="Arial" w:cs="Arial"/>
          <w:sz w:val="24"/>
          <w:szCs w:val="24"/>
        </w:rPr>
      </w:r>
      <w:r w:rsidR="00E670D1">
        <w:rPr>
          <w:rFonts w:ascii="Arial" w:hAnsi="Arial" w:cs="Arial"/>
          <w:sz w:val="24"/>
          <w:szCs w:val="24"/>
        </w:rPr>
        <w:fldChar w:fldCharType="separate"/>
      </w:r>
      <w:r w:rsidRPr="00BE297A">
        <w:rPr>
          <w:rFonts w:ascii="Arial" w:hAnsi="Arial" w:cs="Arial"/>
          <w:sz w:val="24"/>
          <w:szCs w:val="24"/>
        </w:rPr>
        <w:fldChar w:fldCharType="end"/>
      </w:r>
      <w:r>
        <w:tab/>
        <w:t>No</w:t>
      </w:r>
    </w:p>
    <w:p w:rsidR="00280322" w:rsidRPr="003B556A" w:rsidRDefault="00280322" w:rsidP="00280322">
      <w:pPr>
        <w:spacing w:before="120"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280322" w:rsidRPr="00BE297A" w:rsidTr="00280322">
        <w:trPr>
          <w:cantSplit/>
          <w:trHeight w:val="2268"/>
        </w:trPr>
        <w:tc>
          <w:tcPr>
            <w:tcW w:w="8789" w:type="dxa"/>
          </w:tcPr>
          <w:p w:rsidR="00280322" w:rsidRPr="00BE297A" w:rsidRDefault="00280322" w:rsidP="00CE218F">
            <w:pPr>
              <w:pStyle w:val="TableText"/>
              <w:spacing w:before="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1344B9" w:rsidRDefault="003521C3" w:rsidP="00280322">
      <w:pPr>
        <w:spacing w:before="480"/>
        <w:ind w:left="567" w:hanging="567"/>
      </w:pPr>
      <w:r>
        <w:t>3</w:t>
      </w:r>
      <w:r>
        <w:tab/>
      </w:r>
      <w:r w:rsidR="001344B9" w:rsidRPr="00050283">
        <w:t>Does the proposed mission capture key contributions and roles that are needed to achieve the vision?</w:t>
      </w:r>
    </w:p>
    <w:p w:rsidR="00280322" w:rsidRDefault="00280322" w:rsidP="00280322">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E670D1">
        <w:rPr>
          <w:rFonts w:ascii="Arial" w:hAnsi="Arial" w:cs="Arial"/>
          <w:sz w:val="24"/>
          <w:szCs w:val="24"/>
        </w:rPr>
      </w:r>
      <w:r w:rsidR="00E670D1">
        <w:rPr>
          <w:rFonts w:ascii="Arial" w:hAnsi="Arial" w:cs="Arial"/>
          <w:sz w:val="24"/>
          <w:szCs w:val="24"/>
        </w:rPr>
        <w:fldChar w:fldCharType="separate"/>
      </w:r>
      <w:r w:rsidRPr="00BE297A">
        <w:rPr>
          <w:rFonts w:ascii="Arial" w:hAnsi="Arial" w:cs="Arial"/>
          <w:sz w:val="24"/>
          <w:szCs w:val="24"/>
        </w:rPr>
        <w:fldChar w:fldCharType="end"/>
      </w:r>
      <w:r>
        <w:tab/>
        <w:t>Yes</w:t>
      </w:r>
    </w:p>
    <w:p w:rsidR="00280322" w:rsidRDefault="00280322" w:rsidP="00280322">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E670D1">
        <w:rPr>
          <w:rFonts w:ascii="Arial" w:hAnsi="Arial" w:cs="Arial"/>
          <w:sz w:val="24"/>
          <w:szCs w:val="24"/>
        </w:rPr>
      </w:r>
      <w:r w:rsidR="00E670D1">
        <w:rPr>
          <w:rFonts w:ascii="Arial" w:hAnsi="Arial" w:cs="Arial"/>
          <w:sz w:val="24"/>
          <w:szCs w:val="24"/>
        </w:rPr>
        <w:fldChar w:fldCharType="separate"/>
      </w:r>
      <w:r w:rsidRPr="00BE297A">
        <w:rPr>
          <w:rFonts w:ascii="Arial" w:hAnsi="Arial" w:cs="Arial"/>
          <w:sz w:val="24"/>
          <w:szCs w:val="24"/>
        </w:rPr>
        <w:fldChar w:fldCharType="end"/>
      </w:r>
      <w:r>
        <w:tab/>
        <w:t>No</w:t>
      </w:r>
    </w:p>
    <w:p w:rsidR="00280322" w:rsidRPr="003B556A" w:rsidRDefault="00280322" w:rsidP="00280322">
      <w:pPr>
        <w:spacing w:before="120" w:after="120"/>
        <w:ind w:left="567"/>
      </w:pPr>
      <w:r w:rsidRPr="00050283">
        <w:t>If not, what do you think should be included?</w:t>
      </w:r>
    </w:p>
    <w:tbl>
      <w:tblPr>
        <w:tblStyle w:val="TableGrid"/>
        <w:tblW w:w="0" w:type="auto"/>
        <w:tblInd w:w="675" w:type="dxa"/>
        <w:tblLayout w:type="fixed"/>
        <w:tblLook w:val="04A0" w:firstRow="1" w:lastRow="0" w:firstColumn="1" w:lastColumn="0" w:noHBand="0" w:noVBand="1"/>
      </w:tblPr>
      <w:tblGrid>
        <w:gridCol w:w="8789"/>
      </w:tblGrid>
      <w:tr w:rsidR="00280322" w:rsidRPr="00BE297A" w:rsidTr="00280322">
        <w:trPr>
          <w:cantSplit/>
          <w:trHeight w:val="2268"/>
        </w:trPr>
        <w:tc>
          <w:tcPr>
            <w:tcW w:w="8789" w:type="dxa"/>
          </w:tcPr>
          <w:p w:rsidR="00280322" w:rsidRPr="00BE297A" w:rsidRDefault="00280322" w:rsidP="00CE218F">
            <w:pPr>
              <w:pStyle w:val="TableText"/>
              <w:spacing w:before="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1344B9" w:rsidRDefault="003521C3" w:rsidP="00280322">
      <w:pPr>
        <w:spacing w:before="480"/>
        <w:ind w:left="567" w:hanging="567"/>
      </w:pPr>
      <w:r>
        <w:lastRenderedPageBreak/>
        <w:t>4</w:t>
      </w:r>
      <w:r>
        <w:tab/>
      </w:r>
      <w:r w:rsidR="001344B9" w:rsidRPr="00050283">
        <w:t xml:space="preserve">Do these proposed guiding principles clearly state the operating principles and values that are needed to achieve change over the next </w:t>
      </w:r>
      <w:r w:rsidR="001344B9">
        <w:t>10</w:t>
      </w:r>
      <w:r w:rsidR="001344B9" w:rsidRPr="00050283">
        <w:t xml:space="preserve"> years?</w:t>
      </w:r>
    </w:p>
    <w:p w:rsidR="00280322" w:rsidRDefault="00280322" w:rsidP="00280322">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E670D1">
        <w:rPr>
          <w:rFonts w:ascii="Arial" w:hAnsi="Arial" w:cs="Arial"/>
          <w:sz w:val="24"/>
          <w:szCs w:val="24"/>
        </w:rPr>
      </w:r>
      <w:r w:rsidR="00E670D1">
        <w:rPr>
          <w:rFonts w:ascii="Arial" w:hAnsi="Arial" w:cs="Arial"/>
          <w:sz w:val="24"/>
          <w:szCs w:val="24"/>
        </w:rPr>
        <w:fldChar w:fldCharType="separate"/>
      </w:r>
      <w:r w:rsidRPr="00BE297A">
        <w:rPr>
          <w:rFonts w:ascii="Arial" w:hAnsi="Arial" w:cs="Arial"/>
          <w:sz w:val="24"/>
          <w:szCs w:val="24"/>
        </w:rPr>
        <w:fldChar w:fldCharType="end"/>
      </w:r>
      <w:r>
        <w:tab/>
        <w:t>Yes</w:t>
      </w:r>
    </w:p>
    <w:p w:rsidR="00280322" w:rsidRDefault="00280322" w:rsidP="00280322">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E670D1">
        <w:rPr>
          <w:rFonts w:ascii="Arial" w:hAnsi="Arial" w:cs="Arial"/>
          <w:sz w:val="24"/>
          <w:szCs w:val="24"/>
        </w:rPr>
      </w:r>
      <w:r w:rsidR="00E670D1">
        <w:rPr>
          <w:rFonts w:ascii="Arial" w:hAnsi="Arial" w:cs="Arial"/>
          <w:sz w:val="24"/>
          <w:szCs w:val="24"/>
        </w:rPr>
        <w:fldChar w:fldCharType="separate"/>
      </w:r>
      <w:r w:rsidRPr="00BE297A">
        <w:rPr>
          <w:rFonts w:ascii="Arial" w:hAnsi="Arial" w:cs="Arial"/>
          <w:sz w:val="24"/>
          <w:szCs w:val="24"/>
        </w:rPr>
        <w:fldChar w:fldCharType="end"/>
      </w:r>
      <w:r>
        <w:tab/>
        <w:t>No</w:t>
      </w:r>
    </w:p>
    <w:p w:rsidR="00280322" w:rsidRPr="003B556A" w:rsidRDefault="00280322" w:rsidP="00280322">
      <w:pPr>
        <w:spacing w:before="120"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280322" w:rsidRPr="00BE297A" w:rsidTr="00CF69E8">
        <w:trPr>
          <w:cantSplit/>
          <w:trHeight w:val="2268"/>
        </w:trPr>
        <w:tc>
          <w:tcPr>
            <w:tcW w:w="8789" w:type="dxa"/>
          </w:tcPr>
          <w:p w:rsidR="00280322" w:rsidRPr="00BE297A" w:rsidRDefault="00280322" w:rsidP="00CE218F">
            <w:pPr>
              <w:pStyle w:val="TableText"/>
              <w:spacing w:before="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1344B9" w:rsidRDefault="003521C3" w:rsidP="00280322">
      <w:pPr>
        <w:spacing w:before="480"/>
        <w:ind w:left="567" w:hanging="567"/>
      </w:pPr>
      <w:r>
        <w:t>5</w:t>
      </w:r>
      <w:r>
        <w:tab/>
      </w:r>
      <w:r w:rsidR="001344B9" w:rsidRPr="00050283">
        <w:t>Do you think additional guiding principles are needed?</w:t>
      </w:r>
    </w:p>
    <w:p w:rsidR="00280322" w:rsidRDefault="00280322" w:rsidP="00280322">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E670D1">
        <w:rPr>
          <w:rFonts w:ascii="Arial" w:hAnsi="Arial" w:cs="Arial"/>
          <w:sz w:val="24"/>
          <w:szCs w:val="24"/>
        </w:rPr>
      </w:r>
      <w:r w:rsidR="00E670D1">
        <w:rPr>
          <w:rFonts w:ascii="Arial" w:hAnsi="Arial" w:cs="Arial"/>
          <w:sz w:val="24"/>
          <w:szCs w:val="24"/>
        </w:rPr>
        <w:fldChar w:fldCharType="separate"/>
      </w:r>
      <w:r w:rsidRPr="00BE297A">
        <w:rPr>
          <w:rFonts w:ascii="Arial" w:hAnsi="Arial" w:cs="Arial"/>
          <w:sz w:val="24"/>
          <w:szCs w:val="24"/>
        </w:rPr>
        <w:fldChar w:fldCharType="end"/>
      </w:r>
      <w:r>
        <w:tab/>
        <w:t>Yes</w:t>
      </w:r>
    </w:p>
    <w:p w:rsidR="00280322" w:rsidRDefault="00280322" w:rsidP="00280322">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E670D1">
        <w:rPr>
          <w:rFonts w:ascii="Arial" w:hAnsi="Arial" w:cs="Arial"/>
          <w:sz w:val="24"/>
          <w:szCs w:val="24"/>
        </w:rPr>
      </w:r>
      <w:r w:rsidR="00E670D1">
        <w:rPr>
          <w:rFonts w:ascii="Arial" w:hAnsi="Arial" w:cs="Arial"/>
          <w:sz w:val="24"/>
          <w:szCs w:val="24"/>
        </w:rPr>
        <w:fldChar w:fldCharType="separate"/>
      </w:r>
      <w:r w:rsidRPr="00BE297A">
        <w:rPr>
          <w:rFonts w:ascii="Arial" w:hAnsi="Arial" w:cs="Arial"/>
          <w:sz w:val="24"/>
          <w:szCs w:val="24"/>
        </w:rPr>
        <w:fldChar w:fldCharType="end"/>
      </w:r>
      <w:r>
        <w:tab/>
        <w:t>No</w:t>
      </w:r>
    </w:p>
    <w:p w:rsidR="00280322" w:rsidRPr="003B556A" w:rsidRDefault="00280322" w:rsidP="00280322">
      <w:pPr>
        <w:spacing w:before="120"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280322" w:rsidRPr="00BE297A" w:rsidTr="00CF69E8">
        <w:trPr>
          <w:cantSplit/>
          <w:trHeight w:val="2268"/>
        </w:trPr>
        <w:tc>
          <w:tcPr>
            <w:tcW w:w="8789" w:type="dxa"/>
          </w:tcPr>
          <w:p w:rsidR="00280322" w:rsidRPr="00BE297A" w:rsidRDefault="00280322" w:rsidP="00CE218F">
            <w:pPr>
              <w:pStyle w:val="TableText"/>
              <w:spacing w:before="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1344B9" w:rsidRDefault="003521C3" w:rsidP="00280322">
      <w:pPr>
        <w:spacing w:before="480"/>
        <w:ind w:left="567" w:hanging="567"/>
      </w:pPr>
      <w:r>
        <w:t>6</w:t>
      </w:r>
      <w:r>
        <w:tab/>
      </w:r>
      <w:r w:rsidR="001344B9" w:rsidRPr="00050283">
        <w:t>Taken together, do you think the proposed vision, mission and guiding principles will set the framework for a more cohesive and connected health research and innovation system?</w:t>
      </w:r>
    </w:p>
    <w:p w:rsidR="00280322" w:rsidRDefault="00280322" w:rsidP="00280322">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E670D1">
        <w:rPr>
          <w:rFonts w:ascii="Arial" w:hAnsi="Arial" w:cs="Arial"/>
          <w:sz w:val="24"/>
          <w:szCs w:val="24"/>
        </w:rPr>
      </w:r>
      <w:r w:rsidR="00E670D1">
        <w:rPr>
          <w:rFonts w:ascii="Arial" w:hAnsi="Arial" w:cs="Arial"/>
          <w:sz w:val="24"/>
          <w:szCs w:val="24"/>
        </w:rPr>
        <w:fldChar w:fldCharType="separate"/>
      </w:r>
      <w:r w:rsidRPr="00BE297A">
        <w:rPr>
          <w:rFonts w:ascii="Arial" w:hAnsi="Arial" w:cs="Arial"/>
          <w:sz w:val="24"/>
          <w:szCs w:val="24"/>
        </w:rPr>
        <w:fldChar w:fldCharType="end"/>
      </w:r>
      <w:r>
        <w:tab/>
        <w:t>Yes</w:t>
      </w:r>
    </w:p>
    <w:p w:rsidR="00280322" w:rsidRDefault="00280322" w:rsidP="00280322">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E670D1">
        <w:rPr>
          <w:rFonts w:ascii="Arial" w:hAnsi="Arial" w:cs="Arial"/>
          <w:sz w:val="24"/>
          <w:szCs w:val="24"/>
        </w:rPr>
      </w:r>
      <w:r w:rsidR="00E670D1">
        <w:rPr>
          <w:rFonts w:ascii="Arial" w:hAnsi="Arial" w:cs="Arial"/>
          <w:sz w:val="24"/>
          <w:szCs w:val="24"/>
        </w:rPr>
        <w:fldChar w:fldCharType="separate"/>
      </w:r>
      <w:r w:rsidRPr="00BE297A">
        <w:rPr>
          <w:rFonts w:ascii="Arial" w:hAnsi="Arial" w:cs="Arial"/>
          <w:sz w:val="24"/>
          <w:szCs w:val="24"/>
        </w:rPr>
        <w:fldChar w:fldCharType="end"/>
      </w:r>
      <w:r>
        <w:tab/>
        <w:t>No</w:t>
      </w:r>
    </w:p>
    <w:p w:rsidR="00280322" w:rsidRPr="003B556A" w:rsidRDefault="00280322" w:rsidP="00280322">
      <w:pPr>
        <w:spacing w:before="120"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280322" w:rsidRPr="00BE297A" w:rsidTr="00CF69E8">
        <w:trPr>
          <w:cantSplit/>
          <w:trHeight w:val="2268"/>
        </w:trPr>
        <w:tc>
          <w:tcPr>
            <w:tcW w:w="8789" w:type="dxa"/>
          </w:tcPr>
          <w:p w:rsidR="00280322" w:rsidRPr="00BE297A" w:rsidRDefault="00280322" w:rsidP="00CE218F">
            <w:pPr>
              <w:pStyle w:val="TableText"/>
              <w:spacing w:before="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1344B9" w:rsidRDefault="003521C3" w:rsidP="00280322">
      <w:pPr>
        <w:keepNext/>
        <w:spacing w:before="480" w:after="120"/>
        <w:ind w:left="567" w:hanging="567"/>
      </w:pPr>
      <w:r>
        <w:lastRenderedPageBreak/>
        <w:t>7</w:t>
      </w:r>
      <w:r>
        <w:tab/>
      </w:r>
      <w:r w:rsidR="001344B9" w:rsidRPr="00050283">
        <w:t>What do you think should be the focus of the strategic priorities in the health research strategy?</w:t>
      </w:r>
    </w:p>
    <w:tbl>
      <w:tblPr>
        <w:tblStyle w:val="TableGrid"/>
        <w:tblW w:w="8789" w:type="dxa"/>
        <w:tblInd w:w="675" w:type="dxa"/>
        <w:tblLayout w:type="fixed"/>
        <w:tblLook w:val="04A0" w:firstRow="1" w:lastRow="0" w:firstColumn="1" w:lastColumn="0" w:noHBand="0" w:noVBand="1"/>
      </w:tblPr>
      <w:tblGrid>
        <w:gridCol w:w="8789"/>
      </w:tblGrid>
      <w:tr w:rsidR="00280322" w:rsidRPr="00BE297A" w:rsidTr="00280322">
        <w:trPr>
          <w:cantSplit/>
          <w:trHeight w:val="2268"/>
        </w:trPr>
        <w:tc>
          <w:tcPr>
            <w:tcW w:w="8789" w:type="dxa"/>
          </w:tcPr>
          <w:p w:rsidR="00280322" w:rsidRPr="00BE297A" w:rsidRDefault="00280322" w:rsidP="00CE218F">
            <w:pPr>
              <w:pStyle w:val="TableText"/>
              <w:spacing w:before="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1344B9" w:rsidRDefault="003521C3" w:rsidP="00280322">
      <w:pPr>
        <w:spacing w:after="120"/>
        <w:ind w:left="567" w:hanging="567"/>
      </w:pPr>
      <w:r>
        <w:t>8</w:t>
      </w:r>
      <w:r>
        <w:tab/>
      </w:r>
      <w:r w:rsidR="001344B9" w:rsidRPr="00050283">
        <w:t>What do you think of the example strategic priorities?</w:t>
      </w:r>
    </w:p>
    <w:tbl>
      <w:tblPr>
        <w:tblStyle w:val="TableGrid"/>
        <w:tblW w:w="8789" w:type="dxa"/>
        <w:tblInd w:w="675" w:type="dxa"/>
        <w:tblLayout w:type="fixed"/>
        <w:tblLook w:val="04A0" w:firstRow="1" w:lastRow="0" w:firstColumn="1" w:lastColumn="0" w:noHBand="0" w:noVBand="1"/>
      </w:tblPr>
      <w:tblGrid>
        <w:gridCol w:w="8789"/>
      </w:tblGrid>
      <w:tr w:rsidR="00280322" w:rsidRPr="00BE297A" w:rsidTr="00280322">
        <w:trPr>
          <w:cantSplit/>
          <w:trHeight w:val="2268"/>
        </w:trPr>
        <w:tc>
          <w:tcPr>
            <w:tcW w:w="8789" w:type="dxa"/>
          </w:tcPr>
          <w:p w:rsidR="00280322" w:rsidRPr="00BE297A" w:rsidRDefault="00280322" w:rsidP="00CE218F">
            <w:pPr>
              <w:pStyle w:val="TableText"/>
              <w:spacing w:before="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1344B9" w:rsidRDefault="003521C3" w:rsidP="00280322">
      <w:pPr>
        <w:spacing w:before="480" w:after="120"/>
        <w:ind w:left="567" w:hanging="567"/>
      </w:pPr>
      <w:r>
        <w:t>9</w:t>
      </w:r>
      <w:r>
        <w:tab/>
      </w:r>
      <w:r w:rsidR="001344B9" w:rsidRPr="00050283">
        <w:t>What specific actions could help us achieve the strategic priorities you have identified?</w:t>
      </w:r>
    </w:p>
    <w:tbl>
      <w:tblPr>
        <w:tblStyle w:val="TableGrid"/>
        <w:tblW w:w="8789" w:type="dxa"/>
        <w:tblInd w:w="675" w:type="dxa"/>
        <w:tblLayout w:type="fixed"/>
        <w:tblLook w:val="04A0" w:firstRow="1" w:lastRow="0" w:firstColumn="1" w:lastColumn="0" w:noHBand="0" w:noVBand="1"/>
      </w:tblPr>
      <w:tblGrid>
        <w:gridCol w:w="8789"/>
      </w:tblGrid>
      <w:tr w:rsidR="00280322" w:rsidRPr="00BE297A" w:rsidTr="00280322">
        <w:trPr>
          <w:cantSplit/>
          <w:trHeight w:val="2268"/>
        </w:trPr>
        <w:tc>
          <w:tcPr>
            <w:tcW w:w="8789" w:type="dxa"/>
          </w:tcPr>
          <w:p w:rsidR="00280322" w:rsidRPr="00BE297A" w:rsidRDefault="00280322" w:rsidP="00CE218F">
            <w:pPr>
              <w:pStyle w:val="TableText"/>
              <w:spacing w:before="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1344B9" w:rsidRDefault="003521C3" w:rsidP="00280322">
      <w:pPr>
        <w:spacing w:before="480" w:after="120"/>
        <w:ind w:left="567" w:hanging="567"/>
      </w:pPr>
      <w:r>
        <w:t>10</w:t>
      </w:r>
      <w:r>
        <w:tab/>
      </w:r>
      <w:r w:rsidR="001344B9" w:rsidRPr="00050283">
        <w:t xml:space="preserve">How could health research best support the directions of the New Zealand Health Strategy </w:t>
      </w:r>
      <w:r w:rsidR="001344B9">
        <w:t>Future Direction</w:t>
      </w:r>
      <w:r w:rsidR="001344B9" w:rsidRPr="00050283">
        <w:t>?</w:t>
      </w:r>
    </w:p>
    <w:tbl>
      <w:tblPr>
        <w:tblStyle w:val="TableGrid"/>
        <w:tblW w:w="8789" w:type="dxa"/>
        <w:tblInd w:w="675" w:type="dxa"/>
        <w:tblLayout w:type="fixed"/>
        <w:tblLook w:val="04A0" w:firstRow="1" w:lastRow="0" w:firstColumn="1" w:lastColumn="0" w:noHBand="0" w:noVBand="1"/>
      </w:tblPr>
      <w:tblGrid>
        <w:gridCol w:w="8789"/>
      </w:tblGrid>
      <w:tr w:rsidR="00280322" w:rsidRPr="00BE297A" w:rsidTr="00280322">
        <w:trPr>
          <w:cantSplit/>
          <w:trHeight w:val="2268"/>
        </w:trPr>
        <w:tc>
          <w:tcPr>
            <w:tcW w:w="8789" w:type="dxa"/>
          </w:tcPr>
          <w:p w:rsidR="00280322" w:rsidRPr="00BE297A" w:rsidRDefault="00280322" w:rsidP="00CE218F">
            <w:pPr>
              <w:pStyle w:val="TableText"/>
              <w:spacing w:before="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1344B9" w:rsidRDefault="003521C3" w:rsidP="00280322">
      <w:pPr>
        <w:keepNext/>
        <w:spacing w:before="480" w:after="120"/>
        <w:ind w:left="567" w:hanging="567"/>
      </w:pPr>
      <w:r>
        <w:lastRenderedPageBreak/>
        <w:t>11</w:t>
      </w:r>
      <w:r>
        <w:tab/>
      </w:r>
      <w:r w:rsidR="001344B9" w:rsidRPr="00050283">
        <w:t>Where do the challenges and opportunities lie for health research in New Zealand?</w:t>
      </w:r>
    </w:p>
    <w:tbl>
      <w:tblPr>
        <w:tblStyle w:val="TableGrid"/>
        <w:tblW w:w="8789" w:type="dxa"/>
        <w:tblInd w:w="675" w:type="dxa"/>
        <w:tblLayout w:type="fixed"/>
        <w:tblLook w:val="04A0" w:firstRow="1" w:lastRow="0" w:firstColumn="1" w:lastColumn="0" w:noHBand="0" w:noVBand="1"/>
      </w:tblPr>
      <w:tblGrid>
        <w:gridCol w:w="8789"/>
      </w:tblGrid>
      <w:tr w:rsidR="00280322" w:rsidRPr="00BE297A" w:rsidTr="00280322">
        <w:trPr>
          <w:cantSplit/>
          <w:trHeight w:val="2268"/>
        </w:trPr>
        <w:tc>
          <w:tcPr>
            <w:tcW w:w="8789" w:type="dxa"/>
          </w:tcPr>
          <w:p w:rsidR="00280322" w:rsidRPr="00BE297A" w:rsidRDefault="00280322" w:rsidP="00CE218F">
            <w:pPr>
              <w:pStyle w:val="TableText"/>
              <w:spacing w:before="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1344B9" w:rsidRDefault="003521C3" w:rsidP="00280322">
      <w:pPr>
        <w:spacing w:before="480" w:after="120"/>
        <w:ind w:left="567" w:hanging="567"/>
      </w:pPr>
      <w:r>
        <w:t>12</w:t>
      </w:r>
      <w:r>
        <w:tab/>
      </w:r>
      <w:r w:rsidR="001344B9" w:rsidRPr="00050283">
        <w:t>How can we build a more cohesive and connected system?</w:t>
      </w:r>
    </w:p>
    <w:tbl>
      <w:tblPr>
        <w:tblStyle w:val="TableGrid"/>
        <w:tblW w:w="8789" w:type="dxa"/>
        <w:tblInd w:w="675" w:type="dxa"/>
        <w:tblLayout w:type="fixed"/>
        <w:tblLook w:val="04A0" w:firstRow="1" w:lastRow="0" w:firstColumn="1" w:lastColumn="0" w:noHBand="0" w:noVBand="1"/>
      </w:tblPr>
      <w:tblGrid>
        <w:gridCol w:w="8789"/>
      </w:tblGrid>
      <w:tr w:rsidR="00280322" w:rsidRPr="00BE297A" w:rsidTr="00280322">
        <w:trPr>
          <w:cantSplit/>
          <w:trHeight w:val="2268"/>
        </w:trPr>
        <w:tc>
          <w:tcPr>
            <w:tcW w:w="8789" w:type="dxa"/>
          </w:tcPr>
          <w:p w:rsidR="00280322" w:rsidRPr="00BE297A" w:rsidRDefault="00280322" w:rsidP="00CE218F">
            <w:pPr>
              <w:pStyle w:val="TableText"/>
              <w:spacing w:before="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1344B9" w:rsidRDefault="003521C3" w:rsidP="00280322">
      <w:pPr>
        <w:spacing w:before="480" w:after="120"/>
        <w:ind w:left="567" w:hanging="567"/>
      </w:pPr>
      <w:r>
        <w:t>13</w:t>
      </w:r>
      <w:r>
        <w:tab/>
      </w:r>
      <w:r w:rsidR="001344B9" w:rsidRPr="00050283">
        <w:t>In what areas could health research in New Zealand make the greatest difference to the health and wellbeing of all New Zealanders over the short term and into the longer term?</w:t>
      </w:r>
    </w:p>
    <w:tbl>
      <w:tblPr>
        <w:tblStyle w:val="TableGrid"/>
        <w:tblW w:w="8789" w:type="dxa"/>
        <w:tblInd w:w="675" w:type="dxa"/>
        <w:tblLayout w:type="fixed"/>
        <w:tblLook w:val="04A0" w:firstRow="1" w:lastRow="0" w:firstColumn="1" w:lastColumn="0" w:noHBand="0" w:noVBand="1"/>
      </w:tblPr>
      <w:tblGrid>
        <w:gridCol w:w="8789"/>
      </w:tblGrid>
      <w:tr w:rsidR="00280322" w:rsidRPr="00BE297A" w:rsidTr="00280322">
        <w:trPr>
          <w:cantSplit/>
          <w:trHeight w:val="2268"/>
        </w:trPr>
        <w:tc>
          <w:tcPr>
            <w:tcW w:w="8789" w:type="dxa"/>
          </w:tcPr>
          <w:p w:rsidR="00280322" w:rsidRPr="00BE297A" w:rsidRDefault="00280322" w:rsidP="00CE218F">
            <w:pPr>
              <w:pStyle w:val="TableText"/>
              <w:spacing w:before="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1344B9" w:rsidRDefault="003521C3" w:rsidP="00280322">
      <w:pPr>
        <w:spacing w:before="480" w:after="120"/>
        <w:ind w:left="567" w:hanging="567"/>
      </w:pPr>
      <w:r>
        <w:t>14</w:t>
      </w:r>
      <w:r>
        <w:tab/>
      </w:r>
      <w:r w:rsidR="001344B9" w:rsidRPr="00050283">
        <w:t>How can we ensure health research generates knowledge and understanding that can help address the health needs of all New Zealanders?</w:t>
      </w:r>
    </w:p>
    <w:tbl>
      <w:tblPr>
        <w:tblStyle w:val="TableGrid"/>
        <w:tblW w:w="8789" w:type="dxa"/>
        <w:tblInd w:w="675" w:type="dxa"/>
        <w:tblLayout w:type="fixed"/>
        <w:tblLook w:val="04A0" w:firstRow="1" w:lastRow="0" w:firstColumn="1" w:lastColumn="0" w:noHBand="0" w:noVBand="1"/>
      </w:tblPr>
      <w:tblGrid>
        <w:gridCol w:w="8789"/>
      </w:tblGrid>
      <w:tr w:rsidR="00280322" w:rsidRPr="00BE297A" w:rsidTr="00280322">
        <w:trPr>
          <w:cantSplit/>
          <w:trHeight w:val="2268"/>
        </w:trPr>
        <w:tc>
          <w:tcPr>
            <w:tcW w:w="8789" w:type="dxa"/>
          </w:tcPr>
          <w:p w:rsidR="00280322" w:rsidRPr="00BE297A" w:rsidRDefault="00280322" w:rsidP="00CE218F">
            <w:pPr>
              <w:pStyle w:val="TableText"/>
              <w:spacing w:before="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1344B9" w:rsidRDefault="003521C3" w:rsidP="00280322">
      <w:pPr>
        <w:keepNext/>
        <w:spacing w:before="480" w:after="120"/>
        <w:ind w:left="567" w:hanging="567"/>
      </w:pPr>
      <w:r>
        <w:lastRenderedPageBreak/>
        <w:t>15</w:t>
      </w:r>
      <w:r>
        <w:tab/>
      </w:r>
      <w:r w:rsidR="001344B9" w:rsidRPr="00050283">
        <w:t>How can we get more excellent science and high-impact research?</w:t>
      </w:r>
    </w:p>
    <w:tbl>
      <w:tblPr>
        <w:tblStyle w:val="TableGrid"/>
        <w:tblW w:w="8789" w:type="dxa"/>
        <w:tblInd w:w="675" w:type="dxa"/>
        <w:tblLayout w:type="fixed"/>
        <w:tblLook w:val="04A0" w:firstRow="1" w:lastRow="0" w:firstColumn="1" w:lastColumn="0" w:noHBand="0" w:noVBand="1"/>
      </w:tblPr>
      <w:tblGrid>
        <w:gridCol w:w="8789"/>
      </w:tblGrid>
      <w:tr w:rsidR="00280322" w:rsidRPr="00BE297A" w:rsidTr="00280322">
        <w:trPr>
          <w:cantSplit/>
          <w:trHeight w:val="2268"/>
        </w:trPr>
        <w:tc>
          <w:tcPr>
            <w:tcW w:w="8789" w:type="dxa"/>
          </w:tcPr>
          <w:p w:rsidR="00280322" w:rsidRPr="00BE297A" w:rsidRDefault="00280322" w:rsidP="00CE218F">
            <w:pPr>
              <w:pStyle w:val="TableText"/>
              <w:spacing w:before="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1344B9" w:rsidRPr="00050283" w:rsidRDefault="003521C3" w:rsidP="00280322">
      <w:pPr>
        <w:spacing w:before="480" w:after="120"/>
        <w:ind w:left="567" w:hanging="567"/>
      </w:pPr>
      <w:r>
        <w:t>16</w:t>
      </w:r>
      <w:r>
        <w:tab/>
      </w:r>
      <w:r w:rsidR="001344B9" w:rsidRPr="00050283">
        <w:t>How can we improve the uptake of research results and innovations?</w:t>
      </w:r>
      <w:bookmarkEnd w:id="10"/>
    </w:p>
    <w:tbl>
      <w:tblPr>
        <w:tblStyle w:val="TableGrid"/>
        <w:tblW w:w="8789" w:type="dxa"/>
        <w:tblInd w:w="675" w:type="dxa"/>
        <w:tblLayout w:type="fixed"/>
        <w:tblLook w:val="04A0" w:firstRow="1" w:lastRow="0" w:firstColumn="1" w:lastColumn="0" w:noHBand="0" w:noVBand="1"/>
      </w:tblPr>
      <w:tblGrid>
        <w:gridCol w:w="8789"/>
      </w:tblGrid>
      <w:tr w:rsidR="00280322" w:rsidRPr="00BE297A" w:rsidTr="00280322">
        <w:trPr>
          <w:cantSplit/>
          <w:trHeight w:val="2268"/>
        </w:trPr>
        <w:tc>
          <w:tcPr>
            <w:tcW w:w="8789" w:type="dxa"/>
          </w:tcPr>
          <w:p w:rsidR="00280322" w:rsidRPr="00BE297A" w:rsidRDefault="00280322" w:rsidP="00CE218F">
            <w:pPr>
              <w:pStyle w:val="TableText"/>
              <w:spacing w:before="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F25970" w:rsidRPr="00E76D66" w:rsidRDefault="00F25970" w:rsidP="00E76D66"/>
    <w:sectPr w:rsidR="00F25970" w:rsidRPr="00E76D66" w:rsidSect="007575F7">
      <w:pgSz w:w="11907" w:h="16834" w:code="9"/>
      <w:pgMar w:top="1418" w:right="1418" w:bottom="1418" w:left="1418"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47F" w:rsidRDefault="00A9747F">
      <w:pPr>
        <w:spacing w:line="240" w:lineRule="auto"/>
      </w:pPr>
      <w:r>
        <w:separator/>
      </w:r>
    </w:p>
    <w:p w:rsidR="00A9747F" w:rsidRDefault="00A9747F"/>
  </w:endnote>
  <w:endnote w:type="continuationSeparator" w:id="0">
    <w:p w:rsidR="00A9747F" w:rsidRDefault="00A9747F">
      <w:pPr>
        <w:spacing w:line="240" w:lineRule="auto"/>
      </w:pPr>
      <w:r>
        <w:continuationSeparator/>
      </w:r>
    </w:p>
    <w:p w:rsidR="00A9747F" w:rsidRDefault="00A97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72" w:rsidRDefault="00D90772" w:rsidP="004D6689">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72" w:rsidRDefault="00D9077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72" w:rsidRPr="00933E61" w:rsidRDefault="00D90772" w:rsidP="00305435">
    <w:pPr>
      <w:pStyle w:val="VersoFoote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E670D1">
      <w:rPr>
        <w:rStyle w:val="PageNumber"/>
        <w:noProof/>
      </w:rPr>
      <w:t>2</w:t>
    </w:r>
    <w:r w:rsidRPr="00FC46E7">
      <w:rPr>
        <w:rStyle w:val="PageNumber"/>
      </w:rPr>
      <w:fldChar w:fldCharType="end"/>
    </w:r>
    <w:r>
      <w:tab/>
      <w:t>New Zealand Health Research Strategy: Public Discussion Document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72" w:rsidRPr="00305435" w:rsidRDefault="00D90772" w:rsidP="00305435">
    <w:pPr>
      <w:pStyle w:val="RectoFooter"/>
    </w:pPr>
    <w:r>
      <w:tab/>
      <w:t>New Zealand Health Research Strategy: Public Discussion Document</w:t>
    </w:r>
    <w:r>
      <w:tab/>
    </w:r>
    <w:r>
      <w:rPr>
        <w:rStyle w:val="PageNumber"/>
      </w:rPr>
      <w:fldChar w:fldCharType="begin"/>
    </w:r>
    <w:r>
      <w:rPr>
        <w:rStyle w:val="PageNumber"/>
      </w:rPr>
      <w:instrText xml:space="preserve"> PAGE </w:instrText>
    </w:r>
    <w:r>
      <w:rPr>
        <w:rStyle w:val="PageNumber"/>
      </w:rPr>
      <w:fldChar w:fldCharType="separate"/>
    </w:r>
    <w:r w:rsidR="00E670D1">
      <w:rPr>
        <w:rStyle w:val="PageNumber"/>
        <w:noProof/>
      </w:rPr>
      <w:t>iii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47F" w:rsidRPr="00A26E6B" w:rsidRDefault="00A9747F" w:rsidP="00A65003">
      <w:pPr>
        <w:spacing w:line="240" w:lineRule="auto"/>
      </w:pPr>
      <w:r>
        <w:separator/>
      </w:r>
    </w:p>
  </w:footnote>
  <w:footnote w:type="continuationSeparator" w:id="0">
    <w:p w:rsidR="00A9747F" w:rsidRDefault="00A9747F">
      <w:pPr>
        <w:spacing w:line="240" w:lineRule="auto"/>
      </w:pPr>
      <w:r>
        <w:continuationSeparator/>
      </w:r>
    </w:p>
    <w:p w:rsidR="00A9747F" w:rsidRDefault="00A9747F"/>
  </w:footnote>
  <w:footnote w:id="1">
    <w:p w:rsidR="00D90772" w:rsidRDefault="00D90772" w:rsidP="009072DA">
      <w:pPr>
        <w:pStyle w:val="FootnoteText"/>
      </w:pPr>
      <w:r w:rsidRPr="009072DA">
        <w:rPr>
          <w:rStyle w:val="FootnoteReference"/>
        </w:rPr>
        <w:footnoteRef/>
      </w:r>
      <w:r>
        <w:tab/>
        <w:t>The word ‘all’ reflects the need for a fair and responsive health system that reduces disparities in health outcomes for key groups, including M</w:t>
      </w:r>
      <w:r w:rsidRPr="003461E2">
        <w:t>ā</w:t>
      </w:r>
      <w:r>
        <w:t>ori, Pacific peoples, and disabled people.</w:t>
      </w:r>
    </w:p>
  </w:footnote>
  <w:footnote w:id="2">
    <w:p w:rsidR="00D90772" w:rsidRDefault="00D90772" w:rsidP="001A3E2D">
      <w:pPr>
        <w:pStyle w:val="FootnoteText"/>
      </w:pPr>
      <w:r w:rsidRPr="001A3E2D">
        <w:rPr>
          <w:rStyle w:val="FootnoteReference"/>
        </w:rPr>
        <w:footnoteRef/>
      </w:r>
      <w:r>
        <w:tab/>
        <w:t>The range of organisations contributing to the health of New Zealanders, including but not restricted to district health boards and other Crown entities established through the Public Health and Disability Act 2000.</w:t>
      </w:r>
    </w:p>
  </w:footnote>
  <w:footnote w:id="3">
    <w:p w:rsidR="00D90772" w:rsidRDefault="00D90772" w:rsidP="003521C3">
      <w:pPr>
        <w:pStyle w:val="FootnoteText"/>
      </w:pPr>
      <w:r w:rsidRPr="003521C3">
        <w:rPr>
          <w:rStyle w:val="FootnoteReference"/>
        </w:rPr>
        <w:footnoteRef/>
      </w:r>
      <w:r>
        <w:tab/>
      </w:r>
      <w:proofErr w:type="spellStart"/>
      <w:r w:rsidRPr="00356B0E">
        <w:t>SciVal</w:t>
      </w:r>
      <w:proofErr w:type="spellEnd"/>
      <w:r w:rsidRPr="00356B0E">
        <w:t>, extracted May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72" w:rsidRDefault="00D90772" w:rsidP="009216CC">
    <w:pPr>
      <w:ind w:left="-155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72" w:rsidRDefault="00D90772"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72" w:rsidRDefault="00D90772" w:rsidP="0090019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72" w:rsidRDefault="00D907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5F54"/>
    <w:multiLevelType w:val="hybridMultilevel"/>
    <w:tmpl w:val="AD96EB36"/>
    <w:lvl w:ilvl="0" w:tplc="714AC302">
      <w:start w:val="1"/>
      <w:numFmt w:val="bullet"/>
      <w:lvlText w:val=""/>
      <w:lvlJc w:val="left"/>
      <w:pPr>
        <w:ind w:left="360" w:hanging="360"/>
      </w:pPr>
      <w:rPr>
        <w:rFonts w:ascii="Symbol" w:hAnsi="Symbol" w:hint="default"/>
        <w:color w:val="00206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3477B4A"/>
    <w:multiLevelType w:val="hybridMultilevel"/>
    <w:tmpl w:val="1D1ABB20"/>
    <w:lvl w:ilvl="0" w:tplc="D9C0563E">
      <w:start w:val="1"/>
      <w:numFmt w:val="bullet"/>
      <w:pStyle w:val="Circle"/>
      <w:lvlText w:val="o"/>
      <w:lvlJc w:val="left"/>
      <w:pPr>
        <w:ind w:left="1571" w:hanging="360"/>
      </w:pPr>
      <w:rPr>
        <w:rFonts w:ascii="Courier New" w:hAnsi="Courier New"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2">
    <w:nsid w:val="03D10C14"/>
    <w:multiLevelType w:val="hybridMultilevel"/>
    <w:tmpl w:val="23060DC8"/>
    <w:lvl w:ilvl="0" w:tplc="FC3ADD74">
      <w:start w:val="1"/>
      <w:numFmt w:val="bullet"/>
      <w:lvlText w:val=""/>
      <w:lvlJc w:val="left"/>
      <w:pPr>
        <w:ind w:left="1179" w:hanging="360"/>
      </w:pPr>
      <w:rPr>
        <w:rFonts w:ascii="Symbol" w:hAnsi="Symbol" w:hint="default"/>
      </w:rPr>
    </w:lvl>
    <w:lvl w:ilvl="1" w:tplc="013A63C6">
      <w:start w:val="1"/>
      <w:numFmt w:val="bullet"/>
      <w:lvlText w:val="o"/>
      <w:lvlJc w:val="left"/>
      <w:pPr>
        <w:ind w:left="1899" w:hanging="360"/>
      </w:pPr>
      <w:rPr>
        <w:rFonts w:ascii="Courier New" w:hAnsi="Courier New" w:cs="Courier New" w:hint="default"/>
      </w:rPr>
    </w:lvl>
    <w:lvl w:ilvl="2" w:tplc="14090005" w:tentative="1">
      <w:start w:val="1"/>
      <w:numFmt w:val="bullet"/>
      <w:lvlText w:val=""/>
      <w:lvlJc w:val="left"/>
      <w:pPr>
        <w:ind w:left="2619" w:hanging="360"/>
      </w:pPr>
      <w:rPr>
        <w:rFonts w:ascii="Wingdings" w:hAnsi="Wingdings" w:hint="default"/>
      </w:rPr>
    </w:lvl>
    <w:lvl w:ilvl="3" w:tplc="14090001" w:tentative="1">
      <w:start w:val="1"/>
      <w:numFmt w:val="bullet"/>
      <w:lvlText w:val=""/>
      <w:lvlJc w:val="left"/>
      <w:pPr>
        <w:ind w:left="3339" w:hanging="360"/>
      </w:pPr>
      <w:rPr>
        <w:rFonts w:ascii="Symbol" w:hAnsi="Symbol" w:hint="default"/>
      </w:rPr>
    </w:lvl>
    <w:lvl w:ilvl="4" w:tplc="14090003" w:tentative="1">
      <w:start w:val="1"/>
      <w:numFmt w:val="bullet"/>
      <w:lvlText w:val="o"/>
      <w:lvlJc w:val="left"/>
      <w:pPr>
        <w:ind w:left="4059" w:hanging="360"/>
      </w:pPr>
      <w:rPr>
        <w:rFonts w:ascii="Courier New" w:hAnsi="Courier New" w:cs="Courier New" w:hint="default"/>
      </w:rPr>
    </w:lvl>
    <w:lvl w:ilvl="5" w:tplc="14090005" w:tentative="1">
      <w:start w:val="1"/>
      <w:numFmt w:val="bullet"/>
      <w:lvlText w:val=""/>
      <w:lvlJc w:val="left"/>
      <w:pPr>
        <w:ind w:left="4779" w:hanging="360"/>
      </w:pPr>
      <w:rPr>
        <w:rFonts w:ascii="Wingdings" w:hAnsi="Wingdings" w:hint="default"/>
      </w:rPr>
    </w:lvl>
    <w:lvl w:ilvl="6" w:tplc="14090001" w:tentative="1">
      <w:start w:val="1"/>
      <w:numFmt w:val="bullet"/>
      <w:lvlText w:val=""/>
      <w:lvlJc w:val="left"/>
      <w:pPr>
        <w:ind w:left="5499" w:hanging="360"/>
      </w:pPr>
      <w:rPr>
        <w:rFonts w:ascii="Symbol" w:hAnsi="Symbol" w:hint="default"/>
      </w:rPr>
    </w:lvl>
    <w:lvl w:ilvl="7" w:tplc="14090003" w:tentative="1">
      <w:start w:val="1"/>
      <w:numFmt w:val="bullet"/>
      <w:lvlText w:val="o"/>
      <w:lvlJc w:val="left"/>
      <w:pPr>
        <w:ind w:left="6219" w:hanging="360"/>
      </w:pPr>
      <w:rPr>
        <w:rFonts w:ascii="Courier New" w:hAnsi="Courier New" w:cs="Courier New" w:hint="default"/>
      </w:rPr>
    </w:lvl>
    <w:lvl w:ilvl="8" w:tplc="14090005" w:tentative="1">
      <w:start w:val="1"/>
      <w:numFmt w:val="bullet"/>
      <w:lvlText w:val=""/>
      <w:lvlJc w:val="left"/>
      <w:pPr>
        <w:ind w:left="6939" w:hanging="360"/>
      </w:pPr>
      <w:rPr>
        <w:rFonts w:ascii="Wingdings" w:hAnsi="Wingdings" w:hint="default"/>
      </w:rPr>
    </w:lvl>
  </w:abstractNum>
  <w:abstractNum w:abstractNumId="3">
    <w:nsid w:val="09D13CE5"/>
    <w:multiLevelType w:val="hybridMultilevel"/>
    <w:tmpl w:val="DECCDF50"/>
    <w:lvl w:ilvl="0" w:tplc="714AC302">
      <w:start w:val="1"/>
      <w:numFmt w:val="bullet"/>
      <w:lvlText w:val=""/>
      <w:lvlJc w:val="left"/>
      <w:pPr>
        <w:ind w:left="360" w:hanging="360"/>
      </w:pPr>
      <w:rPr>
        <w:rFonts w:ascii="Symbol" w:hAnsi="Symbol" w:hint="default"/>
        <w:color w:val="00206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CB24C28"/>
    <w:multiLevelType w:val="hybridMultilevel"/>
    <w:tmpl w:val="2796ECF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F9168E1"/>
    <w:multiLevelType w:val="hybridMultilevel"/>
    <w:tmpl w:val="1390DA6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01A62D6"/>
    <w:multiLevelType w:val="hybridMultilevel"/>
    <w:tmpl w:val="CDF6EBB8"/>
    <w:lvl w:ilvl="0" w:tplc="714AC302">
      <w:start w:val="1"/>
      <w:numFmt w:val="bullet"/>
      <w:lvlText w:val=""/>
      <w:lvlJc w:val="left"/>
      <w:pPr>
        <w:ind w:left="360" w:hanging="360"/>
      </w:pPr>
      <w:rPr>
        <w:rFonts w:ascii="Symbol" w:hAnsi="Symbol" w:hint="default"/>
        <w:color w:val="00206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13B30C4"/>
    <w:multiLevelType w:val="hybridMultilevel"/>
    <w:tmpl w:val="8438BF82"/>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1786B8E"/>
    <w:multiLevelType w:val="hybridMultilevel"/>
    <w:tmpl w:val="E36665E0"/>
    <w:lvl w:ilvl="0" w:tplc="A65EE808">
      <w:start w:val="1"/>
      <w:numFmt w:val="bullet"/>
      <w:pStyle w:val="Square"/>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5686771"/>
    <w:multiLevelType w:val="hybridMultilevel"/>
    <w:tmpl w:val="A858BC20"/>
    <w:lvl w:ilvl="0" w:tplc="14090001">
      <w:start w:val="1"/>
      <w:numFmt w:val="bullet"/>
      <w:lvlText w:val=""/>
      <w:lvlJc w:val="left"/>
      <w:pPr>
        <w:ind w:left="771" w:hanging="360"/>
      </w:pPr>
      <w:rPr>
        <w:rFonts w:ascii="Symbol" w:hAnsi="Symbol" w:hint="default"/>
      </w:rPr>
    </w:lvl>
    <w:lvl w:ilvl="1" w:tplc="14090003" w:tentative="1">
      <w:start w:val="1"/>
      <w:numFmt w:val="bullet"/>
      <w:lvlText w:val="o"/>
      <w:lvlJc w:val="left"/>
      <w:pPr>
        <w:ind w:left="1491" w:hanging="360"/>
      </w:pPr>
      <w:rPr>
        <w:rFonts w:ascii="Courier New" w:hAnsi="Courier New" w:cs="Courier New" w:hint="default"/>
      </w:rPr>
    </w:lvl>
    <w:lvl w:ilvl="2" w:tplc="14090005" w:tentative="1">
      <w:start w:val="1"/>
      <w:numFmt w:val="bullet"/>
      <w:lvlText w:val=""/>
      <w:lvlJc w:val="left"/>
      <w:pPr>
        <w:ind w:left="2211" w:hanging="360"/>
      </w:pPr>
      <w:rPr>
        <w:rFonts w:ascii="Wingdings" w:hAnsi="Wingdings" w:hint="default"/>
      </w:rPr>
    </w:lvl>
    <w:lvl w:ilvl="3" w:tplc="14090001" w:tentative="1">
      <w:start w:val="1"/>
      <w:numFmt w:val="bullet"/>
      <w:lvlText w:val=""/>
      <w:lvlJc w:val="left"/>
      <w:pPr>
        <w:ind w:left="2931" w:hanging="360"/>
      </w:pPr>
      <w:rPr>
        <w:rFonts w:ascii="Symbol" w:hAnsi="Symbol" w:hint="default"/>
      </w:rPr>
    </w:lvl>
    <w:lvl w:ilvl="4" w:tplc="14090003" w:tentative="1">
      <w:start w:val="1"/>
      <w:numFmt w:val="bullet"/>
      <w:lvlText w:val="o"/>
      <w:lvlJc w:val="left"/>
      <w:pPr>
        <w:ind w:left="3651" w:hanging="360"/>
      </w:pPr>
      <w:rPr>
        <w:rFonts w:ascii="Courier New" w:hAnsi="Courier New" w:cs="Courier New" w:hint="default"/>
      </w:rPr>
    </w:lvl>
    <w:lvl w:ilvl="5" w:tplc="14090005" w:tentative="1">
      <w:start w:val="1"/>
      <w:numFmt w:val="bullet"/>
      <w:lvlText w:val=""/>
      <w:lvlJc w:val="left"/>
      <w:pPr>
        <w:ind w:left="4371" w:hanging="360"/>
      </w:pPr>
      <w:rPr>
        <w:rFonts w:ascii="Wingdings" w:hAnsi="Wingdings" w:hint="default"/>
      </w:rPr>
    </w:lvl>
    <w:lvl w:ilvl="6" w:tplc="14090001" w:tentative="1">
      <w:start w:val="1"/>
      <w:numFmt w:val="bullet"/>
      <w:lvlText w:val=""/>
      <w:lvlJc w:val="left"/>
      <w:pPr>
        <w:ind w:left="5091" w:hanging="360"/>
      </w:pPr>
      <w:rPr>
        <w:rFonts w:ascii="Symbol" w:hAnsi="Symbol" w:hint="default"/>
      </w:rPr>
    </w:lvl>
    <w:lvl w:ilvl="7" w:tplc="14090003" w:tentative="1">
      <w:start w:val="1"/>
      <w:numFmt w:val="bullet"/>
      <w:lvlText w:val="o"/>
      <w:lvlJc w:val="left"/>
      <w:pPr>
        <w:ind w:left="5811" w:hanging="360"/>
      </w:pPr>
      <w:rPr>
        <w:rFonts w:ascii="Courier New" w:hAnsi="Courier New" w:cs="Courier New" w:hint="default"/>
      </w:rPr>
    </w:lvl>
    <w:lvl w:ilvl="8" w:tplc="14090005" w:tentative="1">
      <w:start w:val="1"/>
      <w:numFmt w:val="bullet"/>
      <w:lvlText w:val=""/>
      <w:lvlJc w:val="left"/>
      <w:pPr>
        <w:ind w:left="6531" w:hanging="360"/>
      </w:pPr>
      <w:rPr>
        <w:rFonts w:ascii="Wingdings" w:hAnsi="Wingdings" w:hint="default"/>
      </w:rPr>
    </w:lvl>
  </w:abstractNum>
  <w:abstractNum w:abstractNumId="10">
    <w:nsid w:val="178B537B"/>
    <w:multiLevelType w:val="hybridMultilevel"/>
    <w:tmpl w:val="58AAD5CE"/>
    <w:lvl w:ilvl="0" w:tplc="AC607118">
      <w:start w:val="1"/>
      <w:numFmt w:val="bullet"/>
      <w:lvlText w:val=""/>
      <w:lvlJc w:val="left"/>
      <w:pPr>
        <w:ind w:left="360" w:hanging="360"/>
      </w:pPr>
      <w:rPr>
        <w:rFonts w:ascii="Symbol" w:hAnsi="Symbol" w:hint="default"/>
        <w:color w:val="00206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82E5998"/>
    <w:multiLevelType w:val="hybridMultilevel"/>
    <w:tmpl w:val="B6A43F8C"/>
    <w:lvl w:ilvl="0" w:tplc="3BDEFF3E">
      <w:start w:val="1"/>
      <w:numFmt w:val="bullet"/>
      <w:lvlText w:val=""/>
      <w:lvlJc w:val="left"/>
      <w:pPr>
        <w:ind w:left="360" w:hanging="360"/>
      </w:pPr>
      <w:rPr>
        <w:rFonts w:ascii="Symbol" w:hAnsi="Symbol" w:hint="default"/>
        <w:color w:val="FFFFFF" w:themeColor="background1"/>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C343313"/>
    <w:multiLevelType w:val="hybridMultilevel"/>
    <w:tmpl w:val="51C20E22"/>
    <w:lvl w:ilvl="0" w:tplc="714AC302">
      <w:start w:val="1"/>
      <w:numFmt w:val="bullet"/>
      <w:lvlText w:val=""/>
      <w:lvlJc w:val="left"/>
      <w:pPr>
        <w:ind w:left="360" w:hanging="360"/>
      </w:pPr>
      <w:rPr>
        <w:rFonts w:ascii="Symbol" w:hAnsi="Symbol" w:hint="default"/>
        <w:color w:val="00206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D686121"/>
    <w:multiLevelType w:val="hybridMultilevel"/>
    <w:tmpl w:val="2796EC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1EDA5B25"/>
    <w:multiLevelType w:val="hybridMultilevel"/>
    <w:tmpl w:val="2796ECF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1FED0D28"/>
    <w:multiLevelType w:val="hybridMultilevel"/>
    <w:tmpl w:val="B9BE52B4"/>
    <w:lvl w:ilvl="0" w:tplc="714AC302">
      <w:start w:val="1"/>
      <w:numFmt w:val="bullet"/>
      <w:lvlText w:val=""/>
      <w:lvlJc w:val="left"/>
      <w:pPr>
        <w:ind w:left="360" w:hanging="360"/>
      </w:pPr>
      <w:rPr>
        <w:rFonts w:ascii="Symbol" w:hAnsi="Symbol" w:hint="default"/>
        <w:color w:val="00206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1712142"/>
    <w:multiLevelType w:val="hybridMultilevel"/>
    <w:tmpl w:val="2796EC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21D46D85"/>
    <w:multiLevelType w:val="hybridMultilevel"/>
    <w:tmpl w:val="8818A674"/>
    <w:lvl w:ilvl="0" w:tplc="714AC302">
      <w:start w:val="1"/>
      <w:numFmt w:val="bullet"/>
      <w:lvlText w:val=""/>
      <w:lvlJc w:val="left"/>
      <w:pPr>
        <w:ind w:left="360" w:hanging="360"/>
      </w:pPr>
      <w:rPr>
        <w:rFonts w:ascii="Symbol" w:hAnsi="Symbol" w:hint="default"/>
        <w:color w:val="00206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9642B96"/>
    <w:multiLevelType w:val="hybridMultilevel"/>
    <w:tmpl w:val="9AECC624"/>
    <w:lvl w:ilvl="0" w:tplc="714AC302">
      <w:start w:val="1"/>
      <w:numFmt w:val="bullet"/>
      <w:lvlText w:val=""/>
      <w:lvlJc w:val="left"/>
      <w:pPr>
        <w:ind w:left="360" w:hanging="360"/>
      </w:pPr>
      <w:rPr>
        <w:rFonts w:ascii="Symbol" w:hAnsi="Symbol" w:hint="default"/>
        <w:color w:val="00206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9D634BE"/>
    <w:multiLevelType w:val="multilevel"/>
    <w:tmpl w:val="273A385C"/>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D9268A7"/>
    <w:multiLevelType w:val="hybridMultilevel"/>
    <w:tmpl w:val="2A128148"/>
    <w:lvl w:ilvl="0" w:tplc="714AC302">
      <w:start w:val="1"/>
      <w:numFmt w:val="bullet"/>
      <w:lvlText w:val=""/>
      <w:lvlJc w:val="left"/>
      <w:pPr>
        <w:ind w:left="360" w:hanging="360"/>
      </w:pPr>
      <w:rPr>
        <w:rFonts w:ascii="Symbol" w:hAnsi="Symbol" w:hint="default"/>
        <w:color w:val="00206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BAB471E"/>
    <w:multiLevelType w:val="multilevel"/>
    <w:tmpl w:val="6C6E1C46"/>
    <w:lvl w:ilvl="0">
      <w:start w:val="1"/>
      <w:numFmt w:val="decimal"/>
      <w:lvlText w:val="%1"/>
      <w:lvlJc w:val="left"/>
      <w:pPr>
        <w:ind w:left="432" w:hanging="432"/>
      </w:pPr>
    </w:lvl>
    <w:lvl w:ilvl="1">
      <w:start w:val="1"/>
      <w:numFmt w:val="decimal"/>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42B1364C"/>
    <w:multiLevelType w:val="hybridMultilevel"/>
    <w:tmpl w:val="5F36FE56"/>
    <w:lvl w:ilvl="0" w:tplc="39E42FFE">
      <w:start w:val="1"/>
      <w:numFmt w:val="bullet"/>
      <w:pStyle w:val="TableBullet"/>
      <w:lvlText w:val=""/>
      <w:lvlJc w:val="left"/>
      <w:pPr>
        <w:ind w:left="360" w:hanging="360"/>
      </w:pPr>
      <w:rPr>
        <w:rFonts w:ascii="Symbol" w:hAnsi="Symbol" w:hint="default"/>
        <w:color w:val="auto"/>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540732D"/>
    <w:multiLevelType w:val="hybridMultilevel"/>
    <w:tmpl w:val="786417FC"/>
    <w:lvl w:ilvl="0" w:tplc="73AAE348">
      <w:start w:val="1"/>
      <w:numFmt w:val="decimal"/>
      <w:lvlText w:val="Question %1: "/>
      <w:lvlJc w:val="left"/>
      <w:pPr>
        <w:tabs>
          <w:tab w:val="num" w:pos="2637"/>
        </w:tabs>
        <w:ind w:left="2637" w:hanging="1361"/>
      </w:pPr>
      <w:rPr>
        <w:rFonts w:ascii="Calibri Light" w:hAnsi="Calibri Light"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DA182F"/>
    <w:multiLevelType w:val="hybridMultilevel"/>
    <w:tmpl w:val="EFE4BC0E"/>
    <w:lvl w:ilvl="0" w:tplc="3BDEFF3E">
      <w:start w:val="1"/>
      <w:numFmt w:val="bullet"/>
      <w:lvlText w:val=""/>
      <w:lvlJc w:val="left"/>
      <w:pPr>
        <w:ind w:left="360" w:hanging="360"/>
      </w:pPr>
      <w:rPr>
        <w:rFonts w:ascii="Symbol" w:hAnsi="Symbol" w:hint="default"/>
        <w:color w:val="FFFFFF" w:themeColor="background1"/>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BB360D8"/>
    <w:multiLevelType w:val="hybridMultilevel"/>
    <w:tmpl w:val="2796EC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4DAF6B80"/>
    <w:multiLevelType w:val="hybridMultilevel"/>
    <w:tmpl w:val="B2C4A09A"/>
    <w:lvl w:ilvl="0" w:tplc="4A786E1C">
      <w:start w:val="1"/>
      <w:numFmt w:val="decimal"/>
      <w:lvlText w:val="Figure %1"/>
      <w:lvlJc w:val="left"/>
      <w:pPr>
        <w:ind w:left="9782" w:hanging="851"/>
      </w:pPr>
      <w:rPr>
        <w:rFonts w:ascii="Calibri Light" w:hAnsi="Calibri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7829D4"/>
    <w:multiLevelType w:val="hybridMultilevel"/>
    <w:tmpl w:val="C1C2A9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52781A58"/>
    <w:multiLevelType w:val="hybridMultilevel"/>
    <w:tmpl w:val="DD742DFE"/>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nsid w:val="544E6F0D"/>
    <w:multiLevelType w:val="hybridMultilevel"/>
    <w:tmpl w:val="3048AFD4"/>
    <w:lvl w:ilvl="0" w:tplc="714AC302">
      <w:start w:val="1"/>
      <w:numFmt w:val="bullet"/>
      <w:lvlText w:val=""/>
      <w:lvlJc w:val="left"/>
      <w:pPr>
        <w:ind w:left="360" w:hanging="360"/>
      </w:pPr>
      <w:rPr>
        <w:rFonts w:ascii="Symbol" w:hAnsi="Symbol" w:hint="default"/>
        <w:color w:val="00206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48410C0"/>
    <w:multiLevelType w:val="multilevel"/>
    <w:tmpl w:val="09E4B65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1">
    <w:nsid w:val="56FF3E06"/>
    <w:multiLevelType w:val="hybridMultilevel"/>
    <w:tmpl w:val="74D219A4"/>
    <w:lvl w:ilvl="0" w:tplc="714AC302">
      <w:start w:val="1"/>
      <w:numFmt w:val="bullet"/>
      <w:lvlText w:val=""/>
      <w:lvlJc w:val="left"/>
      <w:pPr>
        <w:ind w:left="360" w:hanging="360"/>
      </w:pPr>
      <w:rPr>
        <w:rFonts w:ascii="Symbol" w:hAnsi="Symbol" w:hint="default"/>
        <w:color w:val="00206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A041B37"/>
    <w:multiLevelType w:val="hybridMultilevel"/>
    <w:tmpl w:val="98A0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0469E0"/>
    <w:multiLevelType w:val="hybridMultilevel"/>
    <w:tmpl w:val="0AD6F8EC"/>
    <w:lvl w:ilvl="0" w:tplc="714AC302">
      <w:start w:val="1"/>
      <w:numFmt w:val="bullet"/>
      <w:lvlText w:val=""/>
      <w:lvlJc w:val="left"/>
      <w:pPr>
        <w:ind w:left="360" w:hanging="360"/>
      </w:pPr>
      <w:rPr>
        <w:rFonts w:ascii="Symbol" w:hAnsi="Symbol" w:hint="default"/>
        <w:color w:val="00206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5FFD48B5"/>
    <w:multiLevelType w:val="hybridMultilevel"/>
    <w:tmpl w:val="2796EC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606D70F7"/>
    <w:multiLevelType w:val="hybridMultilevel"/>
    <w:tmpl w:val="1284A0CE"/>
    <w:lvl w:ilvl="0" w:tplc="3BDEFF3E">
      <w:start w:val="1"/>
      <w:numFmt w:val="bullet"/>
      <w:lvlText w:val=""/>
      <w:lvlJc w:val="left"/>
      <w:pPr>
        <w:ind w:left="360" w:hanging="360"/>
      </w:pPr>
      <w:rPr>
        <w:rFonts w:ascii="Symbol" w:hAnsi="Symbol" w:hint="default"/>
        <w:color w:val="FFFFFF" w:themeColor="background1"/>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1E434FD"/>
    <w:multiLevelType w:val="hybridMultilevel"/>
    <w:tmpl w:val="2474F438"/>
    <w:lvl w:ilvl="0" w:tplc="714AC302">
      <w:start w:val="1"/>
      <w:numFmt w:val="bullet"/>
      <w:lvlText w:val=""/>
      <w:lvlJc w:val="left"/>
      <w:pPr>
        <w:ind w:left="360" w:hanging="360"/>
      </w:pPr>
      <w:rPr>
        <w:rFonts w:ascii="Symbol" w:hAnsi="Symbol" w:hint="default"/>
        <w:color w:val="00206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9E25960"/>
    <w:multiLevelType w:val="hybridMultilevel"/>
    <w:tmpl w:val="22C64E44"/>
    <w:lvl w:ilvl="0" w:tplc="714AC302">
      <w:start w:val="1"/>
      <w:numFmt w:val="bullet"/>
      <w:lvlText w:val=""/>
      <w:lvlJc w:val="left"/>
      <w:pPr>
        <w:ind w:left="360" w:hanging="360"/>
      </w:pPr>
      <w:rPr>
        <w:rFonts w:ascii="Symbol" w:hAnsi="Symbol" w:hint="default"/>
        <w:color w:val="00206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1D9586B"/>
    <w:multiLevelType w:val="hybridMultilevel"/>
    <w:tmpl w:val="B006415A"/>
    <w:lvl w:ilvl="0" w:tplc="714AC302">
      <w:start w:val="1"/>
      <w:numFmt w:val="bullet"/>
      <w:lvlText w:val=""/>
      <w:lvlJc w:val="left"/>
      <w:pPr>
        <w:ind w:left="360" w:hanging="360"/>
      </w:pPr>
      <w:rPr>
        <w:rFonts w:ascii="Symbol" w:hAnsi="Symbol" w:hint="default"/>
        <w:color w:val="00206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734311AD"/>
    <w:multiLevelType w:val="hybridMultilevel"/>
    <w:tmpl w:val="8B547A46"/>
    <w:lvl w:ilvl="0" w:tplc="714AC302">
      <w:start w:val="1"/>
      <w:numFmt w:val="bullet"/>
      <w:lvlText w:val=""/>
      <w:lvlJc w:val="left"/>
      <w:pPr>
        <w:ind w:left="360" w:hanging="360"/>
      </w:pPr>
      <w:rPr>
        <w:rFonts w:ascii="Symbol" w:hAnsi="Symbol" w:hint="default"/>
        <w:color w:val="00206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6667273"/>
    <w:multiLevelType w:val="hybridMultilevel"/>
    <w:tmpl w:val="0C02E52C"/>
    <w:lvl w:ilvl="0" w:tplc="714AC302">
      <w:start w:val="1"/>
      <w:numFmt w:val="bullet"/>
      <w:lvlText w:val=""/>
      <w:lvlJc w:val="left"/>
      <w:pPr>
        <w:ind w:left="360" w:hanging="360"/>
      </w:pPr>
      <w:rPr>
        <w:rFonts w:ascii="Symbol" w:hAnsi="Symbol" w:hint="default"/>
        <w:color w:val="00206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BB473A2"/>
    <w:multiLevelType w:val="hybridMultilevel"/>
    <w:tmpl w:val="C7BE6222"/>
    <w:lvl w:ilvl="0" w:tplc="714AC302">
      <w:start w:val="1"/>
      <w:numFmt w:val="bullet"/>
      <w:lvlText w:val=""/>
      <w:lvlJc w:val="left"/>
      <w:pPr>
        <w:ind w:left="360" w:hanging="360"/>
      </w:pPr>
      <w:rPr>
        <w:rFonts w:ascii="Symbol" w:hAnsi="Symbol" w:hint="default"/>
        <w:color w:val="00206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6"/>
  </w:num>
  <w:num w:numId="2">
    <w:abstractNumId w:val="32"/>
  </w:num>
  <w:num w:numId="3">
    <w:abstractNumId w:val="28"/>
  </w:num>
  <w:num w:numId="4">
    <w:abstractNumId w:val="23"/>
  </w:num>
  <w:num w:numId="5">
    <w:abstractNumId w:val="21"/>
  </w:num>
  <w:num w:numId="6">
    <w:abstractNumId w:val="42"/>
  </w:num>
  <w:num w:numId="7">
    <w:abstractNumId w:val="2"/>
  </w:num>
  <w:num w:numId="8">
    <w:abstractNumId w:val="30"/>
  </w:num>
  <w:num w:numId="9">
    <w:abstractNumId w:val="25"/>
  </w:num>
  <w:num w:numId="10">
    <w:abstractNumId w:val="13"/>
  </w:num>
  <w:num w:numId="11">
    <w:abstractNumId w:val="34"/>
  </w:num>
  <w:num w:numId="12">
    <w:abstractNumId w:val="7"/>
  </w:num>
  <w:num w:numId="13">
    <w:abstractNumId w:val="9"/>
  </w:num>
  <w:num w:numId="14">
    <w:abstractNumId w:val="4"/>
  </w:num>
  <w:num w:numId="15">
    <w:abstractNumId w:val="14"/>
  </w:num>
  <w:num w:numId="16">
    <w:abstractNumId w:val="16"/>
  </w:num>
  <w:num w:numId="17">
    <w:abstractNumId w:val="27"/>
  </w:num>
  <w:num w:numId="18">
    <w:abstractNumId w:val="5"/>
  </w:num>
  <w:num w:numId="19">
    <w:abstractNumId w:val="21"/>
  </w:num>
  <w:num w:numId="20">
    <w:abstractNumId w:val="19"/>
  </w:num>
  <w:num w:numId="21">
    <w:abstractNumId w:val="1"/>
  </w:num>
  <w:num w:numId="22">
    <w:abstractNumId w:val="8"/>
  </w:num>
  <w:num w:numId="23">
    <w:abstractNumId w:val="10"/>
  </w:num>
  <w:num w:numId="24">
    <w:abstractNumId w:val="24"/>
  </w:num>
  <w:num w:numId="25">
    <w:abstractNumId w:val="0"/>
  </w:num>
  <w:num w:numId="26">
    <w:abstractNumId w:val="22"/>
  </w:num>
  <w:num w:numId="27">
    <w:abstractNumId w:val="3"/>
  </w:num>
  <w:num w:numId="28">
    <w:abstractNumId w:val="37"/>
  </w:num>
  <w:num w:numId="29">
    <w:abstractNumId w:val="33"/>
  </w:num>
  <w:num w:numId="30">
    <w:abstractNumId w:val="15"/>
  </w:num>
  <w:num w:numId="31">
    <w:abstractNumId w:val="12"/>
  </w:num>
  <w:num w:numId="32">
    <w:abstractNumId w:val="40"/>
  </w:num>
  <w:num w:numId="33">
    <w:abstractNumId w:val="17"/>
  </w:num>
  <w:num w:numId="34">
    <w:abstractNumId w:val="20"/>
  </w:num>
  <w:num w:numId="35">
    <w:abstractNumId w:val="41"/>
  </w:num>
  <w:num w:numId="36">
    <w:abstractNumId w:val="35"/>
  </w:num>
  <w:num w:numId="37">
    <w:abstractNumId w:val="11"/>
  </w:num>
  <w:num w:numId="38">
    <w:abstractNumId w:val="39"/>
  </w:num>
  <w:num w:numId="39">
    <w:abstractNumId w:val="29"/>
  </w:num>
  <w:num w:numId="40">
    <w:abstractNumId w:val="6"/>
  </w:num>
  <w:num w:numId="41">
    <w:abstractNumId w:val="31"/>
  </w:num>
  <w:num w:numId="42">
    <w:abstractNumId w:val="38"/>
  </w:num>
  <w:num w:numId="43">
    <w:abstractNumId w:val="36"/>
  </w:num>
  <w:num w:numId="4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312D7"/>
    <w:rsid w:val="0006228D"/>
    <w:rsid w:val="00072BD6"/>
    <w:rsid w:val="00075B78"/>
    <w:rsid w:val="00082CD6"/>
    <w:rsid w:val="00085AFE"/>
    <w:rsid w:val="000B0730"/>
    <w:rsid w:val="000E4899"/>
    <w:rsid w:val="000F2AE2"/>
    <w:rsid w:val="00102063"/>
    <w:rsid w:val="001034A2"/>
    <w:rsid w:val="0010541C"/>
    <w:rsid w:val="00106F93"/>
    <w:rsid w:val="00111D50"/>
    <w:rsid w:val="00113B8E"/>
    <w:rsid w:val="001318AD"/>
    <w:rsid w:val="001342C7"/>
    <w:rsid w:val="001344B9"/>
    <w:rsid w:val="001357C2"/>
    <w:rsid w:val="0013585C"/>
    <w:rsid w:val="00142954"/>
    <w:rsid w:val="001460E0"/>
    <w:rsid w:val="00147F71"/>
    <w:rsid w:val="00150A6E"/>
    <w:rsid w:val="00162524"/>
    <w:rsid w:val="0016468A"/>
    <w:rsid w:val="001A3E2D"/>
    <w:rsid w:val="001A5CF5"/>
    <w:rsid w:val="001A69B5"/>
    <w:rsid w:val="001B39D2"/>
    <w:rsid w:val="001B4BF8"/>
    <w:rsid w:val="001C3697"/>
    <w:rsid w:val="001C4326"/>
    <w:rsid w:val="001C685B"/>
    <w:rsid w:val="001D3541"/>
    <w:rsid w:val="00201A01"/>
    <w:rsid w:val="002104D3"/>
    <w:rsid w:val="00213A33"/>
    <w:rsid w:val="0021763B"/>
    <w:rsid w:val="00234CEF"/>
    <w:rsid w:val="00246DB1"/>
    <w:rsid w:val="002476B5"/>
    <w:rsid w:val="00250E24"/>
    <w:rsid w:val="00253ECF"/>
    <w:rsid w:val="002546A1"/>
    <w:rsid w:val="00275D08"/>
    <w:rsid w:val="00280322"/>
    <w:rsid w:val="002858E3"/>
    <w:rsid w:val="0029190A"/>
    <w:rsid w:val="00292C5A"/>
    <w:rsid w:val="00295241"/>
    <w:rsid w:val="002B047D"/>
    <w:rsid w:val="002B732B"/>
    <w:rsid w:val="002C2219"/>
    <w:rsid w:val="002D0DF2"/>
    <w:rsid w:val="002D23BD"/>
    <w:rsid w:val="002E0B47"/>
    <w:rsid w:val="002F2FCA"/>
    <w:rsid w:val="002F7213"/>
    <w:rsid w:val="0030382F"/>
    <w:rsid w:val="0030408D"/>
    <w:rsid w:val="00305435"/>
    <w:rsid w:val="003057D4"/>
    <w:rsid w:val="003060E4"/>
    <w:rsid w:val="003160E7"/>
    <w:rsid w:val="0031739E"/>
    <w:rsid w:val="003325AB"/>
    <w:rsid w:val="0033412B"/>
    <w:rsid w:val="00343365"/>
    <w:rsid w:val="003521C3"/>
    <w:rsid w:val="00353501"/>
    <w:rsid w:val="0035464D"/>
    <w:rsid w:val="003606F8"/>
    <w:rsid w:val="00363917"/>
    <w:rsid w:val="003648EF"/>
    <w:rsid w:val="003673E6"/>
    <w:rsid w:val="00377264"/>
    <w:rsid w:val="003A26A5"/>
    <w:rsid w:val="003A3761"/>
    <w:rsid w:val="003A5FEA"/>
    <w:rsid w:val="003B1D10"/>
    <w:rsid w:val="003C76D4"/>
    <w:rsid w:val="003C7D79"/>
    <w:rsid w:val="003D2194"/>
    <w:rsid w:val="003D2CC5"/>
    <w:rsid w:val="003D55BE"/>
    <w:rsid w:val="003E7C46"/>
    <w:rsid w:val="003F52A7"/>
    <w:rsid w:val="0040240C"/>
    <w:rsid w:val="00413021"/>
    <w:rsid w:val="0041535E"/>
    <w:rsid w:val="00440BE0"/>
    <w:rsid w:val="00442C1C"/>
    <w:rsid w:val="0044584B"/>
    <w:rsid w:val="00447CB7"/>
    <w:rsid w:val="00452698"/>
    <w:rsid w:val="00455449"/>
    <w:rsid w:val="00460826"/>
    <w:rsid w:val="00460EA7"/>
    <w:rsid w:val="0046195B"/>
    <w:rsid w:val="0046596D"/>
    <w:rsid w:val="00487C04"/>
    <w:rsid w:val="004907E1"/>
    <w:rsid w:val="004A035B"/>
    <w:rsid w:val="004A38D7"/>
    <w:rsid w:val="004A778C"/>
    <w:rsid w:val="004C2E6A"/>
    <w:rsid w:val="004C64B8"/>
    <w:rsid w:val="004D2799"/>
    <w:rsid w:val="004D2A2D"/>
    <w:rsid w:val="004D6689"/>
    <w:rsid w:val="004E1D1D"/>
    <w:rsid w:val="004E7AC8"/>
    <w:rsid w:val="004F0C94"/>
    <w:rsid w:val="005019AE"/>
    <w:rsid w:val="00503749"/>
    <w:rsid w:val="00504CF4"/>
    <w:rsid w:val="0050635B"/>
    <w:rsid w:val="00517F02"/>
    <w:rsid w:val="0053199F"/>
    <w:rsid w:val="00533B90"/>
    <w:rsid w:val="005410F8"/>
    <w:rsid w:val="005448EC"/>
    <w:rsid w:val="00545963"/>
    <w:rsid w:val="00550256"/>
    <w:rsid w:val="00553958"/>
    <w:rsid w:val="00554275"/>
    <w:rsid w:val="0055763D"/>
    <w:rsid w:val="005621F2"/>
    <w:rsid w:val="00567B58"/>
    <w:rsid w:val="005763E0"/>
    <w:rsid w:val="00581136"/>
    <w:rsid w:val="0058446A"/>
    <w:rsid w:val="005A27CA"/>
    <w:rsid w:val="005A43BD"/>
    <w:rsid w:val="005C137E"/>
    <w:rsid w:val="005E1DF6"/>
    <w:rsid w:val="005E226E"/>
    <w:rsid w:val="0060111F"/>
    <w:rsid w:val="006015D7"/>
    <w:rsid w:val="00601B21"/>
    <w:rsid w:val="006041F0"/>
    <w:rsid w:val="006121B1"/>
    <w:rsid w:val="00626CF8"/>
    <w:rsid w:val="00636D7D"/>
    <w:rsid w:val="00637408"/>
    <w:rsid w:val="00642868"/>
    <w:rsid w:val="00647AFE"/>
    <w:rsid w:val="006512BC"/>
    <w:rsid w:val="00653A5A"/>
    <w:rsid w:val="006575F4"/>
    <w:rsid w:val="006579E6"/>
    <w:rsid w:val="00663EDC"/>
    <w:rsid w:val="00671078"/>
    <w:rsid w:val="006758CA"/>
    <w:rsid w:val="00680A04"/>
    <w:rsid w:val="00686D80"/>
    <w:rsid w:val="00694895"/>
    <w:rsid w:val="00697E2E"/>
    <w:rsid w:val="006A25A2"/>
    <w:rsid w:val="006A7220"/>
    <w:rsid w:val="006A7FFA"/>
    <w:rsid w:val="006B0E73"/>
    <w:rsid w:val="006B4A4D"/>
    <w:rsid w:val="006B5695"/>
    <w:rsid w:val="006B59CC"/>
    <w:rsid w:val="006C78EB"/>
    <w:rsid w:val="006D1660"/>
    <w:rsid w:val="006F1B67"/>
    <w:rsid w:val="0070091D"/>
    <w:rsid w:val="00702854"/>
    <w:rsid w:val="00704AE6"/>
    <w:rsid w:val="007050EC"/>
    <w:rsid w:val="0071741C"/>
    <w:rsid w:val="00736809"/>
    <w:rsid w:val="00742B90"/>
    <w:rsid w:val="0074434D"/>
    <w:rsid w:val="007575F7"/>
    <w:rsid w:val="00771B1E"/>
    <w:rsid w:val="00773C95"/>
    <w:rsid w:val="0078171E"/>
    <w:rsid w:val="007955B7"/>
    <w:rsid w:val="00795B34"/>
    <w:rsid w:val="007B1770"/>
    <w:rsid w:val="007B4D3E"/>
    <w:rsid w:val="007B7C70"/>
    <w:rsid w:val="007D2151"/>
    <w:rsid w:val="007D42CC"/>
    <w:rsid w:val="007D5DE4"/>
    <w:rsid w:val="007D679D"/>
    <w:rsid w:val="007D6E04"/>
    <w:rsid w:val="007E0777"/>
    <w:rsid w:val="007E1341"/>
    <w:rsid w:val="007E1B41"/>
    <w:rsid w:val="007E30B9"/>
    <w:rsid w:val="007E74F1"/>
    <w:rsid w:val="007F0F0C"/>
    <w:rsid w:val="007F1288"/>
    <w:rsid w:val="00800A8A"/>
    <w:rsid w:val="0080155C"/>
    <w:rsid w:val="008052E1"/>
    <w:rsid w:val="00822F2C"/>
    <w:rsid w:val="008305E8"/>
    <w:rsid w:val="00860826"/>
    <w:rsid w:val="00860E21"/>
    <w:rsid w:val="00863117"/>
    <w:rsid w:val="0086388B"/>
    <w:rsid w:val="00863AA8"/>
    <w:rsid w:val="008642E5"/>
    <w:rsid w:val="00872D93"/>
    <w:rsid w:val="00880470"/>
    <w:rsid w:val="00880D94"/>
    <w:rsid w:val="008924DE"/>
    <w:rsid w:val="008A3755"/>
    <w:rsid w:val="008B264F"/>
    <w:rsid w:val="008B6F83"/>
    <w:rsid w:val="008B7FD8"/>
    <w:rsid w:val="008C2973"/>
    <w:rsid w:val="008C5F82"/>
    <w:rsid w:val="008C64C4"/>
    <w:rsid w:val="008D74D5"/>
    <w:rsid w:val="008F29BE"/>
    <w:rsid w:val="008F4AE5"/>
    <w:rsid w:val="008F51EB"/>
    <w:rsid w:val="00900197"/>
    <w:rsid w:val="00902F55"/>
    <w:rsid w:val="0090582B"/>
    <w:rsid w:val="009060C0"/>
    <w:rsid w:val="009072DA"/>
    <w:rsid w:val="009133F5"/>
    <w:rsid w:val="00920A27"/>
    <w:rsid w:val="00921216"/>
    <w:rsid w:val="009216CC"/>
    <w:rsid w:val="00932D69"/>
    <w:rsid w:val="00933E61"/>
    <w:rsid w:val="00944647"/>
    <w:rsid w:val="00970045"/>
    <w:rsid w:val="00976CD0"/>
    <w:rsid w:val="00977B8A"/>
    <w:rsid w:val="00982971"/>
    <w:rsid w:val="009845AD"/>
    <w:rsid w:val="00995BA0"/>
    <w:rsid w:val="009A418B"/>
    <w:rsid w:val="009A4473"/>
    <w:rsid w:val="009C151C"/>
    <w:rsid w:val="009D5125"/>
    <w:rsid w:val="009D60B8"/>
    <w:rsid w:val="009D7D4B"/>
    <w:rsid w:val="009E36ED"/>
    <w:rsid w:val="009E3C8C"/>
    <w:rsid w:val="009E6B77"/>
    <w:rsid w:val="009F460A"/>
    <w:rsid w:val="00A043FB"/>
    <w:rsid w:val="00A051AD"/>
    <w:rsid w:val="00A0729C"/>
    <w:rsid w:val="00A07779"/>
    <w:rsid w:val="00A20B2E"/>
    <w:rsid w:val="00A25069"/>
    <w:rsid w:val="00A26E6B"/>
    <w:rsid w:val="00A3068F"/>
    <w:rsid w:val="00A3145B"/>
    <w:rsid w:val="00A339D0"/>
    <w:rsid w:val="00A41002"/>
    <w:rsid w:val="00A4201A"/>
    <w:rsid w:val="00A553CE"/>
    <w:rsid w:val="00A5677A"/>
    <w:rsid w:val="00A6490D"/>
    <w:rsid w:val="00A65003"/>
    <w:rsid w:val="00A80363"/>
    <w:rsid w:val="00A9169D"/>
    <w:rsid w:val="00A9747F"/>
    <w:rsid w:val="00AA240C"/>
    <w:rsid w:val="00AC101C"/>
    <w:rsid w:val="00AD4CF1"/>
    <w:rsid w:val="00AD5988"/>
    <w:rsid w:val="00AD7DF3"/>
    <w:rsid w:val="00AF7800"/>
    <w:rsid w:val="00B04DFD"/>
    <w:rsid w:val="00B072E0"/>
    <w:rsid w:val="00B253F6"/>
    <w:rsid w:val="00B305DB"/>
    <w:rsid w:val="00B332F8"/>
    <w:rsid w:val="00B3492B"/>
    <w:rsid w:val="00B40E8F"/>
    <w:rsid w:val="00B4646F"/>
    <w:rsid w:val="00B55C7D"/>
    <w:rsid w:val="00B63038"/>
    <w:rsid w:val="00B64BD8"/>
    <w:rsid w:val="00B64F9A"/>
    <w:rsid w:val="00B701D1"/>
    <w:rsid w:val="00B73AF2"/>
    <w:rsid w:val="00B7551A"/>
    <w:rsid w:val="00BA0176"/>
    <w:rsid w:val="00BC59F1"/>
    <w:rsid w:val="00BE579C"/>
    <w:rsid w:val="00BF3DE1"/>
    <w:rsid w:val="00BF4843"/>
    <w:rsid w:val="00BF5205"/>
    <w:rsid w:val="00C03C0F"/>
    <w:rsid w:val="00C12508"/>
    <w:rsid w:val="00C45AA2"/>
    <w:rsid w:val="00C66296"/>
    <w:rsid w:val="00C77282"/>
    <w:rsid w:val="00C84DE5"/>
    <w:rsid w:val="00C86248"/>
    <w:rsid w:val="00CA4C33"/>
    <w:rsid w:val="00CA6F4A"/>
    <w:rsid w:val="00CB649B"/>
    <w:rsid w:val="00CC0A75"/>
    <w:rsid w:val="00CC732A"/>
    <w:rsid w:val="00CD2119"/>
    <w:rsid w:val="00CD237A"/>
    <w:rsid w:val="00CD36AC"/>
    <w:rsid w:val="00CE218F"/>
    <w:rsid w:val="00CF1747"/>
    <w:rsid w:val="00CF1B44"/>
    <w:rsid w:val="00CF69E8"/>
    <w:rsid w:val="00D23323"/>
    <w:rsid w:val="00D2392A"/>
    <w:rsid w:val="00D25FFE"/>
    <w:rsid w:val="00D36DA8"/>
    <w:rsid w:val="00D41AC6"/>
    <w:rsid w:val="00D4476F"/>
    <w:rsid w:val="00D54D50"/>
    <w:rsid w:val="00D66797"/>
    <w:rsid w:val="00D7087C"/>
    <w:rsid w:val="00D70C3C"/>
    <w:rsid w:val="00D72BE5"/>
    <w:rsid w:val="00D82F26"/>
    <w:rsid w:val="00D863D0"/>
    <w:rsid w:val="00D87C87"/>
    <w:rsid w:val="00D90772"/>
    <w:rsid w:val="00DB39CF"/>
    <w:rsid w:val="00DD0BCD"/>
    <w:rsid w:val="00DD447A"/>
    <w:rsid w:val="00DD7401"/>
    <w:rsid w:val="00DE3B20"/>
    <w:rsid w:val="00DE6C94"/>
    <w:rsid w:val="00DE6FD7"/>
    <w:rsid w:val="00DF66B6"/>
    <w:rsid w:val="00E23271"/>
    <w:rsid w:val="00E24F80"/>
    <w:rsid w:val="00E259F3"/>
    <w:rsid w:val="00E316C1"/>
    <w:rsid w:val="00E33238"/>
    <w:rsid w:val="00E37B94"/>
    <w:rsid w:val="00E4486C"/>
    <w:rsid w:val="00E460B6"/>
    <w:rsid w:val="00E511D5"/>
    <w:rsid w:val="00E60249"/>
    <w:rsid w:val="00E65269"/>
    <w:rsid w:val="00E670D1"/>
    <w:rsid w:val="00E76D66"/>
    <w:rsid w:val="00EA796A"/>
    <w:rsid w:val="00EB1856"/>
    <w:rsid w:val="00EC50CE"/>
    <w:rsid w:val="00EC5B2D"/>
    <w:rsid w:val="00EC5B34"/>
    <w:rsid w:val="00EE4ADE"/>
    <w:rsid w:val="00EE5CB7"/>
    <w:rsid w:val="00F024FE"/>
    <w:rsid w:val="00F05AD4"/>
    <w:rsid w:val="00F24D44"/>
    <w:rsid w:val="00F25970"/>
    <w:rsid w:val="00F5180D"/>
    <w:rsid w:val="00F6702B"/>
    <w:rsid w:val="00F67496"/>
    <w:rsid w:val="00F801BA"/>
    <w:rsid w:val="00F87091"/>
    <w:rsid w:val="00F9366A"/>
    <w:rsid w:val="00F946C9"/>
    <w:rsid w:val="00FA74EE"/>
    <w:rsid w:val="00FC3711"/>
    <w:rsid w:val="00FC46E7"/>
    <w:rsid w:val="00FC5D25"/>
    <w:rsid w:val="00FD0D7E"/>
    <w:rsid w:val="00FE6E13"/>
    <w:rsid w:val="00FF15F6"/>
    <w:rsid w:val="00FF527C"/>
    <w:rsid w:val="00FF65CD"/>
    <w:rsid w:val="00FF7B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446A"/>
    <w:pPr>
      <w:spacing w:before="240" w:after="0" w:line="264" w:lineRule="auto"/>
    </w:pPr>
    <w:rPr>
      <w:rFonts w:ascii="Calibri Light" w:eastAsia="Times New Roman" w:hAnsi="Calibri Light"/>
    </w:rPr>
  </w:style>
  <w:style w:type="paragraph" w:styleId="Heading1">
    <w:name w:val="heading 1"/>
    <w:basedOn w:val="Normal"/>
    <w:next w:val="Normal"/>
    <w:link w:val="Heading1Char"/>
    <w:uiPriority w:val="9"/>
    <w:qFormat/>
    <w:rsid w:val="0058446A"/>
    <w:pPr>
      <w:pageBreakBefore/>
      <w:numPr>
        <w:numId w:val="20"/>
      </w:numPr>
      <w:spacing w:before="0" w:after="360"/>
      <w:outlineLvl w:val="0"/>
    </w:pPr>
    <w:rPr>
      <w:rFonts w:eastAsiaTheme="majorEastAsia" w:cstheme="majorBidi"/>
      <w:bCs/>
      <w:color w:val="002060"/>
      <w:sz w:val="32"/>
      <w:szCs w:val="28"/>
    </w:rPr>
  </w:style>
  <w:style w:type="paragraph" w:styleId="Heading2">
    <w:name w:val="heading 2"/>
    <w:basedOn w:val="Normal"/>
    <w:next w:val="Normal"/>
    <w:link w:val="Heading2Char"/>
    <w:uiPriority w:val="9"/>
    <w:unhideWhenUsed/>
    <w:qFormat/>
    <w:rsid w:val="0058446A"/>
    <w:pPr>
      <w:keepNext/>
      <w:numPr>
        <w:ilvl w:val="1"/>
        <w:numId w:val="20"/>
      </w:numPr>
      <w:spacing w:before="480"/>
      <w:outlineLvl w:val="1"/>
    </w:pPr>
    <w:rPr>
      <w:rFonts w:eastAsiaTheme="majorEastAsia" w:cstheme="majorBidi"/>
      <w:bCs/>
      <w:color w:val="002060"/>
      <w:sz w:val="28"/>
      <w:szCs w:val="24"/>
    </w:rPr>
  </w:style>
  <w:style w:type="paragraph" w:styleId="Heading3">
    <w:name w:val="heading 3"/>
    <w:basedOn w:val="Normal"/>
    <w:next w:val="Normal"/>
    <w:link w:val="Heading3Char"/>
    <w:uiPriority w:val="9"/>
    <w:unhideWhenUsed/>
    <w:qFormat/>
    <w:rsid w:val="00012834"/>
    <w:pPr>
      <w:keepNext/>
      <w:keepLines/>
      <w:numPr>
        <w:ilvl w:val="2"/>
        <w:numId w:val="5"/>
      </w:numPr>
      <w:spacing w:after="240"/>
      <w:outlineLvl w:val="2"/>
    </w:pPr>
    <w:rPr>
      <w:rFonts w:eastAsiaTheme="majorEastAsia" w:cstheme="majorBidi"/>
      <w:bCs/>
      <w:color w:val="4F81BD" w:themeColor="accent1"/>
    </w:rPr>
  </w:style>
  <w:style w:type="paragraph" w:styleId="Heading4">
    <w:name w:val="heading 4"/>
    <w:basedOn w:val="Normal"/>
    <w:next w:val="Normal"/>
    <w:link w:val="Heading4Char"/>
    <w:uiPriority w:val="9"/>
    <w:unhideWhenUsed/>
    <w:rsid w:val="00922393"/>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922393"/>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2393"/>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2393"/>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2393"/>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2393"/>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46A"/>
    <w:rPr>
      <w:rFonts w:ascii="Calibri Light" w:eastAsiaTheme="majorEastAsia" w:hAnsi="Calibri Light" w:cstheme="majorBidi"/>
      <w:bCs/>
      <w:color w:val="002060"/>
      <w:sz w:val="32"/>
      <w:szCs w:val="28"/>
    </w:rPr>
  </w:style>
  <w:style w:type="character" w:customStyle="1" w:styleId="Heading2Char">
    <w:name w:val="Heading 2 Char"/>
    <w:basedOn w:val="DefaultParagraphFont"/>
    <w:link w:val="Heading2"/>
    <w:uiPriority w:val="9"/>
    <w:rsid w:val="0058446A"/>
    <w:rPr>
      <w:rFonts w:ascii="Calibri Light" w:eastAsiaTheme="majorEastAsia" w:hAnsi="Calibri Light" w:cstheme="majorBidi"/>
      <w:bCs/>
      <w:color w:val="002060"/>
      <w:sz w:val="28"/>
      <w:szCs w:val="24"/>
    </w:rPr>
  </w:style>
  <w:style w:type="character" w:customStyle="1" w:styleId="Heading3Char">
    <w:name w:val="Heading 3 Char"/>
    <w:basedOn w:val="DefaultParagraphFont"/>
    <w:link w:val="Heading3"/>
    <w:uiPriority w:val="9"/>
    <w:rsid w:val="00012834"/>
    <w:rPr>
      <w:rFonts w:ascii="Calibri Light" w:eastAsiaTheme="majorEastAsia" w:hAnsi="Calibri Light" w:cstheme="majorBidi"/>
      <w:bCs/>
      <w:color w:val="4F81BD" w:themeColor="accent1"/>
    </w:rPr>
  </w:style>
  <w:style w:type="character" w:customStyle="1" w:styleId="Heading4Char">
    <w:name w:val="Heading 4 Char"/>
    <w:basedOn w:val="DefaultParagraphFont"/>
    <w:link w:val="Heading4"/>
    <w:uiPriority w:val="9"/>
    <w:rsid w:val="009223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2239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2239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223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23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2393"/>
    <w:rPr>
      <w:rFonts w:asciiTheme="majorHAnsi" w:eastAsiaTheme="majorEastAsia" w:hAnsiTheme="majorHAnsi" w:cstheme="majorBidi"/>
      <w:i/>
      <w:iCs/>
      <w:color w:val="404040" w:themeColor="text1" w:themeTint="BF"/>
      <w:sz w:val="20"/>
      <w:szCs w:val="20"/>
    </w:rPr>
  </w:style>
  <w:style w:type="character" w:styleId="PageNumber">
    <w:name w:val="page number"/>
    <w:rsid w:val="00933E61"/>
    <w:rPr>
      <w:rFonts w:ascii="Calibri Light" w:hAnsi="Calibri Light"/>
      <w:b w:val="0"/>
      <w:sz w:val="20"/>
    </w:rPr>
  </w:style>
  <w:style w:type="character" w:styleId="FootnoteReference">
    <w:name w:val="footnote reference"/>
    <w:basedOn w:val="DefaultParagraphFont"/>
    <w:uiPriority w:val="99"/>
    <w:unhideWhenUsed/>
    <w:rsid w:val="00922393"/>
    <w:rPr>
      <w:vertAlign w:val="superscript"/>
    </w:rPr>
  </w:style>
  <w:style w:type="table" w:styleId="TableGrid">
    <w:name w:val="Table Grid"/>
    <w:basedOn w:val="TableNormal"/>
    <w:uiPriority w:val="59"/>
    <w:rsid w:val="00922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toFooter">
    <w:name w:val="Recto Footer"/>
    <w:basedOn w:val="Footer"/>
    <w:rsid w:val="00933E61"/>
    <w:pPr>
      <w:tabs>
        <w:tab w:val="clear" w:pos="4513"/>
        <w:tab w:val="clear" w:pos="9026"/>
        <w:tab w:val="right" w:pos="8363"/>
        <w:tab w:val="right" w:pos="9072"/>
      </w:tabs>
    </w:pPr>
    <w:rPr>
      <w:rFonts w:cs="Times New Roman"/>
      <w:color w:val="002060"/>
      <w:sz w:val="20"/>
      <w:szCs w:val="20"/>
      <w:lang w:eastAsia="en-GB"/>
    </w:rPr>
  </w:style>
  <w:style w:type="paragraph" w:styleId="Footer">
    <w:name w:val="footer"/>
    <w:basedOn w:val="Normal"/>
    <w:link w:val="FooterChar"/>
    <w:uiPriority w:val="99"/>
    <w:unhideWhenUsed/>
    <w:rsid w:val="00922393"/>
    <w:pPr>
      <w:tabs>
        <w:tab w:val="center" w:pos="4513"/>
        <w:tab w:val="right" w:pos="9026"/>
      </w:tabs>
      <w:spacing w:line="240" w:lineRule="auto"/>
    </w:pPr>
  </w:style>
  <w:style w:type="character" w:customStyle="1" w:styleId="FooterChar">
    <w:name w:val="Footer Char"/>
    <w:basedOn w:val="DefaultParagraphFont"/>
    <w:link w:val="Footer"/>
    <w:uiPriority w:val="99"/>
    <w:rsid w:val="00922393"/>
    <w:rPr>
      <w:rFonts w:ascii="Calibri Light" w:hAnsi="Calibri Light"/>
    </w:rPr>
  </w:style>
  <w:style w:type="paragraph" w:styleId="TOC1">
    <w:name w:val="toc 1"/>
    <w:basedOn w:val="Normal"/>
    <w:next w:val="Normal"/>
    <w:uiPriority w:val="39"/>
    <w:unhideWhenUsed/>
    <w:rsid w:val="007050EC"/>
    <w:pPr>
      <w:tabs>
        <w:tab w:val="right" w:leader="dot" w:pos="9072"/>
      </w:tabs>
      <w:spacing w:before="300"/>
    </w:pPr>
  </w:style>
  <w:style w:type="paragraph" w:styleId="TOC2">
    <w:name w:val="toc 2"/>
    <w:basedOn w:val="Normal"/>
    <w:next w:val="Normal"/>
    <w:autoRedefine/>
    <w:uiPriority w:val="39"/>
    <w:unhideWhenUsed/>
    <w:rsid w:val="00922393"/>
    <w:pPr>
      <w:spacing w:after="100"/>
      <w:ind w:left="220"/>
    </w:pPr>
  </w:style>
  <w:style w:type="character" w:styleId="Hyperlink">
    <w:name w:val="Hyperlink"/>
    <w:basedOn w:val="DefaultParagraphFont"/>
    <w:uiPriority w:val="99"/>
    <w:unhideWhenUsed/>
    <w:rsid w:val="00922393"/>
    <w:rPr>
      <w:color w:val="0000FF" w:themeColor="hyperlink"/>
      <w:u w:val="single"/>
    </w:rPr>
  </w:style>
  <w:style w:type="paragraph" w:customStyle="1" w:styleId="VersoFooter">
    <w:name w:val="Verso Footer"/>
    <w:basedOn w:val="Footer"/>
    <w:rsid w:val="00933E61"/>
    <w:pPr>
      <w:tabs>
        <w:tab w:val="clear" w:pos="4513"/>
        <w:tab w:val="clear" w:pos="9026"/>
      </w:tabs>
      <w:ind w:left="709" w:hanging="709"/>
    </w:pPr>
    <w:rPr>
      <w:rFonts w:cs="Times New Roman"/>
      <w:color w:val="002060"/>
      <w:sz w:val="20"/>
      <w:szCs w:val="20"/>
      <w:lang w:eastAsia="en-GB"/>
    </w:rPr>
  </w:style>
  <w:style w:type="paragraph" w:customStyle="1" w:styleId="Imprint">
    <w:name w:val="Imprint"/>
    <w:basedOn w:val="Normal"/>
    <w:qFormat/>
    <w:rsid w:val="008C5F82"/>
    <w:pPr>
      <w:spacing w:after="240"/>
    </w:pPr>
    <w:rPr>
      <w:rFonts w:ascii="Cambria" w:hAnsi="Cambria"/>
      <w:color w:val="002060"/>
      <w:sz w:val="24"/>
    </w:rPr>
  </w:style>
  <w:style w:type="paragraph" w:styleId="Subtitle">
    <w:name w:val="Subtitle"/>
    <w:basedOn w:val="Normal"/>
    <w:next w:val="Normal"/>
    <w:link w:val="SubtitleChar"/>
    <w:uiPriority w:val="11"/>
    <w:qFormat/>
    <w:rsid w:val="005C137E"/>
    <w:pPr>
      <w:numPr>
        <w:ilvl w:val="1"/>
      </w:numPr>
      <w:pBdr>
        <w:top w:val="single" w:sz="36" w:space="15" w:color="9BBB59" w:themeColor="accent3"/>
        <w:bottom w:val="single" w:sz="36" w:space="15" w:color="9BBB59" w:themeColor="accent3"/>
      </w:pBdr>
      <w:spacing w:line="240" w:lineRule="auto"/>
    </w:pPr>
    <w:rPr>
      <w:rFonts w:ascii="Calibri" w:eastAsiaTheme="majorEastAsia" w:hAnsi="Calibri" w:cstheme="majorBidi"/>
      <w:iCs/>
      <w:sz w:val="40"/>
      <w:szCs w:val="24"/>
    </w:rPr>
  </w:style>
  <w:style w:type="character" w:customStyle="1" w:styleId="SubtitleChar">
    <w:name w:val="Subtitle Char"/>
    <w:basedOn w:val="DefaultParagraphFont"/>
    <w:link w:val="Subtitle"/>
    <w:uiPriority w:val="11"/>
    <w:rsid w:val="005C137E"/>
    <w:rPr>
      <w:rFonts w:ascii="Calibri" w:eastAsiaTheme="majorEastAsia" w:hAnsi="Calibri" w:cstheme="majorBidi"/>
      <w:iCs/>
      <w:sz w:val="40"/>
      <w:szCs w:val="24"/>
    </w:rPr>
  </w:style>
  <w:style w:type="paragraph" w:customStyle="1" w:styleId="Heading">
    <w:name w:val="Heading"/>
    <w:basedOn w:val="Heading1"/>
    <w:qFormat/>
    <w:rsid w:val="00455449"/>
    <w:pPr>
      <w:numPr>
        <w:numId w:val="0"/>
      </w:numPr>
    </w:pPr>
  </w:style>
  <w:style w:type="paragraph" w:customStyle="1" w:styleId="Circle">
    <w:name w:val="Circle"/>
    <w:basedOn w:val="Normal"/>
    <w:qFormat/>
    <w:rsid w:val="001A3E2D"/>
    <w:pPr>
      <w:numPr>
        <w:numId w:val="21"/>
      </w:numPr>
      <w:spacing w:before="60"/>
      <w:ind w:left="1418" w:hanging="284"/>
    </w:pPr>
  </w:style>
  <w:style w:type="paragraph" w:customStyle="1" w:styleId="Square">
    <w:name w:val="Square"/>
    <w:basedOn w:val="Normal"/>
    <w:qFormat/>
    <w:rsid w:val="001A3E2D"/>
    <w:pPr>
      <w:numPr>
        <w:numId w:val="22"/>
      </w:numPr>
      <w:spacing w:before="30"/>
      <w:ind w:left="1985" w:hanging="284"/>
    </w:pPr>
  </w:style>
  <w:style w:type="paragraph" w:customStyle="1" w:styleId="TableText">
    <w:name w:val="TableText"/>
    <w:basedOn w:val="Normal"/>
    <w:link w:val="TableTextChar"/>
    <w:qFormat/>
    <w:rsid w:val="000312D7"/>
    <w:pPr>
      <w:spacing w:before="0" w:line="240" w:lineRule="auto"/>
    </w:pPr>
    <w:rPr>
      <w:rFonts w:cs="Times New Roman"/>
      <w:szCs w:val="20"/>
      <w:lang w:eastAsia="en-GB"/>
    </w:rPr>
  </w:style>
  <w:style w:type="character" w:customStyle="1" w:styleId="TableTextChar">
    <w:name w:val="TableText Char"/>
    <w:link w:val="TableText"/>
    <w:rsid w:val="000312D7"/>
    <w:rPr>
      <w:rFonts w:ascii="Calibri Light" w:eastAsia="Times New Roman" w:hAnsi="Calibri Light" w:cs="Times New Roman"/>
      <w:szCs w:val="20"/>
      <w:lang w:eastAsia="en-GB"/>
    </w:rPr>
  </w:style>
  <w:style w:type="paragraph" w:customStyle="1" w:styleId="TableBullet">
    <w:name w:val="TableBullet"/>
    <w:basedOn w:val="TableText"/>
    <w:next w:val="Square"/>
    <w:qFormat/>
    <w:rsid w:val="007D679D"/>
    <w:pPr>
      <w:numPr>
        <w:numId w:val="26"/>
      </w:numPr>
      <w:spacing w:before="90"/>
    </w:pPr>
  </w:style>
  <w:style w:type="paragraph" w:styleId="Header">
    <w:name w:val="header"/>
    <w:basedOn w:val="Normal"/>
    <w:link w:val="HeaderChar"/>
    <w:uiPriority w:val="99"/>
    <w:unhideWhenUsed/>
    <w:rsid w:val="0086320B"/>
    <w:pPr>
      <w:tabs>
        <w:tab w:val="center" w:pos="4513"/>
        <w:tab w:val="right" w:pos="9026"/>
      </w:tabs>
      <w:spacing w:line="240" w:lineRule="auto"/>
    </w:pPr>
  </w:style>
  <w:style w:type="character" w:customStyle="1" w:styleId="HeaderChar">
    <w:name w:val="Header Char"/>
    <w:basedOn w:val="DefaultParagraphFont"/>
    <w:link w:val="Header"/>
    <w:uiPriority w:val="99"/>
    <w:rsid w:val="0086320B"/>
    <w:rPr>
      <w:rFonts w:ascii="Calibri Light" w:hAnsi="Calibri Light"/>
    </w:rPr>
  </w:style>
  <w:style w:type="paragraph" w:styleId="FootnoteText">
    <w:name w:val="footnote text"/>
    <w:basedOn w:val="Normal"/>
    <w:link w:val="FootnoteTextChar"/>
    <w:uiPriority w:val="99"/>
    <w:unhideWhenUsed/>
    <w:rsid w:val="009072DA"/>
    <w:pPr>
      <w:spacing w:before="60" w:line="240" w:lineRule="auto"/>
      <w:ind w:left="284" w:hanging="284"/>
    </w:pPr>
    <w:rPr>
      <w:sz w:val="20"/>
      <w:szCs w:val="20"/>
    </w:rPr>
  </w:style>
  <w:style w:type="character" w:customStyle="1" w:styleId="FootnoteTextChar">
    <w:name w:val="Footnote Text Char"/>
    <w:basedOn w:val="DefaultParagraphFont"/>
    <w:link w:val="FootnoteText"/>
    <w:uiPriority w:val="99"/>
    <w:rsid w:val="009072DA"/>
    <w:rPr>
      <w:rFonts w:ascii="Calibri Light" w:eastAsia="Times New Roman" w:hAnsi="Calibri Light"/>
      <w:sz w:val="20"/>
      <w:szCs w:val="20"/>
    </w:rPr>
  </w:style>
  <w:style w:type="paragraph" w:styleId="TOC3">
    <w:name w:val="toc 3"/>
    <w:basedOn w:val="Normal"/>
    <w:next w:val="Normal"/>
    <w:autoRedefine/>
    <w:uiPriority w:val="39"/>
    <w:unhideWhenUsed/>
    <w:rsid w:val="00F75AFA"/>
    <w:pPr>
      <w:spacing w:after="100"/>
      <w:ind w:left="440"/>
    </w:pPr>
  </w:style>
  <w:style w:type="paragraph" w:styleId="Title">
    <w:name w:val="Title"/>
    <w:basedOn w:val="Normal"/>
    <w:next w:val="Normal"/>
    <w:link w:val="TitleChar"/>
    <w:uiPriority w:val="10"/>
    <w:qFormat/>
    <w:rsid w:val="005C137E"/>
    <w:pPr>
      <w:pBdr>
        <w:top w:val="single" w:sz="36" w:space="18" w:color="9BBB59" w:themeColor="accent3"/>
      </w:pBdr>
      <w:spacing w:after="360" w:line="240" w:lineRule="auto"/>
    </w:pPr>
    <w:rPr>
      <w:rFonts w:asciiTheme="majorHAnsi" w:eastAsiaTheme="majorEastAsia" w:hAnsiTheme="majorHAnsi" w:cstheme="majorBidi"/>
      <w:color w:val="002060"/>
      <w:sz w:val="72"/>
      <w:szCs w:val="52"/>
    </w:rPr>
  </w:style>
  <w:style w:type="character" w:customStyle="1" w:styleId="TitleChar">
    <w:name w:val="Title Char"/>
    <w:basedOn w:val="DefaultParagraphFont"/>
    <w:link w:val="Title"/>
    <w:uiPriority w:val="10"/>
    <w:rsid w:val="005C137E"/>
    <w:rPr>
      <w:rFonts w:asciiTheme="majorHAnsi" w:eastAsiaTheme="majorEastAsia" w:hAnsiTheme="majorHAnsi" w:cstheme="majorBidi"/>
      <w:color w:val="002060"/>
      <w:sz w:val="72"/>
      <w:szCs w:val="52"/>
    </w:rPr>
  </w:style>
  <w:style w:type="paragraph" w:customStyle="1" w:styleId="Bullet">
    <w:name w:val="Bullet"/>
    <w:basedOn w:val="Normal"/>
    <w:qFormat/>
    <w:rsid w:val="00FF7B4A"/>
    <w:pPr>
      <w:numPr>
        <w:numId w:val="6"/>
      </w:numPr>
      <w:spacing w:before="90"/>
      <w:ind w:left="851"/>
    </w:pPr>
    <w:rPr>
      <w:rFonts w:cs="Times New Roman"/>
      <w:szCs w:val="20"/>
      <w:lang w:eastAsia="en-GB"/>
    </w:rPr>
  </w:style>
  <w:style w:type="paragraph" w:styleId="Revision">
    <w:name w:val="Revision"/>
    <w:hidden/>
    <w:uiPriority w:val="99"/>
    <w:semiHidden/>
    <w:rsid w:val="00730D91"/>
    <w:pPr>
      <w:spacing w:after="0" w:line="240" w:lineRule="auto"/>
    </w:pPr>
    <w:rPr>
      <w:rFonts w:ascii="Calibri Light" w:hAnsi="Calibri Light"/>
    </w:rPr>
  </w:style>
  <w:style w:type="paragraph" w:styleId="BalloonText">
    <w:name w:val="Balloon Text"/>
    <w:basedOn w:val="Normal"/>
    <w:link w:val="BalloonTextChar"/>
    <w:uiPriority w:val="99"/>
    <w:semiHidden/>
    <w:unhideWhenUsed/>
    <w:rsid w:val="006A722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22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24D44"/>
    <w:rPr>
      <w:sz w:val="16"/>
      <w:szCs w:val="16"/>
    </w:rPr>
  </w:style>
  <w:style w:type="paragraph" w:styleId="CommentText">
    <w:name w:val="annotation text"/>
    <w:basedOn w:val="Normal"/>
    <w:link w:val="CommentTextChar"/>
    <w:uiPriority w:val="99"/>
    <w:semiHidden/>
    <w:unhideWhenUsed/>
    <w:rsid w:val="00F24D44"/>
    <w:pPr>
      <w:spacing w:line="240" w:lineRule="auto"/>
    </w:pPr>
    <w:rPr>
      <w:sz w:val="20"/>
      <w:szCs w:val="20"/>
    </w:rPr>
  </w:style>
  <w:style w:type="character" w:customStyle="1" w:styleId="CommentTextChar">
    <w:name w:val="Comment Text Char"/>
    <w:basedOn w:val="DefaultParagraphFont"/>
    <w:link w:val="CommentText"/>
    <w:uiPriority w:val="99"/>
    <w:semiHidden/>
    <w:rsid w:val="00F24D44"/>
    <w:rPr>
      <w:rFonts w:ascii="Calibri Light" w:eastAsia="Times New Roman" w:hAnsi="Calibri Light"/>
      <w:sz w:val="20"/>
      <w:szCs w:val="20"/>
    </w:rPr>
  </w:style>
  <w:style w:type="paragraph" w:styleId="CommentSubject">
    <w:name w:val="annotation subject"/>
    <w:basedOn w:val="CommentText"/>
    <w:next w:val="CommentText"/>
    <w:link w:val="CommentSubjectChar"/>
    <w:uiPriority w:val="99"/>
    <w:semiHidden/>
    <w:unhideWhenUsed/>
    <w:rsid w:val="00F24D44"/>
    <w:rPr>
      <w:b/>
      <w:bCs/>
    </w:rPr>
  </w:style>
  <w:style w:type="character" w:customStyle="1" w:styleId="CommentSubjectChar">
    <w:name w:val="Comment Subject Char"/>
    <w:basedOn w:val="CommentTextChar"/>
    <w:link w:val="CommentSubject"/>
    <w:uiPriority w:val="99"/>
    <w:semiHidden/>
    <w:rsid w:val="00F24D44"/>
    <w:rPr>
      <w:rFonts w:ascii="Calibri Light" w:eastAsia="Times New Roman" w:hAnsi="Calibri Ligh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446A"/>
    <w:pPr>
      <w:spacing w:before="240" w:after="0" w:line="264" w:lineRule="auto"/>
    </w:pPr>
    <w:rPr>
      <w:rFonts w:ascii="Calibri Light" w:eastAsia="Times New Roman" w:hAnsi="Calibri Light"/>
    </w:rPr>
  </w:style>
  <w:style w:type="paragraph" w:styleId="Heading1">
    <w:name w:val="heading 1"/>
    <w:basedOn w:val="Normal"/>
    <w:next w:val="Normal"/>
    <w:link w:val="Heading1Char"/>
    <w:uiPriority w:val="9"/>
    <w:qFormat/>
    <w:rsid w:val="0058446A"/>
    <w:pPr>
      <w:pageBreakBefore/>
      <w:numPr>
        <w:numId w:val="20"/>
      </w:numPr>
      <w:spacing w:before="0" w:after="360"/>
      <w:outlineLvl w:val="0"/>
    </w:pPr>
    <w:rPr>
      <w:rFonts w:eastAsiaTheme="majorEastAsia" w:cstheme="majorBidi"/>
      <w:bCs/>
      <w:color w:val="002060"/>
      <w:sz w:val="32"/>
      <w:szCs w:val="28"/>
    </w:rPr>
  </w:style>
  <w:style w:type="paragraph" w:styleId="Heading2">
    <w:name w:val="heading 2"/>
    <w:basedOn w:val="Normal"/>
    <w:next w:val="Normal"/>
    <w:link w:val="Heading2Char"/>
    <w:uiPriority w:val="9"/>
    <w:unhideWhenUsed/>
    <w:qFormat/>
    <w:rsid w:val="0058446A"/>
    <w:pPr>
      <w:keepNext/>
      <w:numPr>
        <w:ilvl w:val="1"/>
        <w:numId w:val="20"/>
      </w:numPr>
      <w:spacing w:before="480"/>
      <w:outlineLvl w:val="1"/>
    </w:pPr>
    <w:rPr>
      <w:rFonts w:eastAsiaTheme="majorEastAsia" w:cstheme="majorBidi"/>
      <w:bCs/>
      <w:color w:val="002060"/>
      <w:sz w:val="28"/>
      <w:szCs w:val="24"/>
    </w:rPr>
  </w:style>
  <w:style w:type="paragraph" w:styleId="Heading3">
    <w:name w:val="heading 3"/>
    <w:basedOn w:val="Normal"/>
    <w:next w:val="Normal"/>
    <w:link w:val="Heading3Char"/>
    <w:uiPriority w:val="9"/>
    <w:unhideWhenUsed/>
    <w:qFormat/>
    <w:rsid w:val="00012834"/>
    <w:pPr>
      <w:keepNext/>
      <w:keepLines/>
      <w:numPr>
        <w:ilvl w:val="2"/>
        <w:numId w:val="5"/>
      </w:numPr>
      <w:spacing w:after="240"/>
      <w:outlineLvl w:val="2"/>
    </w:pPr>
    <w:rPr>
      <w:rFonts w:eastAsiaTheme="majorEastAsia" w:cstheme="majorBidi"/>
      <w:bCs/>
      <w:color w:val="4F81BD" w:themeColor="accent1"/>
    </w:rPr>
  </w:style>
  <w:style w:type="paragraph" w:styleId="Heading4">
    <w:name w:val="heading 4"/>
    <w:basedOn w:val="Normal"/>
    <w:next w:val="Normal"/>
    <w:link w:val="Heading4Char"/>
    <w:uiPriority w:val="9"/>
    <w:unhideWhenUsed/>
    <w:rsid w:val="00922393"/>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922393"/>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2393"/>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2393"/>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2393"/>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2393"/>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46A"/>
    <w:rPr>
      <w:rFonts w:ascii="Calibri Light" w:eastAsiaTheme="majorEastAsia" w:hAnsi="Calibri Light" w:cstheme="majorBidi"/>
      <w:bCs/>
      <w:color w:val="002060"/>
      <w:sz w:val="32"/>
      <w:szCs w:val="28"/>
    </w:rPr>
  </w:style>
  <w:style w:type="character" w:customStyle="1" w:styleId="Heading2Char">
    <w:name w:val="Heading 2 Char"/>
    <w:basedOn w:val="DefaultParagraphFont"/>
    <w:link w:val="Heading2"/>
    <w:uiPriority w:val="9"/>
    <w:rsid w:val="0058446A"/>
    <w:rPr>
      <w:rFonts w:ascii="Calibri Light" w:eastAsiaTheme="majorEastAsia" w:hAnsi="Calibri Light" w:cstheme="majorBidi"/>
      <w:bCs/>
      <w:color w:val="002060"/>
      <w:sz w:val="28"/>
      <w:szCs w:val="24"/>
    </w:rPr>
  </w:style>
  <w:style w:type="character" w:customStyle="1" w:styleId="Heading3Char">
    <w:name w:val="Heading 3 Char"/>
    <w:basedOn w:val="DefaultParagraphFont"/>
    <w:link w:val="Heading3"/>
    <w:uiPriority w:val="9"/>
    <w:rsid w:val="00012834"/>
    <w:rPr>
      <w:rFonts w:ascii="Calibri Light" w:eastAsiaTheme="majorEastAsia" w:hAnsi="Calibri Light" w:cstheme="majorBidi"/>
      <w:bCs/>
      <w:color w:val="4F81BD" w:themeColor="accent1"/>
    </w:rPr>
  </w:style>
  <w:style w:type="character" w:customStyle="1" w:styleId="Heading4Char">
    <w:name w:val="Heading 4 Char"/>
    <w:basedOn w:val="DefaultParagraphFont"/>
    <w:link w:val="Heading4"/>
    <w:uiPriority w:val="9"/>
    <w:rsid w:val="009223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2239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2239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223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23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2393"/>
    <w:rPr>
      <w:rFonts w:asciiTheme="majorHAnsi" w:eastAsiaTheme="majorEastAsia" w:hAnsiTheme="majorHAnsi" w:cstheme="majorBidi"/>
      <w:i/>
      <w:iCs/>
      <w:color w:val="404040" w:themeColor="text1" w:themeTint="BF"/>
      <w:sz w:val="20"/>
      <w:szCs w:val="20"/>
    </w:rPr>
  </w:style>
  <w:style w:type="character" w:styleId="PageNumber">
    <w:name w:val="page number"/>
    <w:rsid w:val="00933E61"/>
    <w:rPr>
      <w:rFonts w:ascii="Calibri Light" w:hAnsi="Calibri Light"/>
      <w:b w:val="0"/>
      <w:sz w:val="20"/>
    </w:rPr>
  </w:style>
  <w:style w:type="character" w:styleId="FootnoteReference">
    <w:name w:val="footnote reference"/>
    <w:basedOn w:val="DefaultParagraphFont"/>
    <w:uiPriority w:val="99"/>
    <w:unhideWhenUsed/>
    <w:rsid w:val="00922393"/>
    <w:rPr>
      <w:vertAlign w:val="superscript"/>
    </w:rPr>
  </w:style>
  <w:style w:type="table" w:styleId="TableGrid">
    <w:name w:val="Table Grid"/>
    <w:basedOn w:val="TableNormal"/>
    <w:uiPriority w:val="59"/>
    <w:rsid w:val="00922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toFooter">
    <w:name w:val="Recto Footer"/>
    <w:basedOn w:val="Footer"/>
    <w:rsid w:val="00933E61"/>
    <w:pPr>
      <w:tabs>
        <w:tab w:val="clear" w:pos="4513"/>
        <w:tab w:val="clear" w:pos="9026"/>
        <w:tab w:val="right" w:pos="8363"/>
        <w:tab w:val="right" w:pos="9072"/>
      </w:tabs>
    </w:pPr>
    <w:rPr>
      <w:rFonts w:cs="Times New Roman"/>
      <w:color w:val="002060"/>
      <w:sz w:val="20"/>
      <w:szCs w:val="20"/>
      <w:lang w:eastAsia="en-GB"/>
    </w:rPr>
  </w:style>
  <w:style w:type="paragraph" w:styleId="Footer">
    <w:name w:val="footer"/>
    <w:basedOn w:val="Normal"/>
    <w:link w:val="FooterChar"/>
    <w:uiPriority w:val="99"/>
    <w:unhideWhenUsed/>
    <w:rsid w:val="00922393"/>
    <w:pPr>
      <w:tabs>
        <w:tab w:val="center" w:pos="4513"/>
        <w:tab w:val="right" w:pos="9026"/>
      </w:tabs>
      <w:spacing w:line="240" w:lineRule="auto"/>
    </w:pPr>
  </w:style>
  <w:style w:type="character" w:customStyle="1" w:styleId="FooterChar">
    <w:name w:val="Footer Char"/>
    <w:basedOn w:val="DefaultParagraphFont"/>
    <w:link w:val="Footer"/>
    <w:uiPriority w:val="99"/>
    <w:rsid w:val="00922393"/>
    <w:rPr>
      <w:rFonts w:ascii="Calibri Light" w:hAnsi="Calibri Light"/>
    </w:rPr>
  </w:style>
  <w:style w:type="paragraph" w:styleId="TOC1">
    <w:name w:val="toc 1"/>
    <w:basedOn w:val="Normal"/>
    <w:next w:val="Normal"/>
    <w:uiPriority w:val="39"/>
    <w:unhideWhenUsed/>
    <w:rsid w:val="007050EC"/>
    <w:pPr>
      <w:tabs>
        <w:tab w:val="right" w:leader="dot" w:pos="9072"/>
      </w:tabs>
      <w:spacing w:before="300"/>
    </w:pPr>
  </w:style>
  <w:style w:type="paragraph" w:styleId="TOC2">
    <w:name w:val="toc 2"/>
    <w:basedOn w:val="Normal"/>
    <w:next w:val="Normal"/>
    <w:autoRedefine/>
    <w:uiPriority w:val="39"/>
    <w:unhideWhenUsed/>
    <w:rsid w:val="00922393"/>
    <w:pPr>
      <w:spacing w:after="100"/>
      <w:ind w:left="220"/>
    </w:pPr>
  </w:style>
  <w:style w:type="character" w:styleId="Hyperlink">
    <w:name w:val="Hyperlink"/>
    <w:basedOn w:val="DefaultParagraphFont"/>
    <w:uiPriority w:val="99"/>
    <w:unhideWhenUsed/>
    <w:rsid w:val="00922393"/>
    <w:rPr>
      <w:color w:val="0000FF" w:themeColor="hyperlink"/>
      <w:u w:val="single"/>
    </w:rPr>
  </w:style>
  <w:style w:type="paragraph" w:customStyle="1" w:styleId="VersoFooter">
    <w:name w:val="Verso Footer"/>
    <w:basedOn w:val="Footer"/>
    <w:rsid w:val="00933E61"/>
    <w:pPr>
      <w:tabs>
        <w:tab w:val="clear" w:pos="4513"/>
        <w:tab w:val="clear" w:pos="9026"/>
      </w:tabs>
      <w:ind w:left="709" w:hanging="709"/>
    </w:pPr>
    <w:rPr>
      <w:rFonts w:cs="Times New Roman"/>
      <w:color w:val="002060"/>
      <w:sz w:val="20"/>
      <w:szCs w:val="20"/>
      <w:lang w:eastAsia="en-GB"/>
    </w:rPr>
  </w:style>
  <w:style w:type="paragraph" w:customStyle="1" w:styleId="Imprint">
    <w:name w:val="Imprint"/>
    <w:basedOn w:val="Normal"/>
    <w:qFormat/>
    <w:rsid w:val="008C5F82"/>
    <w:pPr>
      <w:spacing w:after="240"/>
    </w:pPr>
    <w:rPr>
      <w:rFonts w:ascii="Cambria" w:hAnsi="Cambria"/>
      <w:color w:val="002060"/>
      <w:sz w:val="24"/>
    </w:rPr>
  </w:style>
  <w:style w:type="paragraph" w:styleId="Subtitle">
    <w:name w:val="Subtitle"/>
    <w:basedOn w:val="Normal"/>
    <w:next w:val="Normal"/>
    <w:link w:val="SubtitleChar"/>
    <w:uiPriority w:val="11"/>
    <w:qFormat/>
    <w:rsid w:val="005C137E"/>
    <w:pPr>
      <w:numPr>
        <w:ilvl w:val="1"/>
      </w:numPr>
      <w:pBdr>
        <w:top w:val="single" w:sz="36" w:space="15" w:color="9BBB59" w:themeColor="accent3"/>
        <w:bottom w:val="single" w:sz="36" w:space="15" w:color="9BBB59" w:themeColor="accent3"/>
      </w:pBdr>
      <w:spacing w:line="240" w:lineRule="auto"/>
    </w:pPr>
    <w:rPr>
      <w:rFonts w:ascii="Calibri" w:eastAsiaTheme="majorEastAsia" w:hAnsi="Calibri" w:cstheme="majorBidi"/>
      <w:iCs/>
      <w:sz w:val="40"/>
      <w:szCs w:val="24"/>
    </w:rPr>
  </w:style>
  <w:style w:type="character" w:customStyle="1" w:styleId="SubtitleChar">
    <w:name w:val="Subtitle Char"/>
    <w:basedOn w:val="DefaultParagraphFont"/>
    <w:link w:val="Subtitle"/>
    <w:uiPriority w:val="11"/>
    <w:rsid w:val="005C137E"/>
    <w:rPr>
      <w:rFonts w:ascii="Calibri" w:eastAsiaTheme="majorEastAsia" w:hAnsi="Calibri" w:cstheme="majorBidi"/>
      <w:iCs/>
      <w:sz w:val="40"/>
      <w:szCs w:val="24"/>
    </w:rPr>
  </w:style>
  <w:style w:type="paragraph" w:customStyle="1" w:styleId="Heading">
    <w:name w:val="Heading"/>
    <w:basedOn w:val="Heading1"/>
    <w:qFormat/>
    <w:rsid w:val="00455449"/>
    <w:pPr>
      <w:numPr>
        <w:numId w:val="0"/>
      </w:numPr>
    </w:pPr>
  </w:style>
  <w:style w:type="paragraph" w:customStyle="1" w:styleId="Circle">
    <w:name w:val="Circle"/>
    <w:basedOn w:val="Normal"/>
    <w:qFormat/>
    <w:rsid w:val="001A3E2D"/>
    <w:pPr>
      <w:numPr>
        <w:numId w:val="21"/>
      </w:numPr>
      <w:spacing w:before="60"/>
      <w:ind w:left="1418" w:hanging="284"/>
    </w:pPr>
  </w:style>
  <w:style w:type="paragraph" w:customStyle="1" w:styleId="Square">
    <w:name w:val="Square"/>
    <w:basedOn w:val="Normal"/>
    <w:qFormat/>
    <w:rsid w:val="001A3E2D"/>
    <w:pPr>
      <w:numPr>
        <w:numId w:val="22"/>
      </w:numPr>
      <w:spacing w:before="30"/>
      <w:ind w:left="1985" w:hanging="284"/>
    </w:pPr>
  </w:style>
  <w:style w:type="paragraph" w:customStyle="1" w:styleId="TableText">
    <w:name w:val="TableText"/>
    <w:basedOn w:val="Normal"/>
    <w:link w:val="TableTextChar"/>
    <w:qFormat/>
    <w:rsid w:val="000312D7"/>
    <w:pPr>
      <w:spacing w:before="0" w:line="240" w:lineRule="auto"/>
    </w:pPr>
    <w:rPr>
      <w:rFonts w:cs="Times New Roman"/>
      <w:szCs w:val="20"/>
      <w:lang w:eastAsia="en-GB"/>
    </w:rPr>
  </w:style>
  <w:style w:type="character" w:customStyle="1" w:styleId="TableTextChar">
    <w:name w:val="TableText Char"/>
    <w:link w:val="TableText"/>
    <w:rsid w:val="000312D7"/>
    <w:rPr>
      <w:rFonts w:ascii="Calibri Light" w:eastAsia="Times New Roman" w:hAnsi="Calibri Light" w:cs="Times New Roman"/>
      <w:szCs w:val="20"/>
      <w:lang w:eastAsia="en-GB"/>
    </w:rPr>
  </w:style>
  <w:style w:type="paragraph" w:customStyle="1" w:styleId="TableBullet">
    <w:name w:val="TableBullet"/>
    <w:basedOn w:val="TableText"/>
    <w:next w:val="Square"/>
    <w:qFormat/>
    <w:rsid w:val="007D679D"/>
    <w:pPr>
      <w:numPr>
        <w:numId w:val="26"/>
      </w:numPr>
      <w:spacing w:before="90"/>
    </w:pPr>
  </w:style>
  <w:style w:type="paragraph" w:styleId="Header">
    <w:name w:val="header"/>
    <w:basedOn w:val="Normal"/>
    <w:link w:val="HeaderChar"/>
    <w:uiPriority w:val="99"/>
    <w:unhideWhenUsed/>
    <w:rsid w:val="0086320B"/>
    <w:pPr>
      <w:tabs>
        <w:tab w:val="center" w:pos="4513"/>
        <w:tab w:val="right" w:pos="9026"/>
      </w:tabs>
      <w:spacing w:line="240" w:lineRule="auto"/>
    </w:pPr>
  </w:style>
  <w:style w:type="character" w:customStyle="1" w:styleId="HeaderChar">
    <w:name w:val="Header Char"/>
    <w:basedOn w:val="DefaultParagraphFont"/>
    <w:link w:val="Header"/>
    <w:uiPriority w:val="99"/>
    <w:rsid w:val="0086320B"/>
    <w:rPr>
      <w:rFonts w:ascii="Calibri Light" w:hAnsi="Calibri Light"/>
    </w:rPr>
  </w:style>
  <w:style w:type="paragraph" w:styleId="FootnoteText">
    <w:name w:val="footnote text"/>
    <w:basedOn w:val="Normal"/>
    <w:link w:val="FootnoteTextChar"/>
    <w:uiPriority w:val="99"/>
    <w:unhideWhenUsed/>
    <w:rsid w:val="009072DA"/>
    <w:pPr>
      <w:spacing w:before="60" w:line="240" w:lineRule="auto"/>
      <w:ind w:left="284" w:hanging="284"/>
    </w:pPr>
    <w:rPr>
      <w:sz w:val="20"/>
      <w:szCs w:val="20"/>
    </w:rPr>
  </w:style>
  <w:style w:type="character" w:customStyle="1" w:styleId="FootnoteTextChar">
    <w:name w:val="Footnote Text Char"/>
    <w:basedOn w:val="DefaultParagraphFont"/>
    <w:link w:val="FootnoteText"/>
    <w:uiPriority w:val="99"/>
    <w:rsid w:val="009072DA"/>
    <w:rPr>
      <w:rFonts w:ascii="Calibri Light" w:eastAsia="Times New Roman" w:hAnsi="Calibri Light"/>
      <w:sz w:val="20"/>
      <w:szCs w:val="20"/>
    </w:rPr>
  </w:style>
  <w:style w:type="paragraph" w:styleId="TOC3">
    <w:name w:val="toc 3"/>
    <w:basedOn w:val="Normal"/>
    <w:next w:val="Normal"/>
    <w:autoRedefine/>
    <w:uiPriority w:val="39"/>
    <w:unhideWhenUsed/>
    <w:rsid w:val="00F75AFA"/>
    <w:pPr>
      <w:spacing w:after="100"/>
      <w:ind w:left="440"/>
    </w:pPr>
  </w:style>
  <w:style w:type="paragraph" w:styleId="Title">
    <w:name w:val="Title"/>
    <w:basedOn w:val="Normal"/>
    <w:next w:val="Normal"/>
    <w:link w:val="TitleChar"/>
    <w:uiPriority w:val="10"/>
    <w:qFormat/>
    <w:rsid w:val="005C137E"/>
    <w:pPr>
      <w:pBdr>
        <w:top w:val="single" w:sz="36" w:space="18" w:color="9BBB59" w:themeColor="accent3"/>
      </w:pBdr>
      <w:spacing w:after="360" w:line="240" w:lineRule="auto"/>
    </w:pPr>
    <w:rPr>
      <w:rFonts w:asciiTheme="majorHAnsi" w:eastAsiaTheme="majorEastAsia" w:hAnsiTheme="majorHAnsi" w:cstheme="majorBidi"/>
      <w:color w:val="002060"/>
      <w:sz w:val="72"/>
      <w:szCs w:val="52"/>
    </w:rPr>
  </w:style>
  <w:style w:type="character" w:customStyle="1" w:styleId="TitleChar">
    <w:name w:val="Title Char"/>
    <w:basedOn w:val="DefaultParagraphFont"/>
    <w:link w:val="Title"/>
    <w:uiPriority w:val="10"/>
    <w:rsid w:val="005C137E"/>
    <w:rPr>
      <w:rFonts w:asciiTheme="majorHAnsi" w:eastAsiaTheme="majorEastAsia" w:hAnsiTheme="majorHAnsi" w:cstheme="majorBidi"/>
      <w:color w:val="002060"/>
      <w:sz w:val="72"/>
      <w:szCs w:val="52"/>
    </w:rPr>
  </w:style>
  <w:style w:type="paragraph" w:customStyle="1" w:styleId="Bullet">
    <w:name w:val="Bullet"/>
    <w:basedOn w:val="Normal"/>
    <w:qFormat/>
    <w:rsid w:val="00FF7B4A"/>
    <w:pPr>
      <w:numPr>
        <w:numId w:val="6"/>
      </w:numPr>
      <w:spacing w:before="90"/>
      <w:ind w:left="851"/>
    </w:pPr>
    <w:rPr>
      <w:rFonts w:cs="Times New Roman"/>
      <w:szCs w:val="20"/>
      <w:lang w:eastAsia="en-GB"/>
    </w:rPr>
  </w:style>
  <w:style w:type="paragraph" w:styleId="Revision">
    <w:name w:val="Revision"/>
    <w:hidden/>
    <w:uiPriority w:val="99"/>
    <w:semiHidden/>
    <w:rsid w:val="00730D91"/>
    <w:pPr>
      <w:spacing w:after="0" w:line="240" w:lineRule="auto"/>
    </w:pPr>
    <w:rPr>
      <w:rFonts w:ascii="Calibri Light" w:hAnsi="Calibri Light"/>
    </w:rPr>
  </w:style>
  <w:style w:type="paragraph" w:styleId="BalloonText">
    <w:name w:val="Balloon Text"/>
    <w:basedOn w:val="Normal"/>
    <w:link w:val="BalloonTextChar"/>
    <w:uiPriority w:val="99"/>
    <w:semiHidden/>
    <w:unhideWhenUsed/>
    <w:rsid w:val="006A722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22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24D44"/>
    <w:rPr>
      <w:sz w:val="16"/>
      <w:szCs w:val="16"/>
    </w:rPr>
  </w:style>
  <w:style w:type="paragraph" w:styleId="CommentText">
    <w:name w:val="annotation text"/>
    <w:basedOn w:val="Normal"/>
    <w:link w:val="CommentTextChar"/>
    <w:uiPriority w:val="99"/>
    <w:semiHidden/>
    <w:unhideWhenUsed/>
    <w:rsid w:val="00F24D44"/>
    <w:pPr>
      <w:spacing w:line="240" w:lineRule="auto"/>
    </w:pPr>
    <w:rPr>
      <w:sz w:val="20"/>
      <w:szCs w:val="20"/>
    </w:rPr>
  </w:style>
  <w:style w:type="character" w:customStyle="1" w:styleId="CommentTextChar">
    <w:name w:val="Comment Text Char"/>
    <w:basedOn w:val="DefaultParagraphFont"/>
    <w:link w:val="CommentText"/>
    <w:uiPriority w:val="99"/>
    <w:semiHidden/>
    <w:rsid w:val="00F24D44"/>
    <w:rPr>
      <w:rFonts w:ascii="Calibri Light" w:eastAsia="Times New Roman" w:hAnsi="Calibri Light"/>
      <w:sz w:val="20"/>
      <w:szCs w:val="20"/>
    </w:rPr>
  </w:style>
  <w:style w:type="paragraph" w:styleId="CommentSubject">
    <w:name w:val="annotation subject"/>
    <w:basedOn w:val="CommentText"/>
    <w:next w:val="CommentText"/>
    <w:link w:val="CommentSubjectChar"/>
    <w:uiPriority w:val="99"/>
    <w:semiHidden/>
    <w:unhideWhenUsed/>
    <w:rsid w:val="00F24D44"/>
    <w:rPr>
      <w:b/>
      <w:bCs/>
    </w:rPr>
  </w:style>
  <w:style w:type="character" w:customStyle="1" w:styleId="CommentSubjectChar">
    <w:name w:val="Comment Subject Char"/>
    <w:basedOn w:val="CommentTextChar"/>
    <w:link w:val="CommentSubject"/>
    <w:uiPriority w:val="99"/>
    <w:semiHidden/>
    <w:rsid w:val="00F24D44"/>
    <w:rPr>
      <w:rFonts w:ascii="Calibri Light" w:eastAsia="Times New Roman"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www.health.govt.nz/publication/nz-health-research-strategy-consult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297D6-9957-4468-A4AD-B211DCDFA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40</TotalTime>
  <Pages>27</Pages>
  <Words>6988</Words>
  <Characters>41768</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Health Research Strategy Consultation document</dc:title>
  <dc:creator>Ministry of Health</dc:creator>
  <cp:lastModifiedBy>Jane Adam</cp:lastModifiedBy>
  <cp:revision>9</cp:revision>
  <cp:lastPrinted>2016-05-02T22:53:00Z</cp:lastPrinted>
  <dcterms:created xsi:type="dcterms:W3CDTF">2016-05-03T21:35:00Z</dcterms:created>
  <dcterms:modified xsi:type="dcterms:W3CDTF">2016-05-15T21:35:00Z</dcterms:modified>
</cp:coreProperties>
</file>